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snapToGrid w:val="0"/>
        <w:spacing w:line="360" w:lineRule="auto"/>
        <w:rPr>
          <w:rFonts w:ascii="黑体" w:eastAsia="黑体"/>
          <w:bCs/>
          <w:sz w:val="21"/>
        </w:rPr>
      </w:pPr>
      <w:bookmarkStart w:id="11" w:name="_GoBack"/>
      <w:bookmarkEnd w:id="11"/>
      <w:bookmarkStart w:id="0" w:name="ICSNUM"/>
      <w:r>
        <w:rPr>
          <w:rFonts w:hint="eastAsia" w:ascii="黑体" w:eastAsia="黑体"/>
          <w:bCs/>
          <w:sz w:val="21"/>
        </w:rPr>
        <w:fldChar w:fldCharType="begin">
          <w:ffData>
            <w:name w:val="ICSNUM"/>
            <w:enabled/>
            <w:calcOnExit w:val="0"/>
            <w:textInput>
              <w:default w:val="ICS 77.150.30"/>
            </w:textInput>
          </w:ffData>
        </w:fldChar>
      </w:r>
      <w:r>
        <w:rPr>
          <w:rFonts w:hint="eastAsia" w:ascii="黑体" w:eastAsia="黑体"/>
          <w:bCs/>
          <w:sz w:val="21"/>
        </w:rPr>
        <w:instrText xml:space="preserve"> FORMTEXT </w:instrText>
      </w:r>
      <w:r>
        <w:rPr>
          <w:rFonts w:hint="eastAsia" w:ascii="黑体" w:eastAsia="黑体"/>
          <w:bCs/>
          <w:sz w:val="21"/>
        </w:rPr>
        <w:fldChar w:fldCharType="separate"/>
      </w:r>
      <w:r>
        <w:rPr>
          <w:rFonts w:hint="eastAsia" w:ascii="黑体" w:eastAsia="黑体"/>
          <w:bCs/>
          <w:sz w:val="21"/>
        </w:rPr>
        <w:t>ICS 77.150.30</w:t>
      </w:r>
      <w:r>
        <w:rPr>
          <w:rFonts w:hint="eastAsia" w:ascii="黑体" w:eastAsia="黑体"/>
          <w:bCs/>
          <w:sz w:val="21"/>
        </w:rPr>
        <w:fldChar w:fldCharType="end"/>
      </w:r>
      <w:bookmarkEnd w:id="0"/>
    </w:p>
    <w:p>
      <w:pPr>
        <w:snapToGrid w:val="0"/>
        <w:spacing w:line="360" w:lineRule="auto"/>
      </w:pPr>
      <w:r>
        <w:rPr>
          <w:rFonts w:hint="eastAsia" w:ascii="隶书" w:hAnsi="宋体" w:eastAsia="隶书"/>
          <w:b/>
          <w:sz w:val="84"/>
          <w:szCs w:val="84"/>
        </w:rPr>
        <w:drawing>
          <wp:anchor distT="0" distB="0" distL="114300" distR="114300" simplePos="0" relativeHeight="251663360" behindDoc="0" locked="0" layoutInCell="1" allowOverlap="1">
            <wp:simplePos x="0" y="0"/>
            <wp:positionH relativeFrom="column">
              <wp:posOffset>1524000</wp:posOffset>
            </wp:positionH>
            <wp:positionV relativeFrom="paragraph">
              <wp:posOffset>-28575</wp:posOffset>
            </wp:positionV>
            <wp:extent cx="1214120" cy="659130"/>
            <wp:effectExtent l="0" t="0" r="5080" b="762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cstate="print"/>
                    <a:stretch>
                      <a:fillRect/>
                    </a:stretch>
                  </pic:blipFill>
                  <pic:spPr>
                    <a:xfrm>
                      <a:off x="0" y="0"/>
                      <a:ext cx="1214120" cy="659130"/>
                    </a:xfrm>
                    <a:prstGeom prst="rect">
                      <a:avLst/>
                    </a:prstGeom>
                    <a:noFill/>
                    <a:ln>
                      <a:noFill/>
                    </a:ln>
                  </pic:spPr>
                </pic:pic>
              </a:graphicData>
            </a:graphic>
          </wp:anchor>
        </w:drawing>
      </w:r>
    </w:p>
    <w:p>
      <w:pPr>
        <w:snapToGrid w:val="0"/>
        <w:spacing w:line="360" w:lineRule="auto"/>
      </w:pPr>
      <w:r>
        <mc:AlternateContent>
          <mc:Choice Requires="wps">
            <w:drawing>
              <wp:anchor distT="0" distB="0" distL="114300" distR="114300" simplePos="0" relativeHeight="251659264"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2" name="矩形 3"/>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pPr>
                              <w:rPr>
                                <w:b/>
                                <w:bCs/>
                                <w:spacing w:val="-40"/>
                                <w:sz w:val="52"/>
                                <w:szCs w:val="52"/>
                              </w:rPr>
                            </w:pPr>
                            <w:r>
                              <w:rPr>
                                <w:rFonts w:hint="eastAsia"/>
                                <w:b/>
                                <w:bCs/>
                                <w:spacing w:val="-40"/>
                                <w:sz w:val="72"/>
                                <w:szCs w:val="72"/>
                              </w:rPr>
                              <w:t>中华人民共和国有色金属行业标准</w:t>
                            </w:r>
                          </w:p>
                        </w:txbxContent>
                      </wps:txbx>
                      <wps:bodyPr lIns="0" tIns="0" rIns="0" bIns="0" upright="1"/>
                    </wps:wsp>
                  </a:graphicData>
                </a:graphic>
              </wp:anchor>
            </w:drawing>
          </mc:Choice>
          <mc:Fallback>
            <w:pict>
              <v:rect id="矩形 3" o:spid="_x0000_s1026" o:spt="1" style="position:absolute;left:0pt;margin-left:63pt;margin-top:112pt;height:48.05pt;width:499.1pt;mso-position-horizontal-relative:page;mso-position-vertical-relative:page;z-index:251659264;mso-width-relative:page;mso-height-relative:page;" filled="f" stroked="f" coordsize="21600,21600" o:allowincell="f" o:gfxdata="UEsDBAoAAAAAAIdO4kAAAAAAAAAAAAAAAAAEAAAAZHJzL1BLAwQUAAAACACHTuJA7fW86dgAAAAM&#10;AQAADwAAAGRycy9kb3ducmV2LnhtbE2PwU7DMBBE70j8g7VI3KgdU0UQ4vTQKBLcoHDh5sYmiYjX&#10;ie0m5e/ZnuC2ox3NvCl3ZzeyxYY4eFSQbQQwi603A3YKPt6buwdgMWk0evRoFfzYCLvq+qrUhfEr&#10;vtnlkDpGIRgLraBPaSo4j21vnY4bP1mk35cPTieSoeMm6JXC3cilEDl3ekBq6PVk971tvw8np6AO&#10;uWni/rluHj/XOr28zsvMZ6VubzLxBCzZc/ozwwWf0KEipqM/oYlsJC1z2pIUSLml4+LI5FYCOyq4&#10;lyIDXpX8/4jqF1BLAwQUAAAACACHTuJA+ejUmrUBAABrAwAADgAAAGRycy9lMm9Eb2MueG1srVNL&#10;btswEN0XyB0I7mvJNuIGguVsjBQBijZA2gPQFGUR4A8ztCWfJkB2PUSPU/QaHVKy06abLLqhHofU&#10;m/feSOvbwRp2VIDau5rPZyVnyknfaLev+bevd+9vOMMoXCOMd6rmJ4X8dnP1bt2HSi18502jgBGJ&#10;w6oPNe9iDFVRoOyUFTjzQTk6bD1YEWkL+6IB0RO7NcWiLFdF76EJ4KVCpOp2POQTI7yF0Letlmrr&#10;5cEqF0dWUEZEsoSdDsg3WW3bKhm/tC2qyEzNyWnMKzUhvEtrsVmLag8idFpOEsRbJLzyZIV21PRC&#10;tRVRsAPof6isluDRt3EmvS1GIzkRcjEvX2Xz2ImgsheKGsMldPx/tPLz8QGYbmq+4MwJSwP/9fT9&#10;549ntkzZ9AEruvIYHmDaIcFkdGjBpidZYEPO83TJUw2RSSqulsub6w8UtaSz1bxcLK8TafHydgCM&#10;H5W3LIGaA80rxyiOnzCOV89XUjPn77QxVBeVcaxPDf8qE7Nx1CDJHoUmFIfdMKnf+eZEfs29owzT&#10;93AGcAa7MzgE0PuORM2z5kREM8jqp+8lDfnPfW788o9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9bzp2AAAAAwBAAAPAAAAAAAAAAEAIAAAACIAAABkcnMvZG93bnJldi54bWxQSwECFAAUAAAA&#10;CACHTuJA+ejUmrUBAABrAwAADgAAAAAAAAABACAAAAAnAQAAZHJzL2Uyb0RvYy54bWxQSwUGAAAA&#10;AAYABgBZAQAATgUAAAAA&#10;">
                <v:fill on="f" focussize="0,0"/>
                <v:stroke on="f" weight="0pt"/>
                <v:imagedata o:title=""/>
                <o:lock v:ext="edit" aspectratio="f"/>
                <v:textbox inset="0mm,0mm,0mm,0mm">
                  <w:txbxContent>
                    <w:p>
                      <w:pPr>
                        <w:rPr>
                          <w:b/>
                          <w:bCs/>
                          <w:spacing w:val="-40"/>
                          <w:sz w:val="52"/>
                          <w:szCs w:val="52"/>
                        </w:rPr>
                      </w:pPr>
                      <w:r>
                        <w:rPr>
                          <w:rFonts w:hint="eastAsia"/>
                          <w:b/>
                          <w:bCs/>
                          <w:spacing w:val="-40"/>
                          <w:sz w:val="72"/>
                          <w:szCs w:val="72"/>
                        </w:rPr>
                        <w:t>中华人民共和国有色金属行业标准</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page">
                  <wp:posOffset>914400</wp:posOffset>
                </wp:positionH>
                <wp:positionV relativeFrom="page">
                  <wp:posOffset>2812415</wp:posOffset>
                </wp:positionV>
                <wp:extent cx="6118225" cy="635"/>
                <wp:effectExtent l="0" t="0" r="0" b="0"/>
                <wp:wrapNone/>
                <wp:docPr id="3" name="直线 6"/>
                <wp:cNvGraphicFramePr/>
                <a:graphic xmlns:a="http://schemas.openxmlformats.org/drawingml/2006/main">
                  <a:graphicData uri="http://schemas.microsoft.com/office/word/2010/wordprocessingShape">
                    <wps:wsp>
                      <wps:cNvSpPr/>
                      <wps:spPr>
                        <a:xfrm>
                          <a:off x="0" y="0"/>
                          <a:ext cx="611822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6" o:spid="_x0000_s1026" o:spt="20" style="position:absolute;left:0pt;margin-left:72pt;margin-top:221.45pt;height:0.05pt;width:481.75pt;mso-position-horizontal-relative:page;mso-position-vertical-relative:page;z-index:251660288;mso-width-relative:page;mso-height-relative:page;" filled="f" stroked="t" coordsize="21600,21600" o:gfxdata="UEsDBAoAAAAAAIdO4kAAAAAAAAAAAAAAAAAEAAAAZHJzL1BLAwQUAAAACACHTuJA6+NxkNoAAAAM&#10;AQAADwAAAGRycy9kb3ducmV2LnhtbE2PzU7DMBCE70i8g7VI3KidEiiEOBV/VbkhChx628ZLEhGv&#10;o9htUp4e5wTHmR3NfpMvR9uKA/W+cawhmSkQxKUzDVcaPt5XFzcgfEA22DomDUfysCxOT3LMjBv4&#10;jQ6bUIlYwj5DDXUIXSalL2uy6GeuI463L9dbDFH2lTQ9DrHctnKu1LW02HD8UGNHjzWV35u91XC/&#10;DovjdvXcMb7+bJ/MML48fI5an58l6g5EoDH8hWHCj+hQRKad27Pxoo06TeOWoCFN57cgpkSiFlcg&#10;dpN1qUAWufw/ovgFUEsDBBQAAAAIAIdO4kDtqUb35wEAANkDAAAOAAAAZHJzL2Uyb0RvYy54bWyt&#10;U0tu2zAQ3RfoHQjua9kObKSC5SzqppuiDZDmAGOKlAjwBw5t2WfpNbrqpsfJNTqkVKdNF82iWlBD&#10;zuPjvDfk5uZkDTvKiNq7hi9mc86kE77Vrmv4w5fbN9ecYQLXgvFONvwskd9sX7/aDKGWS99708rI&#10;iMRhPYSG9ymFuqpQ9NICznyQjpLKRwuJprGr2ggDsVtTLefzdTX42IbohUSk1d2Y5BNjfAmhV0oL&#10;ufPiYKVLI2uUBhJJwl4H5NtSrVJSpM9KoUzMNJyUpjLSIRTv81htN1B3EUKvxVQCvKSEZ5osaEeH&#10;Xqh2kIAdov6LymoRPXqVZsLbahRSHCEVi/kzb+57CLJoIasxXEzH/0crPh3vItNtw684c2Cp4Y9f&#10;vz1+/8HW2ZshYE2Q+3AXpxlSmIWeVLT5TxLYqfh5vvgpT4kJWlwvFtfL5YozQbn11SozVk9bQ8T0&#10;QXrLctBwo10WCzUcP2Iaob8gedk4NjT87aoQAt08RR0nbhuoenRd2Yve6PZWG5N3YOz270xkR8jd&#10;L99Uwh+wfMgOsB9xJZVhUPcS2veuZekcyBdHz4HnEtByZiQ9HgoKLoE2/8aRcuPIgOzp6GKO9r49&#10;UwcOIequJxcWpcKcoY4Xu6bbma/U7/PC9PQit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x&#10;kNoAAAAMAQAADwAAAAAAAAABACAAAAAiAAAAZHJzL2Rvd25yZXYueG1sUEsBAhQAFAAAAAgAh07i&#10;QO2pRvfnAQAA2QMAAA4AAAAAAAAAAQAgAAAAKQEAAGRycy9lMm9Eb2MueG1sUEsFBgAAAAAGAAYA&#10;WQEAAIIFAAAAAA==&#10;">
                <v:fill on="f" focussize="0,0"/>
                <v:stroke color="#000000" joinstyle="round" startarrowwidth="narrow" startarrowlength="short" endarrowwidth="narrow" endarrowlength="short"/>
                <v:imagedata o:title=""/>
                <o:lock v:ext="edit" aspectratio="f"/>
                <w10:anchorlock/>
              </v:line>
            </w:pict>
          </mc:Fallback>
        </mc:AlternateContent>
      </w:r>
    </w:p>
    <w:p>
      <w:pPr>
        <w:framePr w:w="4383" w:hSpace="181" w:wrap="around" w:vAnchor="page" w:hAnchor="page" w:x="1441" w:y="844" w:anchorLock="1"/>
        <w:snapToGrid w:val="0"/>
        <w:spacing w:line="360" w:lineRule="auto"/>
        <w:rPr>
          <w:rFonts w:ascii="黑体" w:eastAsia="黑体"/>
          <w:bCs/>
          <w:sz w:val="21"/>
        </w:rPr>
      </w:pPr>
      <w:r>
        <w:rPr>
          <w:rFonts w:hint="eastAsia" w:ascii="黑体" w:eastAsia="黑体"/>
          <w:bCs/>
          <w:sz w:val="21"/>
        </w:rPr>
        <w:t>CCS H 62</w:t>
      </w:r>
    </w:p>
    <w:p>
      <w:pPr>
        <w:snapToGrid w:val="0"/>
        <w:spacing w:line="360" w:lineRule="auto"/>
        <w:rPr>
          <w:sz w:val="21"/>
        </w:rPr>
      </w:pPr>
    </w:p>
    <w:p>
      <w:pPr>
        <w:pStyle w:val="21"/>
        <w:snapToGrid w:val="0"/>
        <w:spacing w:line="360" w:lineRule="auto"/>
        <w:ind w:left="0" w:firstLine="0"/>
      </w:pPr>
    </w:p>
    <w:p>
      <w:pPr>
        <w:snapToGrid w:val="0"/>
        <w:spacing w:line="360" w:lineRule="auto"/>
      </w:pPr>
    </w:p>
    <w:p>
      <w:pPr>
        <w:snapToGrid w:val="0"/>
        <w:spacing w:line="360" w:lineRule="auto"/>
      </w:pPr>
    </w:p>
    <w:p>
      <w:pPr>
        <w:pStyle w:val="44"/>
        <w:framePr w:w="5883" w:hSpace="181" w:wrap="around" w:vAnchor="text" w:hAnchor="page" w:x="5055" w:y="389"/>
        <w:snapToGrid w:val="0"/>
        <w:spacing w:line="360" w:lineRule="auto"/>
        <w:rPr>
          <w:rFonts w:ascii="黑体" w:hAnsi="宋体" w:eastAsia="黑体"/>
          <w:bCs/>
          <w:szCs w:val="28"/>
          <w:lang w:val="de-DE"/>
        </w:rPr>
      </w:pPr>
      <w:r>
        <w:rPr>
          <w:rFonts w:hint="eastAsia" w:ascii="黑体" w:hAnsi="宋体" w:eastAsia="黑体"/>
          <w:szCs w:val="28"/>
        </w:rPr>
        <w:t>YS/T ××××—××××</w:t>
      </w:r>
    </w:p>
    <w:p>
      <w:pPr>
        <w:snapToGrid w:val="0"/>
        <w:spacing w:line="360" w:lineRule="auto"/>
      </w:pPr>
    </w:p>
    <w:p>
      <w:pPr>
        <w:snapToGrid w:val="0"/>
        <w:spacing w:line="360" w:lineRule="auto"/>
      </w:pPr>
    </w:p>
    <w:p>
      <w:pPr>
        <w:snapToGrid w:val="0"/>
        <w:spacing w:line="360" w:lineRule="auto"/>
        <w:rPr>
          <w:lang w:val="de-DE"/>
        </w:rPr>
      </w:pPr>
    </w:p>
    <w:p>
      <w:pPr>
        <w:snapToGrid w:val="0"/>
        <w:spacing w:line="360" w:lineRule="auto"/>
        <w:rPr>
          <w:lang w:val="de-DE"/>
        </w:rPr>
      </w:pPr>
      <w:r>
        <w:rPr>
          <w:rFonts w:hint="eastAsia"/>
        </w:rPr>
        <w:t>　　　　</w:t>
      </w:r>
    </w:p>
    <w:p>
      <w:pPr>
        <w:pStyle w:val="21"/>
        <w:snapToGrid w:val="0"/>
        <w:spacing w:line="360" w:lineRule="auto"/>
        <w:ind w:left="0" w:firstLine="0"/>
        <w:rPr>
          <w:lang w:val="de-DE"/>
        </w:rPr>
      </w:pP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framePr w:w="9724" w:hSpace="181" w:wrap="notBeside" w:vAnchor="page" w:hAnchor="page" w:x="1200" w:y="6386" w:anchorLock="1"/>
        <w:snapToGrid w:val="0"/>
        <w:spacing w:line="360" w:lineRule="auto"/>
        <w:jc w:val="center"/>
        <w:rPr>
          <w:rFonts w:ascii="宋体"/>
          <w:sz w:val="48"/>
          <w:lang w:val="de-DE"/>
        </w:rPr>
      </w:pPr>
      <w:r>
        <w:rPr>
          <w:rFonts w:hint="eastAsia" w:eastAsia="黑体"/>
          <w:sz w:val="52"/>
        </w:rPr>
        <w:t>蚀刻铜合金</w:t>
      </w:r>
      <w:r>
        <w:rPr>
          <w:rFonts w:hint="eastAsia" w:ascii="黑体" w:eastAsia="黑体"/>
          <w:sz w:val="52"/>
        </w:rPr>
        <w:t>带箔材</w:t>
      </w:r>
    </w:p>
    <w:p>
      <w:pPr>
        <w:framePr w:w="8163" w:hSpace="181" w:wrap="notBeside" w:vAnchor="text" w:hAnchor="page" w:x="1995" w:y="117"/>
        <w:snapToGrid w:val="0"/>
        <w:spacing w:line="360" w:lineRule="auto"/>
        <w:jc w:val="center"/>
        <w:rPr>
          <w:rFonts w:ascii="黑体" w:eastAsia="黑体"/>
          <w:b/>
          <w:bCs/>
          <w:sz w:val="28"/>
          <w:szCs w:val="28"/>
          <w:lang w:val="de-DE"/>
        </w:rPr>
      </w:pPr>
      <w:r>
        <w:rPr>
          <w:rFonts w:hint="eastAsia" w:ascii="黑体" w:eastAsia="黑体"/>
          <w:b/>
          <w:sz w:val="28"/>
          <w:szCs w:val="28"/>
          <w:lang w:val="de-DE"/>
        </w:rPr>
        <w:t>Etching copper alloy Strip and foil</w:t>
      </w:r>
    </w:p>
    <w:p>
      <w:pPr>
        <w:snapToGrid w:val="0"/>
        <w:spacing w:line="360" w:lineRule="auto"/>
        <w:rPr>
          <w:lang w:val="de-DE"/>
        </w:rPr>
      </w:pPr>
    </w:p>
    <w:p>
      <w:pPr>
        <w:snapToGrid w:val="0"/>
        <w:spacing w:line="360" w:lineRule="auto"/>
        <w:jc w:val="center"/>
        <w:rPr>
          <w:lang w:val="de-DE"/>
        </w:rPr>
      </w:pPr>
    </w:p>
    <w:p>
      <w:pPr>
        <w:pStyle w:val="39"/>
        <w:snapToGrid w:val="0"/>
        <w:spacing w:line="360" w:lineRule="auto"/>
        <w:rPr>
          <w:rFonts w:eastAsia="宋体"/>
          <w:b/>
          <w:bCs/>
          <w:sz w:val="28"/>
          <w:lang w:val="de-DE"/>
        </w:rPr>
      </w:pPr>
      <w:r>
        <w:rPr>
          <w:rFonts w:hint="eastAsia" w:eastAsia="宋体"/>
          <w:b/>
          <w:bCs/>
          <w:sz w:val="28"/>
          <w:lang w:val="de-DE"/>
        </w:rPr>
        <w:t>（讨论</w:t>
      </w:r>
      <w:r>
        <w:rPr>
          <w:rFonts w:hint="eastAsia" w:eastAsia="宋体"/>
          <w:b/>
          <w:bCs/>
          <w:sz w:val="28"/>
        </w:rPr>
        <w:t>稿</w:t>
      </w:r>
      <w:r>
        <w:rPr>
          <w:rFonts w:hint="eastAsia" w:eastAsia="宋体"/>
          <w:b/>
          <w:bCs/>
          <w:sz w:val="28"/>
          <w:lang w:val="de-DE"/>
        </w:rPr>
        <w:t>）</w:t>
      </w: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framePr w:w="3243" w:h="312" w:hRule="exact" w:hSpace="181" w:wrap="around" w:vAnchor="page" w:hAnchor="page" w:x="1561" w:y="13601" w:anchorLock="1"/>
        <w:snapToGrid w:val="0"/>
        <w:spacing w:line="360" w:lineRule="auto"/>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1"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1"/>
    </w:p>
    <w:p>
      <w:pPr>
        <w:snapToGrid w:val="0"/>
        <w:spacing w:line="360" w:lineRule="auto"/>
        <w:rPr>
          <w:lang w:val="de-DE"/>
        </w:rPr>
      </w:pPr>
      <w:r>
        <mc:AlternateContent>
          <mc:Choice Requires="wps">
            <w:drawing>
              <wp:anchor distT="0" distB="0" distL="114300" distR="114300" simplePos="0" relativeHeight="251661312" behindDoc="0" locked="1" layoutInCell="1" allowOverlap="1">
                <wp:simplePos x="0" y="0"/>
                <wp:positionH relativeFrom="page">
                  <wp:posOffset>862330</wp:posOffset>
                </wp:positionH>
                <wp:positionV relativeFrom="page">
                  <wp:posOffset>8992870</wp:posOffset>
                </wp:positionV>
                <wp:extent cx="6120765" cy="635"/>
                <wp:effectExtent l="0" t="0" r="0" b="0"/>
                <wp:wrapNone/>
                <wp:docPr id="4" name="直线 7"/>
                <wp:cNvGraphicFramePr/>
                <a:graphic xmlns:a="http://schemas.openxmlformats.org/drawingml/2006/main">
                  <a:graphicData uri="http://schemas.microsoft.com/office/word/2010/wordprocessingShape">
                    <wps:wsp>
                      <wps:cNvSp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7" o:spid="_x0000_s1026" o:spt="20" style="position:absolute;left:0pt;margin-left:67.9pt;margin-top:708.1pt;height:0.05pt;width:481.95pt;mso-position-horizontal-relative:page;mso-position-vertical-relative:page;z-index:251661312;mso-width-relative:page;mso-height-relative:page;" filled="f" stroked="t" coordsize="21600,21600" o:gfxdata="UEsDBAoAAAAAAIdO4kAAAAAAAAAAAAAAAAAEAAAAZHJzL1BLAwQUAAAACACHTuJAFj6vDdwAAAAO&#10;AQAADwAAAGRycy9kb3ducmV2LnhtbE2PzU7DMBCE75V4B2uRuLV2WmhpiFPxV8ENUeDQ2zY2SUS8&#10;jmK3SXl6tuIAt53d0ew32WpwjTjYLtSeNCQTBcJS4U1NpYb3t/X4GkSISAYbT1bD0QZY5WejDFPj&#10;e3q1h00sBYdQSFFDFWObShmKyjoME99a4tun7xxGll0pTYc9h7tGTpWaS4c18YcKW3tf2eJrs3ca&#10;bp/i4rhdP7aEL9/bB9MPz3cfg9YX54m6ARHtEP/McMJndMiZaef3ZIJoWM+uGD3ycJnMpyBOFrVc&#10;LkDsfnczkHkm/9fIfwBQSwMEFAAAAAgAh07iQE2FQQTnAQAA2QMAAA4AAABkcnMvZTJvRG9jLnht&#10;bK1TS5LTMBDdU8UdVNoTJ4FkwBVnFoRhQ8FUDRygI0u2qvQrtRInZ+EarNhwnLkGLdlkYFgwC7yQ&#10;W+qnp36vpc31yRp2lBG1dw1fzOacSSd8q13X8C+fb1685gwTuBaMd7LhZ4n8evv82WYItVz63ptW&#10;RkYkDushNLxPKdRVhaKXFnDmg3SUVD5aSDSNXdVGGIjdmmo5n6+rwcc2RC8kIq3uxiSfGONTCL1S&#10;WsidFwcrXRpZozSQSBL2OiDflmqVkiJ9UgplYqbhpDSVkQ6heJ/HaruBuosQei2mEuApJTzSZEE7&#10;OvRCtYME7BD1X1RWi+jRqzQT3lajkOIIqVjMH3lz10OQRQtZjeFiOv4/WvHxeBuZbhv+ijMHlhp+&#10;//Xb/fcf7Cp7MwSsCXIXbuM0Qwqz0JOKNv9JAjsVP88XP+UpMUGL68VyfrVecSYot365yozVw9YQ&#10;Mb2X3rIcNNxol8VCDccPmEboL0heNo4NDX+zWmZCoJunqOMU2kDVo+vKXvRGtzfamLwDY7d/ayI7&#10;Qu5++aYS/oDlQ3aA/YgrqQyDupfQvnMtS+dAvjh6DjyXgJYzI+nxUFBwCbT5N46UG0cGZE9HF3O0&#10;9+2ZOnAIUXc9ubAoFeYMdbzYNd3OfKV+nxemhxe5/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Pq8N3AAAAA4BAAAPAAAAAAAAAAEAIAAAACIAAABkcnMvZG93bnJldi54bWxQSwECFAAUAAAACACH&#10;TuJATYVBBOcBAADZAwAADgAAAAAAAAABACAAAAArAQAAZHJzL2Uyb0RvYy54bWxQSwUGAAAAAAYA&#10;BgBZAQAAhAU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7981" w:y="13528" w:anchorLock="1"/>
        <w:snapToGrid w:val="0"/>
        <w:spacing w:line="360" w:lineRule="auto"/>
        <w:jc w:val="center"/>
        <w:rPr>
          <w:b/>
          <w:sz w:val="10"/>
          <w:lang w:val="de-DE"/>
        </w:rPr>
      </w:pPr>
      <w:r>
        <w:rPr>
          <w:rFonts w:ascii="黑体" w:eastAsia="黑体"/>
          <w:sz w:val="28"/>
        </w:rPr>
        <w:fldChar w:fldCharType="begin">
          <w:ffData>
            <w:name w:val="SS"/>
            <w:enabled/>
            <w:calcOnExit w:val="0"/>
            <w:textInput>
              <w:default w:val="20xx-xx-xx 实施"/>
            </w:textInput>
          </w:ffData>
        </w:fldChar>
      </w:r>
      <w:bookmarkStart w:id="2"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2"/>
    </w:p>
    <w:p>
      <w:pPr>
        <w:snapToGrid w:val="0"/>
        <w:spacing w:line="360" w:lineRule="auto"/>
        <w:rPr>
          <w:lang w:val="de-DE"/>
        </w:rPr>
      </w:pPr>
      <w:r>
        <mc:AlternateContent>
          <mc:Choice Requires="wps">
            <w:drawing>
              <wp:anchor distT="0" distB="0" distL="114300" distR="114300" simplePos="0" relativeHeight="251662336" behindDoc="0" locked="1" layoutInCell="1" allowOverlap="1">
                <wp:simplePos x="0" y="0"/>
                <wp:positionH relativeFrom="margin">
                  <wp:posOffset>33655</wp:posOffset>
                </wp:positionH>
                <wp:positionV relativeFrom="margin">
                  <wp:posOffset>8570595</wp:posOffset>
                </wp:positionV>
                <wp:extent cx="5685790" cy="660400"/>
                <wp:effectExtent l="0" t="0" r="13970" b="10160"/>
                <wp:wrapNone/>
                <wp:docPr id="5" name="fmFrame7"/>
                <wp:cNvGraphicFramePr/>
                <a:graphic xmlns:a="http://schemas.openxmlformats.org/drawingml/2006/main">
                  <a:graphicData uri="http://schemas.microsoft.com/office/word/2010/wordprocessingShape">
                    <wps:wsp>
                      <wps:cNvSpPr txBox="1"/>
                      <wps:spPr>
                        <a:xfrm>
                          <a:off x="0" y="0"/>
                          <a:ext cx="5685790" cy="660400"/>
                        </a:xfrm>
                        <a:prstGeom prst="rect">
                          <a:avLst/>
                        </a:prstGeom>
                        <a:solidFill>
                          <a:srgbClr val="FFFFFF"/>
                        </a:solidFill>
                        <a:ln>
                          <a:noFill/>
                        </a:ln>
                      </wps:spPr>
                      <wps:txbx>
                        <w:txbxContent>
                          <w:p>
                            <w:pPr>
                              <w:jc w:val="center"/>
                              <w:rPr>
                                <w:rFonts w:ascii="黑体" w:eastAsia="黑体"/>
                                <w:b/>
                                <w:bCs/>
                                <w:spacing w:val="22"/>
                                <w:position w:val="3"/>
                                <w:sz w:val="32"/>
                                <w:szCs w:val="36"/>
                              </w:rPr>
                            </w:pPr>
                          </w:p>
                          <w:p>
                            <w:pPr>
                              <w:jc w:val="center"/>
                              <w:rPr>
                                <w:rFonts w:ascii="黑体" w:eastAsia="黑体"/>
                                <w:b/>
                                <w:bCs/>
                                <w:spacing w:val="22"/>
                                <w:position w:val="3"/>
                                <w:sz w:val="32"/>
                                <w:szCs w:val="36"/>
                              </w:rPr>
                            </w:pPr>
                            <w:r>
                              <w:rPr>
                                <w:rFonts w:hint="eastAsia" w:ascii="黑体" w:eastAsia="黑体"/>
                                <w:b/>
                                <w:bCs/>
                                <w:spacing w:val="22"/>
                                <w:position w:val="3"/>
                                <w:sz w:val="32"/>
                                <w:szCs w:val="36"/>
                              </w:rPr>
                              <w:t>中华人民共和国工业和信息化部    发布</w:t>
                            </w:r>
                          </w:p>
                        </w:txbxContent>
                      </wps:txbx>
                      <wps:bodyPr lIns="0" tIns="0" rIns="0" bIns="0" upright="1"/>
                    </wps:wsp>
                  </a:graphicData>
                </a:graphic>
              </wp:anchor>
            </w:drawing>
          </mc:Choice>
          <mc:Fallback>
            <w:pict>
              <v:shape id="fmFrame7" o:spid="_x0000_s1026" o:spt="202" type="#_x0000_t202" style="position:absolute;left:0pt;margin-left:2.65pt;margin-top:674.85pt;height:52pt;width:447.7pt;mso-position-horizontal-relative:margin;mso-position-vertical-relative:margin;z-index:251662336;mso-width-relative:page;mso-height-relative:page;" fillcolor="#FFFFFF" filled="t" stroked="f" coordsize="21600,21600" o:gfxdata="UEsDBAoAAAAAAIdO4kAAAAAAAAAAAAAAAAAEAAAAZHJzL1BLAwQUAAAACACHTuJAtIhwvNoAAAAL&#10;AQAADwAAAGRycy9kb3ducmV2LnhtbE2PzU7DMBCE70i8g7VIXBC12/SHpnEq0cINDi1Vz268TSLi&#10;dRQ7Tfv2LCe47c6MZr/N1lfXiAt2ofakYTxSIJAKb2sqNRy+3p9fQIRoyJrGE2q4YYB1fn+XmdT6&#10;gXZ42cdScAmF1GioYmxTKUNRoTNh5Fsk9s6+cyby2pXSdmbgctfIiVJz6UxNfKEyLW4qLL73vdMw&#10;33b9sKPN0/bw9mE+23JyfL0dtX58GKsViIjX+BeGX3xGh5yZTr4nG0SjYZZwkOVkulyA4MBSKR5O&#10;LE1nyQJknsn/P+Q/UEsDBBQAAAAIAIdO4kAzEu5fwAEAAJgDAAAOAAAAZHJzL2Uyb0RvYy54bWyt&#10;U01v2zAMvQ/YfxB0X+QWS9oZcQp0QYYBwzag2w+QZckWoC9QSuz8+1FynG7dpYf6YFMk9cj3SG8f&#10;JmvISULU3jX0ZlVRIp3wnXZ9Q3//Ony4pyQm7jpuvJMNPctIH3bv323HUMtbP3jTSSAI4mI9hoYO&#10;KYWasSgGaXlc+SAdBpUHyxMeoWcd8BHRrWG3VbVho4cugBcyRvTu5yC9IMJrAL1SWsi9F0crXZpR&#10;QRqekFIcdIh0V7pVSor0Q6koEzENRaapvLEI2m1+s92W1z3wMGhxaYG/poUXnCzXDoteofY8cXIE&#10;/R+U1QJ89CqthLdsJlIUQRY31QttngYeZOGCUsdwFT2+Haz4fvoJRHcNXVPiuMWBK3sANO6yNmOI&#10;NaY8BUxK06OfcGMWf0RnpjwpsPmLZAjGUdnzVVk5JSLQud7cr+8+YUhgbLOpPlZFevZ8O0BMX6S3&#10;JBsNBZxcEZSfvsWEnWDqkpKLRW90d9DGlAP07WcD5MRxyofy5Cbxyj9pxuVk5/O1OZw9LHOcuWQr&#10;Te10Id767oy8zVeHguflWQxYjHYxjgF0P2DfRZ0CiQMrLVyWK2/E3+dS+PmH2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IhwvNoAAAALAQAADwAAAAAAAAABACAAAAAiAAAAZHJzL2Rvd25yZXYu&#10;eG1sUEsBAhQAFAAAAAgAh07iQDMS7l/AAQAAmAMAAA4AAAAAAAAAAQAgAAAAKQEAAGRycy9lMm9E&#10;b2MueG1sUEsFBgAAAAAGAAYAWQEAAFsFAAAAAA==&#10;">
                <v:fill on="t" focussize="0,0"/>
                <v:stroke on="f"/>
                <v:imagedata o:title=""/>
                <o:lock v:ext="edit" aspectratio="f"/>
                <v:textbox inset="0mm,0mm,0mm,0mm">
                  <w:txbxContent>
                    <w:p>
                      <w:pPr>
                        <w:jc w:val="center"/>
                        <w:rPr>
                          <w:rFonts w:ascii="黑体" w:eastAsia="黑体"/>
                          <w:b/>
                          <w:bCs/>
                          <w:spacing w:val="22"/>
                          <w:position w:val="3"/>
                          <w:sz w:val="32"/>
                          <w:szCs w:val="36"/>
                        </w:rPr>
                      </w:pPr>
                    </w:p>
                    <w:p>
                      <w:pPr>
                        <w:jc w:val="center"/>
                        <w:rPr>
                          <w:rFonts w:ascii="黑体" w:eastAsia="黑体"/>
                          <w:b/>
                          <w:bCs/>
                          <w:spacing w:val="22"/>
                          <w:position w:val="3"/>
                          <w:sz w:val="32"/>
                          <w:szCs w:val="36"/>
                        </w:rPr>
                      </w:pPr>
                      <w:r>
                        <w:rPr>
                          <w:rFonts w:hint="eastAsia" w:ascii="黑体" w:eastAsia="黑体"/>
                          <w:b/>
                          <w:bCs/>
                          <w:spacing w:val="22"/>
                          <w:position w:val="3"/>
                          <w:sz w:val="32"/>
                          <w:szCs w:val="36"/>
                        </w:rPr>
                        <w:t>中华人民共和国工业和信息化部    发布</w:t>
                      </w:r>
                    </w:p>
                  </w:txbxContent>
                </v:textbox>
                <w10:anchorlock/>
              </v:shape>
            </w:pict>
          </mc:Fallback>
        </mc:AlternateContent>
      </w: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snapToGrid w:val="0"/>
        <w:spacing w:line="360" w:lineRule="auto"/>
        <w:rPr>
          <w:lang w:val="de-DE"/>
        </w:rPr>
      </w:pPr>
    </w:p>
    <w:p>
      <w:pPr>
        <w:tabs>
          <w:tab w:val="left" w:pos="2361"/>
        </w:tabs>
        <w:snapToGrid w:val="0"/>
        <w:spacing w:line="360" w:lineRule="auto"/>
        <w:rPr>
          <w:lang w:val="de-DE"/>
        </w:rPr>
        <w:sectPr>
          <w:footerReference r:id="rId6" w:type="default"/>
          <w:headerReference r:id="rId5" w:type="even"/>
          <w:footerReference r:id="rId7" w:type="even"/>
          <w:type w:val="continuous"/>
          <w:pgSz w:w="11907" w:h="16840"/>
          <w:pgMar w:top="680" w:right="1418" w:bottom="1361" w:left="1440" w:header="720" w:footer="720" w:gutter="0"/>
          <w:cols w:space="720" w:num="1"/>
        </w:sectPr>
      </w:pPr>
    </w:p>
    <w:p>
      <w:pPr>
        <w:framePr w:hSpace="181" w:wrap="around" w:vAnchor="page" w:hAnchor="page" w:x="5535" w:y="1861" w:anchorLock="1"/>
        <w:snapToGrid w:val="0"/>
        <w:spacing w:line="360" w:lineRule="auto"/>
        <w:jc w:val="center"/>
        <w:rPr>
          <w:rFonts w:ascii="黑体" w:eastAsia="黑体"/>
          <w:b/>
          <w:sz w:val="32"/>
        </w:rPr>
      </w:pPr>
      <w:bookmarkStart w:id="3" w:name="目次1"/>
      <w:bookmarkEnd w:id="3"/>
      <w:r>
        <w:rPr>
          <w:rFonts w:hint="eastAsia" w:ascii="黑体" w:eastAsia="黑体"/>
          <w:b/>
          <w:sz w:val="32"/>
        </w:rPr>
        <w:t>前   言</w:t>
      </w:r>
    </w:p>
    <w:p>
      <w:pPr>
        <w:snapToGrid w:val="0"/>
        <w:spacing w:line="360" w:lineRule="auto"/>
      </w:pPr>
      <w:bookmarkStart w:id="4" w:name="前言1"/>
      <w:bookmarkEnd w:id="4"/>
    </w:p>
    <w:p>
      <w:pPr>
        <w:snapToGrid w:val="0"/>
        <w:spacing w:line="360" w:lineRule="auto"/>
      </w:pPr>
    </w:p>
    <w:p>
      <w:pPr>
        <w:snapToGrid w:val="0"/>
        <w:spacing w:line="360" w:lineRule="auto"/>
      </w:pPr>
    </w:p>
    <w:p>
      <w:pPr>
        <w:snapToGrid w:val="0"/>
        <w:spacing w:line="360" w:lineRule="auto"/>
      </w:pPr>
    </w:p>
    <w:p>
      <w:pPr>
        <w:snapToGrid w:val="0"/>
        <w:spacing w:line="240" w:lineRule="auto"/>
        <w:ind w:firstLine="420" w:firstLineChars="200"/>
        <w:rPr>
          <w:sz w:val="21"/>
          <w:szCs w:val="21"/>
        </w:rPr>
      </w:pPr>
      <w:r>
        <w:rPr>
          <w:rFonts w:hint="eastAsia" w:ascii="宋体" w:hAnsi="宋体"/>
          <w:sz w:val="21"/>
          <w:szCs w:val="21"/>
        </w:rPr>
        <w:t>本文件按照GB/T1.1-2020《标准化工作导则 第1部分：标准化文件的结构和起草规则:标准化文件的结构和起草规则》的规定起草</w:t>
      </w:r>
      <w:r>
        <w:rPr>
          <w:rFonts w:hint="eastAsia"/>
          <w:szCs w:val="21"/>
        </w:rPr>
        <w:t>。</w:t>
      </w:r>
    </w:p>
    <w:p>
      <w:pPr>
        <w:snapToGrid w:val="0"/>
        <w:spacing w:line="240" w:lineRule="auto"/>
        <w:ind w:firstLine="420" w:firstLineChars="200"/>
        <w:rPr>
          <w:sz w:val="21"/>
          <w:szCs w:val="21"/>
        </w:rPr>
      </w:pPr>
      <w:bookmarkStart w:id="5" w:name="OLE_LINK7"/>
      <w:r>
        <w:rPr>
          <w:rFonts w:hint="eastAsia"/>
          <w:sz w:val="21"/>
          <w:szCs w:val="21"/>
        </w:rPr>
        <w:t>本标准由中国有色金属工业协会提出。</w:t>
      </w:r>
    </w:p>
    <w:bookmarkEnd w:id="5"/>
    <w:p>
      <w:pPr>
        <w:pStyle w:val="12"/>
        <w:snapToGrid w:val="0"/>
        <w:rPr>
          <w:rFonts w:ascii="宋体"/>
        </w:rPr>
      </w:pPr>
      <w:r>
        <w:rPr>
          <w:rFonts w:hint="eastAsia"/>
          <w:szCs w:val="21"/>
        </w:rPr>
        <w:t>本标准由全国有色金属标准化技术委员会</w:t>
      </w:r>
      <w:r>
        <w:rPr>
          <w:rFonts w:hint="eastAsia" w:ascii="宋体" w:hAnsi="宋体"/>
          <w:szCs w:val="21"/>
        </w:rPr>
        <w:t>（</w:t>
      </w:r>
      <w:r>
        <w:rPr>
          <w:rFonts w:ascii="宋体" w:hAnsi="宋体"/>
          <w:szCs w:val="21"/>
        </w:rPr>
        <w:t>SAC/TC243</w:t>
      </w:r>
      <w:r>
        <w:rPr>
          <w:rFonts w:hint="eastAsia" w:ascii="宋体" w:hAnsi="宋体"/>
          <w:szCs w:val="21"/>
        </w:rPr>
        <w:t>）</w:t>
      </w:r>
      <w:r>
        <w:rPr>
          <w:rFonts w:hint="eastAsia"/>
          <w:szCs w:val="21"/>
        </w:rPr>
        <w:t>归口。</w:t>
      </w:r>
    </w:p>
    <w:p>
      <w:pPr>
        <w:pStyle w:val="12"/>
        <w:snapToGrid w:val="0"/>
        <w:rPr>
          <w:rFonts w:ascii="Tahoma" w:hAnsi="Tahoma" w:cs="Tahoma"/>
          <w:szCs w:val="21"/>
        </w:rPr>
      </w:pPr>
      <w:r>
        <w:rPr>
          <w:rFonts w:hint="eastAsia" w:ascii="宋体" w:hAnsi="宋体"/>
        </w:rPr>
        <w:t>本标准负责起草单位：</w:t>
      </w:r>
      <w:r>
        <w:rPr>
          <w:rFonts w:hint="eastAsia" w:ascii="Tahoma" w:hAnsi="Tahoma" w:cs="Tahoma"/>
          <w:szCs w:val="21"/>
        </w:rPr>
        <w:t>中铝洛阳铜加工有限公司</w:t>
      </w:r>
    </w:p>
    <w:p>
      <w:pPr>
        <w:pStyle w:val="12"/>
        <w:snapToGrid w:val="0"/>
        <w:rPr>
          <w:rFonts w:ascii="Tahoma" w:hAnsi="Tahoma" w:cs="Tahoma"/>
          <w:szCs w:val="21"/>
        </w:rPr>
      </w:pPr>
      <w:r>
        <w:rPr>
          <w:rFonts w:hint="eastAsia" w:ascii="Tahoma" w:hAnsi="Tahoma" w:cs="Tahoma"/>
          <w:szCs w:val="21"/>
        </w:rPr>
        <w:t>本标准主要起草人：</w:t>
      </w: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jc w:val="both"/>
        <w:rPr>
          <w:rFonts w:ascii="宋体" w:hAnsi="宋体"/>
        </w:rPr>
      </w:pPr>
    </w:p>
    <w:p>
      <w:pPr>
        <w:snapToGrid w:val="0"/>
        <w:spacing w:line="360" w:lineRule="auto"/>
        <w:jc w:val="both"/>
        <w:rPr>
          <w:rFonts w:eastAsia="黑体"/>
          <w:sz w:val="32"/>
          <w:szCs w:val="32"/>
        </w:rPr>
      </w:pPr>
    </w:p>
    <w:p>
      <w:pPr>
        <w:snapToGrid w:val="0"/>
        <w:spacing w:line="360" w:lineRule="auto"/>
        <w:jc w:val="center"/>
        <w:rPr>
          <w:rFonts w:eastAsia="黑体"/>
          <w:b/>
          <w:sz w:val="32"/>
        </w:rPr>
      </w:pPr>
      <w:r>
        <w:rPr>
          <w:rFonts w:hint="eastAsia" w:eastAsia="黑体"/>
          <w:b/>
          <w:sz w:val="32"/>
          <w:szCs w:val="32"/>
        </w:rPr>
        <w:t>蚀刻</w:t>
      </w:r>
      <w:r>
        <w:rPr>
          <w:rFonts w:hint="eastAsia" w:eastAsia="黑体"/>
          <w:b/>
          <w:sz w:val="32"/>
        </w:rPr>
        <w:t>铜合金带箔材</w:t>
      </w:r>
    </w:p>
    <w:p>
      <w:pPr>
        <w:pStyle w:val="2"/>
        <w:keepLines w:val="0"/>
        <w:snapToGrid w:val="0"/>
        <w:spacing w:before="0" w:after="0" w:line="360" w:lineRule="auto"/>
        <w:rPr>
          <w:rFonts w:hAnsi="Calibri"/>
          <w:szCs w:val="22"/>
        </w:rPr>
      </w:pPr>
      <w:r>
        <w:rPr>
          <w:rFonts w:hint="eastAsia" w:hAnsi="Calibri"/>
          <w:szCs w:val="22"/>
        </w:rPr>
        <w:t>1  范围</w:t>
      </w:r>
    </w:p>
    <w:p>
      <w:pPr>
        <w:pStyle w:val="3"/>
        <w:snapToGrid w:val="0"/>
      </w:pPr>
      <w:r>
        <w:rPr>
          <w:rFonts w:hint="eastAsia"/>
        </w:rPr>
        <w:t>本文件规定了蚀刻铜及铜合金带材的</w:t>
      </w:r>
      <w:r>
        <w:rPr>
          <w:rFonts w:hint="eastAsia" w:hAnsi="Calibri"/>
          <w:color w:val="FF0000"/>
          <w:szCs w:val="22"/>
        </w:rPr>
        <w:t>分类和标记、技术要求</w:t>
      </w:r>
      <w:r>
        <w:rPr>
          <w:rFonts w:hint="eastAsia"/>
        </w:rPr>
        <w:t>、试验方法、检验规则、标志、包装、运输、贮存</w:t>
      </w:r>
      <w:r>
        <w:rPr>
          <w:rFonts w:hint="eastAsia"/>
          <w:color w:val="FF0000"/>
        </w:rPr>
        <w:t>及随行文件</w:t>
      </w:r>
      <w:r>
        <w:rPr>
          <w:rFonts w:hint="eastAsia"/>
        </w:rPr>
        <w:t>和订货单内容等。</w:t>
      </w:r>
    </w:p>
    <w:p>
      <w:pPr>
        <w:snapToGrid w:val="0"/>
        <w:spacing w:line="240" w:lineRule="auto"/>
        <w:ind w:firstLine="420"/>
        <w:rPr>
          <w:sz w:val="21"/>
          <w:szCs w:val="21"/>
        </w:rPr>
      </w:pPr>
      <w:r>
        <w:rPr>
          <w:rFonts w:hint="eastAsia"/>
          <w:sz w:val="21"/>
          <w:szCs w:val="21"/>
        </w:rPr>
        <w:t>本文件适用于</w:t>
      </w:r>
      <w:r>
        <w:rPr>
          <w:rFonts w:hint="eastAsia" w:ascii="宋体"/>
          <w:sz w:val="21"/>
          <w:szCs w:val="21"/>
        </w:rPr>
        <w:t>蚀刻用铜合金带箔材</w:t>
      </w:r>
      <w:r>
        <w:rPr>
          <w:rFonts w:hint="eastAsia"/>
          <w:sz w:val="21"/>
          <w:szCs w:val="21"/>
        </w:rPr>
        <w:t>（以下简称带</w:t>
      </w:r>
      <w:r>
        <w:rPr>
          <w:rFonts w:hint="eastAsia" w:ascii="宋体"/>
          <w:sz w:val="21"/>
          <w:szCs w:val="21"/>
        </w:rPr>
        <w:t>箔</w:t>
      </w:r>
      <w:r>
        <w:rPr>
          <w:rFonts w:hint="eastAsia"/>
          <w:sz w:val="21"/>
          <w:szCs w:val="21"/>
        </w:rPr>
        <w:t>材）。</w:t>
      </w:r>
    </w:p>
    <w:p>
      <w:pPr>
        <w:pStyle w:val="47"/>
        <w:numPr>
          <w:ilvl w:val="0"/>
          <w:numId w:val="0"/>
        </w:numPr>
        <w:adjustRightInd w:val="0"/>
        <w:snapToGrid w:val="0"/>
        <w:spacing w:beforeLines="0" w:afterLines="0" w:line="360" w:lineRule="auto"/>
        <w:rPr>
          <w:szCs w:val="22"/>
        </w:rPr>
      </w:pPr>
      <w:r>
        <w:rPr>
          <w:rFonts w:hint="eastAsia"/>
          <w:szCs w:val="22"/>
        </w:rPr>
        <w:t>2  规范性引用文件</w:t>
      </w:r>
    </w:p>
    <w:p>
      <w:pPr>
        <w:pStyle w:val="21"/>
        <w:ind w:left="0"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snapToGrid w:val="0"/>
        <w:rPr>
          <w:rFonts w:ascii="宋体"/>
          <w:szCs w:val="21"/>
        </w:rPr>
      </w:pPr>
      <w:r>
        <w:rPr>
          <w:rFonts w:ascii="宋体" w:hAnsi="宋体"/>
          <w:szCs w:val="21"/>
        </w:rPr>
        <w:t>GB/T 351</w:t>
      </w:r>
      <w:r>
        <w:rPr>
          <w:rFonts w:hint="eastAsia" w:ascii="宋体" w:hAnsi="宋体"/>
          <w:szCs w:val="21"/>
        </w:rPr>
        <w:t xml:space="preserve">  金属材料</w:t>
      </w:r>
      <w:r>
        <w:rPr>
          <w:rFonts w:ascii="宋体" w:hAnsi="宋体"/>
          <w:szCs w:val="21"/>
        </w:rPr>
        <w:t xml:space="preserve">  </w:t>
      </w:r>
      <w:r>
        <w:rPr>
          <w:rFonts w:hint="eastAsia" w:ascii="宋体" w:hAnsi="宋体"/>
          <w:szCs w:val="21"/>
        </w:rPr>
        <w:t>电阻系数测量方法</w:t>
      </w:r>
    </w:p>
    <w:p>
      <w:pPr>
        <w:pStyle w:val="12"/>
        <w:snapToGrid w:val="0"/>
        <w:rPr>
          <w:rFonts w:ascii="宋体"/>
          <w:szCs w:val="21"/>
        </w:rPr>
      </w:pPr>
      <w:r>
        <w:rPr>
          <w:rFonts w:ascii="宋体" w:hAnsi="宋体"/>
          <w:szCs w:val="21"/>
        </w:rPr>
        <w:t xml:space="preserve">GB/T 4340.1  </w:t>
      </w:r>
      <w:r>
        <w:rPr>
          <w:rFonts w:hint="eastAsia" w:ascii="宋体" w:hAnsi="宋体"/>
          <w:szCs w:val="21"/>
        </w:rPr>
        <w:t>金属材料</w:t>
      </w:r>
      <w:r>
        <w:rPr>
          <w:rFonts w:ascii="宋体" w:hAnsi="宋体"/>
          <w:szCs w:val="21"/>
        </w:rPr>
        <w:t xml:space="preserve"> </w:t>
      </w:r>
      <w:r>
        <w:rPr>
          <w:rFonts w:hint="eastAsia" w:ascii="宋体" w:hAnsi="宋体"/>
          <w:szCs w:val="21"/>
        </w:rPr>
        <w:t>维氏硬度试验</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部分：试验方法</w:t>
      </w:r>
    </w:p>
    <w:p>
      <w:pPr>
        <w:pStyle w:val="12"/>
        <w:snapToGrid w:val="0"/>
        <w:rPr>
          <w:rFonts w:ascii="宋体"/>
          <w:szCs w:val="21"/>
        </w:rPr>
      </w:pPr>
      <w:r>
        <w:rPr>
          <w:rFonts w:ascii="宋体" w:hAnsi="宋体"/>
          <w:szCs w:val="21"/>
        </w:rPr>
        <w:t xml:space="preserve">GB/T 5121 </w:t>
      </w:r>
      <w:r>
        <w:rPr>
          <w:rFonts w:hint="eastAsia" w:ascii="宋体" w:hAnsi="宋体"/>
          <w:szCs w:val="21"/>
        </w:rPr>
        <w:t>（所有部分）铜及铜合金化学分析方法</w:t>
      </w:r>
    </w:p>
    <w:p>
      <w:pPr>
        <w:pStyle w:val="12"/>
        <w:snapToGrid w:val="0"/>
        <w:rPr>
          <w:rFonts w:ascii="宋体"/>
          <w:szCs w:val="21"/>
        </w:rPr>
      </w:pPr>
      <w:r>
        <w:rPr>
          <w:rFonts w:ascii="宋体" w:hAnsi="宋体"/>
          <w:szCs w:val="21"/>
        </w:rPr>
        <w:t xml:space="preserve">GB/T 5231  </w:t>
      </w:r>
      <w:r>
        <w:rPr>
          <w:rFonts w:hint="eastAsia" w:ascii="宋体" w:hAnsi="宋体"/>
          <w:szCs w:val="21"/>
        </w:rPr>
        <w:t>加工铜及铜合金牌号和化学成分</w:t>
      </w:r>
    </w:p>
    <w:p>
      <w:pPr>
        <w:pStyle w:val="12"/>
        <w:snapToGrid w:val="0"/>
        <w:rPr>
          <w:rFonts w:ascii="宋体"/>
          <w:szCs w:val="21"/>
        </w:rPr>
      </w:pPr>
      <w:r>
        <w:rPr>
          <w:rFonts w:ascii="宋体" w:hAnsi="宋体"/>
          <w:szCs w:val="21"/>
        </w:rPr>
        <w:t xml:space="preserve">GB/T 7704  </w:t>
      </w:r>
      <w:r>
        <w:rPr>
          <w:rFonts w:hint="eastAsia" w:ascii="宋体" w:hAnsi="宋体"/>
          <w:szCs w:val="21"/>
        </w:rPr>
        <w:t>无损检测</w:t>
      </w:r>
      <w:r>
        <w:rPr>
          <w:rFonts w:ascii="宋体" w:hAnsi="宋体"/>
          <w:szCs w:val="21"/>
        </w:rPr>
        <w:t xml:space="preserve"> X</w:t>
      </w:r>
      <w:r>
        <w:rPr>
          <w:rFonts w:hint="eastAsia" w:ascii="宋体" w:hAnsi="宋体"/>
          <w:szCs w:val="21"/>
        </w:rPr>
        <w:t>射线应力测定方法</w:t>
      </w:r>
    </w:p>
    <w:p>
      <w:pPr>
        <w:snapToGrid w:val="0"/>
        <w:spacing w:line="240" w:lineRule="auto"/>
        <w:ind w:firstLine="420" w:firstLineChars="200"/>
        <w:rPr>
          <w:rFonts w:ascii="宋体"/>
          <w:sz w:val="21"/>
          <w:szCs w:val="21"/>
        </w:rPr>
      </w:pPr>
      <w:r>
        <w:rPr>
          <w:rFonts w:ascii="宋体" w:hAnsi="宋体"/>
          <w:sz w:val="21"/>
          <w:szCs w:val="21"/>
        </w:rPr>
        <w:t>GB/T 8170</w:t>
      </w:r>
      <w:r>
        <w:rPr>
          <w:rFonts w:hint="eastAsia" w:ascii="宋体" w:hAnsi="宋体"/>
          <w:sz w:val="21"/>
          <w:szCs w:val="21"/>
        </w:rPr>
        <w:t xml:space="preserve">  数值修约规则与极限数值的表示和判定</w:t>
      </w:r>
    </w:p>
    <w:p>
      <w:pPr>
        <w:pStyle w:val="12"/>
        <w:snapToGrid w:val="0"/>
        <w:rPr>
          <w:rFonts w:ascii="宋体"/>
          <w:szCs w:val="21"/>
        </w:rPr>
      </w:pPr>
      <w:r>
        <w:rPr>
          <w:rFonts w:ascii="宋体" w:hAnsi="宋体"/>
          <w:szCs w:val="21"/>
        </w:rPr>
        <w:t>GB/T 8888</w:t>
      </w:r>
      <w:r>
        <w:rPr>
          <w:rFonts w:hint="eastAsia" w:ascii="宋体" w:hAnsi="宋体"/>
          <w:szCs w:val="21"/>
        </w:rPr>
        <w:t xml:space="preserve">  重有色金属加工产品的包装、标志、运输、贮存和</w:t>
      </w:r>
      <w:r>
        <w:rPr>
          <w:rFonts w:hint="eastAsia" w:ascii="宋体" w:hAnsi="宋体"/>
        </w:rPr>
        <w:t>质量证明书</w:t>
      </w:r>
    </w:p>
    <w:p>
      <w:pPr>
        <w:pStyle w:val="3"/>
        <w:snapToGrid w:val="0"/>
      </w:pPr>
      <w:r>
        <w:t xml:space="preserve">GB/T 10610  </w:t>
      </w:r>
      <w:r>
        <w:rPr>
          <w:rFonts w:hint="eastAsia"/>
        </w:rPr>
        <w:t>产品几何技术规范（</w:t>
      </w:r>
      <w:r>
        <w:t>GPS</w:t>
      </w:r>
      <w:r>
        <w:rPr>
          <w:rFonts w:hint="eastAsia"/>
        </w:rPr>
        <w:t>）</w:t>
      </w:r>
      <w:r>
        <w:t xml:space="preserve"> </w:t>
      </w:r>
      <w:r>
        <w:rPr>
          <w:rFonts w:hint="eastAsia"/>
        </w:rPr>
        <w:t>表面结构</w:t>
      </w:r>
      <w:r>
        <w:t xml:space="preserve"> </w:t>
      </w:r>
      <w:r>
        <w:rPr>
          <w:rFonts w:hint="eastAsia"/>
        </w:rPr>
        <w:t>轮廓法</w:t>
      </w:r>
      <w:r>
        <w:t xml:space="preserve"> </w:t>
      </w:r>
      <w:r>
        <w:rPr>
          <w:rFonts w:hint="eastAsia"/>
        </w:rPr>
        <w:t>评定表面结构的规则和方法</w:t>
      </w:r>
    </w:p>
    <w:p>
      <w:pPr>
        <w:pStyle w:val="12"/>
        <w:snapToGrid w:val="0"/>
        <w:rPr>
          <w:rFonts w:ascii="宋体"/>
          <w:bCs/>
          <w:kern w:val="36"/>
          <w:szCs w:val="21"/>
        </w:rPr>
      </w:pPr>
      <w:r>
        <w:rPr>
          <w:rFonts w:ascii="宋体" w:hAnsi="宋体" w:cs="宋体"/>
          <w:szCs w:val="21"/>
        </w:rPr>
        <w:t xml:space="preserve">GB/T 26303.3 </w:t>
      </w:r>
      <w:r>
        <w:rPr>
          <w:rFonts w:hint="eastAsia" w:ascii="宋体" w:hAnsi="宋体" w:cs="宋体"/>
          <w:szCs w:val="21"/>
        </w:rPr>
        <w:t>铜及铜合金加工材外形尺寸检验方法</w:t>
      </w:r>
      <w:r>
        <w:rPr>
          <w:rFonts w:ascii="宋体" w:hAnsi="宋体" w:cs="宋体"/>
          <w:szCs w:val="21"/>
        </w:rPr>
        <w:t xml:space="preserve"> </w:t>
      </w:r>
      <w:r>
        <w:rPr>
          <w:rFonts w:hint="eastAsia" w:ascii="宋体" w:hAnsi="宋体"/>
          <w:bCs/>
          <w:kern w:val="36"/>
          <w:szCs w:val="21"/>
        </w:rPr>
        <w:t>第</w:t>
      </w:r>
      <w:r>
        <w:rPr>
          <w:rFonts w:ascii="宋体" w:hAnsi="宋体"/>
          <w:bCs/>
          <w:kern w:val="36"/>
          <w:szCs w:val="21"/>
        </w:rPr>
        <w:t>3</w:t>
      </w:r>
      <w:r>
        <w:rPr>
          <w:rFonts w:hint="eastAsia" w:ascii="宋体" w:hAnsi="宋体"/>
          <w:bCs/>
          <w:kern w:val="36"/>
          <w:szCs w:val="21"/>
        </w:rPr>
        <w:t>部分：</w:t>
      </w:r>
      <w:r>
        <w:rPr>
          <w:rFonts w:ascii="宋体" w:hAnsi="宋体"/>
          <w:bCs/>
          <w:kern w:val="36"/>
          <w:szCs w:val="21"/>
        </w:rPr>
        <w:t xml:space="preserve"> </w:t>
      </w:r>
      <w:r>
        <w:rPr>
          <w:rFonts w:hint="eastAsia" w:ascii="宋体" w:hAnsi="宋体"/>
          <w:bCs/>
          <w:kern w:val="36"/>
          <w:szCs w:val="21"/>
        </w:rPr>
        <w:t>板带材</w:t>
      </w:r>
    </w:p>
    <w:p>
      <w:pPr>
        <w:pStyle w:val="12"/>
        <w:snapToGrid w:val="0"/>
        <w:rPr>
          <w:rFonts w:ascii="宋体"/>
          <w:bCs/>
          <w:kern w:val="36"/>
          <w:szCs w:val="21"/>
        </w:rPr>
      </w:pPr>
      <w:r>
        <w:rPr>
          <w:rFonts w:ascii="宋体" w:hAnsi="宋体"/>
        </w:rPr>
        <w:t xml:space="preserve">GB/T 32791  </w:t>
      </w:r>
      <w:r>
        <w:rPr>
          <w:rFonts w:hint="eastAsia" w:ascii="宋体" w:hAnsi="宋体"/>
        </w:rPr>
        <w:t>铜及铜合金导电率涡流测试方法</w:t>
      </w:r>
    </w:p>
    <w:p>
      <w:pPr>
        <w:pStyle w:val="12"/>
        <w:snapToGrid w:val="0"/>
        <w:rPr>
          <w:rFonts w:ascii="宋体"/>
          <w:color w:val="FF0000"/>
          <w:szCs w:val="21"/>
        </w:rPr>
      </w:pPr>
      <w:r>
        <w:rPr>
          <w:rFonts w:ascii="宋体" w:hAnsi="宋体" w:cs="宋体"/>
          <w:color w:val="FF0000"/>
        </w:rPr>
        <w:t>GB/T 34505</w:t>
      </w:r>
      <w:r>
        <w:rPr>
          <w:rFonts w:hint="eastAsia" w:ascii="宋体" w:hAnsi="宋体" w:cs="宋体"/>
          <w:color w:val="FF0000"/>
        </w:rPr>
        <w:t xml:space="preserve">  铜及铜合金材料</w:t>
      </w:r>
      <w:r>
        <w:rPr>
          <w:rFonts w:ascii="宋体" w:hAnsi="宋体" w:cs="宋体"/>
          <w:color w:val="FF0000"/>
        </w:rPr>
        <w:t xml:space="preserve">  </w:t>
      </w:r>
      <w:r>
        <w:rPr>
          <w:rFonts w:hint="eastAsia" w:ascii="宋体" w:hAnsi="宋体" w:cs="宋体"/>
          <w:color w:val="FF0000"/>
        </w:rPr>
        <w:t>室温拉伸试验方法</w:t>
      </w:r>
    </w:p>
    <w:p>
      <w:pPr>
        <w:pStyle w:val="12"/>
        <w:snapToGrid w:val="0"/>
        <w:rPr>
          <w:rFonts w:ascii="宋体" w:hAnsi="宋体"/>
          <w:bCs/>
          <w:kern w:val="36"/>
          <w:szCs w:val="21"/>
        </w:rPr>
      </w:pPr>
      <w:r>
        <w:rPr>
          <w:rFonts w:hint="eastAsia" w:ascii="宋体" w:hAnsi="宋体"/>
          <w:bCs/>
          <w:kern w:val="36"/>
          <w:szCs w:val="21"/>
        </w:rPr>
        <w:t>YS</w:t>
      </w:r>
      <w:r>
        <w:rPr>
          <w:rFonts w:ascii="宋体" w:hAnsi="宋体"/>
          <w:bCs/>
          <w:kern w:val="36"/>
          <w:szCs w:val="21"/>
        </w:rPr>
        <w:t xml:space="preserve">/T </w:t>
      </w:r>
      <w:r>
        <w:rPr>
          <w:rFonts w:hint="eastAsia" w:ascii="宋体" w:hAnsi="宋体"/>
          <w:bCs/>
          <w:kern w:val="36"/>
          <w:szCs w:val="21"/>
        </w:rPr>
        <w:t>xxxx  铜及铜合金板带箔材残余应力检验方法</w:t>
      </w:r>
      <w:r>
        <w:rPr>
          <w:rFonts w:ascii="宋体" w:hAnsi="宋体"/>
          <w:bCs/>
          <w:kern w:val="36"/>
          <w:szCs w:val="21"/>
        </w:rPr>
        <w:t xml:space="preserve"> </w:t>
      </w:r>
      <w:r>
        <w:rPr>
          <w:rFonts w:hint="eastAsia" w:ascii="宋体" w:hAnsi="宋体"/>
          <w:bCs/>
          <w:kern w:val="36"/>
          <w:szCs w:val="21"/>
        </w:rPr>
        <w:t>蚀刻分条法</w:t>
      </w:r>
    </w:p>
    <w:p>
      <w:pPr>
        <w:pStyle w:val="3"/>
      </w:pPr>
      <w:r>
        <w:rPr>
          <w:rFonts w:hint="eastAsia" w:cs="宋体"/>
        </w:rPr>
        <w:t>YS/T 482  铜及铜合金分析方法 光电发射光谱法</w:t>
      </w:r>
    </w:p>
    <w:p>
      <w:pPr>
        <w:pStyle w:val="3"/>
        <w:snapToGrid w:val="0"/>
      </w:pPr>
      <w:r>
        <w:t>YS/T 668</w:t>
      </w:r>
      <w:r>
        <w:rPr>
          <w:rFonts w:hint="eastAsia"/>
        </w:rPr>
        <w:t xml:space="preserve">  铜及铜合金理化检测取样方法</w:t>
      </w:r>
    </w:p>
    <w:p>
      <w:pPr>
        <w:pStyle w:val="47"/>
        <w:numPr>
          <w:ilvl w:val="0"/>
          <w:numId w:val="0"/>
        </w:numPr>
        <w:adjustRightInd w:val="0"/>
        <w:snapToGrid w:val="0"/>
        <w:spacing w:before="120" w:afterLines="0" w:line="360" w:lineRule="auto"/>
        <w:rPr>
          <w:szCs w:val="22"/>
        </w:rPr>
      </w:pPr>
      <w:r>
        <w:rPr>
          <w:rFonts w:hint="eastAsia"/>
          <w:szCs w:val="22"/>
        </w:rPr>
        <w:t>3  术语和定义</w:t>
      </w:r>
    </w:p>
    <w:p>
      <w:pPr>
        <w:widowControl/>
        <w:snapToGrid w:val="0"/>
        <w:spacing w:line="240" w:lineRule="auto"/>
        <w:ind w:firstLine="420" w:firstLineChars="200"/>
        <w:rPr>
          <w:rFonts w:ascii="宋体" w:hAnsi="Calibri"/>
          <w:sz w:val="21"/>
          <w:szCs w:val="22"/>
        </w:rPr>
      </w:pPr>
      <w:r>
        <w:rPr>
          <w:rFonts w:hint="eastAsia" w:ascii="宋体" w:hAnsi="Calibri"/>
          <w:sz w:val="21"/>
          <w:szCs w:val="22"/>
        </w:rPr>
        <w:t>本文件中没有需要界定的术语和定义。</w:t>
      </w:r>
    </w:p>
    <w:p>
      <w:pPr>
        <w:pStyle w:val="47"/>
        <w:numPr>
          <w:ilvl w:val="0"/>
          <w:numId w:val="0"/>
        </w:numPr>
        <w:adjustRightInd w:val="0"/>
        <w:snapToGrid w:val="0"/>
        <w:spacing w:before="120" w:afterLines="0" w:line="360" w:lineRule="auto"/>
        <w:rPr>
          <w:szCs w:val="22"/>
        </w:rPr>
      </w:pPr>
      <w:r>
        <w:rPr>
          <w:rFonts w:hint="eastAsia"/>
          <w:szCs w:val="22"/>
        </w:rPr>
        <w:t>4  分类和标记</w:t>
      </w:r>
    </w:p>
    <w:p>
      <w:pPr>
        <w:pStyle w:val="47"/>
        <w:numPr>
          <w:ilvl w:val="0"/>
          <w:numId w:val="0"/>
        </w:numPr>
        <w:adjustRightInd w:val="0"/>
        <w:snapToGrid w:val="0"/>
        <w:spacing w:beforeLines="0" w:afterLines="0" w:line="360" w:lineRule="auto"/>
        <w:rPr>
          <w:szCs w:val="22"/>
        </w:rPr>
      </w:pPr>
      <w:r>
        <w:rPr>
          <w:rFonts w:hint="eastAsia"/>
          <w:szCs w:val="22"/>
        </w:rPr>
        <w:t>4.1  产品分类</w:t>
      </w:r>
    </w:p>
    <w:p>
      <w:pPr>
        <w:snapToGrid w:val="0"/>
        <w:spacing w:line="360" w:lineRule="auto"/>
        <w:ind w:firstLine="420" w:firstLineChars="200"/>
        <w:rPr>
          <w:rFonts w:ascii="宋体"/>
          <w:sz w:val="21"/>
          <w:szCs w:val="21"/>
        </w:rPr>
      </w:pPr>
      <w:r>
        <w:rPr>
          <w:rFonts w:hint="eastAsia" w:ascii="宋体" w:hAnsi="宋体"/>
          <w:sz w:val="21"/>
          <w:szCs w:val="21"/>
        </w:rPr>
        <w:t>带</w:t>
      </w:r>
      <w:r>
        <w:rPr>
          <w:rFonts w:hint="eastAsia" w:ascii="宋体"/>
          <w:sz w:val="21"/>
          <w:szCs w:val="21"/>
        </w:rPr>
        <w:t>箔</w:t>
      </w:r>
      <w:r>
        <w:rPr>
          <w:rFonts w:hint="eastAsia" w:ascii="宋体" w:hAnsi="宋体"/>
          <w:sz w:val="21"/>
          <w:szCs w:val="21"/>
        </w:rPr>
        <w:t>材的牌号、代号、状态和规格应符合表</w:t>
      </w:r>
      <w:r>
        <w:rPr>
          <w:rFonts w:ascii="宋体" w:hAnsi="宋体"/>
          <w:sz w:val="21"/>
          <w:szCs w:val="21"/>
        </w:rPr>
        <w:t>1</w:t>
      </w:r>
      <w:r>
        <w:rPr>
          <w:rFonts w:hint="eastAsia" w:ascii="宋体" w:hAnsi="宋体"/>
          <w:sz w:val="21"/>
          <w:szCs w:val="21"/>
        </w:rPr>
        <w:t>的规定。</w:t>
      </w:r>
    </w:p>
    <w:p>
      <w:pPr>
        <w:pStyle w:val="6"/>
        <w:snapToGrid w:val="0"/>
        <w:spacing w:line="360" w:lineRule="auto"/>
        <w:rPr>
          <w:rFonts w:ascii="黑体" w:eastAsia="黑体"/>
          <w:sz w:val="21"/>
          <w:szCs w:val="21"/>
        </w:rPr>
      </w:pPr>
      <w:r>
        <w:rPr>
          <w:rFonts w:hint="eastAsia" w:ascii="黑体" w:eastAsia="黑体"/>
          <w:sz w:val="21"/>
          <w:szCs w:val="21"/>
        </w:rPr>
        <w:t>表1  牌号、状态和规格</w:t>
      </w: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90"/>
        <w:gridCol w:w="3269"/>
        <w:gridCol w:w="142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19" w:type="dxa"/>
            <w:vMerge w:val="restart"/>
            <w:vAlign w:val="center"/>
          </w:tcPr>
          <w:p>
            <w:pPr>
              <w:snapToGrid w:val="0"/>
              <w:spacing w:line="240" w:lineRule="auto"/>
              <w:jc w:val="center"/>
              <w:rPr>
                <w:rFonts w:ascii="宋体" w:cs="宋体"/>
                <w:sz w:val="18"/>
                <w:szCs w:val="18"/>
              </w:rPr>
            </w:pPr>
            <w:r>
              <w:rPr>
                <w:rFonts w:hint="eastAsia" w:ascii="宋体" w:hAnsi="宋体" w:cs="宋体"/>
                <w:sz w:val="18"/>
                <w:szCs w:val="18"/>
              </w:rPr>
              <w:t>牌号</w:t>
            </w:r>
          </w:p>
        </w:tc>
        <w:tc>
          <w:tcPr>
            <w:tcW w:w="1190" w:type="dxa"/>
            <w:vMerge w:val="restart"/>
            <w:vAlign w:val="center"/>
          </w:tcPr>
          <w:p>
            <w:pPr>
              <w:snapToGrid w:val="0"/>
              <w:spacing w:line="240" w:lineRule="auto"/>
              <w:jc w:val="center"/>
              <w:rPr>
                <w:rFonts w:ascii="宋体" w:cs="宋体"/>
                <w:sz w:val="18"/>
                <w:szCs w:val="18"/>
              </w:rPr>
            </w:pPr>
            <w:r>
              <w:rPr>
                <w:rFonts w:hint="eastAsia" w:ascii="宋体" w:hAnsi="宋体" w:cs="宋体"/>
                <w:sz w:val="18"/>
                <w:szCs w:val="18"/>
              </w:rPr>
              <w:t>代号</w:t>
            </w:r>
          </w:p>
        </w:tc>
        <w:tc>
          <w:tcPr>
            <w:tcW w:w="3269" w:type="dxa"/>
            <w:vMerge w:val="restart"/>
            <w:vAlign w:val="center"/>
          </w:tcPr>
          <w:p>
            <w:pPr>
              <w:snapToGrid w:val="0"/>
              <w:spacing w:line="240" w:lineRule="auto"/>
              <w:jc w:val="center"/>
              <w:rPr>
                <w:rFonts w:ascii="宋体" w:cs="宋体"/>
                <w:sz w:val="18"/>
                <w:szCs w:val="18"/>
              </w:rPr>
            </w:pPr>
            <w:r>
              <w:rPr>
                <w:rFonts w:hint="eastAsia" w:ascii="宋体" w:hAnsi="宋体" w:cs="宋体"/>
                <w:sz w:val="18"/>
                <w:szCs w:val="18"/>
              </w:rPr>
              <w:t>状态</w:t>
            </w:r>
          </w:p>
        </w:tc>
        <w:tc>
          <w:tcPr>
            <w:tcW w:w="3053" w:type="dxa"/>
            <w:gridSpan w:val="2"/>
            <w:vAlign w:val="center"/>
          </w:tcPr>
          <w:p>
            <w:pPr>
              <w:snapToGrid w:val="0"/>
              <w:spacing w:line="240" w:lineRule="auto"/>
              <w:ind w:firstLine="11"/>
              <w:jc w:val="center"/>
              <w:rPr>
                <w:rFonts w:hint="eastAsia" w:ascii="宋体" w:hAnsi="宋体" w:cs="宋体"/>
                <w:sz w:val="18"/>
                <w:szCs w:val="18"/>
              </w:rPr>
            </w:pPr>
            <w:r>
              <w:rPr>
                <w:rFonts w:hint="eastAsia" w:ascii="宋体" w:hAnsi="宋体" w:cs="宋体"/>
                <w:sz w:val="18"/>
                <w:szCs w:val="18"/>
              </w:rPr>
              <w:t>规</w:t>
            </w:r>
            <w:r>
              <w:rPr>
                <w:rFonts w:ascii="宋体" w:hAnsi="宋体" w:cs="宋体"/>
                <w:sz w:val="18"/>
                <w:szCs w:val="18"/>
              </w:rPr>
              <w:t xml:space="preserve">  </w:t>
            </w:r>
            <w:r>
              <w:rPr>
                <w:rFonts w:hint="eastAsia" w:ascii="宋体" w:hAnsi="宋体" w:cs="宋体"/>
                <w:sz w:val="18"/>
                <w:szCs w:val="18"/>
              </w:rPr>
              <w:t>格</w:t>
            </w:r>
          </w:p>
          <w:p>
            <w:pPr>
              <w:snapToGrid w:val="0"/>
              <w:spacing w:line="240" w:lineRule="auto"/>
              <w:ind w:firstLine="11"/>
              <w:jc w:val="center"/>
              <w:rPr>
                <w:rFonts w:ascii="宋体" w:hAnsi="宋体" w:cs="宋体"/>
                <w:sz w:val="18"/>
                <w:szCs w:val="18"/>
              </w:rPr>
            </w:pPr>
            <w:r>
              <w:rPr>
                <w:rFonts w:ascii="宋体" w:hAnsi="宋体" w:cs="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519" w:type="dxa"/>
            <w:vMerge w:val="continue"/>
            <w:vAlign w:val="center"/>
          </w:tcPr>
          <w:p>
            <w:pPr>
              <w:snapToGrid w:val="0"/>
              <w:spacing w:line="240" w:lineRule="auto"/>
              <w:jc w:val="center"/>
              <w:rPr>
                <w:rFonts w:ascii="宋体" w:cs="宋体"/>
                <w:sz w:val="18"/>
                <w:szCs w:val="18"/>
              </w:rPr>
            </w:pPr>
          </w:p>
        </w:tc>
        <w:tc>
          <w:tcPr>
            <w:tcW w:w="1190" w:type="dxa"/>
            <w:vMerge w:val="continue"/>
            <w:vAlign w:val="center"/>
          </w:tcPr>
          <w:p>
            <w:pPr>
              <w:snapToGrid w:val="0"/>
              <w:spacing w:line="240" w:lineRule="auto"/>
              <w:jc w:val="center"/>
              <w:rPr>
                <w:rFonts w:ascii="宋体" w:cs="宋体"/>
                <w:sz w:val="18"/>
                <w:szCs w:val="18"/>
              </w:rPr>
            </w:pPr>
          </w:p>
        </w:tc>
        <w:tc>
          <w:tcPr>
            <w:tcW w:w="3269" w:type="dxa"/>
            <w:vMerge w:val="continue"/>
            <w:vAlign w:val="center"/>
          </w:tcPr>
          <w:p>
            <w:pPr>
              <w:snapToGrid w:val="0"/>
              <w:spacing w:line="240" w:lineRule="auto"/>
              <w:jc w:val="center"/>
              <w:rPr>
                <w:rFonts w:ascii="宋体" w:cs="宋体"/>
                <w:sz w:val="18"/>
                <w:szCs w:val="18"/>
              </w:rPr>
            </w:pPr>
          </w:p>
        </w:tc>
        <w:tc>
          <w:tcPr>
            <w:tcW w:w="1421" w:type="dxa"/>
            <w:vAlign w:val="center"/>
          </w:tcPr>
          <w:p>
            <w:pPr>
              <w:snapToGrid w:val="0"/>
              <w:spacing w:line="240" w:lineRule="auto"/>
              <w:ind w:left="-48"/>
              <w:jc w:val="center"/>
              <w:rPr>
                <w:rFonts w:ascii="宋体" w:cs="宋体"/>
                <w:sz w:val="18"/>
                <w:szCs w:val="18"/>
              </w:rPr>
            </w:pPr>
            <w:r>
              <w:rPr>
                <w:rFonts w:hint="eastAsia" w:ascii="宋体" w:hAnsi="宋体" w:cs="宋体"/>
                <w:sz w:val="18"/>
                <w:szCs w:val="18"/>
              </w:rPr>
              <w:t>厚度</w:t>
            </w:r>
          </w:p>
        </w:tc>
        <w:tc>
          <w:tcPr>
            <w:tcW w:w="1632" w:type="dxa"/>
            <w:vAlign w:val="center"/>
          </w:tcPr>
          <w:p>
            <w:pPr>
              <w:snapToGrid w:val="0"/>
              <w:spacing w:line="240" w:lineRule="auto"/>
              <w:ind w:firstLine="11"/>
              <w:jc w:val="center"/>
              <w:rPr>
                <w:rFonts w:ascii="宋体" w:cs="宋体"/>
                <w:sz w:val="18"/>
                <w:szCs w:val="18"/>
              </w:rPr>
            </w:pPr>
            <w:r>
              <w:rPr>
                <w:rFonts w:hint="eastAsia" w:ascii="宋体" w:hAnsi="宋体" w:cs="宋体"/>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19" w:type="dxa"/>
            <w:vAlign w:val="center"/>
          </w:tcPr>
          <w:p>
            <w:pPr>
              <w:snapToGrid w:val="0"/>
              <w:spacing w:line="240" w:lineRule="auto"/>
              <w:jc w:val="center"/>
              <w:rPr>
                <w:rFonts w:ascii="宋体" w:hAnsi="宋体" w:cs="宋体"/>
                <w:sz w:val="18"/>
                <w:szCs w:val="18"/>
              </w:rPr>
            </w:pPr>
            <w:r>
              <w:rPr>
                <w:rFonts w:ascii="宋体" w:hAnsi="宋体" w:cs="宋体"/>
                <w:sz w:val="18"/>
                <w:szCs w:val="18"/>
              </w:rPr>
              <w:t>TFe2.5</w:t>
            </w:r>
          </w:p>
        </w:tc>
        <w:tc>
          <w:tcPr>
            <w:tcW w:w="1190" w:type="dxa"/>
            <w:vAlign w:val="center"/>
          </w:tcPr>
          <w:p>
            <w:pPr>
              <w:snapToGrid w:val="0"/>
              <w:spacing w:line="240" w:lineRule="auto"/>
              <w:jc w:val="center"/>
              <w:rPr>
                <w:rFonts w:ascii="宋体" w:hAnsi="宋体" w:cs="宋体"/>
                <w:sz w:val="18"/>
                <w:szCs w:val="18"/>
              </w:rPr>
            </w:pPr>
            <w:r>
              <w:rPr>
                <w:rFonts w:ascii="宋体" w:hAnsi="宋体" w:cs="宋体"/>
                <w:sz w:val="18"/>
                <w:szCs w:val="18"/>
              </w:rPr>
              <w:t>C19400</w:t>
            </w:r>
          </w:p>
        </w:tc>
        <w:tc>
          <w:tcPr>
            <w:tcW w:w="3269" w:type="dxa"/>
            <w:vAlign w:val="center"/>
          </w:tcPr>
          <w:p>
            <w:pPr>
              <w:pStyle w:val="12"/>
              <w:snapToGrid w:val="0"/>
              <w:ind w:firstLine="0" w:firstLineChars="0"/>
              <w:jc w:val="center"/>
              <w:rPr>
                <w:rFonts w:ascii="宋体" w:hAnsi="宋体" w:cs="宋体"/>
                <w:sz w:val="18"/>
                <w:szCs w:val="18"/>
              </w:rPr>
            </w:pPr>
            <w:r>
              <w:rPr>
                <w:rFonts w:hint="eastAsia" w:ascii="宋体" w:hAnsi="宋体" w:cs="宋体"/>
                <w:sz w:val="18"/>
                <w:szCs w:val="18"/>
              </w:rPr>
              <w:t>3/4硬+应力消除（HR03）</w:t>
            </w:r>
          </w:p>
          <w:p>
            <w:pPr>
              <w:pStyle w:val="12"/>
              <w:snapToGrid w:val="0"/>
              <w:ind w:firstLine="0" w:firstLineChars="0"/>
              <w:jc w:val="center"/>
              <w:rPr>
                <w:rFonts w:ascii="宋体" w:hAnsi="宋体" w:cs="宋体"/>
                <w:sz w:val="18"/>
                <w:szCs w:val="18"/>
              </w:rPr>
            </w:pPr>
            <w:r>
              <w:rPr>
                <w:rFonts w:hint="eastAsia" w:ascii="宋体" w:hAnsi="宋体" w:cs="宋体"/>
                <w:sz w:val="18"/>
                <w:szCs w:val="18"/>
              </w:rPr>
              <w:t>硬+应力消除（HR04）</w:t>
            </w:r>
          </w:p>
          <w:p>
            <w:pPr>
              <w:pStyle w:val="12"/>
              <w:snapToGrid w:val="0"/>
              <w:ind w:firstLine="0" w:firstLineChars="0"/>
              <w:jc w:val="center"/>
              <w:rPr>
                <w:rFonts w:ascii="宋体" w:cs="宋体"/>
                <w:color w:val="00B0F0"/>
                <w:sz w:val="18"/>
                <w:szCs w:val="18"/>
              </w:rPr>
            </w:pPr>
            <w:r>
              <w:rPr>
                <w:rFonts w:hint="eastAsia" w:ascii="宋体" w:hAnsi="宋体" w:cs="宋体"/>
                <w:sz w:val="18"/>
                <w:szCs w:val="18"/>
              </w:rPr>
              <w:t>特硬+应力消除（HR06）</w:t>
            </w:r>
          </w:p>
        </w:tc>
        <w:tc>
          <w:tcPr>
            <w:tcW w:w="1421" w:type="dxa"/>
            <w:vAlign w:val="center"/>
          </w:tcPr>
          <w:p>
            <w:pPr>
              <w:pStyle w:val="12"/>
              <w:snapToGrid w:val="0"/>
              <w:ind w:firstLine="0" w:firstLineChars="0"/>
              <w:jc w:val="center"/>
              <w:rPr>
                <w:rFonts w:ascii="宋体" w:hAnsi="宋体" w:cs="宋体"/>
                <w:sz w:val="18"/>
                <w:szCs w:val="18"/>
              </w:rPr>
            </w:pPr>
            <w:r>
              <w:rPr>
                <w:rFonts w:ascii="宋体" w:hAnsi="宋体" w:cs="宋体"/>
                <w:sz w:val="18"/>
                <w:szCs w:val="18"/>
              </w:rPr>
              <w:t>0.1</w:t>
            </w:r>
            <w:r>
              <w:rPr>
                <w:rFonts w:hint="eastAsia" w:ascii="宋体" w:hAnsi="宋体" w:cs="宋体"/>
                <w:sz w:val="18"/>
                <w:szCs w:val="18"/>
              </w:rPr>
              <w:t>～</w:t>
            </w:r>
            <w:r>
              <w:rPr>
                <w:rFonts w:ascii="宋体" w:hAnsi="宋体" w:cs="宋体"/>
                <w:sz w:val="18"/>
                <w:szCs w:val="18"/>
              </w:rPr>
              <w:t>1.0</w:t>
            </w:r>
          </w:p>
        </w:tc>
        <w:tc>
          <w:tcPr>
            <w:tcW w:w="1632" w:type="dxa"/>
            <w:vAlign w:val="center"/>
          </w:tcPr>
          <w:p>
            <w:pPr>
              <w:pStyle w:val="12"/>
              <w:snapToGrid w:val="0"/>
              <w:ind w:firstLine="0" w:firstLineChars="0"/>
              <w:jc w:val="center"/>
              <w:rPr>
                <w:rFonts w:ascii="宋体" w:hAnsi="宋体" w:cs="宋体"/>
                <w:sz w:val="18"/>
                <w:szCs w:val="18"/>
              </w:rPr>
            </w:pPr>
            <w:r>
              <w:rPr>
                <w:rFonts w:ascii="宋体" w:hAnsi="宋体" w:cs="宋体"/>
                <w:sz w:val="18"/>
                <w:szCs w:val="18"/>
              </w:rPr>
              <w:t>20</w:t>
            </w:r>
            <w:r>
              <w:rPr>
                <w:rFonts w:hint="eastAsia" w:ascii="宋体" w:hAnsi="宋体" w:cs="宋体"/>
                <w:sz w:val="18"/>
                <w:szCs w:val="18"/>
              </w:rPr>
              <w:t>～</w:t>
            </w:r>
            <w:r>
              <w:rPr>
                <w:rFonts w:ascii="宋体" w:hAnsi="宋体" w:cs="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519" w:type="dxa"/>
            <w:vAlign w:val="center"/>
          </w:tcPr>
          <w:p>
            <w:pPr>
              <w:snapToGrid w:val="0"/>
              <w:spacing w:line="240" w:lineRule="auto"/>
              <w:jc w:val="center"/>
              <w:rPr>
                <w:rFonts w:ascii="宋体" w:hAnsi="宋体" w:cs="宋体"/>
                <w:sz w:val="18"/>
                <w:szCs w:val="18"/>
              </w:rPr>
            </w:pPr>
            <w:r>
              <w:rPr>
                <w:rFonts w:ascii="宋体" w:hAnsi="宋体" w:cs="宋体"/>
                <w:sz w:val="18"/>
                <w:szCs w:val="18"/>
              </w:rPr>
              <w:t>BSi3.2-0.7</w:t>
            </w:r>
          </w:p>
        </w:tc>
        <w:tc>
          <w:tcPr>
            <w:tcW w:w="1190" w:type="dxa"/>
            <w:vAlign w:val="center"/>
          </w:tcPr>
          <w:p>
            <w:pPr>
              <w:snapToGrid w:val="0"/>
              <w:spacing w:line="240" w:lineRule="auto"/>
              <w:jc w:val="center"/>
              <w:rPr>
                <w:rFonts w:ascii="宋体" w:hAnsi="宋体" w:cs="宋体"/>
                <w:sz w:val="18"/>
                <w:szCs w:val="18"/>
              </w:rPr>
            </w:pPr>
            <w:r>
              <w:rPr>
                <w:rFonts w:ascii="宋体" w:hAnsi="宋体" w:cs="宋体"/>
                <w:sz w:val="18"/>
                <w:szCs w:val="18"/>
              </w:rPr>
              <w:t>C70250</w:t>
            </w:r>
          </w:p>
        </w:tc>
        <w:tc>
          <w:tcPr>
            <w:tcW w:w="3269"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半硬+应力消除（HR02）</w:t>
            </w:r>
          </w:p>
        </w:tc>
        <w:tc>
          <w:tcPr>
            <w:tcW w:w="1421" w:type="dxa"/>
            <w:vAlign w:val="center"/>
          </w:tcPr>
          <w:p>
            <w:pPr>
              <w:pStyle w:val="12"/>
              <w:snapToGrid w:val="0"/>
              <w:ind w:firstLine="0" w:firstLineChars="0"/>
              <w:jc w:val="center"/>
              <w:rPr>
                <w:rFonts w:ascii="宋体" w:hAnsi="宋体" w:cs="宋体"/>
                <w:sz w:val="18"/>
                <w:szCs w:val="18"/>
              </w:rPr>
            </w:pPr>
            <w:r>
              <w:rPr>
                <w:rFonts w:ascii="宋体" w:hAnsi="宋体" w:cs="宋体"/>
                <w:sz w:val="18"/>
                <w:szCs w:val="18"/>
              </w:rPr>
              <w:t>0.1</w:t>
            </w:r>
            <w:r>
              <w:rPr>
                <w:rFonts w:hint="eastAsia" w:ascii="宋体" w:hAnsi="宋体" w:cs="宋体"/>
                <w:sz w:val="18"/>
                <w:szCs w:val="18"/>
              </w:rPr>
              <w:t>～</w:t>
            </w:r>
            <w:r>
              <w:rPr>
                <w:rFonts w:ascii="宋体" w:hAnsi="宋体" w:cs="宋体"/>
                <w:sz w:val="18"/>
                <w:szCs w:val="18"/>
              </w:rPr>
              <w:t>1.0</w:t>
            </w:r>
          </w:p>
        </w:tc>
        <w:tc>
          <w:tcPr>
            <w:tcW w:w="1632" w:type="dxa"/>
            <w:vAlign w:val="center"/>
          </w:tcPr>
          <w:p>
            <w:pPr>
              <w:pStyle w:val="12"/>
              <w:snapToGrid w:val="0"/>
              <w:ind w:firstLine="0" w:firstLineChars="0"/>
              <w:jc w:val="center"/>
              <w:rPr>
                <w:rFonts w:ascii="宋体" w:hAnsi="宋体" w:cs="宋体"/>
                <w:sz w:val="18"/>
                <w:szCs w:val="18"/>
              </w:rPr>
            </w:pPr>
            <w:r>
              <w:rPr>
                <w:rFonts w:ascii="宋体" w:hAnsi="宋体" w:cs="宋体"/>
                <w:sz w:val="18"/>
                <w:szCs w:val="18"/>
              </w:rPr>
              <w:t>20</w:t>
            </w:r>
            <w:r>
              <w:rPr>
                <w:rFonts w:hint="eastAsia" w:ascii="宋体" w:hAnsi="宋体" w:cs="宋体"/>
                <w:sz w:val="18"/>
                <w:szCs w:val="18"/>
              </w:rPr>
              <w:t>～</w:t>
            </w:r>
            <w:r>
              <w:rPr>
                <w:rFonts w:ascii="宋体" w:hAnsi="宋体" w:cs="宋体"/>
                <w:sz w:val="18"/>
                <w:szCs w:val="18"/>
              </w:rPr>
              <w:t>350</w:t>
            </w:r>
          </w:p>
        </w:tc>
      </w:tr>
    </w:tbl>
    <w:p>
      <w:pPr>
        <w:pStyle w:val="48"/>
        <w:numPr>
          <w:ilvl w:val="0"/>
          <w:numId w:val="0"/>
        </w:numPr>
        <w:adjustRightInd w:val="0"/>
        <w:snapToGrid w:val="0"/>
        <w:spacing w:beforeLines="0" w:afterLines="0" w:line="360" w:lineRule="auto"/>
        <w:rPr>
          <w:rFonts w:hAnsi="Calibri"/>
          <w:szCs w:val="22"/>
        </w:rPr>
      </w:pPr>
      <w:r>
        <w:rPr>
          <w:rFonts w:hint="eastAsia" w:hAnsi="Calibri"/>
          <w:szCs w:val="22"/>
        </w:rPr>
        <w:t xml:space="preserve">4.2  </w:t>
      </w:r>
      <w:r>
        <w:rPr>
          <w:rFonts w:hint="eastAsia" w:hAnsiTheme="minorHAnsi" w:cstheme="minorBidi"/>
          <w:szCs w:val="22"/>
        </w:rPr>
        <w:t>产品</w:t>
      </w:r>
      <w:r>
        <w:rPr>
          <w:rFonts w:hint="eastAsia" w:hAnsi="Calibri"/>
          <w:szCs w:val="22"/>
        </w:rPr>
        <w:t>标记</w:t>
      </w:r>
    </w:p>
    <w:p>
      <w:pPr>
        <w:pStyle w:val="12"/>
        <w:snapToGrid w:val="0"/>
        <w:spacing w:line="360" w:lineRule="auto"/>
      </w:pPr>
      <w:r>
        <w:rPr>
          <w:rFonts w:hint="eastAsia"/>
        </w:rPr>
        <w:t>产品标记按产品名称、标准编号、牌号（或代号）、状态和规格的顺序表示。标记示例如下：</w:t>
      </w:r>
    </w:p>
    <w:p>
      <w:pPr>
        <w:pStyle w:val="12"/>
        <w:snapToGrid w:val="0"/>
        <w:spacing w:line="360" w:lineRule="auto"/>
        <w:ind w:firstLine="720" w:firstLineChars="400"/>
        <w:jc w:val="both"/>
        <w:rPr>
          <w:rFonts w:ascii="宋体"/>
          <w:sz w:val="18"/>
          <w:szCs w:val="18"/>
        </w:rPr>
      </w:pPr>
      <w:r>
        <w:rPr>
          <w:rFonts w:ascii="宋体"/>
          <w:sz w:val="18"/>
          <w:szCs w:val="18"/>
        </w:rPr>
        <mc:AlternateContent>
          <mc:Choice Requires="wps">
            <w:drawing>
              <wp:anchor distT="0" distB="0" distL="114300" distR="114300" simplePos="0" relativeHeight="251665408" behindDoc="0" locked="0" layoutInCell="1" allowOverlap="1">
                <wp:simplePos x="0" y="0"/>
                <wp:positionH relativeFrom="column">
                  <wp:posOffset>26035</wp:posOffset>
                </wp:positionH>
                <wp:positionV relativeFrom="paragraph">
                  <wp:posOffset>33655</wp:posOffset>
                </wp:positionV>
                <wp:extent cx="5817870" cy="856615"/>
                <wp:effectExtent l="4445" t="5080" r="14605" b="6985"/>
                <wp:wrapNone/>
                <wp:docPr id="7" name="文本框 116"/>
                <wp:cNvGraphicFramePr/>
                <a:graphic xmlns:a="http://schemas.openxmlformats.org/drawingml/2006/main">
                  <a:graphicData uri="http://schemas.microsoft.com/office/word/2010/wordprocessingShape">
                    <wps:wsp>
                      <wps:cNvSpPr txBox="1"/>
                      <wps:spPr>
                        <a:xfrm>
                          <a:off x="0" y="0"/>
                          <a:ext cx="5817870" cy="856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40" w:lineRule="exact"/>
                              <w:ind w:firstLine="180" w:firstLineChars="100"/>
                              <w:jc w:val="both"/>
                              <w:rPr>
                                <w:rFonts w:asciiTheme="minorEastAsia" w:hAnsiTheme="minorEastAsia" w:eastAsiaTheme="minorEastAsia"/>
                                <w:sz w:val="18"/>
                                <w:szCs w:val="18"/>
                              </w:rPr>
                            </w:pPr>
                            <w:r>
                              <w:rPr>
                                <w:rFonts w:hint="eastAsia" w:asciiTheme="minorEastAsia" w:hAnsiTheme="minorEastAsia" w:eastAsiaTheme="minorEastAsia"/>
                                <w:sz w:val="18"/>
                                <w:szCs w:val="18"/>
                              </w:rPr>
                              <w:t>用</w:t>
                            </w:r>
                            <w:r>
                              <w:rPr>
                                <w:rFonts w:cs="宋体" w:asciiTheme="minorEastAsia" w:hAnsiTheme="minorEastAsia" w:eastAsiaTheme="minorEastAsia"/>
                                <w:sz w:val="18"/>
                                <w:szCs w:val="18"/>
                              </w:rPr>
                              <w:t>TFe2.5</w:t>
                            </w:r>
                            <w:r>
                              <w:rPr>
                                <w:rFonts w:hint="eastAsia" w:asciiTheme="minorEastAsia" w:hAnsiTheme="minorEastAsia" w:eastAsiaTheme="minorEastAsia"/>
                                <w:sz w:val="18"/>
                                <w:szCs w:val="18"/>
                              </w:rPr>
                              <w:t>（</w:t>
                            </w:r>
                            <w:r>
                              <w:rPr>
                                <w:rFonts w:asciiTheme="minorEastAsia" w:hAnsiTheme="minorEastAsia" w:eastAsiaTheme="minorEastAsia"/>
                                <w:sz w:val="18"/>
                                <w:szCs w:val="18"/>
                              </w:rPr>
                              <w:t>C19400</w:t>
                            </w:r>
                            <w:r>
                              <w:rPr>
                                <w:rFonts w:hint="eastAsia" w:asciiTheme="minorEastAsia" w:hAnsiTheme="minorEastAsia" w:eastAsiaTheme="minorEastAsia"/>
                                <w:sz w:val="18"/>
                                <w:szCs w:val="18"/>
                              </w:rPr>
                              <w:t>）制造的、硬+应力</w:t>
                            </w:r>
                            <w:r>
                              <w:rPr>
                                <w:rFonts w:hint="eastAsia" w:cs="宋体" w:asciiTheme="minorEastAsia" w:hAnsiTheme="minorEastAsia" w:eastAsiaTheme="minorEastAsia"/>
                                <w:sz w:val="18"/>
                                <w:szCs w:val="18"/>
                              </w:rPr>
                              <w:t>退火态（</w:t>
                            </w:r>
                            <w:r>
                              <w:rPr>
                                <w:rFonts w:asciiTheme="minorEastAsia" w:hAnsiTheme="minorEastAsia" w:eastAsiaTheme="minorEastAsia"/>
                                <w:sz w:val="18"/>
                                <w:szCs w:val="18"/>
                              </w:rPr>
                              <w:t>HR</w:t>
                            </w:r>
                            <w:r>
                              <w:rPr>
                                <w:rFonts w:hint="eastAsia" w:asciiTheme="minorEastAsia" w:hAnsiTheme="minorEastAsia" w:eastAsiaTheme="minorEastAsia"/>
                                <w:sz w:val="18"/>
                                <w:szCs w:val="18"/>
                              </w:rPr>
                              <w:t>04</w:t>
                            </w: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、厚度为</w:t>
                            </w:r>
                            <w:r>
                              <w:rPr>
                                <w:rFonts w:asciiTheme="minorEastAsia" w:hAnsiTheme="minorEastAsia" w:eastAsiaTheme="minorEastAsia"/>
                                <w:sz w:val="18"/>
                                <w:szCs w:val="18"/>
                              </w:rPr>
                              <w:t>0.8mm</w:t>
                            </w:r>
                            <w:r>
                              <w:rPr>
                                <w:rFonts w:hint="eastAsia" w:asciiTheme="minorEastAsia" w:hAnsiTheme="minorEastAsia" w:eastAsiaTheme="minorEastAsia"/>
                                <w:sz w:val="18"/>
                                <w:szCs w:val="18"/>
                              </w:rPr>
                              <w:t>、宽度为</w:t>
                            </w:r>
                            <w:r>
                              <w:rPr>
                                <w:rFonts w:asciiTheme="minorEastAsia" w:hAnsiTheme="minorEastAsia" w:eastAsiaTheme="minorEastAsia"/>
                                <w:sz w:val="18"/>
                                <w:szCs w:val="18"/>
                              </w:rPr>
                              <w:t>200mm</w:t>
                            </w:r>
                            <w:r>
                              <w:rPr>
                                <w:rFonts w:hint="eastAsia" w:asciiTheme="minorEastAsia" w:hAnsiTheme="minorEastAsia" w:eastAsiaTheme="minorEastAsia"/>
                                <w:sz w:val="18"/>
                                <w:szCs w:val="18"/>
                              </w:rPr>
                              <w:t>的带材标记为：</w:t>
                            </w:r>
                          </w:p>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带YS</w:t>
                            </w:r>
                            <w:r>
                              <w:rPr>
                                <w:rFonts w:hint="eastAsia" w:asciiTheme="minorEastAsia" w:hAnsiTheme="minorEastAsia" w:eastAsiaTheme="minorEastAsia"/>
                                <w:sz w:val="18"/>
                                <w:szCs w:val="18"/>
                                <w:lang w:val="de-DE"/>
                              </w:rPr>
                              <w:t xml:space="preserve">/T </w:t>
                            </w:r>
                            <w:r>
                              <w:rPr>
                                <w:rFonts w:hint="eastAsia" w:asciiTheme="minorEastAsia" w:hAnsiTheme="minorEastAsia" w:eastAsiaTheme="minorEastAsia"/>
                                <w:sz w:val="18"/>
                                <w:szCs w:val="18"/>
                              </w:rPr>
                              <w:t>xxxx</w:t>
                            </w:r>
                            <w:r>
                              <w:rPr>
                                <w:rFonts w:hint="eastAsia" w:asciiTheme="minorEastAsia" w:hAnsiTheme="minorEastAsia" w:eastAsiaTheme="minorEastAsia"/>
                                <w:sz w:val="18"/>
                                <w:szCs w:val="18"/>
                                <w:lang w:val="de-DE"/>
                              </w:rPr>
                              <w:t>-TFe2.5HR04</w:t>
                            </w:r>
                            <w:r>
                              <w:rPr>
                                <w:rFonts w:hint="eastAsia" w:asciiTheme="minorEastAsia" w:hAnsiTheme="minorEastAsia" w:eastAsiaTheme="minorEastAsia"/>
                                <w:bCs/>
                                <w:sz w:val="18"/>
                                <w:szCs w:val="18"/>
                                <w:lang w:val="de-DE"/>
                              </w:rPr>
                              <w:t>-</w:t>
                            </w:r>
                            <w:r>
                              <w:rPr>
                                <w:rFonts w:hint="eastAsia" w:asciiTheme="minorEastAsia" w:hAnsiTheme="minorEastAsia" w:eastAsiaTheme="minorEastAsia"/>
                                <w:sz w:val="18"/>
                                <w:szCs w:val="18"/>
                                <w:lang w:val="de-DE"/>
                              </w:rPr>
                              <w:t>0,8×</w:t>
                            </w:r>
                            <w:r>
                              <w:rPr>
                                <w:rFonts w:hint="eastAsia" w:asciiTheme="minorEastAsia" w:hAnsiTheme="minorEastAsia" w:eastAsiaTheme="minorEastAsia"/>
                                <w:sz w:val="18"/>
                                <w:szCs w:val="18"/>
                              </w:rPr>
                              <w:t>200</w:t>
                            </w:r>
                          </w:p>
                          <w:p>
                            <w:pPr>
                              <w:pStyle w:val="6"/>
                              <w:rPr>
                                <w:rFonts w:asciiTheme="minorEastAsia" w:hAnsiTheme="minorEastAsia" w:eastAsiaTheme="minorEastAsia"/>
                                <w:szCs w:val="18"/>
                              </w:rPr>
                            </w:pPr>
                            <w:r>
                              <w:rPr>
                                <w:rFonts w:hint="eastAsia" w:asciiTheme="minorEastAsia" w:hAnsiTheme="minorEastAsia" w:eastAsiaTheme="minorEastAsia"/>
                                <w:szCs w:val="18"/>
                              </w:rPr>
                              <w:t>或</w:t>
                            </w:r>
                            <w:r>
                              <w:rPr>
                                <w:rFonts w:hint="eastAsia" w:asciiTheme="minorEastAsia" w:hAnsiTheme="minorEastAsia" w:eastAsiaTheme="minorEastAsia"/>
                                <w:szCs w:val="18"/>
                                <w:lang w:val="de-DE"/>
                              </w:rPr>
                              <w:t xml:space="preserve"> 带</w:t>
                            </w:r>
                            <w:r>
                              <w:rPr>
                                <w:rFonts w:hint="eastAsia" w:asciiTheme="minorEastAsia" w:hAnsiTheme="minorEastAsia" w:eastAsiaTheme="minorEastAsia"/>
                                <w:szCs w:val="18"/>
                              </w:rPr>
                              <w:t>YS</w:t>
                            </w:r>
                            <w:r>
                              <w:rPr>
                                <w:rFonts w:hint="eastAsia" w:asciiTheme="minorEastAsia" w:hAnsiTheme="minorEastAsia" w:eastAsiaTheme="minorEastAsia"/>
                                <w:szCs w:val="18"/>
                                <w:lang w:val="de-DE"/>
                              </w:rPr>
                              <w:t xml:space="preserve">/T </w:t>
                            </w:r>
                            <w:r>
                              <w:rPr>
                                <w:rFonts w:hint="eastAsia" w:asciiTheme="minorEastAsia" w:hAnsiTheme="minorEastAsia" w:eastAsiaTheme="minorEastAsia"/>
                                <w:szCs w:val="18"/>
                              </w:rPr>
                              <w:t>xxxx</w:t>
                            </w:r>
                            <w:r>
                              <w:rPr>
                                <w:rFonts w:hint="eastAsia" w:asciiTheme="minorEastAsia" w:hAnsiTheme="minorEastAsia" w:eastAsiaTheme="minorEastAsia"/>
                                <w:szCs w:val="18"/>
                                <w:lang w:val="de-DE"/>
                              </w:rPr>
                              <w:t>-</w:t>
                            </w:r>
                            <w:r>
                              <w:rPr>
                                <w:rFonts w:hint="eastAsia" w:asciiTheme="minorEastAsia" w:hAnsiTheme="minorEastAsia" w:eastAsiaTheme="minorEastAsia"/>
                                <w:szCs w:val="18"/>
                              </w:rPr>
                              <w:t>C19400</w:t>
                            </w:r>
                            <w:r>
                              <w:rPr>
                                <w:rFonts w:hint="eastAsia" w:asciiTheme="minorEastAsia" w:hAnsiTheme="minorEastAsia" w:eastAsiaTheme="minorEastAsia"/>
                                <w:szCs w:val="18"/>
                                <w:lang w:val="de-DE"/>
                              </w:rPr>
                              <w:t>HR04-0,8×</w:t>
                            </w:r>
                            <w:r>
                              <w:rPr>
                                <w:rFonts w:hint="eastAsia" w:asciiTheme="minorEastAsia" w:hAnsiTheme="minorEastAsia" w:eastAsiaTheme="minorEastAsia"/>
                                <w:szCs w:val="18"/>
                              </w:rPr>
                              <w:t>200</w:t>
                            </w:r>
                          </w:p>
                        </w:txbxContent>
                      </wps:txbx>
                      <wps:bodyPr upright="1"/>
                    </wps:wsp>
                  </a:graphicData>
                </a:graphic>
              </wp:anchor>
            </w:drawing>
          </mc:Choice>
          <mc:Fallback>
            <w:pict>
              <v:shape id="文本框 116" o:spid="_x0000_s1026" o:spt="202" type="#_x0000_t202" style="position:absolute;left:0pt;margin-left:2.05pt;margin-top:2.65pt;height:67.45pt;width:458.1pt;z-index:251665408;mso-width-relative:margin;mso-height-relative:margin;" fillcolor="#FFFFFF" filled="t" stroked="t" coordsize="21600,21600" o:gfxdata="UEsDBAoAAAAAAIdO4kAAAAAAAAAAAAAAAAAEAAAAZHJzL1BLAwQUAAAACACHTuJA9BtHoNYAAAAH&#10;AQAADwAAAGRycy9kb3ducmV2LnhtbE2OwU7DMBBE70j8g7VIXBC1k4bShjg9IIHgVgqCq5tskwh7&#10;HWw3LX/PcoLbjuZp9lXrk7NiwhAHTxqymQKB1Ph2oE7D2+vD9RJETIZaYz2hhm+MsK7PzypTtv5I&#10;LzhtUyd4hGJpNPQpjaWUsenRmTjzIxJ3ex+cSRxDJ9tgjjzurMyVWkhnBuIPvRnxvsfmc3twGpbF&#10;0/QRn+eb92axt6t0dTs9fgWtLy8ydQci4Sn9wfCrz+pQs9POH6iNwmooMgY13MxBcLvKFR87xgqV&#10;g6wr+d+//gFQSwMEFAAAAAgAh07iQJqNWSkMAgAAOAQAAA4AAABkcnMvZTJvRG9jLnhtbK1Ty67T&#10;MBDdI/EPlvc0TaU+iJpeCUrZIEC68AGu7SSW/JLHbdIfgD9gxYY933W/g7HT2/uARRdk4Yw9x2dm&#10;zozXN4PR5CgDKGdrWk6mlEjLnVC2renXL7tXK0ogMiuYdlbW9CSB3mxevlj3vpIz1zktZCBIYqHq&#10;fU27GH1VFMA7aRhMnJcWnY0LhkXchrYQgfXIbnQxm04XRe+C8MFxCYCn29FJz4zhGkLXNIrLreMH&#10;I20cWYPULGJJ0CkPdJOzbRrJ46emARmJrilWGvOKQdDep7XYrFnVBuY7xc8psGtSeFaTYcpi0AvV&#10;lkVGDkH9RWUUDw5cEyfcmWIsJCuCVZTTZ9rcdszLXAtKDf4iOvw/Wv7x+DkQJWq6pMQygw2/+/H9&#10;7ufvu1/fSFkukkC9hwpxtx6RcXjjBhyb+3PAw1T30AST/lgRQT/Ke7rIK4dIOB7OV+VytUQXR99q&#10;vliU80RTPNz2AeJ76QxJRk0Dti+ryo4fII7Qe0gKBk4rsVNa501o9291IEeGrd7l78z+BKYt6Wv6&#10;ej6bYx4M57fBuUHTeNQAbJvjPbkBj4mn+fsXcUpsy6AbE8gMCcYqo6IM2eokE++sIPHkUWeLz4um&#10;ZIwUlGiJrzFZGRmZ0tcgUTttUcLUorEVyYrDfkCaZO6dOGHbDj6otkNJc+MyHAcqa38e/jSxj/eZ&#10;9OHBb/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BtHoNYAAAAHAQAADwAAAAAAAAABACAAAAAi&#10;AAAAZHJzL2Rvd25yZXYueG1sUEsBAhQAFAAAAAgAh07iQJqNWSkMAgAAOAQAAA4AAAAAAAAAAQAg&#10;AAAAJQEAAGRycy9lMm9Eb2MueG1sUEsFBgAAAAAGAAYAWQEAAKMFAAAAAA==&#10;">
                <v:fill on="t" focussize="0,0"/>
                <v:stroke color="#000000" joinstyle="miter"/>
                <v:imagedata o:title=""/>
                <o:lock v:ext="edit" aspectratio="f"/>
                <v:textbox>
                  <w:txbxContent>
                    <w:p>
                      <w:pPr>
                        <w:widowControl/>
                        <w:spacing w:line="340" w:lineRule="exact"/>
                        <w:ind w:firstLine="180" w:firstLineChars="100"/>
                        <w:jc w:val="both"/>
                        <w:rPr>
                          <w:rFonts w:asciiTheme="minorEastAsia" w:hAnsiTheme="minorEastAsia" w:eastAsiaTheme="minorEastAsia"/>
                          <w:sz w:val="18"/>
                          <w:szCs w:val="18"/>
                        </w:rPr>
                      </w:pPr>
                      <w:r>
                        <w:rPr>
                          <w:rFonts w:hint="eastAsia" w:asciiTheme="minorEastAsia" w:hAnsiTheme="minorEastAsia" w:eastAsiaTheme="minorEastAsia"/>
                          <w:sz w:val="18"/>
                          <w:szCs w:val="18"/>
                        </w:rPr>
                        <w:t>用</w:t>
                      </w:r>
                      <w:r>
                        <w:rPr>
                          <w:rFonts w:cs="宋体" w:asciiTheme="minorEastAsia" w:hAnsiTheme="minorEastAsia" w:eastAsiaTheme="minorEastAsia"/>
                          <w:sz w:val="18"/>
                          <w:szCs w:val="18"/>
                        </w:rPr>
                        <w:t>TFe2.5</w:t>
                      </w:r>
                      <w:r>
                        <w:rPr>
                          <w:rFonts w:hint="eastAsia" w:asciiTheme="minorEastAsia" w:hAnsiTheme="minorEastAsia" w:eastAsiaTheme="minorEastAsia"/>
                          <w:sz w:val="18"/>
                          <w:szCs w:val="18"/>
                        </w:rPr>
                        <w:t>（</w:t>
                      </w:r>
                      <w:r>
                        <w:rPr>
                          <w:rFonts w:asciiTheme="minorEastAsia" w:hAnsiTheme="minorEastAsia" w:eastAsiaTheme="minorEastAsia"/>
                          <w:sz w:val="18"/>
                          <w:szCs w:val="18"/>
                        </w:rPr>
                        <w:t>C19400</w:t>
                      </w:r>
                      <w:r>
                        <w:rPr>
                          <w:rFonts w:hint="eastAsia" w:asciiTheme="minorEastAsia" w:hAnsiTheme="minorEastAsia" w:eastAsiaTheme="minorEastAsia"/>
                          <w:sz w:val="18"/>
                          <w:szCs w:val="18"/>
                        </w:rPr>
                        <w:t>）制造的、硬+应力</w:t>
                      </w:r>
                      <w:r>
                        <w:rPr>
                          <w:rFonts w:hint="eastAsia" w:cs="宋体" w:asciiTheme="minorEastAsia" w:hAnsiTheme="minorEastAsia" w:eastAsiaTheme="minorEastAsia"/>
                          <w:sz w:val="18"/>
                          <w:szCs w:val="18"/>
                        </w:rPr>
                        <w:t>退火态（</w:t>
                      </w:r>
                      <w:r>
                        <w:rPr>
                          <w:rFonts w:asciiTheme="minorEastAsia" w:hAnsiTheme="minorEastAsia" w:eastAsiaTheme="minorEastAsia"/>
                          <w:sz w:val="18"/>
                          <w:szCs w:val="18"/>
                        </w:rPr>
                        <w:t>HR</w:t>
                      </w:r>
                      <w:r>
                        <w:rPr>
                          <w:rFonts w:hint="eastAsia" w:asciiTheme="minorEastAsia" w:hAnsiTheme="minorEastAsia" w:eastAsiaTheme="minorEastAsia"/>
                          <w:sz w:val="18"/>
                          <w:szCs w:val="18"/>
                        </w:rPr>
                        <w:t>04</w:t>
                      </w:r>
                      <w:r>
                        <w:rPr>
                          <w:rFonts w:hint="eastAsia" w:cs="宋体" w:asciiTheme="minorEastAsia" w:hAnsiTheme="minorEastAsia" w:eastAsiaTheme="minorEastAsia"/>
                          <w:sz w:val="18"/>
                          <w:szCs w:val="18"/>
                        </w:rPr>
                        <w:t>）</w:t>
                      </w:r>
                      <w:r>
                        <w:rPr>
                          <w:rFonts w:hint="eastAsia" w:asciiTheme="minorEastAsia" w:hAnsiTheme="minorEastAsia" w:eastAsiaTheme="minorEastAsia"/>
                          <w:sz w:val="18"/>
                          <w:szCs w:val="18"/>
                        </w:rPr>
                        <w:t>、厚度为</w:t>
                      </w:r>
                      <w:r>
                        <w:rPr>
                          <w:rFonts w:asciiTheme="minorEastAsia" w:hAnsiTheme="minorEastAsia" w:eastAsiaTheme="minorEastAsia"/>
                          <w:sz w:val="18"/>
                          <w:szCs w:val="18"/>
                        </w:rPr>
                        <w:t>0.8mm</w:t>
                      </w:r>
                      <w:r>
                        <w:rPr>
                          <w:rFonts w:hint="eastAsia" w:asciiTheme="minorEastAsia" w:hAnsiTheme="minorEastAsia" w:eastAsiaTheme="minorEastAsia"/>
                          <w:sz w:val="18"/>
                          <w:szCs w:val="18"/>
                        </w:rPr>
                        <w:t>、宽度为</w:t>
                      </w:r>
                      <w:r>
                        <w:rPr>
                          <w:rFonts w:asciiTheme="minorEastAsia" w:hAnsiTheme="minorEastAsia" w:eastAsiaTheme="minorEastAsia"/>
                          <w:sz w:val="18"/>
                          <w:szCs w:val="18"/>
                        </w:rPr>
                        <w:t>200mm</w:t>
                      </w:r>
                      <w:r>
                        <w:rPr>
                          <w:rFonts w:hint="eastAsia" w:asciiTheme="minorEastAsia" w:hAnsiTheme="minorEastAsia" w:eastAsiaTheme="minorEastAsia"/>
                          <w:sz w:val="18"/>
                          <w:szCs w:val="18"/>
                        </w:rPr>
                        <w:t>的带材标记为：</w:t>
                      </w:r>
                    </w:p>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带YS</w:t>
                      </w:r>
                      <w:r>
                        <w:rPr>
                          <w:rFonts w:hint="eastAsia" w:asciiTheme="minorEastAsia" w:hAnsiTheme="minorEastAsia" w:eastAsiaTheme="minorEastAsia"/>
                          <w:sz w:val="18"/>
                          <w:szCs w:val="18"/>
                          <w:lang w:val="de-DE"/>
                        </w:rPr>
                        <w:t xml:space="preserve">/T </w:t>
                      </w:r>
                      <w:r>
                        <w:rPr>
                          <w:rFonts w:hint="eastAsia" w:asciiTheme="minorEastAsia" w:hAnsiTheme="minorEastAsia" w:eastAsiaTheme="minorEastAsia"/>
                          <w:sz w:val="18"/>
                          <w:szCs w:val="18"/>
                        </w:rPr>
                        <w:t>xxxx</w:t>
                      </w:r>
                      <w:r>
                        <w:rPr>
                          <w:rFonts w:hint="eastAsia" w:asciiTheme="minorEastAsia" w:hAnsiTheme="minorEastAsia" w:eastAsiaTheme="minorEastAsia"/>
                          <w:sz w:val="18"/>
                          <w:szCs w:val="18"/>
                          <w:lang w:val="de-DE"/>
                        </w:rPr>
                        <w:t>-TFe2.5HR04</w:t>
                      </w:r>
                      <w:r>
                        <w:rPr>
                          <w:rFonts w:hint="eastAsia" w:asciiTheme="minorEastAsia" w:hAnsiTheme="minorEastAsia" w:eastAsiaTheme="minorEastAsia"/>
                          <w:bCs/>
                          <w:sz w:val="18"/>
                          <w:szCs w:val="18"/>
                          <w:lang w:val="de-DE"/>
                        </w:rPr>
                        <w:t>-</w:t>
                      </w:r>
                      <w:r>
                        <w:rPr>
                          <w:rFonts w:hint="eastAsia" w:asciiTheme="minorEastAsia" w:hAnsiTheme="minorEastAsia" w:eastAsiaTheme="minorEastAsia"/>
                          <w:sz w:val="18"/>
                          <w:szCs w:val="18"/>
                          <w:lang w:val="de-DE"/>
                        </w:rPr>
                        <w:t>0,8×</w:t>
                      </w:r>
                      <w:r>
                        <w:rPr>
                          <w:rFonts w:hint="eastAsia" w:asciiTheme="minorEastAsia" w:hAnsiTheme="minorEastAsia" w:eastAsiaTheme="minorEastAsia"/>
                          <w:sz w:val="18"/>
                          <w:szCs w:val="18"/>
                        </w:rPr>
                        <w:t>200</w:t>
                      </w:r>
                    </w:p>
                    <w:p>
                      <w:pPr>
                        <w:pStyle w:val="6"/>
                        <w:rPr>
                          <w:rFonts w:asciiTheme="minorEastAsia" w:hAnsiTheme="minorEastAsia" w:eastAsiaTheme="minorEastAsia"/>
                          <w:szCs w:val="18"/>
                        </w:rPr>
                      </w:pPr>
                      <w:r>
                        <w:rPr>
                          <w:rFonts w:hint="eastAsia" w:asciiTheme="minorEastAsia" w:hAnsiTheme="minorEastAsia" w:eastAsiaTheme="minorEastAsia"/>
                          <w:szCs w:val="18"/>
                        </w:rPr>
                        <w:t>或</w:t>
                      </w:r>
                      <w:r>
                        <w:rPr>
                          <w:rFonts w:hint="eastAsia" w:asciiTheme="minorEastAsia" w:hAnsiTheme="minorEastAsia" w:eastAsiaTheme="minorEastAsia"/>
                          <w:szCs w:val="18"/>
                          <w:lang w:val="de-DE"/>
                        </w:rPr>
                        <w:t xml:space="preserve"> 带</w:t>
                      </w:r>
                      <w:r>
                        <w:rPr>
                          <w:rFonts w:hint="eastAsia" w:asciiTheme="minorEastAsia" w:hAnsiTheme="minorEastAsia" w:eastAsiaTheme="minorEastAsia"/>
                          <w:szCs w:val="18"/>
                        </w:rPr>
                        <w:t>YS</w:t>
                      </w:r>
                      <w:r>
                        <w:rPr>
                          <w:rFonts w:hint="eastAsia" w:asciiTheme="minorEastAsia" w:hAnsiTheme="minorEastAsia" w:eastAsiaTheme="minorEastAsia"/>
                          <w:szCs w:val="18"/>
                          <w:lang w:val="de-DE"/>
                        </w:rPr>
                        <w:t xml:space="preserve">/T </w:t>
                      </w:r>
                      <w:r>
                        <w:rPr>
                          <w:rFonts w:hint="eastAsia" w:asciiTheme="minorEastAsia" w:hAnsiTheme="minorEastAsia" w:eastAsiaTheme="minorEastAsia"/>
                          <w:szCs w:val="18"/>
                        </w:rPr>
                        <w:t>xxxx</w:t>
                      </w:r>
                      <w:r>
                        <w:rPr>
                          <w:rFonts w:hint="eastAsia" w:asciiTheme="minorEastAsia" w:hAnsiTheme="minorEastAsia" w:eastAsiaTheme="minorEastAsia"/>
                          <w:szCs w:val="18"/>
                          <w:lang w:val="de-DE"/>
                        </w:rPr>
                        <w:t>-</w:t>
                      </w:r>
                      <w:r>
                        <w:rPr>
                          <w:rFonts w:hint="eastAsia" w:asciiTheme="minorEastAsia" w:hAnsiTheme="minorEastAsia" w:eastAsiaTheme="minorEastAsia"/>
                          <w:szCs w:val="18"/>
                        </w:rPr>
                        <w:t>C19400</w:t>
                      </w:r>
                      <w:r>
                        <w:rPr>
                          <w:rFonts w:hint="eastAsia" w:asciiTheme="minorEastAsia" w:hAnsiTheme="minorEastAsia" w:eastAsiaTheme="minorEastAsia"/>
                          <w:szCs w:val="18"/>
                          <w:lang w:val="de-DE"/>
                        </w:rPr>
                        <w:t>HR04-0,8×</w:t>
                      </w:r>
                      <w:r>
                        <w:rPr>
                          <w:rFonts w:hint="eastAsia" w:asciiTheme="minorEastAsia" w:hAnsiTheme="minorEastAsia" w:eastAsiaTheme="minorEastAsia"/>
                          <w:szCs w:val="18"/>
                        </w:rPr>
                        <w:t>200</w:t>
                      </w:r>
                    </w:p>
                  </w:txbxContent>
                </v:textbox>
              </v:shape>
            </w:pict>
          </mc:Fallback>
        </mc:AlternateContent>
      </w:r>
    </w:p>
    <w:p>
      <w:pPr>
        <w:pStyle w:val="12"/>
        <w:snapToGrid w:val="0"/>
        <w:spacing w:line="360" w:lineRule="auto"/>
        <w:ind w:firstLine="720" w:firstLineChars="400"/>
        <w:jc w:val="both"/>
        <w:rPr>
          <w:rFonts w:ascii="宋体"/>
          <w:sz w:val="18"/>
          <w:szCs w:val="18"/>
        </w:rPr>
      </w:pPr>
    </w:p>
    <w:p>
      <w:pPr>
        <w:pStyle w:val="12"/>
        <w:snapToGrid w:val="0"/>
        <w:spacing w:line="360" w:lineRule="auto"/>
        <w:ind w:firstLine="720" w:firstLineChars="400"/>
        <w:jc w:val="both"/>
        <w:rPr>
          <w:rFonts w:ascii="宋体"/>
          <w:sz w:val="18"/>
          <w:szCs w:val="18"/>
        </w:rPr>
      </w:pPr>
    </w:p>
    <w:p>
      <w:pPr>
        <w:pStyle w:val="12"/>
        <w:snapToGrid w:val="0"/>
        <w:spacing w:line="360" w:lineRule="auto"/>
        <w:ind w:firstLine="720" w:firstLineChars="400"/>
        <w:jc w:val="both"/>
        <w:rPr>
          <w:rFonts w:ascii="宋体" w:cs="宋体"/>
          <w:sz w:val="18"/>
          <w:szCs w:val="18"/>
        </w:rPr>
      </w:pPr>
    </w:p>
    <w:p>
      <w:pPr>
        <w:pStyle w:val="3"/>
        <w:snapToGrid w:val="0"/>
        <w:spacing w:beforeLines="50" w:line="360" w:lineRule="auto"/>
        <w:ind w:firstLine="0" w:firstLineChars="0"/>
        <w:rPr>
          <w:rFonts w:ascii="黑体" w:eastAsia="黑体"/>
        </w:rPr>
      </w:pPr>
      <w:r>
        <w:rPr>
          <w:rFonts w:hint="eastAsia" w:ascii="黑体" w:eastAsia="黑体"/>
        </w:rPr>
        <w:t>5 技术要求</w:t>
      </w:r>
    </w:p>
    <w:p>
      <w:pPr>
        <w:pStyle w:val="3"/>
        <w:snapToGrid w:val="0"/>
        <w:spacing w:line="360" w:lineRule="auto"/>
        <w:ind w:firstLine="0" w:firstLineChars="0"/>
        <w:rPr>
          <w:rFonts w:ascii="黑体" w:eastAsia="黑体"/>
          <w:szCs w:val="22"/>
          <w:lang w:val="de-DE"/>
        </w:rPr>
      </w:pPr>
      <w:r>
        <w:rPr>
          <w:rFonts w:hint="eastAsia" w:ascii="黑体" w:eastAsia="黑体"/>
          <w:szCs w:val="22"/>
          <w:lang w:val="de-DE"/>
        </w:rPr>
        <w:t xml:space="preserve">5.1  </w:t>
      </w:r>
      <w:r>
        <w:rPr>
          <w:rFonts w:hint="eastAsia" w:ascii="黑体" w:hAnsi="黑体" w:eastAsia="黑体" w:cs="黑体"/>
          <w:lang w:val="de-DE"/>
        </w:rPr>
        <w:t>化学成分</w:t>
      </w:r>
    </w:p>
    <w:p>
      <w:pPr>
        <w:pStyle w:val="12"/>
        <w:snapToGrid w:val="0"/>
        <w:rPr>
          <w:szCs w:val="21"/>
        </w:rPr>
      </w:pPr>
      <w:r>
        <w:rPr>
          <w:rFonts w:hint="eastAsia"/>
          <w:szCs w:val="21"/>
        </w:rPr>
        <w:t>带</w:t>
      </w:r>
      <w:r>
        <w:rPr>
          <w:rFonts w:hint="eastAsia" w:ascii="宋体"/>
          <w:szCs w:val="21"/>
        </w:rPr>
        <w:t>箔</w:t>
      </w:r>
      <w:r>
        <w:rPr>
          <w:rFonts w:hint="eastAsia"/>
          <w:szCs w:val="21"/>
        </w:rPr>
        <w:t>材化学成分应符合</w:t>
      </w:r>
      <w:r>
        <w:rPr>
          <w:szCs w:val="21"/>
        </w:rPr>
        <w:t>GB/T5231</w:t>
      </w:r>
      <w:r>
        <w:rPr>
          <w:rFonts w:hint="eastAsia"/>
          <w:szCs w:val="21"/>
        </w:rPr>
        <w:t>的相应规定。</w:t>
      </w:r>
    </w:p>
    <w:p>
      <w:pPr>
        <w:pStyle w:val="3"/>
        <w:snapToGrid w:val="0"/>
        <w:spacing w:beforeLines="50" w:line="360" w:lineRule="auto"/>
        <w:ind w:firstLine="0" w:firstLineChars="0"/>
        <w:rPr>
          <w:rFonts w:ascii="黑体" w:hAnsi="黑体" w:eastAsia="黑体" w:cs="黑体"/>
          <w:lang w:val="de-DE"/>
        </w:rPr>
      </w:pPr>
      <w:r>
        <w:rPr>
          <w:rFonts w:hint="eastAsia" w:ascii="黑体" w:hAnsi="黑体" w:eastAsia="黑体" w:cs="黑体"/>
          <w:lang w:val="de-DE"/>
        </w:rPr>
        <w:t>5.2  外形尺寸</w:t>
      </w:r>
      <w:r>
        <w:rPr>
          <w:rFonts w:hint="eastAsia" w:ascii="黑体" w:eastAsia="黑体"/>
        </w:rPr>
        <w:t>及其</w:t>
      </w:r>
      <w:r>
        <w:rPr>
          <w:rFonts w:hint="eastAsia" w:ascii="黑体" w:hAnsi="黑体" w:eastAsia="黑体" w:cs="黑体"/>
          <w:lang w:val="de-DE"/>
        </w:rPr>
        <w:t>允许偏差</w:t>
      </w:r>
    </w:p>
    <w:p>
      <w:pPr>
        <w:pStyle w:val="12"/>
        <w:snapToGrid w:val="0"/>
        <w:spacing w:line="360" w:lineRule="auto"/>
        <w:ind w:firstLine="0" w:firstLineChars="0"/>
        <w:rPr>
          <w:rFonts w:ascii="黑体" w:hAnsi="宋体" w:eastAsia="黑体" w:cs="宋体"/>
          <w:szCs w:val="21"/>
        </w:rPr>
      </w:pPr>
      <w:r>
        <w:rPr>
          <w:rFonts w:hint="eastAsia" w:ascii="黑体" w:hAnsi="黑体" w:eastAsia="黑体"/>
          <w:szCs w:val="21"/>
        </w:rPr>
        <w:t xml:space="preserve">5.2.1 </w:t>
      </w:r>
      <w:r>
        <w:rPr>
          <w:rFonts w:hint="eastAsia" w:ascii="黑体" w:hAnsi="宋体" w:eastAsia="黑体"/>
          <w:szCs w:val="21"/>
        </w:rPr>
        <w:t xml:space="preserve"> </w:t>
      </w:r>
      <w:r>
        <w:rPr>
          <w:rFonts w:hint="eastAsia" w:ascii="黑体" w:hAnsi="宋体" w:eastAsia="黑体" w:cs="宋体"/>
          <w:szCs w:val="21"/>
        </w:rPr>
        <w:t>厚度及其允许偏差</w:t>
      </w:r>
    </w:p>
    <w:p>
      <w:pPr>
        <w:pStyle w:val="12"/>
        <w:snapToGrid w:val="0"/>
        <w:rPr>
          <w:rFonts w:ascii="宋体" w:cs="宋体"/>
          <w:strike/>
          <w:szCs w:val="21"/>
        </w:rPr>
      </w:pPr>
      <w:r>
        <w:rPr>
          <w:rFonts w:hint="eastAsia" w:ascii="宋体" w:hAnsi="宋体" w:cs="宋体"/>
          <w:szCs w:val="21"/>
        </w:rPr>
        <w:t>带</w:t>
      </w:r>
      <w:r>
        <w:rPr>
          <w:rFonts w:hint="eastAsia" w:ascii="宋体"/>
          <w:szCs w:val="21"/>
        </w:rPr>
        <w:t>箔</w:t>
      </w:r>
      <w:r>
        <w:rPr>
          <w:rFonts w:hint="eastAsia" w:ascii="宋体" w:hAnsi="宋体" w:cs="宋体"/>
          <w:szCs w:val="21"/>
        </w:rPr>
        <w:t>材厚度及其允许偏差应符合表</w:t>
      </w:r>
      <w:r>
        <w:rPr>
          <w:rFonts w:ascii="宋体" w:hAnsi="宋体" w:cs="宋体"/>
          <w:szCs w:val="21"/>
        </w:rPr>
        <w:t>2</w:t>
      </w:r>
      <w:r>
        <w:rPr>
          <w:rFonts w:hint="eastAsia" w:ascii="宋体" w:hAnsi="宋体" w:cs="宋体"/>
          <w:szCs w:val="21"/>
        </w:rPr>
        <w:t>规定。</w:t>
      </w:r>
    </w:p>
    <w:p>
      <w:pPr>
        <w:pStyle w:val="12"/>
        <w:snapToGrid w:val="0"/>
        <w:ind w:right="420" w:firstLine="0" w:firstLineChars="0"/>
        <w:jc w:val="right"/>
        <w:rPr>
          <w:rFonts w:ascii="宋体" w:hAnsi="宋体"/>
          <w:szCs w:val="21"/>
        </w:rPr>
      </w:pPr>
      <w:r>
        <w:rPr>
          <w:rFonts w:hint="eastAsia" w:ascii="黑体" w:hAnsi="宋体" w:eastAsia="黑体"/>
          <w:szCs w:val="21"/>
        </w:rPr>
        <w:t>表2   带材厚度允许偏差</w:t>
      </w:r>
      <w:r>
        <w:rPr>
          <w:rFonts w:ascii="黑体" w:hAnsi="宋体" w:eastAsia="黑体"/>
          <w:szCs w:val="21"/>
        </w:rPr>
        <w:t xml:space="preserve"> </w:t>
      </w:r>
      <w:r>
        <w:rPr>
          <w:rFonts w:ascii="宋体" w:hAnsi="宋体"/>
          <w:szCs w:val="21"/>
        </w:rPr>
        <w:t xml:space="preserve">                  </w:t>
      </w:r>
      <w:r>
        <w:rPr>
          <w:rFonts w:ascii="宋体" w:hAnsi="宋体"/>
          <w:sz w:val="18"/>
          <w:szCs w:val="18"/>
        </w:rPr>
        <w:t xml:space="preserve">  </w:t>
      </w:r>
      <w:r>
        <w:rPr>
          <w:rFonts w:hint="eastAsia" w:ascii="宋体" w:hAnsi="宋体"/>
          <w:sz w:val="18"/>
          <w:szCs w:val="18"/>
        </w:rPr>
        <w:t>单位为毫米</w:t>
      </w:r>
    </w:p>
    <w:tbl>
      <w:tblPr>
        <w:tblStyle w:val="27"/>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3263"/>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36" w:type="dxa"/>
            <w:vMerge w:val="restart"/>
            <w:vAlign w:val="center"/>
          </w:tcPr>
          <w:p>
            <w:pPr>
              <w:pStyle w:val="15"/>
              <w:snapToGrid w:val="0"/>
              <w:spacing w:line="240" w:lineRule="auto"/>
              <w:jc w:val="center"/>
              <w:rPr>
                <w:rFonts w:hAnsi="宋体"/>
                <w:sz w:val="18"/>
                <w:szCs w:val="18"/>
              </w:rPr>
            </w:pPr>
            <w:r>
              <w:rPr>
                <w:rFonts w:hint="eastAsia" w:hAnsi="宋体"/>
                <w:sz w:val="18"/>
                <w:szCs w:val="18"/>
              </w:rPr>
              <w:t>厚度</w:t>
            </w:r>
          </w:p>
        </w:tc>
        <w:tc>
          <w:tcPr>
            <w:tcW w:w="6221" w:type="dxa"/>
            <w:gridSpan w:val="2"/>
            <w:vAlign w:val="center"/>
          </w:tcPr>
          <w:p>
            <w:pPr>
              <w:pStyle w:val="15"/>
              <w:snapToGrid w:val="0"/>
              <w:spacing w:line="240" w:lineRule="auto"/>
              <w:jc w:val="center"/>
              <w:rPr>
                <w:rFonts w:hAnsi="宋体"/>
                <w:sz w:val="18"/>
                <w:szCs w:val="18"/>
              </w:rPr>
            </w:pPr>
            <w:r>
              <w:rPr>
                <w:rFonts w:hint="eastAsia" w:hAnsi="宋体"/>
                <w:sz w:val="18"/>
                <w:szCs w:val="18"/>
              </w:rPr>
              <w:t>厚度允许偏差</w:t>
            </w:r>
            <w:r>
              <w:rPr>
                <w:rFonts w:hAnsi="宋体" w:cs="Times New Roman"/>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36" w:type="dxa"/>
            <w:vMerge w:val="continue"/>
            <w:vAlign w:val="center"/>
          </w:tcPr>
          <w:p>
            <w:pPr>
              <w:pStyle w:val="15"/>
              <w:snapToGrid w:val="0"/>
              <w:spacing w:line="240" w:lineRule="auto"/>
              <w:jc w:val="center"/>
              <w:rPr>
                <w:rFonts w:hAnsi="宋体"/>
                <w:sz w:val="18"/>
                <w:szCs w:val="18"/>
              </w:rPr>
            </w:pPr>
          </w:p>
        </w:tc>
        <w:tc>
          <w:tcPr>
            <w:tcW w:w="3263" w:type="dxa"/>
            <w:vAlign w:val="center"/>
          </w:tcPr>
          <w:p>
            <w:pPr>
              <w:pStyle w:val="15"/>
              <w:snapToGrid w:val="0"/>
              <w:spacing w:line="240" w:lineRule="auto"/>
              <w:jc w:val="center"/>
              <w:rPr>
                <w:rFonts w:hAnsi="宋体"/>
                <w:sz w:val="18"/>
                <w:szCs w:val="18"/>
              </w:rPr>
            </w:pPr>
            <w:r>
              <w:rPr>
                <w:rFonts w:hint="eastAsia" w:hAnsi="宋体"/>
                <w:sz w:val="18"/>
                <w:szCs w:val="18"/>
              </w:rPr>
              <w:t>普通级</w:t>
            </w:r>
          </w:p>
        </w:tc>
        <w:tc>
          <w:tcPr>
            <w:tcW w:w="2958" w:type="dxa"/>
            <w:vAlign w:val="center"/>
          </w:tcPr>
          <w:p>
            <w:pPr>
              <w:pStyle w:val="15"/>
              <w:snapToGrid w:val="0"/>
              <w:spacing w:line="240" w:lineRule="auto"/>
              <w:jc w:val="center"/>
              <w:rPr>
                <w:rFonts w:hAnsi="宋体"/>
                <w:sz w:val="18"/>
                <w:szCs w:val="18"/>
              </w:rPr>
            </w:pPr>
            <w:r>
              <w:rPr>
                <w:rFonts w:hint="eastAsia" w:hAnsi="宋体"/>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2336" w:type="dxa"/>
            <w:vAlign w:val="center"/>
          </w:tcPr>
          <w:p>
            <w:pPr>
              <w:pStyle w:val="15"/>
              <w:snapToGrid w:val="0"/>
              <w:spacing w:line="240" w:lineRule="auto"/>
              <w:jc w:val="center"/>
              <w:rPr>
                <w:rFonts w:hAnsi="宋体"/>
                <w:sz w:val="18"/>
                <w:szCs w:val="18"/>
              </w:rPr>
            </w:pPr>
            <w:r>
              <w:rPr>
                <w:rFonts w:hint="eastAsia" w:hAnsi="宋体" w:cs="宋体"/>
                <w:sz w:val="18"/>
                <w:szCs w:val="18"/>
              </w:rPr>
              <w:t>＞</w:t>
            </w:r>
            <w:r>
              <w:rPr>
                <w:rFonts w:hAnsi="宋体"/>
                <w:sz w:val="18"/>
                <w:szCs w:val="18"/>
              </w:rPr>
              <w:t>0.10</w:t>
            </w:r>
            <w:r>
              <w:rPr>
                <w:rFonts w:hint="eastAsia" w:hAnsi="宋体" w:cs="宋体"/>
                <w:sz w:val="18"/>
                <w:szCs w:val="18"/>
              </w:rPr>
              <w:t>～</w:t>
            </w:r>
            <w:r>
              <w:rPr>
                <w:rFonts w:hAnsi="宋体"/>
                <w:sz w:val="18"/>
                <w:szCs w:val="18"/>
              </w:rPr>
              <w:t>0.3</w:t>
            </w:r>
          </w:p>
        </w:tc>
        <w:tc>
          <w:tcPr>
            <w:tcW w:w="3263" w:type="dxa"/>
            <w:vAlign w:val="center"/>
          </w:tcPr>
          <w:p>
            <w:pPr>
              <w:snapToGrid w:val="0"/>
              <w:spacing w:line="240" w:lineRule="auto"/>
              <w:jc w:val="center"/>
              <w:rPr>
                <w:rFonts w:ascii="宋体"/>
                <w:sz w:val="18"/>
                <w:szCs w:val="18"/>
              </w:rPr>
            </w:pPr>
            <w:r>
              <w:rPr>
                <w:rFonts w:hint="eastAsia" w:ascii="宋体" w:hAnsi="宋体"/>
                <w:sz w:val="18"/>
                <w:szCs w:val="18"/>
              </w:rPr>
              <w:t>±</w:t>
            </w:r>
            <w:r>
              <w:rPr>
                <w:rFonts w:ascii="宋体" w:cs="宋体"/>
                <w:sz w:val="18"/>
                <w:szCs w:val="18"/>
              </w:rPr>
              <w:t>0.00</w:t>
            </w:r>
            <w:r>
              <w:rPr>
                <w:rFonts w:ascii="宋体" w:hAnsi="宋体" w:cs="宋体"/>
                <w:sz w:val="18"/>
                <w:szCs w:val="18"/>
              </w:rPr>
              <w:t>8</w:t>
            </w:r>
          </w:p>
        </w:tc>
        <w:tc>
          <w:tcPr>
            <w:tcW w:w="2958" w:type="dxa"/>
            <w:vAlign w:val="center"/>
          </w:tcPr>
          <w:p>
            <w:pPr>
              <w:snapToGrid w:val="0"/>
              <w:spacing w:line="240" w:lineRule="auto"/>
              <w:jc w:val="center"/>
              <w:rPr>
                <w:rFonts w:ascii="宋体"/>
                <w:sz w:val="18"/>
                <w:szCs w:val="18"/>
              </w:rPr>
            </w:pPr>
            <w:r>
              <w:rPr>
                <w:rFonts w:hint="eastAsia" w:ascii="宋体" w:hAnsi="宋体"/>
                <w:sz w:val="18"/>
                <w:szCs w:val="18"/>
              </w:rPr>
              <w:t>±</w:t>
            </w:r>
            <w:r>
              <w:rPr>
                <w:rFonts w:ascii="宋体" w:cs="宋体"/>
                <w:spacing w:val="-9"/>
                <w:sz w:val="18"/>
                <w:szCs w:val="18"/>
              </w:rPr>
              <w:t>0.00</w:t>
            </w:r>
            <w:r>
              <w:rPr>
                <w:rFonts w:ascii="宋体" w:hAnsi="宋体" w:cs="宋体"/>
                <w:spacing w:val="-9"/>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36" w:type="dxa"/>
            <w:vAlign w:val="center"/>
          </w:tcPr>
          <w:p>
            <w:pPr>
              <w:pStyle w:val="15"/>
              <w:snapToGrid w:val="0"/>
              <w:spacing w:line="240" w:lineRule="auto"/>
              <w:jc w:val="center"/>
              <w:rPr>
                <w:rFonts w:hAnsi="宋体"/>
                <w:sz w:val="18"/>
                <w:szCs w:val="18"/>
              </w:rPr>
            </w:pPr>
            <w:r>
              <w:rPr>
                <w:rFonts w:hint="eastAsia" w:hAnsi="宋体" w:cs="宋体"/>
                <w:sz w:val="18"/>
                <w:szCs w:val="18"/>
              </w:rPr>
              <w:t>＞</w:t>
            </w:r>
            <w:r>
              <w:rPr>
                <w:rFonts w:hAnsi="宋体"/>
                <w:sz w:val="18"/>
                <w:szCs w:val="18"/>
              </w:rPr>
              <w:t>0.3</w:t>
            </w:r>
            <w:r>
              <w:rPr>
                <w:rFonts w:hint="eastAsia" w:hAnsi="宋体" w:cs="宋体"/>
                <w:sz w:val="18"/>
                <w:szCs w:val="18"/>
              </w:rPr>
              <w:t>～</w:t>
            </w:r>
            <w:r>
              <w:rPr>
                <w:rFonts w:hAnsi="宋体"/>
                <w:sz w:val="18"/>
                <w:szCs w:val="18"/>
              </w:rPr>
              <w:t>0.5</w:t>
            </w:r>
          </w:p>
        </w:tc>
        <w:tc>
          <w:tcPr>
            <w:tcW w:w="3263" w:type="dxa"/>
            <w:vAlign w:val="center"/>
          </w:tcPr>
          <w:p>
            <w:pPr>
              <w:snapToGrid w:val="0"/>
              <w:spacing w:line="240" w:lineRule="auto"/>
              <w:jc w:val="center"/>
              <w:rPr>
                <w:rFonts w:ascii="宋体"/>
                <w:sz w:val="18"/>
                <w:szCs w:val="18"/>
              </w:rPr>
            </w:pPr>
            <w:r>
              <w:rPr>
                <w:rFonts w:hint="eastAsia" w:ascii="宋体" w:hAnsi="宋体"/>
                <w:sz w:val="18"/>
                <w:szCs w:val="18"/>
              </w:rPr>
              <w:t>±</w:t>
            </w:r>
            <w:r>
              <w:rPr>
                <w:rFonts w:ascii="宋体" w:hAnsi="宋体" w:cs="宋体"/>
                <w:sz w:val="18"/>
                <w:szCs w:val="18"/>
              </w:rPr>
              <w:t>0.01</w:t>
            </w:r>
            <w:r>
              <w:rPr>
                <w:rFonts w:ascii="宋体" w:cs="宋体"/>
                <w:sz w:val="18"/>
                <w:szCs w:val="18"/>
              </w:rPr>
              <w:t>0</w:t>
            </w:r>
          </w:p>
        </w:tc>
        <w:tc>
          <w:tcPr>
            <w:tcW w:w="2958" w:type="dxa"/>
            <w:vAlign w:val="center"/>
          </w:tcPr>
          <w:p>
            <w:pPr>
              <w:snapToGrid w:val="0"/>
              <w:spacing w:line="240" w:lineRule="auto"/>
              <w:jc w:val="center"/>
              <w:rPr>
                <w:rFonts w:ascii="宋体"/>
                <w:sz w:val="18"/>
                <w:szCs w:val="18"/>
              </w:rPr>
            </w:pPr>
            <w:r>
              <w:rPr>
                <w:rFonts w:hint="eastAsia" w:ascii="宋体" w:hAnsi="宋体"/>
                <w:sz w:val="18"/>
                <w:szCs w:val="18"/>
              </w:rPr>
              <w:t>±</w:t>
            </w:r>
            <w:r>
              <w:rPr>
                <w:rFonts w:ascii="宋体" w:cs="宋体"/>
                <w:spacing w:val="-9"/>
                <w:sz w:val="18"/>
                <w:szCs w:val="18"/>
              </w:rPr>
              <w:t>0.0</w:t>
            </w:r>
            <w:r>
              <w:rPr>
                <w:rFonts w:ascii="宋体" w:hAnsi="宋体" w:cs="宋体"/>
                <w:spacing w:val="-9"/>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36" w:type="dxa"/>
            <w:vAlign w:val="center"/>
          </w:tcPr>
          <w:p>
            <w:pPr>
              <w:pStyle w:val="15"/>
              <w:snapToGrid w:val="0"/>
              <w:spacing w:line="240" w:lineRule="auto"/>
              <w:jc w:val="center"/>
              <w:rPr>
                <w:rFonts w:hAnsi="宋体"/>
                <w:sz w:val="18"/>
                <w:szCs w:val="18"/>
              </w:rPr>
            </w:pPr>
            <w:r>
              <w:rPr>
                <w:rFonts w:hint="eastAsia" w:hAnsi="宋体" w:cs="宋体"/>
                <w:sz w:val="18"/>
                <w:szCs w:val="18"/>
              </w:rPr>
              <w:t>＞</w:t>
            </w:r>
            <w:r>
              <w:rPr>
                <w:rFonts w:hAnsi="宋体"/>
                <w:sz w:val="18"/>
                <w:szCs w:val="18"/>
              </w:rPr>
              <w:t>0.50</w:t>
            </w:r>
            <w:r>
              <w:rPr>
                <w:rFonts w:hint="eastAsia" w:hAnsi="宋体" w:cs="宋体"/>
                <w:sz w:val="18"/>
                <w:szCs w:val="18"/>
              </w:rPr>
              <w:t>～</w:t>
            </w:r>
            <w:r>
              <w:rPr>
                <w:rFonts w:hAnsi="宋体"/>
                <w:sz w:val="18"/>
                <w:szCs w:val="18"/>
              </w:rPr>
              <w:t>1.0</w:t>
            </w:r>
          </w:p>
        </w:tc>
        <w:tc>
          <w:tcPr>
            <w:tcW w:w="3263" w:type="dxa"/>
            <w:vAlign w:val="center"/>
          </w:tcPr>
          <w:p>
            <w:pPr>
              <w:snapToGrid w:val="0"/>
              <w:spacing w:line="240" w:lineRule="auto"/>
              <w:jc w:val="center"/>
              <w:rPr>
                <w:rFonts w:ascii="宋体"/>
                <w:sz w:val="18"/>
                <w:szCs w:val="18"/>
              </w:rPr>
            </w:pPr>
            <w:r>
              <w:rPr>
                <w:rFonts w:hint="eastAsia" w:ascii="宋体" w:hAnsi="宋体"/>
                <w:sz w:val="18"/>
                <w:szCs w:val="18"/>
              </w:rPr>
              <w:t>±</w:t>
            </w:r>
            <w:r>
              <w:rPr>
                <w:rFonts w:ascii="宋体" w:cs="宋体"/>
                <w:sz w:val="18"/>
                <w:szCs w:val="18"/>
              </w:rPr>
              <w:t>0.0</w:t>
            </w:r>
            <w:r>
              <w:rPr>
                <w:rFonts w:ascii="宋体" w:hAnsi="宋体" w:cs="宋体"/>
                <w:sz w:val="18"/>
                <w:szCs w:val="18"/>
              </w:rPr>
              <w:t>15</w:t>
            </w:r>
          </w:p>
        </w:tc>
        <w:tc>
          <w:tcPr>
            <w:tcW w:w="2958" w:type="dxa"/>
            <w:vAlign w:val="center"/>
          </w:tcPr>
          <w:p>
            <w:pPr>
              <w:snapToGrid w:val="0"/>
              <w:spacing w:line="240" w:lineRule="auto"/>
              <w:jc w:val="center"/>
              <w:rPr>
                <w:rFonts w:ascii="宋体"/>
                <w:sz w:val="18"/>
                <w:szCs w:val="18"/>
              </w:rPr>
            </w:pPr>
            <w:r>
              <w:rPr>
                <w:rFonts w:hint="eastAsia" w:ascii="宋体" w:hAnsi="宋体"/>
                <w:sz w:val="18"/>
                <w:szCs w:val="18"/>
              </w:rPr>
              <w:t>±</w:t>
            </w:r>
            <w:r>
              <w:rPr>
                <w:rFonts w:ascii="宋体" w:hAnsi="宋体" w:cs="宋体"/>
                <w:spacing w:val="-9"/>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8557" w:type="dxa"/>
            <w:gridSpan w:val="3"/>
            <w:vAlign w:val="center"/>
          </w:tcPr>
          <w:p>
            <w:pPr>
              <w:pStyle w:val="15"/>
              <w:snapToGrid w:val="0"/>
              <w:spacing w:line="240" w:lineRule="auto"/>
              <w:rPr>
                <w:rFonts w:hAnsi="宋体"/>
                <w:sz w:val="18"/>
                <w:szCs w:val="18"/>
              </w:rPr>
            </w:pPr>
            <w:r>
              <w:rPr>
                <w:rFonts w:hAnsi="宋体" w:cs="Times New Roman"/>
                <w:sz w:val="18"/>
                <w:szCs w:val="18"/>
                <w:vertAlign w:val="superscript"/>
              </w:rPr>
              <w:t xml:space="preserve">a </w:t>
            </w:r>
            <w:r>
              <w:rPr>
                <w:rFonts w:hint="eastAsia" w:hAnsi="宋体"/>
                <w:sz w:val="18"/>
                <w:szCs w:val="18"/>
              </w:rPr>
              <w:t>当要求宽度允许偏差全为（+）或全为（-）单向偏差时，其值为表中数值的</w:t>
            </w:r>
            <w:r>
              <w:rPr>
                <w:rFonts w:hAnsi="宋体"/>
                <w:sz w:val="18"/>
                <w:szCs w:val="18"/>
              </w:rPr>
              <w:t>2</w:t>
            </w:r>
            <w:r>
              <w:rPr>
                <w:rFonts w:hint="eastAsia" w:hAnsi="宋体"/>
                <w:sz w:val="18"/>
                <w:szCs w:val="18"/>
              </w:rPr>
              <w:t>倍。</w:t>
            </w:r>
          </w:p>
        </w:tc>
      </w:tr>
    </w:tbl>
    <w:p>
      <w:pPr>
        <w:pStyle w:val="12"/>
        <w:snapToGrid w:val="0"/>
        <w:spacing w:beforeLines="50" w:line="360" w:lineRule="auto"/>
        <w:ind w:firstLine="0" w:firstLineChars="0"/>
        <w:rPr>
          <w:rFonts w:ascii="黑体" w:hAnsi="宋体" w:eastAsia="黑体" w:cs="宋体"/>
          <w:szCs w:val="21"/>
        </w:rPr>
      </w:pPr>
      <w:r>
        <w:rPr>
          <w:rFonts w:hint="eastAsia" w:ascii="黑体" w:hAnsi="宋体" w:eastAsia="黑体" w:cs="宋体"/>
          <w:szCs w:val="21"/>
        </w:rPr>
        <w:t>5.2.2  宽度允许偏差</w:t>
      </w:r>
    </w:p>
    <w:p>
      <w:pPr>
        <w:snapToGrid w:val="0"/>
        <w:spacing w:line="240" w:lineRule="auto"/>
        <w:ind w:firstLine="420" w:firstLineChars="200"/>
        <w:rPr>
          <w:rFonts w:ascii="宋体" w:hAnsi="宋体"/>
          <w:sz w:val="21"/>
          <w:szCs w:val="21"/>
        </w:rPr>
      </w:pPr>
      <w:r>
        <w:rPr>
          <w:rFonts w:hint="eastAsia" w:ascii="宋体" w:hAnsi="宋体" w:cs="宋体"/>
          <w:sz w:val="21"/>
          <w:szCs w:val="21"/>
        </w:rPr>
        <w:t>带材宽度允许偏差应符合表</w:t>
      </w:r>
      <w:r>
        <w:rPr>
          <w:rFonts w:ascii="宋体" w:hAnsi="宋体" w:cs="宋体"/>
          <w:sz w:val="21"/>
          <w:szCs w:val="21"/>
        </w:rPr>
        <w:t>3</w:t>
      </w:r>
      <w:r>
        <w:rPr>
          <w:rFonts w:hint="eastAsia" w:ascii="宋体" w:hAnsi="宋体" w:cs="宋体"/>
          <w:sz w:val="21"/>
          <w:szCs w:val="21"/>
        </w:rPr>
        <w:t>规定</w:t>
      </w:r>
      <w:r>
        <w:rPr>
          <w:rFonts w:hint="eastAsia" w:ascii="宋体" w:hAnsi="宋体"/>
          <w:sz w:val="21"/>
          <w:szCs w:val="21"/>
        </w:rPr>
        <w:t>。</w:t>
      </w:r>
    </w:p>
    <w:p>
      <w:pPr>
        <w:snapToGrid w:val="0"/>
        <w:spacing w:line="240" w:lineRule="auto"/>
        <w:ind w:right="420"/>
        <w:jc w:val="right"/>
        <w:textAlignment w:val="auto"/>
        <w:rPr>
          <w:rFonts w:ascii="宋体" w:hAnsi="宋体" w:cs="Courier New"/>
          <w:kern w:val="2"/>
          <w:sz w:val="18"/>
          <w:szCs w:val="18"/>
        </w:rPr>
      </w:pPr>
      <w:r>
        <w:rPr>
          <w:rFonts w:hint="eastAsia" w:ascii="黑体" w:hAnsi="宋体" w:eastAsia="黑体" w:cs="Courier New"/>
          <w:kern w:val="2"/>
          <w:sz w:val="21"/>
          <w:szCs w:val="21"/>
        </w:rPr>
        <w:t>表3  带材宽度允许偏差</w:t>
      </w:r>
      <w:r>
        <w:rPr>
          <w:rFonts w:ascii="宋体" w:hAnsi="宋体" w:cs="Courier New"/>
          <w:kern w:val="2"/>
          <w:sz w:val="21"/>
          <w:szCs w:val="21"/>
        </w:rPr>
        <w:t xml:space="preserve">        </w:t>
      </w:r>
      <w:r>
        <w:rPr>
          <w:rFonts w:hint="eastAsia" w:ascii="宋体" w:hAnsi="宋体" w:cs="Courier New"/>
          <w:kern w:val="2"/>
          <w:sz w:val="21"/>
          <w:szCs w:val="21"/>
        </w:rPr>
        <w:t xml:space="preserve"> </w:t>
      </w:r>
      <w:r>
        <w:rPr>
          <w:rFonts w:ascii="宋体" w:hAnsi="宋体" w:cs="Courier New"/>
          <w:kern w:val="2"/>
          <w:sz w:val="21"/>
          <w:szCs w:val="21"/>
        </w:rPr>
        <w:t xml:space="preserve">         </w:t>
      </w:r>
      <w:r>
        <w:rPr>
          <w:rFonts w:ascii="宋体" w:hAnsi="宋体" w:cs="Courier New"/>
          <w:kern w:val="2"/>
          <w:sz w:val="18"/>
          <w:szCs w:val="18"/>
        </w:rPr>
        <w:t xml:space="preserve"> </w:t>
      </w:r>
      <w:r>
        <w:rPr>
          <w:rFonts w:hint="eastAsia" w:ascii="宋体" w:hAnsi="宋体" w:cs="Courier New"/>
          <w:kern w:val="2"/>
          <w:sz w:val="18"/>
          <w:szCs w:val="18"/>
        </w:rPr>
        <w:t>单位为毫米</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37"/>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44" w:type="dxa"/>
            <w:vMerge w:val="restart"/>
            <w:vAlign w:val="center"/>
          </w:tcPr>
          <w:p>
            <w:pPr>
              <w:snapToGrid w:val="0"/>
              <w:spacing w:line="240" w:lineRule="auto"/>
              <w:jc w:val="center"/>
              <w:textAlignment w:val="auto"/>
              <w:rPr>
                <w:rFonts w:ascii="宋体" w:hAnsi="宋体" w:cs="Courier New"/>
                <w:kern w:val="2"/>
                <w:sz w:val="18"/>
                <w:szCs w:val="18"/>
              </w:rPr>
            </w:pPr>
            <w:r>
              <w:rPr>
                <w:rFonts w:hint="eastAsia" w:ascii="宋体" w:hAnsi="宋体" w:cs="Courier New"/>
                <w:kern w:val="2"/>
                <w:sz w:val="18"/>
                <w:szCs w:val="18"/>
              </w:rPr>
              <w:t>厚度</w:t>
            </w:r>
          </w:p>
        </w:tc>
        <w:tc>
          <w:tcPr>
            <w:tcW w:w="6661" w:type="dxa"/>
            <w:gridSpan w:val="2"/>
            <w:vAlign w:val="center"/>
          </w:tcPr>
          <w:p>
            <w:pPr>
              <w:snapToGrid w:val="0"/>
              <w:spacing w:line="240" w:lineRule="auto"/>
              <w:jc w:val="center"/>
              <w:textAlignment w:val="auto"/>
              <w:rPr>
                <w:rFonts w:ascii="宋体" w:hAnsi="宋体" w:cs="Courier New"/>
                <w:kern w:val="2"/>
                <w:sz w:val="18"/>
                <w:szCs w:val="18"/>
              </w:rPr>
            </w:pPr>
            <w:r>
              <w:rPr>
                <w:rFonts w:hint="eastAsia" w:ascii="宋体" w:hAnsi="宋体" w:cs="Courier New"/>
                <w:kern w:val="2"/>
                <w:sz w:val="18"/>
                <w:szCs w:val="18"/>
              </w:rPr>
              <w:t>带材宽度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44" w:type="dxa"/>
            <w:vMerge w:val="continue"/>
            <w:vAlign w:val="center"/>
          </w:tcPr>
          <w:p>
            <w:pPr>
              <w:snapToGrid w:val="0"/>
              <w:spacing w:line="240" w:lineRule="auto"/>
              <w:jc w:val="center"/>
              <w:textAlignment w:val="auto"/>
              <w:rPr>
                <w:rFonts w:ascii="宋体" w:hAnsi="宋体" w:cs="Courier New"/>
                <w:kern w:val="2"/>
                <w:sz w:val="18"/>
                <w:szCs w:val="18"/>
              </w:rPr>
            </w:pPr>
          </w:p>
        </w:tc>
        <w:tc>
          <w:tcPr>
            <w:tcW w:w="3537" w:type="dxa"/>
            <w:vAlign w:val="center"/>
          </w:tcPr>
          <w:p>
            <w:pPr>
              <w:snapToGrid w:val="0"/>
              <w:spacing w:line="240" w:lineRule="auto"/>
              <w:jc w:val="center"/>
              <w:rPr>
                <w:rFonts w:ascii="宋体" w:hAnsi="宋体"/>
                <w:sz w:val="18"/>
                <w:szCs w:val="18"/>
              </w:rPr>
            </w:pPr>
            <w:r>
              <w:rPr>
                <w:rFonts w:hint="eastAsia" w:ascii="宋体" w:hAnsi="宋体" w:cs="宋体"/>
                <w:sz w:val="18"/>
                <w:szCs w:val="18"/>
              </w:rPr>
              <w:t>≤</w:t>
            </w:r>
            <w:r>
              <w:rPr>
                <w:rFonts w:ascii="宋体" w:hAnsi="宋体"/>
                <w:sz w:val="18"/>
                <w:szCs w:val="18"/>
              </w:rPr>
              <w:t>100</w:t>
            </w:r>
          </w:p>
        </w:tc>
        <w:tc>
          <w:tcPr>
            <w:tcW w:w="3124" w:type="dxa"/>
            <w:vAlign w:val="center"/>
          </w:tcPr>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44" w:type="dxa"/>
            <w:vMerge w:val="continue"/>
            <w:vAlign w:val="center"/>
          </w:tcPr>
          <w:p>
            <w:pPr>
              <w:snapToGrid w:val="0"/>
              <w:spacing w:line="240" w:lineRule="auto"/>
              <w:jc w:val="center"/>
              <w:textAlignment w:val="auto"/>
              <w:rPr>
                <w:rFonts w:ascii="宋体" w:hAnsi="宋体" w:cs="Courier New"/>
                <w:kern w:val="2"/>
                <w:sz w:val="18"/>
                <w:szCs w:val="18"/>
              </w:rPr>
            </w:pPr>
          </w:p>
        </w:tc>
        <w:tc>
          <w:tcPr>
            <w:tcW w:w="6661" w:type="dxa"/>
            <w:gridSpan w:val="2"/>
            <w:vAlign w:val="center"/>
          </w:tcPr>
          <w:p>
            <w:pPr>
              <w:snapToGrid w:val="0"/>
              <w:spacing w:line="240" w:lineRule="auto"/>
              <w:jc w:val="center"/>
              <w:textAlignment w:val="auto"/>
              <w:rPr>
                <w:rFonts w:ascii="宋体" w:hAnsi="宋体" w:cs="Courier New"/>
                <w:kern w:val="2"/>
                <w:sz w:val="18"/>
                <w:szCs w:val="18"/>
              </w:rPr>
            </w:pPr>
            <w:r>
              <w:rPr>
                <w:rFonts w:hint="eastAsia" w:ascii="宋体" w:hAnsi="宋体" w:cs="Courier New"/>
                <w:kern w:val="2"/>
                <w:sz w:val="18"/>
                <w:szCs w:val="18"/>
              </w:rPr>
              <w:t>宽度允许偏差</w:t>
            </w:r>
            <w:r>
              <w:rPr>
                <w:rFonts w:ascii="宋体" w:hAnsi="宋体"/>
                <w:kern w:val="2"/>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44" w:type="dxa"/>
            <w:vAlign w:val="center"/>
          </w:tcPr>
          <w:p>
            <w:pPr>
              <w:snapToGrid w:val="0"/>
              <w:spacing w:line="240" w:lineRule="auto"/>
              <w:jc w:val="center"/>
              <w:textAlignment w:val="auto"/>
              <w:rPr>
                <w:rFonts w:ascii="宋体" w:hAnsi="宋体" w:cs="Courier New"/>
                <w:kern w:val="2"/>
                <w:sz w:val="18"/>
                <w:szCs w:val="18"/>
              </w:rPr>
            </w:pPr>
            <w:r>
              <w:rPr>
                <w:rFonts w:ascii="宋体" w:hAnsi="宋体" w:cs="Courier New"/>
                <w:kern w:val="2"/>
                <w:sz w:val="18"/>
                <w:szCs w:val="18"/>
              </w:rPr>
              <w:t>0.1</w:t>
            </w:r>
            <w:r>
              <w:rPr>
                <w:rFonts w:hint="eastAsia" w:ascii="宋体" w:hAnsi="宋体" w:cs="Courier New"/>
                <w:kern w:val="2"/>
                <w:sz w:val="18"/>
                <w:szCs w:val="18"/>
              </w:rPr>
              <w:t>～</w:t>
            </w:r>
            <w:r>
              <w:rPr>
                <w:rFonts w:ascii="宋体" w:hAnsi="宋体" w:cs="Courier New"/>
                <w:kern w:val="2"/>
                <w:sz w:val="18"/>
                <w:szCs w:val="18"/>
              </w:rPr>
              <w:t>1.0</w:t>
            </w:r>
          </w:p>
        </w:tc>
        <w:tc>
          <w:tcPr>
            <w:tcW w:w="3537" w:type="dxa"/>
            <w:vAlign w:val="center"/>
          </w:tcPr>
          <w:p>
            <w:pPr>
              <w:snapToGrid w:val="0"/>
              <w:spacing w:line="240" w:lineRule="auto"/>
              <w:jc w:val="center"/>
              <w:textAlignment w:val="auto"/>
              <w:rPr>
                <w:rFonts w:ascii="宋体" w:hAnsi="宋体" w:cs="Courier New"/>
                <w:kern w:val="2"/>
                <w:sz w:val="18"/>
                <w:szCs w:val="18"/>
              </w:rPr>
            </w:pPr>
            <w:r>
              <w:rPr>
                <w:rFonts w:hint="eastAsia" w:ascii="宋体" w:hAnsi="宋体" w:cs="Courier New"/>
                <w:kern w:val="2"/>
                <w:sz w:val="18"/>
                <w:szCs w:val="18"/>
              </w:rPr>
              <w:t>±</w:t>
            </w:r>
            <w:r>
              <w:rPr>
                <w:rFonts w:ascii="宋体" w:hAnsi="宋体" w:cs="Courier New"/>
                <w:kern w:val="2"/>
                <w:sz w:val="18"/>
                <w:szCs w:val="18"/>
              </w:rPr>
              <w:t>0.05</w:t>
            </w:r>
          </w:p>
        </w:tc>
        <w:tc>
          <w:tcPr>
            <w:tcW w:w="3124" w:type="dxa"/>
            <w:vAlign w:val="center"/>
          </w:tcPr>
          <w:p>
            <w:pPr>
              <w:snapToGrid w:val="0"/>
              <w:spacing w:line="240" w:lineRule="auto"/>
              <w:jc w:val="center"/>
              <w:textAlignment w:val="auto"/>
              <w:rPr>
                <w:rFonts w:ascii="宋体" w:hAnsi="宋体" w:cs="Courier New"/>
                <w:kern w:val="2"/>
                <w:sz w:val="18"/>
                <w:szCs w:val="18"/>
              </w:rPr>
            </w:pPr>
            <w:r>
              <w:rPr>
                <w:rFonts w:hint="eastAsia" w:ascii="宋体" w:hAnsi="宋体" w:cs="Courier New"/>
                <w:kern w:val="2"/>
                <w:sz w:val="18"/>
                <w:szCs w:val="18"/>
              </w:rPr>
              <w:t>±</w:t>
            </w:r>
            <w:r>
              <w:rPr>
                <w:rFonts w:ascii="宋体" w:hAnsi="宋体" w:cs="Courier New"/>
                <w:kern w:val="2"/>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05" w:type="dxa"/>
            <w:gridSpan w:val="3"/>
            <w:vAlign w:val="center"/>
          </w:tcPr>
          <w:p>
            <w:pPr>
              <w:snapToGrid w:val="0"/>
              <w:spacing w:line="240" w:lineRule="auto"/>
              <w:textAlignment w:val="auto"/>
              <w:rPr>
                <w:rFonts w:ascii="宋体" w:hAnsi="宋体" w:cs="Courier New"/>
                <w:kern w:val="2"/>
                <w:sz w:val="18"/>
                <w:szCs w:val="18"/>
              </w:rPr>
            </w:pPr>
            <w:r>
              <w:rPr>
                <w:rFonts w:hAnsi="宋体"/>
                <w:sz w:val="18"/>
                <w:szCs w:val="18"/>
                <w:vertAlign w:val="superscript"/>
              </w:rPr>
              <w:t xml:space="preserve">a </w:t>
            </w:r>
            <w:r>
              <w:rPr>
                <w:rFonts w:hint="eastAsia" w:ascii="宋体" w:hAnsi="宋体"/>
                <w:sz w:val="18"/>
                <w:szCs w:val="18"/>
              </w:rPr>
              <w:t>当要求宽度允许偏差全为（+）或全为（-）单向偏差时，</w:t>
            </w:r>
            <w:r>
              <w:rPr>
                <w:rFonts w:hint="eastAsia" w:hAnsi="宋体"/>
                <w:sz w:val="18"/>
                <w:szCs w:val="18"/>
              </w:rPr>
              <w:t>其值为表中数值的</w:t>
            </w:r>
            <w:r>
              <w:rPr>
                <w:rFonts w:hAnsi="宋体"/>
                <w:sz w:val="18"/>
                <w:szCs w:val="18"/>
              </w:rPr>
              <w:t>2</w:t>
            </w:r>
            <w:r>
              <w:rPr>
                <w:rFonts w:hint="eastAsia" w:hAnsi="宋体"/>
                <w:sz w:val="18"/>
                <w:szCs w:val="18"/>
              </w:rPr>
              <w:t>倍。</w:t>
            </w:r>
          </w:p>
        </w:tc>
      </w:tr>
    </w:tbl>
    <w:p>
      <w:pPr>
        <w:pStyle w:val="12"/>
        <w:snapToGrid w:val="0"/>
        <w:spacing w:beforeLines="50" w:line="360" w:lineRule="auto"/>
        <w:ind w:firstLine="0" w:firstLineChars="0"/>
        <w:rPr>
          <w:rFonts w:ascii="黑体" w:hAnsi="宋体" w:eastAsia="黑体" w:cs="宋体"/>
          <w:szCs w:val="21"/>
        </w:rPr>
      </w:pPr>
      <w:r>
        <w:rPr>
          <w:rFonts w:hint="eastAsia" w:ascii="黑体" w:hAnsi="宋体" w:eastAsia="黑体" w:cs="宋体"/>
          <w:szCs w:val="21"/>
        </w:rPr>
        <w:t>5.2.3侧边弯曲度</w:t>
      </w:r>
    </w:p>
    <w:p>
      <w:pPr>
        <w:pStyle w:val="12"/>
        <w:snapToGrid w:val="0"/>
        <w:rPr>
          <w:rFonts w:ascii="黑体" w:hAnsi="宋体" w:eastAsia="黑体" w:cs="黑体"/>
          <w:szCs w:val="21"/>
        </w:rPr>
      </w:pPr>
      <w:r>
        <w:rPr>
          <w:rFonts w:hint="eastAsia" w:ascii="宋体" w:hAnsi="宋体" w:cs="宋体"/>
          <w:szCs w:val="21"/>
        </w:rPr>
        <w:t>带材侧边弯曲度应符合表</w:t>
      </w:r>
      <w:r>
        <w:rPr>
          <w:rFonts w:ascii="宋体" w:hAnsi="宋体" w:cs="宋体"/>
          <w:szCs w:val="21"/>
        </w:rPr>
        <w:t>4</w:t>
      </w:r>
      <w:r>
        <w:rPr>
          <w:rFonts w:hint="eastAsia" w:ascii="宋体" w:hAnsi="宋体" w:cs="宋体"/>
          <w:szCs w:val="21"/>
        </w:rPr>
        <w:t>的规定：</w:t>
      </w:r>
    </w:p>
    <w:p>
      <w:pPr>
        <w:snapToGrid w:val="0"/>
        <w:spacing w:line="240" w:lineRule="auto"/>
        <w:jc w:val="center"/>
        <w:rPr>
          <w:rFonts w:ascii="黑体" w:hAnsi="宋体" w:eastAsia="黑体" w:cs="黑体"/>
          <w:sz w:val="21"/>
          <w:szCs w:val="21"/>
        </w:rPr>
      </w:pPr>
      <w:r>
        <w:rPr>
          <w:rFonts w:hint="eastAsia" w:ascii="黑体" w:hAnsi="宋体" w:eastAsia="黑体" w:cs="黑体"/>
          <w:sz w:val="21"/>
          <w:szCs w:val="21"/>
        </w:rPr>
        <w:t>表4  侧边弯曲度</w:t>
      </w:r>
    </w:p>
    <w:tbl>
      <w:tblPr>
        <w:tblStyle w:val="2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4112"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带材宽度</w:t>
            </w:r>
          </w:p>
          <w:p>
            <w:pPr>
              <w:snapToGrid w:val="0"/>
              <w:spacing w:line="240" w:lineRule="auto"/>
              <w:jc w:val="center"/>
              <w:rPr>
                <w:rFonts w:ascii="宋体" w:hAnsi="宋体" w:cs="宋体"/>
                <w:sz w:val="18"/>
                <w:szCs w:val="18"/>
              </w:rPr>
            </w:pPr>
            <w:r>
              <w:rPr>
                <w:rFonts w:ascii="宋体" w:hAnsi="宋体" w:cs="宋体"/>
                <w:sz w:val="18"/>
                <w:szCs w:val="18"/>
              </w:rPr>
              <w:t>mm</w:t>
            </w:r>
          </w:p>
        </w:tc>
        <w:tc>
          <w:tcPr>
            <w:tcW w:w="4405"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侧边弯曲度</w:t>
            </w:r>
          </w:p>
          <w:p>
            <w:pPr>
              <w:snapToGrid w:val="0"/>
              <w:spacing w:line="240" w:lineRule="auto"/>
              <w:jc w:val="center"/>
              <w:rPr>
                <w:rFonts w:ascii="宋体" w:hAnsi="宋体" w:cs="宋体"/>
                <w:sz w:val="18"/>
                <w:szCs w:val="18"/>
              </w:rPr>
            </w:pPr>
            <w:r>
              <w:rPr>
                <w:rFonts w:ascii="宋体" w:hAnsi="宋体" w:cs="宋体"/>
                <w:sz w:val="18"/>
                <w:szCs w:val="18"/>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4112" w:type="dxa"/>
            <w:vAlign w:val="center"/>
          </w:tcPr>
          <w:p>
            <w:pPr>
              <w:snapToGrid w:val="0"/>
              <w:spacing w:line="240" w:lineRule="auto"/>
              <w:jc w:val="center"/>
              <w:rPr>
                <w:rFonts w:ascii="宋体" w:hAnsi="宋体"/>
                <w:sz w:val="18"/>
                <w:szCs w:val="18"/>
              </w:rPr>
            </w:pPr>
            <w:r>
              <w:rPr>
                <w:rFonts w:hint="eastAsia" w:ascii="宋体" w:hAnsi="宋体" w:cs="宋体"/>
                <w:sz w:val="18"/>
                <w:szCs w:val="18"/>
              </w:rPr>
              <w:t>≤</w:t>
            </w:r>
            <w:r>
              <w:rPr>
                <w:rFonts w:ascii="宋体" w:hAnsi="宋体"/>
                <w:sz w:val="18"/>
                <w:szCs w:val="18"/>
              </w:rPr>
              <w:t>100</w:t>
            </w:r>
          </w:p>
        </w:tc>
        <w:tc>
          <w:tcPr>
            <w:tcW w:w="4405" w:type="dxa"/>
            <w:vAlign w:val="center"/>
          </w:tcPr>
          <w:p>
            <w:pPr>
              <w:snapToGrid w:val="0"/>
              <w:spacing w:line="240" w:lineRule="auto"/>
              <w:jc w:val="center"/>
              <w:rPr>
                <w:rFonts w:ascii="宋体" w:hAnsi="宋体"/>
                <w:sz w:val="18"/>
                <w:szCs w:val="18"/>
              </w:rPr>
            </w:pPr>
            <w:r>
              <w:rPr>
                <w:rFonts w:hint="eastAsia" w:ascii="宋体" w:hAnsi="宋体" w:cs="宋体"/>
                <w:sz w:val="18"/>
                <w:szCs w:val="18"/>
              </w:rPr>
              <w:t>≤</w:t>
            </w:r>
            <w:r>
              <w:rPr>
                <w:rFonts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112"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100</w:t>
            </w:r>
          </w:p>
        </w:tc>
        <w:tc>
          <w:tcPr>
            <w:tcW w:w="4405" w:type="dxa"/>
            <w:vAlign w:val="center"/>
          </w:tcPr>
          <w:p>
            <w:pPr>
              <w:snapToGrid w:val="0"/>
              <w:spacing w:line="240" w:lineRule="auto"/>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1.5</w:t>
            </w:r>
          </w:p>
        </w:tc>
      </w:tr>
    </w:tbl>
    <w:p>
      <w:pPr>
        <w:pStyle w:val="12"/>
        <w:snapToGrid w:val="0"/>
        <w:spacing w:beforeLines="50" w:line="360" w:lineRule="auto"/>
        <w:ind w:firstLine="0" w:firstLineChars="0"/>
        <w:rPr>
          <w:rFonts w:ascii="黑体" w:hAnsi="宋体" w:eastAsia="黑体" w:cs="宋体"/>
          <w:szCs w:val="21"/>
        </w:rPr>
      </w:pPr>
      <w:r>
        <w:rPr>
          <w:rFonts w:hint="eastAsia" w:ascii="黑体" w:hAnsi="宋体" w:eastAsia="黑体" w:cs="宋体"/>
          <w:szCs w:val="21"/>
        </w:rPr>
        <w:t>5.2.4横弯</w:t>
      </w:r>
    </w:p>
    <w:p>
      <w:pPr>
        <w:snapToGrid w:val="0"/>
        <w:spacing w:line="360" w:lineRule="auto"/>
        <w:rPr>
          <w:rFonts w:ascii="宋体"/>
          <w:sz w:val="21"/>
          <w:szCs w:val="21"/>
        </w:rPr>
      </w:pPr>
      <w:r>
        <w:rPr>
          <w:rFonts w:ascii="宋体" w:hAnsi="宋体"/>
          <w:sz w:val="21"/>
          <w:szCs w:val="21"/>
        </w:rPr>
        <w:t xml:space="preserve">    </w:t>
      </w:r>
      <w:r>
        <w:rPr>
          <w:rFonts w:hint="eastAsia" w:ascii="宋体" w:hAnsi="宋体"/>
          <w:color w:val="FF0000"/>
          <w:sz w:val="21"/>
          <w:szCs w:val="21"/>
        </w:rPr>
        <w:t>带箔材</w:t>
      </w:r>
      <w:r>
        <w:rPr>
          <w:rFonts w:hint="eastAsia" w:ascii="宋体" w:hAnsi="宋体"/>
          <w:sz w:val="21"/>
          <w:szCs w:val="21"/>
        </w:rPr>
        <w:t>厚度不小于</w:t>
      </w:r>
      <w:r>
        <w:rPr>
          <w:rFonts w:ascii="宋体" w:hAnsi="宋体"/>
          <w:sz w:val="21"/>
          <w:szCs w:val="21"/>
        </w:rPr>
        <w:t>0.5mm</w:t>
      </w:r>
      <w:r>
        <w:rPr>
          <w:rFonts w:hint="eastAsia" w:ascii="宋体" w:hAnsi="宋体"/>
          <w:sz w:val="21"/>
          <w:szCs w:val="21"/>
        </w:rPr>
        <w:t>、宽度不大于</w:t>
      </w:r>
      <w:r>
        <w:rPr>
          <w:rFonts w:ascii="宋体" w:hAnsi="宋体"/>
          <w:sz w:val="21"/>
          <w:szCs w:val="21"/>
        </w:rPr>
        <w:t>100mm</w:t>
      </w:r>
      <w:r>
        <w:rPr>
          <w:rFonts w:hint="eastAsia" w:ascii="宋体" w:hAnsi="宋体"/>
          <w:sz w:val="21"/>
          <w:szCs w:val="21"/>
        </w:rPr>
        <w:t>的带材横弯应符合表</w:t>
      </w:r>
      <w:r>
        <w:rPr>
          <w:rFonts w:ascii="宋体" w:hAnsi="宋体"/>
          <w:sz w:val="21"/>
          <w:szCs w:val="21"/>
        </w:rPr>
        <w:t>5</w:t>
      </w:r>
      <w:r>
        <w:rPr>
          <w:rFonts w:hint="eastAsia" w:ascii="宋体" w:hAnsi="宋体"/>
          <w:sz w:val="21"/>
          <w:szCs w:val="21"/>
        </w:rPr>
        <w:t>的规定。</w:t>
      </w:r>
    </w:p>
    <w:p>
      <w:pPr>
        <w:snapToGrid w:val="0"/>
        <w:spacing w:line="240" w:lineRule="auto"/>
        <w:ind w:right="420"/>
        <w:jc w:val="center"/>
        <w:rPr>
          <w:rFonts w:ascii="宋体" w:cs="黑体"/>
          <w:sz w:val="21"/>
          <w:szCs w:val="21"/>
        </w:rPr>
      </w:pPr>
      <w:r>
        <w:rPr>
          <w:rFonts w:hint="eastAsia" w:ascii="宋体" w:hAnsi="宋体" w:cs="黑体"/>
          <w:sz w:val="21"/>
          <w:szCs w:val="21"/>
        </w:rPr>
        <w:t xml:space="preserve">                                  </w:t>
      </w:r>
      <w:r>
        <w:rPr>
          <w:rFonts w:hint="eastAsia" w:ascii="黑体" w:hAnsi="宋体" w:eastAsia="黑体" w:cs="黑体"/>
          <w:sz w:val="21"/>
          <w:szCs w:val="21"/>
        </w:rPr>
        <w:t xml:space="preserve"> 表5    横弯    </w:t>
      </w:r>
      <w:r>
        <w:rPr>
          <w:rFonts w:hint="eastAsia" w:ascii="宋体" w:hAnsi="宋体" w:cs="黑体"/>
          <w:sz w:val="21"/>
          <w:szCs w:val="21"/>
        </w:rPr>
        <w:t xml:space="preserve">                   </w:t>
      </w:r>
      <w:r>
        <w:rPr>
          <w:rFonts w:hint="eastAsia" w:ascii="宋体" w:hAnsi="宋体" w:cs="黑体"/>
          <w:color w:val="00B0F0"/>
          <w:sz w:val="21"/>
          <w:szCs w:val="21"/>
        </w:rPr>
        <w:t xml:space="preserve">  </w:t>
      </w:r>
      <w:r>
        <w:rPr>
          <w:rFonts w:hint="eastAsia" w:ascii="宋体" w:hAnsi="宋体" w:cs="黑体"/>
          <w:sz w:val="21"/>
          <w:szCs w:val="21"/>
        </w:rPr>
        <w:t xml:space="preserve">   </w:t>
      </w:r>
      <w:r>
        <w:rPr>
          <w:rFonts w:hint="eastAsia" w:ascii="宋体" w:hAnsi="宋体" w:cs="Courier New"/>
          <w:kern w:val="2"/>
          <w:sz w:val="18"/>
          <w:szCs w:val="18"/>
        </w:rPr>
        <w:t>单位为毫米</w:t>
      </w:r>
    </w:p>
    <w:tbl>
      <w:tblPr>
        <w:tblStyle w:val="27"/>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4"/>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12"/>
              <w:snapToGrid w:val="0"/>
              <w:ind w:firstLine="360"/>
              <w:jc w:val="center"/>
              <w:rPr>
                <w:rFonts w:ascii="宋体" w:cs="宋体"/>
                <w:color w:val="FF0000"/>
                <w:sz w:val="18"/>
                <w:szCs w:val="18"/>
              </w:rPr>
            </w:pPr>
            <w:r>
              <w:rPr>
                <w:rFonts w:hint="eastAsia" w:ascii="宋体" w:hAnsi="宋体" w:cs="宋体"/>
                <w:sz w:val="18"/>
                <w:szCs w:val="18"/>
              </w:rPr>
              <w:t>带材宽度</w:t>
            </w:r>
          </w:p>
        </w:tc>
        <w:tc>
          <w:tcPr>
            <w:tcW w:w="4274" w:type="dxa"/>
            <w:vAlign w:val="center"/>
          </w:tcPr>
          <w:p>
            <w:pPr>
              <w:pStyle w:val="12"/>
              <w:snapToGrid w:val="0"/>
              <w:ind w:firstLine="360"/>
              <w:jc w:val="center"/>
              <w:rPr>
                <w:rFonts w:ascii="宋体" w:cs="宋体"/>
                <w:color w:val="FF0000"/>
                <w:sz w:val="18"/>
                <w:szCs w:val="18"/>
              </w:rPr>
            </w:pPr>
            <w:r>
              <w:rPr>
                <w:rFonts w:hint="eastAsia" w:ascii="宋体" w:hAnsi="宋体" w:cs="宋体"/>
                <w:sz w:val="18"/>
                <w:szCs w:val="18"/>
              </w:rPr>
              <w:t>横弯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74" w:type="dxa"/>
            <w:vAlign w:val="center"/>
          </w:tcPr>
          <w:p>
            <w:pPr>
              <w:pStyle w:val="12"/>
              <w:snapToGrid w:val="0"/>
              <w:ind w:firstLine="36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50</w:t>
            </w:r>
          </w:p>
        </w:tc>
        <w:tc>
          <w:tcPr>
            <w:tcW w:w="4274" w:type="dxa"/>
            <w:vAlign w:val="center"/>
          </w:tcPr>
          <w:p>
            <w:pPr>
              <w:pStyle w:val="12"/>
              <w:snapToGrid w:val="0"/>
              <w:ind w:firstLine="36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74" w:type="dxa"/>
            <w:vAlign w:val="center"/>
          </w:tcPr>
          <w:p>
            <w:pPr>
              <w:pStyle w:val="12"/>
              <w:snapToGrid w:val="0"/>
              <w:ind w:firstLine="36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50</w:t>
            </w:r>
            <w:r>
              <w:rPr>
                <w:rFonts w:hint="eastAsia" w:ascii="宋体" w:hAnsi="宋体" w:cs="宋体"/>
                <w:sz w:val="18"/>
                <w:szCs w:val="18"/>
              </w:rPr>
              <w:t>～</w:t>
            </w:r>
            <w:r>
              <w:rPr>
                <w:rFonts w:ascii="宋体" w:hAnsi="宋体" w:cs="宋体"/>
                <w:sz w:val="18"/>
                <w:szCs w:val="18"/>
              </w:rPr>
              <w:t>100</w:t>
            </w:r>
          </w:p>
        </w:tc>
        <w:tc>
          <w:tcPr>
            <w:tcW w:w="4274" w:type="dxa"/>
            <w:vAlign w:val="center"/>
          </w:tcPr>
          <w:p>
            <w:pPr>
              <w:pStyle w:val="12"/>
              <w:snapToGrid w:val="0"/>
              <w:ind w:firstLine="36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0.20</w:t>
            </w:r>
          </w:p>
        </w:tc>
      </w:tr>
    </w:tbl>
    <w:p>
      <w:pPr>
        <w:pStyle w:val="12"/>
        <w:snapToGrid w:val="0"/>
        <w:spacing w:beforeLines="50" w:line="360" w:lineRule="auto"/>
        <w:ind w:firstLine="0" w:firstLineChars="0"/>
        <w:rPr>
          <w:rFonts w:ascii="黑体" w:hAnsi="宋体" w:eastAsia="黑体" w:cs="宋体"/>
          <w:szCs w:val="21"/>
        </w:rPr>
      </w:pPr>
      <w:r>
        <w:rPr>
          <w:rFonts w:hint="eastAsia" w:ascii="黑体" w:hAnsi="宋体" w:eastAsia="黑体" w:cs="宋体"/>
          <w:szCs w:val="21"/>
        </w:rPr>
        <w:t>5.2.5板形</w:t>
      </w:r>
    </w:p>
    <w:p>
      <w:pPr>
        <w:snapToGrid w:val="0"/>
        <w:spacing w:line="240" w:lineRule="auto"/>
        <w:ind w:firstLine="420" w:firstLineChars="200"/>
        <w:rPr>
          <w:rFonts w:ascii="宋体"/>
          <w:sz w:val="21"/>
          <w:szCs w:val="21"/>
        </w:rPr>
      </w:pPr>
      <w:r>
        <w:rPr>
          <w:rFonts w:hint="eastAsia" w:ascii="宋体" w:hAnsi="宋体"/>
          <w:sz w:val="21"/>
          <w:szCs w:val="21"/>
        </w:rPr>
        <w:t>带箔材的板形≤</w:t>
      </w:r>
      <w:r>
        <w:rPr>
          <w:rFonts w:ascii="宋体" w:hAnsi="宋体"/>
          <w:bCs/>
          <w:sz w:val="21"/>
          <w:szCs w:val="21"/>
        </w:rPr>
        <w:t>5I</w:t>
      </w:r>
      <w:r>
        <w:rPr>
          <w:rFonts w:hint="eastAsia" w:ascii="宋体" w:hAnsi="宋体"/>
          <w:bCs/>
          <w:sz w:val="21"/>
          <w:szCs w:val="21"/>
        </w:rPr>
        <w:t>。</w:t>
      </w:r>
    </w:p>
    <w:p>
      <w:pPr>
        <w:pStyle w:val="12"/>
        <w:snapToGrid w:val="0"/>
        <w:spacing w:beforeLines="50" w:line="360" w:lineRule="auto"/>
        <w:ind w:firstLine="0" w:firstLineChars="0"/>
        <w:rPr>
          <w:rFonts w:ascii="黑体" w:hAnsi="宋体" w:eastAsia="黑体" w:cs="宋体"/>
          <w:szCs w:val="21"/>
        </w:rPr>
      </w:pPr>
      <w:r>
        <w:rPr>
          <w:rFonts w:hint="eastAsia" w:ascii="黑体" w:hAnsi="宋体" w:eastAsia="黑体" w:cs="宋体"/>
          <w:szCs w:val="21"/>
        </w:rPr>
        <w:t>5.2.6 毛刺</w:t>
      </w:r>
    </w:p>
    <w:p>
      <w:pPr>
        <w:pStyle w:val="12"/>
        <w:snapToGrid w:val="0"/>
        <w:rPr>
          <w:rFonts w:ascii="宋体" w:cs="宋体"/>
          <w:szCs w:val="21"/>
        </w:rPr>
      </w:pPr>
      <w:r>
        <w:rPr>
          <w:rFonts w:hint="eastAsia" w:ascii="宋体" w:hAnsi="宋体" w:cs="宋体"/>
          <w:szCs w:val="21"/>
        </w:rPr>
        <w:t>铜带的两边应切齐，无裂边和卷边，边缘毛刺高度应不超过</w:t>
      </w:r>
      <w:r>
        <w:rPr>
          <w:rFonts w:ascii="宋体" w:hAnsi="宋体" w:cs="宋体"/>
          <w:szCs w:val="21"/>
        </w:rPr>
        <w:t>0.02mm</w:t>
      </w:r>
      <w:r>
        <w:rPr>
          <w:rFonts w:hint="eastAsia" w:ascii="宋体" w:hAnsi="宋体" w:cs="宋体"/>
          <w:szCs w:val="21"/>
        </w:rPr>
        <w:t>。</w:t>
      </w:r>
    </w:p>
    <w:p>
      <w:pPr>
        <w:pStyle w:val="12"/>
        <w:snapToGrid w:val="0"/>
        <w:spacing w:beforeLines="50" w:line="360" w:lineRule="auto"/>
        <w:ind w:firstLine="0" w:firstLineChars="0"/>
        <w:rPr>
          <w:rFonts w:ascii="黑体" w:hAnsi="宋体" w:eastAsia="黑体" w:cs="宋体"/>
          <w:szCs w:val="21"/>
        </w:rPr>
      </w:pPr>
      <w:r>
        <w:rPr>
          <w:rFonts w:hint="eastAsia" w:ascii="黑体" w:hAnsi="宋体" w:eastAsia="黑体" w:cs="宋体"/>
          <w:szCs w:val="21"/>
        </w:rPr>
        <w:t>5.3 力学性能</w:t>
      </w:r>
    </w:p>
    <w:p>
      <w:pPr>
        <w:pStyle w:val="3"/>
        <w:snapToGrid w:val="0"/>
        <w:rPr>
          <w:b/>
        </w:rPr>
      </w:pPr>
      <w:r>
        <w:rPr>
          <w:rFonts w:hint="eastAsia"/>
        </w:rPr>
        <w:t>铜带箔材的室温力学性能应符合表</w:t>
      </w:r>
      <w:r>
        <w:t>6</w:t>
      </w:r>
      <w:r>
        <w:rPr>
          <w:rFonts w:hint="eastAsia"/>
        </w:rPr>
        <w:t>的规定。</w:t>
      </w:r>
    </w:p>
    <w:p>
      <w:pPr>
        <w:snapToGrid w:val="0"/>
        <w:spacing w:line="240" w:lineRule="auto"/>
        <w:jc w:val="center"/>
        <w:rPr>
          <w:rFonts w:ascii="黑体" w:eastAsia="黑体"/>
          <w:b/>
          <w:sz w:val="21"/>
          <w:szCs w:val="21"/>
        </w:rPr>
      </w:pPr>
      <w:r>
        <w:rPr>
          <w:rFonts w:hint="eastAsia" w:ascii="黑体" w:hAnsi="宋体" w:eastAsia="黑体" w:cs="黑体"/>
          <w:bCs/>
          <w:sz w:val="21"/>
          <w:szCs w:val="21"/>
        </w:rPr>
        <w:t>表6  力学性能</w:t>
      </w:r>
    </w:p>
    <w:tbl>
      <w:tblPr>
        <w:tblStyle w:val="27"/>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371"/>
        <w:gridCol w:w="2183"/>
        <w:gridCol w:w="194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67" w:type="dxa"/>
            <w:vAlign w:val="center"/>
          </w:tcPr>
          <w:p>
            <w:pPr>
              <w:pStyle w:val="12"/>
              <w:snapToGrid w:val="0"/>
              <w:ind w:firstLine="0" w:firstLineChars="0"/>
              <w:jc w:val="center"/>
              <w:rPr>
                <w:rFonts w:ascii="宋体"/>
                <w:sz w:val="18"/>
                <w:szCs w:val="18"/>
              </w:rPr>
            </w:pPr>
            <w:r>
              <w:rPr>
                <w:rFonts w:hint="eastAsia" w:ascii="宋体" w:hAnsi="宋体"/>
                <w:sz w:val="18"/>
                <w:szCs w:val="18"/>
              </w:rPr>
              <w:t>牌号</w:t>
            </w:r>
          </w:p>
        </w:tc>
        <w:tc>
          <w:tcPr>
            <w:tcW w:w="1371" w:type="dxa"/>
            <w:vAlign w:val="center"/>
          </w:tcPr>
          <w:p>
            <w:pPr>
              <w:pStyle w:val="12"/>
              <w:snapToGrid w:val="0"/>
              <w:ind w:firstLine="0" w:firstLineChars="0"/>
              <w:jc w:val="center"/>
              <w:rPr>
                <w:rFonts w:ascii="宋体"/>
                <w:sz w:val="18"/>
                <w:szCs w:val="18"/>
              </w:rPr>
            </w:pPr>
            <w:r>
              <w:rPr>
                <w:rFonts w:hint="eastAsia" w:ascii="宋体" w:hAnsi="宋体"/>
                <w:sz w:val="18"/>
                <w:szCs w:val="18"/>
              </w:rPr>
              <w:t>状态</w:t>
            </w:r>
          </w:p>
        </w:tc>
        <w:tc>
          <w:tcPr>
            <w:tcW w:w="2183"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抗拉强度</w:t>
            </w:r>
            <w:r>
              <w:rPr>
                <w:rFonts w:ascii="宋体" w:hAnsi="宋体"/>
                <w:i/>
                <w:sz w:val="18"/>
                <w:szCs w:val="18"/>
              </w:rPr>
              <w:t>R</w:t>
            </w:r>
            <w:r>
              <w:rPr>
                <w:rFonts w:ascii="宋体" w:hAnsi="宋体"/>
                <w:sz w:val="18"/>
                <w:szCs w:val="18"/>
              </w:rPr>
              <w:t>m</w:t>
            </w:r>
          </w:p>
          <w:p>
            <w:pPr>
              <w:pStyle w:val="12"/>
              <w:snapToGrid w:val="0"/>
              <w:ind w:firstLine="0" w:firstLineChars="0"/>
              <w:jc w:val="center"/>
              <w:rPr>
                <w:rFonts w:ascii="宋体" w:hAnsi="宋体"/>
                <w:sz w:val="18"/>
                <w:szCs w:val="18"/>
              </w:rPr>
            </w:pPr>
            <w:r>
              <w:rPr>
                <w:rFonts w:ascii="宋体" w:hAnsi="宋体"/>
                <w:sz w:val="18"/>
                <w:szCs w:val="18"/>
              </w:rPr>
              <w:t>MPa</w:t>
            </w:r>
          </w:p>
        </w:tc>
        <w:tc>
          <w:tcPr>
            <w:tcW w:w="1945"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断后伸长率</w:t>
            </w:r>
            <w:r>
              <w:rPr>
                <w:rFonts w:ascii="宋体" w:hAnsi="宋体"/>
                <w:i/>
                <w:sz w:val="18"/>
                <w:szCs w:val="18"/>
              </w:rPr>
              <w:t>A</w:t>
            </w:r>
            <w:r>
              <w:rPr>
                <w:rFonts w:ascii="宋体" w:hAnsi="宋体"/>
                <w:sz w:val="18"/>
                <w:szCs w:val="18"/>
                <w:vertAlign w:val="subscript"/>
              </w:rPr>
              <w:t>11.3</w:t>
            </w:r>
          </w:p>
          <w:p>
            <w:pPr>
              <w:pStyle w:val="12"/>
              <w:snapToGrid w:val="0"/>
              <w:ind w:firstLine="0" w:firstLineChars="0"/>
              <w:jc w:val="center"/>
              <w:rPr>
                <w:rFonts w:ascii="宋体" w:hAnsi="宋体"/>
                <w:sz w:val="18"/>
                <w:szCs w:val="18"/>
              </w:rPr>
            </w:pPr>
            <w:r>
              <w:rPr>
                <w:rFonts w:ascii="宋体" w:hAnsi="宋体"/>
                <w:sz w:val="18"/>
                <w:szCs w:val="18"/>
              </w:rPr>
              <w:t>%</w:t>
            </w:r>
          </w:p>
        </w:tc>
        <w:tc>
          <w:tcPr>
            <w:tcW w:w="1698"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维氏硬度</w:t>
            </w:r>
            <w:r>
              <w:rPr>
                <w:rFonts w:ascii="宋体" w:hAnsi="宋体"/>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67" w:type="dxa"/>
            <w:vMerge w:val="restart"/>
            <w:vAlign w:val="center"/>
          </w:tcPr>
          <w:p>
            <w:pPr>
              <w:snapToGrid w:val="0"/>
              <w:jc w:val="center"/>
              <w:rPr>
                <w:rFonts w:ascii="宋体" w:hAnsi="宋体"/>
                <w:sz w:val="18"/>
                <w:szCs w:val="18"/>
              </w:rPr>
            </w:pPr>
            <w:r>
              <w:rPr>
                <w:rFonts w:ascii="宋体" w:hAnsi="宋体" w:cs="宋体"/>
                <w:sz w:val="18"/>
                <w:szCs w:val="18"/>
              </w:rPr>
              <w:t>TFe2.5</w:t>
            </w:r>
          </w:p>
        </w:tc>
        <w:tc>
          <w:tcPr>
            <w:tcW w:w="1371" w:type="dxa"/>
            <w:vAlign w:val="center"/>
          </w:tcPr>
          <w:p>
            <w:pPr>
              <w:pStyle w:val="12"/>
              <w:snapToGrid w:val="0"/>
              <w:ind w:firstLine="0" w:firstLineChars="0"/>
              <w:jc w:val="center"/>
              <w:rPr>
                <w:rFonts w:ascii="宋体" w:hAnsi="宋体"/>
                <w:sz w:val="18"/>
                <w:szCs w:val="18"/>
              </w:rPr>
            </w:pPr>
            <w:r>
              <w:rPr>
                <w:rFonts w:hint="eastAsia" w:ascii="宋体" w:hAnsi="宋体" w:cs="宋体"/>
                <w:sz w:val="18"/>
                <w:szCs w:val="18"/>
              </w:rPr>
              <w:t>HR03</w:t>
            </w:r>
          </w:p>
        </w:tc>
        <w:tc>
          <w:tcPr>
            <w:tcW w:w="2183"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390-470</w:t>
            </w:r>
          </w:p>
        </w:tc>
        <w:tc>
          <w:tcPr>
            <w:tcW w:w="1945"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≥8</w:t>
            </w:r>
          </w:p>
        </w:tc>
        <w:tc>
          <w:tcPr>
            <w:tcW w:w="1698"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467" w:type="dxa"/>
            <w:vMerge w:val="continue"/>
            <w:vAlign w:val="center"/>
          </w:tcPr>
          <w:p>
            <w:pPr>
              <w:snapToGrid w:val="0"/>
              <w:spacing w:line="240" w:lineRule="auto"/>
              <w:jc w:val="center"/>
              <w:rPr>
                <w:rFonts w:ascii="宋体" w:hAnsi="宋体" w:cs="宋体"/>
                <w:sz w:val="18"/>
                <w:szCs w:val="18"/>
              </w:rPr>
            </w:pPr>
          </w:p>
        </w:tc>
        <w:tc>
          <w:tcPr>
            <w:tcW w:w="1371" w:type="dxa"/>
            <w:vAlign w:val="center"/>
          </w:tcPr>
          <w:p>
            <w:pPr>
              <w:pStyle w:val="12"/>
              <w:snapToGrid w:val="0"/>
              <w:ind w:firstLine="0" w:firstLineChars="0"/>
              <w:jc w:val="center"/>
              <w:rPr>
                <w:rFonts w:ascii="宋体" w:hAnsi="宋体"/>
                <w:sz w:val="18"/>
                <w:szCs w:val="18"/>
              </w:rPr>
            </w:pPr>
            <w:r>
              <w:rPr>
                <w:rFonts w:hint="eastAsia" w:ascii="宋体" w:hAnsi="宋体" w:cs="宋体"/>
                <w:sz w:val="18"/>
                <w:szCs w:val="18"/>
              </w:rPr>
              <w:t>HR04</w:t>
            </w:r>
          </w:p>
        </w:tc>
        <w:tc>
          <w:tcPr>
            <w:tcW w:w="2183" w:type="dxa"/>
            <w:vAlign w:val="center"/>
          </w:tcPr>
          <w:p>
            <w:pPr>
              <w:pStyle w:val="12"/>
              <w:snapToGrid w:val="0"/>
              <w:ind w:firstLine="0" w:firstLineChars="0"/>
              <w:jc w:val="center"/>
              <w:rPr>
                <w:rFonts w:ascii="宋体"/>
                <w:sz w:val="18"/>
                <w:szCs w:val="18"/>
              </w:rPr>
            </w:pPr>
            <w:r>
              <w:rPr>
                <w:rFonts w:ascii="宋体" w:hAnsi="宋体"/>
                <w:sz w:val="18"/>
                <w:szCs w:val="18"/>
              </w:rPr>
              <w:t>41</w:t>
            </w:r>
            <w:r>
              <w:rPr>
                <w:rFonts w:hint="eastAsia" w:ascii="宋体" w:hAnsi="宋体"/>
                <w:sz w:val="18"/>
                <w:szCs w:val="18"/>
              </w:rPr>
              <w:t>0</w:t>
            </w:r>
            <w:r>
              <w:rPr>
                <w:rFonts w:ascii="宋体"/>
                <w:sz w:val="18"/>
                <w:szCs w:val="18"/>
              </w:rPr>
              <w:t>-</w:t>
            </w:r>
            <w:r>
              <w:rPr>
                <w:rFonts w:hint="eastAsia" w:ascii="宋体" w:hAnsi="宋体"/>
                <w:sz w:val="18"/>
                <w:szCs w:val="18"/>
              </w:rPr>
              <w:t>490</w:t>
            </w:r>
          </w:p>
        </w:tc>
        <w:tc>
          <w:tcPr>
            <w:tcW w:w="1945"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≥6</w:t>
            </w:r>
          </w:p>
        </w:tc>
        <w:tc>
          <w:tcPr>
            <w:tcW w:w="1698" w:type="dxa"/>
            <w:vAlign w:val="center"/>
          </w:tcPr>
          <w:p>
            <w:pPr>
              <w:pStyle w:val="12"/>
              <w:snapToGrid w:val="0"/>
              <w:ind w:firstLine="0" w:firstLineChars="0"/>
              <w:jc w:val="center"/>
              <w:rPr>
                <w:rFonts w:ascii="宋体"/>
                <w:sz w:val="18"/>
                <w:szCs w:val="18"/>
              </w:rPr>
            </w:pPr>
            <w:r>
              <w:rPr>
                <w:rFonts w:ascii="宋体" w:hAnsi="宋体"/>
                <w:sz w:val="18"/>
                <w:szCs w:val="18"/>
              </w:rPr>
              <w:t>12</w:t>
            </w:r>
            <w:r>
              <w:rPr>
                <w:rFonts w:hint="eastAsia" w:ascii="宋体" w:hAnsi="宋体"/>
                <w:sz w:val="18"/>
                <w:szCs w:val="18"/>
              </w:rPr>
              <w:t>5</w:t>
            </w:r>
            <w:r>
              <w:rPr>
                <w:rFonts w:ascii="宋体" w:hAnsi="宋体"/>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467" w:type="dxa"/>
            <w:vMerge w:val="continue"/>
            <w:vAlign w:val="center"/>
          </w:tcPr>
          <w:p>
            <w:pPr>
              <w:pStyle w:val="12"/>
              <w:snapToGrid w:val="0"/>
              <w:ind w:firstLine="0" w:firstLineChars="0"/>
              <w:jc w:val="center"/>
              <w:rPr>
                <w:rFonts w:ascii="宋体"/>
                <w:sz w:val="18"/>
                <w:szCs w:val="18"/>
              </w:rPr>
            </w:pPr>
          </w:p>
        </w:tc>
        <w:tc>
          <w:tcPr>
            <w:tcW w:w="1371" w:type="dxa"/>
            <w:vAlign w:val="center"/>
          </w:tcPr>
          <w:p>
            <w:pPr>
              <w:pStyle w:val="12"/>
              <w:snapToGrid w:val="0"/>
              <w:ind w:firstLine="0" w:firstLineChars="0"/>
              <w:jc w:val="center"/>
              <w:rPr>
                <w:rFonts w:ascii="宋体" w:hAnsi="宋体"/>
                <w:strike/>
                <w:sz w:val="18"/>
                <w:szCs w:val="18"/>
              </w:rPr>
            </w:pPr>
            <w:r>
              <w:rPr>
                <w:rFonts w:hint="eastAsia" w:ascii="宋体" w:hAnsi="宋体" w:cs="宋体"/>
                <w:sz w:val="18"/>
                <w:szCs w:val="18"/>
              </w:rPr>
              <w:t>HR06</w:t>
            </w:r>
          </w:p>
        </w:tc>
        <w:tc>
          <w:tcPr>
            <w:tcW w:w="2183" w:type="dxa"/>
            <w:vAlign w:val="center"/>
          </w:tcPr>
          <w:p>
            <w:pPr>
              <w:pStyle w:val="12"/>
              <w:snapToGrid w:val="0"/>
              <w:ind w:firstLine="0" w:firstLineChars="0"/>
              <w:jc w:val="center"/>
              <w:rPr>
                <w:rFonts w:ascii="宋体" w:hAnsi="宋体"/>
                <w:sz w:val="18"/>
                <w:szCs w:val="18"/>
              </w:rPr>
            </w:pPr>
            <w:r>
              <w:rPr>
                <w:rFonts w:ascii="宋体" w:hAnsi="宋体"/>
                <w:sz w:val="18"/>
                <w:szCs w:val="18"/>
              </w:rPr>
              <w:t>4</w:t>
            </w:r>
            <w:r>
              <w:rPr>
                <w:rFonts w:hint="eastAsia" w:ascii="宋体" w:hAnsi="宋体"/>
                <w:sz w:val="18"/>
                <w:szCs w:val="18"/>
              </w:rPr>
              <w:t>30～</w:t>
            </w:r>
            <w:r>
              <w:rPr>
                <w:rFonts w:ascii="宋体" w:hAnsi="宋体"/>
                <w:sz w:val="18"/>
                <w:szCs w:val="18"/>
              </w:rPr>
              <w:t>5</w:t>
            </w:r>
            <w:r>
              <w:rPr>
                <w:rFonts w:hint="eastAsia" w:ascii="宋体" w:hAnsi="宋体"/>
                <w:sz w:val="18"/>
                <w:szCs w:val="18"/>
              </w:rPr>
              <w:t>20</w:t>
            </w:r>
          </w:p>
        </w:tc>
        <w:tc>
          <w:tcPr>
            <w:tcW w:w="1945" w:type="dxa"/>
            <w:vAlign w:val="center"/>
          </w:tcPr>
          <w:p>
            <w:pPr>
              <w:pStyle w:val="12"/>
              <w:snapToGrid w:val="0"/>
              <w:ind w:firstLine="0" w:firstLineChars="0"/>
              <w:jc w:val="center"/>
              <w:rPr>
                <w:rFonts w:ascii="宋体"/>
                <w:sz w:val="18"/>
                <w:szCs w:val="18"/>
              </w:rPr>
            </w:pPr>
            <w:r>
              <w:rPr>
                <w:rFonts w:hint="eastAsia" w:ascii="宋体" w:hAnsi="宋体"/>
                <w:sz w:val="18"/>
                <w:szCs w:val="18"/>
              </w:rPr>
              <w:t>≥5</w:t>
            </w:r>
          </w:p>
        </w:tc>
        <w:tc>
          <w:tcPr>
            <w:tcW w:w="1698" w:type="dxa"/>
            <w:vAlign w:val="center"/>
          </w:tcPr>
          <w:p>
            <w:pPr>
              <w:pStyle w:val="12"/>
              <w:snapToGrid w:val="0"/>
              <w:ind w:firstLine="0" w:firstLineChars="0"/>
              <w:jc w:val="center"/>
              <w:rPr>
                <w:rFonts w:ascii="宋体" w:hAnsi="宋体"/>
                <w:sz w:val="18"/>
                <w:szCs w:val="18"/>
              </w:rPr>
            </w:pPr>
            <w:r>
              <w:rPr>
                <w:rFonts w:ascii="宋体" w:hAnsi="宋体"/>
                <w:sz w:val="18"/>
                <w:szCs w:val="18"/>
              </w:rPr>
              <w:t>130</w:t>
            </w:r>
            <w:r>
              <w:rPr>
                <w:rFonts w:hint="eastAsia" w:ascii="宋体" w:hAnsi="宋体"/>
                <w:sz w:val="18"/>
                <w:szCs w:val="18"/>
              </w:rPr>
              <w:t>～</w:t>
            </w:r>
            <w:r>
              <w:rPr>
                <w:rFonts w:ascii="宋体" w:hAnsi="宋体"/>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467" w:type="dxa"/>
            <w:vAlign w:val="center"/>
          </w:tcPr>
          <w:p>
            <w:pPr>
              <w:snapToGrid w:val="0"/>
              <w:spacing w:line="240" w:lineRule="auto"/>
              <w:jc w:val="center"/>
              <w:rPr>
                <w:rFonts w:ascii="宋体" w:hAnsi="宋体" w:cs="宋体"/>
                <w:sz w:val="18"/>
                <w:szCs w:val="18"/>
              </w:rPr>
            </w:pPr>
            <w:r>
              <w:rPr>
                <w:rFonts w:ascii="宋体" w:hAnsi="宋体" w:cs="宋体"/>
                <w:sz w:val="18"/>
                <w:szCs w:val="18"/>
              </w:rPr>
              <w:t>BSi3.2-0.7</w:t>
            </w:r>
          </w:p>
        </w:tc>
        <w:tc>
          <w:tcPr>
            <w:tcW w:w="1371" w:type="dxa"/>
            <w:vAlign w:val="center"/>
          </w:tcPr>
          <w:p>
            <w:pPr>
              <w:pStyle w:val="12"/>
              <w:snapToGrid w:val="0"/>
              <w:ind w:firstLine="0" w:firstLineChars="0"/>
              <w:jc w:val="center"/>
              <w:rPr>
                <w:rFonts w:ascii="宋体" w:hAnsi="宋体"/>
                <w:strike/>
                <w:sz w:val="18"/>
                <w:szCs w:val="18"/>
              </w:rPr>
            </w:pPr>
            <w:r>
              <w:rPr>
                <w:rFonts w:hint="eastAsia" w:ascii="宋体" w:hAnsi="宋体" w:cs="宋体"/>
                <w:sz w:val="18"/>
                <w:szCs w:val="18"/>
              </w:rPr>
              <w:t>HR02</w:t>
            </w:r>
          </w:p>
        </w:tc>
        <w:tc>
          <w:tcPr>
            <w:tcW w:w="2183" w:type="dxa"/>
            <w:vAlign w:val="center"/>
          </w:tcPr>
          <w:p>
            <w:pPr>
              <w:pStyle w:val="12"/>
              <w:snapToGrid w:val="0"/>
              <w:ind w:firstLine="0" w:firstLineChars="0"/>
              <w:jc w:val="center"/>
              <w:rPr>
                <w:rFonts w:ascii="宋体" w:hAnsi="宋体"/>
                <w:sz w:val="18"/>
                <w:szCs w:val="18"/>
              </w:rPr>
            </w:pPr>
            <w:r>
              <w:rPr>
                <w:rFonts w:ascii="宋体" w:hAnsi="宋体"/>
                <w:sz w:val="18"/>
                <w:szCs w:val="18"/>
              </w:rPr>
              <w:t>6</w:t>
            </w:r>
            <w:r>
              <w:rPr>
                <w:rFonts w:ascii="宋体"/>
                <w:sz w:val="18"/>
                <w:szCs w:val="18"/>
              </w:rPr>
              <w:t>00</w:t>
            </w:r>
            <w:r>
              <w:rPr>
                <w:rFonts w:hint="eastAsia" w:ascii="宋体" w:hAnsi="宋体"/>
                <w:sz w:val="18"/>
                <w:szCs w:val="18"/>
              </w:rPr>
              <w:t>～</w:t>
            </w:r>
            <w:r>
              <w:rPr>
                <w:rFonts w:ascii="宋体" w:hAnsi="宋体"/>
                <w:sz w:val="18"/>
                <w:szCs w:val="18"/>
              </w:rPr>
              <w:t>7</w:t>
            </w:r>
            <w:r>
              <w:rPr>
                <w:rFonts w:hint="eastAsia" w:ascii="宋体" w:hAnsi="宋体"/>
                <w:sz w:val="18"/>
                <w:szCs w:val="18"/>
              </w:rPr>
              <w:t>30</w:t>
            </w:r>
          </w:p>
        </w:tc>
        <w:tc>
          <w:tcPr>
            <w:tcW w:w="1945" w:type="dxa"/>
            <w:vAlign w:val="center"/>
          </w:tcPr>
          <w:p>
            <w:pPr>
              <w:pStyle w:val="12"/>
              <w:snapToGrid w:val="0"/>
              <w:ind w:firstLine="0" w:firstLineChars="0"/>
              <w:jc w:val="center"/>
              <w:rPr>
                <w:rFonts w:ascii="宋体"/>
                <w:sz w:val="18"/>
                <w:szCs w:val="18"/>
              </w:rPr>
            </w:pPr>
            <w:r>
              <w:rPr>
                <w:rFonts w:hint="eastAsia" w:ascii="宋体" w:hAnsi="宋体"/>
                <w:sz w:val="18"/>
                <w:szCs w:val="18"/>
              </w:rPr>
              <w:t>≥8</w:t>
            </w:r>
          </w:p>
        </w:tc>
        <w:tc>
          <w:tcPr>
            <w:tcW w:w="1698" w:type="dxa"/>
            <w:vAlign w:val="center"/>
          </w:tcPr>
          <w:p>
            <w:pPr>
              <w:pStyle w:val="12"/>
              <w:snapToGrid w:val="0"/>
              <w:ind w:firstLine="0" w:firstLineChars="0"/>
              <w:jc w:val="center"/>
              <w:rPr>
                <w:rFonts w:ascii="宋体"/>
                <w:sz w:val="18"/>
                <w:szCs w:val="18"/>
              </w:rPr>
            </w:pPr>
            <w:r>
              <w:rPr>
                <w:rFonts w:ascii="宋体" w:hAnsi="宋体"/>
                <w:sz w:val="18"/>
                <w:szCs w:val="18"/>
              </w:rPr>
              <w:t>180</w:t>
            </w:r>
            <w:r>
              <w:rPr>
                <w:rFonts w:hint="eastAsia" w:ascii="宋体" w:hAnsi="宋体"/>
                <w:sz w:val="18"/>
                <w:szCs w:val="18"/>
              </w:rPr>
              <w:t>～</w:t>
            </w:r>
            <w:r>
              <w:rPr>
                <w:rFonts w:ascii="宋体" w:hAnsi="宋体"/>
                <w:sz w:val="18"/>
                <w:szCs w:val="18"/>
              </w:rPr>
              <w:t>22</w:t>
            </w:r>
            <w:r>
              <w:rPr>
                <w:rFonts w:ascii="宋体"/>
                <w:sz w:val="18"/>
                <w:szCs w:val="18"/>
              </w:rPr>
              <w:t>0</w:t>
            </w:r>
          </w:p>
        </w:tc>
      </w:tr>
    </w:tbl>
    <w:p>
      <w:pPr>
        <w:pStyle w:val="12"/>
        <w:snapToGrid w:val="0"/>
        <w:spacing w:beforeLines="50" w:line="360" w:lineRule="auto"/>
        <w:ind w:firstLine="0" w:firstLineChars="0"/>
        <w:rPr>
          <w:rFonts w:ascii="黑体" w:hAnsi="宋体" w:eastAsia="黑体"/>
          <w:szCs w:val="21"/>
        </w:rPr>
      </w:pPr>
      <w:r>
        <w:rPr>
          <w:rFonts w:hint="eastAsia" w:ascii="黑体" w:hAnsi="Calibri" w:eastAsia="黑体"/>
          <w:kern w:val="2"/>
          <w:szCs w:val="21"/>
        </w:rPr>
        <w:t>5.4电</w:t>
      </w:r>
      <w:r>
        <w:rPr>
          <w:rFonts w:hint="eastAsia" w:ascii="黑体" w:hAnsi="宋体" w:eastAsia="黑体" w:cs="宋体"/>
          <w:szCs w:val="21"/>
        </w:rPr>
        <w:t>性能</w:t>
      </w:r>
    </w:p>
    <w:p>
      <w:pPr>
        <w:snapToGrid w:val="0"/>
        <w:spacing w:line="240" w:lineRule="auto"/>
        <w:ind w:firstLine="420" w:firstLineChars="200"/>
        <w:rPr>
          <w:rFonts w:ascii="宋体"/>
          <w:sz w:val="21"/>
          <w:szCs w:val="21"/>
        </w:rPr>
      </w:pPr>
      <w:r>
        <w:rPr>
          <w:rFonts w:hint="eastAsia" w:ascii="宋体" w:hAnsi="宋体"/>
          <w:bCs/>
          <w:sz w:val="21"/>
          <w:szCs w:val="21"/>
        </w:rPr>
        <w:t>在</w:t>
      </w:r>
      <w:r>
        <w:rPr>
          <w:rFonts w:ascii="宋体" w:hAnsi="宋体"/>
          <w:bCs/>
          <w:sz w:val="21"/>
          <w:szCs w:val="21"/>
        </w:rPr>
        <w:t xml:space="preserve"> 20</w:t>
      </w:r>
      <w:r>
        <w:rPr>
          <w:rFonts w:hint="eastAsia" w:ascii="宋体" w:hAnsi="宋体"/>
          <w:bCs/>
          <w:sz w:val="21"/>
          <w:szCs w:val="21"/>
        </w:rPr>
        <w:t>℃温度下测试，</w:t>
      </w:r>
      <w:r>
        <w:rPr>
          <w:rFonts w:ascii="宋体" w:hAnsi="宋体"/>
          <w:bCs/>
          <w:sz w:val="21"/>
          <w:szCs w:val="21"/>
        </w:rPr>
        <w:t>TFe2.5</w:t>
      </w:r>
      <w:r>
        <w:rPr>
          <w:rFonts w:hint="eastAsia" w:ascii="宋体" w:hAnsi="宋体"/>
          <w:sz w:val="21"/>
          <w:szCs w:val="21"/>
        </w:rPr>
        <w:t>导电率应不小于</w:t>
      </w:r>
      <w:r>
        <w:rPr>
          <w:rFonts w:ascii="宋体" w:hAnsi="宋体"/>
          <w:sz w:val="21"/>
          <w:szCs w:val="21"/>
        </w:rPr>
        <w:t>60%IACS</w:t>
      </w:r>
      <w:r>
        <w:rPr>
          <w:rFonts w:hint="eastAsia" w:ascii="宋体" w:hAnsi="宋体"/>
          <w:sz w:val="21"/>
          <w:szCs w:val="21"/>
        </w:rPr>
        <w:t>，</w:t>
      </w:r>
      <w:r>
        <w:rPr>
          <w:rFonts w:ascii="宋体" w:hAnsi="宋体" w:cs="宋体"/>
          <w:sz w:val="21"/>
          <w:szCs w:val="21"/>
        </w:rPr>
        <w:t>BSi3.2-0.7</w:t>
      </w:r>
      <w:r>
        <w:rPr>
          <w:rFonts w:hint="eastAsia" w:ascii="宋体" w:hAnsi="宋体"/>
          <w:sz w:val="21"/>
          <w:szCs w:val="21"/>
        </w:rPr>
        <w:t>导电率应不小于</w:t>
      </w:r>
      <w:r>
        <w:rPr>
          <w:rFonts w:ascii="宋体" w:hAnsi="宋体"/>
          <w:sz w:val="21"/>
          <w:szCs w:val="21"/>
        </w:rPr>
        <w:t>4</w:t>
      </w:r>
      <w:r>
        <w:rPr>
          <w:rFonts w:hint="eastAsia" w:ascii="宋体" w:hAnsi="宋体"/>
          <w:sz w:val="21"/>
          <w:szCs w:val="21"/>
        </w:rPr>
        <w:t>0</w:t>
      </w:r>
      <w:r>
        <w:rPr>
          <w:rFonts w:ascii="宋体" w:hAnsi="宋体"/>
          <w:sz w:val="21"/>
          <w:szCs w:val="21"/>
        </w:rPr>
        <w:t>%IACS</w:t>
      </w:r>
      <w:r>
        <w:rPr>
          <w:rFonts w:hint="eastAsia" w:ascii="宋体" w:hAnsi="宋体"/>
          <w:sz w:val="21"/>
          <w:szCs w:val="21"/>
        </w:rPr>
        <w:t>。</w:t>
      </w:r>
    </w:p>
    <w:p>
      <w:pPr>
        <w:pStyle w:val="12"/>
        <w:snapToGrid w:val="0"/>
        <w:spacing w:beforeLines="50" w:line="360" w:lineRule="auto"/>
        <w:ind w:firstLine="0" w:firstLineChars="0"/>
        <w:rPr>
          <w:rFonts w:ascii="黑体" w:hAnsi="宋体" w:eastAsia="黑体" w:cs="+mn-cs"/>
          <w:bCs/>
          <w:kern w:val="24"/>
          <w:szCs w:val="21"/>
        </w:rPr>
      </w:pPr>
      <w:r>
        <w:rPr>
          <w:rFonts w:hint="eastAsia" w:ascii="黑体" w:hAnsi="Calibri" w:eastAsia="黑体"/>
          <w:color w:val="000000" w:themeColor="text1"/>
          <w:kern w:val="2"/>
          <w:szCs w:val="21"/>
        </w:rPr>
        <w:t>5.5</w:t>
      </w:r>
      <w:r>
        <w:rPr>
          <w:rFonts w:hint="eastAsia" w:ascii="黑体" w:hAnsi="宋体" w:eastAsia="黑体" w:cs="宋体"/>
          <w:szCs w:val="21"/>
        </w:rPr>
        <w:t>内应力</w:t>
      </w:r>
    </w:p>
    <w:p>
      <w:pPr>
        <w:snapToGrid w:val="0"/>
        <w:spacing w:line="240" w:lineRule="auto"/>
        <w:rPr>
          <w:rFonts w:ascii="宋体" w:cs="+mn-cs"/>
          <w:bCs/>
          <w:kern w:val="24"/>
          <w:sz w:val="21"/>
          <w:szCs w:val="21"/>
        </w:rPr>
      </w:pPr>
      <w:r>
        <w:rPr>
          <w:rFonts w:ascii="宋体" w:hAnsi="宋体" w:cs="+mn-cs"/>
          <w:bCs/>
          <w:kern w:val="24"/>
          <w:sz w:val="21"/>
          <w:szCs w:val="21"/>
        </w:rPr>
        <w:t xml:space="preserve">    </w:t>
      </w:r>
      <w:r>
        <w:rPr>
          <w:rFonts w:hint="eastAsia" w:ascii="宋体" w:hAnsi="宋体"/>
          <w:bCs/>
          <w:sz w:val="21"/>
          <w:szCs w:val="21"/>
        </w:rPr>
        <w:t>带箔材内应力</w:t>
      </w:r>
      <w:r>
        <w:rPr>
          <w:rFonts w:hint="eastAsia" w:ascii="宋体" w:hAnsi="宋体" w:cs="宋体"/>
          <w:sz w:val="21"/>
          <w:szCs w:val="21"/>
        </w:rPr>
        <w:t>≤</w:t>
      </w:r>
      <w:r>
        <w:rPr>
          <w:rFonts w:hint="eastAsia" w:ascii="宋体" w:hAnsi="宋体" w:cs="+mn-cs"/>
          <w:bCs/>
          <w:kern w:val="24"/>
          <w:sz w:val="21"/>
          <w:szCs w:val="21"/>
        </w:rPr>
        <w:t>±</w:t>
      </w:r>
      <w:r>
        <w:rPr>
          <w:rFonts w:ascii="宋体" w:hAnsi="宋体" w:cs="+mn-cs"/>
          <w:bCs/>
          <w:kern w:val="24"/>
          <w:sz w:val="21"/>
          <w:szCs w:val="21"/>
        </w:rPr>
        <w:t>50MPa</w:t>
      </w:r>
      <w:r>
        <w:rPr>
          <w:rFonts w:hint="eastAsia" w:ascii="宋体" w:hAnsi="宋体" w:cs="+mn-cs"/>
          <w:bCs/>
          <w:kern w:val="24"/>
          <w:sz w:val="21"/>
          <w:szCs w:val="21"/>
        </w:rPr>
        <w:t>。</w:t>
      </w:r>
    </w:p>
    <w:p>
      <w:pPr>
        <w:pStyle w:val="12"/>
        <w:snapToGrid w:val="0"/>
        <w:spacing w:beforeLines="50" w:line="360" w:lineRule="auto"/>
        <w:ind w:firstLine="0" w:firstLineChars="0"/>
        <w:rPr>
          <w:rFonts w:ascii="黑体" w:hAnsi="宋体" w:eastAsia="黑体"/>
          <w:bCs/>
          <w:szCs w:val="21"/>
        </w:rPr>
      </w:pPr>
      <w:r>
        <w:rPr>
          <w:rFonts w:hint="eastAsia" w:ascii="黑体" w:hAnsi="宋体" w:eastAsia="黑体"/>
          <w:bCs/>
          <w:szCs w:val="21"/>
        </w:rPr>
        <w:t>5.6 翘曲度</w:t>
      </w:r>
    </w:p>
    <w:p>
      <w:pPr>
        <w:snapToGrid w:val="0"/>
        <w:spacing w:line="240" w:lineRule="auto"/>
        <w:ind w:firstLine="420" w:firstLineChars="200"/>
        <w:rPr>
          <w:rFonts w:ascii="宋体" w:cs="+mn-cs"/>
          <w:bCs/>
          <w:kern w:val="24"/>
          <w:sz w:val="21"/>
          <w:szCs w:val="21"/>
        </w:rPr>
      </w:pPr>
      <w:r>
        <w:rPr>
          <w:rFonts w:hint="eastAsia" w:ascii="宋体" w:hAnsi="宋体"/>
          <w:bCs/>
          <w:sz w:val="21"/>
          <w:szCs w:val="21"/>
        </w:rPr>
        <w:t>带箔材蚀刻后翘曲度</w:t>
      </w:r>
      <w:r>
        <w:rPr>
          <w:rFonts w:hint="eastAsia" w:ascii="宋体" w:hAnsi="宋体" w:cs="+mn-cs"/>
          <w:bCs/>
          <w:kern w:val="24"/>
          <w:sz w:val="21"/>
          <w:szCs w:val="21"/>
        </w:rPr>
        <w:t>≤</w:t>
      </w:r>
      <w:r>
        <w:rPr>
          <w:rFonts w:ascii="宋体" w:hAnsi="宋体" w:cs="+mn-cs"/>
          <w:bCs/>
          <w:kern w:val="24"/>
          <w:sz w:val="21"/>
          <w:szCs w:val="21"/>
        </w:rPr>
        <w:t>0.</w:t>
      </w:r>
      <w:r>
        <w:rPr>
          <w:rFonts w:hint="eastAsia" w:ascii="宋体" w:hAnsi="宋体" w:cs="+mn-cs"/>
          <w:bCs/>
          <w:kern w:val="24"/>
          <w:sz w:val="21"/>
          <w:szCs w:val="21"/>
        </w:rPr>
        <w:t>5</w:t>
      </w:r>
      <w:r>
        <w:rPr>
          <w:rFonts w:ascii="宋体" w:hAnsi="宋体" w:cs="+mn-cs"/>
          <w:bCs/>
          <w:kern w:val="24"/>
          <w:sz w:val="21"/>
          <w:szCs w:val="21"/>
        </w:rPr>
        <w:t>mm</w:t>
      </w:r>
      <w:r>
        <w:rPr>
          <w:rFonts w:hint="eastAsia" w:ascii="宋体" w:hAnsi="宋体" w:cs="+mn-cs"/>
          <w:bCs/>
          <w:kern w:val="24"/>
          <w:sz w:val="21"/>
          <w:szCs w:val="21"/>
        </w:rPr>
        <w:t>。</w:t>
      </w:r>
    </w:p>
    <w:p>
      <w:pPr>
        <w:pStyle w:val="12"/>
        <w:snapToGrid w:val="0"/>
        <w:spacing w:beforeLines="50" w:line="360" w:lineRule="auto"/>
        <w:ind w:firstLine="0" w:firstLineChars="0"/>
        <w:rPr>
          <w:rFonts w:hAnsi="宋体"/>
        </w:rPr>
      </w:pPr>
      <w:r>
        <w:rPr>
          <w:rFonts w:hint="eastAsia" w:hAnsi="宋体"/>
        </w:rPr>
        <w:t xml:space="preserve">5.7 </w:t>
      </w:r>
      <w:r>
        <w:rPr>
          <w:rFonts w:hint="eastAsia" w:ascii="黑体" w:hAnsi="宋体" w:eastAsia="黑体"/>
          <w:bCs/>
          <w:szCs w:val="21"/>
        </w:rPr>
        <w:t>表面粗糙度</w:t>
      </w:r>
    </w:p>
    <w:p>
      <w:pPr>
        <w:pStyle w:val="48"/>
        <w:numPr>
          <w:ilvl w:val="0"/>
          <w:numId w:val="0"/>
        </w:numPr>
        <w:adjustRightInd w:val="0"/>
        <w:snapToGrid w:val="0"/>
        <w:spacing w:beforeLines="0" w:afterLines="0"/>
        <w:ind w:firstLine="420" w:firstLineChars="200"/>
        <w:rPr>
          <w:rFonts w:ascii="宋体" w:hAnsi="宋体" w:eastAsia="宋体"/>
        </w:rPr>
      </w:pPr>
      <w:r>
        <w:rPr>
          <w:rFonts w:hint="eastAsia" w:ascii="宋体" w:hAnsi="宋体" w:eastAsia="宋体"/>
        </w:rPr>
        <w:t>带箔材的表面粗糙度（</w:t>
      </w:r>
      <w:r>
        <w:rPr>
          <w:rFonts w:ascii="宋体" w:hAnsi="宋体" w:eastAsia="宋体"/>
        </w:rPr>
        <w:t>Ra</w:t>
      </w:r>
      <w:r>
        <w:rPr>
          <w:rFonts w:hint="eastAsia" w:ascii="宋体" w:hAnsi="宋体" w:eastAsia="宋体"/>
        </w:rPr>
        <w:t>值）不大于</w:t>
      </w:r>
      <w:r>
        <w:rPr>
          <w:rFonts w:ascii="宋体" w:hAnsi="宋体" w:eastAsia="宋体"/>
        </w:rPr>
        <w:t>0.1</w:t>
      </w:r>
      <w:r>
        <w:rPr>
          <w:rFonts w:hint="eastAsia" w:ascii="宋体" w:hAnsi="宋体" w:eastAsia="宋体"/>
        </w:rPr>
        <w:t>μ</w:t>
      </w:r>
      <w:r>
        <w:rPr>
          <w:rFonts w:ascii="宋体" w:hAnsi="宋体" w:eastAsia="宋体"/>
        </w:rPr>
        <w:t xml:space="preserve">m </w:t>
      </w:r>
      <w:r>
        <w:rPr>
          <w:rFonts w:hint="eastAsia" w:ascii="宋体" w:hAnsi="宋体" w:eastAsia="宋体"/>
        </w:rPr>
        <w:t>。</w:t>
      </w:r>
    </w:p>
    <w:p>
      <w:pPr>
        <w:pStyle w:val="12"/>
        <w:snapToGrid w:val="0"/>
        <w:spacing w:beforeLines="50" w:line="360" w:lineRule="auto"/>
        <w:ind w:firstLine="0" w:firstLineChars="0"/>
        <w:rPr>
          <w:rFonts w:hAnsi="宋体"/>
        </w:rPr>
      </w:pPr>
      <w:r>
        <w:rPr>
          <w:rFonts w:hint="eastAsia" w:hAnsi="宋体"/>
        </w:rPr>
        <w:t xml:space="preserve">5.8 </w:t>
      </w:r>
      <w:r>
        <w:rPr>
          <w:rFonts w:hint="eastAsia" w:ascii="黑体" w:hAnsi="宋体" w:eastAsia="黑体"/>
          <w:bCs/>
          <w:szCs w:val="21"/>
        </w:rPr>
        <w:t>表面质量</w:t>
      </w:r>
    </w:p>
    <w:p>
      <w:pPr>
        <w:snapToGrid w:val="0"/>
        <w:spacing w:line="240" w:lineRule="auto"/>
        <w:rPr>
          <w:rFonts w:ascii="宋体"/>
          <w:sz w:val="21"/>
          <w:szCs w:val="21"/>
        </w:rPr>
      </w:pPr>
      <w:r>
        <w:rPr>
          <w:rFonts w:hint="eastAsia" w:ascii="黑体" w:hAnsi="宋体" w:eastAsia="黑体"/>
          <w:sz w:val="21"/>
          <w:szCs w:val="21"/>
        </w:rPr>
        <w:t>5.8.1</w:t>
      </w:r>
      <w:r>
        <w:rPr>
          <w:rFonts w:hint="eastAsia" w:ascii="宋体" w:hAnsi="宋体"/>
          <w:sz w:val="21"/>
          <w:szCs w:val="21"/>
        </w:rPr>
        <w:t>铜带箔材</w:t>
      </w:r>
      <w:r>
        <w:rPr>
          <w:rFonts w:hint="eastAsia"/>
          <w:sz w:val="21"/>
          <w:szCs w:val="21"/>
        </w:rPr>
        <w:t>的表面应光滑、清洁，不允许有分层、裂纹、起皮、起刺、气泡、压折、夹杂和绿锈。</w:t>
      </w:r>
    </w:p>
    <w:p>
      <w:pPr>
        <w:snapToGrid w:val="0"/>
        <w:spacing w:line="240" w:lineRule="auto"/>
        <w:rPr>
          <w:rFonts w:ascii="宋体"/>
          <w:sz w:val="21"/>
          <w:szCs w:val="21"/>
        </w:rPr>
      </w:pPr>
      <w:r>
        <w:rPr>
          <w:rFonts w:hint="eastAsia" w:ascii="黑体" w:hAnsi="宋体" w:eastAsia="黑体"/>
          <w:sz w:val="21"/>
          <w:szCs w:val="21"/>
        </w:rPr>
        <w:t xml:space="preserve">5.8.2 </w:t>
      </w:r>
      <w:r>
        <w:rPr>
          <w:rFonts w:hint="eastAsia" w:ascii="宋体" w:hAnsi="宋体"/>
          <w:sz w:val="21"/>
          <w:szCs w:val="21"/>
        </w:rPr>
        <w:t>铜带箔材表面</w:t>
      </w:r>
      <w:r>
        <w:rPr>
          <w:rFonts w:ascii="宋体" w:hAnsi="宋体"/>
          <w:sz w:val="21"/>
          <w:szCs w:val="21"/>
        </w:rPr>
        <w:t>1</w:t>
      </w:r>
      <w:r>
        <w:rPr>
          <w:rFonts w:hint="eastAsia" w:ascii="宋体" w:hAnsi="宋体"/>
          <w:sz w:val="21"/>
          <w:szCs w:val="21"/>
        </w:rPr>
        <w:t>米不允许有</w:t>
      </w:r>
      <w:r>
        <w:rPr>
          <w:rFonts w:ascii="宋体" w:hAnsi="宋体"/>
          <w:sz w:val="21"/>
          <w:szCs w:val="21"/>
        </w:rPr>
        <w:t>5</w:t>
      </w:r>
      <w:r>
        <w:rPr>
          <w:rFonts w:hint="eastAsia" w:ascii="宋体" w:hAnsi="宋体"/>
          <w:sz w:val="21"/>
          <w:szCs w:val="21"/>
        </w:rPr>
        <w:t>处</w:t>
      </w:r>
      <w:r>
        <w:rPr>
          <w:rFonts w:ascii="宋体" w:hAnsi="宋体"/>
          <w:sz w:val="21"/>
          <w:szCs w:val="21"/>
        </w:rPr>
        <w:t>D1</w:t>
      </w:r>
      <w:r>
        <w:rPr>
          <w:rFonts w:hint="eastAsia" w:ascii="宋体" w:hAnsi="宋体"/>
          <w:sz w:val="21"/>
          <w:szCs w:val="21"/>
        </w:rPr>
        <w:t>μ</w:t>
      </w:r>
      <w:r>
        <w:rPr>
          <w:rFonts w:ascii="宋体" w:hAnsi="宋体"/>
          <w:sz w:val="21"/>
          <w:szCs w:val="21"/>
        </w:rPr>
        <w:t>m</w:t>
      </w:r>
      <w:r>
        <w:rPr>
          <w:rFonts w:hint="eastAsia" w:ascii="宋体" w:hAnsi="宋体"/>
          <w:sz w:val="21"/>
          <w:szCs w:val="21"/>
        </w:rPr>
        <w:t>×</w:t>
      </w:r>
      <w:r>
        <w:rPr>
          <w:rFonts w:ascii="宋体" w:hAnsi="宋体"/>
          <w:sz w:val="21"/>
          <w:szCs w:val="21"/>
        </w:rPr>
        <w:t>W1.3</w:t>
      </w:r>
      <w:r>
        <w:rPr>
          <w:rFonts w:hint="eastAsia" w:ascii="宋体" w:hAnsi="宋体"/>
          <w:sz w:val="21"/>
          <w:szCs w:val="21"/>
        </w:rPr>
        <w:t>μ</w:t>
      </w:r>
      <w:r>
        <w:rPr>
          <w:rFonts w:ascii="宋体" w:hAnsi="宋体"/>
          <w:sz w:val="21"/>
          <w:szCs w:val="21"/>
        </w:rPr>
        <w:t>m</w:t>
      </w:r>
      <w:r>
        <w:rPr>
          <w:rFonts w:hint="eastAsia" w:ascii="宋体" w:hAnsi="宋体"/>
          <w:sz w:val="21"/>
          <w:szCs w:val="21"/>
        </w:rPr>
        <w:t>×</w:t>
      </w:r>
      <w:r>
        <w:rPr>
          <w:rFonts w:ascii="宋体" w:hAnsi="宋体"/>
          <w:sz w:val="21"/>
          <w:szCs w:val="21"/>
        </w:rPr>
        <w:t>L15mm</w:t>
      </w:r>
      <w:r>
        <w:rPr>
          <w:rFonts w:hint="eastAsia" w:ascii="宋体" w:hAnsi="宋体"/>
          <w:sz w:val="21"/>
          <w:szCs w:val="21"/>
        </w:rPr>
        <w:t>划痕，整卷不允许有</w:t>
      </w:r>
      <w:r>
        <w:rPr>
          <w:rFonts w:ascii="宋体" w:hAnsi="宋体"/>
          <w:sz w:val="21"/>
          <w:szCs w:val="21"/>
        </w:rPr>
        <w:t>D1</w:t>
      </w:r>
      <w:r>
        <w:rPr>
          <w:rFonts w:hint="eastAsia" w:ascii="宋体" w:hAnsi="宋体"/>
          <w:sz w:val="21"/>
          <w:szCs w:val="21"/>
        </w:rPr>
        <w:t>μ</w:t>
      </w:r>
      <w:r>
        <w:rPr>
          <w:rFonts w:ascii="宋体" w:hAnsi="宋体"/>
          <w:sz w:val="21"/>
          <w:szCs w:val="21"/>
        </w:rPr>
        <w:t>m</w:t>
      </w:r>
      <w:r>
        <w:rPr>
          <w:rFonts w:hint="eastAsia" w:ascii="宋体" w:hAnsi="宋体"/>
          <w:sz w:val="21"/>
          <w:szCs w:val="21"/>
        </w:rPr>
        <w:t>×</w:t>
      </w:r>
      <w:r>
        <w:rPr>
          <w:rFonts w:ascii="宋体" w:hAnsi="宋体"/>
          <w:sz w:val="21"/>
          <w:szCs w:val="21"/>
        </w:rPr>
        <w:t>W1.3</w:t>
      </w:r>
      <w:r>
        <w:rPr>
          <w:rFonts w:hint="eastAsia" w:ascii="宋体" w:hAnsi="宋体"/>
          <w:sz w:val="21"/>
          <w:szCs w:val="21"/>
        </w:rPr>
        <w:t>μ</w:t>
      </w:r>
      <w:r>
        <w:rPr>
          <w:rFonts w:ascii="宋体" w:hAnsi="宋体"/>
          <w:sz w:val="21"/>
          <w:szCs w:val="21"/>
        </w:rPr>
        <w:t>m</w:t>
      </w:r>
      <w:r>
        <w:rPr>
          <w:rFonts w:hint="eastAsia" w:ascii="宋体" w:hAnsi="宋体"/>
          <w:sz w:val="21"/>
          <w:szCs w:val="21"/>
        </w:rPr>
        <w:t>×</w:t>
      </w:r>
      <w:r>
        <w:rPr>
          <w:rFonts w:ascii="宋体" w:hAnsi="宋体"/>
          <w:sz w:val="21"/>
          <w:szCs w:val="21"/>
        </w:rPr>
        <w:t>L5m</w:t>
      </w:r>
      <w:r>
        <w:rPr>
          <w:rFonts w:hint="eastAsia" w:ascii="宋体" w:hAnsi="宋体"/>
          <w:sz w:val="21"/>
          <w:szCs w:val="21"/>
        </w:rPr>
        <w:t>划痕。</w:t>
      </w:r>
    </w:p>
    <w:p>
      <w:pPr>
        <w:snapToGrid w:val="0"/>
        <w:spacing w:line="240" w:lineRule="auto"/>
        <w:rPr>
          <w:rFonts w:ascii="宋体" w:cs="宋体"/>
          <w:sz w:val="21"/>
          <w:szCs w:val="21"/>
        </w:rPr>
      </w:pPr>
      <w:r>
        <w:rPr>
          <w:rFonts w:hint="eastAsia" w:ascii="黑体" w:hAnsi="宋体" w:eastAsia="黑体"/>
          <w:sz w:val="21"/>
          <w:szCs w:val="21"/>
        </w:rPr>
        <w:t>5.8.3</w:t>
      </w:r>
      <w:bookmarkStart w:id="6" w:name="OLE_LINK1"/>
      <w:r>
        <w:rPr>
          <w:rFonts w:hint="eastAsia" w:ascii="宋体" w:hAnsi="宋体"/>
          <w:sz w:val="21"/>
          <w:szCs w:val="21"/>
        </w:rPr>
        <w:t>铜带箔材</w:t>
      </w:r>
      <w:bookmarkEnd w:id="6"/>
      <w:r>
        <w:rPr>
          <w:rFonts w:hint="eastAsia" w:ascii="宋体" w:hAnsi="宋体"/>
          <w:sz w:val="21"/>
          <w:szCs w:val="21"/>
        </w:rPr>
        <w:t>表面</w:t>
      </w:r>
      <w:r>
        <w:rPr>
          <w:rFonts w:ascii="宋体" w:hAnsi="宋体"/>
          <w:sz w:val="21"/>
          <w:szCs w:val="21"/>
        </w:rPr>
        <w:t>1</w:t>
      </w:r>
      <w:r>
        <w:rPr>
          <w:rFonts w:hint="eastAsia" w:ascii="宋体" w:hAnsi="宋体"/>
          <w:sz w:val="21"/>
          <w:szCs w:val="21"/>
        </w:rPr>
        <w:t>米凸起或凹坑高度（深度）小于</w:t>
      </w:r>
      <w:r>
        <w:rPr>
          <w:rFonts w:ascii="宋体" w:hAnsi="宋体"/>
          <w:sz w:val="21"/>
          <w:szCs w:val="21"/>
        </w:rPr>
        <w:t>0.005mm</w:t>
      </w:r>
      <w:r>
        <w:rPr>
          <w:rFonts w:hint="eastAsia" w:ascii="宋体" w:hAnsi="宋体"/>
          <w:sz w:val="21"/>
          <w:szCs w:val="21"/>
        </w:rPr>
        <w:t>，凸起</w:t>
      </w:r>
      <w:r>
        <w:rPr>
          <w:rFonts w:ascii="宋体" w:hAnsi="宋体"/>
          <w:sz w:val="21"/>
          <w:szCs w:val="21"/>
        </w:rPr>
        <w:t>/</w:t>
      </w:r>
      <w:r>
        <w:rPr>
          <w:rFonts w:hint="eastAsia" w:ascii="宋体" w:hAnsi="宋体"/>
          <w:sz w:val="21"/>
          <w:szCs w:val="21"/>
        </w:rPr>
        <w:t>凹坑直径小于</w:t>
      </w:r>
      <w:r>
        <w:rPr>
          <w:rFonts w:ascii="宋体" w:hAnsi="宋体"/>
          <w:sz w:val="21"/>
          <w:szCs w:val="21"/>
        </w:rPr>
        <w:t>0.025mm</w:t>
      </w:r>
      <w:r>
        <w:rPr>
          <w:rFonts w:hint="eastAsia" w:ascii="宋体" w:hAnsi="宋体"/>
          <w:sz w:val="21"/>
          <w:szCs w:val="21"/>
        </w:rPr>
        <w:t>。</w:t>
      </w:r>
    </w:p>
    <w:p>
      <w:pPr>
        <w:pStyle w:val="2"/>
        <w:keepLines w:val="0"/>
        <w:snapToGrid w:val="0"/>
        <w:spacing w:beforeLines="50" w:after="0" w:line="360" w:lineRule="auto"/>
        <w:rPr>
          <w:rFonts w:hAnsi="Calibri"/>
          <w:kern w:val="2"/>
        </w:rPr>
      </w:pPr>
      <w:r>
        <w:rPr>
          <w:rFonts w:hint="eastAsia" w:hAnsi="Calibri"/>
          <w:kern w:val="2"/>
        </w:rPr>
        <w:t>6  试验</w:t>
      </w:r>
      <w:r>
        <w:rPr>
          <w:rFonts w:hint="eastAsia"/>
        </w:rPr>
        <w:t>方法</w:t>
      </w:r>
    </w:p>
    <w:p>
      <w:pPr>
        <w:pStyle w:val="12"/>
        <w:snapToGrid w:val="0"/>
        <w:spacing w:line="360" w:lineRule="auto"/>
        <w:ind w:firstLine="0" w:firstLineChars="0"/>
        <w:rPr>
          <w:rFonts w:ascii="黑体" w:hAnsi="Calibri" w:eastAsia="黑体"/>
          <w:color w:val="FF0000"/>
          <w:kern w:val="2"/>
          <w:szCs w:val="21"/>
        </w:rPr>
      </w:pPr>
      <w:r>
        <w:rPr>
          <w:rFonts w:hint="eastAsia" w:ascii="黑体" w:hAnsi="Calibri" w:eastAsia="黑体"/>
          <w:kern w:val="2"/>
          <w:szCs w:val="21"/>
        </w:rPr>
        <w:t>6</w:t>
      </w:r>
      <w:r>
        <w:rPr>
          <w:rFonts w:hint="eastAsia" w:ascii="黑体" w:hAnsi="宋体" w:eastAsia="黑体"/>
          <w:szCs w:val="21"/>
        </w:rPr>
        <w:t>.1 化学成分</w:t>
      </w:r>
    </w:p>
    <w:p>
      <w:pPr>
        <w:pStyle w:val="3"/>
        <w:snapToGrid w:val="0"/>
      </w:pPr>
      <w:r>
        <w:rPr>
          <w:rFonts w:hint="eastAsia"/>
        </w:rPr>
        <w:t>带箔材的化学成分分析方法按</w:t>
      </w:r>
      <w:r>
        <w:t>GB/T 5121</w:t>
      </w:r>
      <w:r>
        <w:rPr>
          <w:rFonts w:hint="eastAsia"/>
        </w:rPr>
        <w:t>（所有部分）或YS/T 482的规定进行。化学成分仲裁分析方法按</w:t>
      </w:r>
      <w:r>
        <w:t>GB/T 5121</w:t>
      </w:r>
      <w:r>
        <w:rPr>
          <w:rFonts w:hint="eastAsia"/>
        </w:rPr>
        <w:t>（所有部分）的规定进行。</w:t>
      </w:r>
    </w:p>
    <w:p>
      <w:pPr>
        <w:pStyle w:val="2"/>
        <w:keepLines w:val="0"/>
        <w:snapToGrid w:val="0"/>
        <w:spacing w:beforeLines="50" w:after="0" w:line="360" w:lineRule="auto"/>
        <w:rPr>
          <w:rFonts w:hAnsi="宋体"/>
        </w:rPr>
      </w:pPr>
      <w:r>
        <w:rPr>
          <w:rFonts w:hint="eastAsia" w:hAnsi="宋体"/>
        </w:rPr>
        <w:t xml:space="preserve">6.2 </w:t>
      </w:r>
      <w:r>
        <w:rPr>
          <w:rFonts w:hint="eastAsia"/>
        </w:rPr>
        <w:t>外形尺寸</w:t>
      </w:r>
      <w:r>
        <w:rPr>
          <w:rFonts w:hint="eastAsia" w:hAnsi="宋体"/>
        </w:rPr>
        <w:t>及其允许偏差</w:t>
      </w:r>
    </w:p>
    <w:p>
      <w:pPr>
        <w:pStyle w:val="12"/>
        <w:snapToGrid w:val="0"/>
        <w:ind w:firstLine="437" w:firstLineChars="0"/>
        <w:rPr>
          <w:strike/>
          <w:szCs w:val="21"/>
        </w:rPr>
      </w:pPr>
      <w:bookmarkStart w:id="7" w:name="OLE_LINK6"/>
      <w:bookmarkStart w:id="8" w:name="OLE_LINK5"/>
      <w:r>
        <w:rPr>
          <w:rFonts w:hint="eastAsia"/>
        </w:rPr>
        <w:t>带箔材</w:t>
      </w:r>
      <w:r>
        <w:rPr>
          <w:rFonts w:hint="eastAsia" w:ascii="宋体" w:hAnsi="宋体"/>
        </w:rPr>
        <w:t>外形尺寸</w:t>
      </w:r>
      <w:r>
        <w:rPr>
          <w:rFonts w:hint="eastAsia"/>
        </w:rPr>
        <w:t>及其允许偏差</w:t>
      </w:r>
      <w:r>
        <w:rPr>
          <w:rFonts w:hint="eastAsia" w:ascii="宋体" w:hAnsi="宋体"/>
        </w:rPr>
        <w:t>检验方法按</w:t>
      </w:r>
      <w:r>
        <w:rPr>
          <w:rFonts w:ascii="宋体" w:hAnsi="宋体"/>
        </w:rPr>
        <w:t>GB/T 26303.3</w:t>
      </w:r>
      <w:r>
        <w:rPr>
          <w:rFonts w:hint="eastAsia" w:ascii="宋体" w:hAnsi="宋体"/>
        </w:rPr>
        <w:t>的规定进行。</w:t>
      </w:r>
      <w:bookmarkEnd w:id="7"/>
      <w:bookmarkEnd w:id="8"/>
    </w:p>
    <w:p>
      <w:pPr>
        <w:pStyle w:val="2"/>
        <w:keepLines w:val="0"/>
        <w:snapToGrid w:val="0"/>
        <w:spacing w:beforeLines="50" w:after="0" w:line="360" w:lineRule="auto"/>
      </w:pPr>
      <w:r>
        <w:rPr>
          <w:rFonts w:hint="eastAsia"/>
        </w:rPr>
        <w:t>6.3 力学性能</w:t>
      </w:r>
    </w:p>
    <w:p>
      <w:pPr>
        <w:pStyle w:val="12"/>
        <w:snapToGrid w:val="0"/>
        <w:rPr>
          <w:szCs w:val="21"/>
        </w:rPr>
      </w:pPr>
      <w:r>
        <w:rPr>
          <w:rFonts w:hint="eastAsia"/>
        </w:rPr>
        <w:t>带材的拉伸试验方法按</w:t>
      </w:r>
      <w:r>
        <w:t>GB/T</w:t>
      </w:r>
      <w:r>
        <w:rPr>
          <w:rFonts w:hint="eastAsia"/>
        </w:rPr>
        <w:t xml:space="preserve"> </w:t>
      </w:r>
      <w:r>
        <w:t>34505</w:t>
      </w:r>
      <w:r>
        <w:rPr>
          <w:rFonts w:hint="eastAsia"/>
        </w:rPr>
        <w:t>-2017的规定进行；试样号为P01。维氏硬度试验按</w:t>
      </w:r>
      <w:r>
        <w:t>GB/T</w:t>
      </w:r>
      <w:r>
        <w:rPr>
          <w:rFonts w:hint="eastAsia"/>
        </w:rPr>
        <w:t xml:space="preserve"> </w:t>
      </w:r>
      <w:r>
        <w:t>4340.1</w:t>
      </w:r>
      <w:r>
        <w:rPr>
          <w:rFonts w:hint="eastAsia"/>
        </w:rPr>
        <w:t>的规定进行。</w:t>
      </w:r>
    </w:p>
    <w:p>
      <w:pPr>
        <w:pStyle w:val="2"/>
        <w:keepLines w:val="0"/>
        <w:snapToGrid w:val="0"/>
        <w:spacing w:beforeLines="50" w:after="0" w:line="360" w:lineRule="auto"/>
      </w:pPr>
      <w:r>
        <w:rPr>
          <w:rFonts w:hint="eastAsia"/>
        </w:rPr>
        <w:t>6.4 电性能</w:t>
      </w:r>
    </w:p>
    <w:p>
      <w:pPr>
        <w:pStyle w:val="12"/>
        <w:snapToGrid w:val="0"/>
        <w:rPr>
          <w:szCs w:val="21"/>
        </w:rPr>
      </w:pPr>
      <w:r>
        <w:rPr>
          <w:rFonts w:hint="eastAsia"/>
          <w:szCs w:val="21"/>
        </w:rPr>
        <w:t>带箔材的导电率试验</w:t>
      </w:r>
      <w:r>
        <w:rPr>
          <w:rFonts w:hint="eastAsia"/>
        </w:rPr>
        <w:t>方法</w:t>
      </w:r>
      <w:r>
        <w:rPr>
          <w:rFonts w:hint="eastAsia"/>
          <w:szCs w:val="21"/>
        </w:rPr>
        <w:t>按</w:t>
      </w:r>
      <w:r>
        <w:rPr>
          <w:rFonts w:ascii="宋体"/>
          <w:szCs w:val="21"/>
        </w:rPr>
        <w:t>GB/T</w:t>
      </w:r>
      <w:r>
        <w:rPr>
          <w:rFonts w:hint="eastAsia" w:ascii="宋体"/>
          <w:szCs w:val="21"/>
        </w:rPr>
        <w:t xml:space="preserve"> </w:t>
      </w:r>
      <w:r>
        <w:rPr>
          <w:rFonts w:ascii="宋体"/>
          <w:szCs w:val="21"/>
        </w:rPr>
        <w:t>351</w:t>
      </w:r>
      <w:r>
        <w:rPr>
          <w:rFonts w:hint="eastAsia" w:ascii="宋体"/>
          <w:szCs w:val="21"/>
        </w:rPr>
        <w:t>或</w:t>
      </w:r>
      <w:r>
        <w:rPr>
          <w:rFonts w:ascii="宋体"/>
          <w:szCs w:val="21"/>
        </w:rPr>
        <w:t>GB/T 32791</w:t>
      </w:r>
      <w:r>
        <w:rPr>
          <w:rFonts w:hint="eastAsia"/>
          <w:szCs w:val="21"/>
        </w:rPr>
        <w:t>的规定进行，</w:t>
      </w:r>
      <w:r>
        <w:rPr>
          <w:rFonts w:hint="eastAsia"/>
        </w:rPr>
        <w:t>仲裁时按</w:t>
      </w:r>
      <w:r>
        <w:t>GB/T</w:t>
      </w:r>
      <w:r>
        <w:rPr>
          <w:rFonts w:hint="eastAsia"/>
        </w:rPr>
        <w:t xml:space="preserve"> </w:t>
      </w:r>
      <w:r>
        <w:t>351</w:t>
      </w:r>
      <w:r>
        <w:rPr>
          <w:rFonts w:hint="eastAsia"/>
        </w:rPr>
        <w:t>的规定进行。</w:t>
      </w:r>
    </w:p>
    <w:p>
      <w:pPr>
        <w:pStyle w:val="2"/>
        <w:keepLines w:val="0"/>
        <w:snapToGrid w:val="0"/>
        <w:spacing w:beforeLines="50" w:after="0" w:line="360" w:lineRule="auto"/>
        <w:rPr>
          <w:rFonts w:hAnsiTheme="minorEastAsia"/>
          <w:sz w:val="24"/>
        </w:rPr>
      </w:pPr>
      <w:r>
        <w:rPr>
          <w:rFonts w:hint="eastAsia"/>
        </w:rPr>
        <w:t>6.</w:t>
      </w:r>
      <w:r>
        <w:rPr>
          <w:rFonts w:hint="eastAsia"/>
          <w:szCs w:val="20"/>
        </w:rPr>
        <w:t xml:space="preserve">5 </w:t>
      </w:r>
      <w:r>
        <w:rPr>
          <w:rFonts w:hint="eastAsia"/>
        </w:rPr>
        <w:t>内应力</w:t>
      </w:r>
    </w:p>
    <w:p>
      <w:pPr>
        <w:pStyle w:val="6"/>
        <w:snapToGrid w:val="0"/>
        <w:spacing w:line="240" w:lineRule="auto"/>
        <w:jc w:val="left"/>
        <w:rPr>
          <w:rFonts w:asciiTheme="minorEastAsia" w:hAnsiTheme="minorEastAsia" w:eastAsiaTheme="minorEastAsia"/>
          <w:sz w:val="21"/>
        </w:rPr>
      </w:pPr>
      <w:r>
        <w:rPr>
          <w:rFonts w:asciiTheme="minorEastAsia" w:hAnsiTheme="minorEastAsia" w:eastAsiaTheme="minorEastAsia"/>
          <w:sz w:val="21"/>
        </w:rPr>
        <w:t xml:space="preserve">    </w:t>
      </w:r>
      <w:r>
        <w:rPr>
          <w:rFonts w:hint="eastAsia" w:asciiTheme="minorEastAsia" w:hAnsiTheme="minorEastAsia" w:eastAsiaTheme="minorEastAsia"/>
          <w:sz w:val="21"/>
        </w:rPr>
        <w:t>带箔材的内应力检验方法按</w:t>
      </w:r>
      <w:r>
        <w:rPr>
          <w:rFonts w:asciiTheme="minorEastAsia" w:hAnsiTheme="minorEastAsia" w:eastAsiaTheme="minorEastAsia"/>
          <w:sz w:val="21"/>
        </w:rPr>
        <w:t>GB/T 7704</w:t>
      </w:r>
      <w:r>
        <w:rPr>
          <w:rFonts w:hint="eastAsia" w:asciiTheme="minorEastAsia" w:hAnsiTheme="minorEastAsia" w:eastAsiaTheme="minorEastAsia"/>
          <w:sz w:val="21"/>
        </w:rPr>
        <w:t>的规定进行。</w:t>
      </w:r>
    </w:p>
    <w:p>
      <w:pPr>
        <w:pStyle w:val="2"/>
        <w:keepLines w:val="0"/>
        <w:snapToGrid w:val="0"/>
        <w:spacing w:beforeLines="50" w:after="0" w:line="360" w:lineRule="auto"/>
      </w:pPr>
      <w:r>
        <w:rPr>
          <w:rFonts w:hint="eastAsia"/>
        </w:rPr>
        <w:t>6.6 翘曲度</w:t>
      </w:r>
    </w:p>
    <w:p>
      <w:pPr>
        <w:pStyle w:val="12"/>
        <w:snapToGrid w:val="0"/>
        <w:rPr>
          <w:szCs w:val="21"/>
        </w:rPr>
      </w:pPr>
      <w:r>
        <w:rPr>
          <w:rFonts w:hint="eastAsia"/>
          <w:szCs w:val="21"/>
        </w:rPr>
        <w:t>带材的翘曲度检验</w:t>
      </w:r>
      <w:r>
        <w:rPr>
          <w:rFonts w:hint="eastAsia"/>
        </w:rPr>
        <w:t>方法</w:t>
      </w:r>
      <w:r>
        <w:rPr>
          <w:rFonts w:hint="eastAsia"/>
          <w:szCs w:val="21"/>
        </w:rPr>
        <w:t>按</w:t>
      </w:r>
      <w:r>
        <w:rPr>
          <w:rFonts w:hint="eastAsia" w:ascii="宋体"/>
          <w:szCs w:val="21"/>
        </w:rPr>
        <w:t>YS</w:t>
      </w:r>
      <w:r>
        <w:rPr>
          <w:rFonts w:ascii="宋体"/>
          <w:szCs w:val="21"/>
        </w:rPr>
        <w:t>/T XXXX</w:t>
      </w:r>
      <w:r>
        <w:rPr>
          <w:rFonts w:hint="eastAsia"/>
          <w:szCs w:val="21"/>
        </w:rPr>
        <w:t>的规定进行。</w:t>
      </w:r>
    </w:p>
    <w:p>
      <w:pPr>
        <w:pStyle w:val="2"/>
        <w:keepLines w:val="0"/>
        <w:snapToGrid w:val="0"/>
        <w:spacing w:beforeLines="50" w:after="0" w:line="360" w:lineRule="auto"/>
      </w:pPr>
      <w:r>
        <w:rPr>
          <w:rFonts w:hint="eastAsia"/>
        </w:rPr>
        <w:t>6.7 表面粗糙度</w:t>
      </w:r>
    </w:p>
    <w:p>
      <w:pPr>
        <w:pStyle w:val="12"/>
        <w:snapToGrid w:val="0"/>
        <w:rPr>
          <w:szCs w:val="21"/>
        </w:rPr>
      </w:pPr>
      <w:r>
        <w:rPr>
          <w:rFonts w:hint="eastAsia"/>
        </w:rPr>
        <w:t>带材的表面质表面粗糙度试验方法按</w:t>
      </w:r>
      <w:r>
        <w:t>GB/T 10610</w:t>
      </w:r>
      <w:r>
        <w:rPr>
          <w:rFonts w:hint="eastAsia"/>
        </w:rPr>
        <w:t>的规定进行。</w:t>
      </w:r>
    </w:p>
    <w:p>
      <w:pPr>
        <w:pStyle w:val="2"/>
        <w:keepLines w:val="0"/>
        <w:snapToGrid w:val="0"/>
        <w:spacing w:beforeLines="50" w:after="0" w:line="360" w:lineRule="auto"/>
      </w:pPr>
      <w:r>
        <w:rPr>
          <w:rFonts w:hint="eastAsia"/>
        </w:rPr>
        <w:t>6.8 表面质量</w:t>
      </w:r>
    </w:p>
    <w:p>
      <w:pPr>
        <w:pStyle w:val="12"/>
        <w:snapToGrid w:val="0"/>
      </w:pPr>
      <w:r>
        <w:rPr>
          <w:rFonts w:hint="eastAsia"/>
        </w:rPr>
        <w:t>带材的表面质量应用目视和相应检测仪器进行检验。</w:t>
      </w:r>
    </w:p>
    <w:p>
      <w:pPr>
        <w:pStyle w:val="2"/>
        <w:keepLines w:val="0"/>
        <w:snapToGrid w:val="0"/>
        <w:spacing w:beforeLines="50" w:after="0" w:line="360" w:lineRule="auto"/>
        <w:rPr>
          <w:rFonts w:hAnsi="Calibri"/>
          <w:kern w:val="2"/>
        </w:rPr>
      </w:pPr>
      <w:r>
        <w:rPr>
          <w:rFonts w:hint="eastAsia" w:hAnsi="Calibri"/>
          <w:kern w:val="2"/>
        </w:rPr>
        <w:t>7  检验规则</w:t>
      </w:r>
    </w:p>
    <w:p>
      <w:pPr>
        <w:pStyle w:val="5"/>
        <w:keepLines w:val="0"/>
        <w:snapToGrid w:val="0"/>
        <w:spacing w:line="360" w:lineRule="auto"/>
        <w:ind w:left="0"/>
        <w:rPr>
          <w:rFonts w:ascii="黑体" w:eastAsia="黑体" w:hAnsiTheme="minorEastAsia"/>
        </w:rPr>
      </w:pPr>
      <w:r>
        <w:rPr>
          <w:rFonts w:hint="eastAsia" w:ascii="黑体" w:eastAsia="黑体" w:hAnsiTheme="minorEastAsia"/>
        </w:rPr>
        <w:t>7.1 检查和</w:t>
      </w:r>
      <w:r>
        <w:rPr>
          <w:rFonts w:hint="eastAsia" w:ascii="黑体" w:eastAsia="黑体"/>
        </w:rPr>
        <w:t>验收</w:t>
      </w:r>
    </w:p>
    <w:p>
      <w:pPr>
        <w:pStyle w:val="12"/>
        <w:snapToGrid w:val="0"/>
        <w:ind w:firstLine="0" w:firstLineChars="0"/>
      </w:pPr>
      <w:r>
        <w:rPr>
          <w:rFonts w:hint="eastAsia"/>
        </w:rPr>
        <w:t>7</w:t>
      </w:r>
      <w:r>
        <w:t xml:space="preserve">.1.1  </w:t>
      </w:r>
      <w:r>
        <w:rPr>
          <w:rFonts w:hint="eastAsia"/>
        </w:rPr>
        <w:t>产品应由供方和第三方进行检验，保证产品质量符合本文件及订货单的规定。</w:t>
      </w:r>
    </w:p>
    <w:p>
      <w:pPr>
        <w:pStyle w:val="12"/>
        <w:snapToGrid w:val="0"/>
        <w:ind w:firstLine="0" w:firstLineChars="0"/>
        <w:rPr>
          <w:rFonts w:asciiTheme="minorEastAsia" w:hAnsiTheme="minorEastAsia" w:eastAsiaTheme="minorEastAsia"/>
          <w:color w:val="00B0F0"/>
          <w:szCs w:val="21"/>
        </w:rPr>
      </w:pPr>
      <w:r>
        <w:rPr>
          <w:rFonts w:hint="eastAsia"/>
        </w:rPr>
        <w:t xml:space="preserve">7.1.2  </w:t>
      </w:r>
      <w:r>
        <w:t>需方可对收到的产品按本文件的规定进行检验。如检验结果与本文件及订货单的规定不符时，应以书面形式向供方提出，由供需双方协商解决。属于表面质量或外形尺寸的异议，应在收到产品之日起</w:t>
      </w:r>
      <w:r>
        <w:rPr>
          <w:rFonts w:hint="eastAsia"/>
        </w:rPr>
        <w:t>一个月</w:t>
      </w:r>
      <w:r>
        <w:t>内提出；属于</w:t>
      </w:r>
      <w:r>
        <w:rPr>
          <w:rFonts w:hint="eastAsia"/>
        </w:rPr>
        <w:t>力学性能</w:t>
      </w:r>
      <w:r>
        <w:t>的异议，应在收到产品之日起</w:t>
      </w:r>
      <w:r>
        <w:rPr>
          <w:rFonts w:hint="eastAsia"/>
        </w:rPr>
        <w:t>三个月</w:t>
      </w:r>
      <w:r>
        <w:t>内提出。如需仲裁，应由供需双方在需方共同取样或协商确定</w:t>
      </w:r>
      <w:r>
        <w:rPr>
          <w:rFonts w:hint="eastAsia"/>
        </w:rPr>
        <w:t xml:space="preserve">。    </w:t>
      </w:r>
      <w:r>
        <w:rPr>
          <w:rFonts w:hint="eastAsia" w:ascii="宋体" w:hAnsi="宋体" w:cs="宋体"/>
          <w:szCs w:val="21"/>
        </w:rPr>
        <w:t xml:space="preserve"> </w:t>
      </w:r>
      <w:r>
        <w:rPr>
          <w:rFonts w:hint="eastAsia" w:ascii="宋体" w:hAnsi="宋体" w:cs="宋体"/>
          <w:color w:val="00B0F0"/>
          <w:szCs w:val="21"/>
        </w:rPr>
        <w:t xml:space="preserve">        </w:t>
      </w:r>
    </w:p>
    <w:p>
      <w:pPr>
        <w:pStyle w:val="2"/>
        <w:keepLines w:val="0"/>
        <w:snapToGrid w:val="0"/>
        <w:spacing w:beforeLines="50" w:after="0" w:line="360" w:lineRule="auto"/>
      </w:pPr>
      <w:r>
        <w:rPr>
          <w:rFonts w:hint="eastAsia"/>
        </w:rPr>
        <w:t>7.2 组批</w:t>
      </w:r>
    </w:p>
    <w:p>
      <w:pPr>
        <w:pStyle w:val="12"/>
        <w:snapToGrid w:val="0"/>
        <w:rPr>
          <w:rFonts w:asciiTheme="minorEastAsia" w:hAnsiTheme="minorEastAsia" w:eastAsiaTheme="minorEastAsia"/>
          <w:szCs w:val="21"/>
        </w:rPr>
      </w:pPr>
      <w:r>
        <w:rPr>
          <w:rFonts w:hint="eastAsia" w:asciiTheme="minorEastAsia" w:hAnsiTheme="minorEastAsia" w:eastAsiaTheme="minorEastAsia"/>
          <w:szCs w:val="21"/>
        </w:rPr>
        <w:t>带材应成批提交验收，每批应由同一牌号、状态和规格组成。每批重量应不大于</w:t>
      </w:r>
      <w:r>
        <w:rPr>
          <w:rFonts w:asciiTheme="minorEastAsia" w:hAnsiTheme="minorEastAsia" w:eastAsiaTheme="minorEastAsia"/>
          <w:szCs w:val="21"/>
        </w:rPr>
        <w:t>5000kg</w:t>
      </w:r>
      <w:r>
        <w:rPr>
          <w:rFonts w:hint="eastAsia" w:asciiTheme="minorEastAsia" w:hAnsiTheme="minorEastAsia" w:eastAsiaTheme="minorEastAsia"/>
          <w:szCs w:val="21"/>
        </w:rPr>
        <w:t>（如该批为同一熔次，则批重可不大于</w:t>
      </w:r>
      <w:r>
        <w:rPr>
          <w:rFonts w:asciiTheme="minorEastAsia" w:hAnsiTheme="minorEastAsia" w:eastAsiaTheme="minorEastAsia"/>
          <w:szCs w:val="21"/>
        </w:rPr>
        <w:t>10000kg</w:t>
      </w:r>
      <w:r>
        <w:rPr>
          <w:rFonts w:hint="eastAsia" w:asciiTheme="minorEastAsia" w:hAnsiTheme="minorEastAsia" w:eastAsiaTheme="minorEastAsia"/>
          <w:szCs w:val="21"/>
        </w:rPr>
        <w:t>）。</w:t>
      </w:r>
    </w:p>
    <w:p>
      <w:pPr>
        <w:pStyle w:val="2"/>
        <w:keepLines w:val="0"/>
        <w:snapToGrid w:val="0"/>
        <w:spacing w:beforeLines="50" w:after="0" w:line="360" w:lineRule="auto"/>
        <w:rPr>
          <w:rFonts w:hAnsi="黑体" w:cs="黑体"/>
          <w:color w:val="000000" w:themeColor="text1"/>
        </w:rPr>
      </w:pPr>
      <w:r>
        <w:rPr>
          <w:rFonts w:hint="eastAsia" w:hAnsiTheme="minorEastAsia"/>
        </w:rPr>
        <w:t>7.3 检验项目</w:t>
      </w:r>
    </w:p>
    <w:p>
      <w:pPr>
        <w:pStyle w:val="5"/>
        <w:keepLines w:val="0"/>
        <w:snapToGrid w:val="0"/>
        <w:spacing w:line="360" w:lineRule="auto"/>
        <w:ind w:left="0"/>
        <w:jc w:val="left"/>
        <w:rPr>
          <w:rFonts w:ascii="黑体" w:hAnsi="黑体" w:eastAsia="黑体" w:cs="黑体"/>
          <w:color w:val="000000" w:themeColor="text1"/>
        </w:rPr>
      </w:pPr>
      <w:r>
        <w:rPr>
          <w:rFonts w:hint="eastAsia" w:ascii="黑体" w:hAnsi="黑体" w:eastAsia="黑体" w:cs="黑体"/>
          <w:color w:val="000000" w:themeColor="text1"/>
        </w:rPr>
        <w:t>7.3.1检验项目类别</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产品的检验项目分为出厂检验和型式检验，见表</w:t>
      </w:r>
      <w:r>
        <w:rPr>
          <w:rFonts w:hint="eastAsia" w:asciiTheme="minorEastAsia" w:hAnsiTheme="minorEastAsia" w:eastAsiaTheme="minorEastAsia"/>
          <w:color w:val="000000" w:themeColor="text1"/>
          <w:sz w:val="21"/>
          <w:szCs w:val="21"/>
        </w:rPr>
        <w:t>7。</w:t>
      </w:r>
    </w:p>
    <w:p>
      <w:pPr>
        <w:snapToGrid w:val="0"/>
        <w:spacing w:line="240" w:lineRule="auto"/>
        <w:jc w:val="center"/>
        <w:rPr>
          <w:rFonts w:ascii="黑体" w:eastAsia="黑体" w:hAnsiTheme="minorEastAsia"/>
          <w:sz w:val="21"/>
          <w:szCs w:val="21"/>
        </w:rPr>
      </w:pPr>
      <w:r>
        <w:rPr>
          <w:rFonts w:hint="eastAsia" w:ascii="黑体" w:eastAsia="黑体" w:hAnsiTheme="minorEastAsia"/>
          <w:sz w:val="21"/>
          <w:szCs w:val="21"/>
        </w:rPr>
        <w:t>表</w:t>
      </w:r>
      <w:r>
        <w:rPr>
          <w:rFonts w:hint="eastAsia" w:ascii="黑体" w:eastAsia="黑体" w:hAnsiTheme="minorEastAsia"/>
          <w:color w:val="000000" w:themeColor="text1"/>
          <w:sz w:val="21"/>
          <w:szCs w:val="21"/>
        </w:rPr>
        <w:t>7</w:t>
      </w:r>
      <w:r>
        <w:rPr>
          <w:rFonts w:hint="eastAsia" w:ascii="黑体" w:eastAsia="黑体" w:hAnsiTheme="minorEastAsia"/>
          <w:sz w:val="21"/>
          <w:szCs w:val="21"/>
        </w:rPr>
        <w:t xml:space="preserve"> 检验项目</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665"/>
        <w:gridCol w:w="2905"/>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检验项目</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出厂检验项目</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tc>
        <w:tc>
          <w:tcPr>
            <w:tcW w:w="2905" w:type="dxa"/>
            <w:vAlign w:val="center"/>
          </w:tcPr>
          <w:p>
            <w:pPr>
              <w:snapToGrid w:val="0"/>
              <w:spacing w:line="240" w:lineRule="auto"/>
              <w:jc w:val="cente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外形尺寸及其允许偏差</w:t>
            </w:r>
          </w:p>
        </w:tc>
        <w:tc>
          <w:tcPr>
            <w:tcW w:w="2905" w:type="dxa"/>
            <w:vAlign w:val="center"/>
          </w:tcPr>
          <w:p>
            <w:pPr>
              <w:snapToGrid w:val="0"/>
              <w:spacing w:line="240" w:lineRule="auto"/>
              <w:jc w:val="cente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0" w:type="dxa"/>
            <w:vMerge w:val="restart"/>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力学性能</w:t>
            </w:r>
          </w:p>
        </w:tc>
        <w:tc>
          <w:tcPr>
            <w:tcW w:w="166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拉伸试验</w:t>
            </w:r>
          </w:p>
        </w:tc>
        <w:tc>
          <w:tcPr>
            <w:tcW w:w="2905" w:type="dxa"/>
            <w:vMerge w:val="restart"/>
            <w:vAlign w:val="center"/>
          </w:tcPr>
          <w:p>
            <w:pPr>
              <w:snapToGrid w:val="0"/>
              <w:spacing w:line="240" w:lineRule="auto"/>
              <w:jc w:val="center"/>
            </w:pPr>
            <w:r>
              <w:rPr>
                <w:rFonts w:hint="eastAsia" w:asciiTheme="minorEastAsia" w:hAnsiTheme="minorEastAsia" w:eastAsiaTheme="minorEastAsia"/>
                <w:sz w:val="18"/>
                <w:szCs w:val="18"/>
              </w:rPr>
              <w:t>√（二选一）</w:t>
            </w:r>
          </w:p>
        </w:tc>
        <w:tc>
          <w:tcPr>
            <w:tcW w:w="2905" w:type="dxa"/>
            <w:vAlign w:val="center"/>
          </w:tcPr>
          <w:p>
            <w:pPr>
              <w:snapToGrid w:val="0"/>
              <w:spacing w:line="240" w:lineRule="auto"/>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0" w:type="dxa"/>
            <w:vMerge w:val="continue"/>
            <w:vAlign w:val="center"/>
          </w:tcPr>
          <w:p>
            <w:pPr>
              <w:snapToGrid w:val="0"/>
              <w:spacing w:line="240" w:lineRule="auto"/>
              <w:jc w:val="center"/>
              <w:rPr>
                <w:rFonts w:asciiTheme="minorEastAsia" w:hAnsiTheme="minorEastAsia" w:eastAsiaTheme="minorEastAsia"/>
                <w:sz w:val="18"/>
                <w:szCs w:val="18"/>
              </w:rPr>
            </w:pPr>
          </w:p>
        </w:tc>
        <w:tc>
          <w:tcPr>
            <w:tcW w:w="1665"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硬度试验</w:t>
            </w:r>
          </w:p>
        </w:tc>
        <w:tc>
          <w:tcPr>
            <w:tcW w:w="2905" w:type="dxa"/>
            <w:vMerge w:val="continue"/>
            <w:vAlign w:val="center"/>
          </w:tcPr>
          <w:p>
            <w:pPr>
              <w:snapToGrid w:val="0"/>
              <w:spacing w:line="240" w:lineRule="auto"/>
              <w:jc w:val="center"/>
              <w:rPr>
                <w:rFonts w:asciiTheme="minorEastAsia" w:hAnsiTheme="minorEastAsia" w:eastAsiaTheme="minorEastAsia"/>
                <w:sz w:val="18"/>
                <w:szCs w:val="18"/>
                <w:highlight w:val="yellow"/>
              </w:rPr>
            </w:pPr>
          </w:p>
        </w:tc>
        <w:tc>
          <w:tcPr>
            <w:tcW w:w="2905" w:type="dxa"/>
            <w:vAlign w:val="center"/>
          </w:tcPr>
          <w:p>
            <w:pPr>
              <w:snapToGrid w:val="0"/>
              <w:spacing w:line="240" w:lineRule="auto"/>
              <w:jc w:val="center"/>
              <w:rPr>
                <w:highlight w:val="yellow"/>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电性能</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内应力</w:t>
            </w:r>
          </w:p>
        </w:tc>
        <w:tc>
          <w:tcPr>
            <w:tcW w:w="2905" w:type="dxa"/>
            <w:vAlign w:val="center"/>
          </w:tcPr>
          <w:p>
            <w:pPr>
              <w:spacing w:line="240" w:lineRule="auto"/>
              <w:jc w:val="cente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翘曲度</w:t>
            </w:r>
          </w:p>
        </w:tc>
        <w:tc>
          <w:tcPr>
            <w:tcW w:w="2905" w:type="dxa"/>
            <w:vAlign w:val="center"/>
          </w:tcPr>
          <w:p>
            <w:pPr>
              <w:spacing w:line="240" w:lineRule="auto"/>
              <w:jc w:val="cente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表面粗糙度</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rPr>
                <w:rFonts w:asciiTheme="minorEastAsia" w:hAnsiTheme="minorEastAsia" w:eastAsiaTheme="minorEastAsia"/>
                <w:color w:val="00B0F0"/>
                <w:sz w:val="18"/>
                <w:szCs w:val="18"/>
              </w:rPr>
            </w:pPr>
            <w:r>
              <w:rPr>
                <w:rFonts w:hint="eastAsia" w:asciiTheme="minorEastAsia" w:hAnsiTheme="minorEastAsia" w:eastAsiaTheme="minorEastAsia"/>
                <w:color w:val="00B0F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5" w:type="dxa"/>
            <w:gridSpan w:val="2"/>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表面质量</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905" w:type="dxa"/>
            <w:vAlign w:val="center"/>
          </w:tcPr>
          <w:p>
            <w:pPr>
              <w:snapToGrid w:val="0"/>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715" w:type="dxa"/>
            <w:gridSpan w:val="4"/>
            <w:vAlign w:val="center"/>
          </w:tcPr>
          <w:p>
            <w:pPr>
              <w:widowControl/>
              <w:snapToGrid w:val="0"/>
              <w:spacing w:line="240" w:lineRule="auto"/>
            </w:pPr>
            <w:r>
              <w:rPr>
                <w:rFonts w:ascii="黑体" w:hAnsi="宋体" w:eastAsia="黑体" w:cs="黑体"/>
                <w:sz w:val="18"/>
                <w:szCs w:val="18"/>
              </w:rPr>
              <w:t>注</w:t>
            </w:r>
            <w:r>
              <w:rPr>
                <w:rFonts w:hint="eastAsia" w:ascii="宋体" w:hAnsi="宋体" w:cs="宋体"/>
                <w:sz w:val="18"/>
                <w:szCs w:val="18"/>
              </w:rPr>
              <w:t>：表中</w:t>
            </w:r>
            <w:r>
              <w:rPr>
                <w:sz w:val="18"/>
                <w:szCs w:val="18"/>
              </w:rPr>
              <w:t>“√”</w:t>
            </w:r>
            <w:r>
              <w:rPr>
                <w:rFonts w:hint="eastAsia" w:ascii="宋体" w:hAnsi="宋体" w:cs="宋体"/>
                <w:sz w:val="18"/>
                <w:szCs w:val="18"/>
              </w:rPr>
              <w:t>表示</w:t>
            </w:r>
            <w:r>
              <w:rPr>
                <w:sz w:val="18"/>
                <w:szCs w:val="18"/>
              </w:rPr>
              <w:t>“</w:t>
            </w:r>
            <w:r>
              <w:rPr>
                <w:rFonts w:hint="eastAsia" w:ascii="宋体" w:hAnsi="宋体" w:cs="宋体"/>
                <w:sz w:val="18"/>
                <w:szCs w:val="18"/>
              </w:rPr>
              <w:t>必验项目</w:t>
            </w:r>
            <w:r>
              <w:rPr>
                <w:sz w:val="18"/>
                <w:szCs w:val="18"/>
              </w:rPr>
              <w:t>”</w:t>
            </w:r>
            <w:r>
              <w:rPr>
                <w:rFonts w:hint="eastAsia" w:ascii="宋体" w:hAnsi="宋体" w:cs="宋体"/>
                <w:sz w:val="18"/>
                <w:szCs w:val="18"/>
              </w:rPr>
              <w:t>；</w:t>
            </w:r>
            <w:r>
              <w:rPr>
                <w:sz w:val="18"/>
                <w:szCs w:val="18"/>
              </w:rPr>
              <w:t xml:space="preserve">“×” </w:t>
            </w:r>
            <w:r>
              <w:rPr>
                <w:rFonts w:hint="eastAsia" w:ascii="宋体" w:hAnsi="宋体" w:cs="宋体"/>
                <w:sz w:val="18"/>
                <w:szCs w:val="18"/>
              </w:rPr>
              <w:t>表示</w:t>
            </w:r>
            <w:r>
              <w:rPr>
                <w:sz w:val="18"/>
                <w:szCs w:val="18"/>
              </w:rPr>
              <w:t>“</w:t>
            </w:r>
            <w:r>
              <w:rPr>
                <w:rFonts w:hint="eastAsia" w:ascii="宋体" w:hAnsi="宋体" w:cs="宋体"/>
                <w:sz w:val="18"/>
                <w:szCs w:val="18"/>
              </w:rPr>
              <w:t>非必验项目</w:t>
            </w:r>
            <w:r>
              <w:rPr>
                <w:sz w:val="18"/>
                <w:szCs w:val="18"/>
              </w:rPr>
              <w:t>”</w:t>
            </w:r>
            <w:r>
              <w:rPr>
                <w:rFonts w:hint="eastAsia" w:ascii="宋体" w:hAnsi="宋体" w:cs="宋体"/>
                <w:sz w:val="18"/>
                <w:szCs w:val="18"/>
              </w:rPr>
              <w:t>。</w:t>
            </w:r>
          </w:p>
        </w:tc>
      </w:tr>
    </w:tbl>
    <w:p>
      <w:pPr>
        <w:pStyle w:val="2"/>
        <w:keepLines w:val="0"/>
        <w:snapToGrid w:val="0"/>
        <w:spacing w:beforeLines="50" w:after="0" w:line="360" w:lineRule="auto"/>
        <w:rPr>
          <w:rFonts w:hAnsi="Calibri"/>
          <w:kern w:val="2"/>
        </w:rPr>
      </w:pPr>
      <w:r>
        <w:rPr>
          <w:rFonts w:hint="eastAsia" w:hAnsi="Calibri"/>
          <w:kern w:val="2"/>
        </w:rPr>
        <w:t>7.3.2 出厂</w:t>
      </w:r>
      <w:r>
        <w:rPr>
          <w:rFonts w:hint="eastAsia" w:hAnsiTheme="minorEastAsia"/>
        </w:rPr>
        <w:t>检验</w:t>
      </w:r>
    </w:p>
    <w:p>
      <w:pPr>
        <w:pStyle w:val="12"/>
        <w:snapToGrid w:val="0"/>
        <w:rPr>
          <w:rFonts w:asciiTheme="minorEastAsia" w:hAnsiTheme="minorEastAsia" w:eastAsiaTheme="minorEastAsia"/>
          <w:szCs w:val="21"/>
        </w:rPr>
      </w:pPr>
      <w:r>
        <w:rPr>
          <w:rFonts w:hint="eastAsia" w:asciiTheme="minorEastAsia" w:hAnsiTheme="minorEastAsia" w:eastAsiaTheme="minorEastAsia"/>
          <w:szCs w:val="21"/>
        </w:rPr>
        <w:t>每批带材应进行化学成分、外形尺寸及其允许偏差、电性能及表面质量的检验。每批带材应进行力学性能（拉伸试验或硬度试验）检验。拉伸试验和硬度试验任选其一</w:t>
      </w:r>
      <w:r>
        <w:rPr>
          <w:rFonts w:asciiTheme="minorEastAsia" w:hAnsiTheme="minorEastAsia" w:eastAsiaTheme="minorEastAsia"/>
          <w:szCs w:val="21"/>
        </w:rPr>
        <w:t>,</w:t>
      </w:r>
      <w:r>
        <w:rPr>
          <w:rFonts w:hint="eastAsia" w:asciiTheme="minorEastAsia" w:hAnsiTheme="minorEastAsia" w:eastAsiaTheme="minorEastAsia"/>
          <w:szCs w:val="21"/>
        </w:rPr>
        <w:t>未在合同中注明时，提供拉伸试验。当选择拉伸试验时，如需方有要求硬度试验并在合同中注明时，还应进行硬度试验，硬度试验仅供参考；当选择硬度试验时，如需方有要求拉伸试验并在合同中注明时，还应进行拉伸试验，拉伸试验结果仅供参考。</w:t>
      </w:r>
    </w:p>
    <w:p>
      <w:pPr>
        <w:snapToGrid w:val="0"/>
        <w:spacing w:line="24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如需方有要求，并在合同中注明时，还应进行内应力、翘曲度和表面粗糙度的检验。</w:t>
      </w:r>
    </w:p>
    <w:p>
      <w:pPr>
        <w:pStyle w:val="5"/>
        <w:keepLines w:val="0"/>
        <w:snapToGrid w:val="0"/>
        <w:spacing w:line="360" w:lineRule="auto"/>
        <w:ind w:left="0"/>
        <w:jc w:val="left"/>
        <w:rPr>
          <w:rFonts w:ascii="黑体" w:hAnsi="Calibri" w:eastAsia="黑体"/>
          <w:kern w:val="2"/>
        </w:rPr>
      </w:pPr>
      <w:r>
        <w:rPr>
          <w:rFonts w:hint="eastAsia" w:ascii="黑体" w:hAnsi="Calibri" w:eastAsia="黑体"/>
          <w:kern w:val="2"/>
        </w:rPr>
        <w:t>7.3.3 型式检验</w:t>
      </w:r>
    </w:p>
    <w:p>
      <w:pPr>
        <w:snapToGrid w:val="0"/>
        <w:spacing w:line="240" w:lineRule="auto"/>
        <w:ind w:firstLine="420" w:firstLineChars="200"/>
        <w:rPr>
          <w:sz w:val="21"/>
          <w:szCs w:val="21"/>
        </w:rPr>
      </w:pPr>
      <w:r>
        <w:rPr>
          <w:rFonts w:hint="eastAsia"/>
          <w:sz w:val="21"/>
          <w:szCs w:val="21"/>
        </w:rPr>
        <w:t>出现下列任一情况时，应进行型式检验：</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新产品或老产品转厂的试制定型鉴定；</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产品的原料、工艺有较大改变，可能影响产品性能时；</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sz w:val="21"/>
          <w:szCs w:val="21"/>
        </w:rPr>
        <w:t>产品停产后，恢复生产时；</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sz w:val="21"/>
          <w:szCs w:val="21"/>
        </w:rPr>
        <w:t>出厂检验结果与上次型式检验有较大差异时；</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sz w:val="21"/>
          <w:szCs w:val="21"/>
        </w:rPr>
        <w:t>连续二年未进行型式检验时；</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sz w:val="21"/>
          <w:szCs w:val="21"/>
        </w:rPr>
        <w:t>需方要求时（在订货单中注明）；</w:t>
      </w:r>
    </w:p>
    <w:p>
      <w:pPr>
        <w:pStyle w:val="42"/>
        <w:numPr>
          <w:ilvl w:val="1"/>
          <w:numId w:val="3"/>
        </w:numPr>
        <w:adjustRightInd w:val="0"/>
        <w:snapToGrid w:val="0"/>
        <w:ind w:left="0" w:firstLine="420"/>
        <w:rPr>
          <w:rFonts w:asciiTheme="minorEastAsia" w:hAnsiTheme="minorEastAsia" w:eastAsiaTheme="minorEastAsia"/>
          <w:sz w:val="21"/>
          <w:szCs w:val="21"/>
        </w:rPr>
      </w:pPr>
      <w:r>
        <w:rPr>
          <w:rFonts w:hint="eastAsia"/>
          <w:sz w:val="21"/>
          <w:szCs w:val="21"/>
        </w:rPr>
        <w:t>国家质量监督机构提出进行型式检验的要求时。</w:t>
      </w:r>
    </w:p>
    <w:p>
      <w:pPr>
        <w:pStyle w:val="2"/>
        <w:keepLines w:val="0"/>
        <w:snapToGrid w:val="0"/>
        <w:spacing w:beforeLines="50" w:after="0" w:line="360" w:lineRule="auto"/>
        <w:rPr>
          <w:rFonts w:hAnsiTheme="minorEastAsia"/>
        </w:rPr>
      </w:pPr>
      <w:r>
        <w:rPr>
          <w:rFonts w:hint="eastAsia" w:hAnsiTheme="minorEastAsia"/>
        </w:rPr>
        <w:t>7.4  取样</w:t>
      </w:r>
    </w:p>
    <w:p>
      <w:pPr>
        <w:pStyle w:val="12"/>
        <w:snapToGrid w:val="0"/>
        <w:rPr>
          <w:rFonts w:asciiTheme="minorEastAsia" w:hAnsiTheme="minorEastAsia" w:eastAsiaTheme="minorEastAsia"/>
        </w:rPr>
      </w:pPr>
      <w:r>
        <w:rPr>
          <w:rFonts w:hint="eastAsia" w:asciiTheme="minorEastAsia" w:hAnsiTheme="minorEastAsia" w:eastAsiaTheme="minorEastAsia"/>
          <w:szCs w:val="21"/>
        </w:rPr>
        <w:t>带材取样应符合表8的规定。取样方法按</w:t>
      </w:r>
      <w:r>
        <w:rPr>
          <w:rFonts w:asciiTheme="minorEastAsia" w:hAnsiTheme="minorEastAsia" w:eastAsiaTheme="minorEastAsia"/>
          <w:szCs w:val="21"/>
        </w:rPr>
        <w:t>YS/T 668</w:t>
      </w:r>
      <w:r>
        <w:rPr>
          <w:rFonts w:hint="eastAsia" w:asciiTheme="minorEastAsia" w:hAnsiTheme="minorEastAsia" w:eastAsiaTheme="minorEastAsia"/>
          <w:szCs w:val="21"/>
        </w:rPr>
        <w:t>的规定进行。</w:t>
      </w:r>
    </w:p>
    <w:p>
      <w:pPr>
        <w:pStyle w:val="3"/>
        <w:snapToGrid w:val="0"/>
        <w:jc w:val="center"/>
        <w:rPr>
          <w:rFonts w:ascii="黑体" w:eastAsia="黑体" w:hAnsiTheme="minorEastAsia"/>
        </w:rPr>
      </w:pPr>
      <w:r>
        <w:rPr>
          <w:rFonts w:hint="eastAsia" w:ascii="黑体" w:eastAsia="黑体" w:hAnsiTheme="minorEastAsia"/>
        </w:rPr>
        <w:t>表8  取样</w:t>
      </w:r>
    </w:p>
    <w:tbl>
      <w:tblPr>
        <w:tblStyle w:val="2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32"/>
        <w:gridCol w:w="4685"/>
        <w:gridCol w:w="113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检验项目</w:t>
            </w:r>
          </w:p>
        </w:tc>
        <w:tc>
          <w:tcPr>
            <w:tcW w:w="4685"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取样规定</w:t>
            </w:r>
          </w:p>
        </w:tc>
        <w:tc>
          <w:tcPr>
            <w:tcW w:w="1136"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要求的</w:t>
            </w:r>
          </w:p>
          <w:p>
            <w:pPr>
              <w:pStyle w:val="12"/>
              <w:snapToGrid w:val="0"/>
              <w:ind w:firstLine="0" w:firstLineChars="0"/>
              <w:jc w:val="center"/>
              <w:rPr>
                <w:rFonts w:ascii="宋体" w:hAnsi="宋体"/>
                <w:sz w:val="18"/>
                <w:szCs w:val="18"/>
              </w:rPr>
            </w:pPr>
            <w:r>
              <w:rPr>
                <w:rFonts w:hint="eastAsia" w:ascii="宋体" w:hAnsi="宋体"/>
                <w:sz w:val="18"/>
                <w:szCs w:val="18"/>
              </w:rPr>
              <w:t>章条号</w:t>
            </w:r>
          </w:p>
        </w:tc>
        <w:tc>
          <w:tcPr>
            <w:tcW w:w="1320"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试验方法</w:t>
            </w:r>
          </w:p>
          <w:p>
            <w:pPr>
              <w:pStyle w:val="12"/>
              <w:snapToGrid w:val="0"/>
              <w:ind w:firstLine="0" w:firstLineChars="0"/>
              <w:jc w:val="center"/>
              <w:rPr>
                <w:rFonts w:ascii="宋体" w:hAnsi="宋体"/>
                <w:sz w:val="18"/>
                <w:szCs w:val="18"/>
              </w:rPr>
            </w:pPr>
            <w:r>
              <w:rPr>
                <w:rFonts w:hint="eastAsia" w:ascii="宋体" w:hAnsi="宋体"/>
                <w:sz w:val="18"/>
                <w:szCs w:val="18"/>
              </w:rPr>
              <w:t>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化学成分</w:t>
            </w:r>
          </w:p>
        </w:tc>
        <w:tc>
          <w:tcPr>
            <w:tcW w:w="4685"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供方每熔次取</w:t>
            </w:r>
            <w:r>
              <w:rPr>
                <w:rFonts w:ascii="宋体" w:hAnsi="宋体"/>
                <w:sz w:val="18"/>
                <w:szCs w:val="18"/>
              </w:rPr>
              <w:t>1</w:t>
            </w:r>
            <w:r>
              <w:rPr>
                <w:rFonts w:hint="eastAsia" w:ascii="宋体" w:hAnsi="宋体"/>
                <w:sz w:val="18"/>
                <w:szCs w:val="18"/>
              </w:rPr>
              <w:t>个试样，需方每批取</w:t>
            </w:r>
            <w:r>
              <w:rPr>
                <w:rFonts w:ascii="宋体" w:hAnsi="宋体"/>
                <w:sz w:val="18"/>
                <w:szCs w:val="18"/>
              </w:rPr>
              <w:t>1</w:t>
            </w:r>
            <w:r>
              <w:rPr>
                <w:rFonts w:hint="eastAsia" w:ascii="宋体" w:hAnsi="宋体"/>
                <w:sz w:val="18"/>
                <w:szCs w:val="18"/>
              </w:rPr>
              <w:t>个试样</w:t>
            </w:r>
          </w:p>
        </w:tc>
        <w:tc>
          <w:tcPr>
            <w:tcW w:w="1136" w:type="dxa"/>
            <w:vAlign w:val="center"/>
          </w:tcPr>
          <w:p>
            <w:pPr>
              <w:spacing w:line="240" w:lineRule="auto"/>
              <w:jc w:val="center"/>
              <w:rPr>
                <w:rFonts w:ascii="宋体" w:hAnsi="宋体"/>
                <w:sz w:val="18"/>
                <w:szCs w:val="18"/>
              </w:rPr>
            </w:pPr>
            <w:r>
              <w:rPr>
                <w:rFonts w:hint="eastAsia" w:ascii="宋体" w:hAnsi="宋体"/>
                <w:sz w:val="18"/>
                <w:szCs w:val="18"/>
              </w:rPr>
              <w:t>5.1</w:t>
            </w:r>
          </w:p>
        </w:tc>
        <w:tc>
          <w:tcPr>
            <w:tcW w:w="1320" w:type="dxa"/>
            <w:vAlign w:val="center"/>
          </w:tcPr>
          <w:p>
            <w:pPr>
              <w:spacing w:line="240" w:lineRule="auto"/>
              <w:jc w:val="center"/>
              <w:rPr>
                <w:rFonts w:ascii="宋体" w:hAnsi="宋体"/>
                <w:sz w:val="18"/>
                <w:szCs w:val="18"/>
              </w:rPr>
            </w:pPr>
            <w:r>
              <w:rPr>
                <w:rFonts w:hint="eastAsia" w:ascii="宋体" w:hAnsi="宋体"/>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外形尺寸及其允许偏差</w:t>
            </w:r>
          </w:p>
        </w:tc>
        <w:tc>
          <w:tcPr>
            <w:tcW w:w="4685"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逐卷</w:t>
            </w:r>
          </w:p>
        </w:tc>
        <w:tc>
          <w:tcPr>
            <w:tcW w:w="1136" w:type="dxa"/>
            <w:vAlign w:val="center"/>
          </w:tcPr>
          <w:p>
            <w:pPr>
              <w:spacing w:line="240" w:lineRule="auto"/>
              <w:jc w:val="center"/>
              <w:rPr>
                <w:rFonts w:ascii="宋体" w:hAnsi="宋体"/>
                <w:sz w:val="18"/>
                <w:szCs w:val="18"/>
              </w:rPr>
            </w:pPr>
            <w:r>
              <w:rPr>
                <w:rFonts w:hint="eastAsia" w:ascii="宋体" w:hAnsi="宋体"/>
                <w:sz w:val="18"/>
                <w:szCs w:val="18"/>
              </w:rPr>
              <w:t>5.2</w:t>
            </w:r>
          </w:p>
        </w:tc>
        <w:tc>
          <w:tcPr>
            <w:tcW w:w="1320" w:type="dxa"/>
            <w:vAlign w:val="center"/>
          </w:tcPr>
          <w:p>
            <w:pPr>
              <w:spacing w:line="240" w:lineRule="auto"/>
              <w:jc w:val="center"/>
              <w:rPr>
                <w:rFonts w:ascii="宋体" w:hAnsi="宋体"/>
                <w:sz w:val="18"/>
                <w:szCs w:val="18"/>
              </w:rPr>
            </w:pPr>
            <w:r>
              <w:rPr>
                <w:rFonts w:hint="eastAsia" w:ascii="宋体" w:hAnsi="宋体"/>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9" w:type="dxa"/>
            <w:vMerge w:val="restart"/>
            <w:vAlign w:val="center"/>
          </w:tcPr>
          <w:p>
            <w:pPr>
              <w:pStyle w:val="12"/>
              <w:snapToGrid w:val="0"/>
              <w:ind w:firstLine="0" w:firstLineChars="0"/>
              <w:jc w:val="center"/>
              <w:rPr>
                <w:rFonts w:ascii="宋体" w:hAnsi="宋体"/>
                <w:sz w:val="18"/>
                <w:szCs w:val="18"/>
              </w:rPr>
            </w:pPr>
            <w:r>
              <w:rPr>
                <w:rFonts w:hint="eastAsia" w:ascii="宋体" w:hAnsi="宋体"/>
                <w:sz w:val="18"/>
                <w:szCs w:val="18"/>
              </w:rPr>
              <w:t>力学</w:t>
            </w:r>
          </w:p>
          <w:p>
            <w:pPr>
              <w:pStyle w:val="12"/>
              <w:snapToGrid w:val="0"/>
              <w:ind w:firstLine="0" w:firstLineChars="0"/>
              <w:jc w:val="center"/>
              <w:rPr>
                <w:rFonts w:ascii="宋体" w:hAnsi="宋体"/>
                <w:sz w:val="18"/>
                <w:szCs w:val="18"/>
              </w:rPr>
            </w:pPr>
            <w:r>
              <w:rPr>
                <w:rFonts w:hint="eastAsia" w:ascii="宋体" w:hAnsi="宋体"/>
                <w:sz w:val="18"/>
                <w:szCs w:val="18"/>
              </w:rPr>
              <w:t>性能</w:t>
            </w:r>
          </w:p>
        </w:tc>
        <w:tc>
          <w:tcPr>
            <w:tcW w:w="1332"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拉伸试验</w:t>
            </w:r>
          </w:p>
        </w:tc>
        <w:tc>
          <w:tcPr>
            <w:tcW w:w="4685" w:type="dxa"/>
            <w:vAlign w:val="center"/>
          </w:tcPr>
          <w:p>
            <w:pPr>
              <w:spacing w:line="240" w:lineRule="auto"/>
              <w:jc w:val="center"/>
              <w:rPr>
                <w:rFonts w:ascii="宋体" w:hAnsi="宋体"/>
                <w:sz w:val="18"/>
                <w:szCs w:val="18"/>
              </w:rPr>
            </w:pPr>
            <w:r>
              <w:rPr>
                <w:rFonts w:hint="eastAsia" w:ascii="宋体" w:hAnsi="宋体"/>
                <w:sz w:val="18"/>
                <w:szCs w:val="18"/>
              </w:rPr>
              <w:t>每批任取2卷，每卷沿轧制方向任取1个试样</w:t>
            </w:r>
          </w:p>
        </w:tc>
        <w:tc>
          <w:tcPr>
            <w:tcW w:w="1136" w:type="dxa"/>
            <w:vMerge w:val="restart"/>
            <w:vAlign w:val="center"/>
          </w:tcPr>
          <w:p>
            <w:pPr>
              <w:spacing w:line="240" w:lineRule="auto"/>
              <w:jc w:val="center"/>
              <w:rPr>
                <w:rFonts w:ascii="宋体" w:hAnsi="宋体"/>
                <w:sz w:val="18"/>
                <w:szCs w:val="18"/>
              </w:rPr>
            </w:pPr>
            <w:r>
              <w:rPr>
                <w:rFonts w:hint="eastAsia" w:ascii="宋体" w:hAnsi="宋体"/>
                <w:sz w:val="18"/>
                <w:szCs w:val="18"/>
              </w:rPr>
              <w:t>5.3</w:t>
            </w:r>
          </w:p>
        </w:tc>
        <w:tc>
          <w:tcPr>
            <w:tcW w:w="1320" w:type="dxa"/>
            <w:vMerge w:val="restart"/>
            <w:vAlign w:val="center"/>
          </w:tcPr>
          <w:p>
            <w:pPr>
              <w:pStyle w:val="12"/>
              <w:snapToGrid w:val="0"/>
              <w:ind w:firstLine="0" w:firstLineChars="0"/>
              <w:jc w:val="center"/>
              <w:rPr>
                <w:rFonts w:ascii="宋体" w:hAnsi="宋体"/>
                <w:sz w:val="18"/>
                <w:szCs w:val="18"/>
              </w:rPr>
            </w:pPr>
            <w:r>
              <w:rPr>
                <w:rFonts w:hint="eastAsia" w:ascii="宋体" w:hAnsi="宋体"/>
                <w:sz w:val="18"/>
                <w:szCs w:val="18"/>
              </w:rPr>
              <w:t>6</w:t>
            </w: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9" w:type="dxa"/>
            <w:vMerge w:val="continue"/>
            <w:vAlign w:val="center"/>
          </w:tcPr>
          <w:p>
            <w:pPr>
              <w:pStyle w:val="12"/>
              <w:snapToGrid w:val="0"/>
              <w:ind w:firstLine="0" w:firstLineChars="0"/>
              <w:jc w:val="center"/>
              <w:rPr>
                <w:rFonts w:ascii="宋体" w:hAnsi="宋体"/>
                <w:sz w:val="18"/>
                <w:szCs w:val="18"/>
              </w:rPr>
            </w:pPr>
          </w:p>
        </w:tc>
        <w:tc>
          <w:tcPr>
            <w:tcW w:w="1332"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硬度试验</w:t>
            </w:r>
          </w:p>
        </w:tc>
        <w:tc>
          <w:tcPr>
            <w:tcW w:w="4685" w:type="dxa"/>
            <w:vAlign w:val="center"/>
          </w:tcPr>
          <w:p>
            <w:pPr>
              <w:spacing w:line="240" w:lineRule="auto"/>
              <w:jc w:val="center"/>
              <w:rPr>
                <w:rFonts w:ascii="宋体" w:hAnsi="宋体"/>
                <w:sz w:val="18"/>
                <w:szCs w:val="18"/>
              </w:rPr>
            </w:pPr>
            <w:r>
              <w:rPr>
                <w:rFonts w:hint="eastAsia" w:ascii="宋体" w:hAnsi="宋体"/>
                <w:sz w:val="18"/>
                <w:szCs w:val="18"/>
              </w:rPr>
              <w:t>每批任取2卷，每卷取1个试样</w:t>
            </w:r>
          </w:p>
        </w:tc>
        <w:tc>
          <w:tcPr>
            <w:tcW w:w="1136" w:type="dxa"/>
            <w:vMerge w:val="continue"/>
            <w:vAlign w:val="center"/>
          </w:tcPr>
          <w:p>
            <w:pPr>
              <w:pStyle w:val="12"/>
              <w:snapToGrid w:val="0"/>
              <w:ind w:firstLine="0" w:firstLineChars="0"/>
              <w:jc w:val="center"/>
              <w:rPr>
                <w:rFonts w:ascii="宋体" w:hAnsi="宋体"/>
                <w:sz w:val="18"/>
                <w:szCs w:val="18"/>
              </w:rPr>
            </w:pPr>
          </w:p>
        </w:tc>
        <w:tc>
          <w:tcPr>
            <w:tcW w:w="1320" w:type="dxa"/>
            <w:vMerge w:val="continue"/>
            <w:vAlign w:val="center"/>
          </w:tcPr>
          <w:p>
            <w:pPr>
              <w:pStyle w:val="12"/>
              <w:snapToGrid w:val="0"/>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电性能</w:t>
            </w:r>
          </w:p>
        </w:tc>
        <w:tc>
          <w:tcPr>
            <w:tcW w:w="4685" w:type="dxa"/>
            <w:vAlign w:val="center"/>
          </w:tcPr>
          <w:p>
            <w:pPr>
              <w:spacing w:line="240" w:lineRule="auto"/>
              <w:jc w:val="center"/>
              <w:rPr>
                <w:rFonts w:ascii="宋体" w:hAnsi="宋体"/>
                <w:sz w:val="18"/>
                <w:szCs w:val="18"/>
              </w:rPr>
            </w:pPr>
            <w:r>
              <w:rPr>
                <w:rFonts w:hint="eastAsia"/>
                <w:sz w:val="18"/>
              </w:rPr>
              <w:t>每批</w:t>
            </w:r>
            <w:r>
              <w:rPr>
                <w:rFonts w:hint="eastAsia"/>
                <w:sz w:val="18"/>
                <w:szCs w:val="21"/>
              </w:rPr>
              <w:t>任取2卷，</w:t>
            </w:r>
            <w:r>
              <w:rPr>
                <w:rFonts w:hint="eastAsia" w:ascii="宋体" w:hAnsi="宋体"/>
                <w:sz w:val="18"/>
                <w:szCs w:val="18"/>
              </w:rPr>
              <w:t>每卷取1个试样</w:t>
            </w:r>
            <w:r>
              <w:rPr>
                <w:rFonts w:hint="eastAsia" w:ascii="宋体" w:hAnsi="宋体"/>
                <w:strike/>
                <w:sz w:val="18"/>
                <w:szCs w:val="18"/>
              </w:rPr>
              <w:t>/卷</w:t>
            </w:r>
          </w:p>
        </w:tc>
        <w:tc>
          <w:tcPr>
            <w:tcW w:w="1136" w:type="dxa"/>
            <w:vAlign w:val="center"/>
          </w:tcPr>
          <w:p>
            <w:pPr>
              <w:spacing w:line="240" w:lineRule="auto"/>
              <w:jc w:val="center"/>
              <w:rPr>
                <w:rFonts w:ascii="宋体" w:hAnsi="宋体"/>
                <w:sz w:val="18"/>
                <w:szCs w:val="18"/>
              </w:rPr>
            </w:pPr>
            <w:r>
              <w:rPr>
                <w:rFonts w:hint="eastAsia" w:ascii="宋体" w:hAnsi="宋体"/>
                <w:sz w:val="18"/>
                <w:szCs w:val="18"/>
              </w:rPr>
              <w:t>5.4</w:t>
            </w:r>
          </w:p>
        </w:tc>
        <w:tc>
          <w:tcPr>
            <w:tcW w:w="1320" w:type="dxa"/>
            <w:vAlign w:val="center"/>
          </w:tcPr>
          <w:p>
            <w:pPr>
              <w:spacing w:line="240" w:lineRule="auto"/>
              <w:jc w:val="center"/>
              <w:rPr>
                <w:rFonts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内应力</w:t>
            </w:r>
          </w:p>
        </w:tc>
        <w:tc>
          <w:tcPr>
            <w:tcW w:w="4685" w:type="dxa"/>
          </w:tcPr>
          <w:p>
            <w:pPr>
              <w:jc w:val="center"/>
            </w:pPr>
            <w:r>
              <w:rPr>
                <w:rFonts w:hint="eastAsia"/>
                <w:sz w:val="18"/>
              </w:rPr>
              <w:t>每批</w:t>
            </w:r>
            <w:r>
              <w:rPr>
                <w:rFonts w:hint="eastAsia"/>
                <w:sz w:val="18"/>
                <w:szCs w:val="21"/>
              </w:rPr>
              <w:t>任取2卷，</w:t>
            </w:r>
            <w:r>
              <w:rPr>
                <w:rFonts w:hint="eastAsia" w:ascii="宋体" w:hAnsi="宋体"/>
                <w:sz w:val="18"/>
                <w:szCs w:val="18"/>
              </w:rPr>
              <w:t>每卷取1个试样</w:t>
            </w:r>
            <w:r>
              <w:rPr>
                <w:rFonts w:hint="eastAsia" w:ascii="宋体" w:hAnsi="宋体"/>
                <w:strike/>
                <w:sz w:val="18"/>
                <w:szCs w:val="18"/>
              </w:rPr>
              <w:t>/</w:t>
            </w:r>
          </w:p>
        </w:tc>
        <w:tc>
          <w:tcPr>
            <w:tcW w:w="1136"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5.5</w:t>
            </w:r>
          </w:p>
        </w:tc>
        <w:tc>
          <w:tcPr>
            <w:tcW w:w="1320"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翘曲度</w:t>
            </w:r>
          </w:p>
        </w:tc>
        <w:tc>
          <w:tcPr>
            <w:tcW w:w="4685" w:type="dxa"/>
          </w:tcPr>
          <w:p>
            <w:pPr>
              <w:jc w:val="center"/>
            </w:pPr>
            <w:r>
              <w:rPr>
                <w:rFonts w:hint="eastAsia"/>
                <w:sz w:val="18"/>
              </w:rPr>
              <w:t>每批</w:t>
            </w:r>
            <w:r>
              <w:rPr>
                <w:rFonts w:hint="eastAsia"/>
                <w:sz w:val="18"/>
                <w:szCs w:val="21"/>
              </w:rPr>
              <w:t>任取2卷，</w:t>
            </w:r>
            <w:r>
              <w:rPr>
                <w:rFonts w:hint="eastAsia" w:ascii="宋体" w:hAnsi="宋体"/>
                <w:sz w:val="18"/>
                <w:szCs w:val="18"/>
              </w:rPr>
              <w:t>每卷取1个试样</w:t>
            </w:r>
            <w:r>
              <w:rPr>
                <w:rFonts w:hint="eastAsia" w:ascii="宋体" w:hAnsi="宋体"/>
                <w:strike/>
                <w:sz w:val="18"/>
                <w:szCs w:val="18"/>
              </w:rPr>
              <w:t>/</w:t>
            </w:r>
          </w:p>
        </w:tc>
        <w:tc>
          <w:tcPr>
            <w:tcW w:w="1136"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5.6</w:t>
            </w:r>
          </w:p>
        </w:tc>
        <w:tc>
          <w:tcPr>
            <w:tcW w:w="1320" w:type="dxa"/>
            <w:vAlign w:val="center"/>
          </w:tcPr>
          <w:p>
            <w:pPr>
              <w:pStyle w:val="12"/>
              <w:snapToGrid w:val="0"/>
              <w:ind w:firstLine="0" w:firstLineChars="0"/>
              <w:jc w:val="center"/>
              <w:rPr>
                <w:rFonts w:ascii="宋体" w:hAnsi="宋体"/>
                <w:sz w:val="18"/>
                <w:szCs w:val="18"/>
              </w:rPr>
            </w:pPr>
            <w:r>
              <w:rPr>
                <w:rFonts w:hint="eastAsia" w:ascii="宋体" w:hAnsi="宋体"/>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表面粗糙度</w:t>
            </w:r>
          </w:p>
        </w:tc>
        <w:tc>
          <w:tcPr>
            <w:tcW w:w="4685" w:type="dxa"/>
            <w:vAlign w:val="center"/>
          </w:tcPr>
          <w:p>
            <w:pPr>
              <w:spacing w:line="240" w:lineRule="auto"/>
              <w:jc w:val="center"/>
              <w:rPr>
                <w:rFonts w:ascii="宋体" w:hAnsi="宋体"/>
                <w:sz w:val="18"/>
                <w:szCs w:val="18"/>
              </w:rPr>
            </w:pPr>
            <w:r>
              <w:rPr>
                <w:rFonts w:hint="eastAsia"/>
                <w:sz w:val="18"/>
              </w:rPr>
              <w:t>每批</w:t>
            </w:r>
            <w:r>
              <w:rPr>
                <w:rFonts w:hint="eastAsia"/>
                <w:sz w:val="18"/>
                <w:szCs w:val="21"/>
              </w:rPr>
              <w:t>任取1卷，</w:t>
            </w:r>
            <w:r>
              <w:rPr>
                <w:rFonts w:hint="eastAsia" w:ascii="宋体" w:hAnsi="宋体"/>
                <w:sz w:val="18"/>
                <w:szCs w:val="18"/>
              </w:rPr>
              <w:t>每卷取1个试样</w:t>
            </w:r>
            <w:r>
              <w:rPr>
                <w:rFonts w:hint="eastAsia" w:ascii="宋体" w:hAnsi="宋体"/>
                <w:strike/>
                <w:sz w:val="18"/>
                <w:szCs w:val="18"/>
              </w:rPr>
              <w:t>/</w:t>
            </w:r>
          </w:p>
        </w:tc>
        <w:tc>
          <w:tcPr>
            <w:tcW w:w="1136" w:type="dxa"/>
            <w:vAlign w:val="center"/>
          </w:tcPr>
          <w:p>
            <w:pPr>
              <w:spacing w:line="240" w:lineRule="auto"/>
              <w:jc w:val="center"/>
              <w:rPr>
                <w:rFonts w:ascii="宋体" w:hAnsi="宋体"/>
                <w:sz w:val="18"/>
                <w:szCs w:val="18"/>
              </w:rPr>
            </w:pPr>
            <w:r>
              <w:rPr>
                <w:rFonts w:hint="eastAsia" w:ascii="宋体" w:hAnsi="宋体"/>
                <w:sz w:val="18"/>
                <w:szCs w:val="18"/>
              </w:rPr>
              <w:t>5.7</w:t>
            </w:r>
          </w:p>
        </w:tc>
        <w:tc>
          <w:tcPr>
            <w:tcW w:w="1320" w:type="dxa"/>
            <w:vAlign w:val="center"/>
          </w:tcPr>
          <w:p>
            <w:pPr>
              <w:spacing w:line="240" w:lineRule="auto"/>
              <w:jc w:val="center"/>
              <w:rPr>
                <w:rFonts w:ascii="宋体" w:hAnsi="宋体"/>
                <w:sz w:val="18"/>
                <w:szCs w:val="18"/>
              </w:rPr>
            </w:pPr>
            <w:r>
              <w:rPr>
                <w:rFonts w:hint="eastAsia" w:ascii="宋体" w:hAnsi="宋体"/>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21" w:type="dxa"/>
            <w:gridSpan w:val="2"/>
            <w:vAlign w:val="center"/>
          </w:tcPr>
          <w:p>
            <w:pPr>
              <w:pStyle w:val="12"/>
              <w:snapToGrid w:val="0"/>
              <w:ind w:firstLine="0" w:firstLineChars="0"/>
              <w:jc w:val="center"/>
              <w:rPr>
                <w:rFonts w:ascii="宋体" w:hAnsi="宋体"/>
                <w:sz w:val="18"/>
                <w:szCs w:val="18"/>
              </w:rPr>
            </w:pPr>
            <w:r>
              <w:rPr>
                <w:rFonts w:hint="eastAsia" w:ascii="宋体" w:hAnsi="宋体"/>
                <w:sz w:val="18"/>
                <w:szCs w:val="18"/>
              </w:rPr>
              <w:t>表面质量</w:t>
            </w:r>
          </w:p>
        </w:tc>
        <w:tc>
          <w:tcPr>
            <w:tcW w:w="4685" w:type="dxa"/>
            <w:vAlign w:val="center"/>
          </w:tcPr>
          <w:p>
            <w:pPr>
              <w:spacing w:line="240" w:lineRule="auto"/>
              <w:jc w:val="center"/>
              <w:rPr>
                <w:rFonts w:ascii="宋体" w:hAnsi="宋体"/>
                <w:sz w:val="18"/>
                <w:szCs w:val="18"/>
              </w:rPr>
            </w:pPr>
            <w:r>
              <w:rPr>
                <w:rFonts w:hint="eastAsia" w:ascii="宋体" w:hAnsi="宋体"/>
                <w:sz w:val="18"/>
                <w:szCs w:val="18"/>
              </w:rPr>
              <w:t>逐卷</w:t>
            </w:r>
          </w:p>
        </w:tc>
        <w:tc>
          <w:tcPr>
            <w:tcW w:w="1136" w:type="dxa"/>
            <w:vAlign w:val="center"/>
          </w:tcPr>
          <w:p>
            <w:pPr>
              <w:spacing w:line="240" w:lineRule="auto"/>
              <w:jc w:val="center"/>
              <w:rPr>
                <w:rFonts w:ascii="宋体" w:hAnsi="宋体"/>
                <w:sz w:val="18"/>
                <w:szCs w:val="18"/>
              </w:rPr>
            </w:pPr>
            <w:r>
              <w:rPr>
                <w:rFonts w:hint="eastAsia" w:ascii="宋体" w:hAnsi="宋体"/>
                <w:sz w:val="18"/>
                <w:szCs w:val="18"/>
              </w:rPr>
              <w:t>5.8</w:t>
            </w:r>
          </w:p>
        </w:tc>
        <w:tc>
          <w:tcPr>
            <w:tcW w:w="1320" w:type="dxa"/>
            <w:vAlign w:val="center"/>
          </w:tcPr>
          <w:p>
            <w:pPr>
              <w:spacing w:line="240" w:lineRule="auto"/>
              <w:jc w:val="center"/>
              <w:rPr>
                <w:rFonts w:ascii="宋体" w:hAnsi="宋体"/>
                <w:sz w:val="18"/>
                <w:szCs w:val="18"/>
              </w:rPr>
            </w:pPr>
            <w:r>
              <w:rPr>
                <w:rFonts w:hint="eastAsia" w:ascii="宋体" w:hAnsi="宋体"/>
                <w:sz w:val="18"/>
                <w:szCs w:val="18"/>
              </w:rPr>
              <w:t>6.8</w:t>
            </w:r>
          </w:p>
        </w:tc>
      </w:tr>
    </w:tbl>
    <w:p>
      <w:pPr>
        <w:pStyle w:val="2"/>
        <w:keepLines w:val="0"/>
        <w:snapToGrid w:val="0"/>
        <w:spacing w:beforeLines="50" w:after="0" w:line="360" w:lineRule="auto"/>
        <w:rPr>
          <w:rFonts w:hAnsiTheme="minorEastAsia"/>
        </w:rPr>
      </w:pPr>
      <w:r>
        <w:rPr>
          <w:rFonts w:hint="eastAsia" w:hAnsiTheme="minorEastAsia"/>
        </w:rPr>
        <w:t>7.5  检验结果的判定</w:t>
      </w:r>
    </w:p>
    <w:p>
      <w:pPr>
        <w:pStyle w:val="3"/>
        <w:snapToGrid w:val="0"/>
        <w:ind w:firstLine="0" w:firstLineChars="0"/>
        <w:rPr>
          <w:rFonts w:asciiTheme="minorEastAsia" w:hAnsiTheme="minorEastAsia" w:eastAsiaTheme="minorEastAsia"/>
        </w:rPr>
      </w:pPr>
      <w:r>
        <w:rPr>
          <w:rFonts w:hint="eastAsia" w:ascii="黑体" w:eastAsia="黑体" w:hAnsiTheme="minorEastAsia"/>
        </w:rPr>
        <w:t>7.5.1</w:t>
      </w:r>
      <w:r>
        <w:rPr>
          <w:rFonts w:asciiTheme="minorEastAsia" w:hAnsiTheme="minorEastAsia" w:eastAsiaTheme="minorEastAsia"/>
        </w:rPr>
        <w:t xml:space="preserve"> </w:t>
      </w:r>
      <w:r>
        <w:t>检验结果的数值按GB/T 8170 的规定进行修约，并采用修约值比较法判定。</w:t>
      </w:r>
    </w:p>
    <w:p>
      <w:pPr>
        <w:pStyle w:val="3"/>
        <w:snapToGrid w:val="0"/>
        <w:ind w:firstLine="0" w:firstLineChars="0"/>
        <w:rPr>
          <w:rFonts w:asciiTheme="minorEastAsia" w:hAnsiTheme="minorEastAsia" w:eastAsiaTheme="minorEastAsia"/>
        </w:rPr>
      </w:pPr>
      <w:r>
        <w:rPr>
          <w:rFonts w:hint="eastAsia" w:ascii="黑体" w:eastAsia="黑体" w:hAnsiTheme="minorEastAsia"/>
        </w:rPr>
        <w:t>7.5.2</w:t>
      </w:r>
      <w:r>
        <w:rPr>
          <w:rFonts w:hint="eastAsia" w:asciiTheme="minorEastAsia" w:hAnsiTheme="minorEastAsia" w:eastAsiaTheme="minorEastAsia"/>
        </w:rPr>
        <w:t xml:space="preserve"> 化学成分不合格时，判该批带材不合格。</w:t>
      </w:r>
    </w:p>
    <w:p>
      <w:pPr>
        <w:pStyle w:val="3"/>
        <w:snapToGrid w:val="0"/>
        <w:ind w:firstLine="0" w:firstLineChars="0"/>
        <w:rPr>
          <w:rFonts w:asciiTheme="minorEastAsia" w:hAnsiTheme="minorEastAsia" w:eastAsiaTheme="minorEastAsia"/>
        </w:rPr>
      </w:pPr>
      <w:r>
        <w:rPr>
          <w:rFonts w:hint="eastAsia" w:ascii="黑体" w:eastAsia="黑体" w:hAnsiTheme="minorEastAsia"/>
        </w:rPr>
        <w:t>7</w:t>
      </w:r>
      <w:r>
        <w:rPr>
          <w:rFonts w:ascii="黑体" w:eastAsia="黑体" w:hAnsiTheme="minorEastAsia"/>
        </w:rPr>
        <w:t>.5.</w:t>
      </w:r>
      <w:r>
        <w:rPr>
          <w:rFonts w:hint="eastAsia" w:ascii="黑体" w:eastAsia="黑体" w:hAnsiTheme="minorEastAsia"/>
        </w:rPr>
        <w:t>3</w:t>
      </w:r>
      <w:r>
        <w:rPr>
          <w:rFonts w:asciiTheme="minorEastAsia" w:hAnsiTheme="minorEastAsia" w:eastAsiaTheme="minorEastAsia"/>
        </w:rPr>
        <w:t xml:space="preserve"> </w:t>
      </w:r>
      <w:r>
        <w:rPr>
          <w:rFonts w:hint="eastAsia" w:asciiTheme="minorEastAsia" w:hAnsiTheme="minorEastAsia" w:eastAsiaTheme="minorEastAsia"/>
        </w:rPr>
        <w:t>带材的外形尺寸及其允许偏差和表面质量不合格时，判该卷</w:t>
      </w:r>
      <w:bookmarkStart w:id="9" w:name="OLE_LINK4"/>
      <w:bookmarkStart w:id="10" w:name="OLE_LINK3"/>
      <w:r>
        <w:rPr>
          <w:rFonts w:hint="eastAsia" w:asciiTheme="minorEastAsia" w:hAnsiTheme="minorEastAsia" w:eastAsiaTheme="minorEastAsia"/>
        </w:rPr>
        <w:t>带材</w:t>
      </w:r>
      <w:bookmarkEnd w:id="9"/>
      <w:bookmarkEnd w:id="10"/>
      <w:r>
        <w:rPr>
          <w:rFonts w:hint="eastAsia" w:asciiTheme="minorEastAsia" w:hAnsiTheme="minorEastAsia" w:eastAsiaTheme="minorEastAsia"/>
        </w:rPr>
        <w:t>不合格。</w:t>
      </w:r>
    </w:p>
    <w:p>
      <w:pPr>
        <w:pStyle w:val="3"/>
        <w:snapToGrid w:val="0"/>
        <w:ind w:firstLine="0" w:firstLineChars="0"/>
        <w:rPr>
          <w:rFonts w:asciiTheme="minorEastAsia" w:hAnsiTheme="minorEastAsia" w:eastAsiaTheme="minorEastAsia"/>
        </w:rPr>
      </w:pPr>
      <w:r>
        <w:rPr>
          <w:rFonts w:hint="eastAsia" w:ascii="黑体" w:eastAsia="黑体" w:hAnsiTheme="minorEastAsia"/>
        </w:rPr>
        <w:t>7</w:t>
      </w:r>
      <w:r>
        <w:rPr>
          <w:rFonts w:ascii="黑体" w:eastAsia="黑体" w:hAnsiTheme="minorEastAsia"/>
        </w:rPr>
        <w:t>.5.</w:t>
      </w:r>
      <w:r>
        <w:rPr>
          <w:rFonts w:hint="eastAsia" w:ascii="黑体" w:eastAsia="黑体" w:hAnsiTheme="minorEastAsia"/>
        </w:rPr>
        <w:t>4</w:t>
      </w:r>
      <w:r>
        <w:rPr>
          <w:rFonts w:asciiTheme="minorEastAsia" w:hAnsiTheme="minorEastAsia" w:eastAsiaTheme="minorEastAsia"/>
        </w:rPr>
        <w:t xml:space="preserve"> </w:t>
      </w:r>
      <w:r>
        <w:rPr>
          <w:rFonts w:hint="eastAsia" w:asciiTheme="minorEastAsia" w:hAnsiTheme="minorEastAsia" w:eastAsiaTheme="minorEastAsia"/>
        </w:rPr>
        <w:t>当力学性能、电性能、内应力、翘曲度和表面粗糙度的试验结果中有试样不合格时，应从该批带材（包括原检验不合格的那卷带材）中另取双倍数量的试样进行重复试验，重复试验结果全部合格，则判整批带材合格。若重复试验结果仍有试样不合格，则判该批带材不合格，或由供方逐卷检验，逐卷判定。</w:t>
      </w:r>
    </w:p>
    <w:p>
      <w:pPr>
        <w:pStyle w:val="2"/>
        <w:keepLines w:val="0"/>
        <w:snapToGrid w:val="0"/>
        <w:spacing w:beforeLines="50" w:after="0" w:line="360" w:lineRule="auto"/>
        <w:rPr>
          <w:rFonts w:hAnsi="Calibri"/>
          <w:kern w:val="2"/>
        </w:rPr>
      </w:pPr>
      <w:r>
        <w:rPr>
          <w:rFonts w:hint="eastAsia" w:hAnsi="Calibri"/>
          <w:kern w:val="2"/>
        </w:rPr>
        <w:t>8  标志、包装、运输、贮存及随行文件</w:t>
      </w:r>
    </w:p>
    <w:p>
      <w:pPr>
        <w:pStyle w:val="5"/>
        <w:keepLines w:val="0"/>
        <w:snapToGrid w:val="0"/>
        <w:spacing w:line="360" w:lineRule="auto"/>
        <w:ind w:left="0"/>
        <w:rPr>
          <w:rFonts w:ascii="黑体" w:hAnsi="黑体" w:eastAsia="黑体" w:cs="宋体"/>
          <w:kern w:val="2"/>
        </w:rPr>
      </w:pPr>
      <w:r>
        <w:rPr>
          <w:rFonts w:hint="eastAsia" w:ascii="黑体" w:hAnsi="黑体" w:eastAsia="黑体" w:cs="宋体"/>
          <w:kern w:val="2"/>
        </w:rPr>
        <w:t>8.1 标志、</w:t>
      </w:r>
      <w:r>
        <w:rPr>
          <w:rFonts w:hint="eastAsia" w:ascii="黑体" w:eastAsia="黑体" w:hAnsiTheme="minorEastAsia"/>
        </w:rPr>
        <w:t>包装</w:t>
      </w:r>
      <w:r>
        <w:rPr>
          <w:rFonts w:hint="eastAsia" w:ascii="黑体" w:hAnsi="黑体" w:eastAsia="黑体" w:cs="宋体"/>
          <w:kern w:val="2"/>
        </w:rPr>
        <w:t>、运输、贮存</w:t>
      </w:r>
    </w:p>
    <w:p>
      <w:pPr>
        <w:snapToGrid w:val="0"/>
        <w:spacing w:line="240" w:lineRule="auto"/>
        <w:ind w:firstLine="420" w:firstLineChars="200"/>
        <w:rPr>
          <w:sz w:val="21"/>
          <w:szCs w:val="21"/>
        </w:rPr>
      </w:pPr>
      <w:r>
        <w:rPr>
          <w:rFonts w:hint="eastAsia"/>
          <w:sz w:val="21"/>
          <w:szCs w:val="21"/>
        </w:rPr>
        <w:t>产品的标志、包装、运输、贮存和质量证明书应符合</w:t>
      </w:r>
      <w:r>
        <w:rPr>
          <w:sz w:val="21"/>
          <w:szCs w:val="21"/>
        </w:rPr>
        <w:t>GB/T</w:t>
      </w:r>
      <w:r>
        <w:rPr>
          <w:rFonts w:hint="eastAsia"/>
          <w:sz w:val="21"/>
          <w:szCs w:val="21"/>
        </w:rPr>
        <w:t xml:space="preserve"> </w:t>
      </w:r>
      <w:r>
        <w:rPr>
          <w:sz w:val="21"/>
          <w:szCs w:val="21"/>
        </w:rPr>
        <w:t>8888</w:t>
      </w:r>
      <w:r>
        <w:rPr>
          <w:rFonts w:hint="eastAsia"/>
          <w:sz w:val="21"/>
          <w:szCs w:val="21"/>
        </w:rPr>
        <w:t>的规定。</w:t>
      </w:r>
    </w:p>
    <w:p>
      <w:pPr>
        <w:pStyle w:val="2"/>
        <w:keepLines w:val="0"/>
        <w:snapToGrid w:val="0"/>
        <w:spacing w:beforeLines="50" w:after="0" w:line="360" w:lineRule="auto"/>
        <w:rPr>
          <w:rFonts w:hAnsi="Calibri"/>
          <w:strike/>
          <w:kern w:val="2"/>
        </w:rPr>
      </w:pPr>
      <w:r>
        <w:rPr>
          <w:rFonts w:hint="eastAsia" w:hAnsi="Calibri"/>
          <w:kern w:val="2"/>
        </w:rPr>
        <w:t>8.2  随行文件</w:t>
      </w:r>
    </w:p>
    <w:p>
      <w:pPr>
        <w:snapToGrid w:val="0"/>
        <w:spacing w:line="240" w:lineRule="auto"/>
        <w:ind w:firstLine="420" w:firstLineChars="200"/>
        <w:rPr>
          <w:sz w:val="21"/>
          <w:szCs w:val="21"/>
        </w:rPr>
      </w:pPr>
      <w:r>
        <w:rPr>
          <w:sz w:val="21"/>
          <w:szCs w:val="21"/>
        </w:rPr>
        <w:t>每批产品应附有随行文件，其中除应包括供方信息、产品信息、本文件编号、出厂日期或包装日期外，还宜包括：</w:t>
      </w:r>
    </w:p>
    <w:p>
      <w:pPr>
        <w:numPr>
          <w:ilvl w:val="0"/>
          <w:numId w:val="4"/>
        </w:numPr>
        <w:tabs>
          <w:tab w:val="left" w:pos="780"/>
        </w:tabs>
        <w:snapToGrid w:val="0"/>
        <w:spacing w:line="240" w:lineRule="auto"/>
        <w:ind w:left="420" w:firstLine="420" w:firstLineChars="200"/>
        <w:textAlignment w:val="auto"/>
        <w:rPr>
          <w:sz w:val="21"/>
          <w:szCs w:val="21"/>
        </w:rPr>
      </w:pPr>
      <w:r>
        <w:rPr>
          <w:sz w:val="21"/>
          <w:szCs w:val="21"/>
          <w:shd w:val="clear" w:color="auto" w:fill="FFFFFF"/>
        </w:rPr>
        <w:t>产品质量保证书，内容如下</w:t>
      </w:r>
      <w:r>
        <w:rPr>
          <w:sz w:val="21"/>
          <w:szCs w:val="21"/>
        </w:rPr>
        <w:t>：</w:t>
      </w:r>
    </w:p>
    <w:p>
      <w:pPr>
        <w:tabs>
          <w:tab w:val="left" w:pos="780"/>
          <w:tab w:val="left" w:pos="7407"/>
        </w:tabs>
        <w:snapToGrid w:val="0"/>
        <w:spacing w:line="240" w:lineRule="auto"/>
        <w:ind w:firstLine="840" w:firstLineChars="400"/>
        <w:textAlignment w:val="auto"/>
        <w:rPr>
          <w:sz w:val="21"/>
          <w:szCs w:val="21"/>
        </w:rPr>
      </w:pPr>
      <w:r>
        <w:rPr>
          <w:rFonts w:hint="eastAsia" w:ascii="宋体" w:hAnsi="宋体" w:cs="宋体"/>
          <w:sz w:val="21"/>
          <w:szCs w:val="21"/>
        </w:rPr>
        <w:t>·</w:t>
      </w:r>
      <w:r>
        <w:rPr>
          <w:sz w:val="21"/>
          <w:szCs w:val="21"/>
        </w:rPr>
        <w:t xml:space="preserve"> 产品的主要性能及技术参数；</w:t>
      </w:r>
      <w:r>
        <w:rPr>
          <w:rFonts w:hint="eastAsia"/>
          <w:sz w:val="21"/>
          <w:szCs w:val="21"/>
        </w:rPr>
        <w:tab/>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产品特点（包括制造工艺及原材料的特点）；</w:t>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对产品质量所负的责任；</w:t>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产品获得的质量认证及</w:t>
      </w:r>
      <w:r>
        <w:rPr>
          <w:sz w:val="21"/>
          <w:szCs w:val="21"/>
          <w:shd w:val="clear" w:color="auto" w:fill="FFFFFF"/>
        </w:rPr>
        <w:t>带</w:t>
      </w:r>
      <w:r>
        <w:rPr>
          <w:sz w:val="21"/>
          <w:szCs w:val="21"/>
        </w:rPr>
        <w:t>供方技术监督部门检印的各项分析检验结果。</w:t>
      </w:r>
    </w:p>
    <w:p>
      <w:pPr>
        <w:numPr>
          <w:ilvl w:val="0"/>
          <w:numId w:val="4"/>
        </w:numPr>
        <w:tabs>
          <w:tab w:val="left" w:pos="780"/>
        </w:tabs>
        <w:snapToGrid w:val="0"/>
        <w:spacing w:line="240" w:lineRule="auto"/>
        <w:ind w:left="420" w:firstLine="420" w:firstLineChars="200"/>
        <w:textAlignment w:val="auto"/>
        <w:rPr>
          <w:sz w:val="21"/>
          <w:szCs w:val="21"/>
        </w:rPr>
      </w:pPr>
      <w:r>
        <w:rPr>
          <w:sz w:val="21"/>
          <w:szCs w:val="21"/>
          <w:shd w:val="clear" w:color="auto" w:fill="FFFFFF"/>
        </w:rPr>
        <w:t>产品合格证，内容如下：</w:t>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检验项目及其结果或检验结论；</w:t>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批量或批号；</w:t>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检验日期；</w:t>
      </w:r>
    </w:p>
    <w:p>
      <w:pPr>
        <w:tabs>
          <w:tab w:val="left" w:pos="780"/>
        </w:tabs>
        <w:snapToGrid w:val="0"/>
        <w:spacing w:line="24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检验员签名或盖章。</w:t>
      </w:r>
    </w:p>
    <w:p>
      <w:pPr>
        <w:numPr>
          <w:ilvl w:val="0"/>
          <w:numId w:val="4"/>
        </w:numPr>
        <w:tabs>
          <w:tab w:val="left" w:pos="780"/>
        </w:tabs>
        <w:snapToGrid w:val="0"/>
        <w:spacing w:line="240" w:lineRule="auto"/>
        <w:ind w:left="420" w:firstLine="420" w:firstLineChars="20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pPr>
        <w:numPr>
          <w:ilvl w:val="0"/>
          <w:numId w:val="4"/>
        </w:numPr>
        <w:tabs>
          <w:tab w:val="left" w:pos="780"/>
        </w:tabs>
        <w:snapToGrid w:val="0"/>
        <w:spacing w:line="240" w:lineRule="auto"/>
        <w:ind w:left="420" w:firstLine="420" w:firstLineChars="200"/>
        <w:textAlignment w:val="auto"/>
        <w:rPr>
          <w:sz w:val="21"/>
          <w:szCs w:val="21"/>
        </w:rPr>
      </w:pPr>
      <w:r>
        <w:rPr>
          <w:sz w:val="21"/>
          <w:szCs w:val="21"/>
          <w:shd w:val="clear" w:color="auto" w:fill="FFFFFF"/>
        </w:rPr>
        <w:t>产品使用说明：正确搬运、使用、贮存方法等；</w:t>
      </w:r>
    </w:p>
    <w:p>
      <w:pPr>
        <w:numPr>
          <w:ilvl w:val="0"/>
          <w:numId w:val="4"/>
        </w:numPr>
        <w:tabs>
          <w:tab w:val="left" w:pos="780"/>
        </w:tabs>
        <w:snapToGrid w:val="0"/>
        <w:spacing w:line="240" w:lineRule="auto"/>
        <w:ind w:left="420" w:firstLine="420" w:firstLineChars="200"/>
        <w:textAlignment w:val="auto"/>
        <w:rPr>
          <w:sz w:val="21"/>
          <w:szCs w:val="21"/>
        </w:rPr>
      </w:pPr>
      <w:r>
        <w:rPr>
          <w:sz w:val="21"/>
          <w:szCs w:val="21"/>
        </w:rPr>
        <w:t>其他。</w:t>
      </w:r>
    </w:p>
    <w:p>
      <w:pPr>
        <w:pStyle w:val="2"/>
        <w:keepLines w:val="0"/>
        <w:snapToGrid w:val="0"/>
        <w:spacing w:beforeLines="50" w:after="0" w:line="360" w:lineRule="auto"/>
      </w:pPr>
      <w:r>
        <w:rPr>
          <w:rFonts w:hint="eastAsia"/>
        </w:rPr>
        <w:t xml:space="preserve">9  </w:t>
      </w:r>
      <w:r>
        <w:rPr>
          <w:rFonts w:hint="eastAsia" w:hAnsi="Calibri"/>
          <w:kern w:val="2"/>
        </w:rPr>
        <w:t>订货单</w:t>
      </w:r>
      <w:r>
        <w:rPr>
          <w:rFonts w:hint="eastAsia"/>
        </w:rPr>
        <w:t>内容</w:t>
      </w:r>
    </w:p>
    <w:p>
      <w:pPr>
        <w:snapToGrid w:val="0"/>
        <w:spacing w:line="240" w:lineRule="auto"/>
        <w:ind w:firstLine="420" w:firstLineChars="200"/>
        <w:rPr>
          <w:rFonts w:ascii="宋体"/>
          <w:sz w:val="21"/>
          <w:szCs w:val="21"/>
        </w:rPr>
      </w:pPr>
      <w:r>
        <w:rPr>
          <w:sz w:val="21"/>
          <w:szCs w:val="21"/>
        </w:rPr>
        <w:t>需方可根据自身的需要，</w:t>
      </w:r>
      <w:r>
        <w:rPr>
          <w:rFonts w:hint="eastAsia" w:ascii="宋体" w:hAnsi="宋体"/>
          <w:sz w:val="21"/>
          <w:szCs w:val="21"/>
        </w:rPr>
        <w:t>订购本文件所列产品的订货单内，</w:t>
      </w:r>
      <w:r>
        <w:rPr>
          <w:sz w:val="21"/>
          <w:szCs w:val="21"/>
        </w:rPr>
        <w:t>列出如下内容：</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产品名称；</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牌号；</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状态；</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规格；</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重量；</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尺寸允许偏差（高精级或有特殊要求时，未注明时按普通级供货）；</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力学性能（拉伸试验或硬度试验）；</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内应力、翘曲度、表面粗糙度（有要求时）</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本文件编号；</w:t>
      </w:r>
    </w:p>
    <w:p>
      <w:pPr>
        <w:numPr>
          <w:ilvl w:val="0"/>
          <w:numId w:val="5"/>
        </w:numPr>
        <w:tabs>
          <w:tab w:val="left" w:pos="810"/>
        </w:tabs>
        <w:snapToGrid w:val="0"/>
        <w:spacing w:line="240" w:lineRule="auto"/>
        <w:rPr>
          <w:rFonts w:ascii="宋体"/>
          <w:sz w:val="21"/>
          <w:szCs w:val="21"/>
        </w:rPr>
      </w:pPr>
      <w:r>
        <w:rPr>
          <w:rFonts w:hint="eastAsia" w:ascii="宋体" w:hAnsi="宋体"/>
          <w:sz w:val="21"/>
          <w:szCs w:val="21"/>
        </w:rPr>
        <w:t>其他。</w:t>
      </w:r>
      <w:r>
        <w:rPr>
          <w:rFonts w:ascii="宋体" w:hAnsi="宋体"/>
          <w:sz w:val="21"/>
          <w:szCs w:val="21"/>
        </w:rPr>
        <w:t xml:space="preserve">    </w:t>
      </w:r>
      <w:r>
        <w:rPr>
          <w:rFonts w:hint="eastAsia" w:ascii="宋体" w:hAnsi="宋体"/>
          <w:sz w:val="21"/>
        </w:rPr>
        <w:t xml:space="preserve"> </w:t>
      </w:r>
    </w:p>
    <w:p>
      <w:pPr>
        <w:snapToGrid w:val="0"/>
        <w:spacing w:line="360" w:lineRule="auto"/>
        <w:ind w:firstLine="420" w:firstLineChars="200"/>
        <w:rPr>
          <w:sz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269240</wp:posOffset>
                </wp:positionV>
                <wp:extent cx="1828800" cy="0"/>
                <wp:effectExtent l="0" t="7620" r="0" b="15240"/>
                <wp:wrapNone/>
                <wp:docPr id="6" name="直线 113"/>
                <wp:cNvGraphicFramePr/>
                <a:graphic xmlns:a="http://schemas.openxmlformats.org/drawingml/2006/main">
                  <a:graphicData uri="http://schemas.microsoft.com/office/word/2010/wordprocessingShape">
                    <wps:wsp>
                      <wps:cNvSpPr/>
                      <wps:spPr>
                        <a:xfrm>
                          <a:off x="0" y="0"/>
                          <a:ext cx="18288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192pt;margin-top:21.2pt;height:0pt;width:144pt;z-index:251664384;mso-width-relative:page;mso-height-relative:page;" filled="f" stroked="t" coordsize="21600,21600" o:gfxdata="UEsDBAoAAAAAAIdO4kAAAAAAAAAAAAAAAAAEAAAAZHJzL1BLAwQUAAAACACHTuJAU82J6dcAAAAJ&#10;AQAADwAAAGRycy9kb3ducmV2LnhtbE2PzU7DMBCE70i8g7VI3KjTEDVViFOhSkhcKGrhAbbxNomI&#10;11Hs/qRPzyIOcNzZ0cw35erienWiMXSeDcxnCSji2tuOGwOfHy8PS1AhIlvsPZOBiQKsqtubEgvr&#10;z7yl0y42SkI4FGigjXEotA51Sw7DzA/E8jv40WGUc2y0HfEs4a7XaZIstMOOpaHFgdYt1V+7ozOw&#10;XftN/jxk76+b+HbIr9eJ6mYy5v5unjyBinSJf2b4wRd0qIRp749sg+oNPC4z2RINZGkGSgyLPBVh&#10;/yvoqtT/F1TfUEsDBBQAAAAIAIdO4kArvSUI6QEAAN4DAAAOAAAAZHJzL2Uyb0RvYy54bWytU0tu&#10;2zAQ3RfoHQjua1kukhqC5SzippuiDZD2AGOSkgjwBw5t2WfpNbrqpsfJNTqkHKdNN15EC2rIGb6Z&#10;92a4ujlYw/Yqovau5fVszplywkvt+pZ//3b3bskZJnASjHeq5UeF/Gb99s1qDI1a+MEbqSIjEIfN&#10;GFo+pBSaqkIxKAs480E5cnY+Wki0jX0lI4yEbk21mM+vq9FHGaIXCpFON5OTnxDjJYC+67RQGy92&#10;Vrk0oUZlIBElHHRAvi7Vdp0S6WvXoUrMtJyYprJSErK3ea3WK2j6CGHQ4lQCXFLCC04WtKOkZ6gN&#10;JGC7qP+DslpEj75LM+FtNREpihCLev5Cm4cBgipcSGoMZ9Hx9WDFl/19ZFq2/JozB5Ya/vjj5+Ov&#10;36yu32d1xoANBT2E+3jaIZmZ6qGLNv+JBDsURY9nRdUhMUGH9XKxXM5JbPHkq54vhojpk/KWZaPl&#10;RrtMFhrYf8ZEySj0KSQfG8dGQrxafrgiPKDR66jlZNpA5aPry2X0Rss7bUy+grHf3prI9pDbX77M&#10;iYD/CctZNoDDFFdc02AMCuRHJ1k6BhLG0XvguQarJGdG0fPJFgFCk0CbSyIptXFUQZZ1EjJbWy+P&#10;1IZdiLofSIq6VJk91PZS72lE81z9vS9Iz8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zYnp&#10;1wAAAAkBAAAPAAAAAAAAAAEAIAAAACIAAABkcnMvZG93bnJldi54bWxQSwECFAAUAAAACACHTuJA&#10;K70lCOkBAADeAwAADgAAAAAAAAABACAAAAAmAQAAZHJzL2Uyb0RvYy54bWxQSwUGAAAAAAYABgBZ&#10;AQAAgQUAAAAA&#10;">
                <v:fill on="f" focussize="0,0"/>
                <v:stroke weight="1.25pt" color="#000000" joinstyle="round"/>
                <v:imagedata o:title=""/>
                <o:lock v:ext="edit" aspectratio="f"/>
              </v:line>
            </w:pict>
          </mc:Fallback>
        </mc:AlternateContent>
      </w:r>
    </w:p>
    <w:sectPr>
      <w:headerReference r:id="rId9" w:type="first"/>
      <w:footerReference r:id="rId11" w:type="first"/>
      <w:headerReference r:id="rId8" w:type="default"/>
      <w:footerReference r:id="rId10" w:type="default"/>
      <w:pgSz w:w="11907" w:h="16840"/>
      <w:pgMar w:top="1440" w:right="1134" w:bottom="1440" w:left="1418" w:header="1247" w:footer="1134"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n-c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0"/>
      </w:rPr>
    </w:pPr>
    <w:r>
      <w:fldChar w:fldCharType="begin"/>
    </w:r>
    <w:r>
      <w:rPr>
        <w:rStyle w:val="30"/>
      </w:rPr>
      <w:instrText xml:space="preserve">PAGE  </w:instrText>
    </w:r>
    <w:r>
      <w:fldChar w:fldCharType="separate"/>
    </w:r>
    <w:r>
      <w:rPr>
        <w:rStyle w:val="30"/>
      </w:rPr>
      <w:t>6</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0"/>
      </w:rPr>
    </w:pPr>
    <w:r>
      <w:fldChar w:fldCharType="begin"/>
    </w:r>
    <w:r>
      <w:rPr>
        <w:rStyle w:val="30"/>
      </w:rPr>
      <w:instrText xml:space="preserve">PAGE  </w:instrText>
    </w:r>
    <w:r>
      <w:fldChar w:fldCharType="separate"/>
    </w:r>
    <w:r>
      <w:rPr>
        <w:rStyle w:val="30"/>
      </w:rPr>
      <w:t>7</w:t>
    </w:r>
    <w:r>
      <w:fldChar w:fldCharType="end"/>
    </w:r>
  </w:p>
  <w:p>
    <w:pPr>
      <w:pStyle w:val="19"/>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0000015"/>
    <w:multiLevelType w:val="multilevel"/>
    <w:tmpl w:val="00000015"/>
    <w:lvl w:ilvl="0" w:tentative="0">
      <w:start w:val="1"/>
      <w:numFmt w:val="decimal"/>
      <w:pStyle w:val="46"/>
      <w:suff w:val="nothing"/>
      <w:lvlText w:val="表%1　"/>
      <w:lvlJc w:val="left"/>
      <w:pPr>
        <w:ind w:left="3119" w:firstLine="0"/>
      </w:pPr>
      <w:rPr>
        <w:rFonts w:hint="eastAsia" w:ascii="黑体" w:hAnsi="Times New Roman" w:eastAsia="黑体"/>
        <w:b w:val="0"/>
        <w:i w:val="0"/>
        <w:sz w:val="21"/>
      </w:rPr>
    </w:lvl>
    <w:lvl w:ilvl="1" w:tentative="0">
      <w:start w:val="1"/>
      <w:numFmt w:val="decimal"/>
      <w:lvlText w:val="%1.%2"/>
      <w:lvlJc w:val="left"/>
      <w:pPr>
        <w:tabs>
          <w:tab w:val="left" w:pos="4111"/>
        </w:tabs>
        <w:ind w:left="4111" w:hanging="567"/>
      </w:pPr>
      <w:rPr>
        <w:rFonts w:hint="eastAsia"/>
      </w:rPr>
    </w:lvl>
    <w:lvl w:ilvl="2" w:tentative="0">
      <w:start w:val="1"/>
      <w:numFmt w:val="decimal"/>
      <w:lvlText w:val="%1.%2.%3"/>
      <w:lvlJc w:val="left"/>
      <w:pPr>
        <w:tabs>
          <w:tab w:val="left" w:pos="4537"/>
        </w:tabs>
        <w:ind w:left="4537" w:hanging="567"/>
      </w:pPr>
      <w:rPr>
        <w:rFonts w:hint="eastAsia"/>
      </w:rPr>
    </w:lvl>
    <w:lvl w:ilvl="3" w:tentative="0">
      <w:start w:val="1"/>
      <w:numFmt w:val="decimal"/>
      <w:lvlText w:val="%1.%2.%3.%4"/>
      <w:lvlJc w:val="left"/>
      <w:pPr>
        <w:tabs>
          <w:tab w:val="left" w:pos="5103"/>
        </w:tabs>
        <w:ind w:left="5103" w:hanging="708"/>
      </w:pPr>
      <w:rPr>
        <w:rFonts w:hint="eastAsia"/>
      </w:rPr>
    </w:lvl>
    <w:lvl w:ilvl="4" w:tentative="0">
      <w:start w:val="1"/>
      <w:numFmt w:val="decimal"/>
      <w:lvlText w:val="%1.%2.%3.%4.%5"/>
      <w:lvlJc w:val="left"/>
      <w:pPr>
        <w:tabs>
          <w:tab w:val="left" w:pos="5670"/>
        </w:tabs>
        <w:ind w:left="5670" w:hanging="850"/>
      </w:pPr>
      <w:rPr>
        <w:rFonts w:hint="eastAsia"/>
      </w:rPr>
    </w:lvl>
    <w:lvl w:ilvl="5" w:tentative="0">
      <w:start w:val="1"/>
      <w:numFmt w:val="decimal"/>
      <w:lvlText w:val="%1.%2.%3.%4.%5.%6"/>
      <w:lvlJc w:val="left"/>
      <w:pPr>
        <w:tabs>
          <w:tab w:val="left" w:pos="6379"/>
        </w:tabs>
        <w:ind w:left="6379" w:hanging="1134"/>
      </w:pPr>
      <w:rPr>
        <w:rFonts w:hint="eastAsia"/>
      </w:rPr>
    </w:lvl>
    <w:lvl w:ilvl="6" w:tentative="0">
      <w:start w:val="1"/>
      <w:numFmt w:val="decimal"/>
      <w:lvlText w:val="%1.%2.%3.%4.%5.%6.%7"/>
      <w:lvlJc w:val="left"/>
      <w:pPr>
        <w:tabs>
          <w:tab w:val="left" w:pos="6946"/>
        </w:tabs>
        <w:ind w:left="6946" w:hanging="1276"/>
      </w:pPr>
      <w:rPr>
        <w:rFonts w:hint="eastAsia"/>
      </w:rPr>
    </w:lvl>
    <w:lvl w:ilvl="7" w:tentative="0">
      <w:start w:val="1"/>
      <w:numFmt w:val="decimal"/>
      <w:lvlText w:val="%1.%2.%3.%4.%5.%6.%7.%8"/>
      <w:lvlJc w:val="left"/>
      <w:pPr>
        <w:tabs>
          <w:tab w:val="left" w:pos="7513"/>
        </w:tabs>
        <w:ind w:left="7513" w:hanging="1418"/>
      </w:pPr>
      <w:rPr>
        <w:rFonts w:hint="eastAsia"/>
      </w:rPr>
    </w:lvl>
    <w:lvl w:ilvl="8" w:tentative="0">
      <w:start w:val="1"/>
      <w:numFmt w:val="decimal"/>
      <w:lvlText w:val="%1.%2.%3.%4.%5.%6.%7.%8.%9"/>
      <w:lvlJc w:val="left"/>
      <w:pPr>
        <w:tabs>
          <w:tab w:val="left" w:pos="8221"/>
        </w:tabs>
        <w:ind w:left="8221" w:hanging="1700"/>
      </w:pPr>
      <w:rPr>
        <w:rFonts w:hint="eastAsia"/>
      </w:rPr>
    </w:lvl>
  </w:abstractNum>
  <w:abstractNum w:abstractNumId="2">
    <w:nsid w:val="44826CF9"/>
    <w:multiLevelType w:val="multilevel"/>
    <w:tmpl w:val="44826CF9"/>
    <w:lvl w:ilvl="0" w:tentative="0">
      <w:start w:val="1"/>
      <w:numFmt w:val="lowerLetter"/>
      <w:lvlText w:val="%1）"/>
      <w:lvlJc w:val="left"/>
      <w:pPr>
        <w:tabs>
          <w:tab w:val="left" w:pos="1211"/>
        </w:tabs>
        <w:ind w:left="1211" w:hanging="360"/>
      </w:pPr>
      <w:rPr>
        <w:rFonts w:hint="default" w:ascii="Times New Roman" w:hAnsi="Times New Roman" w:cs="Times New Roman"/>
      </w:rPr>
    </w:lvl>
    <w:lvl w:ilvl="1" w:tentative="0">
      <w:start w:val="1"/>
      <w:numFmt w:val="lowerLetter"/>
      <w:lvlText w:val="%2)"/>
      <w:lvlJc w:val="left"/>
      <w:pPr>
        <w:tabs>
          <w:tab w:val="left" w:pos="1691"/>
        </w:tabs>
        <w:ind w:left="1691" w:hanging="420"/>
      </w:pPr>
    </w:lvl>
    <w:lvl w:ilvl="2" w:tentative="0">
      <w:start w:val="1"/>
      <w:numFmt w:val="lowerRoman"/>
      <w:lvlText w:val="%3."/>
      <w:lvlJc w:val="right"/>
      <w:pPr>
        <w:tabs>
          <w:tab w:val="left" w:pos="2111"/>
        </w:tabs>
        <w:ind w:left="2111" w:hanging="420"/>
      </w:pPr>
    </w:lvl>
    <w:lvl w:ilvl="3" w:tentative="0">
      <w:start w:val="1"/>
      <w:numFmt w:val="decimal"/>
      <w:lvlText w:val="%4."/>
      <w:lvlJc w:val="left"/>
      <w:pPr>
        <w:tabs>
          <w:tab w:val="left" w:pos="2531"/>
        </w:tabs>
        <w:ind w:left="2531" w:hanging="420"/>
      </w:pPr>
    </w:lvl>
    <w:lvl w:ilvl="4" w:tentative="0">
      <w:start w:val="1"/>
      <w:numFmt w:val="lowerLetter"/>
      <w:lvlText w:val="%5)"/>
      <w:lvlJc w:val="left"/>
      <w:pPr>
        <w:tabs>
          <w:tab w:val="left" w:pos="2951"/>
        </w:tabs>
        <w:ind w:left="2951" w:hanging="420"/>
      </w:pPr>
    </w:lvl>
    <w:lvl w:ilvl="5" w:tentative="0">
      <w:start w:val="1"/>
      <w:numFmt w:val="lowerRoman"/>
      <w:lvlText w:val="%6."/>
      <w:lvlJc w:val="right"/>
      <w:pPr>
        <w:tabs>
          <w:tab w:val="left" w:pos="3371"/>
        </w:tabs>
        <w:ind w:left="3371" w:hanging="420"/>
      </w:pPr>
    </w:lvl>
    <w:lvl w:ilvl="6" w:tentative="0">
      <w:start w:val="1"/>
      <w:numFmt w:val="decimal"/>
      <w:lvlText w:val="%7."/>
      <w:lvlJc w:val="left"/>
      <w:pPr>
        <w:tabs>
          <w:tab w:val="left" w:pos="3791"/>
        </w:tabs>
        <w:ind w:left="3791" w:hanging="420"/>
      </w:pPr>
    </w:lvl>
    <w:lvl w:ilvl="7" w:tentative="0">
      <w:start w:val="1"/>
      <w:numFmt w:val="lowerLetter"/>
      <w:lvlText w:val="%8)"/>
      <w:lvlJc w:val="left"/>
      <w:pPr>
        <w:tabs>
          <w:tab w:val="left" w:pos="4211"/>
        </w:tabs>
        <w:ind w:left="4211" w:hanging="420"/>
      </w:pPr>
    </w:lvl>
    <w:lvl w:ilvl="8" w:tentative="0">
      <w:start w:val="1"/>
      <w:numFmt w:val="lowerRoman"/>
      <w:lvlText w:val="%9."/>
      <w:lvlJc w:val="right"/>
      <w:pPr>
        <w:tabs>
          <w:tab w:val="left" w:pos="4631"/>
        </w:tabs>
        <w:ind w:left="4631" w:hanging="420"/>
      </w:pPr>
    </w:lvl>
  </w:abstractNum>
  <w:abstractNum w:abstractNumId="3">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6"/>
        </w:tabs>
        <w:ind w:left="846"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7"/>
      <w:suff w:val="nothing"/>
      <w:lvlText w:val="%1%2　"/>
      <w:lvlJc w:val="left"/>
      <w:pPr>
        <w:ind w:left="3255"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attachedTemplate r:id="rId1"/>
  <w:documentProtection w:enforcement="0"/>
  <w:defaultTabStop w:val="240"/>
  <w:evenAndOddHeaders w:val="1"/>
  <w:drawingGridHorizontalSpacing w:val="120"/>
  <w:drawingGridVerticalSpacing w:val="163"/>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awingValume" w:val="隐藏"/>
    <w:docVar w:name="GotoValume" w:val="隐藏"/>
    <w:docVar w:name="SXValume" w:val="隐藏"/>
  </w:docVars>
  <w:rsids>
    <w:rsidRoot w:val="00ED2337"/>
    <w:rsid w:val="00000339"/>
    <w:rsid w:val="00004DB9"/>
    <w:rsid w:val="000064ED"/>
    <w:rsid w:val="00006BDB"/>
    <w:rsid w:val="00012309"/>
    <w:rsid w:val="00012382"/>
    <w:rsid w:val="00013D06"/>
    <w:rsid w:val="000172F3"/>
    <w:rsid w:val="00020E53"/>
    <w:rsid w:val="0002196A"/>
    <w:rsid w:val="000244D5"/>
    <w:rsid w:val="00030D23"/>
    <w:rsid w:val="00031DCC"/>
    <w:rsid w:val="00035740"/>
    <w:rsid w:val="00036100"/>
    <w:rsid w:val="00040957"/>
    <w:rsid w:val="00043BE8"/>
    <w:rsid w:val="000444CF"/>
    <w:rsid w:val="000464C3"/>
    <w:rsid w:val="00046E1E"/>
    <w:rsid w:val="00047EFC"/>
    <w:rsid w:val="00053C67"/>
    <w:rsid w:val="00053D7C"/>
    <w:rsid w:val="00057655"/>
    <w:rsid w:val="00061E5D"/>
    <w:rsid w:val="00065564"/>
    <w:rsid w:val="00065828"/>
    <w:rsid w:val="00067642"/>
    <w:rsid w:val="000734E4"/>
    <w:rsid w:val="000741A8"/>
    <w:rsid w:val="000761FD"/>
    <w:rsid w:val="00076496"/>
    <w:rsid w:val="00084E0B"/>
    <w:rsid w:val="000867AB"/>
    <w:rsid w:val="00086A29"/>
    <w:rsid w:val="00087513"/>
    <w:rsid w:val="00090F9D"/>
    <w:rsid w:val="00095004"/>
    <w:rsid w:val="00097F21"/>
    <w:rsid w:val="000B0A4F"/>
    <w:rsid w:val="000B147E"/>
    <w:rsid w:val="000B1EC0"/>
    <w:rsid w:val="000B235E"/>
    <w:rsid w:val="000B2866"/>
    <w:rsid w:val="000C5E62"/>
    <w:rsid w:val="000C7394"/>
    <w:rsid w:val="000D0222"/>
    <w:rsid w:val="000D325E"/>
    <w:rsid w:val="000D37E7"/>
    <w:rsid w:val="000D5B24"/>
    <w:rsid w:val="000D616A"/>
    <w:rsid w:val="000D6697"/>
    <w:rsid w:val="000E0260"/>
    <w:rsid w:val="000E4A10"/>
    <w:rsid w:val="000E4C5B"/>
    <w:rsid w:val="0010157A"/>
    <w:rsid w:val="00103444"/>
    <w:rsid w:val="00103552"/>
    <w:rsid w:val="00105778"/>
    <w:rsid w:val="001126AE"/>
    <w:rsid w:val="00114324"/>
    <w:rsid w:val="0012073F"/>
    <w:rsid w:val="00123C31"/>
    <w:rsid w:val="00124055"/>
    <w:rsid w:val="00130302"/>
    <w:rsid w:val="00133255"/>
    <w:rsid w:val="00135E03"/>
    <w:rsid w:val="00143C00"/>
    <w:rsid w:val="00145358"/>
    <w:rsid w:val="00146962"/>
    <w:rsid w:val="00147861"/>
    <w:rsid w:val="00155D94"/>
    <w:rsid w:val="0016504B"/>
    <w:rsid w:val="0016552E"/>
    <w:rsid w:val="001669D1"/>
    <w:rsid w:val="0016781C"/>
    <w:rsid w:val="00170A11"/>
    <w:rsid w:val="00175B9E"/>
    <w:rsid w:val="00175D83"/>
    <w:rsid w:val="00192A40"/>
    <w:rsid w:val="00197878"/>
    <w:rsid w:val="001A0BA2"/>
    <w:rsid w:val="001A1DA1"/>
    <w:rsid w:val="001A2BA4"/>
    <w:rsid w:val="001A75FE"/>
    <w:rsid w:val="001B15A9"/>
    <w:rsid w:val="001B41DA"/>
    <w:rsid w:val="001C5D8E"/>
    <w:rsid w:val="001D62F5"/>
    <w:rsid w:val="001E0054"/>
    <w:rsid w:val="001E05EC"/>
    <w:rsid w:val="001E1705"/>
    <w:rsid w:val="001E2807"/>
    <w:rsid w:val="001E6477"/>
    <w:rsid w:val="001E6A7E"/>
    <w:rsid w:val="001F149B"/>
    <w:rsid w:val="001F7428"/>
    <w:rsid w:val="0020034E"/>
    <w:rsid w:val="00201298"/>
    <w:rsid w:val="002018D2"/>
    <w:rsid w:val="002019D4"/>
    <w:rsid w:val="00201E77"/>
    <w:rsid w:val="002045D1"/>
    <w:rsid w:val="00206326"/>
    <w:rsid w:val="002117C2"/>
    <w:rsid w:val="002238FE"/>
    <w:rsid w:val="00224145"/>
    <w:rsid w:val="00225D19"/>
    <w:rsid w:val="002349D0"/>
    <w:rsid w:val="002465D0"/>
    <w:rsid w:val="00254A14"/>
    <w:rsid w:val="00260E6C"/>
    <w:rsid w:val="002636AB"/>
    <w:rsid w:val="0026789E"/>
    <w:rsid w:val="0027372F"/>
    <w:rsid w:val="00273B9D"/>
    <w:rsid w:val="00284444"/>
    <w:rsid w:val="0029371A"/>
    <w:rsid w:val="002967ED"/>
    <w:rsid w:val="002A40CF"/>
    <w:rsid w:val="002A4A19"/>
    <w:rsid w:val="002A4D71"/>
    <w:rsid w:val="002A5195"/>
    <w:rsid w:val="002B4781"/>
    <w:rsid w:val="002B49A0"/>
    <w:rsid w:val="002B4CAE"/>
    <w:rsid w:val="002B7306"/>
    <w:rsid w:val="002C17B2"/>
    <w:rsid w:val="002C200F"/>
    <w:rsid w:val="002C3F2C"/>
    <w:rsid w:val="002C43B1"/>
    <w:rsid w:val="002C7551"/>
    <w:rsid w:val="002C78D7"/>
    <w:rsid w:val="002D03C6"/>
    <w:rsid w:val="002D1E0C"/>
    <w:rsid w:val="002D3660"/>
    <w:rsid w:val="002D5EBE"/>
    <w:rsid w:val="002D6198"/>
    <w:rsid w:val="002E195A"/>
    <w:rsid w:val="002E389B"/>
    <w:rsid w:val="002E3D1F"/>
    <w:rsid w:val="002E7A29"/>
    <w:rsid w:val="002E7E66"/>
    <w:rsid w:val="002E7FEF"/>
    <w:rsid w:val="002F2566"/>
    <w:rsid w:val="002F5534"/>
    <w:rsid w:val="00304166"/>
    <w:rsid w:val="00306AE2"/>
    <w:rsid w:val="00313B56"/>
    <w:rsid w:val="00321D6E"/>
    <w:rsid w:val="003222A0"/>
    <w:rsid w:val="00324692"/>
    <w:rsid w:val="00326B16"/>
    <w:rsid w:val="00336267"/>
    <w:rsid w:val="003408E0"/>
    <w:rsid w:val="00340C20"/>
    <w:rsid w:val="00342A91"/>
    <w:rsid w:val="00343234"/>
    <w:rsid w:val="00354004"/>
    <w:rsid w:val="00355144"/>
    <w:rsid w:val="003568EC"/>
    <w:rsid w:val="00360C70"/>
    <w:rsid w:val="003644DF"/>
    <w:rsid w:val="00364639"/>
    <w:rsid w:val="0036743E"/>
    <w:rsid w:val="00374986"/>
    <w:rsid w:val="00377662"/>
    <w:rsid w:val="00383F4F"/>
    <w:rsid w:val="00393565"/>
    <w:rsid w:val="003972C7"/>
    <w:rsid w:val="003A325F"/>
    <w:rsid w:val="003A417D"/>
    <w:rsid w:val="003A46E5"/>
    <w:rsid w:val="003A51C1"/>
    <w:rsid w:val="003A6392"/>
    <w:rsid w:val="003A7D7B"/>
    <w:rsid w:val="003B0204"/>
    <w:rsid w:val="003B14BA"/>
    <w:rsid w:val="003B1F66"/>
    <w:rsid w:val="003B4D71"/>
    <w:rsid w:val="003C6771"/>
    <w:rsid w:val="003C6B84"/>
    <w:rsid w:val="003D5D81"/>
    <w:rsid w:val="003D6B14"/>
    <w:rsid w:val="003D6EB2"/>
    <w:rsid w:val="003D72E6"/>
    <w:rsid w:val="003E43DF"/>
    <w:rsid w:val="003E4C41"/>
    <w:rsid w:val="003F7619"/>
    <w:rsid w:val="00404FC1"/>
    <w:rsid w:val="00406EAA"/>
    <w:rsid w:val="00434D85"/>
    <w:rsid w:val="00435DA8"/>
    <w:rsid w:val="00441853"/>
    <w:rsid w:val="00441B6B"/>
    <w:rsid w:val="00445A76"/>
    <w:rsid w:val="0045241C"/>
    <w:rsid w:val="00463862"/>
    <w:rsid w:val="004659D4"/>
    <w:rsid w:val="00465AEC"/>
    <w:rsid w:val="00467342"/>
    <w:rsid w:val="00473551"/>
    <w:rsid w:val="004762B2"/>
    <w:rsid w:val="00480E41"/>
    <w:rsid w:val="004831E5"/>
    <w:rsid w:val="004869F2"/>
    <w:rsid w:val="004911D6"/>
    <w:rsid w:val="004927CA"/>
    <w:rsid w:val="00493B48"/>
    <w:rsid w:val="00494022"/>
    <w:rsid w:val="004A009C"/>
    <w:rsid w:val="004C5E47"/>
    <w:rsid w:val="004D2A21"/>
    <w:rsid w:val="004E0C1F"/>
    <w:rsid w:val="004E0C62"/>
    <w:rsid w:val="004E2F25"/>
    <w:rsid w:val="004F4C43"/>
    <w:rsid w:val="004F76A8"/>
    <w:rsid w:val="00503C75"/>
    <w:rsid w:val="00503F2A"/>
    <w:rsid w:val="00503F83"/>
    <w:rsid w:val="0050609D"/>
    <w:rsid w:val="005066A9"/>
    <w:rsid w:val="00506FC0"/>
    <w:rsid w:val="0051528A"/>
    <w:rsid w:val="005217B5"/>
    <w:rsid w:val="00522493"/>
    <w:rsid w:val="00534C0F"/>
    <w:rsid w:val="00535C83"/>
    <w:rsid w:val="0053662E"/>
    <w:rsid w:val="00537A73"/>
    <w:rsid w:val="0054309F"/>
    <w:rsid w:val="00544D72"/>
    <w:rsid w:val="00544E08"/>
    <w:rsid w:val="00545EE4"/>
    <w:rsid w:val="00550B75"/>
    <w:rsid w:val="00556E8F"/>
    <w:rsid w:val="00557840"/>
    <w:rsid w:val="00561A50"/>
    <w:rsid w:val="00571EEE"/>
    <w:rsid w:val="00573344"/>
    <w:rsid w:val="00574ACE"/>
    <w:rsid w:val="005766FB"/>
    <w:rsid w:val="00581B02"/>
    <w:rsid w:val="00584F13"/>
    <w:rsid w:val="005872E9"/>
    <w:rsid w:val="0059177D"/>
    <w:rsid w:val="005943AE"/>
    <w:rsid w:val="00594DAD"/>
    <w:rsid w:val="00595EB3"/>
    <w:rsid w:val="005A03BB"/>
    <w:rsid w:val="005A0DF3"/>
    <w:rsid w:val="005A38DD"/>
    <w:rsid w:val="005A3B82"/>
    <w:rsid w:val="005B3534"/>
    <w:rsid w:val="005B5CAD"/>
    <w:rsid w:val="005B6003"/>
    <w:rsid w:val="005C4B1D"/>
    <w:rsid w:val="005C69BB"/>
    <w:rsid w:val="005E3B96"/>
    <w:rsid w:val="005F17CE"/>
    <w:rsid w:val="005F6272"/>
    <w:rsid w:val="00601A04"/>
    <w:rsid w:val="00601F2E"/>
    <w:rsid w:val="00602F81"/>
    <w:rsid w:val="00603C5B"/>
    <w:rsid w:val="00610D5D"/>
    <w:rsid w:val="006118F3"/>
    <w:rsid w:val="00613D52"/>
    <w:rsid w:val="00614412"/>
    <w:rsid w:val="006158FB"/>
    <w:rsid w:val="006227B7"/>
    <w:rsid w:val="006235A5"/>
    <w:rsid w:val="006272AE"/>
    <w:rsid w:val="00631EC4"/>
    <w:rsid w:val="00633031"/>
    <w:rsid w:val="00633054"/>
    <w:rsid w:val="006417D9"/>
    <w:rsid w:val="0064360C"/>
    <w:rsid w:val="00645BCB"/>
    <w:rsid w:val="00655A11"/>
    <w:rsid w:val="00655B93"/>
    <w:rsid w:val="0066040F"/>
    <w:rsid w:val="006619BD"/>
    <w:rsid w:val="006620DB"/>
    <w:rsid w:val="00676554"/>
    <w:rsid w:val="006813ED"/>
    <w:rsid w:val="006849A8"/>
    <w:rsid w:val="00686CB1"/>
    <w:rsid w:val="00690493"/>
    <w:rsid w:val="00691707"/>
    <w:rsid w:val="00691CF0"/>
    <w:rsid w:val="00692E02"/>
    <w:rsid w:val="0069653B"/>
    <w:rsid w:val="00696587"/>
    <w:rsid w:val="006B21BC"/>
    <w:rsid w:val="006B5CF2"/>
    <w:rsid w:val="006C3CA3"/>
    <w:rsid w:val="006C6ADF"/>
    <w:rsid w:val="006C7D46"/>
    <w:rsid w:val="006D07D0"/>
    <w:rsid w:val="006D4C89"/>
    <w:rsid w:val="006E5A26"/>
    <w:rsid w:val="006F3BC2"/>
    <w:rsid w:val="0070088A"/>
    <w:rsid w:val="0070208D"/>
    <w:rsid w:val="0071558A"/>
    <w:rsid w:val="00717162"/>
    <w:rsid w:val="007210C0"/>
    <w:rsid w:val="00730EE9"/>
    <w:rsid w:val="00732156"/>
    <w:rsid w:val="00735A45"/>
    <w:rsid w:val="00744446"/>
    <w:rsid w:val="00745140"/>
    <w:rsid w:val="00745C74"/>
    <w:rsid w:val="007561A9"/>
    <w:rsid w:val="00756879"/>
    <w:rsid w:val="00756BEF"/>
    <w:rsid w:val="00757C63"/>
    <w:rsid w:val="00760171"/>
    <w:rsid w:val="00760C37"/>
    <w:rsid w:val="007617D4"/>
    <w:rsid w:val="0076357C"/>
    <w:rsid w:val="007653F1"/>
    <w:rsid w:val="00765A74"/>
    <w:rsid w:val="007660CA"/>
    <w:rsid w:val="007743C8"/>
    <w:rsid w:val="00775166"/>
    <w:rsid w:val="0078004C"/>
    <w:rsid w:val="00781200"/>
    <w:rsid w:val="00792486"/>
    <w:rsid w:val="00792D91"/>
    <w:rsid w:val="007A0B04"/>
    <w:rsid w:val="007A356D"/>
    <w:rsid w:val="007B0FAD"/>
    <w:rsid w:val="007B37D6"/>
    <w:rsid w:val="007B3E33"/>
    <w:rsid w:val="007B5A81"/>
    <w:rsid w:val="007C166E"/>
    <w:rsid w:val="007D49E3"/>
    <w:rsid w:val="007D5BD4"/>
    <w:rsid w:val="007E51B6"/>
    <w:rsid w:val="007E65B8"/>
    <w:rsid w:val="007E67B6"/>
    <w:rsid w:val="007F3B76"/>
    <w:rsid w:val="007F61E4"/>
    <w:rsid w:val="007F6CDE"/>
    <w:rsid w:val="00800C81"/>
    <w:rsid w:val="008035AD"/>
    <w:rsid w:val="00814B11"/>
    <w:rsid w:val="008176A5"/>
    <w:rsid w:val="00822730"/>
    <w:rsid w:val="008240A4"/>
    <w:rsid w:val="008240FA"/>
    <w:rsid w:val="00826C9B"/>
    <w:rsid w:val="00827D65"/>
    <w:rsid w:val="00831685"/>
    <w:rsid w:val="008318A2"/>
    <w:rsid w:val="00841E3A"/>
    <w:rsid w:val="00845521"/>
    <w:rsid w:val="008456AB"/>
    <w:rsid w:val="00845EE3"/>
    <w:rsid w:val="00852689"/>
    <w:rsid w:val="008527FC"/>
    <w:rsid w:val="008616D7"/>
    <w:rsid w:val="00865845"/>
    <w:rsid w:val="00866A1E"/>
    <w:rsid w:val="00866AF3"/>
    <w:rsid w:val="00871310"/>
    <w:rsid w:val="008726BD"/>
    <w:rsid w:val="00874BD7"/>
    <w:rsid w:val="00880752"/>
    <w:rsid w:val="00881194"/>
    <w:rsid w:val="008843B0"/>
    <w:rsid w:val="0088576F"/>
    <w:rsid w:val="00886144"/>
    <w:rsid w:val="00886155"/>
    <w:rsid w:val="008905C3"/>
    <w:rsid w:val="00891F9D"/>
    <w:rsid w:val="00892140"/>
    <w:rsid w:val="008949F7"/>
    <w:rsid w:val="008973AB"/>
    <w:rsid w:val="008A1B43"/>
    <w:rsid w:val="008A4422"/>
    <w:rsid w:val="008A7023"/>
    <w:rsid w:val="008B3FB7"/>
    <w:rsid w:val="008B499A"/>
    <w:rsid w:val="008B4F20"/>
    <w:rsid w:val="008B5EB8"/>
    <w:rsid w:val="008B60BC"/>
    <w:rsid w:val="008C08FC"/>
    <w:rsid w:val="008C1E46"/>
    <w:rsid w:val="008C6014"/>
    <w:rsid w:val="008D0183"/>
    <w:rsid w:val="008D223E"/>
    <w:rsid w:val="008D5E5D"/>
    <w:rsid w:val="008E15A3"/>
    <w:rsid w:val="008E174A"/>
    <w:rsid w:val="008E5089"/>
    <w:rsid w:val="008E6186"/>
    <w:rsid w:val="008F2075"/>
    <w:rsid w:val="00902563"/>
    <w:rsid w:val="00904476"/>
    <w:rsid w:val="009045EF"/>
    <w:rsid w:val="009121B5"/>
    <w:rsid w:val="00912394"/>
    <w:rsid w:val="00912E8C"/>
    <w:rsid w:val="009174DB"/>
    <w:rsid w:val="009230FB"/>
    <w:rsid w:val="0092627E"/>
    <w:rsid w:val="0093149A"/>
    <w:rsid w:val="009340FF"/>
    <w:rsid w:val="00941191"/>
    <w:rsid w:val="0094194C"/>
    <w:rsid w:val="0094610E"/>
    <w:rsid w:val="00946AC0"/>
    <w:rsid w:val="00952582"/>
    <w:rsid w:val="009525A2"/>
    <w:rsid w:val="0095586B"/>
    <w:rsid w:val="00955CA4"/>
    <w:rsid w:val="00956CC0"/>
    <w:rsid w:val="0095723A"/>
    <w:rsid w:val="009578DC"/>
    <w:rsid w:val="00957963"/>
    <w:rsid w:val="00962604"/>
    <w:rsid w:val="0096485E"/>
    <w:rsid w:val="00965A9A"/>
    <w:rsid w:val="00972425"/>
    <w:rsid w:val="0097498B"/>
    <w:rsid w:val="00981F70"/>
    <w:rsid w:val="00982C1E"/>
    <w:rsid w:val="0098318E"/>
    <w:rsid w:val="00983241"/>
    <w:rsid w:val="0098331F"/>
    <w:rsid w:val="00983E6C"/>
    <w:rsid w:val="00986162"/>
    <w:rsid w:val="00987961"/>
    <w:rsid w:val="00990D16"/>
    <w:rsid w:val="00992A1B"/>
    <w:rsid w:val="009B5BAB"/>
    <w:rsid w:val="009D248F"/>
    <w:rsid w:val="009D3B2A"/>
    <w:rsid w:val="009D4493"/>
    <w:rsid w:val="009E0FB4"/>
    <w:rsid w:val="009E443C"/>
    <w:rsid w:val="009E544B"/>
    <w:rsid w:val="009F1D15"/>
    <w:rsid w:val="009F5A24"/>
    <w:rsid w:val="009F7328"/>
    <w:rsid w:val="00A015FA"/>
    <w:rsid w:val="00A04EDC"/>
    <w:rsid w:val="00A05BA8"/>
    <w:rsid w:val="00A07B19"/>
    <w:rsid w:val="00A129D8"/>
    <w:rsid w:val="00A14FCA"/>
    <w:rsid w:val="00A16AEF"/>
    <w:rsid w:val="00A17566"/>
    <w:rsid w:val="00A31ECF"/>
    <w:rsid w:val="00A32BF9"/>
    <w:rsid w:val="00A35211"/>
    <w:rsid w:val="00A40121"/>
    <w:rsid w:val="00A40176"/>
    <w:rsid w:val="00A43C29"/>
    <w:rsid w:val="00A47B06"/>
    <w:rsid w:val="00A512C2"/>
    <w:rsid w:val="00A575C5"/>
    <w:rsid w:val="00A603D6"/>
    <w:rsid w:val="00A60578"/>
    <w:rsid w:val="00A616C9"/>
    <w:rsid w:val="00A70FC0"/>
    <w:rsid w:val="00A72352"/>
    <w:rsid w:val="00A91FCB"/>
    <w:rsid w:val="00A935D5"/>
    <w:rsid w:val="00A97DA4"/>
    <w:rsid w:val="00AA0357"/>
    <w:rsid w:val="00AA273E"/>
    <w:rsid w:val="00AB1387"/>
    <w:rsid w:val="00AB2F18"/>
    <w:rsid w:val="00AB37C4"/>
    <w:rsid w:val="00AB381E"/>
    <w:rsid w:val="00AB5854"/>
    <w:rsid w:val="00AB6373"/>
    <w:rsid w:val="00AC161B"/>
    <w:rsid w:val="00AC44F7"/>
    <w:rsid w:val="00AC5C3B"/>
    <w:rsid w:val="00AC7F5B"/>
    <w:rsid w:val="00AD12A4"/>
    <w:rsid w:val="00AD4B01"/>
    <w:rsid w:val="00AD6E2E"/>
    <w:rsid w:val="00AE288E"/>
    <w:rsid w:val="00AE2B4F"/>
    <w:rsid w:val="00AE3464"/>
    <w:rsid w:val="00AE35A4"/>
    <w:rsid w:val="00AE5F73"/>
    <w:rsid w:val="00AE6984"/>
    <w:rsid w:val="00AE7B47"/>
    <w:rsid w:val="00AF0714"/>
    <w:rsid w:val="00AF0818"/>
    <w:rsid w:val="00AF1A10"/>
    <w:rsid w:val="00AF2840"/>
    <w:rsid w:val="00B02F7B"/>
    <w:rsid w:val="00B03491"/>
    <w:rsid w:val="00B06128"/>
    <w:rsid w:val="00B105C8"/>
    <w:rsid w:val="00B169CC"/>
    <w:rsid w:val="00B208EB"/>
    <w:rsid w:val="00B2663C"/>
    <w:rsid w:val="00B26BAF"/>
    <w:rsid w:val="00B32CCB"/>
    <w:rsid w:val="00B33FAF"/>
    <w:rsid w:val="00B37F27"/>
    <w:rsid w:val="00B40A1F"/>
    <w:rsid w:val="00B413C3"/>
    <w:rsid w:val="00B4430A"/>
    <w:rsid w:val="00B44999"/>
    <w:rsid w:val="00B506B8"/>
    <w:rsid w:val="00B53A5D"/>
    <w:rsid w:val="00B559BB"/>
    <w:rsid w:val="00B56446"/>
    <w:rsid w:val="00B7159D"/>
    <w:rsid w:val="00B7176D"/>
    <w:rsid w:val="00B73F39"/>
    <w:rsid w:val="00B772BF"/>
    <w:rsid w:val="00B777F1"/>
    <w:rsid w:val="00B81B24"/>
    <w:rsid w:val="00B83385"/>
    <w:rsid w:val="00B841CB"/>
    <w:rsid w:val="00B843A9"/>
    <w:rsid w:val="00B87695"/>
    <w:rsid w:val="00B876D4"/>
    <w:rsid w:val="00B90A6E"/>
    <w:rsid w:val="00B929C3"/>
    <w:rsid w:val="00B951EE"/>
    <w:rsid w:val="00B9558A"/>
    <w:rsid w:val="00BA0983"/>
    <w:rsid w:val="00BA4EC1"/>
    <w:rsid w:val="00BA5A4F"/>
    <w:rsid w:val="00BB030F"/>
    <w:rsid w:val="00BB0B5E"/>
    <w:rsid w:val="00BB27C8"/>
    <w:rsid w:val="00BB2F1D"/>
    <w:rsid w:val="00BB4246"/>
    <w:rsid w:val="00BB65DE"/>
    <w:rsid w:val="00BB6BC3"/>
    <w:rsid w:val="00BB6CC8"/>
    <w:rsid w:val="00BB7B92"/>
    <w:rsid w:val="00BC061E"/>
    <w:rsid w:val="00BC45A2"/>
    <w:rsid w:val="00BC59D2"/>
    <w:rsid w:val="00BD50CC"/>
    <w:rsid w:val="00BD5EA8"/>
    <w:rsid w:val="00BD7EE4"/>
    <w:rsid w:val="00BE18CC"/>
    <w:rsid w:val="00BE5204"/>
    <w:rsid w:val="00BE5D2F"/>
    <w:rsid w:val="00BE7593"/>
    <w:rsid w:val="00BE7E87"/>
    <w:rsid w:val="00BF1AF7"/>
    <w:rsid w:val="00BF202D"/>
    <w:rsid w:val="00BF4EDA"/>
    <w:rsid w:val="00BF5374"/>
    <w:rsid w:val="00BF6CD7"/>
    <w:rsid w:val="00BF76E0"/>
    <w:rsid w:val="00C06478"/>
    <w:rsid w:val="00C07F26"/>
    <w:rsid w:val="00C20E35"/>
    <w:rsid w:val="00C24207"/>
    <w:rsid w:val="00C25332"/>
    <w:rsid w:val="00C25F6A"/>
    <w:rsid w:val="00C31A06"/>
    <w:rsid w:val="00C3677A"/>
    <w:rsid w:val="00C454C3"/>
    <w:rsid w:val="00C456C6"/>
    <w:rsid w:val="00C61820"/>
    <w:rsid w:val="00C61A50"/>
    <w:rsid w:val="00C65311"/>
    <w:rsid w:val="00C65F37"/>
    <w:rsid w:val="00C70CD1"/>
    <w:rsid w:val="00C75E4C"/>
    <w:rsid w:val="00C81650"/>
    <w:rsid w:val="00C915F9"/>
    <w:rsid w:val="00C93AEB"/>
    <w:rsid w:val="00CA04FE"/>
    <w:rsid w:val="00CA42D6"/>
    <w:rsid w:val="00CA5A49"/>
    <w:rsid w:val="00CA6A50"/>
    <w:rsid w:val="00CB421B"/>
    <w:rsid w:val="00CB5F08"/>
    <w:rsid w:val="00CB6C3A"/>
    <w:rsid w:val="00CC0B50"/>
    <w:rsid w:val="00CC3746"/>
    <w:rsid w:val="00CC4969"/>
    <w:rsid w:val="00CC6BDC"/>
    <w:rsid w:val="00CD0439"/>
    <w:rsid w:val="00CD1797"/>
    <w:rsid w:val="00CD1CCC"/>
    <w:rsid w:val="00CD2640"/>
    <w:rsid w:val="00CE1E20"/>
    <w:rsid w:val="00CE76A6"/>
    <w:rsid w:val="00CF19DB"/>
    <w:rsid w:val="00CF3AB9"/>
    <w:rsid w:val="00D0043B"/>
    <w:rsid w:val="00D052C1"/>
    <w:rsid w:val="00D0683D"/>
    <w:rsid w:val="00D1223D"/>
    <w:rsid w:val="00D15EB0"/>
    <w:rsid w:val="00D25CDA"/>
    <w:rsid w:val="00D30532"/>
    <w:rsid w:val="00D372EE"/>
    <w:rsid w:val="00D4303B"/>
    <w:rsid w:val="00D4354A"/>
    <w:rsid w:val="00D4368E"/>
    <w:rsid w:val="00D43DCF"/>
    <w:rsid w:val="00D469A1"/>
    <w:rsid w:val="00D55657"/>
    <w:rsid w:val="00D605D8"/>
    <w:rsid w:val="00D607C4"/>
    <w:rsid w:val="00D61912"/>
    <w:rsid w:val="00D62C6C"/>
    <w:rsid w:val="00D62FAE"/>
    <w:rsid w:val="00D646C2"/>
    <w:rsid w:val="00D67F14"/>
    <w:rsid w:val="00D67F90"/>
    <w:rsid w:val="00D72067"/>
    <w:rsid w:val="00D735C8"/>
    <w:rsid w:val="00D73EB7"/>
    <w:rsid w:val="00D741FF"/>
    <w:rsid w:val="00D803B3"/>
    <w:rsid w:val="00D80A58"/>
    <w:rsid w:val="00D8498A"/>
    <w:rsid w:val="00D873E8"/>
    <w:rsid w:val="00D90FE6"/>
    <w:rsid w:val="00D939E8"/>
    <w:rsid w:val="00DA0F6E"/>
    <w:rsid w:val="00DA4E6F"/>
    <w:rsid w:val="00DA533E"/>
    <w:rsid w:val="00DA5533"/>
    <w:rsid w:val="00DA620F"/>
    <w:rsid w:val="00DB1A74"/>
    <w:rsid w:val="00DB39BA"/>
    <w:rsid w:val="00DB3AD2"/>
    <w:rsid w:val="00DB5D2B"/>
    <w:rsid w:val="00DB5FF7"/>
    <w:rsid w:val="00DE7150"/>
    <w:rsid w:val="00DF56AC"/>
    <w:rsid w:val="00DF7AF6"/>
    <w:rsid w:val="00DF7F28"/>
    <w:rsid w:val="00E004A5"/>
    <w:rsid w:val="00E03E91"/>
    <w:rsid w:val="00E10F10"/>
    <w:rsid w:val="00E149E5"/>
    <w:rsid w:val="00E16EF0"/>
    <w:rsid w:val="00E21146"/>
    <w:rsid w:val="00E2796B"/>
    <w:rsid w:val="00E32324"/>
    <w:rsid w:val="00E35EB1"/>
    <w:rsid w:val="00E402F4"/>
    <w:rsid w:val="00E51680"/>
    <w:rsid w:val="00E55A5D"/>
    <w:rsid w:val="00E64A7B"/>
    <w:rsid w:val="00E66843"/>
    <w:rsid w:val="00E67B83"/>
    <w:rsid w:val="00E71C86"/>
    <w:rsid w:val="00E75779"/>
    <w:rsid w:val="00E80623"/>
    <w:rsid w:val="00E954A8"/>
    <w:rsid w:val="00E96176"/>
    <w:rsid w:val="00EA76BD"/>
    <w:rsid w:val="00EA7DF5"/>
    <w:rsid w:val="00EB0FC9"/>
    <w:rsid w:val="00EB3797"/>
    <w:rsid w:val="00EB4BE6"/>
    <w:rsid w:val="00EC0D5E"/>
    <w:rsid w:val="00EC247B"/>
    <w:rsid w:val="00EC2B9C"/>
    <w:rsid w:val="00EC36C5"/>
    <w:rsid w:val="00EC66F2"/>
    <w:rsid w:val="00EC6E94"/>
    <w:rsid w:val="00EC76A9"/>
    <w:rsid w:val="00ED1112"/>
    <w:rsid w:val="00ED2337"/>
    <w:rsid w:val="00ED4557"/>
    <w:rsid w:val="00EE2DCD"/>
    <w:rsid w:val="00EE2F11"/>
    <w:rsid w:val="00EF1101"/>
    <w:rsid w:val="00EF1B12"/>
    <w:rsid w:val="00EF274B"/>
    <w:rsid w:val="00EF784B"/>
    <w:rsid w:val="00F05093"/>
    <w:rsid w:val="00F07737"/>
    <w:rsid w:val="00F102B2"/>
    <w:rsid w:val="00F10BE0"/>
    <w:rsid w:val="00F10C41"/>
    <w:rsid w:val="00F122A5"/>
    <w:rsid w:val="00F13209"/>
    <w:rsid w:val="00F1432C"/>
    <w:rsid w:val="00F16B68"/>
    <w:rsid w:val="00F210C0"/>
    <w:rsid w:val="00F2280C"/>
    <w:rsid w:val="00F23286"/>
    <w:rsid w:val="00F33EFA"/>
    <w:rsid w:val="00F3714E"/>
    <w:rsid w:val="00F37BA1"/>
    <w:rsid w:val="00F40C92"/>
    <w:rsid w:val="00F40DDA"/>
    <w:rsid w:val="00F40F89"/>
    <w:rsid w:val="00F519A8"/>
    <w:rsid w:val="00F551C7"/>
    <w:rsid w:val="00F55D72"/>
    <w:rsid w:val="00F63955"/>
    <w:rsid w:val="00F65BC7"/>
    <w:rsid w:val="00F6753B"/>
    <w:rsid w:val="00F7164C"/>
    <w:rsid w:val="00F75FDD"/>
    <w:rsid w:val="00F8278F"/>
    <w:rsid w:val="00F9070D"/>
    <w:rsid w:val="00F91223"/>
    <w:rsid w:val="00F94BA5"/>
    <w:rsid w:val="00FA08C5"/>
    <w:rsid w:val="00FA23F3"/>
    <w:rsid w:val="00FA4CB9"/>
    <w:rsid w:val="00FA5055"/>
    <w:rsid w:val="00FB2FCC"/>
    <w:rsid w:val="00FB3E2B"/>
    <w:rsid w:val="00FC1932"/>
    <w:rsid w:val="00FC47AF"/>
    <w:rsid w:val="00FD0950"/>
    <w:rsid w:val="00FD210F"/>
    <w:rsid w:val="00FD5740"/>
    <w:rsid w:val="00FE0B96"/>
    <w:rsid w:val="00FE2408"/>
    <w:rsid w:val="00FE6448"/>
    <w:rsid w:val="00FE75C7"/>
    <w:rsid w:val="00FE7E29"/>
    <w:rsid w:val="00FF12B1"/>
    <w:rsid w:val="00FF56C3"/>
    <w:rsid w:val="015E3C9D"/>
    <w:rsid w:val="02B56A89"/>
    <w:rsid w:val="066844B7"/>
    <w:rsid w:val="09704A89"/>
    <w:rsid w:val="0A352979"/>
    <w:rsid w:val="0A436642"/>
    <w:rsid w:val="0AB065C6"/>
    <w:rsid w:val="0C6B6973"/>
    <w:rsid w:val="0CAE2AB0"/>
    <w:rsid w:val="0CD15E4F"/>
    <w:rsid w:val="0ED9743D"/>
    <w:rsid w:val="0FE30E12"/>
    <w:rsid w:val="13232827"/>
    <w:rsid w:val="145873DB"/>
    <w:rsid w:val="158959E3"/>
    <w:rsid w:val="16402F23"/>
    <w:rsid w:val="16883290"/>
    <w:rsid w:val="178B33C5"/>
    <w:rsid w:val="178F3E9D"/>
    <w:rsid w:val="19505862"/>
    <w:rsid w:val="19893CF5"/>
    <w:rsid w:val="19C30097"/>
    <w:rsid w:val="1AB77183"/>
    <w:rsid w:val="1B042A69"/>
    <w:rsid w:val="1C473DC8"/>
    <w:rsid w:val="1C8D30FB"/>
    <w:rsid w:val="1EF506A8"/>
    <w:rsid w:val="1F8053CC"/>
    <w:rsid w:val="20A560B7"/>
    <w:rsid w:val="24115B8F"/>
    <w:rsid w:val="242D249A"/>
    <w:rsid w:val="251704AA"/>
    <w:rsid w:val="25ED53E9"/>
    <w:rsid w:val="26C76BCE"/>
    <w:rsid w:val="26F36A4C"/>
    <w:rsid w:val="270B3948"/>
    <w:rsid w:val="278F37FB"/>
    <w:rsid w:val="2A165289"/>
    <w:rsid w:val="2B4A7ED7"/>
    <w:rsid w:val="2C3C375A"/>
    <w:rsid w:val="2E3644B2"/>
    <w:rsid w:val="2F813A9B"/>
    <w:rsid w:val="2F9E7117"/>
    <w:rsid w:val="316571ED"/>
    <w:rsid w:val="33E96C62"/>
    <w:rsid w:val="36F61FEB"/>
    <w:rsid w:val="370069BF"/>
    <w:rsid w:val="383A53E6"/>
    <w:rsid w:val="38CF5DEC"/>
    <w:rsid w:val="39746A03"/>
    <w:rsid w:val="3B006A63"/>
    <w:rsid w:val="3C11063D"/>
    <w:rsid w:val="3C921615"/>
    <w:rsid w:val="3D033B2D"/>
    <w:rsid w:val="3D241F65"/>
    <w:rsid w:val="3D351D2F"/>
    <w:rsid w:val="3D8C3297"/>
    <w:rsid w:val="3F401D5B"/>
    <w:rsid w:val="3FA76DA0"/>
    <w:rsid w:val="4208635C"/>
    <w:rsid w:val="43653E7B"/>
    <w:rsid w:val="468D1F23"/>
    <w:rsid w:val="4701658A"/>
    <w:rsid w:val="4A290D3D"/>
    <w:rsid w:val="4A67630D"/>
    <w:rsid w:val="4A7F059A"/>
    <w:rsid w:val="4A871E8F"/>
    <w:rsid w:val="4A9070DF"/>
    <w:rsid w:val="4C1C3E34"/>
    <w:rsid w:val="4D36577B"/>
    <w:rsid w:val="4F713121"/>
    <w:rsid w:val="51F60DC2"/>
    <w:rsid w:val="52956AF1"/>
    <w:rsid w:val="53B6495C"/>
    <w:rsid w:val="57142BE6"/>
    <w:rsid w:val="58415441"/>
    <w:rsid w:val="58E326FF"/>
    <w:rsid w:val="5BB656FF"/>
    <w:rsid w:val="5C9D64E1"/>
    <w:rsid w:val="5E487D0C"/>
    <w:rsid w:val="61497093"/>
    <w:rsid w:val="61EE5EC6"/>
    <w:rsid w:val="62451D5F"/>
    <w:rsid w:val="63777C99"/>
    <w:rsid w:val="64D41C60"/>
    <w:rsid w:val="66064CCC"/>
    <w:rsid w:val="664338E2"/>
    <w:rsid w:val="66F42635"/>
    <w:rsid w:val="672A6364"/>
    <w:rsid w:val="67BB4D64"/>
    <w:rsid w:val="68BA0BD4"/>
    <w:rsid w:val="6A2207F5"/>
    <w:rsid w:val="6AB36EBC"/>
    <w:rsid w:val="6B94466A"/>
    <w:rsid w:val="6BFD3496"/>
    <w:rsid w:val="6C4B06C0"/>
    <w:rsid w:val="6C556E95"/>
    <w:rsid w:val="6DD92D92"/>
    <w:rsid w:val="6DF61122"/>
    <w:rsid w:val="710C551C"/>
    <w:rsid w:val="71FF294A"/>
    <w:rsid w:val="72267569"/>
    <w:rsid w:val="72D6606A"/>
    <w:rsid w:val="77411F41"/>
    <w:rsid w:val="77E27A98"/>
    <w:rsid w:val="783B0335"/>
    <w:rsid w:val="78843EA9"/>
    <w:rsid w:val="7AE01053"/>
    <w:rsid w:val="7CAE79AB"/>
    <w:rsid w:val="7EA8505E"/>
    <w:rsid w:val="7FAA4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qFormat/>
    <w:uiPriority w:val="0"/>
    <w:pPr>
      <w:keepLines/>
      <w:spacing w:before="120" w:after="120" w:line="340" w:lineRule="exact"/>
      <w:jc w:val="both"/>
      <w:outlineLvl w:val="0"/>
    </w:pPr>
    <w:rPr>
      <w:rFonts w:ascii="黑体" w:hAnsi="Verdana" w:eastAsia="黑体"/>
      <w:sz w:val="21"/>
      <w:szCs w:val="21"/>
    </w:rPr>
  </w:style>
  <w:style w:type="paragraph" w:styleId="5">
    <w:name w:val="heading 2"/>
    <w:basedOn w:val="2"/>
    <w:next w:val="6"/>
    <w:qFormat/>
    <w:uiPriority w:val="0"/>
    <w:pPr>
      <w:spacing w:before="0" w:after="0"/>
      <w:ind w:left="360"/>
      <w:outlineLvl w:val="1"/>
    </w:pPr>
    <w:rPr>
      <w:rFonts w:ascii="宋体" w:hAnsi="Times New Roman" w:eastAsia="宋体"/>
    </w:rPr>
  </w:style>
  <w:style w:type="paragraph" w:styleId="7">
    <w:name w:val="heading 3"/>
    <w:basedOn w:val="2"/>
    <w:next w:val="1"/>
    <w:link w:val="51"/>
    <w:qFormat/>
    <w:uiPriority w:val="0"/>
    <w:pPr>
      <w:keepLines w:val="0"/>
      <w:spacing w:before="0" w:after="0"/>
      <w:outlineLvl w:val="2"/>
    </w:pPr>
    <w:rPr>
      <w:rFonts w:ascii="宋体" w:hAnsi="Tahoma" w:eastAsia="宋体"/>
    </w:rPr>
  </w:style>
  <w:style w:type="paragraph" w:styleId="8">
    <w:name w:val="heading 4"/>
    <w:basedOn w:val="2"/>
    <w:next w:val="6"/>
    <w:qFormat/>
    <w:uiPriority w:val="0"/>
    <w:pPr>
      <w:keepNext/>
      <w:outlineLvl w:val="3"/>
    </w:pPr>
    <w:rPr>
      <w:rFonts w:ascii="宋体" w:hAnsi="Tahoma" w:eastAsia="宋体"/>
    </w:rPr>
  </w:style>
  <w:style w:type="paragraph" w:styleId="9">
    <w:name w:val="heading 5"/>
    <w:basedOn w:val="7"/>
    <w:next w:val="6"/>
    <w:qFormat/>
    <w:uiPriority w:val="0"/>
    <w:pPr>
      <w:outlineLvl w:val="4"/>
    </w:p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spacing w:after="0" w:line="240" w:lineRule="auto"/>
      <w:ind w:firstLine="420" w:firstLineChars="200"/>
    </w:pPr>
    <w:rPr>
      <w:rFonts w:ascii="宋体" w:hAnsi="宋体"/>
      <w:sz w:val="21"/>
      <w:szCs w:val="21"/>
    </w:rPr>
  </w:style>
  <w:style w:type="paragraph" w:styleId="4">
    <w:name w:val="Body Text"/>
    <w:basedOn w:val="1"/>
    <w:qFormat/>
    <w:uiPriority w:val="0"/>
    <w:pPr>
      <w:spacing w:after="120"/>
    </w:pPr>
  </w:style>
  <w:style w:type="paragraph" w:styleId="6">
    <w:name w:val="Normal Indent"/>
    <w:basedOn w:val="1"/>
    <w:qFormat/>
    <w:uiPriority w:val="0"/>
    <w:pPr>
      <w:spacing w:line="340" w:lineRule="exact"/>
      <w:jc w:val="center"/>
    </w:pPr>
    <w:rPr>
      <w:sz w:val="18"/>
      <w:szCs w:val="24"/>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jc w:val="center"/>
    </w:pPr>
    <w:rPr>
      <w:rFonts w:ascii="Arial" w:hAnsi="Arial" w:eastAsia="黑体"/>
      <w:sz w:val="21"/>
    </w:rPr>
  </w:style>
  <w:style w:type="paragraph" w:styleId="12">
    <w:name w:val="Body Text Indent"/>
    <w:basedOn w:val="1"/>
    <w:link w:val="49"/>
    <w:qFormat/>
    <w:uiPriority w:val="99"/>
    <w:pPr>
      <w:spacing w:line="240" w:lineRule="auto"/>
      <w:ind w:firstLine="420" w:firstLineChars="200"/>
    </w:pPr>
    <w:rPr>
      <w:sz w:val="21"/>
    </w:rPr>
  </w:style>
  <w:style w:type="paragraph" w:styleId="13">
    <w:name w:val="toc 5"/>
    <w:basedOn w:val="1"/>
    <w:next w:val="1"/>
    <w:semiHidden/>
    <w:qFormat/>
    <w:uiPriority w:val="0"/>
    <w:pPr>
      <w:ind w:left="960"/>
    </w:pPr>
    <w:rPr>
      <w:szCs w:val="21"/>
    </w:rPr>
  </w:style>
  <w:style w:type="paragraph" w:styleId="14">
    <w:name w:val="toc 3"/>
    <w:basedOn w:val="1"/>
    <w:next w:val="1"/>
    <w:semiHidden/>
    <w:qFormat/>
    <w:uiPriority w:val="0"/>
    <w:pPr>
      <w:ind w:left="480"/>
    </w:pPr>
    <w:rPr>
      <w:i/>
      <w:iCs/>
      <w:szCs w:val="24"/>
    </w:rPr>
  </w:style>
  <w:style w:type="paragraph" w:styleId="15">
    <w:name w:val="Plain Text"/>
    <w:basedOn w:val="1"/>
    <w:link w:val="50"/>
    <w:qFormat/>
    <w:uiPriority w:val="99"/>
    <w:rPr>
      <w:rFonts w:ascii="宋体" w:hAnsi="Courier New" w:cs="Courier New"/>
      <w:szCs w:val="21"/>
    </w:rPr>
  </w:style>
  <w:style w:type="paragraph" w:styleId="16">
    <w:name w:val="toc 8"/>
    <w:basedOn w:val="1"/>
    <w:next w:val="1"/>
    <w:semiHidden/>
    <w:qFormat/>
    <w:uiPriority w:val="0"/>
    <w:pPr>
      <w:ind w:left="1680"/>
    </w:pPr>
    <w:rPr>
      <w:szCs w:val="21"/>
    </w:rPr>
  </w:style>
  <w:style w:type="paragraph" w:styleId="17">
    <w:name w:val="Date"/>
    <w:basedOn w:val="1"/>
    <w:next w:val="1"/>
    <w:qFormat/>
    <w:uiPriority w:val="0"/>
    <w:pPr>
      <w:ind w:left="100" w:leftChars="2500"/>
    </w:pPr>
    <w:rPr>
      <w:sz w:val="21"/>
      <w:szCs w:val="21"/>
    </w:rPr>
  </w:style>
  <w:style w:type="paragraph" w:styleId="18">
    <w:name w:val="Balloon Text"/>
    <w:basedOn w:val="1"/>
    <w:link w:val="43"/>
    <w:qFormat/>
    <w:uiPriority w:val="0"/>
    <w:pPr>
      <w:spacing w:line="240" w:lineRule="auto"/>
    </w:pPr>
    <w:rPr>
      <w:sz w:val="18"/>
      <w:szCs w:val="18"/>
    </w:rPr>
  </w:style>
  <w:style w:type="paragraph" w:styleId="19">
    <w:name w:val="footer"/>
    <w:basedOn w:val="1"/>
    <w:qFormat/>
    <w:uiPriority w:val="0"/>
    <w:pPr>
      <w:tabs>
        <w:tab w:val="center" w:pos="4153"/>
        <w:tab w:val="right" w:pos="8306"/>
      </w:tabs>
      <w:spacing w:line="240" w:lineRule="atLeast"/>
    </w:pPr>
    <w:rPr>
      <w:sz w:val="18"/>
    </w:rPr>
  </w:style>
  <w:style w:type="paragraph" w:styleId="20">
    <w:name w:val="header"/>
    <w:basedOn w:val="1"/>
    <w:qFormat/>
    <w:uiPriority w:val="0"/>
    <w:pPr>
      <w:tabs>
        <w:tab w:val="center" w:pos="4153"/>
        <w:tab w:val="right" w:pos="8306"/>
      </w:tabs>
      <w:spacing w:line="240" w:lineRule="atLeast"/>
      <w:jc w:val="center"/>
    </w:pPr>
    <w:rPr>
      <w:sz w:val="18"/>
    </w:rPr>
  </w:style>
  <w:style w:type="paragraph" w:styleId="21">
    <w:name w:val="toc 1"/>
    <w:basedOn w:val="1"/>
    <w:next w:val="1"/>
    <w:semiHidden/>
    <w:qFormat/>
    <w:uiPriority w:val="0"/>
    <w:pPr>
      <w:tabs>
        <w:tab w:val="left" w:pos="360"/>
      </w:tabs>
      <w:spacing w:line="240" w:lineRule="auto"/>
      <w:ind w:left="360" w:hanging="360"/>
    </w:pPr>
    <w:rPr>
      <w:rFonts w:ascii="宋体" w:hAnsi="宋体"/>
      <w:caps/>
      <w:sz w:val="21"/>
      <w:szCs w:val="24"/>
    </w:rPr>
  </w:style>
  <w:style w:type="paragraph" w:styleId="22">
    <w:name w:val="toc 4"/>
    <w:basedOn w:val="1"/>
    <w:next w:val="1"/>
    <w:semiHidden/>
    <w:qFormat/>
    <w:uiPriority w:val="0"/>
    <w:pPr>
      <w:ind w:left="720"/>
    </w:pPr>
    <w:rPr>
      <w:szCs w:val="21"/>
    </w:rPr>
  </w:style>
  <w:style w:type="paragraph" w:styleId="23">
    <w:name w:val="toc 6"/>
    <w:basedOn w:val="1"/>
    <w:next w:val="1"/>
    <w:semiHidden/>
    <w:qFormat/>
    <w:uiPriority w:val="0"/>
    <w:pPr>
      <w:ind w:left="1200"/>
    </w:pPr>
    <w:rPr>
      <w:szCs w:val="21"/>
    </w:rPr>
  </w:style>
  <w:style w:type="paragraph" w:styleId="24">
    <w:name w:val="toc 2"/>
    <w:basedOn w:val="1"/>
    <w:next w:val="1"/>
    <w:semiHidden/>
    <w:qFormat/>
    <w:uiPriority w:val="0"/>
    <w:rPr>
      <w:rFonts w:ascii="黑体" w:eastAsia="黑体"/>
      <w:smallCaps/>
      <w:sz w:val="21"/>
      <w:szCs w:val="21"/>
    </w:rPr>
  </w:style>
  <w:style w:type="paragraph" w:styleId="25">
    <w:name w:val="toc 9"/>
    <w:basedOn w:val="1"/>
    <w:next w:val="1"/>
    <w:semiHidden/>
    <w:qFormat/>
    <w:uiPriority w:val="0"/>
    <w:pPr>
      <w:ind w:left="1920"/>
    </w:pPr>
    <w:rPr>
      <w:szCs w:val="21"/>
    </w:rPr>
  </w:style>
  <w:style w:type="paragraph" w:styleId="26">
    <w:name w:val="Normal (Web)"/>
    <w:basedOn w:val="1"/>
    <w:qFormat/>
    <w:uiPriority w:val="0"/>
    <w:pPr>
      <w:spacing w:beforeAutospacing="1" w:afterAutospacing="1"/>
    </w:pPr>
  </w:style>
  <w:style w:type="table" w:styleId="28">
    <w:name w:val="Table Grid"/>
    <w:basedOn w:val="27"/>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basedOn w:val="29"/>
    <w:qFormat/>
    <w:uiPriority w:val="0"/>
    <w:rPr>
      <w:color w:val="800080"/>
      <w:u w:val="single"/>
    </w:rPr>
  </w:style>
  <w:style w:type="character" w:styleId="32">
    <w:name w:val="Emphasis"/>
    <w:basedOn w:val="29"/>
    <w:qFormat/>
    <w:uiPriority w:val="0"/>
    <w:rPr>
      <w:i/>
    </w:rPr>
  </w:style>
  <w:style w:type="character" w:styleId="33">
    <w:name w:val="Hyperlink"/>
    <w:basedOn w:val="29"/>
    <w:qFormat/>
    <w:uiPriority w:val="0"/>
    <w:rPr>
      <w:color w:val="0000FF"/>
      <w:u w:val="single"/>
    </w:rPr>
  </w:style>
  <w:style w:type="character" w:customStyle="1" w:styleId="34">
    <w:name w:val="注释"/>
    <w:basedOn w:val="29"/>
    <w:qFormat/>
    <w:uiPriority w:val="0"/>
    <w:rPr>
      <w:rFonts w:ascii="Times New Roman" w:eastAsia="宋体"/>
      <w:sz w:val="18"/>
    </w:rPr>
  </w:style>
  <w:style w:type="character" w:customStyle="1" w:styleId="35">
    <w:name w:val="发布"/>
    <w:basedOn w:val="29"/>
    <w:qFormat/>
    <w:uiPriority w:val="0"/>
    <w:rPr>
      <w:rFonts w:ascii="黑体" w:eastAsia="黑体"/>
      <w:spacing w:val="22"/>
      <w:w w:val="100"/>
      <w:position w:val="3"/>
      <w:sz w:val="28"/>
    </w:rPr>
  </w:style>
  <w:style w:type="character" w:customStyle="1" w:styleId="36">
    <w:name w:val="图中文字"/>
    <w:basedOn w:val="29"/>
    <w:qFormat/>
    <w:uiPriority w:val="0"/>
    <w:rPr>
      <w:rFonts w:ascii="Times New Roman" w:eastAsia="宋体"/>
      <w:sz w:val="15"/>
    </w:rPr>
  </w:style>
  <w:style w:type="paragraph" w:customStyle="1" w:styleId="37">
    <w:name w:val="发布部门"/>
    <w:next w:val="3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篇"/>
    <w:basedOn w:val="1"/>
    <w:next w:val="1"/>
    <w:qFormat/>
    <w:uiPriority w:val="0"/>
    <w:pPr>
      <w:jc w:val="center"/>
    </w:pPr>
    <w:rPr>
      <w:rFonts w:eastAsia="黑体"/>
    </w:rPr>
  </w:style>
  <w:style w:type="paragraph" w:customStyle="1" w:styleId="40">
    <w:name w:val="编号文字"/>
    <w:basedOn w:val="4"/>
    <w:qFormat/>
    <w:uiPriority w:val="0"/>
    <w:pPr>
      <w:tabs>
        <w:tab w:val="left" w:pos="890"/>
      </w:tabs>
      <w:spacing w:after="0" w:line="240" w:lineRule="auto"/>
      <w:ind w:left="890" w:hanging="420"/>
    </w:pPr>
    <w:rPr>
      <w:sz w:val="21"/>
    </w:rPr>
  </w:style>
  <w:style w:type="paragraph" w:customStyle="1" w:styleId="41">
    <w:name w:val="一级条标题"/>
    <w:next w:val="38"/>
    <w:qFormat/>
    <w:uiPriority w:val="0"/>
    <w:pPr>
      <w:spacing w:beforeLines="50" w:afterLines="50"/>
      <w:outlineLvl w:val="2"/>
    </w:pPr>
    <w:rPr>
      <w:rFonts w:ascii="黑体" w:hAnsi="Times New Roman" w:eastAsia="黑体" w:cs="Times New Roman"/>
      <w:sz w:val="21"/>
      <w:szCs w:val="21"/>
      <w:lang w:val="en-US" w:eastAsia="zh-CN" w:bidi="ar-SA"/>
    </w:rPr>
  </w:style>
  <w:style w:type="paragraph" w:styleId="42">
    <w:name w:val="List Paragraph"/>
    <w:basedOn w:val="1"/>
    <w:unhideWhenUsed/>
    <w:qFormat/>
    <w:uiPriority w:val="99"/>
    <w:pPr>
      <w:widowControl/>
      <w:adjustRightInd/>
      <w:spacing w:line="240" w:lineRule="auto"/>
      <w:ind w:firstLine="420" w:firstLineChars="200"/>
      <w:textAlignment w:val="auto"/>
    </w:pPr>
    <w:rPr>
      <w:sz w:val="20"/>
    </w:rPr>
  </w:style>
  <w:style w:type="character" w:customStyle="1" w:styleId="43">
    <w:name w:val="批注框文本 Char"/>
    <w:basedOn w:val="29"/>
    <w:link w:val="18"/>
    <w:qFormat/>
    <w:uiPriority w:val="0"/>
    <w:rPr>
      <w:sz w:val="18"/>
      <w:szCs w:val="18"/>
    </w:rPr>
  </w:style>
  <w:style w:type="paragraph" w:customStyle="1" w:styleId="44">
    <w:name w:val="封面标准号2"/>
    <w:basedOn w:val="45"/>
    <w:qFormat/>
    <w:uiPriority w:val="0"/>
    <w:pPr>
      <w:adjustRightInd w:val="0"/>
      <w:spacing w:line="280" w:lineRule="exact"/>
    </w:pPr>
  </w:style>
  <w:style w:type="paragraph" w:customStyle="1" w:styleId="4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正文表标题"/>
    <w:next w:val="38"/>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7">
    <w:name w:val="章标题"/>
    <w:next w:val="38"/>
    <w:qFormat/>
    <w:uiPriority w:val="0"/>
    <w:pPr>
      <w:numPr>
        <w:ilvl w:val="1"/>
        <w:numId w:val="2"/>
      </w:numPr>
      <w:spacing w:beforeLines="50" w:afterLines="50"/>
      <w:jc w:val="both"/>
      <w:outlineLvl w:val="1"/>
    </w:pPr>
    <w:rPr>
      <w:rFonts w:ascii="黑体" w:eastAsia="黑体" w:hAnsiTheme="minorHAnsi" w:cstheme="minorBidi"/>
      <w:sz w:val="21"/>
      <w:lang w:val="en-US" w:eastAsia="zh-CN" w:bidi="ar-SA"/>
    </w:rPr>
  </w:style>
  <w:style w:type="paragraph" w:customStyle="1" w:styleId="48">
    <w:name w:val="二级条标题"/>
    <w:basedOn w:val="41"/>
    <w:next w:val="38"/>
    <w:qFormat/>
    <w:uiPriority w:val="99"/>
    <w:pPr>
      <w:numPr>
        <w:ilvl w:val="3"/>
        <w:numId w:val="2"/>
      </w:numPr>
      <w:outlineLvl w:val="3"/>
    </w:pPr>
  </w:style>
  <w:style w:type="character" w:customStyle="1" w:styleId="49">
    <w:name w:val="正文文本缩进 Char"/>
    <w:basedOn w:val="29"/>
    <w:link w:val="12"/>
    <w:locked/>
    <w:uiPriority w:val="99"/>
    <w:rPr>
      <w:sz w:val="21"/>
    </w:rPr>
  </w:style>
  <w:style w:type="character" w:customStyle="1" w:styleId="50">
    <w:name w:val="纯文本 Char"/>
    <w:basedOn w:val="29"/>
    <w:link w:val="15"/>
    <w:locked/>
    <w:uiPriority w:val="99"/>
    <w:rPr>
      <w:rFonts w:ascii="宋体" w:hAnsi="Courier New" w:cs="Courier New"/>
      <w:sz w:val="24"/>
      <w:szCs w:val="21"/>
    </w:rPr>
  </w:style>
  <w:style w:type="character" w:customStyle="1" w:styleId="51">
    <w:name w:val="标题 3 Char"/>
    <w:basedOn w:val="29"/>
    <w:link w:val="7"/>
    <w:locked/>
    <w:uiPriority w:val="0"/>
    <w:rPr>
      <w:rFonts w:ascii="宋体" w:hAnsi="Tahoma"/>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8D8FD-A665-4CB4-8F68-C16B75E3874E}">
  <ds:schemaRefs/>
</ds:datastoreItem>
</file>

<file path=docProps/app.xml><?xml version="1.0" encoding="utf-8"?>
<Properties xmlns="http://schemas.openxmlformats.org/officeDocument/2006/extended-properties" xmlns:vt="http://schemas.openxmlformats.org/officeDocument/2006/docPropsVTypes">
  <Template>gba4</Template>
  <Company> </Company>
  <Pages>9</Pages>
  <Words>2216</Words>
  <Characters>2794</Characters>
  <Lines>87</Lines>
  <Paragraphs>40</Paragraphs>
  <TotalTime>63</TotalTime>
  <ScaleCrop>false</ScaleCrop>
  <LinksUpToDate>false</LinksUpToDate>
  <CharactersWithSpaces>4970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2021-12-07T01:34:00Z</dcterms:created>
  <dc:creator>wsvsts</dc:creator>
  <cp:lastModifiedBy>CathayMok</cp:lastModifiedBy>
  <cp:lastPrinted>2021-11-23T08:50:00Z</cp:lastPrinted>
  <dcterms:modified xsi:type="dcterms:W3CDTF">2021-12-09T05:53:04Z</dcterms:modified>
  <dc:title>UDC XXX</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1A2AE6AC27134DF5B0056185BC7DFBA6</vt:lpwstr>
  </property>
</Properties>
</file>