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cs="黑体"/>
        </w:rPr>
      </w:pPr>
      <w:bookmarkStart w:id="263" w:name="_GoBack"/>
      <w:bookmarkEnd w:id="263"/>
      <w:r>
        <w:rPr>
          <w:rFonts w:hint="eastAsia" w:ascii="黑体" w:hAnsi="黑体" w:eastAsia="黑体" w:cs="黑体"/>
        </w:rPr>
        <w:t>ICS  77.120.99</w:t>
      </w:r>
    </w:p>
    <w:p>
      <w:pPr>
        <w:spacing w:line="240" w:lineRule="auto"/>
        <w:rPr>
          <w:rFonts w:ascii="黑体" w:hAnsi="黑体" w:eastAsia="黑体" w:cs="黑体"/>
        </w:rPr>
      </w:pPr>
      <w:r>
        <w:rPr>
          <w:rFonts w:hint="eastAsia" w:ascii="黑体" w:hAnsi="黑体" w:eastAsia="黑体" w:cs="黑体"/>
        </w:rPr>
        <w:t>H</w:t>
      </w:r>
      <w:r>
        <w:rPr>
          <w:rFonts w:ascii="黑体" w:hAnsi="黑体" w:eastAsia="黑体" w:cs="黑体"/>
        </w:rPr>
        <mc:AlternateContent>
          <mc:Choice Requires="wps">
            <w:drawing>
              <wp:anchor distT="0" distB="0" distL="114300" distR="114300" simplePos="0" relativeHeight="251664384" behindDoc="1" locked="1" layoutInCell="0" allowOverlap="1">
                <wp:simplePos x="0" y="0"/>
                <wp:positionH relativeFrom="margin">
                  <wp:posOffset>2800985</wp:posOffset>
                </wp:positionH>
                <wp:positionV relativeFrom="margin">
                  <wp:posOffset>-6985</wp:posOffset>
                </wp:positionV>
                <wp:extent cx="2816225" cy="72009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816225" cy="720090"/>
                        </a:xfrm>
                        <a:prstGeom prst="rect">
                          <a:avLst/>
                        </a:prstGeom>
                        <a:noFill/>
                        <a:ln w="9525">
                          <a:noFill/>
                        </a:ln>
                        <a:effectLst/>
                      </wps:spPr>
                      <wps:txbx>
                        <w:txbxContent>
                          <w:p>
                            <w:pPr>
                              <w:pStyle w:val="52"/>
                              <w:ind w:firstLine="2513"/>
                            </w:pPr>
                            <w:r>
                              <w:rPr>
                                <w:rFonts w:hint="eastAsia"/>
                              </w:rPr>
                              <w:t>XBox</w:t>
                            </w:r>
                          </w:p>
                        </w:txbxContent>
                      </wps:txbx>
                      <wps:bodyPr lIns="0" tIns="0" rIns="0" bIns="0" upright="1"/>
                    </wps:wsp>
                  </a:graphicData>
                </a:graphic>
              </wp:anchor>
            </w:drawing>
          </mc:Choice>
          <mc:Fallback>
            <w:pict>
              <v:shape id="_x0000_s1026" o:spid="_x0000_s1026" o:spt="202" type="#_x0000_t202" style="position:absolute;left:0pt;margin-left:220.55pt;margin-top:-0.55pt;height:56.7pt;width:221.75pt;mso-position-horizontal-relative:margin;mso-position-vertical-relative:margin;z-index:-251652096;mso-width-relative:page;mso-height-relative:page;" filled="f" stroked="f" coordsize="21600,21600" o:allowincell="f" o:gfxdata="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rt9dkAAAAKAQAADwAAAAAAAAABACAAAAAiAAAAZHJzL2Rv&#10;d25yZXYueG1sUEsBAhQAFAAAAAgAh07iQHjMLEfHAQAAiwMAAA4AAAAAAAAAAQAgAAAAKAEAAGRy&#10;cy9lMm9Eb2MueG1sUEsFBgAAAAAGAAYAWQEAAGEFAAAAAA==&#10;">
                <v:fill on="f" focussize="0,0"/>
                <v:stroke on="f"/>
                <v:imagedata o:title=""/>
                <o:lock v:ext="edit" aspectratio="f"/>
                <v:textbox inset="0mm,0mm,0mm,0mm">
                  <w:txbxContent>
                    <w:p>
                      <w:pPr>
                        <w:pStyle w:val="52"/>
                        <w:ind w:firstLine="2513"/>
                      </w:pPr>
                      <w:r>
                        <w:rPr>
                          <w:rFonts w:hint="eastAsia"/>
                        </w:rPr>
                        <w:t>XBox</w:t>
                      </w:r>
                    </w:p>
                  </w:txbxContent>
                </v:textbox>
                <w10:anchorlock/>
              </v:shape>
            </w:pict>
          </mc:Fallback>
        </mc:AlternateContent>
      </w:r>
      <w:r>
        <w:rPr>
          <w:rFonts w:hint="eastAsia" w:ascii="黑体" w:hAnsi="黑体" w:eastAsia="黑体" w:cs="黑体"/>
        </w:rPr>
        <w:t xml:space="preserve"> 01</w:t>
      </w:r>
    </w:p>
    <w:p>
      <w:pPr>
        <w:pStyle w:val="51"/>
        <w:ind w:firstLine="0"/>
        <w:jc w:val="distribute"/>
        <w:rPr>
          <w:rFonts w:ascii="宋体" w:hAnsi="宋体" w:eastAsia="宋体"/>
        </w:rPr>
      </w:pPr>
    </w:p>
    <w:p>
      <w:pPr>
        <w:pStyle w:val="51"/>
        <w:ind w:firstLine="0"/>
        <w:jc w:val="distribute"/>
        <w:rPr>
          <w:rFonts w:ascii="隶书" w:hAnsi="宋体" w:eastAsia="隶书" w:cs="Times New Roman"/>
          <w:b/>
          <w:color w:val="auto"/>
          <w:kern w:val="2"/>
          <w:szCs w:val="52"/>
        </w:rPr>
      </w:pPr>
      <w:r>
        <w:rPr>
          <w:rFonts w:ascii="隶书" w:hAnsi="宋体" w:eastAsia="隶书" w:cs="Times New Roman"/>
          <w:b/>
          <w:color w:val="auto"/>
          <w:kern w:val="2"/>
          <w:szCs w:val="52"/>
        </w:rPr>
        <mc:AlternateContent>
          <mc:Choice Requires="wps">
            <w:drawing>
              <wp:anchor distT="0" distB="0" distL="114300" distR="114300" simplePos="0" relativeHeight="251663360" behindDoc="1" locked="1" layoutInCell="0" allowOverlap="1">
                <wp:simplePos x="0" y="0"/>
                <wp:positionH relativeFrom="margin">
                  <wp:posOffset>-173355</wp:posOffset>
                </wp:positionH>
                <wp:positionV relativeFrom="margin">
                  <wp:posOffset>783590</wp:posOffset>
                </wp:positionV>
                <wp:extent cx="5864860" cy="417830"/>
                <wp:effectExtent l="0" t="0" r="2540" b="8890"/>
                <wp:wrapNone/>
                <wp:docPr id="24" name="文本框 24"/>
                <wp:cNvGraphicFramePr/>
                <a:graphic xmlns:a="http://schemas.openxmlformats.org/drawingml/2006/main">
                  <a:graphicData uri="http://schemas.microsoft.com/office/word/2010/wordprocessingShape">
                    <wps:wsp>
                      <wps:cNvSpPr txBox="1"/>
                      <wps:spPr>
                        <a:xfrm>
                          <a:off x="0" y="0"/>
                          <a:ext cx="5864860" cy="417830"/>
                        </a:xfrm>
                        <a:prstGeom prst="rect">
                          <a:avLst/>
                        </a:prstGeom>
                        <a:solidFill>
                          <a:srgbClr val="FFFFFF"/>
                        </a:solidFill>
                        <a:ln w="9525">
                          <a:noFill/>
                        </a:ln>
                        <a:effectLst/>
                      </wps:spPr>
                      <wps:txbx>
                        <w:txbxContent>
                          <w:p>
                            <w:pPr>
                              <w:pStyle w:val="51"/>
                              <w:ind w:firstLine="0"/>
                              <w:jc w:val="distribute"/>
                              <w:rPr>
                                <w:b/>
                              </w:rPr>
                            </w:pPr>
                            <w:r>
                              <w:rPr>
                                <w:rFonts w:hint="eastAsia"/>
                                <w:b/>
                              </w:rPr>
                              <w:t>中华人民共和国稀土行业标准</w:t>
                            </w:r>
                          </w:p>
                        </w:txbxContent>
                      </wps:txbx>
                      <wps:bodyPr lIns="0" tIns="0" rIns="0" bIns="0" upright="1"/>
                    </wps:wsp>
                  </a:graphicData>
                </a:graphic>
              </wp:anchor>
            </w:drawing>
          </mc:Choice>
          <mc:Fallback>
            <w:pict>
              <v:shape id="_x0000_s1026" o:spid="_x0000_s1026" o:spt="202" type="#_x0000_t202" style="position:absolute;left:0pt;margin-left:-13.65pt;margin-top:61.7pt;height:32.9pt;width:461.8pt;mso-position-horizontal-relative:margin;mso-position-vertical-relative:margin;z-index:-251653120;mso-width-relative:page;mso-height-relative:page;" fillcolor="#FFFFFF" filled="t" stroked="f" coordsize="21600,21600" o:allowincell="f" o:gfxdata="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yotZ2QAAAAsBAAAP&#10;AAAAAAAAAAEAIAAAACIAAABkcnMvZG93bnJldi54bWxQSwECFAAUAAAACACHTuJApyxUat4BAAC0&#10;AwAADgAAAAAAAAABACAAAAAoAQAAZHJzL2Uyb0RvYy54bWxQSwUGAAAAAAYABgBZAQAAeAUAAAAA&#10;">
                <v:fill on="t" focussize="0,0"/>
                <v:stroke on="f"/>
                <v:imagedata o:title=""/>
                <o:lock v:ext="edit" aspectratio="f"/>
                <v:textbox inset="0mm,0mm,0mm,0mm">
                  <w:txbxContent>
                    <w:p>
                      <w:pPr>
                        <w:pStyle w:val="51"/>
                        <w:ind w:firstLine="0"/>
                        <w:jc w:val="distribute"/>
                        <w:rPr>
                          <w:b/>
                        </w:rPr>
                      </w:pPr>
                      <w:r>
                        <w:rPr>
                          <w:rFonts w:hint="eastAsia"/>
                          <w:b/>
                        </w:rPr>
                        <w:t>中华人民共和国稀土行业标准</w:t>
                      </w:r>
                    </w:p>
                  </w:txbxContent>
                </v:textbox>
                <w10:anchorlock/>
              </v:shape>
            </w:pict>
          </mc:Fallback>
        </mc:AlternateContent>
      </w:r>
    </w:p>
    <w:p>
      <w:pPr>
        <w:ind w:left="2340" w:hanging="2340" w:hangingChars="450"/>
        <w:rPr>
          <w:sz w:val="52"/>
          <w:szCs w:val="52"/>
        </w:rPr>
      </w:pPr>
    </w:p>
    <w:p>
      <w:pPr>
        <w:ind w:left="1260" w:hanging="1260" w:hangingChars="450"/>
        <w:jc w:val="right"/>
        <w:rPr>
          <w:rFonts w:ascii="黑体" w:hAnsi="黑体" w:eastAsia="黑体"/>
          <w:sz w:val="28"/>
          <w:szCs w:val="28"/>
        </w:rPr>
      </w:pPr>
      <w:r>
        <w:rPr>
          <w:rFonts w:hint="eastAsia" w:ascii="黑体" w:hAnsi="黑体" w:eastAsia="黑体"/>
          <w:sz w:val="28"/>
          <w:szCs w:val="28"/>
        </w:rPr>
        <w:t>XB/T  XXXX-202X</w:t>
      </w:r>
    </w:p>
    <w:p>
      <w:r>
        <mc:AlternateContent>
          <mc:Choice Requires="wps">
            <w:drawing>
              <wp:anchor distT="0" distB="0" distL="114300" distR="114300" simplePos="0" relativeHeight="251665408" behindDoc="0" locked="0" layoutInCell="0" allowOverlap="1">
                <wp:simplePos x="0" y="0"/>
                <wp:positionH relativeFrom="column">
                  <wp:posOffset>-383540</wp:posOffset>
                </wp:positionH>
                <wp:positionV relativeFrom="paragraph">
                  <wp:posOffset>109220</wp:posOffset>
                </wp:positionV>
                <wp:extent cx="6149975" cy="0"/>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61499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30.2pt;margin-top:8.6pt;height:0pt;width:484.25pt;z-index:251665408;mso-width-relative:page;mso-height-relative:page;" filled="f" stroked="t" coordsize="21600,21600" o:allowincell="f" o:gfxdata="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9UWwvWAAAACQEAAA8AAAAAAAAAAQAgAAAAIgAAAGRycy9kb3ducmV2Lnht&#10;bFBLAQIUABQAAAAIAIdO4kAqrx/1+wEAAPIDAAAOAAAAAAAAAAEAIAAAACUBAABkcnMvZTJvRG9j&#10;LnhtbFBLBQYAAAAABgAGAFkBAACSBQAAAAA=&#10;">
                <v:fill on="f" focussize="0,0"/>
                <v:stroke color="#000000" joinstyle="round"/>
                <v:imagedata o:title=""/>
                <o:lock v:ext="edit" aspectratio="f"/>
              </v:line>
            </w:pict>
          </mc:Fallback>
        </mc:AlternateContent>
      </w:r>
    </w:p>
    <w:p/>
    <w:p/>
    <w:p>
      <w:pPr>
        <w:rPr>
          <w:rFonts w:cs="David"/>
          <w:b/>
          <w:sz w:val="52"/>
          <w:szCs w:val="52"/>
        </w:rPr>
      </w:pPr>
    </w:p>
    <w:p>
      <w:pPr>
        <w:jc w:val="center"/>
        <w:rPr>
          <w:rFonts w:ascii="黑体" w:hAnsi="黑体" w:eastAsia="黑体" w:cs="黑体"/>
          <w:bCs/>
          <w:sz w:val="52"/>
          <w:szCs w:val="52"/>
        </w:rPr>
      </w:pPr>
      <w:r>
        <w:rPr>
          <w:rFonts w:hint="eastAsia" w:ascii="黑体" w:hAnsi="黑体" w:eastAsia="黑体" w:cs="黑体"/>
          <w:bCs/>
          <w:sz w:val="52"/>
          <w:szCs w:val="52"/>
        </w:rPr>
        <w:t>粘结钕铁硼</w:t>
      </w:r>
    </w:p>
    <w:p>
      <w:pPr>
        <w:jc w:val="center"/>
        <w:rPr>
          <w:rFonts w:ascii="黑体" w:hAnsi="黑体" w:eastAsia="黑体" w:cs="黑体"/>
          <w:bCs/>
          <w:sz w:val="52"/>
          <w:szCs w:val="52"/>
        </w:rPr>
      </w:pPr>
      <w:r>
        <w:rPr>
          <w:rFonts w:hint="eastAsia" w:ascii="黑体" w:hAnsi="黑体" w:eastAsia="黑体" w:cs="黑体"/>
          <w:bCs/>
          <w:sz w:val="52"/>
          <w:szCs w:val="52"/>
        </w:rPr>
        <w:t>绿色工厂评价要求</w:t>
      </w:r>
    </w:p>
    <w:p>
      <w:pPr>
        <w:pStyle w:val="37"/>
        <w:rPr>
          <w:rFonts w:hAnsi="宋体"/>
          <w:bCs/>
        </w:rPr>
      </w:pPr>
      <w:r>
        <w:rPr>
          <w:rFonts w:hAnsi="宋体"/>
          <w:bCs/>
        </w:rPr>
        <w:t xml:space="preserve">Green Factory Evaluation </w:t>
      </w:r>
      <w:r>
        <w:rPr>
          <w:rFonts w:hint="eastAsia" w:hAnsi="宋体"/>
          <w:bCs/>
        </w:rPr>
        <w:t>Requirements</w:t>
      </w:r>
      <w:r>
        <w:rPr>
          <w:rFonts w:hAnsi="宋体"/>
          <w:bCs/>
        </w:rPr>
        <w:t xml:space="preserve"> </w:t>
      </w:r>
      <w:r>
        <w:rPr>
          <w:rFonts w:hint="eastAsia" w:hAnsi="宋体"/>
          <w:bCs/>
        </w:rPr>
        <w:t>for</w:t>
      </w:r>
      <w:r>
        <w:rPr>
          <w:rFonts w:hAnsi="宋体"/>
          <w:bCs/>
        </w:rPr>
        <w:t xml:space="preserve"> </w:t>
      </w:r>
    </w:p>
    <w:p>
      <w:pPr>
        <w:pStyle w:val="37"/>
        <w:rPr>
          <w:rFonts w:hAnsi="宋体"/>
          <w:bCs/>
        </w:rPr>
      </w:pPr>
      <w:r>
        <w:rPr>
          <w:rFonts w:hint="eastAsia" w:hAnsi="宋体"/>
          <w:bCs/>
        </w:rPr>
        <w:t xml:space="preserve">Bonded Nd-Fe-B </w:t>
      </w:r>
      <w:r>
        <w:rPr>
          <w:rFonts w:hint="eastAsia" w:ascii="黑体" w:hAnsi="黑体" w:eastAsia="黑体" w:cs="黑体"/>
        </w:rPr>
        <w:t>Permanent</w:t>
      </w:r>
      <w:r>
        <w:rPr>
          <w:rFonts w:hint="eastAsia" w:hAnsi="宋体"/>
          <w:bCs/>
        </w:rPr>
        <w:t xml:space="preserve"> Magnets</w:t>
      </w:r>
      <w:r>
        <w:rPr>
          <w:rFonts w:hAnsi="宋体"/>
          <w:bCs/>
        </w:rPr>
        <w:t xml:space="preserve"> </w:t>
      </w:r>
      <w:r>
        <w:rPr>
          <w:rFonts w:hint="eastAsia" w:hAnsi="宋体"/>
          <w:bCs/>
        </w:rPr>
        <w:t>F</w:t>
      </w:r>
      <w:r>
        <w:rPr>
          <w:rFonts w:hAnsi="宋体"/>
          <w:bCs/>
        </w:rPr>
        <w:t>actory</w:t>
      </w:r>
    </w:p>
    <w:p>
      <w:pPr>
        <w:jc w:val="center"/>
        <w:rPr>
          <w:rFonts w:cs="David"/>
          <w:b/>
          <w:sz w:val="30"/>
          <w:szCs w:val="30"/>
        </w:rPr>
      </w:pPr>
    </w:p>
    <w:p>
      <w:pPr>
        <w:jc w:val="center"/>
        <w:rPr>
          <w:rFonts w:cs="David"/>
          <w:bCs/>
          <w:sz w:val="30"/>
          <w:szCs w:val="30"/>
        </w:rPr>
      </w:pPr>
      <w:r>
        <w:rPr>
          <w:rFonts w:hint="eastAsia" w:cs="David"/>
          <w:bCs/>
          <w:sz w:val="30"/>
          <w:szCs w:val="30"/>
        </w:rPr>
        <w:t>（预审稿）</w:t>
      </w:r>
    </w:p>
    <w:p>
      <w:pPr>
        <w:rPr>
          <w:rFonts w:cs="David"/>
          <w:b/>
          <w:sz w:val="30"/>
          <w:szCs w:val="30"/>
        </w:rPr>
      </w:pPr>
    </w:p>
    <w:p>
      <w:pPr>
        <w:rPr>
          <w:rFonts w:cs="David"/>
          <w:b/>
          <w:sz w:val="30"/>
          <w:szCs w:val="30"/>
        </w:rPr>
      </w:pPr>
    </w:p>
    <w:p>
      <w:pPr>
        <w:rPr>
          <w:rFonts w:cs="David"/>
          <w:b/>
          <w:sz w:val="30"/>
          <w:szCs w:val="30"/>
          <w:u w:val="single"/>
        </w:rPr>
      </w:pPr>
      <w:r>
        <w:rPr>
          <w:rFonts w:hint="eastAsia" w:cs="David"/>
          <w:b/>
          <w:sz w:val="30"/>
          <w:szCs w:val="30"/>
          <w:u w:val="single"/>
        </w:rPr>
        <w:t>20</w:t>
      </w:r>
      <w:r>
        <w:rPr>
          <w:rFonts w:cs="David"/>
          <w:b/>
          <w:sz w:val="30"/>
          <w:szCs w:val="30"/>
          <w:u w:val="single"/>
        </w:rPr>
        <w:t>2</w:t>
      </w:r>
      <w:r>
        <w:rPr>
          <w:rFonts w:hint="eastAsia" w:cs="David"/>
          <w:b/>
          <w:sz w:val="30"/>
          <w:szCs w:val="30"/>
          <w:u w:val="single"/>
        </w:rPr>
        <w:t>X-XX-XX发布                          202X-XX-XX实施</w:t>
      </w:r>
    </w:p>
    <w:p>
      <w:pPr>
        <w:spacing w:line="240" w:lineRule="auto"/>
        <w:jc w:val="center"/>
        <w:rPr>
          <w:rFonts w:ascii="黑体" w:hAnsi="黑体" w:eastAsia="黑体"/>
          <w:sz w:val="30"/>
          <w:szCs w:val="30"/>
        </w:rPr>
      </w:pPr>
      <w:r>
        <w:rPr>
          <w:rFonts w:hint="eastAsia" w:ascii="黑体" w:hAnsi="黑体" w:eastAsia="黑体" w:cs="David"/>
          <w:b/>
          <w:sz w:val="28"/>
          <w:szCs w:val="28"/>
        </w:rPr>
        <w:t>中华人民共和国工业和信息化部    发 布</w:t>
      </w: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r>
        <w:rPr>
          <w:rFonts w:ascii="黑体" w:hAnsi="黑体" w:eastAsia="黑体"/>
          <w:sz w:val="30"/>
          <w:szCs w:val="30"/>
        </w:rPr>
        <w:t>目</w:t>
      </w:r>
      <w:r>
        <w:rPr>
          <w:rFonts w:hint="eastAsia" w:ascii="黑体" w:hAnsi="黑体" w:eastAsia="黑体"/>
          <w:sz w:val="30"/>
          <w:szCs w:val="30"/>
        </w:rPr>
        <w:t>次</w:t>
      </w:r>
    </w:p>
    <w:p>
      <w:pPr>
        <w:spacing w:line="240" w:lineRule="auto"/>
        <w:jc w:val="center"/>
        <w:rPr>
          <w:rFonts w:ascii="黑体" w:hAnsi="黑体" w:eastAsia="黑体"/>
          <w:sz w:val="30"/>
          <w:szCs w:val="30"/>
        </w:rPr>
      </w:pPr>
    </w:p>
    <w:p>
      <w:pPr>
        <w:pStyle w:val="10"/>
        <w:tabs>
          <w:tab w:val="right" w:leader="dot" w:pos="8302"/>
        </w:tabs>
        <w:rPr>
          <w:rFonts w:asciiTheme="minorHAnsi" w:hAnsiTheme="minorHAnsi" w:eastAsiaTheme="minorEastAsia" w:cstheme="minorBidi"/>
          <w:kern w:val="2"/>
          <w:sz w:val="21"/>
        </w:rPr>
      </w:pPr>
      <w:r>
        <w:rPr>
          <w:rFonts w:ascii="黑体" w:hAnsi="黑体" w:eastAsia="黑体"/>
          <w:sz w:val="21"/>
          <w:szCs w:val="21"/>
        </w:rPr>
        <w:fldChar w:fldCharType="begin"/>
      </w:r>
      <w:r>
        <w:rPr>
          <w:rFonts w:ascii="黑体" w:hAnsi="黑体" w:eastAsia="黑体"/>
          <w:sz w:val="21"/>
          <w:szCs w:val="21"/>
        </w:rPr>
        <w:instrText xml:space="preserve">TOC \o "1-1" \h \u </w:instrText>
      </w:r>
      <w:r>
        <w:rPr>
          <w:rFonts w:ascii="黑体" w:hAnsi="黑体" w:eastAsia="黑体"/>
          <w:sz w:val="21"/>
          <w:szCs w:val="21"/>
        </w:rPr>
        <w:fldChar w:fldCharType="separate"/>
      </w:r>
      <w:r>
        <w:fldChar w:fldCharType="begin"/>
      </w:r>
      <w:r>
        <w:instrText xml:space="preserve"> HYPERLINK \l "_Toc40971598" </w:instrText>
      </w:r>
      <w:r>
        <w:fldChar w:fldCharType="separate"/>
      </w:r>
      <w:r>
        <w:rPr>
          <w:rStyle w:val="24"/>
          <w:color w:val="auto"/>
        </w:rPr>
        <w:t>前言</w:t>
      </w:r>
      <w:r>
        <w:tab/>
      </w:r>
      <w:r>
        <w:fldChar w:fldCharType="begin"/>
      </w:r>
      <w:r>
        <w:instrText xml:space="preserve"> PAGEREF _Toc40971598 \h </w:instrText>
      </w:r>
      <w:r>
        <w:fldChar w:fldCharType="separate"/>
      </w:r>
      <w:r>
        <w:t>I</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"_Toc40971599" </w:instrText>
      </w:r>
      <w:r>
        <w:fldChar w:fldCharType="separate"/>
      </w:r>
      <w:r>
        <w:rPr>
          <w:rStyle w:val="24"/>
          <w:rFonts w:ascii="黑体" w:hAnsi="黑体" w:cs="黑体"/>
          <w:color w:val="auto"/>
        </w:rPr>
        <w:t>1 范围</w:t>
      </w:r>
      <w:r>
        <w:tab/>
      </w:r>
      <w:r>
        <w:fldChar w:fldCharType="begin"/>
      </w:r>
      <w:r>
        <w:instrText xml:space="preserve"> PAGEREF _Toc40971599 \h </w:instrText>
      </w:r>
      <w:r>
        <w:fldChar w:fldCharType="separate"/>
      </w:r>
      <w:r>
        <w:t>1</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"_Toc40971600" </w:instrText>
      </w:r>
      <w:r>
        <w:fldChar w:fldCharType="separate"/>
      </w:r>
      <w:r>
        <w:rPr>
          <w:rStyle w:val="24"/>
          <w:rFonts w:ascii="黑体" w:hAnsi="黑体" w:cs="黑体"/>
          <w:color w:val="auto"/>
        </w:rPr>
        <w:t>2 规范性引用文件</w:t>
      </w:r>
      <w:r>
        <w:tab/>
      </w:r>
      <w:r>
        <w:fldChar w:fldCharType="begin"/>
      </w:r>
      <w:r>
        <w:instrText xml:space="preserve"> PAGEREF _Toc40971600 \h </w:instrText>
      </w:r>
      <w:r>
        <w:fldChar w:fldCharType="separate"/>
      </w:r>
      <w:r>
        <w:t>1</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"_Toc40971601" </w:instrText>
      </w:r>
      <w:r>
        <w:fldChar w:fldCharType="separate"/>
      </w:r>
      <w:r>
        <w:rPr>
          <w:rStyle w:val="24"/>
          <w:rFonts w:ascii="黑体" w:hAnsi="黑体" w:cs="黑体"/>
          <w:color w:val="auto"/>
        </w:rPr>
        <w:t>3 术语和定义</w:t>
      </w:r>
      <w:r>
        <w:tab/>
      </w:r>
      <w:r>
        <w:fldChar w:fldCharType="begin"/>
      </w:r>
      <w:r>
        <w:instrText xml:space="preserve"> PAGEREF _Toc40971601 \h </w:instrText>
      </w:r>
      <w:r>
        <w:fldChar w:fldCharType="separate"/>
      </w:r>
      <w:r>
        <w:t>3</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"_Toc40971602" </w:instrText>
      </w:r>
      <w:r>
        <w:fldChar w:fldCharType="separate"/>
      </w:r>
      <w:r>
        <w:rPr>
          <w:rStyle w:val="24"/>
          <w:rFonts w:ascii="黑体" w:hAnsi="黑体" w:cs="黑体"/>
          <w:color w:val="auto"/>
        </w:rPr>
        <w:t>4 总则</w:t>
      </w:r>
      <w:r>
        <w:tab/>
      </w:r>
      <w:r>
        <w:fldChar w:fldCharType="begin"/>
      </w:r>
      <w:r>
        <w:instrText xml:space="preserve"> PAGEREF _Toc40971602 \h </w:instrText>
      </w:r>
      <w:r>
        <w:fldChar w:fldCharType="separate"/>
      </w:r>
      <w:r>
        <w:t>3</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"_Toc40971603" </w:instrText>
      </w:r>
      <w:r>
        <w:fldChar w:fldCharType="separate"/>
      </w:r>
      <w:r>
        <w:rPr>
          <w:rStyle w:val="24"/>
          <w:rFonts w:ascii="黑体" w:hAnsi="黑体" w:cs="黑体"/>
          <w:color w:val="auto"/>
        </w:rPr>
        <w:t>5 评价要求</w:t>
      </w:r>
      <w:r>
        <w:tab/>
      </w:r>
      <w:r>
        <w:fldChar w:fldCharType="begin"/>
      </w:r>
      <w:r>
        <w:instrText xml:space="preserve"> PAGEREF _Toc40971603 \h </w:instrText>
      </w:r>
      <w:r>
        <w:fldChar w:fldCharType="separate"/>
      </w:r>
      <w:r>
        <w:t>5</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"_Toc40971604" </w:instrText>
      </w:r>
      <w:r>
        <w:fldChar w:fldCharType="separate"/>
      </w:r>
      <w:r>
        <w:rPr>
          <w:rStyle w:val="24"/>
          <w:rFonts w:ascii="黑体" w:hAnsi="黑体" w:cs="黑体"/>
          <w:color w:val="auto"/>
        </w:rPr>
        <w:t>6 评价程序</w:t>
      </w:r>
      <w:r>
        <w:tab/>
      </w:r>
      <w:r>
        <w:fldChar w:fldCharType="begin"/>
      </w:r>
      <w:r>
        <w:instrText xml:space="preserve"> PAGEREF _Toc40971604 \h </w:instrText>
      </w:r>
      <w:r>
        <w:fldChar w:fldCharType="separate"/>
      </w:r>
      <w:r>
        <w:t>10</w:t>
      </w:r>
      <w:r>
        <w:fldChar w:fldCharType="end"/>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"_Toc40971605" </w:instrText>
      </w:r>
      <w:r>
        <w:fldChar w:fldCharType="separate"/>
      </w:r>
      <w:r>
        <w:rPr>
          <w:rStyle w:val="24"/>
          <w:rFonts w:ascii="黑体" w:hAnsi="黑体" w:cs="黑体"/>
          <w:color w:val="auto"/>
        </w:rPr>
        <w:t>7 评价报告</w:t>
      </w:r>
      <w:r>
        <w:tab/>
      </w:r>
      <w:r>
        <w:fldChar w:fldCharType="begin"/>
      </w:r>
      <w:r>
        <w:instrText xml:space="preserve"> PAGEREF _Toc40971605 \h </w:instrText>
      </w:r>
      <w:r>
        <w:fldChar w:fldCharType="separate"/>
      </w:r>
      <w:r>
        <w:t>10</w:t>
      </w:r>
      <w:r>
        <w:fldChar w:fldCharType="end"/>
      </w:r>
      <w:r>
        <w:fldChar w:fldCharType="end"/>
      </w:r>
    </w:p>
    <w:p>
      <w:pPr>
        <w:pStyle w:val="10"/>
        <w:tabs>
          <w:tab w:val="right" w:leader="dot" w:pos="8302"/>
        </w:tabs>
      </w:pPr>
      <w:r>
        <w:fldChar w:fldCharType="begin"/>
      </w:r>
      <w:r>
        <w:instrText xml:space="preserve"> HYPERLINK \l "_Toc40971606" </w:instrText>
      </w:r>
      <w:r>
        <w:fldChar w:fldCharType="separate"/>
      </w:r>
      <w:r>
        <w:rPr>
          <w:rStyle w:val="24"/>
          <w:rFonts w:ascii="黑体" w:hAnsi="黑体" w:cs="黑体"/>
          <w:color w:val="auto"/>
        </w:rPr>
        <w:t>附录 A</w:t>
      </w:r>
      <w:r>
        <w:tab/>
      </w:r>
      <w:r>
        <w:fldChar w:fldCharType="begin"/>
      </w:r>
      <w:r>
        <w:instrText xml:space="preserve"> PAGEREF _Toc40971606 \h </w:instrText>
      </w:r>
      <w:r>
        <w:fldChar w:fldCharType="separate"/>
      </w:r>
      <w:r>
        <w:t>12</w:t>
      </w:r>
      <w:r>
        <w:fldChar w:fldCharType="end"/>
      </w:r>
      <w:r>
        <w:fldChar w:fldCharType="end"/>
      </w:r>
    </w:p>
    <w:p>
      <w:pPr>
        <w:pStyle w:val="10"/>
        <w:tabs>
          <w:tab w:val="right" w:leader="dot" w:pos="8302"/>
        </w:tabs>
      </w:pPr>
      <w:r>
        <w:fldChar w:fldCharType="begin"/>
      </w:r>
      <w:r>
        <w:instrText xml:space="preserve"> HYPERLINK \l "_Toc40971606" </w:instrText>
      </w:r>
      <w:r>
        <w:fldChar w:fldCharType="separate"/>
      </w:r>
      <w:r>
        <w:rPr>
          <w:rStyle w:val="24"/>
          <w:rFonts w:ascii="黑体" w:hAnsi="黑体" w:cs="黑体"/>
          <w:color w:val="auto"/>
        </w:rPr>
        <w:t xml:space="preserve">附录 </w:t>
      </w:r>
      <w:r>
        <w:rPr>
          <w:rStyle w:val="24"/>
          <w:rFonts w:hint="eastAsia" w:ascii="黑体" w:hAnsi="黑体" w:cs="黑体"/>
          <w:color w:val="auto"/>
        </w:rPr>
        <w:t>B</w:t>
      </w:r>
      <w:r>
        <w:tab/>
      </w:r>
      <w:r>
        <w:t>20</w:t>
      </w:r>
      <w:r>
        <w:fldChar w:fldCharType="end"/>
      </w:r>
    </w:p>
    <w:p>
      <w:pPr>
        <w:pStyle w:val="10"/>
        <w:tabs>
          <w:tab w:val="right" w:leader="dot" w:pos="8302"/>
        </w:tabs>
        <w:rPr>
          <w:rFonts w:asciiTheme="minorHAnsi" w:hAnsiTheme="minorHAnsi" w:eastAsiaTheme="minorEastAsia" w:cstheme="minorBidi"/>
          <w:kern w:val="2"/>
          <w:sz w:val="21"/>
        </w:rPr>
      </w:pPr>
      <w:r>
        <w:fldChar w:fldCharType="begin"/>
      </w:r>
      <w:r>
        <w:instrText xml:space="preserve"> HYPERLINK \l "_Toc40971607" </w:instrText>
      </w:r>
      <w:r>
        <w:fldChar w:fldCharType="separate"/>
      </w:r>
      <w:r>
        <w:rPr>
          <w:rStyle w:val="24"/>
          <w:rFonts w:ascii="黑体" w:hAnsi="黑体" w:cs="黑体"/>
          <w:color w:val="auto"/>
        </w:rPr>
        <w:t>参考文献</w:t>
      </w:r>
      <w:r>
        <w:tab/>
      </w:r>
      <w:r>
        <w:t>23</w:t>
      </w:r>
      <w:r>
        <w:fldChar w:fldCharType="end"/>
      </w:r>
    </w:p>
    <w:p>
      <w:pPr>
        <w:pStyle w:val="10"/>
        <w:tabs>
          <w:tab w:val="right" w:leader="dot" w:pos="9638"/>
        </w:tabs>
        <w:adjustRightInd w:val="0"/>
        <w:snapToGrid w:val="0"/>
        <w:spacing w:after="0" w:line="360" w:lineRule="auto"/>
        <w:rPr>
          <w:sz w:val="21"/>
          <w:szCs w:val="21"/>
        </w:rPr>
      </w:pPr>
      <w:r>
        <w:rPr>
          <w:rFonts w:ascii="黑体" w:hAnsi="黑体" w:eastAsia="黑体"/>
          <w:sz w:val="21"/>
          <w:szCs w:val="21"/>
        </w:rPr>
        <w:fldChar w:fldCharType="end"/>
      </w:r>
    </w:p>
    <w:p>
      <w:pPr>
        <w:rPr>
          <w:sz w:val="32"/>
          <w:szCs w:val="32"/>
        </w:rPr>
      </w:pPr>
    </w:p>
    <w:p>
      <w:pPr>
        <w:rPr>
          <w:sz w:val="32"/>
          <w:szCs w:val="32"/>
        </w:rPr>
        <w:sectPr>
          <w:footerReference r:id="rId5" w:type="default"/>
          <w:pgSz w:w="11906" w:h="16838"/>
          <w:pgMar w:top="1440" w:right="1797" w:bottom="1440" w:left="1797" w:header="851" w:footer="992" w:gutter="0"/>
          <w:pgNumType w:start="1"/>
          <w:cols w:space="720" w:num="1"/>
          <w:docGrid w:type="lines" w:linePitch="312" w:charSpace="0"/>
        </w:sectPr>
      </w:pPr>
    </w:p>
    <w:p>
      <w:pPr>
        <w:pStyle w:val="2"/>
        <w:jc w:val="center"/>
        <w:rPr>
          <w:sz w:val="32"/>
          <w:szCs w:val="32"/>
        </w:rPr>
      </w:pPr>
      <w:bookmarkStart w:id="0" w:name="_Toc7581"/>
      <w:bookmarkStart w:id="1" w:name="_Toc12517"/>
      <w:bookmarkStart w:id="2" w:name="_Toc531265186"/>
      <w:bookmarkStart w:id="3" w:name="_Toc40971598"/>
      <w:r>
        <w:rPr>
          <w:rFonts w:hint="eastAsia"/>
          <w:sz w:val="32"/>
          <w:szCs w:val="32"/>
        </w:rPr>
        <w:t>前言</w:t>
      </w:r>
      <w:bookmarkEnd w:id="0"/>
      <w:bookmarkEnd w:id="1"/>
      <w:bookmarkEnd w:id="2"/>
      <w:bookmarkEnd w:id="3"/>
    </w:p>
    <w:p/>
    <w:p>
      <w:pPr>
        <w:adjustRightInd w:val="0"/>
        <w:snapToGrid w:val="0"/>
        <w:ind w:firstLine="420" w:firstLineChars="200"/>
        <w:rPr>
          <w:rFonts w:ascii="Times New Roman" w:hAnsi="Times New Roman"/>
        </w:rPr>
      </w:pPr>
      <w:r>
        <w:rPr>
          <w:rFonts w:hint="eastAsia"/>
          <w:szCs w:val="21"/>
        </w:rPr>
        <w:t>本文件按照</w:t>
      </w:r>
      <w:r>
        <w:rPr>
          <w:szCs w:val="21"/>
        </w:rPr>
        <w:t>GB/T 1.1—2020</w:t>
      </w:r>
      <w:r>
        <w:rPr>
          <w:rFonts w:hint="eastAsia"/>
          <w:szCs w:val="21"/>
        </w:rPr>
        <w:t>《标准化工作导则</w:t>
      </w:r>
      <w:r>
        <w:rPr>
          <w:szCs w:val="21"/>
        </w:rPr>
        <w:t xml:space="preserve"> </w:t>
      </w:r>
      <w:r>
        <w:rPr>
          <w:rFonts w:hint="eastAsia"/>
          <w:szCs w:val="21"/>
        </w:rPr>
        <w:t>第</w:t>
      </w:r>
      <w:r>
        <w:rPr>
          <w:szCs w:val="21"/>
        </w:rPr>
        <w:t>1</w:t>
      </w:r>
      <w:r>
        <w:rPr>
          <w:rFonts w:hint="eastAsia"/>
          <w:szCs w:val="21"/>
        </w:rPr>
        <w:t>部分：标准化文件的结构和起草规则》的规定起草</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本文件</w:t>
      </w:r>
      <w:r>
        <w:rPr>
          <w:rFonts w:ascii="Times New Roman" w:hAnsi="Times New Roman"/>
        </w:rPr>
        <w:t>由全国稀土标准化技术委员会（SAC/TC 229）提出并归口。</w:t>
      </w:r>
    </w:p>
    <w:p>
      <w:pPr>
        <w:pStyle w:val="5"/>
        <w:kinsoku w:val="0"/>
        <w:overflowPunct w:val="0"/>
        <w:spacing w:before="33" w:line="314" w:lineRule="auto"/>
        <w:ind w:right="183" w:firstLine="420" w:firstLineChars="200"/>
      </w:pPr>
      <w:r>
        <w:rPr>
          <w:rFonts w:hint="eastAsia" w:ascii="Times New Roman" w:hAnsi="Times New Roman"/>
        </w:rPr>
        <w:t>本文件</w:t>
      </w:r>
      <w:r>
        <w:rPr>
          <w:rFonts w:ascii="Times New Roman" w:hAnsi="Times New Roman"/>
        </w:rPr>
        <w:t>起草单位：</w:t>
      </w:r>
      <w:r>
        <w:rPr>
          <w:rFonts w:hint="eastAsia"/>
          <w:spacing w:val="-3"/>
        </w:rPr>
        <w:t>上海三环磁性材料有限公司、有研稀土新材料股份有限公司、包头稀土研究院、福建省长汀金龙稀土有限公司、北京中科三环高技术股份</w:t>
      </w:r>
      <w:r>
        <w:rPr>
          <w:rFonts w:hint="eastAsia"/>
        </w:rPr>
        <w:t>有</w:t>
      </w:r>
      <w:r>
        <w:rPr>
          <w:rFonts w:hint="eastAsia"/>
          <w:spacing w:val="-3"/>
        </w:rPr>
        <w:t>限公司、包头市金蒙汇磁材料有限责任公司、有研稀土（荣成）有限公司</w:t>
      </w:r>
      <w:r>
        <w:rPr>
          <w:rFonts w:hint="eastAsia"/>
        </w:rPr>
        <w:t>等</w:t>
      </w:r>
    </w:p>
    <w:p>
      <w:pPr>
        <w:pStyle w:val="5"/>
        <w:kinsoku w:val="0"/>
        <w:overflowPunct w:val="0"/>
        <w:spacing w:before="33" w:line="314" w:lineRule="auto"/>
        <w:ind w:right="183" w:firstLine="420" w:firstLineChars="200"/>
      </w:pPr>
      <w:r>
        <w:rPr>
          <w:rFonts w:hint="eastAsia"/>
        </w:rPr>
        <w:t>本文件主要起草人：饶晓雷、李纲、罗阳、闫文龙、王金凤、付建龙、马跃华、于晶雪、金国顺、曹朔豪、王志强、胡云忠、赵静、陈巍强、陈玮、郭晓燕、</w:t>
      </w:r>
      <w:r>
        <w:t xml:space="preserve"> </w:t>
      </w:r>
      <w:r>
        <w:rPr>
          <w:rFonts w:hint="eastAsia"/>
        </w:rPr>
        <w:t>汪云翔、詹庆镇、黄鹏斌、龚晖、周育红、王一伟等</w:t>
      </w:r>
    </w:p>
    <w:p>
      <w:pPr>
        <w:adjustRightInd w:val="0"/>
        <w:snapToGrid w:val="0"/>
        <w:ind w:firstLine="600" w:firstLineChars="200"/>
        <w:rPr>
          <w:rFonts w:ascii="黑体" w:hAnsi="黑体" w:eastAsia="黑体"/>
          <w:sz w:val="30"/>
          <w:szCs w:val="30"/>
        </w:rPr>
      </w:pPr>
    </w:p>
    <w:p>
      <w:pPr>
        <w:spacing w:line="240" w:lineRule="auto"/>
        <w:jc w:val="left"/>
        <w:rPr>
          <w:rFonts w:ascii="黑体" w:hAnsi="黑体" w:eastAsia="黑体"/>
          <w:sz w:val="30"/>
          <w:szCs w:val="30"/>
        </w:rPr>
      </w:pPr>
    </w:p>
    <w:p>
      <w:pPr>
        <w:spacing w:line="240" w:lineRule="auto"/>
        <w:jc w:val="center"/>
        <w:rPr>
          <w:rFonts w:ascii="黑体" w:hAnsi="黑体" w:eastAsia="黑体"/>
          <w:sz w:val="30"/>
          <w:szCs w:val="30"/>
        </w:rPr>
        <w:sectPr>
          <w:headerReference r:id="rId6" w:type="default"/>
          <w:footerReference r:id="rId7" w:type="default"/>
          <w:footerReference r:id="rId8" w:type="even"/>
          <w:pgSz w:w="11906" w:h="16838"/>
          <w:pgMar w:top="1417" w:right="1417" w:bottom="1134" w:left="1134" w:header="851" w:footer="992" w:gutter="0"/>
          <w:pgNumType w:fmt="upperRoman" w:start="1"/>
          <w:cols w:space="0" w:num="1"/>
          <w:docGrid w:type="lines" w:linePitch="317" w:charSpace="0"/>
        </w:sectPr>
      </w:pPr>
    </w:p>
    <w:p>
      <w:pPr>
        <w:spacing w:line="240" w:lineRule="auto"/>
        <w:jc w:val="center"/>
        <w:rPr>
          <w:rFonts w:ascii="黑体" w:hAnsi="黑体" w:eastAsia="黑体"/>
          <w:sz w:val="30"/>
          <w:szCs w:val="30"/>
        </w:rPr>
      </w:pPr>
    </w:p>
    <w:p>
      <w:pPr>
        <w:jc w:val="center"/>
        <w:rPr>
          <w:rFonts w:ascii="黑体" w:eastAsia="黑体"/>
          <w:bCs/>
          <w:sz w:val="32"/>
          <w:szCs w:val="32"/>
        </w:rPr>
      </w:pPr>
      <w:bookmarkStart w:id="4" w:name="_Toc1613_WPSOffice_Level1"/>
      <w:bookmarkStart w:id="5" w:name="_Toc955_WPSOffice_Level1"/>
      <w:r>
        <w:rPr>
          <w:rFonts w:hint="eastAsia" w:ascii="黑体" w:eastAsia="黑体"/>
          <w:bCs/>
          <w:sz w:val="32"/>
          <w:szCs w:val="32"/>
        </w:rPr>
        <w:t xml:space="preserve">粘结钕铁硼 </w:t>
      </w:r>
      <w:r>
        <w:rPr>
          <w:rFonts w:ascii="黑体" w:eastAsia="黑体"/>
          <w:bCs/>
          <w:sz w:val="32"/>
          <w:szCs w:val="32"/>
        </w:rPr>
        <w:t xml:space="preserve"> </w:t>
      </w:r>
      <w:r>
        <w:rPr>
          <w:rFonts w:hint="eastAsia" w:ascii="黑体" w:eastAsia="黑体"/>
          <w:bCs/>
          <w:sz w:val="32"/>
          <w:szCs w:val="32"/>
        </w:rPr>
        <w:t>绿色工厂评价要求</w:t>
      </w:r>
      <w:r>
        <w:rPr>
          <w:rFonts w:ascii="黑体" w:eastAsia="黑体"/>
          <w:bCs/>
          <w:sz w:val="32"/>
          <w:szCs w:val="32"/>
        </w:rPr>
        <w:t xml:space="preserve"> </w:t>
      </w:r>
      <w:bookmarkEnd w:id="4"/>
      <w:bookmarkEnd w:id="5"/>
    </w:p>
    <w:p>
      <w:pPr>
        <w:rPr>
          <w:rFonts w:ascii="黑体" w:eastAsia="黑体"/>
          <w:b/>
          <w:bCs/>
        </w:rPr>
      </w:pPr>
    </w:p>
    <w:p>
      <w:pPr>
        <w:pStyle w:val="2"/>
        <w:adjustRightInd w:val="0"/>
        <w:snapToGrid w:val="0"/>
        <w:spacing w:before="317" w:beforeLines="100" w:after="317" w:afterLines="100"/>
        <w:rPr>
          <w:rFonts w:ascii="黑体" w:hAnsi="黑体" w:cs="黑体"/>
        </w:rPr>
      </w:pPr>
      <w:bookmarkStart w:id="6" w:name="_Toc9882"/>
      <w:bookmarkStart w:id="7" w:name="_Toc29401_WPSOffice_Level1"/>
      <w:bookmarkStart w:id="8" w:name="_Toc531265187"/>
      <w:bookmarkStart w:id="9" w:name="_Toc14354"/>
      <w:bookmarkStart w:id="10" w:name="_Toc40971599"/>
      <w:bookmarkStart w:id="11" w:name="_Toc381480737"/>
      <w:bookmarkStart w:id="12" w:name="_Toc14040_WPSOffice_Level1"/>
      <w:bookmarkStart w:id="13" w:name="_Toc14631"/>
      <w:r>
        <w:rPr>
          <w:rFonts w:hint="eastAsia" w:ascii="黑体" w:hAnsi="黑体" w:cs="黑体"/>
        </w:rPr>
        <w:t>1 范围</w:t>
      </w:r>
      <w:bookmarkEnd w:id="6"/>
      <w:bookmarkEnd w:id="7"/>
      <w:bookmarkEnd w:id="8"/>
      <w:bookmarkEnd w:id="9"/>
      <w:bookmarkEnd w:id="10"/>
      <w:bookmarkEnd w:id="11"/>
      <w:bookmarkEnd w:id="12"/>
      <w:bookmarkEnd w:id="13"/>
    </w:p>
    <w:p>
      <w:pPr>
        <w:pStyle w:val="4"/>
        <w:adjustRightInd w:val="0"/>
        <w:snapToGrid w:val="0"/>
        <w:ind w:firstLine="420" w:firstLineChars="200"/>
      </w:pPr>
      <w:bookmarkStart w:id="14" w:name="_Hlk52635897"/>
      <w:r>
        <w:rPr>
          <w:rFonts w:hint="eastAsia"/>
          <w:szCs w:val="21"/>
        </w:rPr>
        <w:t>本文件规定了粘结钕铁硼绿色工厂评价的术语和定义、总则、评价要求、评价程序及评价报告等</w:t>
      </w:r>
    </w:p>
    <w:p>
      <w:pPr>
        <w:pStyle w:val="4"/>
        <w:adjustRightInd w:val="0"/>
        <w:snapToGrid w:val="0"/>
        <w:ind w:firstLine="420" w:firstLineChars="200"/>
      </w:pPr>
      <w:bookmarkStart w:id="15" w:name="_Toc381480738"/>
      <w:r>
        <w:rPr>
          <w:rFonts w:hint="eastAsia"/>
        </w:rPr>
        <w:t>本文件适用于粘结钕铁硼永磁体工厂中</w:t>
      </w:r>
      <w:r>
        <w:t>从事</w:t>
      </w:r>
      <w:r>
        <w:rPr>
          <w:rFonts w:hint="eastAsia"/>
        </w:rPr>
        <w:t>粘结钕铁硼永磁体制造的企业生产单元的绿色工厂评价。</w:t>
      </w:r>
      <w:bookmarkEnd w:id="14"/>
    </w:p>
    <w:p>
      <w:pPr>
        <w:pStyle w:val="2"/>
        <w:adjustRightInd w:val="0"/>
        <w:snapToGrid w:val="0"/>
        <w:spacing w:before="317" w:beforeLines="100" w:after="317" w:afterLines="100"/>
        <w:rPr>
          <w:rFonts w:ascii="黑体" w:hAnsi="黑体" w:cs="黑体"/>
        </w:rPr>
      </w:pPr>
      <w:bookmarkStart w:id="16" w:name="_Toc40971600"/>
      <w:bookmarkStart w:id="17" w:name="_Toc20399"/>
      <w:bookmarkStart w:id="18" w:name="_Toc20169_WPSOffice_Level1"/>
      <w:bookmarkStart w:id="19" w:name="_Toc12888_WPSOffice_Level1"/>
      <w:bookmarkStart w:id="20" w:name="_Toc2981"/>
      <w:bookmarkStart w:id="21" w:name="_Toc531265188"/>
      <w:bookmarkStart w:id="22" w:name="_Toc20985"/>
      <w:r>
        <w:rPr>
          <w:rFonts w:hint="eastAsia" w:ascii="黑体" w:hAnsi="黑体" w:cs="黑体"/>
        </w:rPr>
        <w:t>2 规范性引用文件</w:t>
      </w:r>
      <w:bookmarkEnd w:id="15"/>
      <w:bookmarkEnd w:id="16"/>
      <w:bookmarkEnd w:id="17"/>
      <w:bookmarkEnd w:id="18"/>
      <w:bookmarkEnd w:id="19"/>
      <w:bookmarkEnd w:id="20"/>
      <w:bookmarkEnd w:id="21"/>
      <w:bookmarkEnd w:id="22"/>
    </w:p>
    <w:p>
      <w:pPr>
        <w:adjustRightInd w:val="0"/>
        <w:snapToGrid w:val="0"/>
        <w:ind w:firstLine="420" w:firstLineChars="200"/>
        <w:rPr>
          <w:rFonts w:ascii="Times New Roman" w:hAnsi="Times New Roman"/>
          <w:szCs w:val="21"/>
        </w:rPr>
      </w:pPr>
      <w:r>
        <w:rPr>
          <w:rFonts w:ascii="Times New Roman" w:hAnsi="Times New Roman"/>
          <w:szCs w:val="21"/>
        </w:rPr>
        <w:t>下列文件对于本文件的应用是必不可少的。凡是注日期的引用文件，仅注日期的版本适用于本文件。凡是不注日期的引用文件，其最新版本（包括所有的修改单）适用于本文件。</w:t>
      </w:r>
    </w:p>
    <w:p>
      <w:pPr>
        <w:adjustRightInd w:val="0"/>
        <w:snapToGrid w:val="0"/>
        <w:ind w:firstLine="420" w:firstLineChars="200"/>
        <w:rPr>
          <w:rFonts w:ascii="Times New Roman" w:hAnsi="Times New Roman"/>
          <w:szCs w:val="21"/>
        </w:rPr>
      </w:pPr>
      <w:r>
        <w:rPr>
          <w:rFonts w:ascii="Times New Roman" w:hAnsi="Times New Roman"/>
          <w:szCs w:val="21"/>
        </w:rPr>
        <w:t>GB/T 2589 综合能耗计算通则</w:t>
      </w:r>
    </w:p>
    <w:p>
      <w:pPr>
        <w:adjustRightInd w:val="0"/>
        <w:snapToGrid w:val="0"/>
        <w:ind w:firstLine="420" w:firstLineChars="200"/>
        <w:rPr>
          <w:rFonts w:ascii="Times New Roman" w:hAnsi="Times New Roman"/>
          <w:szCs w:val="21"/>
        </w:rPr>
      </w:pPr>
      <w:r>
        <w:rPr>
          <w:rFonts w:ascii="Times New Roman" w:hAnsi="Times New Roman"/>
          <w:szCs w:val="21"/>
        </w:rPr>
        <w:t>GB 3095 环境</w:t>
      </w:r>
      <w:r>
        <w:rPr>
          <w:rFonts w:hint="eastAsia" w:ascii="Times New Roman" w:hAnsi="Times New Roman"/>
          <w:szCs w:val="21"/>
        </w:rPr>
        <w:t>空气</w:t>
      </w:r>
      <w:r>
        <w:rPr>
          <w:rFonts w:ascii="Times New Roman" w:hAnsi="Times New Roman"/>
          <w:szCs w:val="21"/>
        </w:rPr>
        <w:t>质量标准</w:t>
      </w:r>
    </w:p>
    <w:p>
      <w:pPr>
        <w:adjustRightInd w:val="0"/>
        <w:snapToGrid w:val="0"/>
        <w:ind w:firstLine="420" w:firstLineChars="200"/>
        <w:rPr>
          <w:rFonts w:ascii="Times New Roman" w:hAnsi="Times New Roman"/>
          <w:szCs w:val="21"/>
        </w:rPr>
      </w:pPr>
      <w:r>
        <w:rPr>
          <w:rFonts w:ascii="Times New Roman" w:hAnsi="Times New Roman"/>
          <w:szCs w:val="21"/>
        </w:rPr>
        <w:t>GB 5085.7 危险废物鉴别标准</w:t>
      </w:r>
      <w:r>
        <w:rPr>
          <w:rFonts w:hint="eastAsia" w:ascii="Times New Roman" w:hAnsi="Times New Roman"/>
          <w:szCs w:val="21"/>
        </w:rPr>
        <w:t xml:space="preserve"> </w:t>
      </w:r>
      <w:r>
        <w:rPr>
          <w:rFonts w:ascii="Times New Roman" w:hAnsi="Times New Roman"/>
          <w:szCs w:val="21"/>
        </w:rPr>
        <w:t>通则</w:t>
      </w:r>
      <w:bookmarkStart w:id="23" w:name="_Hlk25134868"/>
    </w:p>
    <w:p>
      <w:pPr>
        <w:adjustRightInd w:val="0"/>
        <w:snapToGrid w:val="0"/>
        <w:ind w:firstLine="420" w:firstLineChars="200"/>
        <w:rPr>
          <w:rFonts w:ascii="Times New Roman" w:hAnsi="Times New Roman"/>
          <w:szCs w:val="21"/>
        </w:rPr>
      </w:pPr>
      <w:r>
        <w:rPr>
          <w:rFonts w:hint="eastAsia" w:ascii="Times New Roman" w:hAnsi="Times New Roman"/>
          <w:szCs w:val="21"/>
        </w:rPr>
        <w:t>GB 6566</w:t>
      </w:r>
      <w:r>
        <w:rPr>
          <w:rFonts w:ascii="Times New Roman" w:hAnsi="Times New Roman"/>
          <w:szCs w:val="21"/>
        </w:rPr>
        <w:t xml:space="preserve"> </w:t>
      </w:r>
      <w:r>
        <w:rPr>
          <w:rFonts w:hint="eastAsia" w:ascii="Times New Roman" w:hAnsi="Times New Roman"/>
          <w:szCs w:val="21"/>
        </w:rPr>
        <w:t>建筑材料放射性核素限量</w:t>
      </w:r>
    </w:p>
    <w:p>
      <w:pPr>
        <w:adjustRightInd w:val="0"/>
        <w:snapToGrid w:val="0"/>
        <w:ind w:firstLine="420" w:firstLineChars="200"/>
        <w:rPr>
          <w:rFonts w:ascii="Times New Roman" w:hAnsi="Times New Roman"/>
          <w:szCs w:val="21"/>
        </w:rPr>
      </w:pPr>
      <w:r>
        <w:rPr>
          <w:rFonts w:ascii="Times New Roman" w:hAnsi="Times New Roman"/>
          <w:szCs w:val="21"/>
        </w:rPr>
        <w:t>GB/T 7119 节水型企业评价导则</w:t>
      </w:r>
      <w:bookmarkEnd w:id="23"/>
    </w:p>
    <w:p>
      <w:pPr>
        <w:adjustRightInd w:val="0"/>
        <w:snapToGrid w:val="0"/>
        <w:ind w:firstLine="420" w:firstLineChars="200"/>
        <w:rPr>
          <w:rFonts w:ascii="Times New Roman" w:hAnsi="Times New Roman"/>
          <w:szCs w:val="21"/>
        </w:rPr>
      </w:pPr>
      <w:bookmarkStart w:id="24" w:name="_Hlk52638713"/>
      <w:r>
        <w:rPr>
          <w:rFonts w:ascii="Times New Roman" w:hAnsi="Times New Roman"/>
          <w:szCs w:val="21"/>
        </w:rPr>
        <w:t>GB</w:t>
      </w:r>
      <w:r>
        <w:rPr>
          <w:rFonts w:hint="eastAsia" w:ascii="Times New Roman" w:hAnsi="Times New Roman"/>
          <w:szCs w:val="21"/>
        </w:rPr>
        <w:t xml:space="preserve"> </w:t>
      </w:r>
      <w:r>
        <w:rPr>
          <w:rFonts w:ascii="Times New Roman" w:hAnsi="Times New Roman"/>
          <w:szCs w:val="21"/>
        </w:rPr>
        <w:t>11806 放射性</w:t>
      </w:r>
      <w:r>
        <w:rPr>
          <w:rFonts w:hint="eastAsia" w:ascii="Times New Roman" w:hAnsi="Times New Roman"/>
          <w:szCs w:val="21"/>
        </w:rPr>
        <w:t>物品</w:t>
      </w:r>
      <w:r>
        <w:rPr>
          <w:rFonts w:ascii="Times New Roman" w:hAnsi="Times New Roman"/>
          <w:szCs w:val="21"/>
        </w:rPr>
        <w:t>安全运输规程</w:t>
      </w:r>
    </w:p>
    <w:bookmarkEnd w:id="24"/>
    <w:p>
      <w:pPr>
        <w:adjustRightInd w:val="0"/>
        <w:snapToGrid w:val="0"/>
        <w:ind w:firstLine="420" w:firstLineChars="200"/>
        <w:rPr>
          <w:rFonts w:ascii="Times New Roman" w:hAnsi="Times New Roman"/>
          <w:szCs w:val="21"/>
        </w:rPr>
      </w:pPr>
      <w:r>
        <w:rPr>
          <w:rFonts w:ascii="Times New Roman" w:hAnsi="Times New Roman"/>
          <w:szCs w:val="21"/>
        </w:rPr>
        <w:t>GB 14500 放射性废物管理规定</w:t>
      </w:r>
    </w:p>
    <w:p>
      <w:pPr>
        <w:adjustRightInd w:val="0"/>
        <w:snapToGrid w:val="0"/>
        <w:ind w:firstLine="420" w:firstLineChars="200"/>
        <w:rPr>
          <w:rFonts w:ascii="Times New Roman" w:hAnsi="Times New Roman"/>
          <w:szCs w:val="21"/>
        </w:rPr>
      </w:pPr>
      <w:bookmarkStart w:id="25" w:name="_Hlk52638666"/>
      <w:r>
        <w:rPr>
          <w:rFonts w:ascii="Times New Roman" w:hAnsi="Times New Roman"/>
          <w:szCs w:val="21"/>
        </w:rPr>
        <w:t xml:space="preserve">GB 14585 </w:t>
      </w:r>
      <w:r>
        <w:rPr>
          <w:rFonts w:hint="eastAsia"/>
          <w:szCs w:val="21"/>
        </w:rPr>
        <w:t>铀、钍矿冶放射性废物安全管理技术规定</w:t>
      </w:r>
    </w:p>
    <w:bookmarkEnd w:id="25"/>
    <w:p>
      <w:pPr>
        <w:adjustRightInd w:val="0"/>
        <w:snapToGrid w:val="0"/>
        <w:ind w:firstLine="420" w:firstLineChars="200"/>
        <w:rPr>
          <w:rFonts w:ascii="Times New Roman" w:hAnsi="Times New Roman"/>
          <w:szCs w:val="21"/>
        </w:rPr>
      </w:pPr>
      <w:r>
        <w:rPr>
          <w:rFonts w:ascii="Times New Roman" w:hAnsi="Times New Roman"/>
          <w:szCs w:val="21"/>
        </w:rPr>
        <w:t>GB/T 15587 工业企业能源管理导则</w:t>
      </w:r>
    </w:p>
    <w:p>
      <w:pPr>
        <w:adjustRightInd w:val="0"/>
        <w:snapToGrid w:val="0"/>
        <w:ind w:firstLine="420" w:firstLineChars="200"/>
        <w:rPr>
          <w:rFonts w:ascii="Times New Roman" w:hAnsi="Times New Roman"/>
          <w:szCs w:val="21"/>
        </w:rPr>
      </w:pPr>
      <w:r>
        <w:rPr>
          <w:rFonts w:ascii="Times New Roman" w:hAnsi="Times New Roman"/>
          <w:szCs w:val="21"/>
        </w:rPr>
        <w:t>GB/T 15676 稀土术语</w:t>
      </w:r>
    </w:p>
    <w:p>
      <w:pPr>
        <w:adjustRightInd w:val="0"/>
        <w:snapToGrid w:val="0"/>
        <w:ind w:firstLine="420" w:firstLineChars="200"/>
        <w:rPr>
          <w:rFonts w:ascii="Times New Roman" w:hAnsi="Times New Roman"/>
          <w:szCs w:val="21"/>
        </w:rPr>
      </w:pPr>
      <w:r>
        <w:rPr>
          <w:rFonts w:ascii="Times New Roman" w:hAnsi="Times New Roman"/>
          <w:szCs w:val="21"/>
        </w:rPr>
        <w:t>GB 17167 用能单位能源计量器具配备和管理通则</w:t>
      </w:r>
    </w:p>
    <w:p>
      <w:pPr>
        <w:adjustRightInd w:val="0"/>
        <w:snapToGrid w:val="0"/>
        <w:ind w:firstLine="420" w:firstLineChars="200"/>
        <w:rPr>
          <w:rFonts w:ascii="Times New Roman" w:hAnsi="Times New Roman"/>
          <w:szCs w:val="21"/>
        </w:rPr>
      </w:pPr>
      <w:r>
        <w:rPr>
          <w:rFonts w:hint="eastAsia" w:ascii="Times New Roman" w:hAnsi="Times New Roman"/>
          <w:szCs w:val="21"/>
        </w:rPr>
        <w:t>GB 18580 室内装饰装修材料</w:t>
      </w:r>
      <w:r>
        <w:rPr>
          <w:rFonts w:ascii="Times New Roman" w:hAnsi="Times New Roman"/>
          <w:szCs w:val="21"/>
        </w:rPr>
        <w:t xml:space="preserve"> 人造板及其制品中甲醛释放限量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18581 室内装饰装修材料</w:t>
      </w:r>
      <w:r>
        <w:rPr>
          <w:rFonts w:ascii="Times New Roman" w:hAnsi="Times New Roman"/>
          <w:szCs w:val="21"/>
        </w:rPr>
        <w:t xml:space="preserve"> 溶剂型木器涂料中有害物质限量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18582室内装饰装修材料</w:t>
      </w:r>
      <w:r>
        <w:rPr>
          <w:rFonts w:ascii="Times New Roman" w:hAnsi="Times New Roman"/>
          <w:szCs w:val="21"/>
        </w:rPr>
        <w:t xml:space="preserve"> 内墙涂料有害物质限量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18583 室内装饰装修材料</w:t>
      </w:r>
      <w:r>
        <w:rPr>
          <w:rFonts w:ascii="Times New Roman" w:hAnsi="Times New Roman"/>
          <w:szCs w:val="21"/>
        </w:rPr>
        <w:t xml:space="preserve"> 胶粘剂中有害物质限量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18584 室内装饰装修材料 木家具中有害物质限量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18585 室内装饰装修材料 壁纸中有害物质限量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18586 室内装饰装修材料 聚氯乙烯卷材地板中有害物质限量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18587 室内装饰装修材料 地毯、地毯衬垫及地毯胶粘剂有害物质释放限量</w:t>
      </w:r>
    </w:p>
    <w:p>
      <w:pPr>
        <w:adjustRightInd w:val="0"/>
        <w:snapToGrid w:val="0"/>
        <w:ind w:firstLine="420" w:firstLineChars="200"/>
        <w:rPr>
          <w:rFonts w:ascii="Times New Roman" w:hAnsi="Times New Roman"/>
          <w:szCs w:val="21"/>
        </w:rPr>
      </w:pPr>
      <w:r>
        <w:rPr>
          <w:rFonts w:ascii="Times New Roman" w:hAnsi="Times New Roman"/>
          <w:szCs w:val="21"/>
        </w:rPr>
        <w:t>GB 18597 危险废物贮存污染控制标准</w:t>
      </w:r>
    </w:p>
    <w:p>
      <w:pPr>
        <w:adjustRightInd w:val="0"/>
        <w:snapToGrid w:val="0"/>
        <w:ind w:firstLine="420" w:firstLineChars="200"/>
        <w:rPr>
          <w:rFonts w:ascii="Times New Roman" w:hAnsi="Times New Roman"/>
          <w:szCs w:val="21"/>
        </w:rPr>
      </w:pPr>
      <w:r>
        <w:rPr>
          <w:rFonts w:ascii="Times New Roman" w:hAnsi="Times New Roman"/>
          <w:szCs w:val="21"/>
        </w:rPr>
        <w:t>GB 18599 一般工业固体废弃物贮存、处置场污染控制标准</w:t>
      </w:r>
    </w:p>
    <w:p>
      <w:pPr>
        <w:adjustRightInd w:val="0"/>
        <w:snapToGrid w:val="0"/>
        <w:ind w:firstLine="420" w:firstLineChars="200"/>
        <w:rPr>
          <w:rFonts w:ascii="Times New Roman" w:hAnsi="Times New Roman"/>
          <w:szCs w:val="21"/>
        </w:rPr>
      </w:pPr>
      <w:r>
        <w:rPr>
          <w:rFonts w:ascii="Times New Roman" w:hAnsi="Times New Roman"/>
          <w:szCs w:val="21"/>
        </w:rPr>
        <w:t>GB 18613 中小型三相异步电动机能效限定值及能效等级</w:t>
      </w:r>
    </w:p>
    <w:p>
      <w:pPr>
        <w:adjustRightInd w:val="0"/>
        <w:snapToGrid w:val="0"/>
        <w:ind w:firstLine="420" w:firstLineChars="200"/>
        <w:rPr>
          <w:rFonts w:ascii="Times New Roman" w:hAnsi="Times New Roman"/>
          <w:szCs w:val="21"/>
        </w:rPr>
      </w:pPr>
      <w:r>
        <w:rPr>
          <w:rFonts w:ascii="Times New Roman" w:hAnsi="Times New Roman"/>
          <w:szCs w:val="21"/>
        </w:rPr>
        <w:t>GB/T 18820 工业企业产品取水定额编制通则</w:t>
      </w:r>
    </w:p>
    <w:p>
      <w:pPr>
        <w:adjustRightInd w:val="0"/>
        <w:snapToGrid w:val="0"/>
        <w:ind w:firstLine="420" w:firstLineChars="200"/>
        <w:rPr>
          <w:rFonts w:ascii="Times New Roman" w:hAnsi="Times New Roman"/>
          <w:szCs w:val="21"/>
        </w:rPr>
      </w:pPr>
      <w:r>
        <w:rPr>
          <w:rFonts w:ascii="Times New Roman" w:hAnsi="Times New Roman"/>
          <w:szCs w:val="21"/>
        </w:rPr>
        <w:t>GB</w:t>
      </w:r>
      <w:r>
        <w:rPr>
          <w:rFonts w:hint="eastAsia" w:ascii="Times New Roman" w:hAnsi="Times New Roman"/>
          <w:szCs w:val="21"/>
        </w:rPr>
        <w:t xml:space="preserve"> </w:t>
      </w:r>
      <w:r>
        <w:rPr>
          <w:rFonts w:ascii="Times New Roman" w:hAnsi="Times New Roman"/>
          <w:szCs w:val="21"/>
        </w:rPr>
        <w:t>18871</w:t>
      </w:r>
      <w:r>
        <w:rPr>
          <w:rFonts w:hint="eastAsia" w:ascii="Times New Roman" w:hAnsi="Times New Roman"/>
          <w:szCs w:val="21"/>
        </w:rPr>
        <w:t xml:space="preserve"> 电离辐射防护与辐射源安全基本标准</w:t>
      </w:r>
    </w:p>
    <w:p>
      <w:pPr>
        <w:adjustRightInd w:val="0"/>
        <w:snapToGrid w:val="0"/>
        <w:ind w:firstLine="420" w:firstLineChars="200"/>
        <w:rPr>
          <w:rFonts w:ascii="Times New Roman" w:hAnsi="Times New Roman"/>
          <w:szCs w:val="21"/>
        </w:rPr>
      </w:pPr>
      <w:r>
        <w:rPr>
          <w:rFonts w:ascii="Times New Roman" w:hAnsi="Times New Roman"/>
          <w:szCs w:val="21"/>
        </w:rPr>
        <w:t>GB/T 19001 质量管理体系</w:t>
      </w:r>
      <w:r>
        <w:rPr>
          <w:rFonts w:hint="eastAsia" w:ascii="Times New Roman" w:hAnsi="Times New Roman"/>
          <w:szCs w:val="21"/>
        </w:rPr>
        <w:t xml:space="preserve"> </w:t>
      </w:r>
      <w:r>
        <w:rPr>
          <w:rFonts w:ascii="Times New Roman" w:hAnsi="Times New Roman"/>
          <w:szCs w:val="21"/>
        </w:rPr>
        <w:t>要求</w:t>
      </w:r>
    </w:p>
    <w:p>
      <w:pPr>
        <w:adjustRightInd w:val="0"/>
        <w:snapToGrid w:val="0"/>
        <w:ind w:firstLine="420" w:firstLineChars="200"/>
        <w:rPr>
          <w:rFonts w:ascii="Times New Roman" w:hAnsi="Times New Roman"/>
        </w:rPr>
      </w:pPr>
      <w:r>
        <w:rPr>
          <w:rFonts w:ascii="Times New Roman" w:hAnsi="Times New Roman"/>
        </w:rPr>
        <w:t>GB 19153 容积式空气压缩机能效限定值及能效等级</w:t>
      </w:r>
    </w:p>
    <w:p>
      <w:pPr>
        <w:adjustRightInd w:val="0"/>
        <w:snapToGrid w:val="0"/>
        <w:ind w:firstLine="420" w:firstLineChars="200"/>
        <w:rPr>
          <w:rFonts w:ascii="Times New Roman" w:hAnsi="Times New Roman"/>
        </w:rPr>
      </w:pPr>
      <w:r>
        <w:rPr>
          <w:rFonts w:ascii="Times New Roman" w:hAnsi="Times New Roman"/>
        </w:rPr>
        <w:t>GB 19576 单元式空气调节机能效限定值及</w:t>
      </w:r>
      <w:r>
        <w:rPr>
          <w:rFonts w:hint="eastAsia" w:ascii="Times New Roman" w:hAnsi="Times New Roman"/>
        </w:rPr>
        <w:t>能效</w:t>
      </w:r>
      <w:r>
        <w:rPr>
          <w:rFonts w:ascii="Times New Roman" w:hAnsi="Times New Roman"/>
        </w:rPr>
        <w:t>等级</w:t>
      </w:r>
    </w:p>
    <w:p>
      <w:pPr>
        <w:adjustRightInd w:val="0"/>
        <w:snapToGrid w:val="0"/>
        <w:ind w:firstLine="420" w:firstLineChars="200"/>
        <w:rPr>
          <w:rFonts w:ascii="Times New Roman" w:hAnsi="Times New Roman"/>
        </w:rPr>
      </w:pPr>
      <w:r>
        <w:rPr>
          <w:rFonts w:ascii="Times New Roman" w:hAnsi="Times New Roman"/>
        </w:rPr>
        <w:t>GB 19577 冷水机组能效限定值及能效等级</w:t>
      </w:r>
    </w:p>
    <w:p>
      <w:pPr>
        <w:adjustRightInd w:val="0"/>
        <w:snapToGrid w:val="0"/>
        <w:ind w:firstLine="420" w:firstLineChars="200"/>
        <w:rPr>
          <w:rFonts w:ascii="Times New Roman" w:hAnsi="Times New Roman"/>
        </w:rPr>
      </w:pPr>
      <w:r>
        <w:rPr>
          <w:rFonts w:ascii="Times New Roman" w:hAnsi="Times New Roman"/>
        </w:rPr>
        <w:t>GB 19761 通风机能效限定值及能效等级</w:t>
      </w:r>
    </w:p>
    <w:p>
      <w:pPr>
        <w:adjustRightInd w:val="0"/>
        <w:snapToGrid w:val="0"/>
        <w:ind w:firstLine="420" w:firstLineChars="200"/>
        <w:rPr>
          <w:rFonts w:ascii="Times New Roman" w:hAnsi="Times New Roman"/>
        </w:rPr>
      </w:pPr>
      <w:r>
        <w:rPr>
          <w:rFonts w:ascii="Times New Roman" w:hAnsi="Times New Roman"/>
        </w:rPr>
        <w:t>GB 19762 清水离心泵能效限定值及节能评价值</w:t>
      </w:r>
    </w:p>
    <w:p>
      <w:pPr>
        <w:adjustRightInd w:val="0"/>
        <w:snapToGrid w:val="0"/>
        <w:ind w:firstLine="420" w:firstLineChars="200"/>
        <w:rPr>
          <w:rFonts w:ascii="Times New Roman" w:hAnsi="Times New Roman"/>
          <w:szCs w:val="21"/>
        </w:rPr>
      </w:pPr>
      <w:r>
        <w:rPr>
          <w:rFonts w:ascii="Times New Roman" w:hAnsi="Times New Roman"/>
        </w:rPr>
        <w:t>GB 20052 三相配电变压器能效限定值及能效等级</w:t>
      </w:r>
    </w:p>
    <w:p>
      <w:pPr>
        <w:adjustRightInd w:val="0"/>
        <w:snapToGrid w:val="0"/>
        <w:ind w:firstLine="420" w:firstLineChars="200"/>
        <w:rPr>
          <w:rFonts w:ascii="Times New Roman" w:hAnsi="Times New Roman"/>
        </w:rPr>
      </w:pPr>
      <w:r>
        <w:rPr>
          <w:rFonts w:ascii="Times New Roman" w:hAnsi="Times New Roman"/>
        </w:rPr>
        <w:t>GB/T 20862 产品可回收利用率计算方法导则</w:t>
      </w:r>
    </w:p>
    <w:p>
      <w:pPr>
        <w:adjustRightInd w:val="0"/>
        <w:snapToGrid w:val="0"/>
        <w:ind w:firstLine="420" w:firstLineChars="200"/>
        <w:rPr>
          <w:rFonts w:ascii="Times New Roman" w:hAnsi="Times New Roman"/>
        </w:rPr>
      </w:pPr>
      <w:r>
        <w:rPr>
          <w:rFonts w:ascii="Times New Roman" w:hAnsi="Times New Roman"/>
        </w:rPr>
        <w:t>GB 21454 多联式空调(热泵)机组能效限定值及</w:t>
      </w:r>
      <w:r>
        <w:rPr>
          <w:rFonts w:hint="eastAsia" w:ascii="Times New Roman" w:hAnsi="Times New Roman"/>
        </w:rPr>
        <w:t>能源效率</w:t>
      </w:r>
      <w:r>
        <w:rPr>
          <w:rFonts w:ascii="Times New Roman" w:hAnsi="Times New Roman"/>
        </w:rPr>
        <w:t>等级</w:t>
      </w:r>
    </w:p>
    <w:p>
      <w:pPr>
        <w:adjustRightInd w:val="0"/>
        <w:snapToGrid w:val="0"/>
        <w:ind w:firstLine="420" w:firstLineChars="200"/>
        <w:rPr>
          <w:rFonts w:ascii="Times New Roman" w:hAnsi="Times New Roman"/>
          <w:szCs w:val="21"/>
        </w:rPr>
      </w:pPr>
      <w:r>
        <w:rPr>
          <w:rFonts w:ascii="Times New Roman" w:hAnsi="Times New Roman"/>
          <w:szCs w:val="21"/>
        </w:rPr>
        <w:t>GB/T 23331 能源管理体系</w:t>
      </w:r>
      <w:r>
        <w:rPr>
          <w:rFonts w:hint="eastAsia" w:ascii="Times New Roman" w:hAnsi="Times New Roman"/>
          <w:szCs w:val="21"/>
        </w:rPr>
        <w:t xml:space="preserve"> </w:t>
      </w:r>
      <w:r>
        <w:rPr>
          <w:rFonts w:ascii="Times New Roman" w:hAnsi="Times New Roman"/>
          <w:szCs w:val="21"/>
        </w:rPr>
        <w:t>要求</w:t>
      </w:r>
    </w:p>
    <w:p>
      <w:pPr>
        <w:adjustRightInd w:val="0"/>
        <w:snapToGrid w:val="0"/>
        <w:ind w:firstLine="420" w:firstLineChars="200"/>
        <w:rPr>
          <w:rFonts w:ascii="Times New Roman" w:hAnsi="Times New Roman"/>
          <w:szCs w:val="21"/>
        </w:rPr>
      </w:pPr>
      <w:r>
        <w:rPr>
          <w:rFonts w:ascii="Times New Roman" w:hAnsi="Times New Roman"/>
          <w:szCs w:val="21"/>
        </w:rPr>
        <w:t>GB/T 24001 环境管理体系</w:t>
      </w:r>
      <w:r>
        <w:rPr>
          <w:rFonts w:hint="eastAsia" w:ascii="Times New Roman" w:hAnsi="Times New Roman"/>
          <w:szCs w:val="21"/>
        </w:rPr>
        <w:t xml:space="preserve"> </w:t>
      </w:r>
      <w:r>
        <w:rPr>
          <w:rFonts w:ascii="Times New Roman" w:hAnsi="Times New Roman"/>
          <w:szCs w:val="21"/>
        </w:rPr>
        <w:t>要求及使用指南</w:t>
      </w:r>
    </w:p>
    <w:p>
      <w:pPr>
        <w:adjustRightInd w:val="0"/>
        <w:snapToGrid w:val="0"/>
        <w:ind w:firstLine="420" w:firstLineChars="200"/>
        <w:rPr>
          <w:rFonts w:ascii="Times New Roman" w:hAnsi="Times New Roman"/>
          <w:szCs w:val="21"/>
        </w:rPr>
      </w:pPr>
      <w:r>
        <w:rPr>
          <w:rFonts w:ascii="Times New Roman" w:hAnsi="Times New Roman"/>
          <w:szCs w:val="21"/>
        </w:rPr>
        <w:t>GB/T 24256 产品生态设计通则</w:t>
      </w:r>
    </w:p>
    <w:p>
      <w:pPr>
        <w:adjustRightInd w:val="0"/>
        <w:snapToGrid w:val="0"/>
        <w:ind w:firstLine="420" w:firstLineChars="200"/>
        <w:rPr>
          <w:rFonts w:ascii="Times New Roman" w:hAnsi="Times New Roman"/>
          <w:szCs w:val="21"/>
        </w:rPr>
      </w:pPr>
      <w:r>
        <w:rPr>
          <w:rFonts w:hint="eastAsia" w:ascii="Times New Roman" w:hAnsi="Times New Roman"/>
          <w:szCs w:val="21"/>
        </w:rPr>
        <w:t>GB</w:t>
      </w:r>
      <w:r>
        <w:rPr>
          <w:rFonts w:ascii="Times New Roman" w:hAnsi="Times New Roman"/>
          <w:szCs w:val="21"/>
        </w:rPr>
        <w:t>30981-2020 工业防护涂料</w:t>
      </w:r>
    </w:p>
    <w:p>
      <w:pPr>
        <w:adjustRightInd w:val="0"/>
        <w:snapToGrid w:val="0"/>
        <w:ind w:firstLine="420" w:firstLineChars="200"/>
        <w:rPr>
          <w:rFonts w:ascii="Times New Roman" w:hAnsi="Times New Roman"/>
          <w:szCs w:val="21"/>
        </w:rPr>
      </w:pPr>
      <w:r>
        <w:rPr>
          <w:rFonts w:ascii="Times New Roman" w:hAnsi="Times New Roman"/>
        </w:rPr>
        <w:t>GB 24500 工业锅炉能效限定值及能效等级</w:t>
      </w:r>
    </w:p>
    <w:p>
      <w:pPr>
        <w:adjustRightInd w:val="0"/>
        <w:snapToGrid w:val="0"/>
        <w:ind w:firstLine="420" w:firstLineChars="200"/>
        <w:rPr>
          <w:rFonts w:ascii="Times New Roman" w:hAnsi="Times New Roman"/>
          <w:szCs w:val="21"/>
        </w:rPr>
      </w:pPr>
      <w:r>
        <w:rPr>
          <w:rFonts w:ascii="Times New Roman" w:hAnsi="Times New Roman"/>
          <w:szCs w:val="21"/>
        </w:rPr>
        <w:t>GB 24789 用水单位水</w:t>
      </w:r>
      <w:r>
        <w:rPr>
          <w:rFonts w:hint="eastAsia" w:ascii="Times New Roman" w:hAnsi="Times New Roman"/>
          <w:szCs w:val="21"/>
        </w:rPr>
        <w:t>计</w:t>
      </w:r>
      <w:r>
        <w:rPr>
          <w:rFonts w:ascii="Times New Roman" w:hAnsi="Times New Roman"/>
          <w:szCs w:val="21"/>
        </w:rPr>
        <w:t>量器具配备和管理通则</w:t>
      </w:r>
    </w:p>
    <w:p>
      <w:pPr>
        <w:adjustRightInd w:val="0"/>
        <w:snapToGrid w:val="0"/>
        <w:ind w:firstLine="420" w:firstLineChars="200"/>
        <w:rPr>
          <w:rFonts w:ascii="Times New Roman" w:hAnsi="Times New Roman"/>
          <w:szCs w:val="21"/>
        </w:rPr>
      </w:pPr>
      <w:r>
        <w:rPr>
          <w:rFonts w:ascii="Times New Roman" w:hAnsi="Times New Roman"/>
          <w:szCs w:val="21"/>
        </w:rPr>
        <w:t>GB 26451 稀土工业污染物排放标准</w:t>
      </w:r>
    </w:p>
    <w:p>
      <w:pPr>
        <w:adjustRightInd w:val="0"/>
        <w:snapToGrid w:val="0"/>
        <w:ind w:firstLine="420" w:firstLineChars="200"/>
        <w:rPr>
          <w:rFonts w:ascii="Times New Roman" w:hAnsi="Times New Roman"/>
          <w:szCs w:val="21"/>
        </w:rPr>
      </w:pPr>
      <w:r>
        <w:rPr>
          <w:rFonts w:ascii="Times New Roman" w:hAnsi="Times New Roman"/>
        </w:rPr>
        <w:t>GB 24790 电力变压器能效限定值及能效等级</w:t>
      </w:r>
    </w:p>
    <w:p>
      <w:pPr>
        <w:adjustRightInd w:val="0"/>
        <w:snapToGrid w:val="0"/>
        <w:ind w:firstLine="420" w:firstLineChars="200"/>
        <w:rPr>
          <w:rFonts w:ascii="Times New Roman" w:hAnsi="Times New Roman"/>
          <w:szCs w:val="21"/>
        </w:rPr>
      </w:pPr>
      <w:r>
        <w:rPr>
          <w:rFonts w:ascii="Times New Roman" w:hAnsi="Times New Roman"/>
          <w:szCs w:val="21"/>
        </w:rPr>
        <w:t>GB/T 29115 工业企业节约原材料评价导则</w:t>
      </w:r>
    </w:p>
    <w:p>
      <w:pPr>
        <w:adjustRightInd w:val="0"/>
        <w:snapToGrid w:val="0"/>
        <w:ind w:firstLine="420" w:firstLineChars="200"/>
        <w:rPr>
          <w:rFonts w:ascii="Times New Roman" w:hAnsi="Times New Roman"/>
        </w:rPr>
      </w:pPr>
      <w:r>
        <w:rPr>
          <w:rFonts w:ascii="Times New Roman" w:hAnsi="Times New Roman"/>
        </w:rPr>
        <w:t>GB</w:t>
      </w:r>
      <w:r>
        <w:rPr>
          <w:rFonts w:hint="eastAsia" w:ascii="Times New Roman" w:hAnsi="Times New Roman"/>
        </w:rPr>
        <w:t>/T</w:t>
      </w:r>
      <w:r>
        <w:rPr>
          <w:rFonts w:ascii="Times New Roman" w:hAnsi="Times New Roman"/>
        </w:rPr>
        <w:t xml:space="preserve"> 32150 工业企业温室气体排放核算和报告通则</w:t>
      </w:r>
    </w:p>
    <w:p>
      <w:pPr>
        <w:adjustRightInd w:val="0"/>
        <w:snapToGrid w:val="0"/>
        <w:ind w:firstLine="420" w:firstLineChars="200"/>
        <w:rPr>
          <w:rFonts w:ascii="Times New Roman" w:hAnsi="Times New Roman"/>
        </w:rPr>
      </w:pPr>
      <w:r>
        <w:rPr>
          <w:rFonts w:ascii="Times New Roman" w:hAnsi="Times New Roman"/>
        </w:rPr>
        <w:t>GB/T 32161 生态设计产品评价通则</w:t>
      </w:r>
    </w:p>
    <w:p>
      <w:pPr>
        <w:adjustRightInd w:val="0"/>
        <w:snapToGrid w:val="0"/>
        <w:ind w:firstLine="420" w:firstLineChars="200"/>
        <w:rPr>
          <w:rFonts w:ascii="Times New Roman" w:hAnsi="Times New Roman"/>
        </w:rPr>
      </w:pPr>
      <w:r>
        <w:rPr>
          <w:rFonts w:ascii="Times New Roman" w:hAnsi="Times New Roman"/>
        </w:rPr>
        <w:t>GB/T 32326 工业固体废物综合利用技术评价导则</w:t>
      </w:r>
    </w:p>
    <w:p>
      <w:pPr>
        <w:adjustRightInd w:val="0"/>
        <w:snapToGrid w:val="0"/>
        <w:ind w:firstLine="420" w:firstLineChars="200"/>
        <w:rPr>
          <w:rFonts w:ascii="Times New Roman" w:hAnsi="Times New Roman"/>
        </w:rPr>
      </w:pPr>
      <w:r>
        <w:rPr>
          <w:rFonts w:ascii="Times New Roman" w:hAnsi="Times New Roman"/>
        </w:rPr>
        <w:t>GB/T 32327 工业废水处理与回用技术评价导则</w:t>
      </w:r>
    </w:p>
    <w:p>
      <w:pPr>
        <w:adjustRightInd w:val="0"/>
        <w:snapToGrid w:val="0"/>
        <w:ind w:firstLine="420" w:firstLineChars="200"/>
        <w:rPr>
          <w:rFonts w:ascii="Times New Roman" w:hAnsi="Times New Roman"/>
        </w:rPr>
      </w:pPr>
      <w:r>
        <w:rPr>
          <w:rFonts w:ascii="Times New Roman" w:hAnsi="Times New Roman"/>
        </w:rPr>
        <w:t xml:space="preserve">GB/T 33000 </w:t>
      </w:r>
      <w:bookmarkStart w:id="26" w:name="_Hlk52638561"/>
      <w:r>
        <w:rPr>
          <w:rFonts w:ascii="Times New Roman" w:hAnsi="Times New Roman"/>
        </w:rPr>
        <w:t>企业安全生产标准化基本规范</w:t>
      </w:r>
      <w:bookmarkEnd w:id="26"/>
    </w:p>
    <w:p>
      <w:pPr>
        <w:adjustRightInd w:val="0"/>
        <w:snapToGrid w:val="0"/>
        <w:ind w:firstLine="420" w:firstLineChars="200"/>
        <w:rPr>
          <w:rFonts w:ascii="Times New Roman" w:hAnsi="Times New Roman"/>
          <w:szCs w:val="21"/>
        </w:rPr>
      </w:pPr>
      <w:r>
        <w:rPr>
          <w:rFonts w:ascii="Times New Roman" w:hAnsi="Times New Roman"/>
          <w:szCs w:val="21"/>
        </w:rPr>
        <w:t>GB/T 36000 社会责任指南</w:t>
      </w:r>
    </w:p>
    <w:p>
      <w:pPr>
        <w:adjustRightInd w:val="0"/>
        <w:snapToGrid w:val="0"/>
        <w:ind w:firstLine="420" w:firstLineChars="200"/>
        <w:rPr>
          <w:rFonts w:ascii="Times New Roman" w:hAnsi="Times New Roman"/>
          <w:szCs w:val="21"/>
        </w:rPr>
      </w:pPr>
      <w:r>
        <w:rPr>
          <w:rFonts w:ascii="Times New Roman" w:hAnsi="Times New Roman"/>
          <w:szCs w:val="21"/>
        </w:rPr>
        <w:t xml:space="preserve">GB/T 36132 </w:t>
      </w:r>
      <w:r>
        <w:rPr>
          <w:rFonts w:hint="eastAsia" w:ascii="Times New Roman" w:hAnsi="Times New Roman"/>
          <w:szCs w:val="21"/>
        </w:rPr>
        <w:t>绿色工厂评价通则</w:t>
      </w:r>
    </w:p>
    <w:p>
      <w:pPr>
        <w:adjustRightInd w:val="0"/>
        <w:snapToGrid w:val="0"/>
        <w:ind w:firstLine="420" w:firstLineChars="200"/>
        <w:rPr>
          <w:rFonts w:ascii="Times New Roman" w:hAnsi="Times New Roman"/>
          <w:szCs w:val="21"/>
        </w:rPr>
      </w:pPr>
      <w:r>
        <w:rPr>
          <w:rFonts w:hint="eastAsia" w:ascii="Times New Roman" w:hAnsi="Times New Roman"/>
          <w:szCs w:val="21"/>
        </w:rPr>
        <w:t>GB/T 45001职业健康安全管理体系</w:t>
      </w:r>
      <w:r>
        <w:rPr>
          <w:rFonts w:ascii="Times New Roman" w:hAnsi="Times New Roman"/>
          <w:szCs w:val="21"/>
        </w:rPr>
        <w:t xml:space="preserve"> 要求及使用指南</w:t>
      </w:r>
    </w:p>
    <w:p>
      <w:pPr>
        <w:adjustRightInd w:val="0"/>
        <w:snapToGrid w:val="0"/>
        <w:ind w:firstLine="420" w:firstLineChars="200"/>
        <w:rPr>
          <w:rFonts w:ascii="Times New Roman" w:hAnsi="Times New Roman"/>
          <w:szCs w:val="21"/>
        </w:rPr>
      </w:pPr>
      <w:r>
        <w:rPr>
          <w:rFonts w:ascii="Times New Roman" w:hAnsi="Times New Roman"/>
          <w:szCs w:val="21"/>
        </w:rPr>
        <w:t>GB 50034 建筑照明设计标准</w:t>
      </w:r>
    </w:p>
    <w:p>
      <w:pPr>
        <w:adjustRightInd w:val="0"/>
        <w:snapToGrid w:val="0"/>
        <w:ind w:firstLine="420" w:firstLineChars="200"/>
        <w:rPr>
          <w:rFonts w:ascii="Times New Roman" w:hAnsi="Times New Roman"/>
          <w:szCs w:val="21"/>
        </w:rPr>
      </w:pPr>
      <w:r>
        <w:rPr>
          <w:rFonts w:ascii="Times New Roman" w:hAnsi="Times New Roman"/>
          <w:szCs w:val="21"/>
        </w:rPr>
        <w:t>GBZ 139-2019 稀土生产场所放射防护要求</w:t>
      </w:r>
    </w:p>
    <w:p>
      <w:pPr>
        <w:adjustRightInd w:val="0"/>
        <w:snapToGrid w:val="0"/>
        <w:ind w:firstLine="420" w:firstLineChars="200"/>
        <w:rPr>
          <w:rFonts w:ascii="Times New Roman" w:hAnsi="Times New Roman"/>
          <w:szCs w:val="21"/>
        </w:rPr>
      </w:pPr>
      <w:bookmarkStart w:id="27" w:name="_Hlk52635982"/>
      <w:r>
        <w:rPr>
          <w:rFonts w:ascii="Times New Roman" w:hAnsi="Times New Roman"/>
          <w:szCs w:val="21"/>
        </w:rPr>
        <w:t xml:space="preserve">GB/T 31962  </w:t>
      </w:r>
      <w:r>
        <w:rPr>
          <w:rFonts w:hint="eastAsia" w:ascii="Times New Roman" w:hAnsi="Times New Roman"/>
          <w:szCs w:val="21"/>
        </w:rPr>
        <w:t>污水排入城镇下水道水质标准</w:t>
      </w:r>
    </w:p>
    <w:p>
      <w:pPr>
        <w:adjustRightInd w:val="0"/>
        <w:snapToGrid w:val="0"/>
        <w:ind w:firstLine="420" w:firstLineChars="200"/>
        <w:rPr>
          <w:rFonts w:ascii="Times New Roman" w:hAnsi="Times New Roman"/>
          <w:szCs w:val="21"/>
        </w:rPr>
      </w:pPr>
      <w:r>
        <w:rPr>
          <w:rFonts w:ascii="Times New Roman" w:hAnsi="Times New Roman"/>
          <w:szCs w:val="21"/>
        </w:rPr>
        <w:t>GB</w:t>
      </w:r>
      <w:r>
        <w:rPr>
          <w:rFonts w:hint="eastAsia" w:ascii="Times New Roman" w:hAnsi="Times New Roman"/>
          <w:szCs w:val="21"/>
        </w:rPr>
        <w:t xml:space="preserve"> </w:t>
      </w:r>
      <w:r>
        <w:rPr>
          <w:rFonts w:ascii="Times New Roman" w:hAnsi="Times New Roman"/>
          <w:szCs w:val="21"/>
        </w:rPr>
        <w:t>12348</w:t>
      </w:r>
      <w:r>
        <w:rPr>
          <w:rFonts w:hint="eastAsia" w:ascii="Times New Roman" w:hAnsi="Times New Roman"/>
          <w:szCs w:val="21"/>
        </w:rPr>
        <w:t xml:space="preserve"> </w:t>
      </w:r>
      <w:r>
        <w:rPr>
          <w:rFonts w:ascii="Times New Roman" w:hAnsi="Times New Roman"/>
          <w:szCs w:val="21"/>
        </w:rPr>
        <w:t> </w:t>
      </w:r>
      <w:r>
        <w:rPr>
          <w:rFonts w:hint="eastAsia" w:ascii="Times New Roman" w:hAnsi="Times New Roman"/>
          <w:szCs w:val="21"/>
        </w:rPr>
        <w:t>工业企业厂界环境噪声排放标准</w:t>
      </w:r>
    </w:p>
    <w:p>
      <w:pPr>
        <w:adjustRightInd w:val="0"/>
        <w:snapToGrid w:val="0"/>
        <w:ind w:firstLine="420" w:firstLineChars="200"/>
        <w:rPr>
          <w:rFonts w:ascii="Times New Roman" w:hAnsi="Times New Roman"/>
          <w:szCs w:val="21"/>
        </w:rPr>
      </w:pPr>
      <w:r>
        <w:rPr>
          <w:rFonts w:hint="eastAsia" w:ascii="Times New Roman" w:hAnsi="Times New Roman"/>
          <w:szCs w:val="21"/>
        </w:rPr>
        <w:t>GB 16297 大气污染物综合排放标准</w:t>
      </w:r>
    </w:p>
    <w:p>
      <w:pPr>
        <w:adjustRightInd w:val="0"/>
        <w:snapToGrid w:val="0"/>
        <w:ind w:firstLine="420" w:firstLineChars="200"/>
        <w:rPr>
          <w:rFonts w:ascii="Times New Roman" w:hAnsi="Times New Roman"/>
          <w:szCs w:val="21"/>
        </w:rPr>
      </w:pPr>
      <w:r>
        <w:rPr>
          <w:rFonts w:hint="eastAsia" w:ascii="Times New Roman" w:hAnsi="Times New Roman"/>
          <w:szCs w:val="21"/>
        </w:rPr>
        <w:t>GB/T 4754 国民经济行业分类</w:t>
      </w:r>
    </w:p>
    <w:p>
      <w:pPr>
        <w:adjustRightInd w:val="0"/>
        <w:snapToGrid w:val="0"/>
        <w:ind w:firstLine="420" w:firstLineChars="200"/>
        <w:rPr>
          <w:rFonts w:ascii="Times New Roman" w:hAnsi="Times New Roman"/>
          <w:szCs w:val="21"/>
        </w:rPr>
      </w:pPr>
      <w:r>
        <w:rPr>
          <w:rFonts w:ascii="Times New Roman" w:hAnsi="Times New Roman"/>
          <w:szCs w:val="21"/>
        </w:rPr>
        <w:t>HJ1</w:t>
      </w:r>
      <w:r>
        <w:rPr>
          <w:rFonts w:hint="eastAsia" w:ascii="Times New Roman" w:hAnsi="Times New Roman"/>
          <w:szCs w:val="21"/>
        </w:rPr>
        <w:t>031</w:t>
      </w:r>
      <w:r>
        <w:rPr>
          <w:rFonts w:ascii="Times New Roman" w:hAnsi="Times New Roman"/>
          <w:szCs w:val="21"/>
        </w:rPr>
        <w:t>-20</w:t>
      </w:r>
      <w:r>
        <w:rPr>
          <w:rFonts w:hint="eastAsia" w:ascii="Times New Roman" w:hAnsi="Times New Roman"/>
          <w:szCs w:val="21"/>
        </w:rPr>
        <w:t>19 排污许可证申请与核发技术规范 电子工业</w:t>
      </w:r>
    </w:p>
    <w:p>
      <w:pPr>
        <w:adjustRightInd w:val="0"/>
        <w:snapToGrid w:val="0"/>
        <w:ind w:firstLine="420" w:firstLineChars="200"/>
        <w:rPr>
          <w:rFonts w:ascii="Times New Roman" w:hAnsi="Times New Roman"/>
          <w:szCs w:val="21"/>
        </w:rPr>
      </w:pPr>
      <w:r>
        <w:rPr>
          <w:rFonts w:hint="eastAsia" w:ascii="Times New Roman" w:hAnsi="Times New Roman"/>
          <w:szCs w:val="21"/>
        </w:rPr>
        <w:t xml:space="preserve">中华人民共和国生态环境部令第11号 </w:t>
      </w:r>
      <w:r>
        <w:fldChar w:fldCharType="begin"/>
      </w:r>
      <w:r>
        <w:instrText xml:space="preserve"> HYPERLINK "http://www.mee.gov.cn/xxgk2018/xxgk/xxgk02/202001/W020200220415709177749.pdf" </w:instrText>
      </w:r>
      <w:r>
        <w:fldChar w:fldCharType="separate"/>
      </w:r>
      <w:r>
        <w:rPr>
          <w:rFonts w:hint="eastAsia" w:ascii="Times New Roman" w:hAnsi="Times New Roman"/>
          <w:szCs w:val="21"/>
        </w:rPr>
        <w:t>固定污染源排污许可分类管理名录</w:t>
      </w:r>
      <w:r>
        <w:rPr>
          <w:rFonts w:hint="eastAsia" w:ascii="Times New Roman" w:hAnsi="Times New Roman"/>
          <w:szCs w:val="21"/>
        </w:rPr>
        <w:fldChar w:fldCharType="end"/>
      </w:r>
    </w:p>
    <w:bookmarkEnd w:id="27"/>
    <w:p>
      <w:pPr>
        <w:pStyle w:val="2"/>
        <w:adjustRightInd w:val="0"/>
        <w:snapToGrid w:val="0"/>
        <w:spacing w:before="317" w:beforeLines="100" w:after="317" w:afterLines="100"/>
        <w:rPr>
          <w:rFonts w:ascii="黑体" w:hAnsi="黑体" w:cs="黑体"/>
        </w:rPr>
      </w:pPr>
      <w:bookmarkStart w:id="28" w:name="_Toc40971601"/>
      <w:bookmarkStart w:id="29" w:name="_Toc21777"/>
      <w:bookmarkStart w:id="30" w:name="_Toc23079_WPSOffice_Level1"/>
      <w:bookmarkStart w:id="31" w:name="_Toc29644_WPSOffice_Level1"/>
      <w:bookmarkStart w:id="32" w:name="_Toc1817"/>
      <w:bookmarkStart w:id="33" w:name="_Toc24038"/>
      <w:bookmarkStart w:id="34" w:name="_Toc531265189"/>
      <w:r>
        <w:rPr>
          <w:rFonts w:hint="eastAsia" w:ascii="黑体" w:hAnsi="黑体" w:cs="黑体"/>
        </w:rPr>
        <w:t>3 术语和定义</w:t>
      </w:r>
      <w:bookmarkEnd w:id="28"/>
      <w:bookmarkEnd w:id="29"/>
      <w:bookmarkEnd w:id="30"/>
      <w:bookmarkEnd w:id="31"/>
      <w:bookmarkEnd w:id="32"/>
      <w:bookmarkEnd w:id="33"/>
      <w:bookmarkEnd w:id="34"/>
    </w:p>
    <w:p>
      <w:pPr>
        <w:adjustRightInd w:val="0"/>
        <w:snapToGrid w:val="0"/>
        <w:spacing w:before="158" w:beforeLines="50" w:after="158" w:afterLines="50" w:line="240" w:lineRule="auto"/>
        <w:ind w:firstLine="420" w:firstLineChars="200"/>
        <w:rPr>
          <w:rFonts w:ascii="黑体" w:hAnsi="黑体" w:eastAsia="黑体" w:cs="黑体"/>
        </w:rPr>
      </w:pPr>
      <w:r>
        <w:rPr>
          <w:rFonts w:ascii="黑体" w:hAnsi="黑体" w:eastAsia="黑体" w:cs="黑体"/>
        </w:rPr>
        <w:t>GB/T 15676</w:t>
      </w:r>
      <w:r>
        <w:rPr>
          <w:rFonts w:hint="eastAsia" w:ascii="黑体" w:hAnsi="黑体" w:eastAsia="黑体" w:cs="黑体"/>
        </w:rPr>
        <w:t>和</w:t>
      </w:r>
      <w:r>
        <w:rPr>
          <w:rFonts w:ascii="黑体" w:hAnsi="黑体" w:eastAsia="黑体" w:cs="黑体"/>
        </w:rPr>
        <w:t>GB/T 36132所界定的及下列术语和定义适用于本文件</w:t>
      </w:r>
      <w:r>
        <w:rPr>
          <w:rFonts w:hint="eastAsia" w:ascii="黑体" w:hAnsi="黑体" w:eastAsia="黑体" w:cs="黑体"/>
        </w:rPr>
        <w:t>。</w:t>
      </w:r>
    </w:p>
    <w:p>
      <w:pPr>
        <w:adjustRightInd w:val="0"/>
        <w:snapToGrid w:val="0"/>
        <w:spacing w:before="158" w:beforeLines="50" w:after="158" w:afterLines="50" w:line="240" w:lineRule="auto"/>
        <w:rPr>
          <w:rFonts w:ascii="黑体" w:hAnsi="黑体" w:eastAsia="黑体" w:cs="黑体"/>
        </w:rPr>
      </w:pPr>
      <w:r>
        <w:rPr>
          <w:rFonts w:hint="eastAsia" w:ascii="黑体" w:hAnsi="黑体" w:eastAsia="黑体" w:cs="黑体"/>
        </w:rPr>
        <w:t>3.1</w:t>
      </w:r>
    </w:p>
    <w:p>
      <w:pPr>
        <w:adjustRightInd w:val="0"/>
        <w:snapToGrid w:val="0"/>
        <w:spacing w:before="158" w:beforeLines="50" w:after="158" w:afterLines="50" w:line="240" w:lineRule="auto"/>
        <w:ind w:firstLine="420" w:firstLineChars="200"/>
        <w:rPr>
          <w:rFonts w:ascii="黑体" w:hAnsi="黑体" w:eastAsia="黑体" w:cs="黑体"/>
        </w:rPr>
      </w:pPr>
      <w:r>
        <w:rPr>
          <w:rFonts w:hint="eastAsia" w:ascii="黑体" w:hAnsi="黑体" w:eastAsia="黑体" w:cs="黑体"/>
        </w:rPr>
        <w:t>绿色工厂 green factory</w:t>
      </w:r>
    </w:p>
    <w:p>
      <w:pPr>
        <w:adjustRightInd w:val="0"/>
        <w:snapToGrid w:val="0"/>
        <w:ind w:firstLine="420" w:firstLineChars="200"/>
        <w:rPr>
          <w:rFonts w:ascii="Times New Roman" w:hAnsi="Times New Roman"/>
        </w:rPr>
      </w:pPr>
      <w:r>
        <w:rPr>
          <w:rFonts w:hint="eastAsia"/>
        </w:rPr>
        <w:t>实</w:t>
      </w:r>
      <w:r>
        <w:rPr>
          <w:rFonts w:ascii="Times New Roman" w:hAnsi="Times New Roman"/>
        </w:rPr>
        <w:t>现了用地集约化、原料无害化、生产洁净化、废物资源化、能源低碳化的工厂。</w:t>
      </w:r>
    </w:p>
    <w:p>
      <w:pPr>
        <w:adjustRightInd w:val="0"/>
        <w:snapToGrid w:val="0"/>
        <w:ind w:firstLine="420" w:firstLineChars="200"/>
        <w:rPr>
          <w:rFonts w:ascii="Times New Roman" w:hAnsi="Times New Roman"/>
        </w:rPr>
      </w:pPr>
      <w:r>
        <w:rPr>
          <w:rFonts w:ascii="Times New Roman" w:hAnsi="Times New Roman"/>
        </w:rPr>
        <w:t>[GB/T 36132-2018，定义3.1]</w:t>
      </w:r>
    </w:p>
    <w:p>
      <w:pPr>
        <w:adjustRightInd w:val="0"/>
        <w:snapToGrid w:val="0"/>
        <w:spacing w:before="158" w:beforeLines="50" w:after="158" w:afterLines="50" w:line="240" w:lineRule="auto"/>
        <w:rPr>
          <w:rFonts w:ascii="黑体" w:hAnsi="黑体" w:eastAsia="黑体" w:cs="黑体"/>
        </w:rPr>
      </w:pPr>
      <w:r>
        <w:rPr>
          <w:rFonts w:hint="eastAsia" w:ascii="黑体" w:hAnsi="黑体" w:eastAsia="黑体" w:cs="黑体"/>
        </w:rPr>
        <w:t>3.2</w:t>
      </w:r>
    </w:p>
    <w:p>
      <w:pPr>
        <w:adjustRightInd w:val="0"/>
        <w:snapToGrid w:val="0"/>
        <w:spacing w:before="158" w:beforeLines="50" w:after="158" w:afterLines="50" w:line="240" w:lineRule="auto"/>
        <w:ind w:firstLine="420" w:firstLineChars="200"/>
        <w:rPr>
          <w:rFonts w:ascii="黑体" w:hAnsi="黑体" w:eastAsia="黑体" w:cs="黑体"/>
        </w:rPr>
      </w:pPr>
      <w:r>
        <w:rPr>
          <w:rFonts w:hint="eastAsia" w:ascii="黑体" w:hAnsi="黑体" w:eastAsia="黑体" w:cs="黑体"/>
        </w:rPr>
        <w:t>相关方 interested party; stakeholder</w:t>
      </w:r>
    </w:p>
    <w:p>
      <w:pPr>
        <w:adjustRightInd w:val="0"/>
        <w:snapToGrid w:val="0"/>
        <w:ind w:firstLine="420" w:firstLineChars="200"/>
        <w:rPr>
          <w:rFonts w:ascii="Times New Roman" w:hAnsi="Times New Roman"/>
        </w:rPr>
      </w:pPr>
      <w:r>
        <w:rPr>
          <w:rFonts w:ascii="Times New Roman" w:hAnsi="Times New Roman"/>
        </w:rPr>
        <w:t>可影响绿色工厂创建的决策或活动、受绿色工厂创建的决策或活动所影响、或自认为受绿色工厂创建的决策或活动影响的个人或组织。</w:t>
      </w:r>
    </w:p>
    <w:p>
      <w:pPr>
        <w:adjustRightInd w:val="0"/>
        <w:snapToGrid w:val="0"/>
        <w:ind w:firstLine="420" w:firstLineChars="200"/>
        <w:rPr>
          <w:rFonts w:ascii="Times New Roman" w:hAnsi="Times New Roman"/>
        </w:rPr>
      </w:pPr>
      <w:r>
        <w:rPr>
          <w:rFonts w:ascii="Times New Roman" w:hAnsi="Times New Roman"/>
        </w:rPr>
        <w:t>[GB/T36132-2018，定义3.3]</w:t>
      </w:r>
    </w:p>
    <w:p>
      <w:pPr>
        <w:adjustRightInd w:val="0"/>
        <w:snapToGrid w:val="0"/>
        <w:spacing w:before="158" w:beforeLines="50" w:after="158" w:afterLines="50" w:line="240" w:lineRule="auto"/>
        <w:rPr>
          <w:rFonts w:ascii="黑体" w:hAnsi="黑体" w:eastAsia="黑体" w:cs="黑体"/>
        </w:rPr>
      </w:pPr>
      <w:r>
        <w:rPr>
          <w:rFonts w:hint="eastAsia" w:ascii="黑体" w:hAnsi="黑体" w:eastAsia="黑体" w:cs="黑体"/>
        </w:rPr>
        <w:t>3.</w:t>
      </w:r>
      <w:r>
        <w:rPr>
          <w:rFonts w:ascii="黑体" w:hAnsi="黑体" w:eastAsia="黑体" w:cs="黑体"/>
        </w:rPr>
        <w:t>3</w:t>
      </w:r>
    </w:p>
    <w:p>
      <w:pPr>
        <w:adjustRightInd w:val="0"/>
        <w:snapToGrid w:val="0"/>
        <w:spacing w:before="158" w:beforeLines="50" w:after="158" w:afterLines="50" w:line="240" w:lineRule="auto"/>
        <w:ind w:firstLine="420" w:firstLineChars="200"/>
        <w:rPr>
          <w:rFonts w:ascii="黑体" w:hAnsi="黑体" w:eastAsia="黑体" w:cs="黑体"/>
        </w:rPr>
      </w:pPr>
      <w:r>
        <w:rPr>
          <w:rFonts w:hint="eastAsia" w:ascii="黑体" w:hAnsi="黑体" w:eastAsia="黑体" w:cs="黑体"/>
        </w:rPr>
        <w:t>粘结钕铁硼永磁体 bonded Nd-Fe-B permanent magnets</w:t>
      </w:r>
    </w:p>
    <w:p>
      <w:pPr>
        <w:adjustRightInd w:val="0"/>
        <w:snapToGrid w:val="0"/>
        <w:ind w:firstLine="420" w:firstLineChars="200"/>
      </w:pPr>
      <w:r>
        <w:rPr>
          <w:rFonts w:hint="eastAsia"/>
        </w:rPr>
        <w:t>以钕铁硼磁性粉末与粘结剂混合成型的钕铁硼（Nd-Fe-B）粘结永磁体。</w:t>
      </w:r>
    </w:p>
    <w:p>
      <w:pPr>
        <w:adjustRightInd w:val="0"/>
        <w:snapToGrid w:val="0"/>
        <w:ind w:firstLine="420" w:firstLineChars="200"/>
        <w:rPr>
          <w:rFonts w:hint="eastAsia"/>
        </w:rPr>
      </w:pPr>
      <w:r>
        <w:rPr>
          <w:rFonts w:hint="eastAsia"/>
        </w:rPr>
        <w:t xml:space="preserve"> [GB/T 15676-2015，定义</w:t>
      </w:r>
      <w:r>
        <w:t>6.1.10</w:t>
      </w:r>
      <w:r>
        <w:rPr>
          <w:rFonts w:hint="eastAsia"/>
        </w:rPr>
        <w:t>]</w:t>
      </w:r>
    </w:p>
    <w:p>
      <w:pPr>
        <w:pStyle w:val="2"/>
        <w:adjustRightInd w:val="0"/>
        <w:snapToGrid w:val="0"/>
        <w:spacing w:before="317" w:beforeLines="100" w:after="317" w:afterLines="100"/>
        <w:rPr>
          <w:rFonts w:ascii="黑体" w:hAnsi="黑体" w:cs="黑体"/>
        </w:rPr>
      </w:pPr>
      <w:bookmarkStart w:id="35" w:name="_Toc531265190"/>
      <w:bookmarkStart w:id="36" w:name="_Toc5389"/>
      <w:bookmarkStart w:id="37" w:name="_Toc40971602"/>
      <w:bookmarkStart w:id="38" w:name="_Toc11488"/>
      <w:r>
        <w:rPr>
          <w:rFonts w:hint="eastAsia" w:ascii="黑体" w:hAnsi="黑体" w:cs="黑体"/>
        </w:rPr>
        <w:t>4 总则</w:t>
      </w:r>
      <w:bookmarkEnd w:id="35"/>
      <w:bookmarkEnd w:id="36"/>
      <w:bookmarkEnd w:id="37"/>
      <w:bookmarkEnd w:id="38"/>
    </w:p>
    <w:p>
      <w:pPr>
        <w:adjustRightInd w:val="0"/>
        <w:snapToGrid w:val="0"/>
        <w:spacing w:before="158" w:beforeLines="50" w:after="158" w:afterLines="50"/>
      </w:pPr>
      <w:bookmarkStart w:id="39" w:name="_Toc457"/>
      <w:bookmarkStart w:id="40" w:name="_Toc531265191"/>
      <w:r>
        <w:rPr>
          <w:rFonts w:hint="eastAsia"/>
        </w:rPr>
        <w:t>4.1 评价边界</w:t>
      </w:r>
    </w:p>
    <w:p>
      <w:pPr>
        <w:adjustRightInd w:val="0"/>
        <w:snapToGrid w:val="0"/>
        <w:spacing w:before="158" w:beforeLines="50" w:after="158" w:afterLines="50"/>
        <w:ind w:firstLine="420"/>
      </w:pPr>
      <w:r>
        <w:rPr>
          <w:rFonts w:hint="eastAsia"/>
        </w:rPr>
        <w:t>粘结钕铁硼绿色工厂的评价边界包含原料混练工序，成型工序，固化工序，研磨和清洗工序，切割工序，表面处理工序，充磁及检查等。常用的原料混练工序有V</w:t>
      </w:r>
      <w:r>
        <w:t>3</w:t>
      </w:r>
      <w:r>
        <w:rPr>
          <w:rFonts w:hint="eastAsia"/>
        </w:rPr>
        <w:t>混练和二轴混炼；成型工序包括有模压成型、注塑成型、挤出成型和压延成型；其中模压成型工艺后续还需要经过固化工序和研磨清洗工序。常见的表面处理工序包括电泳和喷涂；后续还有充磁及检查等，本标准界定的粘结钕铁硼绿色工厂至少包含一种成型工序，以及与该成型工序配套的若干工序组合。举例如下：</w:t>
      </w:r>
    </w:p>
    <w:p>
      <w:pPr>
        <w:adjustRightInd w:val="0"/>
        <w:snapToGrid w:val="0"/>
        <w:spacing w:before="158" w:beforeLines="50" w:after="158" w:afterLines="50"/>
        <w:ind w:firstLine="420"/>
      </w:pPr>
      <w:r>
        <w:rPr>
          <w:rFonts w:hint="eastAsia"/>
        </w:rPr>
        <w:t>组合1：V</w:t>
      </w:r>
      <w:r>
        <w:t>3</w:t>
      </w:r>
      <w:r>
        <w:rPr>
          <w:rFonts w:hint="eastAsia"/>
        </w:rPr>
        <w:t>混练、模压成型、固化、研磨清洗、电泳或者喷涂、充磁及检查</w:t>
      </w:r>
    </w:p>
    <w:p>
      <w:pPr>
        <w:adjustRightInd w:val="0"/>
        <w:snapToGrid w:val="0"/>
        <w:spacing w:before="158" w:beforeLines="50" w:after="158" w:afterLines="50"/>
        <w:ind w:firstLine="420"/>
      </w:pPr>
      <w:r>
        <w:rPr>
          <w:rFonts w:hint="eastAsia"/>
        </w:rPr>
        <w:t>组合2：</w:t>
      </w:r>
      <w:r>
        <w:t xml:space="preserve"> </w:t>
      </w:r>
      <w:r>
        <w:rPr>
          <w:rFonts w:hint="eastAsia"/>
        </w:rPr>
        <w:t>二轴混炼、注塑成型、充磁及检查</w:t>
      </w:r>
    </w:p>
    <w:p>
      <w:pPr>
        <w:adjustRightInd w:val="0"/>
        <w:snapToGrid w:val="0"/>
        <w:spacing w:before="158" w:beforeLines="50" w:after="158" w:afterLines="50"/>
        <w:ind w:firstLine="420"/>
      </w:pPr>
      <w:r>
        <w:rPr>
          <w:rFonts w:hint="eastAsia"/>
        </w:rPr>
        <w:t>组合3：</w:t>
      </w:r>
      <w:r>
        <w:t xml:space="preserve"> </w:t>
      </w:r>
      <w:r>
        <w:rPr>
          <w:rFonts w:hint="eastAsia"/>
        </w:rPr>
        <w:t>二轴混炼、挤出成型、切割、研磨和清洗、电泳或者喷涂、充磁及检查</w:t>
      </w:r>
    </w:p>
    <w:p>
      <w:pPr>
        <w:adjustRightInd w:val="0"/>
        <w:snapToGrid w:val="0"/>
        <w:spacing w:before="158" w:beforeLines="50" w:after="158" w:afterLines="50"/>
        <w:ind w:firstLine="420"/>
      </w:pPr>
      <w:r>
        <w:rPr>
          <w:rFonts w:hint="eastAsia"/>
        </w:rPr>
        <w:t>组合4：</w:t>
      </w:r>
      <w:r>
        <w:t xml:space="preserve"> </w:t>
      </w:r>
      <w:r>
        <w:rPr>
          <w:rFonts w:hint="eastAsia"/>
        </w:rPr>
        <w:t>注塑成型、充磁及检查</w:t>
      </w:r>
    </w:p>
    <w:p>
      <w:pPr>
        <w:adjustRightInd w:val="0"/>
        <w:snapToGrid w:val="0"/>
        <w:spacing w:before="158" w:beforeLines="50" w:after="158" w:afterLines="50"/>
        <w:ind w:firstLine="420"/>
      </w:pPr>
      <w:r>
        <w:rPr>
          <w:rFonts w:hint="eastAsia"/>
        </w:rPr>
        <w:t>组合5：模压成型、固化、研磨清洗、电泳或者喷涂、充磁及检查</w:t>
      </w:r>
    </w:p>
    <w:p>
      <w:pPr>
        <w:adjustRightInd w:val="0"/>
        <w:snapToGrid w:val="0"/>
        <w:spacing w:before="158" w:beforeLines="50" w:after="158" w:afterLines="50"/>
        <w:rPr>
          <w:rFonts w:ascii="黑体" w:hAnsi="黑体" w:eastAsia="黑体" w:cs="黑体"/>
        </w:rPr>
      </w:pPr>
      <w:r>
        <w:rPr>
          <w:rFonts w:hint="eastAsia" w:ascii="黑体" w:hAnsi="黑体" w:eastAsia="黑体" w:cs="黑体"/>
        </w:rPr>
        <w:t>4.</w:t>
      </w:r>
      <w:r>
        <w:rPr>
          <w:rFonts w:ascii="黑体" w:hAnsi="黑体" w:eastAsia="黑体" w:cs="黑体"/>
        </w:rPr>
        <w:t>2</w:t>
      </w:r>
      <w:r>
        <w:rPr>
          <w:rFonts w:hint="eastAsia" w:ascii="黑体" w:hAnsi="黑体" w:eastAsia="黑体" w:cs="黑体"/>
        </w:rPr>
        <w:t xml:space="preserve"> 评价原则</w:t>
      </w:r>
      <w:bookmarkEnd w:id="39"/>
      <w:bookmarkEnd w:id="40"/>
    </w:p>
    <w:p>
      <w:pPr>
        <w:adjustRightInd w:val="0"/>
        <w:snapToGrid w:val="0"/>
        <w:rPr>
          <w:rFonts w:ascii="黑体" w:hAnsi="黑体" w:eastAsia="黑体" w:cs="黑体"/>
        </w:rPr>
      </w:pPr>
      <w:r>
        <w:rPr>
          <w:rFonts w:hint="eastAsia" w:ascii="黑体" w:hAnsi="黑体" w:eastAsia="黑体" w:cs="黑体"/>
        </w:rPr>
        <w:t>4.</w:t>
      </w:r>
      <w:r>
        <w:rPr>
          <w:rFonts w:ascii="黑体" w:hAnsi="黑体" w:eastAsia="黑体" w:cs="黑体"/>
        </w:rPr>
        <w:t>2</w:t>
      </w:r>
      <w:r>
        <w:rPr>
          <w:rFonts w:hint="eastAsia" w:ascii="黑体" w:hAnsi="黑体" w:eastAsia="黑体" w:cs="黑体"/>
        </w:rPr>
        <w:t>.1 一致性原则</w:t>
      </w:r>
    </w:p>
    <w:p>
      <w:pPr>
        <w:adjustRightInd w:val="0"/>
        <w:snapToGrid w:val="0"/>
        <w:ind w:firstLine="420" w:firstLineChars="200"/>
        <w:rPr>
          <w:rFonts w:ascii="Times New Roman" w:hAnsi="Times New Roman"/>
        </w:rPr>
      </w:pPr>
      <w:r>
        <w:rPr>
          <w:rFonts w:ascii="Times New Roman" w:hAnsi="Times New Roman"/>
        </w:rPr>
        <w:t>评价总体结构与GB/T 36132提出的相关评价指标体系和要求保持一致，包括基本要求、基础设施、管理体系、能源与资源投入、产品、环境排放、绩效共7个一级指标。</w:t>
      </w:r>
    </w:p>
    <w:p>
      <w:pPr>
        <w:adjustRightInd w:val="0"/>
        <w:snapToGrid w:val="0"/>
        <w:ind w:firstLine="420" w:firstLineChars="200"/>
        <w:rPr>
          <w:rFonts w:ascii="Times New Roman" w:hAnsi="Times New Roman"/>
        </w:rPr>
      </w:pPr>
      <w:r>
        <w:rPr>
          <w:rFonts w:hint="eastAsia" w:ascii="Times New Roman" w:hAnsi="Times New Roman"/>
        </w:rPr>
        <w:t>粘结钕铁硼工厂绿色工厂评价体系框架如图1所示。</w:t>
      </w:r>
    </w:p>
    <w:p>
      <w:pPr>
        <w:adjustRightInd w:val="0"/>
        <w:snapToGrid w:val="0"/>
        <w:jc w:val="center"/>
        <w:rPr>
          <w:rFonts w:ascii="Times New Roman" w:hAnsi="Times New Roman"/>
        </w:rPr>
      </w:pPr>
      <w:r>
        <mc:AlternateContent>
          <mc:Choice Requires="wpg">
            <w:drawing>
              <wp:inline distT="0" distB="0" distL="114300" distR="114300">
                <wp:extent cx="3741420" cy="2148205"/>
                <wp:effectExtent l="12700" t="12700" r="25400" b="18415"/>
                <wp:docPr id="8" name="组合 11"/>
                <wp:cNvGraphicFramePr/>
                <a:graphic xmlns:a="http://schemas.openxmlformats.org/drawingml/2006/main">
                  <a:graphicData uri="http://schemas.microsoft.com/office/word/2010/wordprocessingGroup">
                    <wpg:wgp>
                      <wpg:cNvGrpSpPr/>
                      <wpg:grpSpPr>
                        <a:xfrm>
                          <a:off x="0" y="0"/>
                          <a:ext cx="3741420" cy="2148205"/>
                          <a:chOff x="0" y="0"/>
                          <a:chExt cx="69956" cy="40164"/>
                        </a:xfrm>
                      </wpg:grpSpPr>
                      <wps:wsp>
                        <wps:cNvPr id="1" name="矩形: 圆角 2"/>
                        <wps:cNvSpPr/>
                        <wps:spPr>
                          <a:xfrm>
                            <a:off x="0" y="0"/>
                            <a:ext cx="57666" cy="7964"/>
                          </a:xfrm>
                          <a:prstGeom prst="roundRect">
                            <a:avLst>
                              <a:gd name="adj" fmla="val 16667"/>
                            </a:avLst>
                          </a:prstGeom>
                          <a:noFill/>
                          <a:ln w="25400" cap="flat" cmpd="sng">
                            <a:solidFill>
                              <a:srgbClr val="1F4E79"/>
                            </a:solidFill>
                            <a:prstDash val="solid"/>
                            <a:miter/>
                            <a:headEnd type="none" w="med" len="med"/>
                            <a:tailEnd type="none" w="med" len="med"/>
                          </a:ln>
                        </wps:spPr>
                        <wps:txbx>
                          <w:txbxContent>
                            <w:p>
                              <w:pPr>
                                <w:jc w:val="center"/>
                                <w:rPr>
                                  <w:kern w:val="0"/>
                                  <w:sz w:val="24"/>
                                </w:rPr>
                              </w:pPr>
                              <w:r>
                                <w:rPr>
                                  <w:rFonts w:hint="eastAsia" w:asciiTheme="minorHAnsi" w:eastAsiaTheme="minorEastAsia" w:cstheme="minorBidi"/>
                                  <w:color w:val="000000" w:themeColor="text1"/>
                                  <w:kern w:val="24"/>
                                </w:rPr>
                                <w:t>管理体系要求</w:t>
                              </w:r>
                              <w:r>
                                <w:rPr>
                                  <w:rFonts w:asciiTheme="minorHAnsi" w:eastAsiaTheme="minorEastAsia" w:cstheme="minorBidi"/>
                                  <w:color w:val="000000" w:themeColor="text1"/>
                                  <w:kern w:val="24"/>
                                </w:rPr>
                                <w:t>5.3</w:t>
                              </w:r>
                            </w:p>
                          </w:txbxContent>
                        </wps:txbx>
                        <wps:bodyPr wrap="square" anchor="ctr" anchorCtr="0" upright="1"/>
                      </wps:wsp>
                      <wps:wsp>
                        <wps:cNvPr id="2" name="矩形: 圆角 3"/>
                        <wps:cNvSpPr/>
                        <wps:spPr>
                          <a:xfrm>
                            <a:off x="0" y="32200"/>
                            <a:ext cx="57666" cy="7964"/>
                          </a:xfrm>
                          <a:prstGeom prst="roundRect">
                            <a:avLst>
                              <a:gd name="adj" fmla="val 16667"/>
                            </a:avLst>
                          </a:prstGeom>
                          <a:noFill/>
                          <a:ln w="25400" cap="flat" cmpd="sng">
                            <a:solidFill>
                              <a:srgbClr val="1F4E79"/>
                            </a:solidFill>
                            <a:prstDash val="solid"/>
                            <a:miter/>
                            <a:headEnd type="none" w="med" len="med"/>
                            <a:tailEnd type="none" w="med" len="med"/>
                          </a:ln>
                        </wps:spPr>
                        <wps:txbx>
                          <w:txbxContent>
                            <w:p>
                              <w:pPr>
                                <w:jc w:val="center"/>
                                <w:rPr>
                                  <w:kern w:val="0"/>
                                  <w:sz w:val="24"/>
                                </w:rPr>
                              </w:pPr>
                              <w:r>
                                <w:rPr>
                                  <w:rFonts w:hint="eastAsia" w:asciiTheme="minorHAnsi" w:eastAsiaTheme="minorEastAsia" w:cstheme="minorBidi"/>
                                  <w:color w:val="000000" w:themeColor="text1"/>
                                  <w:kern w:val="24"/>
                                </w:rPr>
                                <w:t>基础设施要求</w:t>
                              </w:r>
                              <w:r>
                                <w:rPr>
                                  <w:rFonts w:asciiTheme="minorHAnsi" w:eastAsiaTheme="minorEastAsia" w:cstheme="minorBidi"/>
                                  <w:color w:val="000000" w:themeColor="text1"/>
                                  <w:kern w:val="24"/>
                                </w:rPr>
                                <w:t>5.2</w:t>
                              </w:r>
                            </w:p>
                          </w:txbxContent>
                        </wps:txbx>
                        <wps:bodyPr wrap="square" anchor="ctr" anchorCtr="0" upright="1"/>
                      </wps:wsp>
                      <wps:wsp>
                        <wps:cNvPr id="3" name="矩形: 圆角 4"/>
                        <wps:cNvSpPr/>
                        <wps:spPr>
                          <a:xfrm>
                            <a:off x="0" y="9168"/>
                            <a:ext cx="15190" cy="21828"/>
                          </a:xfrm>
                          <a:prstGeom prst="roundRect">
                            <a:avLst>
                              <a:gd name="adj" fmla="val 16667"/>
                            </a:avLst>
                          </a:prstGeom>
                          <a:noFill/>
                          <a:ln w="25400" cap="flat" cmpd="sng">
                            <a:solidFill>
                              <a:srgbClr val="1F4E79"/>
                            </a:solidFill>
                            <a:prstDash val="solid"/>
                            <a:miter/>
                            <a:headEnd type="none" w="med" len="med"/>
                            <a:tailEnd type="none" w="med" len="med"/>
                          </a:ln>
                        </wps:spPr>
                        <wps:txbx>
                          <w:txbxContent>
                            <w:p>
                              <w:pPr>
                                <w:jc w:val="center"/>
                                <w:rPr>
                                  <w:kern w:val="0"/>
                                  <w:sz w:val="24"/>
                                </w:rPr>
                              </w:pPr>
                              <w:r>
                                <w:rPr>
                                  <w:rFonts w:hint="eastAsia" w:asciiTheme="minorHAnsi" w:eastAsiaTheme="minorEastAsia" w:cstheme="minorBidi"/>
                                  <w:color w:val="000000" w:themeColor="text1"/>
                                  <w:kern w:val="24"/>
                                </w:rPr>
                                <w:t>能源与资源投入要求</w:t>
                              </w:r>
                              <w:r>
                                <w:rPr>
                                  <w:rFonts w:asciiTheme="minorHAnsi" w:eastAsiaTheme="minorEastAsia" w:cstheme="minorBidi"/>
                                  <w:color w:val="000000" w:themeColor="text1"/>
                                  <w:kern w:val="24"/>
                                </w:rPr>
                                <w:t>5.4</w:t>
                              </w:r>
                            </w:p>
                          </w:txbxContent>
                        </wps:txbx>
                        <wps:bodyPr wrap="square" lIns="72000" rIns="72000" anchor="ctr" anchorCtr="0" upright="1"/>
                      </wps:wsp>
                      <wps:wsp>
                        <wps:cNvPr id="4" name="矩形: 圆角 5"/>
                        <wps:cNvSpPr/>
                        <wps:spPr>
                          <a:xfrm>
                            <a:off x="42475" y="9168"/>
                            <a:ext cx="15191" cy="10152"/>
                          </a:xfrm>
                          <a:prstGeom prst="roundRect">
                            <a:avLst>
                              <a:gd name="adj" fmla="val 16667"/>
                            </a:avLst>
                          </a:prstGeom>
                          <a:noFill/>
                          <a:ln w="25400" cap="flat" cmpd="sng">
                            <a:solidFill>
                              <a:srgbClr val="1F4E79"/>
                            </a:solidFill>
                            <a:prstDash val="solid"/>
                            <a:miter/>
                            <a:headEnd type="none" w="med" len="med"/>
                            <a:tailEnd type="none" w="med" len="med"/>
                          </a:ln>
                        </wps:spPr>
                        <wps:txbx>
                          <w:txbxContent>
                            <w:p>
                              <w:pPr>
                                <w:spacing w:line="240" w:lineRule="auto"/>
                                <w:jc w:val="center"/>
                                <w:rPr>
                                  <w:kern w:val="0"/>
                                  <w:sz w:val="24"/>
                                </w:rPr>
                              </w:pPr>
                              <w:r>
                                <w:rPr>
                                  <w:rFonts w:hint="eastAsia" w:asciiTheme="minorHAnsi" w:eastAsiaTheme="minorEastAsia" w:cstheme="minorBidi"/>
                                  <w:color w:val="000000" w:themeColor="text1"/>
                                  <w:kern w:val="24"/>
                                </w:rPr>
                                <w:t xml:space="preserve">产品要求 </w:t>
                              </w:r>
                              <w:r>
                                <w:rPr>
                                  <w:rFonts w:asciiTheme="minorHAnsi" w:eastAsiaTheme="minorEastAsia" w:cstheme="minorBidi"/>
                                  <w:color w:val="000000" w:themeColor="text1"/>
                                  <w:kern w:val="24"/>
                                </w:rPr>
                                <w:t>5.5</w:t>
                              </w:r>
                            </w:p>
                          </w:txbxContent>
                        </wps:txbx>
                        <wps:bodyPr wrap="square" lIns="72000" rIns="72000" anchor="ctr" anchorCtr="0" upright="1"/>
                      </wps:wsp>
                      <wps:wsp>
                        <wps:cNvPr id="5" name="矩形: 圆角 6"/>
                        <wps:cNvSpPr/>
                        <wps:spPr>
                          <a:xfrm>
                            <a:off x="42475" y="20684"/>
                            <a:ext cx="15191" cy="10152"/>
                          </a:xfrm>
                          <a:prstGeom prst="roundRect">
                            <a:avLst>
                              <a:gd name="adj" fmla="val 16667"/>
                            </a:avLst>
                          </a:prstGeom>
                          <a:noFill/>
                          <a:ln w="25400" cap="flat" cmpd="sng">
                            <a:solidFill>
                              <a:srgbClr val="1F4E79"/>
                            </a:solidFill>
                            <a:prstDash val="solid"/>
                            <a:miter/>
                            <a:headEnd type="none" w="med" len="med"/>
                            <a:tailEnd type="none" w="med" len="med"/>
                          </a:ln>
                        </wps:spPr>
                        <wps:txbx>
                          <w:txbxContent>
                            <w:p>
                              <w:pPr>
                                <w:spacing w:line="240" w:lineRule="auto"/>
                                <w:jc w:val="center"/>
                                <w:rPr>
                                  <w:kern w:val="0"/>
                                  <w:sz w:val="24"/>
                                </w:rPr>
                              </w:pPr>
                              <w:r>
                                <w:rPr>
                                  <w:rFonts w:hint="eastAsia" w:asciiTheme="minorHAnsi" w:eastAsiaTheme="minorEastAsia" w:cstheme="minorBidi"/>
                                  <w:color w:val="000000" w:themeColor="text1"/>
                                  <w:kern w:val="24"/>
                                </w:rPr>
                                <w:t xml:space="preserve">环境排放要求 </w:t>
                              </w:r>
                              <w:r>
                                <w:rPr>
                                  <w:rFonts w:asciiTheme="minorHAnsi" w:eastAsiaTheme="minorEastAsia" w:cstheme="minorBidi"/>
                                  <w:color w:val="000000" w:themeColor="text1"/>
                                  <w:kern w:val="24"/>
                                </w:rPr>
                                <w:t>5.6</w:t>
                              </w:r>
                            </w:p>
                          </w:txbxContent>
                        </wps:txbx>
                        <wps:bodyPr wrap="square" lIns="72000" rIns="72000" anchor="ctr" anchorCtr="0" upright="1"/>
                      </wps:wsp>
                      <wps:wsp>
                        <wps:cNvPr id="6" name="矩形: 圆角 7"/>
                        <wps:cNvSpPr/>
                        <wps:spPr>
                          <a:xfrm>
                            <a:off x="59190" y="0"/>
                            <a:ext cx="10766" cy="40164"/>
                          </a:xfrm>
                          <a:prstGeom prst="roundRect">
                            <a:avLst>
                              <a:gd name="adj" fmla="val 16667"/>
                            </a:avLst>
                          </a:prstGeom>
                          <a:noFill/>
                          <a:ln w="25400" cap="flat" cmpd="sng">
                            <a:solidFill>
                              <a:srgbClr val="1F4E79"/>
                            </a:solidFill>
                            <a:prstDash val="solid"/>
                            <a:miter/>
                            <a:headEnd type="none" w="med" len="med"/>
                            <a:tailEnd type="none" w="med" len="med"/>
                          </a:ln>
                        </wps:spPr>
                        <wps:txbx>
                          <w:txbxContent>
                            <w:p>
                              <w:pPr>
                                <w:jc w:val="center"/>
                                <w:rPr>
                                  <w:kern w:val="0"/>
                                  <w:sz w:val="24"/>
                                </w:rPr>
                              </w:pPr>
                              <w:r>
                                <w:rPr>
                                  <w:rFonts w:hint="eastAsia" w:asciiTheme="minorHAnsi" w:eastAsiaTheme="minorEastAsia" w:cstheme="minorBidi"/>
                                  <w:color w:val="000000" w:themeColor="text1"/>
                                  <w:kern w:val="24"/>
                                </w:rPr>
                                <w:t xml:space="preserve">绩效要求 </w:t>
                              </w:r>
                              <w:r>
                                <w:rPr>
                                  <w:rFonts w:asciiTheme="minorHAnsi" w:eastAsiaTheme="minorEastAsia" w:cstheme="minorBidi"/>
                                  <w:color w:val="000000" w:themeColor="text1"/>
                                  <w:kern w:val="24"/>
                                </w:rPr>
                                <w:t>5.7</w:t>
                              </w:r>
                            </w:p>
                          </w:txbxContent>
                        </wps:txbx>
                        <wps:bodyPr wrap="square" anchor="ctr" anchorCtr="0" upright="1"/>
                      </wps:wsp>
                      <wps:wsp>
                        <wps:cNvPr id="7" name="箭头: 右 8"/>
                        <wps:cNvSpPr/>
                        <wps:spPr>
                          <a:xfrm>
                            <a:off x="17427" y="12628"/>
                            <a:ext cx="22811" cy="14908"/>
                          </a:xfrm>
                          <a:prstGeom prst="rightArrow">
                            <a:avLst>
                              <a:gd name="adj1" fmla="val 50000"/>
                              <a:gd name="adj2" fmla="val 49998"/>
                            </a:avLst>
                          </a:prstGeom>
                          <a:noFill/>
                          <a:ln w="25400" cap="flat" cmpd="sng">
                            <a:solidFill>
                              <a:srgbClr val="1F4E79"/>
                            </a:solidFill>
                            <a:prstDash val="dash"/>
                            <a:miter/>
                            <a:headEnd type="none" w="med" len="med"/>
                            <a:tailEnd type="none" w="med" len="med"/>
                          </a:ln>
                        </wps:spPr>
                        <wps:txbx>
                          <w:txbxContent>
                            <w:p>
                              <w:pPr>
                                <w:jc w:val="center"/>
                                <w:rPr>
                                  <w:kern w:val="0"/>
                                  <w:sz w:val="24"/>
                                </w:rPr>
                              </w:pPr>
                              <w:r>
                                <w:rPr>
                                  <w:rFonts w:hint="eastAsia" w:asciiTheme="minorHAnsi" w:eastAsiaTheme="minorEastAsia" w:cstheme="minorBidi"/>
                                  <w:color w:val="000000" w:themeColor="text1"/>
                                  <w:kern w:val="24"/>
                                </w:rPr>
                                <w:t>生产过程</w:t>
                              </w:r>
                            </w:p>
                          </w:txbxContent>
                        </wps:txbx>
                        <wps:bodyPr wrap="square" anchor="ctr" anchorCtr="0" upright="1"/>
                      </wps:wsp>
                    </wpg:wgp>
                  </a:graphicData>
                </a:graphic>
              </wp:inline>
            </w:drawing>
          </mc:Choice>
          <mc:Fallback>
            <w:pict>
              <v:group id="组合 11" o:spid="_x0000_s1026" o:spt="203" style="height:169.15pt;width:294.6pt;" coordsize="69956,40164" o:gfxdata="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JoNx93WAAAABQEAAA8AAAAAAAAAAQAgAAAAIgAA&#10;AGRycy9kb3ducmV2LnhtbFBLAQIUABQAAAAIAIdO4kDvUfsc0gMAACoVAAAOAAAAAAAAAAEAIAAA&#10;ACUBAABkcnMvZTJvRG9jLnhtbFBLBQYAAAAABgAGAFkBAABpBwAAAAA=&#10;">
                <o:lock v:ext="edit" aspectratio="f"/>
                <v:roundrect id="矩形: 圆角 2" o:spid="_x0000_s1026" o:spt="2" style="position:absolute;left:0;top:0;height:7964;width:57666;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">
                  <v:fill on="f" focussize="0,0"/>
                  <v:stroke weight="2pt" color="#1F4E79" joinstyle="miter"/>
                  <v:imagedata o:title=""/>
                  <o:lock v:ext="edit" aspectratio="f"/>
                  <v:textbox>
                    <w:txbxContent>
                      <w:p>
                        <w:pPr>
                          <w:jc w:val="center"/>
                          <w:rPr>
                            <w:kern w:val="0"/>
                            <w:sz w:val="24"/>
                          </w:rPr>
                        </w:pPr>
                        <w:r>
                          <w:rPr>
                            <w:rFonts w:hint="eastAsia" w:asciiTheme="minorHAnsi" w:eastAsiaTheme="minorEastAsia" w:cstheme="minorBidi"/>
                            <w:color w:val="000000" w:themeColor="text1"/>
                            <w:kern w:val="24"/>
                          </w:rPr>
                          <w:t>管理体系要求</w:t>
                        </w:r>
                        <w:r>
                          <w:rPr>
                            <w:rFonts w:asciiTheme="minorHAnsi" w:eastAsiaTheme="minorEastAsia" w:cstheme="minorBidi"/>
                            <w:color w:val="000000" w:themeColor="text1"/>
                            <w:kern w:val="24"/>
                          </w:rPr>
                          <w:t>5.3</w:t>
                        </w:r>
                      </w:p>
                    </w:txbxContent>
                  </v:textbox>
                </v:roundrect>
                <v:roundrect id="矩形: 圆角 3" o:spid="_x0000_s1026" o:spt="2" style="position:absolute;left:0;top:32200;height:7964;width:57666;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">
                  <v:fill on="f" focussize="0,0"/>
                  <v:stroke weight="2pt" color="#1F4E79" joinstyle="miter"/>
                  <v:imagedata o:title=""/>
                  <o:lock v:ext="edit" aspectratio="f"/>
                  <v:textbox>
                    <w:txbxContent>
                      <w:p>
                        <w:pPr>
                          <w:jc w:val="center"/>
                          <w:rPr>
                            <w:kern w:val="0"/>
                            <w:sz w:val="24"/>
                          </w:rPr>
                        </w:pPr>
                        <w:r>
                          <w:rPr>
                            <w:rFonts w:hint="eastAsia" w:asciiTheme="minorHAnsi" w:eastAsiaTheme="minorEastAsia" w:cstheme="minorBidi"/>
                            <w:color w:val="000000" w:themeColor="text1"/>
                            <w:kern w:val="24"/>
                          </w:rPr>
                          <w:t>基础设施要求</w:t>
                        </w:r>
                        <w:r>
                          <w:rPr>
                            <w:rFonts w:asciiTheme="minorHAnsi" w:eastAsiaTheme="minorEastAsia" w:cstheme="minorBidi"/>
                            <w:color w:val="000000" w:themeColor="text1"/>
                            <w:kern w:val="24"/>
                          </w:rPr>
                          <w:t>5.2</w:t>
                        </w:r>
                      </w:p>
                    </w:txbxContent>
                  </v:textbox>
                </v:roundrect>
                <v:roundrect id="矩形: 圆角 4" o:spid="_x0000_s1026" o:spt="2" style="position:absolute;left:0;top:9168;height:21828;width:15190;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">
                  <v:fill on="f" focussize="0,0"/>
                  <v:stroke weight="2pt" color="#1F4E79" joinstyle="miter"/>
                  <v:imagedata o:title=""/>
                  <o:lock v:ext="edit" aspectratio="f"/>
                  <v:textbox inset="2mm,1.27mm,2mm,1.27mm">
                    <w:txbxContent>
                      <w:p>
                        <w:pPr>
                          <w:jc w:val="center"/>
                          <w:rPr>
                            <w:kern w:val="0"/>
                            <w:sz w:val="24"/>
                          </w:rPr>
                        </w:pPr>
                        <w:r>
                          <w:rPr>
                            <w:rFonts w:hint="eastAsia" w:asciiTheme="minorHAnsi" w:eastAsiaTheme="minorEastAsia" w:cstheme="minorBidi"/>
                            <w:color w:val="000000" w:themeColor="text1"/>
                            <w:kern w:val="24"/>
                          </w:rPr>
                          <w:t>能源与资源投入要求</w:t>
                        </w:r>
                        <w:r>
                          <w:rPr>
                            <w:rFonts w:asciiTheme="minorHAnsi" w:eastAsiaTheme="minorEastAsia" w:cstheme="minorBidi"/>
                            <w:color w:val="000000" w:themeColor="text1"/>
                            <w:kern w:val="24"/>
                          </w:rPr>
                          <w:t>5.4</w:t>
                        </w:r>
                      </w:p>
                    </w:txbxContent>
                  </v:textbox>
                </v:roundrect>
                <v:roundrect id="矩形: 圆角 5" o:spid="_x0000_s1026" o:spt="2" style="position:absolute;left:42475;top:9168;height:10152;width:15191;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">
                  <v:fill on="f" focussize="0,0"/>
                  <v:stroke weight="2pt" color="#1F4E79" joinstyle="miter"/>
                  <v:imagedata o:title=""/>
                  <o:lock v:ext="edit" aspectratio="f"/>
                  <v:textbox inset="2mm,1.27mm,2mm,1.27mm">
                    <w:txbxContent>
                      <w:p>
                        <w:pPr>
                          <w:spacing w:line="240" w:lineRule="auto"/>
                          <w:jc w:val="center"/>
                          <w:rPr>
                            <w:kern w:val="0"/>
                            <w:sz w:val="24"/>
                          </w:rPr>
                        </w:pPr>
                        <w:r>
                          <w:rPr>
                            <w:rFonts w:hint="eastAsia" w:asciiTheme="minorHAnsi" w:eastAsiaTheme="minorEastAsia" w:cstheme="minorBidi"/>
                            <w:color w:val="000000" w:themeColor="text1"/>
                            <w:kern w:val="24"/>
                          </w:rPr>
                          <w:t xml:space="preserve">产品要求 </w:t>
                        </w:r>
                        <w:r>
                          <w:rPr>
                            <w:rFonts w:asciiTheme="minorHAnsi" w:eastAsiaTheme="minorEastAsia" w:cstheme="minorBidi"/>
                            <w:color w:val="000000" w:themeColor="text1"/>
                            <w:kern w:val="24"/>
                          </w:rPr>
                          <w:t>5.5</w:t>
                        </w:r>
                      </w:p>
                    </w:txbxContent>
                  </v:textbox>
                </v:roundrect>
                <v:roundrect id="矩形: 圆角 6" o:spid="_x0000_s1026" o:spt="2" style="position:absolute;left:42475;top:20684;height:10152;width:15191;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">
                  <v:fill on="f" focussize="0,0"/>
                  <v:stroke weight="2pt" color="#1F4E79" joinstyle="miter"/>
                  <v:imagedata o:title=""/>
                  <o:lock v:ext="edit" aspectratio="f"/>
                  <v:textbox inset="2mm,1.27mm,2mm,1.27mm">
                    <w:txbxContent>
                      <w:p>
                        <w:pPr>
                          <w:spacing w:line="240" w:lineRule="auto"/>
                          <w:jc w:val="center"/>
                          <w:rPr>
                            <w:kern w:val="0"/>
                            <w:sz w:val="24"/>
                          </w:rPr>
                        </w:pPr>
                        <w:r>
                          <w:rPr>
                            <w:rFonts w:hint="eastAsia" w:asciiTheme="minorHAnsi" w:eastAsiaTheme="minorEastAsia" w:cstheme="minorBidi"/>
                            <w:color w:val="000000" w:themeColor="text1"/>
                            <w:kern w:val="24"/>
                          </w:rPr>
                          <w:t xml:space="preserve">环境排放要求 </w:t>
                        </w:r>
                        <w:r>
                          <w:rPr>
                            <w:rFonts w:asciiTheme="minorHAnsi" w:eastAsiaTheme="minorEastAsia" w:cstheme="minorBidi"/>
                            <w:color w:val="000000" w:themeColor="text1"/>
                            <w:kern w:val="24"/>
                          </w:rPr>
                          <w:t>5.6</w:t>
                        </w:r>
                      </w:p>
                    </w:txbxContent>
                  </v:textbox>
                </v:roundrect>
                <v:roundrect id="矩形: 圆角 7" o:spid="_x0000_s1026" o:spt="2" style="position:absolute;left:59190;top:0;height:40164;width:10766;v-text-anchor:middle;" filled="f"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">
                  <v:fill on="f" focussize="0,0"/>
                  <v:stroke weight="2pt" color="#1F4E79" joinstyle="miter"/>
                  <v:imagedata o:title=""/>
                  <o:lock v:ext="edit" aspectratio="f"/>
                  <v:textbox>
                    <w:txbxContent>
                      <w:p>
                        <w:pPr>
                          <w:jc w:val="center"/>
                          <w:rPr>
                            <w:kern w:val="0"/>
                            <w:sz w:val="24"/>
                          </w:rPr>
                        </w:pPr>
                        <w:r>
                          <w:rPr>
                            <w:rFonts w:hint="eastAsia" w:asciiTheme="minorHAnsi" w:eastAsiaTheme="minorEastAsia" w:cstheme="minorBidi"/>
                            <w:color w:val="000000" w:themeColor="text1"/>
                            <w:kern w:val="24"/>
                          </w:rPr>
                          <w:t xml:space="preserve">绩效要求 </w:t>
                        </w:r>
                        <w:r>
                          <w:rPr>
                            <w:rFonts w:asciiTheme="minorHAnsi" w:eastAsiaTheme="minorEastAsia" w:cstheme="minorBidi"/>
                            <w:color w:val="000000" w:themeColor="text1"/>
                            <w:kern w:val="24"/>
                          </w:rPr>
                          <w:t>5.7</w:t>
                        </w:r>
                      </w:p>
                    </w:txbxContent>
                  </v:textbox>
                </v:roundrect>
                <v:shape id="箭头: 右 8" o:spid="_x0000_s1026" o:spt="13" type="#_x0000_t13" style="position:absolute;left:17427;top:12628;height:14908;width:22811;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" adj="14543,5400">
                  <v:fill on="f" focussize="0,0"/>
                  <v:stroke weight="2pt" color="#1F4E79" joinstyle="miter" dashstyle="dash"/>
                  <v:imagedata o:title=""/>
                  <o:lock v:ext="edit" aspectratio="f"/>
                  <v:textbox>
                    <w:txbxContent>
                      <w:p>
                        <w:pPr>
                          <w:jc w:val="center"/>
                          <w:rPr>
                            <w:kern w:val="0"/>
                            <w:sz w:val="24"/>
                          </w:rPr>
                        </w:pPr>
                        <w:r>
                          <w:rPr>
                            <w:rFonts w:hint="eastAsia" w:asciiTheme="minorHAnsi" w:eastAsiaTheme="minorEastAsia" w:cstheme="minorBidi"/>
                            <w:color w:val="000000" w:themeColor="text1"/>
                            <w:kern w:val="24"/>
                          </w:rPr>
                          <w:t>生产过程</w:t>
                        </w:r>
                      </w:p>
                    </w:txbxContent>
                  </v:textbox>
                </v:shape>
                <w10:wrap type="none"/>
                <w10:anchorlock/>
              </v:group>
            </w:pict>
          </mc:Fallback>
        </mc:AlternateContent>
      </w:r>
    </w:p>
    <w:p>
      <w:pPr>
        <w:adjustRightInd w:val="0"/>
        <w:snapToGrid w:val="0"/>
        <w:jc w:val="center"/>
        <w:rPr>
          <w:rFonts w:ascii="Times New Roman" w:hAnsi="Times New Roman"/>
        </w:rPr>
      </w:pPr>
    </w:p>
    <w:p>
      <w:pPr>
        <w:adjustRightInd w:val="0"/>
        <w:snapToGrid w:val="0"/>
        <w:jc w:val="center"/>
        <w:rPr>
          <w:rFonts w:ascii="Times New Roman" w:hAnsi="Times New Roman"/>
        </w:rPr>
      </w:pPr>
      <w:r>
        <w:rPr>
          <w:rFonts w:hint="eastAsia" w:ascii="Times New Roman" w:hAnsi="Times New Roman"/>
        </w:rPr>
        <w:t>图1</w:t>
      </w:r>
      <w:r>
        <w:rPr>
          <w:rFonts w:ascii="Times New Roman" w:hAnsi="Times New Roman"/>
        </w:rPr>
        <w:t xml:space="preserve"> </w:t>
      </w:r>
      <w:r>
        <w:rPr>
          <w:rFonts w:hint="eastAsia" w:ascii="Times New Roman" w:hAnsi="Times New Roman"/>
        </w:rPr>
        <w:t>粘结钕铁硼 绿色工厂评价体系框图</w:t>
      </w:r>
    </w:p>
    <w:p>
      <w:pPr>
        <w:adjustRightInd w:val="0"/>
        <w:snapToGrid w:val="0"/>
        <w:ind w:firstLine="420" w:firstLineChars="200"/>
        <w:rPr>
          <w:rFonts w:ascii="Times New Roman" w:hAnsi="Times New Roman"/>
        </w:rPr>
      </w:pPr>
    </w:p>
    <w:p>
      <w:pPr>
        <w:adjustRightInd w:val="0"/>
        <w:snapToGrid w:val="0"/>
        <w:rPr>
          <w:rFonts w:ascii="黑体" w:hAnsi="黑体" w:eastAsia="黑体" w:cs="黑体"/>
        </w:rPr>
      </w:pPr>
      <w:r>
        <w:rPr>
          <w:rFonts w:hint="eastAsia" w:ascii="黑体" w:hAnsi="黑体" w:eastAsia="黑体" w:cs="黑体"/>
        </w:rPr>
        <w:t>4.</w:t>
      </w:r>
      <w:r>
        <w:rPr>
          <w:rFonts w:ascii="黑体" w:hAnsi="黑体" w:eastAsia="黑体" w:cs="黑体"/>
        </w:rPr>
        <w:t>2</w:t>
      </w:r>
      <w:r>
        <w:rPr>
          <w:rFonts w:hint="eastAsia" w:ascii="黑体" w:hAnsi="黑体" w:eastAsia="黑体" w:cs="黑体"/>
        </w:rPr>
        <w:t>.2 系统性原则</w:t>
      </w:r>
    </w:p>
    <w:p>
      <w:pPr>
        <w:adjustRightInd w:val="0"/>
        <w:snapToGrid w:val="0"/>
        <w:ind w:firstLine="408"/>
        <w:rPr>
          <w:rFonts w:ascii="黑体" w:hAnsi="黑体" w:cs="黑体"/>
        </w:rPr>
      </w:pPr>
      <w:r>
        <w:rPr>
          <w:rFonts w:hint="eastAsia" w:ascii="黑体" w:hAnsi="黑体" w:cs="黑体"/>
        </w:rPr>
        <w:t>评价指标采取定性与定量相结合、过程与绩效相结合的方式，形成完整的综合性评价指标体系。</w:t>
      </w:r>
      <w:bookmarkStart w:id="41" w:name="_Toc531265192"/>
    </w:p>
    <w:p>
      <w:pPr>
        <w:adjustRightInd w:val="0"/>
        <w:snapToGrid w:val="0"/>
        <w:rPr>
          <w:rFonts w:ascii="Times New Roman" w:hAnsi="Times New Roman"/>
        </w:rPr>
      </w:pPr>
      <w:r>
        <w:rPr>
          <w:rFonts w:hint="eastAsia" w:ascii="黑体" w:hAnsi="黑体" w:eastAsia="黑体" w:cs="黑体"/>
        </w:rPr>
        <w:t>4.</w:t>
      </w:r>
      <w:r>
        <w:rPr>
          <w:rFonts w:ascii="黑体" w:hAnsi="黑体" w:eastAsia="黑体" w:cs="黑体"/>
        </w:rPr>
        <w:t>2.</w:t>
      </w:r>
      <w:r>
        <w:rPr>
          <w:rFonts w:hint="eastAsia" w:ascii="黑体" w:hAnsi="黑体" w:eastAsia="黑体" w:cs="黑体"/>
        </w:rPr>
        <w:t>3 行</w:t>
      </w:r>
      <w:r>
        <w:rPr>
          <w:rFonts w:hint="eastAsia" w:ascii="黑体" w:hAnsi="黑体" w:eastAsia="黑体"/>
        </w:rPr>
        <w:t>业性原则</w:t>
      </w:r>
    </w:p>
    <w:p>
      <w:pPr>
        <w:adjustRightInd w:val="0"/>
        <w:snapToGrid w:val="0"/>
        <w:ind w:firstLine="408"/>
        <w:rPr>
          <w:rFonts w:ascii="黑体" w:hAnsi="黑体" w:cs="黑体"/>
        </w:rPr>
      </w:pPr>
      <w:r>
        <w:rPr>
          <w:rFonts w:hint="eastAsia" w:ascii="黑体" w:hAnsi="黑体" w:cs="黑体"/>
        </w:rPr>
        <w:t>在满足</w:t>
      </w:r>
      <w:r>
        <w:rPr>
          <w:rFonts w:ascii="Times New Roman" w:hAnsi="Times New Roman"/>
        </w:rPr>
        <w:t>GB/T 36132</w:t>
      </w:r>
      <w:r>
        <w:rPr>
          <w:rFonts w:hint="eastAsia" w:ascii="Times New Roman" w:hAnsi="Times New Roman"/>
        </w:rPr>
        <w:t>相关要求的基础上，突出粘结钕铁硼永磁体行业的特色。</w:t>
      </w:r>
    </w:p>
    <w:p>
      <w:pPr>
        <w:adjustRightInd w:val="0"/>
        <w:snapToGrid w:val="0"/>
        <w:spacing w:before="158" w:beforeLines="50" w:after="158" w:afterLines="50"/>
        <w:rPr>
          <w:rFonts w:ascii="黑体" w:hAnsi="黑体" w:eastAsia="黑体" w:cs="黑体"/>
        </w:rPr>
      </w:pPr>
      <w:r>
        <w:rPr>
          <w:rFonts w:hint="eastAsia" w:ascii="黑体" w:hAnsi="黑体" w:eastAsia="黑体" w:cs="黑体"/>
        </w:rPr>
        <w:t>4.</w:t>
      </w:r>
      <w:r>
        <w:rPr>
          <w:rFonts w:ascii="黑体" w:hAnsi="黑体" w:eastAsia="黑体" w:cs="黑体"/>
        </w:rPr>
        <w:t>3</w:t>
      </w:r>
      <w:r>
        <w:rPr>
          <w:rFonts w:hint="eastAsia" w:ascii="黑体" w:hAnsi="黑体" w:eastAsia="黑体" w:cs="黑体"/>
        </w:rPr>
        <w:t xml:space="preserve"> 评价指标</w:t>
      </w:r>
      <w:bookmarkEnd w:id="41"/>
    </w:p>
    <w:p>
      <w:pPr>
        <w:adjustRightInd w:val="0"/>
        <w:snapToGrid w:val="0"/>
        <w:rPr>
          <w:rFonts w:ascii="黑体" w:hAnsi="黑体" w:eastAsia="黑体" w:cs="黑体"/>
        </w:rPr>
      </w:pPr>
      <w:r>
        <w:rPr>
          <w:rFonts w:hint="eastAsia" w:ascii="黑体" w:hAnsi="黑体" w:eastAsia="黑体" w:cs="黑体"/>
        </w:rPr>
        <w:t>4.</w:t>
      </w:r>
      <w:r>
        <w:rPr>
          <w:rFonts w:ascii="黑体" w:hAnsi="黑体" w:eastAsia="黑体" w:cs="黑体"/>
        </w:rPr>
        <w:t>3</w:t>
      </w:r>
      <w:r>
        <w:rPr>
          <w:rFonts w:hint="eastAsia" w:ascii="黑体" w:hAnsi="黑体" w:eastAsia="黑体" w:cs="黑体"/>
        </w:rPr>
        <w:t>.1 评价指标体系</w:t>
      </w:r>
    </w:p>
    <w:p>
      <w:pPr>
        <w:adjustRightInd w:val="0"/>
        <w:snapToGrid w:val="0"/>
        <w:ind w:firstLine="420" w:firstLineChars="200"/>
        <w:rPr>
          <w:rFonts w:ascii="Times New Roman" w:hAnsi="Times New Roman"/>
        </w:rPr>
      </w:pPr>
      <w:r>
        <w:rPr>
          <w:rFonts w:hint="eastAsia" w:cs="宋体"/>
        </w:rPr>
        <w:t>评价指标体系包括三个层次，即一级指标、二级指标和具体评价要求</w:t>
      </w:r>
      <w:r>
        <w:rPr>
          <w:rFonts w:ascii="Times New Roman" w:hAnsi="Times New Roman"/>
        </w:rPr>
        <w:t>。一级指标包括基本要求、基础设施、管理体系、能源与资源投入、产品、环境排放、绩效共7个方面；在</w:t>
      </w:r>
      <w:r>
        <w:rPr>
          <w:rFonts w:hint="eastAsia" w:ascii="Times New Roman" w:hAnsi="Times New Roman"/>
        </w:rPr>
        <w:t>每个</w:t>
      </w:r>
      <w:r>
        <w:rPr>
          <w:rFonts w:ascii="Times New Roman" w:hAnsi="Times New Roman"/>
        </w:rPr>
        <w:t>一级指标下设二级指标，在</w:t>
      </w:r>
      <w:r>
        <w:rPr>
          <w:rFonts w:hint="eastAsia" w:ascii="Times New Roman" w:hAnsi="Times New Roman"/>
        </w:rPr>
        <w:t>每个</w:t>
      </w:r>
      <w:r>
        <w:rPr>
          <w:rFonts w:ascii="Times New Roman" w:hAnsi="Times New Roman"/>
        </w:rPr>
        <w:t>二级指标下设具体评价要求。</w:t>
      </w:r>
      <w:r>
        <w:rPr>
          <w:rFonts w:hint="eastAsia" w:ascii="Times New Roman" w:hAnsi="Times New Roman"/>
        </w:rPr>
        <w:t>一级指标中的</w:t>
      </w:r>
      <w:r>
        <w:rPr>
          <w:rFonts w:ascii="Times New Roman" w:hAnsi="Times New Roman"/>
        </w:rPr>
        <w:t>基本要求为工厂参与评价的基本条件，不参与评分，其他6个方面</w:t>
      </w:r>
      <w:r>
        <w:rPr>
          <w:rFonts w:hint="eastAsia" w:ascii="Times New Roman" w:hAnsi="Times New Roman"/>
        </w:rPr>
        <w:t>均参与评分</w:t>
      </w:r>
      <w:r>
        <w:rPr>
          <w:rFonts w:ascii="Times New Roman" w:hAnsi="Times New Roman"/>
        </w:rPr>
        <w:t>，通过评分来判断工厂满足要求的程度。</w:t>
      </w:r>
    </w:p>
    <w:p>
      <w:pPr>
        <w:adjustRightInd w:val="0"/>
        <w:snapToGrid w:val="0"/>
        <w:ind w:firstLine="420" w:firstLineChars="200"/>
        <w:rPr>
          <w:rFonts w:ascii="Times New Roman" w:hAnsi="Times New Roman"/>
        </w:rPr>
      </w:pPr>
      <w:r>
        <w:rPr>
          <w:rFonts w:hint="eastAsia" w:ascii="Times New Roman" w:hAnsi="Times New Roman"/>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pPr>
        <w:adjustRightInd w:val="0"/>
        <w:snapToGrid w:val="0"/>
        <w:rPr>
          <w:rFonts w:ascii="黑体" w:hAnsi="黑体" w:eastAsia="黑体" w:cs="黑体"/>
        </w:rPr>
      </w:pPr>
      <w:r>
        <w:rPr>
          <w:rFonts w:hint="eastAsia" w:ascii="黑体" w:hAnsi="黑体" w:eastAsia="黑体" w:cs="黑体"/>
        </w:rPr>
        <w:t>4.</w:t>
      </w:r>
      <w:r>
        <w:rPr>
          <w:rFonts w:ascii="黑体" w:hAnsi="黑体" w:eastAsia="黑体" w:cs="黑体"/>
        </w:rPr>
        <w:t>3</w:t>
      </w:r>
      <w:r>
        <w:rPr>
          <w:rFonts w:hint="eastAsia" w:ascii="黑体" w:hAnsi="黑体" w:eastAsia="黑体" w:cs="黑体"/>
        </w:rPr>
        <w:t>.2 权重系数和指标分数</w:t>
      </w:r>
    </w:p>
    <w:p>
      <w:pPr>
        <w:adjustRightInd w:val="0"/>
        <w:snapToGrid w:val="0"/>
        <w:ind w:firstLine="420" w:firstLineChars="200"/>
        <w:rPr>
          <w:rFonts w:ascii="Times New Roman" w:hAnsi="Times New Roman"/>
        </w:rPr>
      </w:pPr>
      <w:r>
        <w:rPr>
          <w:rFonts w:hint="eastAsia" w:ascii="Times New Roman" w:hAnsi="Times New Roman"/>
        </w:rPr>
        <w:t>粘结钕铁硼永磁体</w:t>
      </w:r>
      <w:r>
        <w:rPr>
          <w:rFonts w:ascii="Times New Roman" w:hAnsi="Times New Roman"/>
        </w:rPr>
        <w:t>工厂</w:t>
      </w:r>
      <w:r>
        <w:rPr>
          <w:rFonts w:hint="eastAsia" w:ascii="Times New Roman" w:hAnsi="Times New Roman"/>
        </w:rPr>
        <w:t>绿色工厂评价一级指标权重系数范围为：</w:t>
      </w:r>
    </w:p>
    <w:p>
      <w:pPr>
        <w:adjustRightInd w:val="0"/>
        <w:snapToGrid w:val="0"/>
        <w:ind w:firstLine="420" w:firstLineChars="200"/>
        <w:rPr>
          <w:rFonts w:ascii="Times New Roman" w:hAnsi="Times New Roman"/>
        </w:rPr>
      </w:pPr>
      <w:r>
        <w:rPr>
          <w:rFonts w:ascii="Times New Roman" w:hAnsi="Times New Roman"/>
        </w:rPr>
        <w:t>——基本要求（5.1）采取一票否决制，应全部满足；</w:t>
      </w:r>
    </w:p>
    <w:p>
      <w:pPr>
        <w:adjustRightInd w:val="0"/>
        <w:snapToGrid w:val="0"/>
        <w:ind w:firstLine="420" w:firstLineChars="200"/>
        <w:rPr>
          <w:rFonts w:ascii="Times New Roman" w:hAnsi="Times New Roman"/>
        </w:rPr>
      </w:pPr>
      <w:r>
        <w:rPr>
          <w:rFonts w:ascii="Times New Roman" w:hAnsi="Times New Roman"/>
        </w:rPr>
        <w:t>——基础设施（5.2）1</w:t>
      </w:r>
      <w:r>
        <w:rPr>
          <w:rFonts w:hint="eastAsia" w:ascii="Times New Roman" w:hAnsi="Times New Roman"/>
        </w:rPr>
        <w:t>0</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——管理体系（5.3）15%；</w:t>
      </w:r>
    </w:p>
    <w:p>
      <w:pPr>
        <w:adjustRightInd w:val="0"/>
        <w:snapToGrid w:val="0"/>
        <w:ind w:firstLine="420" w:firstLineChars="200"/>
        <w:rPr>
          <w:rFonts w:ascii="Times New Roman" w:hAnsi="Times New Roman"/>
        </w:rPr>
      </w:pPr>
      <w:r>
        <w:rPr>
          <w:rFonts w:ascii="Times New Roman" w:hAnsi="Times New Roman"/>
        </w:rPr>
        <w:t>——能源与资源投入（5.4）15%；</w:t>
      </w:r>
    </w:p>
    <w:p>
      <w:pPr>
        <w:adjustRightInd w:val="0"/>
        <w:snapToGrid w:val="0"/>
        <w:ind w:firstLine="420" w:firstLineChars="200"/>
        <w:rPr>
          <w:rFonts w:ascii="Times New Roman" w:hAnsi="Times New Roman"/>
        </w:rPr>
      </w:pPr>
      <w:r>
        <w:rPr>
          <w:rFonts w:ascii="Times New Roman" w:hAnsi="Times New Roman"/>
        </w:rPr>
        <w:t>——产品（5.5）10%；</w:t>
      </w:r>
    </w:p>
    <w:p>
      <w:pPr>
        <w:adjustRightInd w:val="0"/>
        <w:snapToGrid w:val="0"/>
        <w:ind w:firstLine="420" w:firstLineChars="200"/>
        <w:rPr>
          <w:rFonts w:ascii="Times New Roman" w:hAnsi="Times New Roman"/>
        </w:rPr>
      </w:pPr>
      <w:r>
        <w:rPr>
          <w:rFonts w:ascii="Times New Roman" w:hAnsi="Times New Roman"/>
        </w:rPr>
        <w:t>——环境排放（5.6）2</w:t>
      </w:r>
      <w:r>
        <w:rPr>
          <w:rFonts w:hint="eastAsia" w:ascii="Times New Roman" w:hAnsi="Times New Roman"/>
        </w:rPr>
        <w:t>5</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——绩效（5.7）25%。</w:t>
      </w:r>
    </w:p>
    <w:p>
      <w:pPr>
        <w:adjustRightInd w:val="0"/>
        <w:snapToGrid w:val="0"/>
        <w:ind w:firstLine="420" w:firstLineChars="200"/>
        <w:rPr>
          <w:rFonts w:ascii="Times New Roman" w:hAnsi="Times New Roman"/>
        </w:rPr>
      </w:pPr>
      <w:r>
        <w:rPr>
          <w:rFonts w:ascii="Times New Roman" w:hAnsi="Times New Roman"/>
        </w:rPr>
        <w:t>最终权重系数总和为100%，二级指标和具体评价要求见附录A。</w:t>
      </w:r>
    </w:p>
    <w:p>
      <w:pPr>
        <w:adjustRightInd w:val="0"/>
        <w:snapToGrid w:val="0"/>
        <w:spacing w:before="158" w:beforeLines="50" w:after="158" w:afterLines="50"/>
        <w:rPr>
          <w:rFonts w:ascii="黑体" w:hAnsi="黑体" w:eastAsia="黑体" w:cs="黑体"/>
        </w:rPr>
      </w:pPr>
      <w:bookmarkStart w:id="42" w:name="_Toc531265193"/>
      <w:bookmarkStart w:id="43" w:name="_Toc7744"/>
      <w:r>
        <w:rPr>
          <w:rFonts w:hint="eastAsia" w:ascii="黑体" w:hAnsi="黑体" w:eastAsia="黑体" w:cs="黑体"/>
        </w:rPr>
        <w:t>4.</w:t>
      </w:r>
      <w:r>
        <w:rPr>
          <w:rFonts w:ascii="黑体" w:hAnsi="黑体" w:eastAsia="黑体" w:cs="黑体"/>
        </w:rPr>
        <w:t>4</w:t>
      </w:r>
      <w:r>
        <w:rPr>
          <w:rFonts w:hint="eastAsia" w:ascii="黑体" w:hAnsi="黑体" w:eastAsia="黑体" w:cs="黑体"/>
        </w:rPr>
        <w:t xml:space="preserve"> 评价方法</w:t>
      </w:r>
      <w:bookmarkEnd w:id="42"/>
      <w:bookmarkEnd w:id="43"/>
    </w:p>
    <w:p>
      <w:pPr>
        <w:adjustRightInd w:val="0"/>
        <w:snapToGrid w:val="0"/>
        <w:rPr>
          <w:rFonts w:cs="宋体"/>
        </w:rPr>
      </w:pPr>
      <w:r>
        <w:rPr>
          <w:rFonts w:hint="eastAsia" w:ascii="黑体" w:hAnsi="黑体" w:eastAsia="黑体" w:cs="黑体"/>
        </w:rPr>
        <w:t>4.</w:t>
      </w:r>
      <w:r>
        <w:rPr>
          <w:rFonts w:ascii="黑体" w:hAnsi="黑体" w:eastAsia="黑体" w:cs="黑体"/>
        </w:rPr>
        <w:t>4</w:t>
      </w:r>
      <w:r>
        <w:rPr>
          <w:rFonts w:hint="eastAsia" w:ascii="黑体" w:hAnsi="黑体" w:eastAsia="黑体" w:cs="黑体"/>
        </w:rPr>
        <w:t>.1</w:t>
      </w:r>
      <w:r>
        <w:rPr>
          <w:rFonts w:hint="eastAsia" w:cs="宋体"/>
        </w:rPr>
        <w:t xml:space="preserve"> 评价可由第一方、第二方或第三方组织实施。当评价结果用于对外宣告时，则评价方至少应包括独立于工厂、具备相应能力的第三方组织。</w:t>
      </w:r>
    </w:p>
    <w:p>
      <w:pPr>
        <w:adjustRightInd w:val="0"/>
        <w:snapToGrid w:val="0"/>
        <w:rPr>
          <w:rFonts w:cs="宋体"/>
        </w:rPr>
      </w:pPr>
      <w:r>
        <w:rPr>
          <w:rFonts w:hint="eastAsia" w:ascii="黑体" w:hAnsi="黑体" w:eastAsia="黑体" w:cs="黑体"/>
        </w:rPr>
        <w:t>4.</w:t>
      </w:r>
      <w:r>
        <w:rPr>
          <w:rFonts w:ascii="黑体" w:hAnsi="黑体" w:eastAsia="黑体" w:cs="黑体"/>
        </w:rPr>
        <w:t>4</w:t>
      </w:r>
      <w:r>
        <w:rPr>
          <w:rFonts w:hint="eastAsia" w:ascii="黑体" w:hAnsi="黑体" w:eastAsia="黑体" w:cs="黑体"/>
        </w:rPr>
        <w:t xml:space="preserve">.2 </w:t>
      </w:r>
      <w:r>
        <w:rPr>
          <w:rFonts w:hint="eastAsia" w:cs="宋体"/>
        </w:rPr>
        <w:t>实施评价的组织应查看受评工厂的相关报告，包括并不限于统计报表、原始记录、声明文件、分析测试报告、相关第三方认证证书等支持性文件等；并根据实际情况，通过对相关人员的座谈、实地调查、抽样调查等方式收集评价证据，并对评价证据进行分析，确保受评工厂的评价结果对相关指标要求的符合性证据充分、完整、准确。</w:t>
      </w:r>
    </w:p>
    <w:p>
      <w:pPr>
        <w:adjustRightInd w:val="0"/>
        <w:snapToGrid w:val="0"/>
        <w:rPr>
          <w:rFonts w:ascii="黑体" w:hAnsi="黑体" w:cs="黑体"/>
        </w:rPr>
      </w:pPr>
      <w:r>
        <w:rPr>
          <w:rFonts w:hint="eastAsia" w:ascii="黑体" w:hAnsi="黑体" w:eastAsia="黑体" w:cs="黑体"/>
        </w:rPr>
        <w:t>4.</w:t>
      </w:r>
      <w:r>
        <w:rPr>
          <w:rFonts w:ascii="黑体" w:hAnsi="黑体" w:eastAsia="黑体" w:cs="黑体"/>
        </w:rPr>
        <w:t>4</w:t>
      </w:r>
      <w:r>
        <w:rPr>
          <w:rFonts w:hint="eastAsia" w:ascii="黑体" w:hAnsi="黑体" w:eastAsia="黑体" w:cs="黑体"/>
        </w:rPr>
        <w:t>.</w:t>
      </w:r>
      <w:r>
        <w:rPr>
          <w:rFonts w:ascii="黑体" w:hAnsi="黑体" w:eastAsia="黑体" w:cs="黑体"/>
        </w:rPr>
        <w:t>3</w:t>
      </w:r>
      <w:r>
        <w:rPr>
          <w:rFonts w:hint="eastAsia" w:cs="宋体"/>
        </w:rPr>
        <w:t xml:space="preserve"> 评价采用指标</w:t>
      </w:r>
      <w:r>
        <w:rPr>
          <w:rFonts w:hint="eastAsia" w:ascii="Times New Roman" w:hAnsi="Times New Roman"/>
        </w:rPr>
        <w:t>加权综合评分的方式，各指标加权综合评分的总分为</w:t>
      </w:r>
      <w:r>
        <w:rPr>
          <w:rFonts w:ascii="Times New Roman" w:hAnsi="Times New Roman"/>
        </w:rPr>
        <w:t>100</w:t>
      </w:r>
      <w:r>
        <w:rPr>
          <w:rFonts w:hint="eastAsia" w:ascii="Times New Roman" w:hAnsi="Times New Roman"/>
        </w:rPr>
        <w:t>分。</w:t>
      </w:r>
      <w:r>
        <w:rPr>
          <w:rFonts w:hint="eastAsia" w:cs="宋体"/>
        </w:rPr>
        <w:t>粘结钕铁硼绿色工厂</w:t>
      </w:r>
      <w:r>
        <w:rPr>
          <w:rFonts w:hint="eastAsia" w:ascii="Times New Roman" w:hAnsi="Times New Roman"/>
        </w:rPr>
        <w:t>评价指标表见附录</w:t>
      </w:r>
      <w:r>
        <w:rPr>
          <w:rFonts w:ascii="Times New Roman" w:hAnsi="Times New Roman"/>
        </w:rPr>
        <w:t>A</w:t>
      </w:r>
      <w:r>
        <w:rPr>
          <w:rFonts w:hint="eastAsia" w:ascii="Times New Roman" w:hAnsi="Times New Roman"/>
        </w:rPr>
        <w:t>。</w:t>
      </w:r>
      <w:bookmarkStart w:id="44" w:name="_Hlk54606779"/>
      <w:r>
        <w:rPr>
          <w:rFonts w:hint="eastAsia" w:ascii="Times New Roman" w:hAnsi="Times New Roman"/>
        </w:rPr>
        <w:t>对照附录</w:t>
      </w:r>
      <w:r>
        <w:rPr>
          <w:rFonts w:ascii="Times New Roman" w:hAnsi="Times New Roman"/>
        </w:rPr>
        <w:t>A</w:t>
      </w:r>
      <w:r>
        <w:rPr>
          <w:rFonts w:hint="eastAsia" w:ascii="Times New Roman" w:hAnsi="Times New Roman"/>
        </w:rPr>
        <w:t>表</w:t>
      </w:r>
      <w:r>
        <w:rPr>
          <w:rFonts w:ascii="Times New Roman" w:hAnsi="Times New Roman"/>
        </w:rPr>
        <w:t>A.1</w:t>
      </w:r>
      <w:r>
        <w:rPr>
          <w:rFonts w:hint="eastAsia" w:ascii="Times New Roman" w:hAnsi="Times New Roman"/>
        </w:rPr>
        <w:t>中具体条款，分值类型分为一票否决型、零整型和取值型：一票否决型为基本要求，无分值，任意一项不符合即可判定不符合绿色工厂要求；零整型得分根据符合与否取</w:t>
      </w:r>
      <w:r>
        <w:rPr>
          <w:rFonts w:ascii="Times New Roman" w:hAnsi="Times New Roman"/>
        </w:rPr>
        <w:t>0</w:t>
      </w:r>
      <w:r>
        <w:rPr>
          <w:rFonts w:hint="eastAsia" w:ascii="Times New Roman" w:hAnsi="Times New Roman"/>
        </w:rPr>
        <w:t>分或满分，取值型指标根据符合程度按照附录</w:t>
      </w:r>
      <w:r>
        <w:rPr>
          <w:rFonts w:ascii="Times New Roman" w:hAnsi="Times New Roman"/>
        </w:rPr>
        <w:t>B</w:t>
      </w:r>
      <w:r>
        <w:rPr>
          <w:rFonts w:hint="eastAsia" w:ascii="Times New Roman" w:hAnsi="Times New Roman"/>
        </w:rPr>
        <w:t>的要求在</w:t>
      </w:r>
      <w:r>
        <w:rPr>
          <w:rFonts w:ascii="Times New Roman" w:hAnsi="Times New Roman"/>
        </w:rPr>
        <w:t>0</w:t>
      </w:r>
      <w:r>
        <w:rPr>
          <w:rFonts w:hint="eastAsia" w:ascii="Times New Roman" w:hAnsi="Times New Roman"/>
        </w:rPr>
        <w:t>分和满分之间取整数值</w:t>
      </w:r>
      <w:bookmarkStart w:id="45" w:name="_Hlk54430613"/>
      <w:r>
        <w:rPr>
          <w:rFonts w:hint="eastAsia" w:ascii="Times New Roman" w:hAnsi="Times New Roman"/>
        </w:rPr>
        <w:t>。</w:t>
      </w:r>
      <w:bookmarkEnd w:id="44"/>
      <w:bookmarkEnd w:id="45"/>
    </w:p>
    <w:p>
      <w:pPr>
        <w:adjustRightInd w:val="0"/>
        <w:snapToGrid w:val="0"/>
        <w:rPr>
          <w:rFonts w:ascii="Times New Roman" w:hAnsi="Times New Roman"/>
        </w:rPr>
      </w:pPr>
      <w:r>
        <w:rPr>
          <w:rFonts w:hint="eastAsia" w:ascii="黑体" w:hAnsi="黑体" w:eastAsia="黑体" w:cs="黑体"/>
        </w:rPr>
        <w:t>4.</w:t>
      </w:r>
      <w:r>
        <w:rPr>
          <w:rFonts w:ascii="黑体" w:hAnsi="黑体" w:eastAsia="黑体" w:cs="黑体"/>
        </w:rPr>
        <w:t>4</w:t>
      </w:r>
      <w:r>
        <w:rPr>
          <w:rFonts w:hint="eastAsia" w:ascii="黑体" w:hAnsi="黑体" w:eastAsia="黑体" w:cs="黑体"/>
        </w:rPr>
        <w:t xml:space="preserve">.4 </w:t>
      </w:r>
      <w:r>
        <w:rPr>
          <w:rFonts w:hint="eastAsia" w:ascii="Times New Roman" w:hAnsi="Times New Roman"/>
        </w:rPr>
        <w:t>评价应依据国家主管部门规定、粘结钕铁硼永磁体工厂先进水平或相关方要求确定评分标准，当工厂完全符合5.1基本要求的同时，指标加权综合评分在85分及以上时才具有评定绿色工厂的资格。</w:t>
      </w:r>
    </w:p>
    <w:p>
      <w:pPr>
        <w:pStyle w:val="2"/>
        <w:adjustRightInd w:val="0"/>
        <w:snapToGrid w:val="0"/>
        <w:spacing w:before="317" w:beforeLines="100" w:after="317" w:afterLines="100"/>
        <w:rPr>
          <w:rFonts w:ascii="黑体" w:hAnsi="黑体" w:cs="黑体"/>
        </w:rPr>
      </w:pPr>
      <w:bookmarkStart w:id="46" w:name="_Toc3785_WPSOffice_Level1"/>
      <w:bookmarkStart w:id="47" w:name="_Toc31792_WPSOffice_Level1"/>
      <w:bookmarkStart w:id="48" w:name="_Toc381480744"/>
      <w:bookmarkStart w:id="49" w:name="_Toc23570"/>
      <w:bookmarkStart w:id="50" w:name="_Toc28040"/>
      <w:bookmarkStart w:id="51" w:name="_Toc17885"/>
      <w:bookmarkStart w:id="52" w:name="_Toc40971603"/>
      <w:bookmarkStart w:id="53" w:name="_Toc531265194"/>
      <w:r>
        <w:rPr>
          <w:rFonts w:hint="eastAsia" w:ascii="黑体" w:hAnsi="黑体" w:cs="黑体"/>
        </w:rPr>
        <w:t xml:space="preserve">5 </w:t>
      </w:r>
      <w:bookmarkEnd w:id="46"/>
      <w:bookmarkEnd w:id="47"/>
      <w:bookmarkEnd w:id="48"/>
      <w:bookmarkEnd w:id="49"/>
      <w:r>
        <w:rPr>
          <w:rFonts w:hint="eastAsia" w:ascii="黑体" w:hAnsi="黑体" w:cs="黑体"/>
        </w:rPr>
        <w:t>评价要求</w:t>
      </w:r>
      <w:bookmarkEnd w:id="50"/>
      <w:bookmarkEnd w:id="51"/>
      <w:bookmarkEnd w:id="52"/>
      <w:bookmarkEnd w:id="53"/>
    </w:p>
    <w:p>
      <w:pPr>
        <w:adjustRightInd w:val="0"/>
        <w:snapToGrid w:val="0"/>
        <w:spacing w:before="158" w:beforeLines="50" w:after="158" w:afterLines="50" w:line="240" w:lineRule="auto"/>
        <w:rPr>
          <w:rFonts w:ascii="黑体" w:hAnsi="黑体" w:eastAsia="黑体" w:cs="黑体"/>
        </w:rPr>
      </w:pPr>
      <w:bookmarkStart w:id="54" w:name="_Toc531265195"/>
      <w:bookmarkStart w:id="55" w:name="_Toc27544"/>
      <w:r>
        <w:rPr>
          <w:rFonts w:hint="eastAsia" w:ascii="黑体" w:hAnsi="黑体" w:eastAsia="黑体" w:cs="黑体"/>
        </w:rPr>
        <w:t>5.1 基本要求</w:t>
      </w:r>
      <w:bookmarkEnd w:id="54"/>
      <w:bookmarkEnd w:id="55"/>
    </w:p>
    <w:p>
      <w:pPr>
        <w:pStyle w:val="3"/>
        <w:numPr>
          <w:ilvl w:val="0"/>
          <w:numId w:val="0"/>
        </w:numPr>
        <w:adjustRightInd w:val="0"/>
        <w:snapToGrid w:val="0"/>
        <w:spacing w:beforeLines="0" w:afterLines="0" w:line="360" w:lineRule="auto"/>
        <w:rPr>
          <w:rFonts w:ascii="黑体" w:hAnsi="黑体" w:eastAsia="黑体" w:cs="黑体"/>
        </w:rPr>
      </w:pPr>
      <w:bookmarkStart w:id="56" w:name="_Toc381480745"/>
      <w:bookmarkStart w:id="57" w:name="_Toc531265196"/>
      <w:bookmarkStart w:id="58" w:name="_Toc1532_WPSOffice_Level2"/>
      <w:bookmarkStart w:id="59" w:name="_Toc19864"/>
      <w:bookmarkStart w:id="60" w:name="_Toc24545"/>
      <w:bookmarkStart w:id="61" w:name="_Toc15452_WPSOffice_Level2"/>
      <w:r>
        <w:rPr>
          <w:rFonts w:hint="eastAsia" w:ascii="黑体" w:hAnsi="黑体" w:eastAsia="黑体" w:cs="黑体"/>
        </w:rPr>
        <w:t>5.1.1合规性与相关方要求</w:t>
      </w:r>
      <w:bookmarkEnd w:id="56"/>
      <w:bookmarkEnd w:id="57"/>
      <w:bookmarkEnd w:id="58"/>
      <w:bookmarkEnd w:id="59"/>
      <w:bookmarkEnd w:id="60"/>
      <w:bookmarkEnd w:id="61"/>
    </w:p>
    <w:p>
      <w:pPr>
        <w:pStyle w:val="11"/>
        <w:adjustRightInd w:val="0"/>
        <w:snapToGrid w:val="0"/>
        <w:ind w:firstLine="0" w:firstLineChars="0"/>
        <w:rPr>
          <w:rFonts w:ascii="Times New Roman"/>
          <w:sz w:val="21"/>
        </w:rPr>
      </w:pPr>
      <w:r>
        <w:rPr>
          <w:rFonts w:hint="eastAsia" w:ascii="黑体" w:hAnsi="黑体" w:eastAsia="黑体" w:cs="黑体"/>
          <w:sz w:val="21"/>
        </w:rPr>
        <w:t xml:space="preserve">5.1.1.1 </w:t>
      </w:r>
      <w:r>
        <w:rPr>
          <w:rFonts w:hint="eastAsia" w:ascii="Times New Roman"/>
          <w:sz w:val="21"/>
        </w:rPr>
        <w:t>粘结钕铁硼永磁体工厂应依法设立，实施生产至少一年以上，在建设和生产过程中应遵守有关法律、法规、政策和标准。</w:t>
      </w:r>
    </w:p>
    <w:p>
      <w:pPr>
        <w:pStyle w:val="11"/>
        <w:adjustRightInd w:val="0"/>
        <w:snapToGrid w:val="0"/>
        <w:ind w:firstLine="0" w:firstLineChars="0"/>
        <w:rPr>
          <w:rFonts w:ascii="Times New Roman"/>
          <w:sz w:val="21"/>
        </w:rPr>
      </w:pPr>
      <w:r>
        <w:rPr>
          <w:rFonts w:hint="eastAsia" w:ascii="黑体" w:hAnsi="黑体" w:eastAsia="黑体" w:cs="黑体"/>
          <w:sz w:val="21"/>
        </w:rPr>
        <w:t xml:space="preserve">5.1.1.2 </w:t>
      </w:r>
      <w:r>
        <w:rPr>
          <w:rFonts w:hint="eastAsia" w:ascii="Times New Roman"/>
          <w:sz w:val="21"/>
        </w:rPr>
        <w:t>应具有良好信用，近三年（含成立不足三年）无严重违法失信、经营异常和行政处罚记录。</w:t>
      </w:r>
    </w:p>
    <w:p>
      <w:pPr>
        <w:pStyle w:val="11"/>
        <w:adjustRightInd w:val="0"/>
        <w:snapToGrid w:val="0"/>
        <w:ind w:firstLine="0" w:firstLineChars="0"/>
        <w:rPr>
          <w:rFonts w:ascii="Times New Roman"/>
          <w:sz w:val="21"/>
        </w:rPr>
      </w:pPr>
      <w:r>
        <w:rPr>
          <w:rFonts w:hint="eastAsia" w:ascii="黑体" w:hAnsi="黑体" w:eastAsia="黑体" w:cs="黑体"/>
          <w:sz w:val="21"/>
        </w:rPr>
        <w:t xml:space="preserve">5.1.1.3 </w:t>
      </w:r>
      <w:r>
        <w:rPr>
          <w:rFonts w:hint="eastAsia" w:ascii="Times New Roman"/>
          <w:sz w:val="21"/>
        </w:rPr>
        <w:t>近三年（含成立不足三年）未发生工亡以上的生产安全事故、未受环保行政处罚、无较大质量事故。</w:t>
      </w:r>
    </w:p>
    <w:p>
      <w:pPr>
        <w:pStyle w:val="11"/>
        <w:adjustRightInd w:val="0"/>
        <w:snapToGrid w:val="0"/>
        <w:ind w:firstLine="0" w:firstLineChars="0"/>
        <w:rPr>
          <w:rFonts w:ascii="Times New Roman"/>
          <w:sz w:val="21"/>
        </w:rPr>
      </w:pPr>
      <w:r>
        <w:rPr>
          <w:rFonts w:hint="eastAsia" w:ascii="黑体" w:hAnsi="黑体" w:eastAsia="黑体" w:cs="黑体"/>
          <w:sz w:val="21"/>
        </w:rPr>
        <w:t xml:space="preserve">5.1.1.4 </w:t>
      </w:r>
      <w:r>
        <w:rPr>
          <w:rFonts w:hint="eastAsia" w:ascii="Times New Roman"/>
          <w:sz w:val="21"/>
        </w:rPr>
        <w:t>对利益相关方的环境要求做出承诺的，应同时满足有关承诺的要求。</w:t>
      </w:r>
    </w:p>
    <w:p>
      <w:pPr>
        <w:pStyle w:val="11"/>
        <w:adjustRightInd w:val="0"/>
        <w:snapToGrid w:val="0"/>
        <w:ind w:firstLine="0" w:firstLineChars="0"/>
        <w:rPr>
          <w:rFonts w:ascii="Times New Roman"/>
          <w:sz w:val="21"/>
        </w:rPr>
      </w:pPr>
      <w:r>
        <w:rPr>
          <w:rFonts w:hint="eastAsia" w:ascii="黑体" w:hAnsi="黑体" w:eastAsia="黑体" w:cs="黑体"/>
          <w:sz w:val="21"/>
        </w:rPr>
        <w:t>5.1.1.5</w:t>
      </w:r>
      <w:r>
        <w:rPr>
          <w:rFonts w:ascii="Times New Roman"/>
          <w:sz w:val="21"/>
        </w:rPr>
        <w:t>能源消耗指标应满足</w:t>
      </w:r>
      <w:r>
        <w:rPr>
          <w:rFonts w:hint="eastAsia" w:ascii="Times New Roman"/>
          <w:sz w:val="21"/>
        </w:rPr>
        <w:t>粘结钕铁硼永磁体</w:t>
      </w:r>
      <w:r>
        <w:rPr>
          <w:rFonts w:ascii="Times New Roman"/>
          <w:sz w:val="21"/>
        </w:rPr>
        <w:t>工厂执行的强制性能耗限额标准限定值的要求。</w:t>
      </w:r>
    </w:p>
    <w:p>
      <w:pPr>
        <w:pStyle w:val="11"/>
        <w:adjustRightInd w:val="0"/>
        <w:snapToGrid w:val="0"/>
        <w:ind w:firstLine="0" w:firstLineChars="0"/>
        <w:rPr>
          <w:rFonts w:ascii="Times New Roman"/>
          <w:sz w:val="21"/>
        </w:rPr>
      </w:pPr>
      <w:r>
        <w:rPr>
          <w:rFonts w:hint="eastAsia" w:ascii="黑体" w:hAnsi="黑体" w:eastAsia="黑体" w:cs="黑体"/>
          <w:sz w:val="21"/>
        </w:rPr>
        <w:t xml:space="preserve">5.1.1.6 </w:t>
      </w:r>
      <w:r>
        <w:rPr>
          <w:rFonts w:ascii="Times New Roman"/>
          <w:sz w:val="21"/>
        </w:rPr>
        <w:t>工厂各种污染物排放指标应符</w:t>
      </w:r>
      <w:r>
        <w:rPr>
          <w:rFonts w:ascii="Times New Roman" w:hAnsi="Times New Roman"/>
          <w:sz w:val="21"/>
        </w:rPr>
        <w:t>合国家、地方现行</w:t>
      </w:r>
      <w:r>
        <w:rPr>
          <w:rFonts w:ascii="Times New Roman"/>
          <w:sz w:val="21"/>
        </w:rPr>
        <w:t>有关标准的要求。</w:t>
      </w:r>
    </w:p>
    <w:p>
      <w:pPr>
        <w:pStyle w:val="3"/>
        <w:numPr>
          <w:ilvl w:val="0"/>
          <w:numId w:val="0"/>
        </w:numPr>
        <w:adjustRightInd w:val="0"/>
        <w:snapToGrid w:val="0"/>
        <w:spacing w:beforeLines="0" w:afterLines="0" w:line="360" w:lineRule="auto"/>
        <w:rPr>
          <w:rFonts w:ascii="黑体" w:hAnsi="黑体" w:eastAsia="黑体" w:cs="黑体"/>
        </w:rPr>
      </w:pPr>
      <w:bookmarkStart w:id="62" w:name="_Toc381480746"/>
      <w:bookmarkStart w:id="63" w:name="_Toc30718"/>
      <w:bookmarkStart w:id="64" w:name="_Toc24263_WPSOffice_Level2"/>
      <w:bookmarkStart w:id="65" w:name="_Toc29742_WPSOffice_Level2"/>
      <w:bookmarkStart w:id="66" w:name="_Toc24835"/>
      <w:bookmarkStart w:id="67" w:name="_Toc531265197"/>
      <w:r>
        <w:rPr>
          <w:rFonts w:hint="eastAsia" w:ascii="黑体" w:hAnsi="黑体" w:eastAsia="黑体" w:cs="黑体"/>
        </w:rPr>
        <w:t>5.1.2 基础管理职责</w:t>
      </w:r>
      <w:bookmarkEnd w:id="62"/>
      <w:bookmarkEnd w:id="63"/>
      <w:bookmarkEnd w:id="64"/>
      <w:bookmarkEnd w:id="65"/>
      <w:bookmarkEnd w:id="66"/>
      <w:bookmarkEnd w:id="67"/>
    </w:p>
    <w:p>
      <w:pPr>
        <w:adjustRightInd w:val="0"/>
        <w:snapToGrid w:val="0"/>
        <w:ind w:firstLine="420" w:firstLineChars="200"/>
        <w:rPr>
          <w:rFonts w:ascii="Times New Roman" w:hAnsi="Times New Roman"/>
        </w:rPr>
      </w:pPr>
      <w:r>
        <w:rPr>
          <w:rFonts w:hint="eastAsia"/>
        </w:rPr>
        <w:t>基础管理职责（包括最高管理者要求</w:t>
      </w:r>
      <w:r>
        <w:rPr>
          <w:rFonts w:ascii="Times New Roman" w:hAnsi="Times New Roman"/>
        </w:rPr>
        <w:t>和工厂要求）应满足GB/T 36132中4.3的要求。</w:t>
      </w:r>
    </w:p>
    <w:p>
      <w:pPr>
        <w:adjustRightInd w:val="0"/>
        <w:snapToGrid w:val="0"/>
        <w:spacing w:before="158" w:beforeLines="50" w:after="158" w:afterLines="50" w:line="240" w:lineRule="auto"/>
        <w:rPr>
          <w:rFonts w:ascii="黑体" w:hAnsi="黑体" w:eastAsia="黑体" w:cs="黑体"/>
        </w:rPr>
      </w:pPr>
      <w:bookmarkStart w:id="68" w:name="_Toc16947_WPSOffice_Level1"/>
      <w:bookmarkStart w:id="69" w:name="_Toc381480747"/>
      <w:bookmarkStart w:id="70" w:name="_Toc17504"/>
      <w:bookmarkStart w:id="71" w:name="_Toc12538_WPSOffice_Level1"/>
      <w:bookmarkStart w:id="72" w:name="_Toc1879"/>
      <w:bookmarkStart w:id="73" w:name="_Toc531265198"/>
      <w:r>
        <w:rPr>
          <w:rFonts w:hint="eastAsia" w:ascii="黑体" w:hAnsi="黑体" w:eastAsia="黑体" w:cs="黑体"/>
        </w:rPr>
        <w:t>5.2 基础设施</w:t>
      </w:r>
      <w:bookmarkEnd w:id="68"/>
      <w:bookmarkEnd w:id="69"/>
      <w:bookmarkEnd w:id="70"/>
      <w:bookmarkEnd w:id="71"/>
      <w:r>
        <w:rPr>
          <w:rFonts w:hint="eastAsia" w:ascii="黑体" w:hAnsi="黑体" w:eastAsia="黑体" w:cs="黑体"/>
        </w:rPr>
        <w:t>要求</w:t>
      </w:r>
      <w:bookmarkEnd w:id="72"/>
      <w:bookmarkEnd w:id="73"/>
    </w:p>
    <w:p>
      <w:pPr>
        <w:pStyle w:val="3"/>
        <w:numPr>
          <w:ilvl w:val="0"/>
          <w:numId w:val="0"/>
        </w:numPr>
        <w:adjustRightInd w:val="0"/>
        <w:snapToGrid w:val="0"/>
        <w:spacing w:beforeLines="0" w:afterLines="0" w:line="360" w:lineRule="auto"/>
        <w:rPr>
          <w:rFonts w:ascii="黑体" w:hAnsi="黑体" w:eastAsia="黑体" w:cs="黑体"/>
        </w:rPr>
      </w:pPr>
      <w:bookmarkStart w:id="74" w:name="_Toc13270_WPSOffice_Level2"/>
      <w:bookmarkStart w:id="75" w:name="_Toc531265199"/>
      <w:bookmarkStart w:id="76" w:name="_Toc3107"/>
      <w:bookmarkStart w:id="77" w:name="_Toc32083_WPSOffice_Level2"/>
      <w:bookmarkStart w:id="78" w:name="_Toc13768"/>
      <w:bookmarkStart w:id="79" w:name="_Toc381480748"/>
      <w:r>
        <w:rPr>
          <w:rFonts w:hint="eastAsia" w:ascii="黑体" w:hAnsi="黑体" w:eastAsia="黑体" w:cs="黑体"/>
        </w:rPr>
        <w:t>5.2.1 建筑</w:t>
      </w:r>
      <w:bookmarkEnd w:id="74"/>
      <w:bookmarkEnd w:id="75"/>
      <w:bookmarkEnd w:id="76"/>
      <w:bookmarkEnd w:id="77"/>
      <w:bookmarkEnd w:id="78"/>
      <w:bookmarkEnd w:id="79"/>
    </w:p>
    <w:p>
      <w:pPr>
        <w:adjustRightInd w:val="0"/>
        <w:snapToGrid w:val="0"/>
        <w:ind w:firstLine="420" w:firstLineChars="200"/>
      </w:pPr>
      <w:r>
        <w:rPr>
          <w:rFonts w:hint="eastAsia"/>
          <w:szCs w:val="21"/>
        </w:rPr>
        <w:t>工厂的建筑应满足国家和地方相关法律法规及标准的要求，并从建筑材料、建筑结构、采光照明、绿化及场地、再生资源及能源利用等方面进行建筑的节材、节能、节水、节地、无害化及可再生能源利用</w:t>
      </w:r>
      <w:r>
        <w:rPr>
          <w:rFonts w:hint="eastAsia"/>
        </w:rPr>
        <w:t>。适用时，工厂的厂房应采用多层建筑。</w:t>
      </w:r>
    </w:p>
    <w:p>
      <w:pPr>
        <w:pStyle w:val="3"/>
        <w:numPr>
          <w:ilvl w:val="0"/>
          <w:numId w:val="0"/>
        </w:numPr>
        <w:adjustRightInd w:val="0"/>
        <w:snapToGrid w:val="0"/>
        <w:spacing w:beforeLines="0" w:afterLines="0" w:line="360" w:lineRule="auto"/>
        <w:rPr>
          <w:rFonts w:ascii="黑体" w:hAnsi="黑体" w:eastAsia="黑体" w:cs="黑体"/>
        </w:rPr>
      </w:pPr>
      <w:bookmarkStart w:id="80" w:name="_Toc27335"/>
      <w:bookmarkStart w:id="81" w:name="_Toc28808_WPSOffice_Level2"/>
      <w:bookmarkStart w:id="82" w:name="_Toc531265200"/>
      <w:bookmarkStart w:id="83" w:name="_Toc30617"/>
      <w:bookmarkStart w:id="84" w:name="_Toc11483_WPSOffice_Level2"/>
      <w:bookmarkStart w:id="85" w:name="_Toc381480749"/>
      <w:r>
        <w:rPr>
          <w:rFonts w:hint="eastAsia" w:ascii="黑体" w:hAnsi="黑体" w:eastAsia="黑体" w:cs="黑体"/>
        </w:rPr>
        <w:t>5.2.2 照明</w:t>
      </w:r>
      <w:bookmarkEnd w:id="80"/>
      <w:bookmarkEnd w:id="81"/>
      <w:bookmarkEnd w:id="82"/>
      <w:bookmarkEnd w:id="83"/>
      <w:bookmarkEnd w:id="84"/>
    </w:p>
    <w:bookmarkEnd w:id="85"/>
    <w:p>
      <w:pPr>
        <w:adjustRightInd w:val="0"/>
        <w:snapToGrid w:val="0"/>
        <w:rPr>
          <w:rFonts w:cs="宋体"/>
        </w:rPr>
      </w:pPr>
      <w:bookmarkStart w:id="86" w:name="_Toc3986_WPSOffice_Level2"/>
      <w:bookmarkStart w:id="87" w:name="_Toc24444_WPSOffice_Level2"/>
      <w:bookmarkStart w:id="88" w:name="_Toc788"/>
      <w:r>
        <w:rPr>
          <w:rFonts w:hint="eastAsia" w:ascii="黑体" w:hAnsi="黑体" w:eastAsia="黑体" w:cs="黑体"/>
        </w:rPr>
        <w:t xml:space="preserve">5.2.2.1 </w:t>
      </w:r>
      <w:r>
        <w:rPr>
          <w:rFonts w:hint="eastAsia" w:cs="宋体"/>
        </w:rPr>
        <w:t>厂区及各房间的照明应尽量利用自然光或节能灯，人工照明应符</w:t>
      </w:r>
      <w:r>
        <w:rPr>
          <w:rFonts w:ascii="Times New Roman" w:hAnsi="Times New Roman"/>
        </w:rPr>
        <w:t>合GB 50034的规定。</w:t>
      </w:r>
    </w:p>
    <w:p>
      <w:pPr>
        <w:adjustRightInd w:val="0"/>
        <w:snapToGrid w:val="0"/>
        <w:rPr>
          <w:rFonts w:cs="宋体"/>
        </w:rPr>
      </w:pPr>
      <w:r>
        <w:rPr>
          <w:rFonts w:hint="eastAsia" w:ascii="黑体" w:hAnsi="黑体" w:eastAsia="黑体" w:cs="黑体"/>
        </w:rPr>
        <w:t xml:space="preserve">5.2.2.2 </w:t>
      </w:r>
      <w:r>
        <w:rPr>
          <w:rFonts w:hint="eastAsia" w:cs="宋体"/>
        </w:rPr>
        <w:t>不同场所的照明应进行分级设计。</w:t>
      </w:r>
    </w:p>
    <w:p>
      <w:pPr>
        <w:adjustRightInd w:val="0"/>
        <w:snapToGrid w:val="0"/>
      </w:pPr>
      <w:r>
        <w:rPr>
          <w:rFonts w:hint="eastAsia" w:ascii="黑体" w:hAnsi="黑体" w:eastAsia="黑体" w:cs="黑体"/>
        </w:rPr>
        <w:t>5.2.2.3</w:t>
      </w:r>
      <w:r>
        <w:rPr>
          <w:rFonts w:hint="eastAsia"/>
        </w:rPr>
        <w:t xml:space="preserve"> 大型厂房的照明系统应采用分区控制方式，辅助生产和生活福利设施的照明系统应适当增设照明控制开关，短时有人的场所应采取节能自熄措施。</w:t>
      </w:r>
    </w:p>
    <w:p>
      <w:pPr>
        <w:pStyle w:val="3"/>
        <w:numPr>
          <w:ilvl w:val="0"/>
          <w:numId w:val="0"/>
        </w:numPr>
        <w:adjustRightInd w:val="0"/>
        <w:snapToGrid w:val="0"/>
        <w:spacing w:beforeLines="0" w:afterLines="0" w:line="360" w:lineRule="auto"/>
        <w:rPr>
          <w:rFonts w:ascii="黑体" w:hAnsi="黑体" w:eastAsia="黑体" w:cs="黑体"/>
        </w:rPr>
      </w:pPr>
      <w:bookmarkStart w:id="89" w:name="_Toc25618"/>
      <w:bookmarkStart w:id="90" w:name="_Toc531265201"/>
      <w:r>
        <w:rPr>
          <w:rFonts w:hint="eastAsia" w:ascii="黑体" w:hAnsi="黑体" w:eastAsia="黑体" w:cs="黑体"/>
        </w:rPr>
        <w:t>5.2.3 设备设施</w:t>
      </w:r>
      <w:bookmarkEnd w:id="89"/>
      <w:bookmarkEnd w:id="90"/>
    </w:p>
    <w:p>
      <w:pPr>
        <w:adjustRightInd w:val="0"/>
        <w:snapToGrid w:val="0"/>
        <w:rPr>
          <w:rFonts w:ascii="黑体" w:hAnsi="黑体" w:eastAsia="黑体" w:cs="黑体"/>
        </w:rPr>
      </w:pPr>
      <w:r>
        <w:rPr>
          <w:rFonts w:hint="eastAsia" w:ascii="黑体" w:hAnsi="黑体" w:eastAsia="黑体" w:cs="黑体"/>
        </w:rPr>
        <w:t>5.2.3.1 专用设备</w:t>
      </w:r>
    </w:p>
    <w:p>
      <w:pPr>
        <w:adjustRightInd w:val="0"/>
        <w:snapToGrid w:val="0"/>
        <w:ind w:firstLine="420" w:firstLineChars="200"/>
      </w:pPr>
      <w:r>
        <w:rPr>
          <w:rFonts w:hint="eastAsia"/>
        </w:rPr>
        <w:t>专用设备应符合相关产业准入要求，降低能源与资源消耗，减少污染物排放。</w:t>
      </w:r>
    </w:p>
    <w:p>
      <w:pPr>
        <w:adjustRightInd w:val="0"/>
        <w:snapToGrid w:val="0"/>
        <w:rPr>
          <w:rFonts w:ascii="黑体" w:hAnsi="黑体" w:eastAsia="黑体" w:cs="黑体"/>
        </w:rPr>
      </w:pPr>
      <w:r>
        <w:rPr>
          <w:rFonts w:hint="eastAsia" w:ascii="黑体" w:hAnsi="黑体" w:eastAsia="黑体" w:cs="黑体"/>
        </w:rPr>
        <w:t>5.2.3.2 通用设备</w:t>
      </w:r>
    </w:p>
    <w:p>
      <w:pPr>
        <w:adjustRightInd w:val="0"/>
        <w:snapToGrid w:val="0"/>
        <w:ind w:firstLine="420" w:firstLineChars="200"/>
        <w:rPr>
          <w:rFonts w:ascii="Times New Roman" w:hAnsi="Times New Roman"/>
        </w:rPr>
      </w:pPr>
      <w:r>
        <w:rPr>
          <w:rFonts w:ascii="Times New Roman" w:hAnsi="Times New Roman"/>
        </w:rPr>
        <w:t>通用设备应符合以下要求：</w:t>
      </w:r>
    </w:p>
    <w:p>
      <w:pPr>
        <w:adjustRightInd w:val="0"/>
        <w:snapToGrid w:val="0"/>
        <w:ind w:firstLine="420" w:firstLineChars="200"/>
        <w:rPr>
          <w:rFonts w:ascii="Times New Roman" w:hAnsi="Times New Roman"/>
        </w:rPr>
      </w:pPr>
      <w:r>
        <w:rPr>
          <w:rFonts w:hint="eastAsia" w:ascii="Times New Roman" w:hAnsi="Times New Roman"/>
        </w:rPr>
        <w:t>a)</w:t>
      </w:r>
      <w:r>
        <w:rPr>
          <w:rFonts w:ascii="Times New Roman" w:hAnsi="Times New Roman"/>
        </w:rPr>
        <w:t xml:space="preserve"> 适用时，通用设备如压缩机、电动机、变压器、工业锅炉、离心泵、通风机、空调机、冷水机组等应达到GB 18613、GB 19153、GB 19576、GB 19577、GB 19761、GB 19762、GB 20052、GB 21454、GB 24500、GB 24790等标准中能效限定值的强制性要求。</w:t>
      </w:r>
    </w:p>
    <w:p>
      <w:pPr>
        <w:adjustRightInd w:val="0"/>
        <w:snapToGrid w:val="0"/>
        <w:ind w:firstLine="420" w:firstLineChars="200"/>
        <w:rPr>
          <w:rFonts w:ascii="Times New Roman" w:hAnsi="Times New Roman"/>
        </w:rPr>
      </w:pPr>
      <w:r>
        <w:rPr>
          <w:rFonts w:hint="eastAsia" w:ascii="Times New Roman" w:hAnsi="Times New Roman"/>
        </w:rPr>
        <w:t xml:space="preserve">b) </w:t>
      </w:r>
      <w:r>
        <w:rPr>
          <w:rFonts w:ascii="Times New Roman" w:hAnsi="Times New Roman"/>
        </w:rPr>
        <w:t>通用设备或其系统的实际运行效率或主要运行参数应符合该设备经济运行的要求。</w:t>
      </w:r>
    </w:p>
    <w:p>
      <w:pPr>
        <w:adjustRightInd w:val="0"/>
        <w:snapToGrid w:val="0"/>
        <w:ind w:firstLine="420" w:firstLineChars="200"/>
        <w:rPr>
          <w:rFonts w:ascii="Times New Roman" w:hAnsi="Times New Roman"/>
        </w:rPr>
      </w:pPr>
      <w:r>
        <w:rPr>
          <w:rFonts w:hint="eastAsia" w:ascii="Times New Roman" w:hAnsi="Times New Roman"/>
        </w:rPr>
        <w:t xml:space="preserve">c) </w:t>
      </w:r>
      <w:r>
        <w:rPr>
          <w:rFonts w:ascii="Times New Roman" w:hAnsi="Times New Roman"/>
        </w:rPr>
        <w:t>已明令禁止生产、使用的设备或能耗高、效率低的设备应限期淘汰更新。</w:t>
      </w:r>
    </w:p>
    <w:p>
      <w:pPr>
        <w:adjustRightInd w:val="0"/>
        <w:snapToGrid w:val="0"/>
        <w:ind w:firstLine="420" w:firstLineChars="200"/>
        <w:rPr>
          <w:rFonts w:ascii="Times New Roman" w:hAnsi="Times New Roman"/>
        </w:rPr>
      </w:pPr>
      <w:r>
        <w:rPr>
          <w:rFonts w:hint="eastAsia" w:ascii="Times New Roman" w:hAnsi="Times New Roman"/>
        </w:rPr>
        <w:t xml:space="preserve">d) </w:t>
      </w:r>
      <w:r>
        <w:rPr>
          <w:rFonts w:ascii="Times New Roman" w:hAnsi="Times New Roman"/>
        </w:rPr>
        <w:t>通用设备应采用效率高、能耗低、水耗低、物耗低的产品。</w:t>
      </w:r>
    </w:p>
    <w:p>
      <w:pPr>
        <w:adjustRightInd w:val="0"/>
        <w:snapToGrid w:val="0"/>
        <w:rPr>
          <w:rFonts w:ascii="黑体" w:hAnsi="黑体" w:eastAsia="黑体" w:cs="黑体"/>
        </w:rPr>
      </w:pPr>
      <w:r>
        <w:rPr>
          <w:rFonts w:hint="eastAsia" w:ascii="黑体" w:hAnsi="黑体" w:eastAsia="黑体" w:cs="黑体"/>
        </w:rPr>
        <w:t>5.2.3.3 计量设备</w:t>
      </w:r>
    </w:p>
    <w:bookmarkEnd w:id="86"/>
    <w:bookmarkEnd w:id="87"/>
    <w:bookmarkEnd w:id="88"/>
    <w:p>
      <w:pPr>
        <w:adjustRightInd w:val="0"/>
        <w:snapToGrid w:val="0"/>
        <w:ind w:firstLine="420" w:firstLineChars="20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工厂应依据GB 17167、GB 24789等要求配备、使用和管理能源、水以及其他资源的计量器具和装置。</w:t>
      </w:r>
      <w:r>
        <w:rPr>
          <w:rFonts w:ascii="Times New Roman" w:hAnsi="Times New Roman"/>
          <w:szCs w:val="21"/>
        </w:rPr>
        <w:t>进出用能单位、进出主要次级用能单位、主要用能设备计量器具配备率应满足</w:t>
      </w:r>
      <w:r>
        <w:rPr>
          <w:rFonts w:hint="eastAsia" w:ascii="Times New Roman" w:hAnsi="Times New Roman"/>
          <w:szCs w:val="21"/>
        </w:rPr>
        <w:t>相关标准</w:t>
      </w:r>
      <w:r>
        <w:rPr>
          <w:rFonts w:ascii="Times New Roman" w:hAnsi="Times New Roman"/>
          <w:szCs w:val="21"/>
        </w:rPr>
        <w:t>要求。</w:t>
      </w:r>
    </w:p>
    <w:p>
      <w:pPr>
        <w:adjustRightInd w:val="0"/>
        <w:snapToGrid w:val="0"/>
        <w:ind w:firstLine="420" w:firstLineChars="200"/>
        <w:rPr>
          <w:rFonts w:ascii="Times New Roman" w:hAnsi="Times New Roman"/>
        </w:rPr>
      </w:pPr>
      <w:r>
        <w:rPr>
          <w:rFonts w:hint="eastAsia" w:ascii="Times New Roman" w:hAnsi="Times New Roman"/>
        </w:rPr>
        <w:t>b) 能源及资源使用的类型不同时，应进行分类计量。工厂若具有以下设备，需满足分类计量的要求：</w:t>
      </w:r>
    </w:p>
    <w:p>
      <w:pPr>
        <w:adjustRightInd w:val="0"/>
        <w:snapToGrid w:val="0"/>
        <w:ind w:firstLine="420" w:firstLineChars="200"/>
        <w:rPr>
          <w:rFonts w:ascii="Times New Roman" w:hAnsi="Times New Roman"/>
        </w:rPr>
      </w:pPr>
      <w:r>
        <w:rPr>
          <w:rFonts w:hint="eastAsia" w:ascii="Times New Roman" w:hAnsi="Times New Roman"/>
        </w:rPr>
        <w:t>1）照明系统；</w:t>
      </w:r>
    </w:p>
    <w:p>
      <w:pPr>
        <w:adjustRightInd w:val="0"/>
        <w:snapToGrid w:val="0"/>
        <w:ind w:firstLine="420" w:firstLineChars="200"/>
        <w:rPr>
          <w:rFonts w:ascii="Times New Roman" w:hAnsi="Times New Roman"/>
        </w:rPr>
      </w:pPr>
      <w:r>
        <w:rPr>
          <w:rFonts w:hint="eastAsia" w:ascii="Times New Roman" w:hAnsi="Times New Roman"/>
        </w:rPr>
        <w:t>2）冷水机组、相关用能设备的能耗计量和控制；</w:t>
      </w:r>
    </w:p>
    <w:p>
      <w:pPr>
        <w:adjustRightInd w:val="0"/>
        <w:snapToGrid w:val="0"/>
        <w:ind w:firstLine="420" w:firstLineChars="200"/>
        <w:rPr>
          <w:rFonts w:ascii="Times New Roman" w:hAnsi="Times New Roman"/>
        </w:rPr>
      </w:pPr>
      <w:r>
        <w:rPr>
          <w:rFonts w:hint="eastAsia" w:ascii="Times New Roman" w:hAnsi="Times New Roman"/>
        </w:rPr>
        <w:t>3）生产用水、生活用水、消防用水；</w:t>
      </w:r>
    </w:p>
    <w:p>
      <w:pPr>
        <w:adjustRightInd w:val="0"/>
        <w:snapToGrid w:val="0"/>
        <w:ind w:firstLine="420" w:firstLineChars="200"/>
        <w:rPr>
          <w:rFonts w:ascii="Times New Roman" w:hAnsi="Times New Roman"/>
        </w:rPr>
      </w:pPr>
      <w:r>
        <w:rPr>
          <w:rFonts w:hint="eastAsia" w:ascii="Times New Roman" w:hAnsi="Times New Roman"/>
        </w:rPr>
        <w:t>4）空气处理设备的流量和压力计量；</w:t>
      </w:r>
    </w:p>
    <w:p>
      <w:pPr>
        <w:adjustRightInd w:val="0"/>
        <w:snapToGrid w:val="0"/>
        <w:ind w:firstLine="420" w:firstLineChars="200"/>
        <w:rPr>
          <w:rFonts w:ascii="Times New Roman" w:hAnsi="Times New Roman"/>
        </w:rPr>
      </w:pPr>
      <w:r>
        <w:rPr>
          <w:rFonts w:hint="eastAsia" w:ascii="Times New Roman" w:hAnsi="Times New Roman"/>
        </w:rPr>
        <w:t>5）锅炉；</w:t>
      </w:r>
    </w:p>
    <w:p>
      <w:pPr>
        <w:adjustRightInd w:val="0"/>
        <w:snapToGrid w:val="0"/>
        <w:ind w:firstLine="420" w:firstLineChars="200"/>
        <w:rPr>
          <w:rFonts w:ascii="Times New Roman" w:hAnsi="Times New Roman"/>
        </w:rPr>
      </w:pPr>
      <w:r>
        <w:rPr>
          <w:rFonts w:hint="eastAsia" w:ascii="Times New Roman" w:hAnsi="Times New Roman"/>
        </w:rPr>
        <w:t>6）冷却塔。</w:t>
      </w:r>
    </w:p>
    <w:p>
      <w:pPr>
        <w:adjustRightInd w:val="0"/>
        <w:snapToGrid w:val="0"/>
        <w:rPr>
          <w:rFonts w:ascii="黑体" w:hAnsi="黑体" w:eastAsia="黑体" w:cs="黑体"/>
        </w:rPr>
      </w:pPr>
      <w:r>
        <w:rPr>
          <w:rFonts w:hint="eastAsia" w:ascii="黑体" w:hAnsi="黑体" w:eastAsia="黑体" w:cs="黑体"/>
        </w:rPr>
        <w:t>5.2.3.4 污染物处理设施</w:t>
      </w:r>
    </w:p>
    <w:p>
      <w:pPr>
        <w:adjustRightInd w:val="0"/>
        <w:snapToGrid w:val="0"/>
        <w:ind w:firstLine="420" w:firstLineChars="200"/>
      </w:pPr>
      <w:r>
        <w:rPr>
          <w:rFonts w:hint="eastAsia"/>
        </w:rPr>
        <w:t>工厂应投入适应的污染物治理设施，如废水和废气治理设施，以确保其污染物排放达到相关法律法规及标准要求。污染物处理设施的处理能力应与工厂生产排放相适应，并应正常运行。</w:t>
      </w:r>
    </w:p>
    <w:p>
      <w:pPr>
        <w:adjustRightInd w:val="0"/>
        <w:snapToGrid w:val="0"/>
        <w:ind w:firstLine="420" w:firstLineChars="200"/>
      </w:pPr>
      <w:r>
        <w:rPr>
          <w:rFonts w:hint="eastAsia"/>
        </w:rPr>
        <w:t>粘结钕铁硼工厂污染物治理设施包括并不限于VOC处理装置，粉尘收集和处理装置，废水处理站等。</w:t>
      </w:r>
    </w:p>
    <w:p>
      <w:pPr>
        <w:adjustRightInd w:val="0"/>
        <w:snapToGrid w:val="0"/>
        <w:spacing w:before="158" w:beforeLines="50" w:after="158" w:afterLines="50" w:line="240" w:lineRule="auto"/>
        <w:rPr>
          <w:rFonts w:ascii="黑体" w:hAnsi="黑体" w:eastAsia="黑体" w:cs="黑体"/>
        </w:rPr>
      </w:pPr>
      <w:bookmarkStart w:id="91" w:name="_Toc381480750"/>
      <w:bookmarkStart w:id="92" w:name="_Toc6179_WPSOffice_Level1"/>
      <w:bookmarkStart w:id="93" w:name="_Toc1085_WPSOffice_Level1"/>
      <w:bookmarkStart w:id="94" w:name="_Toc23428"/>
      <w:bookmarkStart w:id="95" w:name="_Toc531265202"/>
      <w:bookmarkStart w:id="96" w:name="_Toc31944"/>
      <w:r>
        <w:rPr>
          <w:rFonts w:hint="eastAsia" w:ascii="黑体" w:hAnsi="黑体" w:eastAsia="黑体" w:cs="黑体"/>
        </w:rPr>
        <w:t>5.3 管理体系</w:t>
      </w:r>
      <w:bookmarkEnd w:id="91"/>
      <w:bookmarkEnd w:id="92"/>
      <w:bookmarkEnd w:id="93"/>
      <w:bookmarkEnd w:id="94"/>
      <w:r>
        <w:rPr>
          <w:rFonts w:hint="eastAsia" w:ascii="黑体" w:hAnsi="黑体" w:eastAsia="黑体" w:cs="黑体"/>
        </w:rPr>
        <w:t>要求</w:t>
      </w:r>
      <w:bookmarkEnd w:id="95"/>
      <w:bookmarkEnd w:id="96"/>
    </w:p>
    <w:p>
      <w:pPr>
        <w:pStyle w:val="3"/>
        <w:numPr>
          <w:ilvl w:val="0"/>
          <w:numId w:val="0"/>
        </w:numPr>
        <w:adjustRightInd w:val="0"/>
        <w:snapToGrid w:val="0"/>
        <w:spacing w:beforeLines="0" w:afterLines="0" w:line="360" w:lineRule="auto"/>
        <w:rPr>
          <w:rFonts w:ascii="黑体" w:hAnsi="黑体" w:eastAsia="黑体" w:cs="黑体"/>
        </w:rPr>
      </w:pPr>
      <w:bookmarkStart w:id="97" w:name="_Toc381480751"/>
      <w:bookmarkStart w:id="98" w:name="_Toc32767_WPSOffice_Level2"/>
      <w:bookmarkStart w:id="99" w:name="_Toc22685"/>
      <w:bookmarkStart w:id="100" w:name="_Toc531265203"/>
      <w:bookmarkStart w:id="101" w:name="_Toc26494_WPSOffice_Level2"/>
      <w:bookmarkStart w:id="102" w:name="_Toc6198"/>
      <w:r>
        <w:rPr>
          <w:rFonts w:hint="eastAsia" w:ascii="黑体" w:hAnsi="黑体" w:eastAsia="黑体" w:cs="黑体"/>
        </w:rPr>
        <w:t xml:space="preserve">5.3.1 </w:t>
      </w:r>
      <w:bookmarkEnd w:id="97"/>
      <w:r>
        <w:rPr>
          <w:rFonts w:hint="eastAsia" w:ascii="黑体" w:hAnsi="黑体" w:eastAsia="黑体" w:cs="黑体"/>
        </w:rPr>
        <w:t>质量管理体系</w:t>
      </w:r>
      <w:bookmarkEnd w:id="98"/>
      <w:bookmarkEnd w:id="99"/>
      <w:bookmarkEnd w:id="100"/>
      <w:bookmarkEnd w:id="101"/>
      <w:bookmarkEnd w:id="102"/>
    </w:p>
    <w:p>
      <w:pPr>
        <w:adjustRightInd w:val="0"/>
        <w:snapToGrid w:val="0"/>
        <w:ind w:firstLine="420" w:firstLineChars="200"/>
        <w:rPr>
          <w:rFonts w:ascii="Times New Roman" w:hAnsi="Times New Roman"/>
          <w:iCs/>
        </w:rPr>
      </w:pPr>
      <w:r>
        <w:rPr>
          <w:rFonts w:ascii="Times New Roman" w:hAnsi="Times New Roman"/>
          <w:iCs/>
        </w:rPr>
        <w:t>a）工厂应建立、实施并保持质量管理体系。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iCs/>
        </w:rPr>
      </w:pPr>
      <w:r>
        <w:rPr>
          <w:rFonts w:ascii="Times New Roman" w:hAnsi="Times New Roman"/>
          <w:iCs/>
        </w:rPr>
        <w:t>b）工厂的质量管理体系</w:t>
      </w:r>
      <w:r>
        <w:rPr>
          <w:rFonts w:hint="eastAsia" w:ascii="Times New Roman" w:hAnsi="Times New Roman"/>
          <w:iCs/>
        </w:rPr>
        <w:t>应满足</w:t>
      </w:r>
      <w:r>
        <w:rPr>
          <w:rFonts w:ascii="Times New Roman" w:hAnsi="Times New Roman"/>
          <w:iCs/>
        </w:rPr>
        <w:t>GB/T 19001</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ascii="Times New Roman" w:hAnsi="Times New Roman"/>
          <w:iCs/>
        </w:rPr>
        <w:t>c</w:t>
      </w:r>
      <w:r>
        <w:rPr>
          <w:rFonts w:hint="eastAsia" w:ascii="Times New Roman" w:hAnsi="Times New Roman"/>
          <w:iCs/>
        </w:rPr>
        <w:t>）</w:t>
      </w:r>
      <w:r>
        <w:rPr>
          <w:rFonts w:ascii="Times New Roman" w:hAnsi="Times New Roman"/>
          <w:iCs/>
        </w:rPr>
        <w:t>工厂的质量管理体系</w:t>
      </w:r>
      <w:r>
        <w:rPr>
          <w:rFonts w:hint="eastAsia" w:ascii="Times New Roman" w:hAnsi="Times New Roman"/>
          <w:iCs/>
        </w:rPr>
        <w:t>应满足IATF</w:t>
      </w:r>
      <w:r>
        <w:rPr>
          <w:rFonts w:ascii="Times New Roman" w:hAnsi="Times New Roman"/>
          <w:iCs/>
        </w:rPr>
        <w:t>16949</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hint="eastAsia" w:ascii="Times New Roman" w:hAnsi="Times New Roman"/>
          <w:iCs/>
        </w:rPr>
        <w:t>d）工厂应获得质量管理体系的第三方认证。</w:t>
      </w:r>
    </w:p>
    <w:p>
      <w:pPr>
        <w:pStyle w:val="3"/>
        <w:numPr>
          <w:ilvl w:val="0"/>
          <w:numId w:val="0"/>
        </w:numPr>
        <w:adjustRightInd w:val="0"/>
        <w:snapToGrid w:val="0"/>
        <w:spacing w:beforeLines="0" w:afterLines="0" w:line="360" w:lineRule="auto"/>
        <w:rPr>
          <w:rFonts w:ascii="黑体" w:hAnsi="黑体" w:eastAsia="黑体" w:cs="黑体"/>
        </w:rPr>
      </w:pPr>
      <w:bookmarkStart w:id="103" w:name="_Toc22700_WPSOffice_Level2"/>
      <w:bookmarkStart w:id="104" w:name="_Toc531265204"/>
      <w:bookmarkStart w:id="105" w:name="_Toc20168"/>
      <w:bookmarkStart w:id="106" w:name="_Toc18597_WPSOffice_Level2"/>
      <w:bookmarkStart w:id="107" w:name="_Toc21862"/>
      <w:r>
        <w:rPr>
          <w:rFonts w:hint="eastAsia" w:ascii="黑体" w:hAnsi="黑体" w:eastAsia="黑体" w:cs="黑体"/>
        </w:rPr>
        <w:t>5.3.2职业健康安全管理体系</w:t>
      </w:r>
      <w:bookmarkEnd w:id="103"/>
      <w:bookmarkEnd w:id="104"/>
      <w:bookmarkEnd w:id="105"/>
      <w:bookmarkEnd w:id="106"/>
      <w:bookmarkEnd w:id="107"/>
    </w:p>
    <w:p>
      <w:pPr>
        <w:adjustRightInd w:val="0"/>
        <w:snapToGrid w:val="0"/>
        <w:ind w:firstLine="420" w:firstLineChars="200"/>
        <w:rPr>
          <w:rFonts w:ascii="Times New Roman" w:hAnsi="Times New Roman"/>
          <w:iCs/>
        </w:rPr>
      </w:pPr>
      <w:r>
        <w:rPr>
          <w:rFonts w:ascii="Times New Roman" w:hAnsi="Times New Roman"/>
          <w:iCs/>
        </w:rPr>
        <w:t>a）工厂应建立、实施并保持职业健康安全管理体系。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iCs/>
        </w:rPr>
      </w:pPr>
      <w:r>
        <w:rPr>
          <w:rFonts w:ascii="Times New Roman" w:hAnsi="Times New Roman"/>
          <w:iCs/>
        </w:rPr>
        <w:t>b）工厂的职业健康安全管理体系</w:t>
      </w:r>
      <w:r>
        <w:rPr>
          <w:rFonts w:hint="eastAsia" w:ascii="Times New Roman" w:hAnsi="Times New Roman"/>
          <w:iCs/>
        </w:rPr>
        <w:t>应满足</w:t>
      </w:r>
      <w:r>
        <w:rPr>
          <w:rFonts w:ascii="Times New Roman" w:hAnsi="Times New Roman"/>
          <w:iCs/>
        </w:rPr>
        <w:t>GB/T45001</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ascii="Times New Roman" w:hAnsi="Times New Roman"/>
          <w:iCs/>
        </w:rPr>
        <w:t>c</w:t>
      </w:r>
      <w:r>
        <w:rPr>
          <w:rFonts w:hint="eastAsia" w:ascii="Times New Roman" w:hAnsi="Times New Roman"/>
          <w:iCs/>
        </w:rPr>
        <w:t>）工厂应获得职业健康管理体系第三方认证。</w:t>
      </w:r>
    </w:p>
    <w:p>
      <w:pPr>
        <w:pStyle w:val="3"/>
        <w:numPr>
          <w:ilvl w:val="0"/>
          <w:numId w:val="0"/>
        </w:numPr>
        <w:adjustRightInd w:val="0"/>
        <w:snapToGrid w:val="0"/>
        <w:spacing w:beforeLines="0" w:afterLines="0" w:line="360" w:lineRule="auto"/>
        <w:rPr>
          <w:rFonts w:ascii="黑体" w:hAnsi="黑体" w:eastAsia="黑体" w:cs="黑体"/>
        </w:rPr>
      </w:pPr>
      <w:bookmarkStart w:id="108" w:name="_Toc25042"/>
      <w:bookmarkStart w:id="109" w:name="_Toc3315_WPSOffice_Level2"/>
      <w:bookmarkStart w:id="110" w:name="_Toc531265205"/>
      <w:bookmarkStart w:id="111" w:name="_Toc9798_WPSOffice_Level2"/>
      <w:bookmarkStart w:id="112" w:name="_Toc28381"/>
      <w:r>
        <w:rPr>
          <w:rFonts w:hint="eastAsia" w:ascii="黑体" w:hAnsi="黑体" w:eastAsia="黑体" w:cs="黑体"/>
        </w:rPr>
        <w:t>5.3.3 环境管理体系</w:t>
      </w:r>
      <w:bookmarkEnd w:id="108"/>
      <w:bookmarkEnd w:id="109"/>
      <w:bookmarkEnd w:id="110"/>
      <w:bookmarkEnd w:id="111"/>
      <w:bookmarkEnd w:id="112"/>
    </w:p>
    <w:p>
      <w:pPr>
        <w:adjustRightInd w:val="0"/>
        <w:snapToGrid w:val="0"/>
        <w:ind w:firstLine="420" w:firstLineChars="200"/>
        <w:rPr>
          <w:rFonts w:ascii="Times New Roman" w:hAnsi="Times New Roman"/>
          <w:iCs/>
        </w:rPr>
      </w:pPr>
      <w:r>
        <w:rPr>
          <w:rFonts w:ascii="Times New Roman" w:hAnsi="Times New Roman"/>
          <w:iCs/>
        </w:rPr>
        <w:t>a）工厂应建立、实施并保持环境管理体系。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iCs/>
        </w:rPr>
      </w:pPr>
      <w:r>
        <w:rPr>
          <w:rFonts w:ascii="Times New Roman" w:hAnsi="Times New Roman"/>
          <w:iCs/>
        </w:rPr>
        <w:t>b）工厂的环境管理体系</w:t>
      </w:r>
      <w:r>
        <w:rPr>
          <w:rFonts w:hint="eastAsia" w:ascii="Times New Roman" w:hAnsi="Times New Roman"/>
          <w:iCs/>
        </w:rPr>
        <w:t>应满足</w:t>
      </w:r>
      <w:r>
        <w:rPr>
          <w:rFonts w:ascii="Times New Roman" w:hAnsi="Times New Roman"/>
          <w:iCs/>
        </w:rPr>
        <w:t>GB/T 24001</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ascii="Times New Roman" w:hAnsi="Times New Roman"/>
          <w:iCs/>
        </w:rPr>
        <w:t>c</w:t>
      </w:r>
      <w:r>
        <w:rPr>
          <w:rFonts w:hint="eastAsia" w:ascii="Times New Roman" w:hAnsi="Times New Roman"/>
          <w:iCs/>
        </w:rPr>
        <w:t>）工厂应获得环境管理体系第三方认证。</w:t>
      </w:r>
    </w:p>
    <w:p>
      <w:pPr>
        <w:pStyle w:val="3"/>
        <w:numPr>
          <w:ilvl w:val="0"/>
          <w:numId w:val="0"/>
        </w:numPr>
        <w:adjustRightInd w:val="0"/>
        <w:snapToGrid w:val="0"/>
        <w:spacing w:beforeLines="0" w:afterLines="0" w:line="360" w:lineRule="auto"/>
        <w:rPr>
          <w:rFonts w:ascii="黑体" w:hAnsi="黑体" w:eastAsia="黑体" w:cs="黑体"/>
        </w:rPr>
      </w:pPr>
      <w:bookmarkStart w:id="113" w:name="_Toc18555_WPSOffice_Level2"/>
      <w:bookmarkStart w:id="114" w:name="_Toc2425_WPSOffice_Level2"/>
      <w:bookmarkStart w:id="115" w:name="_Toc531265206"/>
      <w:bookmarkStart w:id="116" w:name="_Toc28954"/>
      <w:bookmarkStart w:id="117" w:name="_Toc20034"/>
      <w:bookmarkStart w:id="118" w:name="_Toc381480753"/>
      <w:r>
        <w:rPr>
          <w:rFonts w:hint="eastAsia" w:ascii="黑体" w:hAnsi="黑体" w:eastAsia="黑体" w:cs="黑体"/>
        </w:rPr>
        <w:t>5.3.4 能源管理体系</w:t>
      </w:r>
      <w:bookmarkEnd w:id="113"/>
      <w:bookmarkEnd w:id="114"/>
      <w:bookmarkEnd w:id="115"/>
      <w:bookmarkEnd w:id="116"/>
      <w:bookmarkEnd w:id="117"/>
      <w:bookmarkEnd w:id="118"/>
    </w:p>
    <w:p>
      <w:pPr>
        <w:adjustRightInd w:val="0"/>
        <w:snapToGrid w:val="0"/>
        <w:ind w:firstLine="420" w:firstLineChars="200"/>
        <w:rPr>
          <w:rFonts w:ascii="Times New Roman" w:hAnsi="Times New Roman"/>
        </w:rPr>
      </w:pPr>
      <w:r>
        <w:rPr>
          <w:rFonts w:ascii="Times New Roman" w:hAnsi="Times New Roman"/>
        </w:rPr>
        <w:t>a）工厂应建立、实施并保持能源管理体系。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rPr>
      </w:pPr>
      <w:r>
        <w:rPr>
          <w:rFonts w:ascii="Times New Roman" w:hAnsi="Times New Roman"/>
        </w:rPr>
        <w:t>b）工厂的能源管理体系应满足GB/T 23331的要求。</w:t>
      </w:r>
    </w:p>
    <w:p>
      <w:pPr>
        <w:adjustRightInd w:val="0"/>
        <w:snapToGrid w:val="0"/>
        <w:ind w:firstLine="420" w:firstLineChars="200"/>
        <w:rPr>
          <w:rFonts w:ascii="Times New Roman" w:hAnsi="Times New Roman"/>
        </w:rPr>
      </w:pPr>
      <w:r>
        <w:rPr>
          <w:rFonts w:ascii="Times New Roman" w:hAnsi="Times New Roman"/>
        </w:rPr>
        <w:t>c）工厂应</w:t>
      </w:r>
      <w:r>
        <w:rPr>
          <w:rFonts w:hint="eastAsia" w:ascii="Times New Roman" w:hAnsi="Times New Roman"/>
        </w:rPr>
        <w:t>获得</w:t>
      </w:r>
      <w:r>
        <w:rPr>
          <w:rFonts w:ascii="Times New Roman" w:hAnsi="Times New Roman"/>
        </w:rPr>
        <w:t>能源管理体系第三方认证。</w:t>
      </w:r>
    </w:p>
    <w:p>
      <w:pPr>
        <w:pStyle w:val="3"/>
        <w:numPr>
          <w:ilvl w:val="0"/>
          <w:numId w:val="0"/>
        </w:numPr>
        <w:adjustRightInd w:val="0"/>
        <w:snapToGrid w:val="0"/>
        <w:spacing w:beforeLines="0" w:afterLines="0" w:line="360" w:lineRule="auto"/>
        <w:rPr>
          <w:rFonts w:ascii="黑体" w:hAnsi="黑体" w:eastAsia="黑体" w:cs="黑体"/>
        </w:rPr>
      </w:pPr>
      <w:bookmarkStart w:id="119" w:name="_Toc31084"/>
      <w:bookmarkStart w:id="120" w:name="_Toc531265207"/>
      <w:r>
        <w:rPr>
          <w:rFonts w:hint="eastAsia" w:ascii="黑体" w:hAnsi="黑体" w:eastAsia="黑体" w:cs="黑体"/>
        </w:rPr>
        <w:t>5.3.</w:t>
      </w:r>
      <w:r>
        <w:rPr>
          <w:rFonts w:ascii="黑体" w:hAnsi="黑体" w:eastAsia="黑体" w:cs="黑体"/>
        </w:rPr>
        <w:t>5</w:t>
      </w:r>
      <w:r>
        <w:rPr>
          <w:rFonts w:hint="eastAsia" w:ascii="黑体" w:hAnsi="黑体" w:eastAsia="黑体" w:cs="黑体"/>
        </w:rPr>
        <w:t xml:space="preserve"> 安全生产标准化管理体系</w:t>
      </w:r>
    </w:p>
    <w:p>
      <w:pPr>
        <w:adjustRightInd w:val="0"/>
        <w:snapToGrid w:val="0"/>
        <w:ind w:firstLine="420" w:firstLineChars="200"/>
        <w:rPr>
          <w:rFonts w:ascii="Times New Roman" w:hAnsi="Times New Roman"/>
        </w:rPr>
      </w:pPr>
      <w:r>
        <w:rPr>
          <w:rFonts w:ascii="Times New Roman" w:hAnsi="Times New Roman"/>
        </w:rPr>
        <w:t>a）</w:t>
      </w:r>
      <w:bookmarkStart w:id="121" w:name="_Hlk52637193"/>
      <w:r>
        <w:rPr>
          <w:rFonts w:ascii="Times New Roman" w:hAnsi="Times New Roman"/>
        </w:rPr>
        <w:t>工厂应建立、实施并保持安全生产标准化管理体系。</w:t>
      </w:r>
      <w:r>
        <w:rPr>
          <w:rFonts w:hint="eastAsia" w:ascii="Times New Roman" w:hAnsi="Times New Roman"/>
          <w:iCs/>
        </w:rPr>
        <w:t>定期组织实施内部审核，并形成相关文件和记录。</w:t>
      </w:r>
    </w:p>
    <w:p>
      <w:pPr>
        <w:adjustRightInd w:val="0"/>
        <w:snapToGrid w:val="0"/>
        <w:ind w:firstLine="420" w:firstLineChars="200"/>
        <w:rPr>
          <w:rFonts w:ascii="Times New Roman" w:hAnsi="Times New Roman"/>
        </w:rPr>
      </w:pPr>
      <w:r>
        <w:rPr>
          <w:rFonts w:ascii="Times New Roman" w:hAnsi="Times New Roman"/>
        </w:rPr>
        <w:t>b）工厂的安全生产标准化管理体系应满足GB/T 33000的要求。</w:t>
      </w:r>
    </w:p>
    <w:p>
      <w:pPr>
        <w:adjustRightInd w:val="0"/>
        <w:snapToGrid w:val="0"/>
        <w:ind w:firstLine="420" w:firstLineChars="200"/>
        <w:rPr>
          <w:rFonts w:ascii="Times New Roman" w:hAnsi="Times New Roman"/>
        </w:rPr>
      </w:pPr>
      <w:r>
        <w:rPr>
          <w:rFonts w:ascii="Times New Roman" w:hAnsi="Times New Roman"/>
        </w:rPr>
        <w:t>c）工厂应通过安全生产标准化管理体系</w:t>
      </w:r>
      <w:r>
        <w:rPr>
          <w:rFonts w:hint="eastAsia" w:ascii="Times New Roman" w:hAnsi="Times New Roman"/>
        </w:rPr>
        <w:t>外部评审，并获得应急管理部门颁发相应级别证书。</w:t>
      </w:r>
    </w:p>
    <w:bookmarkEnd w:id="121"/>
    <w:p>
      <w:pPr>
        <w:pStyle w:val="3"/>
        <w:numPr>
          <w:ilvl w:val="0"/>
          <w:numId w:val="0"/>
        </w:numPr>
        <w:adjustRightInd w:val="0"/>
        <w:snapToGrid w:val="0"/>
        <w:spacing w:beforeLines="0" w:afterLines="0" w:line="360" w:lineRule="auto"/>
        <w:rPr>
          <w:rFonts w:ascii="黑体" w:hAnsi="黑体" w:eastAsia="黑体" w:cs="黑体"/>
        </w:rPr>
      </w:pPr>
      <w:r>
        <w:rPr>
          <w:rFonts w:hint="eastAsia" w:ascii="黑体" w:hAnsi="黑体" w:eastAsia="黑体" w:cs="黑体"/>
        </w:rPr>
        <w:t>5.3.</w:t>
      </w:r>
      <w:r>
        <w:rPr>
          <w:rFonts w:ascii="黑体" w:hAnsi="黑体" w:eastAsia="黑体" w:cs="黑体"/>
        </w:rPr>
        <w:t>6</w:t>
      </w:r>
      <w:r>
        <w:rPr>
          <w:rFonts w:hint="eastAsia" w:ascii="黑体" w:hAnsi="黑体" w:eastAsia="黑体" w:cs="黑体"/>
        </w:rPr>
        <w:t xml:space="preserve"> 社会责任</w:t>
      </w:r>
      <w:bookmarkEnd w:id="119"/>
      <w:bookmarkEnd w:id="120"/>
    </w:p>
    <w:p>
      <w:pPr>
        <w:adjustRightInd w:val="0"/>
        <w:snapToGrid w:val="0"/>
        <w:ind w:firstLine="420" w:firstLineChars="200"/>
      </w:pPr>
      <w:r>
        <w:rPr>
          <w:rFonts w:hint="eastAsia"/>
        </w:rPr>
        <w:t>工厂应按照</w:t>
      </w:r>
      <w:r>
        <w:rPr>
          <w:rFonts w:hint="eastAsia" w:ascii="Times New Roman" w:hAnsi="Times New Roman"/>
        </w:rPr>
        <w:t>GB/T 36000</w:t>
      </w:r>
      <w:r>
        <w:rPr>
          <w:rFonts w:hint="eastAsia"/>
        </w:rPr>
        <w:t>的要求，每年发布社会责任报告，说明履行利益相关方责任的情况，特别是环境社会责任的履行情况，报告公开可获得。</w:t>
      </w:r>
    </w:p>
    <w:p>
      <w:pPr>
        <w:adjustRightInd w:val="0"/>
        <w:snapToGrid w:val="0"/>
        <w:spacing w:before="158" w:beforeLines="50" w:after="158" w:afterLines="50" w:line="240" w:lineRule="auto"/>
        <w:rPr>
          <w:rFonts w:ascii="黑体" w:hAnsi="黑体" w:eastAsia="黑体" w:cs="黑体"/>
        </w:rPr>
      </w:pPr>
      <w:bookmarkStart w:id="122" w:name="_Toc24738"/>
      <w:bookmarkStart w:id="123" w:name="_Toc14564_WPSOffice_Level1"/>
      <w:bookmarkStart w:id="124" w:name="_Toc822_WPSOffice_Level1"/>
      <w:bookmarkStart w:id="125" w:name="_Toc381480755"/>
      <w:bookmarkStart w:id="126" w:name="_Toc647"/>
      <w:bookmarkStart w:id="127" w:name="_Toc531265208"/>
      <w:r>
        <w:rPr>
          <w:rFonts w:hint="eastAsia" w:ascii="黑体" w:hAnsi="黑体" w:eastAsia="黑体" w:cs="黑体"/>
        </w:rPr>
        <w:t>5.4 能源与资源投入</w:t>
      </w:r>
      <w:bookmarkEnd w:id="122"/>
      <w:bookmarkEnd w:id="123"/>
      <w:bookmarkEnd w:id="124"/>
      <w:bookmarkEnd w:id="125"/>
      <w:r>
        <w:rPr>
          <w:rFonts w:hint="eastAsia" w:ascii="黑体" w:hAnsi="黑体" w:eastAsia="黑体" w:cs="黑体"/>
        </w:rPr>
        <w:t>要求</w:t>
      </w:r>
      <w:bookmarkEnd w:id="126"/>
      <w:bookmarkEnd w:id="127"/>
    </w:p>
    <w:p>
      <w:pPr>
        <w:pStyle w:val="3"/>
        <w:numPr>
          <w:ilvl w:val="0"/>
          <w:numId w:val="0"/>
        </w:numPr>
        <w:adjustRightInd w:val="0"/>
        <w:snapToGrid w:val="0"/>
        <w:spacing w:beforeLines="0" w:afterLines="0" w:line="360" w:lineRule="auto"/>
        <w:rPr>
          <w:rFonts w:ascii="黑体" w:hAnsi="黑体" w:eastAsia="黑体" w:cs="黑体"/>
        </w:rPr>
      </w:pPr>
      <w:bookmarkStart w:id="128" w:name="_Toc9448"/>
      <w:bookmarkStart w:id="129" w:name="_Toc221_WPSOffice_Level2"/>
      <w:bookmarkStart w:id="130" w:name="_Toc31673_WPSOffice_Level2"/>
      <w:bookmarkStart w:id="131" w:name="_Toc531265209"/>
      <w:bookmarkStart w:id="132" w:name="_Toc21360"/>
      <w:r>
        <w:rPr>
          <w:rFonts w:hint="eastAsia" w:ascii="黑体" w:hAnsi="黑体" w:eastAsia="黑体" w:cs="黑体"/>
        </w:rPr>
        <w:t>5.4.1 能源投入</w:t>
      </w:r>
      <w:bookmarkEnd w:id="128"/>
      <w:bookmarkEnd w:id="129"/>
      <w:bookmarkEnd w:id="130"/>
      <w:bookmarkEnd w:id="131"/>
      <w:bookmarkEnd w:id="132"/>
    </w:p>
    <w:p>
      <w:pPr>
        <w:adjustRightInd w:val="0"/>
        <w:snapToGrid w:val="0"/>
      </w:pPr>
      <w:r>
        <w:rPr>
          <w:rFonts w:hint="eastAsia" w:ascii="黑体" w:hAnsi="黑体" w:eastAsia="黑体" w:cs="黑体"/>
        </w:rPr>
        <w:t xml:space="preserve">5.4.1.1 </w:t>
      </w:r>
      <w:r>
        <w:rPr>
          <w:rFonts w:hint="eastAsia"/>
        </w:rPr>
        <w:t>工厂应优化用能结构，在保证安全、质量的前提下减少不可再生能源投入。</w:t>
      </w:r>
    </w:p>
    <w:p>
      <w:pPr>
        <w:adjustRightInd w:val="0"/>
        <w:snapToGrid w:val="0"/>
      </w:pPr>
      <w:r>
        <w:rPr>
          <w:rFonts w:hint="eastAsia" w:ascii="黑体" w:hAnsi="黑体" w:eastAsia="黑体" w:cs="黑体"/>
          <w:szCs w:val="21"/>
        </w:rPr>
        <w:t>5.4.1.2</w:t>
      </w:r>
      <w:r>
        <w:rPr>
          <w:rFonts w:hint="eastAsia"/>
          <w:szCs w:val="21"/>
        </w:rPr>
        <w:t>工厂</w:t>
      </w:r>
      <w:r>
        <w:rPr>
          <w:szCs w:val="21"/>
        </w:rPr>
        <w:t>各工序工艺综合能耗应满足</w:t>
      </w:r>
      <w:r>
        <w:rPr>
          <w:rFonts w:hint="eastAsia"/>
          <w:szCs w:val="21"/>
        </w:rPr>
        <w:t>行业节能相关法律法规以及标准、绿色产品设计规范的要求。</w:t>
      </w:r>
    </w:p>
    <w:p>
      <w:pPr>
        <w:adjustRightInd w:val="0"/>
        <w:snapToGrid w:val="0"/>
        <w:rPr>
          <w:szCs w:val="21"/>
        </w:rPr>
      </w:pPr>
      <w:r>
        <w:rPr>
          <w:rFonts w:hint="eastAsia" w:ascii="黑体" w:hAnsi="黑体" w:eastAsia="黑体" w:cs="黑体"/>
          <w:szCs w:val="21"/>
        </w:rPr>
        <w:t xml:space="preserve">5.4.1.3 </w:t>
      </w:r>
      <w:r>
        <w:rPr>
          <w:rFonts w:hint="eastAsia"/>
          <w:szCs w:val="21"/>
        </w:rPr>
        <w:t>工厂</w:t>
      </w:r>
      <w:r>
        <w:rPr>
          <w:rFonts w:hint="eastAsia"/>
        </w:rPr>
        <w:t>应使用可再生能源或低碳清洁的新能源。</w:t>
      </w:r>
    </w:p>
    <w:p>
      <w:pPr>
        <w:adjustRightInd w:val="0"/>
        <w:snapToGrid w:val="0"/>
        <w:rPr>
          <w:szCs w:val="21"/>
        </w:rPr>
      </w:pPr>
      <w:r>
        <w:rPr>
          <w:rFonts w:hint="eastAsia" w:ascii="黑体" w:hAnsi="黑体" w:eastAsia="黑体" w:cs="黑体"/>
        </w:rPr>
        <w:t xml:space="preserve">5.4.1.4 </w:t>
      </w:r>
      <w:r>
        <w:rPr>
          <w:rFonts w:hint="eastAsia"/>
        </w:rPr>
        <w:t>工厂应充分利用余热余压，</w:t>
      </w:r>
      <w:r>
        <w:rPr>
          <w:szCs w:val="21"/>
        </w:rPr>
        <w:t>产生的</w:t>
      </w:r>
      <w:r>
        <w:rPr>
          <w:rFonts w:hint="eastAsia"/>
          <w:szCs w:val="21"/>
        </w:rPr>
        <w:t>二次能源应回收利用。</w:t>
      </w:r>
    </w:p>
    <w:p>
      <w:pPr>
        <w:tabs>
          <w:tab w:val="left" w:pos="280"/>
        </w:tabs>
        <w:adjustRightInd w:val="0"/>
        <w:snapToGrid w:val="0"/>
        <w:jc w:val="left"/>
        <w:rPr>
          <w:szCs w:val="21"/>
        </w:rPr>
      </w:pPr>
      <w:r>
        <w:rPr>
          <w:rFonts w:hint="eastAsia" w:ascii="黑体" w:hAnsi="黑体" w:eastAsia="黑体" w:cs="黑体"/>
          <w:szCs w:val="21"/>
        </w:rPr>
        <w:t xml:space="preserve">5.4.1.5 </w:t>
      </w:r>
      <w:r>
        <w:rPr>
          <w:rFonts w:hint="eastAsia"/>
          <w:szCs w:val="21"/>
        </w:rPr>
        <w:t>工厂应建能源管理中心。</w:t>
      </w:r>
    </w:p>
    <w:p>
      <w:pPr>
        <w:pStyle w:val="3"/>
        <w:numPr>
          <w:ilvl w:val="0"/>
          <w:numId w:val="0"/>
        </w:numPr>
        <w:adjustRightInd w:val="0"/>
        <w:snapToGrid w:val="0"/>
        <w:spacing w:beforeLines="0" w:afterLines="0" w:line="360" w:lineRule="auto"/>
        <w:rPr>
          <w:rFonts w:ascii="黑体" w:hAnsi="黑体" w:eastAsia="黑体" w:cs="黑体"/>
        </w:rPr>
      </w:pPr>
      <w:bookmarkStart w:id="133" w:name="_Toc25781"/>
      <w:bookmarkStart w:id="134" w:name="_Toc531265210"/>
      <w:r>
        <w:rPr>
          <w:rFonts w:hint="eastAsia" w:ascii="黑体" w:hAnsi="黑体" w:eastAsia="黑体" w:cs="黑体"/>
        </w:rPr>
        <w:t>5.4.2 资源投入</w:t>
      </w:r>
      <w:bookmarkEnd w:id="133"/>
      <w:bookmarkEnd w:id="134"/>
    </w:p>
    <w:p>
      <w:pPr>
        <w:adjustRightInd w:val="0"/>
        <w:snapToGrid w:val="0"/>
        <w:rPr>
          <w:rFonts w:ascii="Times New Roman" w:hAnsi="Times New Roman"/>
          <w:szCs w:val="21"/>
        </w:rPr>
      </w:pPr>
      <w:r>
        <w:rPr>
          <w:rFonts w:hint="eastAsia" w:ascii="黑体" w:hAnsi="黑体" w:eastAsia="黑体" w:cs="黑体"/>
          <w:szCs w:val="21"/>
        </w:rPr>
        <w:t>5.4.2.1</w:t>
      </w:r>
      <w:r>
        <w:rPr>
          <w:rFonts w:ascii="Times New Roman" w:hAnsi="Times New Roman"/>
          <w:szCs w:val="21"/>
        </w:rPr>
        <w:t>工厂应按照GB/T 7119的要求对其开展节水评价工作</w:t>
      </w:r>
      <w:r>
        <w:rPr>
          <w:rFonts w:hint="eastAsia" w:ascii="Times New Roman" w:hAnsi="Times New Roman"/>
          <w:szCs w:val="21"/>
        </w:rPr>
        <w:t>。</w:t>
      </w:r>
    </w:p>
    <w:p>
      <w:pPr>
        <w:adjustRightInd w:val="0"/>
        <w:snapToGrid w:val="0"/>
        <w:ind w:hanging="10"/>
        <w:rPr>
          <w:rFonts w:ascii="Times New Roman" w:hAnsi="Times New Roman"/>
        </w:rPr>
      </w:pPr>
      <w:r>
        <w:rPr>
          <w:rFonts w:ascii="黑体" w:hAnsi="黑体" w:eastAsia="黑体" w:cs="黑体"/>
          <w:szCs w:val="21"/>
        </w:rPr>
        <w:t xml:space="preserve">5.4.2.2 </w:t>
      </w:r>
      <w:r>
        <w:rPr>
          <w:rFonts w:ascii="Times New Roman" w:hAnsi="Times New Roman"/>
        </w:rPr>
        <w:t>工厂应减少</w:t>
      </w:r>
      <w:r>
        <w:rPr>
          <w:rFonts w:hint="eastAsia" w:ascii="Times New Roman" w:hAnsi="Times New Roman"/>
        </w:rPr>
        <w:t>原辅料及材料</w:t>
      </w:r>
      <w:r>
        <w:rPr>
          <w:rFonts w:ascii="Times New Roman" w:hAnsi="Times New Roman"/>
        </w:rPr>
        <w:t>尤其是有毒有害物质的使用，评估有毒有害物质及化学品减量使用或替代的可行性。</w:t>
      </w:r>
    </w:p>
    <w:p>
      <w:pPr>
        <w:adjustRightInd w:val="0"/>
        <w:snapToGrid w:val="0"/>
        <w:ind w:hanging="10"/>
        <w:rPr>
          <w:rFonts w:ascii="Times New Roman" w:hAnsi="Times New Roman"/>
        </w:rPr>
      </w:pPr>
      <w:r>
        <w:rPr>
          <w:rFonts w:ascii="黑体" w:hAnsi="黑体" w:eastAsia="黑体" w:cs="黑体"/>
          <w:szCs w:val="21"/>
        </w:rPr>
        <w:t>5.4.2.3</w:t>
      </w:r>
      <w:r>
        <w:rPr>
          <w:rFonts w:ascii="Times New Roman" w:hAnsi="Times New Roman"/>
        </w:rPr>
        <w:t>工厂应按照 GB/T 29115的要求对其</w:t>
      </w:r>
      <w:r>
        <w:rPr>
          <w:rFonts w:hint="eastAsia" w:ascii="Times New Roman" w:hAnsi="Times New Roman"/>
        </w:rPr>
        <w:t>原辅料及材料</w:t>
      </w:r>
      <w:r>
        <w:rPr>
          <w:rFonts w:ascii="Times New Roman" w:hAnsi="Times New Roman"/>
        </w:rPr>
        <w:t>使用量的减少进行评价。</w:t>
      </w:r>
    </w:p>
    <w:p>
      <w:pPr>
        <w:adjustRightInd w:val="0"/>
        <w:snapToGrid w:val="0"/>
        <w:ind w:hanging="10"/>
        <w:rPr>
          <w:rFonts w:ascii="Times New Roman" w:hAnsi="Times New Roman"/>
        </w:rPr>
      </w:pPr>
      <w:r>
        <w:rPr>
          <w:rFonts w:ascii="黑体" w:hAnsi="黑体" w:eastAsia="黑体" w:cs="黑体"/>
          <w:szCs w:val="21"/>
        </w:rPr>
        <w:t>5.4.2.4</w:t>
      </w:r>
      <w:r>
        <w:rPr>
          <w:rFonts w:ascii="Times New Roman" w:hAnsi="Times New Roman"/>
        </w:rPr>
        <w:t>应使用</w:t>
      </w:r>
      <w:r>
        <w:rPr>
          <w:rFonts w:hint="eastAsia" w:ascii="Times New Roman" w:hAnsi="Times New Roman"/>
        </w:rPr>
        <w:t>工厂内部产生的</w:t>
      </w:r>
      <w:r>
        <w:rPr>
          <w:rFonts w:ascii="Times New Roman" w:hAnsi="Times New Roman"/>
        </w:rPr>
        <w:t>回收料如</w:t>
      </w:r>
      <w:r>
        <w:rPr>
          <w:rFonts w:hint="eastAsia" w:ascii="Times New Roman" w:hAnsi="Times New Roman"/>
        </w:rPr>
        <w:t>磁粉、颗粒料</w:t>
      </w:r>
      <w:r>
        <w:rPr>
          <w:rFonts w:ascii="Times New Roman" w:hAnsi="Times New Roman"/>
        </w:rPr>
        <w:t>等可回收材料</w:t>
      </w:r>
      <w:r>
        <w:rPr>
          <w:rFonts w:hint="eastAsia" w:ascii="Times New Roman" w:hAnsi="Times New Roman"/>
        </w:rPr>
        <w:t>部分</w:t>
      </w:r>
      <w:r>
        <w:rPr>
          <w:rFonts w:ascii="Times New Roman" w:hAnsi="Times New Roman"/>
        </w:rPr>
        <w:t>替代原生材料</w:t>
      </w:r>
      <w:r>
        <w:rPr>
          <w:rFonts w:hint="eastAsia" w:ascii="Times New Roman" w:hAnsi="Times New Roman"/>
        </w:rPr>
        <w:t>，</w:t>
      </w:r>
      <w:r>
        <w:rPr>
          <w:rFonts w:ascii="Times New Roman" w:hAnsi="Times New Roman"/>
        </w:rPr>
        <w:t>使用可回收材料代替不可回收材料，应替代或减少全球增温潜势</w:t>
      </w:r>
      <w:r>
        <w:rPr>
          <w:rFonts w:hint="eastAsia" w:ascii="Times New Roman" w:hAnsi="Times New Roman"/>
        </w:rPr>
        <w:t>较</w:t>
      </w:r>
      <w:r>
        <w:rPr>
          <w:rFonts w:ascii="Times New Roman" w:hAnsi="Times New Roman"/>
        </w:rPr>
        <w:t>高温室气体的使用。</w:t>
      </w:r>
    </w:p>
    <w:p>
      <w:pPr>
        <w:pStyle w:val="3"/>
        <w:numPr>
          <w:ilvl w:val="0"/>
          <w:numId w:val="0"/>
        </w:numPr>
        <w:adjustRightInd w:val="0"/>
        <w:snapToGrid w:val="0"/>
        <w:spacing w:beforeLines="0" w:afterLines="0" w:line="360" w:lineRule="auto"/>
        <w:rPr>
          <w:rFonts w:ascii="黑体" w:hAnsi="黑体" w:eastAsia="黑体" w:cs="黑体"/>
        </w:rPr>
      </w:pPr>
      <w:bookmarkStart w:id="135" w:name="_Toc7655_WPSOffice_Level2"/>
      <w:bookmarkStart w:id="136" w:name="_Toc30389_WPSOffice_Level2"/>
      <w:bookmarkStart w:id="137" w:name="_Toc28905"/>
      <w:r>
        <w:rPr>
          <w:rFonts w:hint="eastAsia" w:ascii="黑体" w:hAnsi="黑体" w:eastAsia="黑体" w:cs="黑体"/>
        </w:rPr>
        <w:t>5.4.3 采购</w:t>
      </w:r>
      <w:bookmarkEnd w:id="135"/>
      <w:bookmarkEnd w:id="136"/>
      <w:bookmarkEnd w:id="137"/>
    </w:p>
    <w:p>
      <w:pPr>
        <w:adjustRightInd w:val="0"/>
        <w:snapToGrid w:val="0"/>
      </w:pPr>
      <w:r>
        <w:rPr>
          <w:rFonts w:ascii="黑体" w:hAnsi="黑体" w:eastAsia="黑体" w:cs="黑体"/>
          <w:szCs w:val="21"/>
        </w:rPr>
        <w:t xml:space="preserve">5.4.3.1 </w:t>
      </w:r>
      <w:r>
        <w:rPr>
          <w:rFonts w:hint="eastAsia"/>
        </w:rPr>
        <w:t>工厂应制定并实施包括节能环保要求的选择、评价和重新评价供方的准则。必要时，工厂向供方提供的采购信息应包括含有毒有害物质使用、可回收材料使用、能效等环保要求。</w:t>
      </w:r>
    </w:p>
    <w:p>
      <w:pPr>
        <w:adjustRightInd w:val="0"/>
        <w:snapToGrid w:val="0"/>
      </w:pPr>
      <w:r>
        <w:rPr>
          <w:rFonts w:ascii="黑体" w:hAnsi="黑体" w:eastAsia="黑体" w:cs="黑体"/>
          <w:szCs w:val="21"/>
        </w:rPr>
        <w:t xml:space="preserve">5.4.3.2 </w:t>
      </w:r>
      <w:r>
        <w:rPr>
          <w:rFonts w:hint="eastAsia"/>
        </w:rPr>
        <w:t>工厂应确定并实施检验或其他必要的活动，确保采购的产品满足规定的采购要求。</w:t>
      </w:r>
    </w:p>
    <w:p>
      <w:pPr>
        <w:adjustRightInd w:val="0"/>
        <w:snapToGrid w:val="0"/>
        <w:spacing w:before="158" w:beforeLines="50" w:after="158" w:afterLines="50" w:line="240" w:lineRule="auto"/>
        <w:rPr>
          <w:rFonts w:ascii="黑体" w:hAnsi="黑体" w:eastAsia="黑体" w:cs="黑体"/>
        </w:rPr>
      </w:pPr>
      <w:bookmarkStart w:id="138" w:name="_Toc381480756"/>
      <w:bookmarkStart w:id="139" w:name="_Toc23450_WPSOffice_Level1"/>
      <w:bookmarkStart w:id="140" w:name="_Toc18716_WPSOffice_Level1"/>
      <w:bookmarkStart w:id="141" w:name="_Toc232"/>
      <w:bookmarkStart w:id="142" w:name="_Toc531265211"/>
      <w:bookmarkStart w:id="143" w:name="_Toc2772"/>
      <w:r>
        <w:rPr>
          <w:rFonts w:hint="eastAsia" w:ascii="黑体" w:hAnsi="黑体" w:eastAsia="黑体" w:cs="黑体"/>
        </w:rPr>
        <w:t>5.5 产品</w:t>
      </w:r>
      <w:bookmarkEnd w:id="138"/>
      <w:bookmarkEnd w:id="139"/>
      <w:bookmarkEnd w:id="140"/>
      <w:bookmarkEnd w:id="141"/>
      <w:r>
        <w:rPr>
          <w:rFonts w:hint="eastAsia" w:ascii="黑体" w:hAnsi="黑体" w:eastAsia="黑体" w:cs="黑体"/>
        </w:rPr>
        <w:t>要求</w:t>
      </w:r>
      <w:bookmarkEnd w:id="142"/>
      <w:bookmarkEnd w:id="143"/>
    </w:p>
    <w:p>
      <w:pPr>
        <w:adjustRightInd w:val="0"/>
        <w:snapToGrid w:val="0"/>
        <w:rPr>
          <w:rFonts w:ascii="黑体" w:hAnsi="黑体" w:eastAsia="黑体" w:cs="黑体"/>
        </w:rPr>
      </w:pPr>
      <w:r>
        <w:rPr>
          <w:rFonts w:hint="eastAsia" w:ascii="黑体" w:hAnsi="黑体" w:eastAsia="黑体" w:cs="黑体"/>
        </w:rPr>
        <w:t xml:space="preserve">5.5.1一般要求 </w:t>
      </w:r>
    </w:p>
    <w:p>
      <w:pPr>
        <w:adjustRightInd w:val="0"/>
        <w:snapToGrid w:val="0"/>
        <w:ind w:firstLine="420" w:firstLineChars="200"/>
      </w:pPr>
      <w:r>
        <w:rPr>
          <w:rFonts w:hint="eastAsia"/>
        </w:rPr>
        <w:t>工厂应生产符合绿色产品要求的产品。</w:t>
      </w:r>
    </w:p>
    <w:p>
      <w:pPr>
        <w:adjustRightInd w:val="0"/>
        <w:snapToGrid w:val="0"/>
        <w:rPr>
          <w:rFonts w:ascii="黑体" w:hAnsi="黑体" w:eastAsia="黑体" w:cs="黑体"/>
        </w:rPr>
      </w:pPr>
      <w:bookmarkStart w:id="144" w:name="_Toc19221"/>
      <w:bookmarkStart w:id="145" w:name="_Toc531265212"/>
      <w:bookmarkStart w:id="146" w:name="_Toc13242_WPSOffice_Level2"/>
      <w:bookmarkStart w:id="147" w:name="_Toc23200_WPSOffice_Level2"/>
      <w:bookmarkStart w:id="148" w:name="_Toc381480757"/>
      <w:bookmarkStart w:id="149" w:name="_Toc6367"/>
      <w:r>
        <w:rPr>
          <w:rFonts w:hint="eastAsia" w:ascii="黑体" w:hAnsi="黑体" w:eastAsia="黑体" w:cs="黑体"/>
        </w:rPr>
        <w:t>5.5.2生态(绿色)设计</w:t>
      </w:r>
      <w:bookmarkEnd w:id="144"/>
      <w:bookmarkEnd w:id="145"/>
      <w:bookmarkEnd w:id="146"/>
      <w:bookmarkEnd w:id="147"/>
      <w:bookmarkEnd w:id="148"/>
      <w:bookmarkEnd w:id="149"/>
    </w:p>
    <w:p>
      <w:pPr>
        <w:pStyle w:val="11"/>
        <w:adjustRightInd w:val="0"/>
        <w:snapToGrid w:val="0"/>
        <w:ind w:firstLine="0" w:firstLineChars="0"/>
        <w:rPr>
          <w:sz w:val="21"/>
          <w:szCs w:val="21"/>
        </w:rPr>
      </w:pPr>
      <w:bookmarkStart w:id="150" w:name="_Toc381480758"/>
      <w:r>
        <w:rPr>
          <w:rFonts w:hint="eastAsia" w:ascii="黑体" w:hAnsi="黑体" w:eastAsia="黑体" w:cs="黑体"/>
          <w:sz w:val="21"/>
          <w:szCs w:val="21"/>
        </w:rPr>
        <w:t xml:space="preserve">5.5.2.1 </w:t>
      </w:r>
      <w:r>
        <w:rPr>
          <w:rFonts w:hint="eastAsia"/>
          <w:sz w:val="21"/>
          <w:szCs w:val="21"/>
        </w:rPr>
        <w:t>工厂应在产品设计中引入生态设计的理念。适用时，产品品种应按照对应品种的绿色产品评价标准进行评价。</w:t>
      </w:r>
    </w:p>
    <w:p>
      <w:pPr>
        <w:adjustRightInd w:val="0"/>
        <w:snapToGrid w:val="0"/>
      </w:pPr>
      <w:r>
        <w:rPr>
          <w:rFonts w:hint="eastAsia" w:ascii="黑体" w:hAnsi="黑体" w:eastAsia="黑体" w:cs="黑体"/>
          <w:szCs w:val="21"/>
        </w:rPr>
        <w:t xml:space="preserve">5.5.2.2 </w:t>
      </w:r>
      <w:r>
        <w:rPr>
          <w:rFonts w:hint="eastAsia"/>
          <w:szCs w:val="21"/>
        </w:rPr>
        <w:t>未有对应标准的产品品种，工厂</w:t>
      </w:r>
      <w:r>
        <w:rPr>
          <w:rFonts w:ascii="Times New Roman" w:hAnsi="Times New Roman"/>
          <w:szCs w:val="21"/>
        </w:rPr>
        <w:t>应按照</w:t>
      </w:r>
      <w:r>
        <w:rPr>
          <w:rFonts w:ascii="Times New Roman" w:hAnsi="Times New Roman"/>
        </w:rPr>
        <w:t>GB/T 24256</w:t>
      </w:r>
      <w:r>
        <w:rPr>
          <w:rFonts w:ascii="Times New Roman" w:hAnsi="Times New Roman"/>
          <w:szCs w:val="21"/>
        </w:rPr>
        <w:t>对生产</w:t>
      </w:r>
      <w:r>
        <w:rPr>
          <w:rFonts w:hint="eastAsia"/>
          <w:szCs w:val="21"/>
        </w:rPr>
        <w:t>的产品进行生态设计，并应按照</w:t>
      </w:r>
      <w:r>
        <w:rPr>
          <w:rFonts w:ascii="Times New Roman" w:hAnsi="Times New Roman"/>
          <w:szCs w:val="21"/>
        </w:rPr>
        <w:t>GB/T 32161对生产的产</w:t>
      </w:r>
      <w:r>
        <w:rPr>
          <w:rFonts w:hint="eastAsia"/>
          <w:szCs w:val="21"/>
        </w:rPr>
        <w:t>品进行生态设计产品评价。</w:t>
      </w:r>
    </w:p>
    <w:p>
      <w:pPr>
        <w:adjustRightInd w:val="0"/>
        <w:snapToGrid w:val="0"/>
        <w:rPr>
          <w:rFonts w:ascii="黑体" w:hAnsi="黑体" w:eastAsia="黑体" w:cs="黑体"/>
        </w:rPr>
      </w:pPr>
      <w:bookmarkStart w:id="151" w:name="_Toc383"/>
      <w:bookmarkStart w:id="152" w:name="_Toc31643_WPSOffice_Level2"/>
      <w:bookmarkStart w:id="153" w:name="_Toc531265213"/>
      <w:bookmarkStart w:id="154" w:name="_Toc1057_WPSOffice_Level2"/>
      <w:bookmarkStart w:id="155" w:name="_Toc761"/>
      <w:r>
        <w:rPr>
          <w:rFonts w:hint="eastAsia" w:ascii="黑体" w:hAnsi="黑体" w:eastAsia="黑体" w:cs="黑体"/>
        </w:rPr>
        <w:t>5.5.3有毒有害物质使用</w:t>
      </w:r>
      <w:bookmarkEnd w:id="150"/>
      <w:bookmarkEnd w:id="151"/>
      <w:bookmarkEnd w:id="152"/>
      <w:bookmarkEnd w:id="153"/>
      <w:bookmarkEnd w:id="154"/>
      <w:bookmarkEnd w:id="155"/>
    </w:p>
    <w:p>
      <w:pPr>
        <w:adjustRightInd w:val="0"/>
        <w:snapToGrid w:val="0"/>
      </w:pPr>
      <w:r>
        <w:rPr>
          <w:rFonts w:hint="eastAsia" w:ascii="黑体" w:hAnsi="黑体" w:eastAsia="黑体" w:cs="黑体"/>
        </w:rPr>
        <w:t>5.5.3.1</w:t>
      </w:r>
      <w:r>
        <w:rPr>
          <w:rFonts w:hint="eastAsia" w:asciiTheme="minorEastAsia" w:hAnsiTheme="minorEastAsia" w:cstheme="minorEastAsia"/>
          <w:szCs w:val="21"/>
        </w:rPr>
        <w:t>有毒有害物质的贮存、输送、生产和使用场所，应设置环境风险防范和应急处置设施，并配置相应的应急物资。</w:t>
      </w:r>
    </w:p>
    <w:p>
      <w:pPr>
        <w:adjustRightInd w:val="0"/>
        <w:snapToGrid w:val="0"/>
      </w:pPr>
      <w:r>
        <w:rPr>
          <w:rFonts w:hint="eastAsia" w:ascii="黑体" w:hAnsi="黑体" w:eastAsia="黑体" w:cs="黑体"/>
        </w:rPr>
        <w:t>5.5.3.2</w:t>
      </w:r>
      <w:r>
        <w:rPr>
          <w:rFonts w:hint="eastAsia" w:cs="黑体" w:asciiTheme="minorEastAsia" w:hAnsiTheme="minorEastAsia" w:eastAsiaTheme="minorEastAsia"/>
        </w:rPr>
        <w:t>应减少有毒有害物质的使用，</w:t>
      </w:r>
      <w:r>
        <w:rPr>
          <w:rFonts w:hint="eastAsia"/>
        </w:rPr>
        <w:t>应实现有毒有害物质替代。</w:t>
      </w:r>
    </w:p>
    <w:p>
      <w:pPr>
        <w:adjustRightInd w:val="0"/>
        <w:snapToGrid w:val="0"/>
      </w:pPr>
      <w:r>
        <w:rPr>
          <w:rFonts w:hint="eastAsia" w:ascii="黑体" w:hAnsi="黑体" w:eastAsia="黑体" w:cs="黑体"/>
        </w:rPr>
        <w:t>5.5.3.3</w:t>
      </w:r>
      <w:r>
        <w:rPr>
          <w:rFonts w:hint="eastAsia" w:cs="黑体" w:asciiTheme="minorEastAsia" w:hAnsiTheme="minorEastAsia" w:eastAsiaTheme="minorEastAsia"/>
        </w:rPr>
        <w:t>磁体表面处理工艺应使用水性涂料，减少或杜绝溶剂型涂料和稀释剂的使用。</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r>
        <w:rPr>
          <w:rFonts w:hint="eastAsia" w:ascii="黑体" w:hAnsi="黑体" w:eastAsia="黑体" w:cs="黑体"/>
        </w:rPr>
        <w:t>5.5.</w:t>
      </w:r>
      <w:r>
        <w:rPr>
          <w:rFonts w:ascii="黑体" w:hAnsi="黑体" w:eastAsia="黑体" w:cs="黑体"/>
        </w:rPr>
        <w:t>4</w:t>
      </w:r>
      <w:r>
        <w:rPr>
          <w:rFonts w:hint="eastAsia" w:ascii="黑体" w:hAnsi="黑体" w:eastAsia="黑体" w:cs="黑体"/>
        </w:rPr>
        <w:t xml:space="preserve"> 减碳</w:t>
      </w:r>
    </w:p>
    <w:p>
      <w:pPr>
        <w:adjustRightInd w:val="0"/>
        <w:snapToGrid w:val="0"/>
        <w:ind w:firstLine="420" w:firstLineChars="200"/>
      </w:pPr>
      <w:r>
        <w:rPr>
          <w:rFonts w:hint="eastAsia"/>
        </w:rPr>
        <w:t>工厂应采用适用的标准或规范对生产的产品进行碳足迹核算或核查，核算或核查的结果应对外公布，并利用核算结果对其产品的碳足迹进行改善。</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r>
        <w:rPr>
          <w:rFonts w:hint="eastAsia" w:ascii="黑体" w:hAnsi="黑体" w:eastAsia="黑体" w:cs="黑体"/>
        </w:rPr>
        <w:t>5.5.</w:t>
      </w:r>
      <w:r>
        <w:rPr>
          <w:rFonts w:ascii="黑体" w:hAnsi="黑体" w:eastAsia="黑体" w:cs="黑体"/>
        </w:rPr>
        <w:t>5</w:t>
      </w:r>
      <w:r>
        <w:rPr>
          <w:rFonts w:hint="eastAsia" w:ascii="黑体" w:hAnsi="黑体" w:eastAsia="黑体" w:cs="黑体"/>
        </w:rPr>
        <w:t>回收利用</w:t>
      </w:r>
    </w:p>
    <w:p>
      <w:pPr>
        <w:adjustRightInd w:val="0"/>
        <w:snapToGrid w:val="0"/>
        <w:ind w:firstLine="420" w:firstLineChars="200"/>
        <w:rPr>
          <w:rFonts w:ascii="Times New Roman" w:hAnsi="Times New Roman"/>
        </w:rPr>
      </w:pPr>
      <w:r>
        <w:rPr>
          <w:rFonts w:ascii="Times New Roman" w:hAnsi="Times New Roman"/>
        </w:rPr>
        <w:t>a）应加强</w:t>
      </w:r>
      <w:r>
        <w:rPr>
          <w:rFonts w:hint="eastAsia" w:ascii="Times New Roman" w:hAnsi="Times New Roman"/>
        </w:rPr>
        <w:t>废却半成品、废却产品等</w:t>
      </w:r>
      <w:r>
        <w:rPr>
          <w:rFonts w:ascii="Times New Roman" w:hAnsi="Times New Roman"/>
        </w:rPr>
        <w:t>资源综合利用，提高二次资源应用。</w:t>
      </w:r>
    </w:p>
    <w:p>
      <w:pPr>
        <w:adjustRightInd w:val="0"/>
        <w:snapToGrid w:val="0"/>
        <w:ind w:firstLine="420" w:firstLineChars="200"/>
        <w:rPr>
          <w:rFonts w:ascii="Times New Roman" w:hAnsi="Times New Roman"/>
        </w:rPr>
      </w:pPr>
      <w:r>
        <w:rPr>
          <w:rFonts w:ascii="Times New Roman" w:hAnsi="Times New Roman"/>
        </w:rPr>
        <w:t>b）工厂应加强水资源管理，并加强城市中水、海水、雨水等非常规水资源利用，</w:t>
      </w:r>
      <w:r>
        <w:rPr>
          <w:rFonts w:hint="eastAsia" w:ascii="Times New Roman" w:hAnsi="Times New Roman"/>
        </w:rPr>
        <w:t>开展RO纯水制备产生的浓水的回收利用，</w:t>
      </w:r>
      <w:r>
        <w:rPr>
          <w:rFonts w:ascii="Times New Roman" w:hAnsi="Times New Roman"/>
        </w:rPr>
        <w:t>减少淡水资源消耗。</w:t>
      </w:r>
    </w:p>
    <w:p>
      <w:pPr>
        <w:adjustRightInd w:val="0"/>
        <w:snapToGrid w:val="0"/>
        <w:ind w:firstLine="420" w:firstLineChars="200"/>
        <w:rPr>
          <w:rFonts w:ascii="Times New Roman" w:hAnsi="Times New Roman"/>
          <w:highlight w:val="yellow"/>
        </w:rPr>
      </w:pPr>
      <w:r>
        <w:rPr>
          <w:rFonts w:hint="eastAsia" w:ascii="Times New Roman" w:hAnsi="Times New Roman"/>
        </w:rPr>
        <w:t>c</w:t>
      </w:r>
      <w:r>
        <w:rPr>
          <w:rFonts w:ascii="Times New Roman" w:hAnsi="Times New Roman"/>
        </w:rPr>
        <w:t>）适用时，工厂应按照GB/T 20862的要求计算其产品的可回收利用率，并应利用计算结果对产品的可回收利用率进行改善。</w:t>
      </w:r>
    </w:p>
    <w:p>
      <w:pPr>
        <w:adjustRightInd w:val="0"/>
        <w:snapToGrid w:val="0"/>
        <w:spacing w:before="158" w:beforeLines="50" w:after="158" w:afterLines="50" w:line="240" w:lineRule="auto"/>
        <w:rPr>
          <w:rFonts w:ascii="黑体" w:hAnsi="黑体" w:eastAsia="黑体" w:cs="黑体"/>
        </w:rPr>
      </w:pPr>
      <w:bookmarkStart w:id="156" w:name="_Toc381480762"/>
      <w:bookmarkStart w:id="157" w:name="_Toc17732_WPSOffice_Level1"/>
      <w:bookmarkStart w:id="158" w:name="_Toc2598"/>
      <w:bookmarkStart w:id="159" w:name="_Toc5115_WPSOffice_Level1"/>
      <w:bookmarkStart w:id="160" w:name="_Toc531265214"/>
      <w:bookmarkStart w:id="161" w:name="_Toc1961"/>
      <w:r>
        <w:rPr>
          <w:rFonts w:hint="eastAsia" w:ascii="黑体" w:hAnsi="黑体" w:eastAsia="黑体" w:cs="黑体"/>
        </w:rPr>
        <w:t>5.6 环境排放</w:t>
      </w:r>
      <w:bookmarkEnd w:id="156"/>
      <w:bookmarkEnd w:id="157"/>
      <w:bookmarkEnd w:id="158"/>
      <w:bookmarkEnd w:id="159"/>
      <w:r>
        <w:rPr>
          <w:rFonts w:hint="eastAsia" w:ascii="黑体" w:hAnsi="黑体" w:eastAsia="黑体" w:cs="黑体"/>
        </w:rPr>
        <w:t>要求</w:t>
      </w:r>
      <w:bookmarkEnd w:id="160"/>
      <w:bookmarkEnd w:id="161"/>
    </w:p>
    <w:p>
      <w:pPr>
        <w:pStyle w:val="3"/>
        <w:numPr>
          <w:ilvl w:val="0"/>
          <w:numId w:val="0"/>
        </w:numPr>
        <w:adjustRightInd w:val="0"/>
        <w:snapToGrid w:val="0"/>
        <w:spacing w:beforeLines="0" w:afterLines="0" w:line="360" w:lineRule="auto"/>
        <w:rPr>
          <w:rFonts w:ascii="黑体" w:hAnsi="黑体" w:eastAsia="黑体" w:cs="黑体"/>
        </w:rPr>
      </w:pPr>
      <w:bookmarkStart w:id="162" w:name="_Toc19728_WPSOffice_Level2"/>
      <w:bookmarkStart w:id="163" w:name="_Toc29078"/>
      <w:bookmarkStart w:id="164" w:name="_Toc24545_WPSOffice_Level2"/>
      <w:bookmarkStart w:id="165" w:name="_Toc531265215"/>
      <w:bookmarkStart w:id="166" w:name="_Toc16780"/>
      <w:bookmarkStart w:id="167" w:name="_Toc381480763"/>
      <w:r>
        <w:rPr>
          <w:rFonts w:hint="eastAsia" w:ascii="黑体" w:hAnsi="黑体" w:eastAsia="黑体" w:cs="黑体"/>
        </w:rPr>
        <w:t>5.6.1 大气、水体污染物</w:t>
      </w:r>
      <w:bookmarkEnd w:id="162"/>
      <w:bookmarkEnd w:id="163"/>
      <w:bookmarkEnd w:id="164"/>
      <w:bookmarkEnd w:id="165"/>
      <w:bookmarkEnd w:id="166"/>
      <w:bookmarkEnd w:id="167"/>
      <w:bookmarkStart w:id="168" w:name="_Toc25151_WPSOffice_Level2"/>
      <w:bookmarkStart w:id="169" w:name="_Toc11826"/>
      <w:bookmarkStart w:id="170" w:name="_Toc28318_WPSOffice_Level2"/>
      <w:bookmarkStart w:id="171" w:name="_Toc381480764"/>
    </w:p>
    <w:p>
      <w:pPr>
        <w:adjustRightInd w:val="0"/>
        <w:snapToGrid w:val="0"/>
        <w:ind w:firstLine="420" w:firstLineChars="200"/>
      </w:pPr>
      <w:bookmarkStart w:id="172" w:name="_Hlk40994312"/>
      <w:r>
        <w:rPr>
          <w:rFonts w:hint="eastAsia"/>
        </w:rPr>
        <w:t>工厂的大气、水体污染物排放应符</w:t>
      </w:r>
      <w:r>
        <w:rPr>
          <w:rFonts w:ascii="Times New Roman" w:hAnsi="Times New Roman"/>
        </w:rPr>
        <w:t>合</w:t>
      </w:r>
      <w:r>
        <w:rPr>
          <w:rFonts w:hint="eastAsia" w:ascii="Times New Roman" w:hAnsi="Times New Roman"/>
        </w:rPr>
        <w:t>相关国家标准、行业标准及地方标准的</w:t>
      </w:r>
      <w:r>
        <w:rPr>
          <w:rFonts w:hint="eastAsia"/>
        </w:rPr>
        <w:t>要求，并满足区域内排放总量控制要求。</w:t>
      </w:r>
    </w:p>
    <w:bookmarkEnd w:id="168"/>
    <w:bookmarkEnd w:id="169"/>
    <w:bookmarkEnd w:id="170"/>
    <w:bookmarkEnd w:id="171"/>
    <w:bookmarkEnd w:id="172"/>
    <w:p>
      <w:pPr>
        <w:pStyle w:val="3"/>
        <w:numPr>
          <w:ilvl w:val="0"/>
          <w:numId w:val="0"/>
        </w:numPr>
        <w:adjustRightInd w:val="0"/>
        <w:snapToGrid w:val="0"/>
        <w:spacing w:beforeLines="0" w:afterLines="0" w:line="360" w:lineRule="auto"/>
        <w:rPr>
          <w:rFonts w:ascii="黑体" w:hAnsi="黑体" w:eastAsia="黑体" w:cs="黑体"/>
        </w:rPr>
      </w:pPr>
      <w:bookmarkStart w:id="173" w:name="_Toc381480765"/>
      <w:bookmarkStart w:id="174" w:name="_Toc531265217"/>
      <w:bookmarkStart w:id="175" w:name="_Toc31115"/>
      <w:bookmarkStart w:id="176" w:name="_Toc19332"/>
      <w:bookmarkStart w:id="177" w:name="_Toc13626_WPSOffice_Level2"/>
      <w:bookmarkStart w:id="178" w:name="_Toc30810_WPSOffice_Level2"/>
      <w:r>
        <w:rPr>
          <w:rFonts w:hint="eastAsia" w:ascii="黑体" w:hAnsi="黑体" w:eastAsia="黑体" w:cs="黑体"/>
        </w:rPr>
        <w:t>5.6.2 一般工业固体废物</w:t>
      </w:r>
      <w:bookmarkEnd w:id="173"/>
      <w:bookmarkEnd w:id="174"/>
      <w:bookmarkEnd w:id="175"/>
      <w:bookmarkEnd w:id="176"/>
      <w:bookmarkEnd w:id="177"/>
      <w:bookmarkEnd w:id="178"/>
    </w:p>
    <w:p>
      <w:pPr>
        <w:adjustRightInd w:val="0"/>
        <w:snapToGrid w:val="0"/>
        <w:ind w:firstLine="420" w:firstLineChars="200"/>
        <w:rPr>
          <w:rFonts w:ascii="Times New Roman" w:hAnsi="Times New Roman"/>
          <w:szCs w:val="21"/>
        </w:rPr>
      </w:pPr>
      <w:bookmarkStart w:id="179" w:name="_Toc22357"/>
      <w:bookmarkStart w:id="180" w:name="_Toc11718_WPSOffice_Level2"/>
      <w:bookmarkStart w:id="181" w:name="_Toc32738_WPSOffice_Level2"/>
      <w:bookmarkStart w:id="182" w:name="_Toc381480766"/>
      <w:r>
        <w:t>工厂一般工业固体废物的处置应符合GB 18599及相关标准的要求。工厂无法自行处理的，应将固体废物转交给具备相应能力和资质的处理单位进行处理。</w:t>
      </w:r>
    </w:p>
    <w:p>
      <w:pPr>
        <w:pStyle w:val="3"/>
        <w:numPr>
          <w:ilvl w:val="0"/>
          <w:numId w:val="0"/>
        </w:numPr>
        <w:adjustRightInd w:val="0"/>
        <w:snapToGrid w:val="0"/>
        <w:spacing w:beforeLines="0" w:afterLines="0" w:line="360" w:lineRule="auto"/>
        <w:rPr>
          <w:rFonts w:ascii="黑体" w:hAnsi="黑体" w:eastAsia="黑体" w:cs="黑体"/>
        </w:rPr>
      </w:pPr>
      <w:r>
        <w:rPr>
          <w:rFonts w:hint="eastAsia" w:ascii="黑体" w:hAnsi="黑体" w:eastAsia="黑体" w:cs="黑体"/>
        </w:rPr>
        <w:t>5.6.3危险废弃物</w:t>
      </w:r>
    </w:p>
    <w:p>
      <w:pPr>
        <w:adjustRightInd w:val="0"/>
        <w:snapToGrid w:val="0"/>
        <w:ind w:firstLine="420" w:firstLineChars="200"/>
      </w:pPr>
      <w:r>
        <w:rPr>
          <w:rFonts w:hint="eastAsia"/>
        </w:rPr>
        <w:t>工厂应按照国家相关法律法规规定对危险废弃物进行严格管理。工厂无处理能力和资质的，应将危险废弃物转移至具有相应能力和资质的危废处置单位进行处理。</w:t>
      </w:r>
      <w:r>
        <w:t>放射性固体废物</w:t>
      </w:r>
      <w:r>
        <w:rPr>
          <w:rFonts w:hint="eastAsia"/>
        </w:rPr>
        <w:t>的处置</w:t>
      </w:r>
      <w:r>
        <w:t>应符合</w:t>
      </w:r>
      <w:r>
        <w:rPr>
          <w:rFonts w:ascii="Times New Roman" w:hAnsi="Times New Roman"/>
          <w:szCs w:val="21"/>
        </w:rPr>
        <w:t>GB 14500</w:t>
      </w:r>
      <w:r>
        <w:t>及</w:t>
      </w:r>
      <w:r>
        <w:rPr>
          <w:rFonts w:ascii="Times New Roman" w:hAnsi="Times New Roman"/>
          <w:szCs w:val="21"/>
        </w:rPr>
        <w:t>GB 11806</w:t>
      </w:r>
      <w:r>
        <w:t>的要求。</w:t>
      </w:r>
    </w:p>
    <w:p>
      <w:pPr>
        <w:pStyle w:val="3"/>
        <w:numPr>
          <w:ilvl w:val="0"/>
          <w:numId w:val="0"/>
        </w:numPr>
        <w:adjustRightInd w:val="0"/>
        <w:snapToGrid w:val="0"/>
        <w:spacing w:beforeLines="0" w:afterLines="0" w:line="360" w:lineRule="auto"/>
        <w:rPr>
          <w:rFonts w:ascii="黑体" w:hAnsi="黑体" w:eastAsia="黑体" w:cs="黑体"/>
        </w:rPr>
      </w:pPr>
      <w:bookmarkStart w:id="183" w:name="_Toc531265218"/>
      <w:bookmarkStart w:id="184" w:name="_Toc4182"/>
      <w:r>
        <w:rPr>
          <w:rFonts w:hint="eastAsia" w:ascii="黑体" w:hAnsi="黑体" w:eastAsia="黑体" w:cs="黑体"/>
        </w:rPr>
        <w:t>5.6.4噪声</w:t>
      </w:r>
      <w:bookmarkEnd w:id="179"/>
      <w:bookmarkEnd w:id="180"/>
      <w:bookmarkEnd w:id="181"/>
      <w:bookmarkEnd w:id="182"/>
      <w:bookmarkEnd w:id="183"/>
      <w:bookmarkEnd w:id="184"/>
    </w:p>
    <w:p>
      <w:pPr>
        <w:adjustRightInd w:val="0"/>
        <w:snapToGrid w:val="0"/>
        <w:ind w:firstLine="420" w:firstLineChars="200"/>
      </w:pPr>
      <w:r>
        <w:rPr>
          <w:rFonts w:hint="eastAsia"/>
        </w:rPr>
        <w:t>工厂</w:t>
      </w:r>
      <w:bookmarkStart w:id="185" w:name="_Hlk40994405"/>
      <w:r>
        <w:rPr>
          <w:rFonts w:hint="eastAsia"/>
        </w:rPr>
        <w:t>厂界环境噪声排放应符</w:t>
      </w:r>
      <w:r>
        <w:rPr>
          <w:rFonts w:ascii="Times New Roman" w:hAnsi="Times New Roman"/>
        </w:rPr>
        <w:t>合</w:t>
      </w:r>
      <w:r>
        <w:rPr>
          <w:rFonts w:ascii="Times New Roman" w:hAnsi="Times New Roman"/>
          <w:szCs w:val="21"/>
        </w:rPr>
        <w:t>GB 12348等相关</w:t>
      </w:r>
      <w:r>
        <w:rPr>
          <w:rFonts w:hint="eastAsia"/>
          <w:szCs w:val="21"/>
        </w:rPr>
        <w:t>国家标准、行业标准及地方标准</w:t>
      </w:r>
      <w:r>
        <w:rPr>
          <w:rFonts w:hint="eastAsia"/>
        </w:rPr>
        <w:t>的要求</w:t>
      </w:r>
      <w:bookmarkEnd w:id="185"/>
      <w:r>
        <w:rPr>
          <w:rFonts w:hint="eastAsia"/>
        </w:rPr>
        <w:t>。</w:t>
      </w:r>
    </w:p>
    <w:p>
      <w:pPr>
        <w:pStyle w:val="3"/>
        <w:numPr>
          <w:ilvl w:val="0"/>
          <w:numId w:val="0"/>
        </w:numPr>
        <w:adjustRightInd w:val="0"/>
        <w:snapToGrid w:val="0"/>
        <w:spacing w:beforeLines="0" w:afterLines="0" w:line="360" w:lineRule="auto"/>
        <w:rPr>
          <w:rFonts w:ascii="黑体" w:hAnsi="黑体" w:eastAsia="黑体" w:cs="黑体"/>
        </w:rPr>
      </w:pPr>
      <w:bookmarkStart w:id="186" w:name="_Toc26842"/>
      <w:bookmarkStart w:id="187" w:name="_Toc31804_WPSOffice_Level2"/>
      <w:bookmarkStart w:id="188" w:name="_Toc8100_WPSOffice_Level2"/>
      <w:bookmarkStart w:id="189" w:name="_Toc531265219"/>
      <w:bookmarkStart w:id="190" w:name="_Toc381480767"/>
      <w:bookmarkStart w:id="191" w:name="_Toc25448"/>
      <w:r>
        <w:rPr>
          <w:rFonts w:hint="eastAsia" w:ascii="黑体" w:hAnsi="黑体" w:eastAsia="黑体" w:cs="黑体"/>
        </w:rPr>
        <w:t>5.6.5 温室气体</w:t>
      </w:r>
      <w:bookmarkEnd w:id="186"/>
      <w:bookmarkEnd w:id="187"/>
      <w:bookmarkEnd w:id="188"/>
      <w:bookmarkEnd w:id="189"/>
      <w:bookmarkEnd w:id="190"/>
      <w:bookmarkEnd w:id="191"/>
    </w:p>
    <w:p>
      <w:pPr>
        <w:adjustRightInd w:val="0"/>
        <w:snapToGrid w:val="0"/>
        <w:ind w:firstLine="420" w:firstLineChars="200"/>
      </w:pPr>
      <w:bookmarkStart w:id="192" w:name="_Toc381480768"/>
      <w:r>
        <w:rPr>
          <w:rFonts w:hint="eastAsia"/>
        </w:rPr>
        <w:t>工厂应采用</w:t>
      </w:r>
      <w:r>
        <w:rPr>
          <w:rFonts w:ascii="Times New Roman" w:hAnsi="Times New Roman"/>
        </w:rPr>
        <w:t>GB/T 32150或适用的标准对其厂界范围内的温室气体排放进行核算和报告，应进行核查，核查结果应对外公布。可行时，工厂应利</w:t>
      </w:r>
      <w:r>
        <w:rPr>
          <w:rFonts w:hint="eastAsia"/>
        </w:rPr>
        <w:t>用核算或核查结果对其温室气体的排放进行改善。</w:t>
      </w:r>
    </w:p>
    <w:p>
      <w:pPr>
        <w:pStyle w:val="3"/>
        <w:numPr>
          <w:ilvl w:val="0"/>
          <w:numId w:val="0"/>
        </w:numPr>
        <w:adjustRightInd w:val="0"/>
        <w:snapToGrid w:val="0"/>
        <w:spacing w:beforeLines="0" w:afterLines="0" w:line="360" w:lineRule="auto"/>
        <w:rPr>
          <w:bCs w:val="0"/>
          <w:szCs w:val="24"/>
        </w:rPr>
      </w:pPr>
      <w:r>
        <w:rPr>
          <w:rFonts w:hint="eastAsia" w:ascii="黑体" w:hAnsi="黑体" w:eastAsia="黑体" w:cs="黑体"/>
        </w:rPr>
        <w:t>5.6.6</w:t>
      </w:r>
      <w:r>
        <w:rPr>
          <w:rFonts w:hint="eastAsia"/>
          <w:bCs w:val="0"/>
          <w:szCs w:val="24"/>
        </w:rPr>
        <w:t>环境监测</w:t>
      </w:r>
    </w:p>
    <w:p>
      <w:pPr>
        <w:adjustRightInd w:val="0"/>
        <w:snapToGrid w:val="0"/>
        <w:ind w:firstLine="420" w:firstLineChars="200"/>
      </w:pPr>
      <w:r>
        <w:rPr>
          <w:rFonts w:hint="eastAsia"/>
        </w:rPr>
        <w:t>工厂应按照国家或地方的法律法规要求开展环境监测工作，并将监测结果进行公示。</w:t>
      </w:r>
    </w:p>
    <w:p>
      <w:pPr>
        <w:adjustRightInd w:val="0"/>
        <w:snapToGrid w:val="0"/>
        <w:spacing w:before="158" w:beforeLines="50" w:after="158" w:afterLines="50" w:line="240" w:lineRule="auto"/>
        <w:rPr>
          <w:rFonts w:ascii="黑体" w:hAnsi="黑体" w:eastAsia="黑体" w:cs="黑体"/>
        </w:rPr>
      </w:pPr>
      <w:bookmarkStart w:id="193" w:name="_Toc531265220"/>
      <w:bookmarkStart w:id="194" w:name="_Toc1684"/>
      <w:bookmarkStart w:id="195" w:name="_Toc9863_WPSOffice_Level1"/>
      <w:bookmarkStart w:id="196" w:name="_Toc5131"/>
      <w:bookmarkStart w:id="197" w:name="_Toc7779_WPSOffice_Level1"/>
      <w:r>
        <w:rPr>
          <w:rFonts w:hint="eastAsia" w:ascii="黑体" w:hAnsi="黑体" w:eastAsia="黑体" w:cs="黑体"/>
        </w:rPr>
        <w:t>5.7 绩效</w:t>
      </w:r>
      <w:bookmarkEnd w:id="192"/>
      <w:bookmarkEnd w:id="193"/>
      <w:bookmarkEnd w:id="194"/>
      <w:bookmarkEnd w:id="195"/>
      <w:bookmarkEnd w:id="196"/>
      <w:bookmarkEnd w:id="197"/>
    </w:p>
    <w:p>
      <w:pPr>
        <w:adjustRightInd w:val="0"/>
        <w:snapToGrid w:val="0"/>
        <w:rPr>
          <w:rFonts w:eastAsia="黑体"/>
        </w:rPr>
      </w:pPr>
      <w:r>
        <w:rPr>
          <w:rFonts w:hint="eastAsia" w:ascii="黑体" w:hAnsi="黑体" w:eastAsia="黑体" w:cs="黑体"/>
        </w:rPr>
        <w:t>5.7.1 一般要求</w:t>
      </w:r>
    </w:p>
    <w:p>
      <w:pPr>
        <w:adjustRightInd w:val="0"/>
        <w:snapToGrid w:val="0"/>
      </w:pPr>
      <w:r>
        <w:rPr>
          <w:rFonts w:hint="eastAsia" w:ascii="黑体" w:hAnsi="黑体" w:eastAsia="黑体" w:cs="黑体"/>
        </w:rPr>
        <w:t>5.7.1.1</w:t>
      </w:r>
      <w:r>
        <w:rPr>
          <w:rFonts w:hint="eastAsia"/>
        </w:rPr>
        <w:t>应依据本文件提供的方法计算或评估绩效，并利用结果进行绩效改善。适用时，绩效指标应至少满足</w:t>
      </w:r>
      <w:r>
        <w:rPr>
          <w:rFonts w:hint="eastAsia"/>
          <w:szCs w:val="21"/>
        </w:rPr>
        <w:t>粘结钕铁硼永磁体工厂</w:t>
      </w:r>
      <w:r>
        <w:rPr>
          <w:rFonts w:hint="eastAsia"/>
        </w:rPr>
        <w:t>相应规范要求。</w:t>
      </w:r>
    </w:p>
    <w:p>
      <w:pPr>
        <w:adjustRightInd w:val="0"/>
        <w:snapToGrid w:val="0"/>
        <w:rPr>
          <w:rFonts w:ascii="Times New Roman" w:hAnsi="Times New Roman"/>
        </w:rPr>
      </w:pPr>
      <w:r>
        <w:rPr>
          <w:rFonts w:hint="eastAsia" w:ascii="黑体" w:hAnsi="黑体" w:eastAsia="黑体" w:cs="黑体"/>
        </w:rPr>
        <w:t>5.7.1.2</w:t>
      </w:r>
      <w:r>
        <w:rPr>
          <w:rFonts w:hint="eastAsia"/>
        </w:rPr>
        <w:t>绩效统计</w:t>
      </w:r>
      <w:r>
        <w:rPr>
          <w:rFonts w:ascii="Times New Roman" w:hAnsi="Times New Roman"/>
        </w:rPr>
        <w:t>和计算应选取和覆盖能够反映工厂绩效水平的完整周期，至少包括不超过评价前一自然年度的连续的12个月。</w:t>
      </w:r>
    </w:p>
    <w:p>
      <w:pPr>
        <w:adjustRightInd w:val="0"/>
        <w:snapToGrid w:val="0"/>
        <w:rPr>
          <w:rFonts w:ascii="黑体" w:hAnsi="黑体" w:eastAsia="黑体" w:cs="黑体"/>
        </w:rPr>
      </w:pPr>
      <w:bookmarkStart w:id="198" w:name="_Toc5376"/>
      <w:bookmarkStart w:id="199" w:name="_Toc531265221"/>
      <w:bookmarkStart w:id="200" w:name="_Toc12074_WPSOffice_Level2"/>
      <w:bookmarkStart w:id="201" w:name="_Toc8970"/>
      <w:bookmarkStart w:id="202" w:name="_Toc27975_WPSOffice_Level2"/>
      <w:r>
        <w:rPr>
          <w:rFonts w:hint="eastAsia" w:ascii="黑体" w:hAnsi="黑体" w:eastAsia="黑体" w:cs="黑体"/>
        </w:rPr>
        <w:t>5.7.2 用地集约化</w:t>
      </w:r>
      <w:bookmarkEnd w:id="198"/>
      <w:bookmarkEnd w:id="199"/>
      <w:bookmarkEnd w:id="200"/>
      <w:bookmarkEnd w:id="201"/>
      <w:bookmarkEnd w:id="202"/>
    </w:p>
    <w:p>
      <w:pPr>
        <w:adjustRightInd w:val="0"/>
        <w:snapToGrid w:val="0"/>
        <w:rPr>
          <w:rFonts w:ascii="Times New Roman" w:hAnsi="Times New Roman"/>
        </w:rPr>
      </w:pPr>
      <w:r>
        <w:rPr>
          <w:rFonts w:hint="eastAsia" w:ascii="黑体" w:hAnsi="黑体" w:eastAsia="黑体" w:cs="黑体"/>
        </w:rPr>
        <w:t xml:space="preserve">5.7.2.1 </w:t>
      </w:r>
      <w:bookmarkStart w:id="203" w:name="_Hlk40994512"/>
      <w:r>
        <w:rPr>
          <w:rFonts w:ascii="Times New Roman" w:hAnsi="Times New Roman"/>
          <w:szCs w:val="21"/>
        </w:rPr>
        <w:t>建设项目用地应符合国家现行有关建设项目用地的规定，</w:t>
      </w:r>
      <w:r>
        <w:rPr>
          <w:rFonts w:hint="eastAsia" w:ascii="Times New Roman" w:hAnsi="Times New Roman"/>
        </w:rPr>
        <w:t>容积率应符合项目属地工业项目控制指标中的要求</w:t>
      </w:r>
      <w:r>
        <w:rPr>
          <w:rFonts w:ascii="Times New Roman" w:hAnsi="Times New Roman"/>
        </w:rPr>
        <w:t>。</w:t>
      </w:r>
      <w:bookmarkEnd w:id="203"/>
    </w:p>
    <w:p>
      <w:pPr>
        <w:adjustRightInd w:val="0"/>
        <w:snapToGrid w:val="0"/>
        <w:rPr>
          <w:rFonts w:ascii="Times New Roman" w:hAnsi="Times New Roman"/>
        </w:rPr>
      </w:pPr>
      <w:r>
        <w:rPr>
          <w:rFonts w:ascii="黑体" w:hAnsi="黑体" w:eastAsia="黑体" w:cs="黑体"/>
        </w:rPr>
        <w:t xml:space="preserve">5.7.2.2 </w:t>
      </w:r>
      <w:r>
        <w:rPr>
          <w:rFonts w:ascii="Times New Roman" w:hAnsi="Times New Roman"/>
        </w:rPr>
        <w:t>建筑密度应不低于50%。</w:t>
      </w:r>
    </w:p>
    <w:p>
      <w:pPr>
        <w:adjustRightInd w:val="0"/>
        <w:snapToGrid w:val="0"/>
        <w:rPr>
          <w:rFonts w:ascii="Times New Roman" w:hAnsi="Times New Roman"/>
        </w:rPr>
      </w:pPr>
      <w:r>
        <w:rPr>
          <w:rFonts w:ascii="黑体" w:hAnsi="黑体" w:eastAsia="黑体" w:cs="黑体"/>
        </w:rPr>
        <w:t xml:space="preserve">5.7.2.3 </w:t>
      </w:r>
      <w:r>
        <w:rPr>
          <w:rFonts w:ascii="Times New Roman" w:hAnsi="Times New Roman"/>
          <w:szCs w:val="21"/>
        </w:rPr>
        <w:t>单位用地面积产值不应低于地方发布的单位用地面积产值的要求。未发布单位用地面积产值的地区，单位用地面积产值应超过本年度所在省市的单位用地面积产值。</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bookmarkStart w:id="204" w:name="_Toc531265222"/>
      <w:bookmarkStart w:id="205" w:name="_Toc27244"/>
      <w:r>
        <w:rPr>
          <w:rFonts w:hint="eastAsia" w:ascii="黑体" w:hAnsi="黑体" w:eastAsia="黑体" w:cs="黑体"/>
        </w:rPr>
        <w:t>5.7.3 原料无害化</w:t>
      </w:r>
      <w:bookmarkEnd w:id="204"/>
      <w:bookmarkEnd w:id="205"/>
    </w:p>
    <w:p>
      <w:pPr>
        <w:adjustRightInd w:val="0"/>
        <w:snapToGrid w:val="0"/>
      </w:pPr>
      <w:r>
        <w:rPr>
          <w:rFonts w:hint="eastAsia" w:ascii="黑体" w:hAnsi="黑体" w:eastAsia="黑体" w:cs="黑体"/>
        </w:rPr>
        <w:t xml:space="preserve">5.7.3.1 </w:t>
      </w:r>
      <w:r>
        <w:rPr>
          <w:rFonts w:hint="eastAsia"/>
        </w:rPr>
        <w:t>工厂应逐年降低有毒有害物质的使用率，实现有毒有害物质替代，替代物料应选自有毒有害原料（产品）替代目录，或利用再生资源及产业废弃物等作为原料。</w:t>
      </w:r>
    </w:p>
    <w:p>
      <w:pPr>
        <w:adjustRightInd w:val="0"/>
        <w:snapToGrid w:val="0"/>
      </w:pPr>
      <w:r>
        <w:rPr>
          <w:rFonts w:hint="eastAsia" w:ascii="黑体" w:hAnsi="黑体" w:eastAsia="黑体" w:cs="黑体"/>
        </w:rPr>
        <w:t>5.7.3.2</w:t>
      </w:r>
      <w:r>
        <w:rPr>
          <w:rFonts w:hint="eastAsia"/>
        </w:rPr>
        <w:t>应使用工厂内回收的磁粉、颗粒料、磁体半成品等作为原材料进行资源综合利用，减少原辅材料使用量。</w:t>
      </w:r>
    </w:p>
    <w:p>
      <w:pPr>
        <w:adjustRightInd w:val="0"/>
        <w:snapToGrid w:val="0"/>
        <w:rPr>
          <w:rFonts w:ascii="黑体" w:hAnsi="黑体" w:eastAsia="黑体" w:cs="黑体"/>
        </w:rPr>
      </w:pPr>
      <w:bookmarkStart w:id="206" w:name="_Toc11040"/>
      <w:bookmarkStart w:id="207" w:name="_Toc1253"/>
      <w:bookmarkStart w:id="208" w:name="_Toc19749_WPSOffice_Level2"/>
      <w:bookmarkStart w:id="209" w:name="_Toc531265223"/>
      <w:bookmarkStart w:id="210" w:name="_Toc26495_WPSOffice_Level2"/>
      <w:r>
        <w:rPr>
          <w:rFonts w:hint="eastAsia" w:ascii="黑体" w:hAnsi="黑体" w:eastAsia="黑体" w:cs="黑体"/>
        </w:rPr>
        <w:t>5.7.4 生产洁净化</w:t>
      </w:r>
      <w:bookmarkEnd w:id="206"/>
      <w:bookmarkEnd w:id="207"/>
      <w:bookmarkEnd w:id="208"/>
      <w:bookmarkEnd w:id="209"/>
      <w:bookmarkEnd w:id="210"/>
    </w:p>
    <w:p>
      <w:pPr>
        <w:adjustRightInd w:val="0"/>
        <w:snapToGrid w:val="0"/>
        <w:ind w:firstLine="420" w:firstLineChars="200"/>
        <w:rPr>
          <w:rFonts w:ascii="Times New Roman" w:hAnsi="Times New Roman"/>
        </w:rPr>
      </w:pPr>
      <w:bookmarkStart w:id="211" w:name="_Hlk40994597"/>
      <w:bookmarkStart w:id="212" w:name="OLE_LINK1"/>
      <w:bookmarkStart w:id="213" w:name="OLE_LINK3"/>
      <w:r>
        <w:rPr>
          <w:rFonts w:hint="eastAsia"/>
        </w:rPr>
        <w:t>包括单位产品主要污</w:t>
      </w:r>
      <w:r>
        <w:rPr>
          <w:rFonts w:ascii="Times New Roman" w:hAnsi="Times New Roman"/>
        </w:rPr>
        <w:t>染物产生量（如化学需氧量、氨氮、二氧化硫、氮氧化物、一般工业固体废物和危险废物等）、单位产品废气产生量、单位产品废水产生量等</w:t>
      </w:r>
      <w:bookmarkEnd w:id="211"/>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——必选要求：</w:t>
      </w:r>
      <w:bookmarkStart w:id="214" w:name="OLE_LINK4"/>
      <w:bookmarkStart w:id="215" w:name="OLE_LINK7"/>
      <w:r>
        <w:rPr>
          <w:rFonts w:hint="eastAsia" w:ascii="Times New Roman" w:hAnsi="Times New Roman"/>
        </w:rPr>
        <w:t>应达到粘结钕铁硼永磁体工厂相关绿色产品标准要求，未有绿色产品标准的应达到粘结钕铁硼永磁体工厂相关清洁生产指标体系中的</w:t>
      </w:r>
      <w:r>
        <w:rPr>
          <w:rFonts w:ascii="Times New Roman" w:hAnsi="Times New Roman"/>
        </w:rPr>
        <w:t>II级标准要求和基本要求。</w:t>
      </w:r>
    </w:p>
    <w:bookmarkEnd w:id="214"/>
    <w:bookmarkEnd w:id="215"/>
    <w:p>
      <w:pPr>
        <w:adjustRightInd w:val="0"/>
        <w:snapToGrid w:val="0"/>
        <w:ind w:firstLine="420" w:firstLineChars="200"/>
        <w:rPr>
          <w:rFonts w:ascii="Times New Roman" w:hAnsi="Times New Roman"/>
        </w:rPr>
      </w:pPr>
      <w:r>
        <w:rPr>
          <w:rFonts w:ascii="Times New Roman" w:hAnsi="Times New Roman"/>
        </w:rPr>
        <w:t>——可选要求：应达到</w:t>
      </w:r>
      <w:r>
        <w:rPr>
          <w:rFonts w:hint="eastAsia" w:ascii="Times New Roman" w:hAnsi="Times New Roman"/>
        </w:rPr>
        <w:t>粘结钕铁硼永磁体工厂</w:t>
      </w:r>
      <w:r>
        <w:rPr>
          <w:rFonts w:ascii="Times New Roman" w:hAnsi="Times New Roman"/>
        </w:rPr>
        <w:t>相关清洁生产指标体系中的I级标准要求；未明确具体水平指标的，应采用其他对比方式，证明其达到国内领先水平。</w:t>
      </w:r>
    </w:p>
    <w:bookmarkEnd w:id="212"/>
    <w:bookmarkEnd w:id="213"/>
    <w:p>
      <w:pPr>
        <w:adjustRightInd w:val="0"/>
        <w:snapToGrid w:val="0"/>
        <w:rPr>
          <w:rFonts w:ascii="黑体" w:hAnsi="黑体" w:eastAsia="黑体" w:cs="黑体"/>
        </w:rPr>
      </w:pPr>
      <w:bookmarkStart w:id="216" w:name="_Toc29981_WPSOffice_Level2"/>
      <w:bookmarkStart w:id="217" w:name="_Toc531265224"/>
      <w:bookmarkStart w:id="218" w:name="_Toc31031_WPSOffice_Level2"/>
      <w:bookmarkStart w:id="219" w:name="_Toc3573"/>
      <w:bookmarkStart w:id="220" w:name="_Toc9130"/>
      <w:r>
        <w:rPr>
          <w:rFonts w:hint="eastAsia" w:ascii="黑体" w:hAnsi="黑体" w:eastAsia="黑体" w:cs="黑体"/>
        </w:rPr>
        <w:t>5.7.5废物资源化</w:t>
      </w:r>
      <w:bookmarkEnd w:id="216"/>
      <w:bookmarkEnd w:id="217"/>
      <w:bookmarkEnd w:id="218"/>
      <w:bookmarkEnd w:id="219"/>
      <w:bookmarkEnd w:id="220"/>
    </w:p>
    <w:p>
      <w:pPr>
        <w:adjustRightInd w:val="0"/>
        <w:snapToGrid w:val="0"/>
        <w:ind w:firstLine="420" w:firstLineChars="200"/>
      </w:pPr>
      <w:r>
        <w:rPr>
          <w:rFonts w:hint="eastAsia"/>
        </w:rPr>
        <w:t>包括单位产品的主要原材料消耗量、工业固体废物综合利用率、废水回用率等。</w:t>
      </w:r>
    </w:p>
    <w:p>
      <w:pPr>
        <w:adjustRightInd w:val="0"/>
        <w:snapToGrid w:val="0"/>
        <w:ind w:firstLine="420" w:firstLineChars="200"/>
      </w:pPr>
      <w:r>
        <w:rPr>
          <w:rFonts w:hint="eastAsia"/>
        </w:rPr>
        <w:t>——必选要求：应达到</w:t>
      </w:r>
      <w:r>
        <w:rPr>
          <w:rFonts w:hint="eastAsia" w:ascii="Times New Roman" w:hAnsi="Times New Roman"/>
        </w:rPr>
        <w:t>粘结钕铁硼永磁体工厂</w:t>
      </w:r>
      <w:r>
        <w:rPr>
          <w:rFonts w:hint="eastAsia"/>
        </w:rPr>
        <w:t>相关清洁生产指标体系中的II级标准要求或基本要求；未明确具体水平指标的，应采用其他对比方式，证明其达到国内先进水平。</w:t>
      </w:r>
    </w:p>
    <w:p>
      <w:pPr>
        <w:adjustRightInd w:val="0"/>
        <w:snapToGrid w:val="0"/>
        <w:ind w:firstLine="420" w:firstLineChars="200"/>
      </w:pPr>
      <w:r>
        <w:rPr>
          <w:rFonts w:hint="eastAsia"/>
        </w:rPr>
        <w:t>——可选要求：应达到</w:t>
      </w:r>
      <w:r>
        <w:rPr>
          <w:rFonts w:hint="eastAsia" w:ascii="Times New Roman" w:hAnsi="Times New Roman"/>
        </w:rPr>
        <w:t>粘结钕铁硼永磁体工厂</w:t>
      </w:r>
      <w:r>
        <w:rPr>
          <w:rFonts w:hint="eastAsia"/>
        </w:rPr>
        <w:t>相关清洁生产指标体系中的I级标准要求；未明确具体水平指标的，应采用其他对比方式，证明其达到国内领先水平。</w:t>
      </w:r>
    </w:p>
    <w:p>
      <w:pPr>
        <w:adjustRightInd w:val="0"/>
        <w:snapToGrid w:val="0"/>
        <w:rPr>
          <w:rFonts w:ascii="黑体" w:hAnsi="黑体" w:eastAsia="黑体" w:cs="黑体"/>
        </w:rPr>
      </w:pPr>
      <w:bookmarkStart w:id="221" w:name="_Toc24301_WPSOffice_Level2"/>
      <w:bookmarkStart w:id="222" w:name="_Toc25928"/>
      <w:bookmarkStart w:id="223" w:name="_Toc21015"/>
      <w:bookmarkStart w:id="224" w:name="_Toc16281_WPSOffice_Level2"/>
      <w:bookmarkStart w:id="225" w:name="_Toc531265225"/>
      <w:r>
        <w:rPr>
          <w:rFonts w:hint="eastAsia" w:ascii="黑体" w:hAnsi="黑体" w:eastAsia="黑体" w:cs="黑体"/>
        </w:rPr>
        <w:t>5.7.6 能源低碳化</w:t>
      </w:r>
      <w:bookmarkEnd w:id="221"/>
      <w:bookmarkEnd w:id="222"/>
      <w:bookmarkEnd w:id="223"/>
      <w:bookmarkEnd w:id="224"/>
      <w:bookmarkEnd w:id="225"/>
    </w:p>
    <w:p>
      <w:pPr>
        <w:adjustRightInd w:val="0"/>
        <w:snapToGrid w:val="0"/>
        <w:ind w:firstLine="420" w:firstLineChars="200"/>
      </w:pPr>
      <w:r>
        <w:rPr>
          <w:rFonts w:hint="eastAsia"/>
        </w:rPr>
        <w:t>包括单位产品综合能耗、单位产品碳排放量等。</w:t>
      </w:r>
    </w:p>
    <w:p>
      <w:pPr>
        <w:adjustRightInd w:val="0"/>
        <w:snapToGrid w:val="0"/>
        <w:ind w:firstLine="420" w:firstLineChars="200"/>
      </w:pPr>
      <w:r>
        <w:rPr>
          <w:rFonts w:hint="eastAsia"/>
        </w:rPr>
        <w:t>对于单位产品综合能耗：</w:t>
      </w:r>
    </w:p>
    <w:p>
      <w:pPr>
        <w:adjustRightInd w:val="0"/>
        <w:snapToGrid w:val="0"/>
        <w:ind w:firstLine="420" w:firstLineChars="200"/>
        <w:rPr>
          <w:rFonts w:ascii="Times New Roman" w:hAnsi="Times New Roman"/>
        </w:rPr>
      </w:pPr>
      <w:r>
        <w:rPr>
          <w:rFonts w:hint="eastAsia"/>
        </w:rPr>
        <w:t>——必选要求：应优于</w:t>
      </w:r>
      <w:r>
        <w:rPr>
          <w:rFonts w:hint="eastAsia" w:ascii="Times New Roman" w:hAnsi="Times New Roman"/>
        </w:rPr>
        <w:t>粘结钕铁硼永磁体工厂</w:t>
      </w:r>
      <w:r>
        <w:rPr>
          <w:rFonts w:hint="eastAsia"/>
        </w:rPr>
        <w:t>相关的国家、行业或地方标准等的能耗限额限定值/准入值、应达到</w:t>
      </w:r>
      <w:r>
        <w:rPr>
          <w:rFonts w:hint="eastAsia" w:ascii="Times New Roman" w:hAnsi="Times New Roman"/>
        </w:rPr>
        <w:t>粘结钕铁硼永磁体工厂</w:t>
      </w:r>
      <w:r>
        <w:rPr>
          <w:rFonts w:hint="eastAsia"/>
        </w:rPr>
        <w:t>相关绿色产品标准要求，未有绿色产品标准的应达到</w:t>
      </w:r>
      <w:r>
        <w:rPr>
          <w:rFonts w:hint="eastAsia" w:ascii="Times New Roman" w:hAnsi="Times New Roman"/>
        </w:rPr>
        <w:t>粘结钕铁硼永磁体工厂</w:t>
      </w:r>
      <w:r>
        <w:rPr>
          <w:rFonts w:hint="eastAsia"/>
        </w:rPr>
        <w:t>清洁生产指标体系中的</w:t>
      </w:r>
      <w:r>
        <w:t>II级标准要求和基本要求</w:t>
      </w:r>
      <w:r>
        <w:rPr>
          <w:rFonts w:hint="eastAsia"/>
        </w:rPr>
        <w:t>。</w:t>
      </w:r>
    </w:p>
    <w:p>
      <w:pPr>
        <w:adjustRightInd w:val="0"/>
        <w:snapToGrid w:val="0"/>
        <w:ind w:firstLine="420" w:firstLineChars="200"/>
        <w:rPr>
          <w:rFonts w:ascii="Times New Roman" w:hAnsi="Times New Roman"/>
        </w:rPr>
      </w:pPr>
      <w:r>
        <w:rPr>
          <w:rFonts w:hint="eastAsia"/>
        </w:rPr>
        <w:t>——</w:t>
      </w:r>
      <w:r>
        <w:rPr>
          <w:rFonts w:ascii="Times New Roman" w:hAnsi="Times New Roman"/>
        </w:rPr>
        <w:t>可选要求：应优于</w:t>
      </w:r>
      <w:r>
        <w:rPr>
          <w:rFonts w:hint="eastAsia" w:ascii="Times New Roman" w:hAnsi="Times New Roman"/>
        </w:rPr>
        <w:t>粘结钕铁硼永磁体工厂</w:t>
      </w:r>
      <w:r>
        <w:rPr>
          <w:rFonts w:ascii="Times New Roman" w:hAnsi="Times New Roman"/>
        </w:rPr>
        <w:t>相关的国家标准、行业标准或地方标准等的能耗限额先进值、应达到</w:t>
      </w:r>
      <w:r>
        <w:rPr>
          <w:rFonts w:hint="eastAsia" w:ascii="Times New Roman" w:hAnsi="Times New Roman"/>
        </w:rPr>
        <w:t>粘结钕铁硼永磁体工厂</w:t>
      </w:r>
      <w:r>
        <w:rPr>
          <w:rFonts w:ascii="Times New Roman" w:hAnsi="Times New Roman"/>
        </w:rPr>
        <w:t>相关清洁生产评价指标体系中的I级标准要求，未明确具体水平指标的，应采用其他对比方式，证明其达到国内领先水平。</w:t>
      </w:r>
    </w:p>
    <w:p>
      <w:pPr>
        <w:adjustRightInd w:val="0"/>
        <w:snapToGrid w:val="0"/>
        <w:ind w:firstLine="420" w:firstLineChars="200"/>
      </w:pPr>
      <w:r>
        <w:rPr>
          <w:rFonts w:ascii="Times New Roman" w:hAnsi="Times New Roman"/>
        </w:rPr>
        <w:t>对于单位产品碳排放量应依据GB/T 32150进行测算，单位</w:t>
      </w:r>
      <w:r>
        <w:rPr>
          <w:rFonts w:hint="eastAsia"/>
        </w:rPr>
        <w:t>产品碳排放量应逐年下降。</w:t>
      </w:r>
    </w:p>
    <w:p>
      <w:pPr>
        <w:adjustRightInd w:val="0"/>
        <w:snapToGrid w:val="0"/>
        <w:rPr>
          <w:rFonts w:ascii="黑体" w:hAnsi="黑体" w:eastAsia="黑体" w:cs="黑体"/>
        </w:rPr>
      </w:pPr>
      <w:bookmarkStart w:id="226" w:name="_Toc12677"/>
      <w:bookmarkStart w:id="227" w:name="_Toc531265226"/>
      <w:r>
        <w:rPr>
          <w:rFonts w:hint="eastAsia" w:ascii="黑体" w:hAnsi="黑体" w:eastAsia="黑体" w:cs="黑体"/>
        </w:rPr>
        <w:t>5.7.7 计算方式</w:t>
      </w:r>
      <w:bookmarkEnd w:id="226"/>
      <w:bookmarkEnd w:id="227"/>
    </w:p>
    <w:p>
      <w:pPr>
        <w:adjustRightInd w:val="0"/>
        <w:snapToGrid w:val="0"/>
        <w:ind w:firstLine="420" w:firstLineChars="200"/>
        <w:rPr>
          <w:rFonts w:ascii="Times New Roman" w:hAnsi="Times New Roman"/>
        </w:rPr>
      </w:pPr>
      <w:r>
        <w:rPr>
          <w:rFonts w:hint="eastAsia"/>
        </w:rPr>
        <w:t>各类绩效指标计算方</w:t>
      </w:r>
      <w:r>
        <w:rPr>
          <w:rFonts w:ascii="Times New Roman" w:hAnsi="Times New Roman"/>
        </w:rPr>
        <w:t>式见GB/T 36132附录A。</w:t>
      </w:r>
    </w:p>
    <w:p>
      <w:pPr>
        <w:pStyle w:val="2"/>
        <w:adjustRightInd w:val="0"/>
        <w:snapToGrid w:val="0"/>
        <w:spacing w:before="317" w:beforeLines="100" w:after="317" w:afterLines="100"/>
        <w:rPr>
          <w:rFonts w:ascii="黑体" w:hAnsi="黑体" w:cs="黑体"/>
        </w:rPr>
      </w:pPr>
      <w:bookmarkStart w:id="228" w:name="_Toc4874_WPSOffice_Level1"/>
      <w:bookmarkStart w:id="229" w:name="_Toc14019_WPSOffice_Level1"/>
      <w:bookmarkStart w:id="230" w:name="_Toc20877"/>
      <w:bookmarkStart w:id="231" w:name="_Toc381480769"/>
      <w:bookmarkStart w:id="232" w:name="_Toc15691"/>
      <w:bookmarkStart w:id="233" w:name="_Toc40971604"/>
      <w:bookmarkStart w:id="234" w:name="_Toc531265227"/>
      <w:bookmarkStart w:id="235" w:name="_Toc3734"/>
      <w:r>
        <w:rPr>
          <w:rFonts w:hint="eastAsia" w:ascii="黑体" w:hAnsi="黑体" w:cs="黑体"/>
        </w:rPr>
        <w:t>6 评价</w:t>
      </w:r>
      <w:bookmarkEnd w:id="228"/>
      <w:bookmarkEnd w:id="229"/>
      <w:bookmarkEnd w:id="230"/>
      <w:bookmarkEnd w:id="231"/>
      <w:r>
        <w:rPr>
          <w:rFonts w:hint="eastAsia" w:ascii="黑体" w:hAnsi="黑体" w:cs="黑体"/>
        </w:rPr>
        <w:t>程序</w:t>
      </w:r>
      <w:bookmarkEnd w:id="232"/>
      <w:bookmarkEnd w:id="233"/>
      <w:bookmarkEnd w:id="234"/>
      <w:bookmarkEnd w:id="235"/>
    </w:p>
    <w:p>
      <w:pPr>
        <w:adjustRightInd w:val="0"/>
        <w:snapToGrid w:val="0"/>
        <w:ind w:firstLine="420" w:firstLineChars="200"/>
      </w:pPr>
      <w:r>
        <w:rPr>
          <w:rFonts w:hint="eastAsia"/>
        </w:rPr>
        <w:t>实施评价的组织应建立规范的评价工作流程，包括但不限于评价准备、组建评价组、制定评价方案预评价（适用时）、现场评价、编制评价报告、技术评审等。</w:t>
      </w:r>
    </w:p>
    <w:p>
      <w:pPr>
        <w:pStyle w:val="2"/>
        <w:adjustRightInd w:val="0"/>
        <w:snapToGrid w:val="0"/>
        <w:spacing w:before="317" w:beforeLines="100" w:after="317" w:afterLines="100"/>
        <w:rPr>
          <w:rFonts w:ascii="黑体" w:hAnsi="黑体" w:cs="黑体"/>
        </w:rPr>
      </w:pPr>
      <w:bookmarkStart w:id="236" w:name="_Toc31621_WPSOffice_Level2"/>
      <w:bookmarkStart w:id="237" w:name="_Toc8437"/>
      <w:bookmarkStart w:id="238" w:name="_Toc7671_WPSOffice_Level2"/>
      <w:bookmarkStart w:id="239" w:name="_Toc18698"/>
      <w:bookmarkStart w:id="240" w:name="_Toc7478"/>
      <w:bookmarkStart w:id="241" w:name="_Toc40971605"/>
      <w:bookmarkStart w:id="242" w:name="_Toc531265228"/>
      <w:r>
        <w:rPr>
          <w:rFonts w:hint="eastAsia" w:ascii="黑体" w:hAnsi="黑体" w:cs="黑体"/>
        </w:rPr>
        <w:t>7 评价</w:t>
      </w:r>
      <w:bookmarkEnd w:id="236"/>
      <w:bookmarkEnd w:id="237"/>
      <w:bookmarkEnd w:id="238"/>
      <w:r>
        <w:rPr>
          <w:rFonts w:hint="eastAsia" w:ascii="黑体" w:hAnsi="黑体" w:cs="黑体"/>
        </w:rPr>
        <w:t>报告</w:t>
      </w:r>
      <w:bookmarkEnd w:id="239"/>
      <w:bookmarkEnd w:id="240"/>
      <w:bookmarkEnd w:id="241"/>
      <w:bookmarkEnd w:id="242"/>
    </w:p>
    <w:p>
      <w:pPr>
        <w:adjustRightInd w:val="0"/>
        <w:snapToGrid w:val="0"/>
        <w:ind w:firstLine="420" w:firstLineChars="200"/>
        <w:rPr>
          <w:rFonts w:ascii="Times New Roman" w:hAnsi="Times New Roman"/>
        </w:rPr>
      </w:pPr>
      <w:r>
        <w:rPr>
          <w:rFonts w:ascii="Times New Roman" w:hAnsi="Times New Roman"/>
        </w:rPr>
        <w:t>评价报告内容包括但不限于：</w:t>
      </w:r>
    </w:p>
    <w:p>
      <w:pPr>
        <w:adjustRightInd w:val="0"/>
        <w:snapToGrid w:val="0"/>
        <w:ind w:firstLine="420" w:firstLineChars="200"/>
        <w:rPr>
          <w:rFonts w:ascii="Times New Roman" w:hAnsi="Times New Roman"/>
        </w:rPr>
      </w:pPr>
      <w:r>
        <w:rPr>
          <w:rFonts w:ascii="Times New Roman" w:hAnsi="Times New Roman"/>
        </w:rPr>
        <w:t>a）实施评价的组织；</w:t>
      </w:r>
    </w:p>
    <w:p>
      <w:pPr>
        <w:adjustRightInd w:val="0"/>
        <w:snapToGrid w:val="0"/>
        <w:ind w:firstLine="420" w:firstLineChars="200"/>
        <w:rPr>
          <w:rFonts w:ascii="Times New Roman" w:hAnsi="Times New Roman"/>
        </w:rPr>
      </w:pPr>
      <w:r>
        <w:rPr>
          <w:rFonts w:ascii="Times New Roman" w:hAnsi="Times New Roman"/>
        </w:rPr>
        <w:t>b）评价目的、范围及准则；</w:t>
      </w:r>
    </w:p>
    <w:p>
      <w:pPr>
        <w:adjustRightInd w:val="0"/>
        <w:snapToGrid w:val="0"/>
        <w:ind w:firstLine="420" w:firstLineChars="200"/>
        <w:rPr>
          <w:rFonts w:ascii="Times New Roman" w:hAnsi="Times New Roman"/>
        </w:rPr>
      </w:pPr>
      <w:r>
        <w:rPr>
          <w:rFonts w:ascii="Times New Roman" w:hAnsi="Times New Roman"/>
        </w:rPr>
        <w:t>c）评价过程，主要包括评价组织安排、文件评审情况、现场评价情况、评价报告编制及内部技术评审情况；</w:t>
      </w:r>
    </w:p>
    <w:p>
      <w:pPr>
        <w:adjustRightInd w:val="0"/>
        <w:snapToGrid w:val="0"/>
        <w:ind w:firstLine="420" w:firstLineChars="200"/>
        <w:rPr>
          <w:rFonts w:ascii="Times New Roman" w:hAnsi="Times New Roman"/>
        </w:rPr>
      </w:pPr>
      <w:r>
        <w:rPr>
          <w:rFonts w:ascii="Times New Roman" w:hAnsi="Times New Roman"/>
        </w:rPr>
        <w:t>d）评价内容，包括一般要求、基础设施、管理体系、能源资源投入、产品、环境排放、绩效等；</w:t>
      </w:r>
    </w:p>
    <w:p>
      <w:pPr>
        <w:adjustRightInd w:val="0"/>
        <w:snapToGrid w:val="0"/>
        <w:ind w:firstLine="420" w:firstLineChars="200"/>
        <w:rPr>
          <w:rFonts w:ascii="Times New Roman" w:hAnsi="Times New Roman"/>
        </w:rPr>
      </w:pPr>
      <w:r>
        <w:rPr>
          <w:rFonts w:ascii="Times New Roman" w:hAnsi="Times New Roman"/>
        </w:rPr>
        <w:t>e）评价证据的核实情况，包括证明文件和数据真实性、计算范围及计算方法、相关计量设备和有关标准的执行等；</w:t>
      </w:r>
    </w:p>
    <w:p>
      <w:pPr>
        <w:adjustRightInd w:val="0"/>
        <w:snapToGrid w:val="0"/>
        <w:ind w:firstLine="420" w:firstLineChars="200"/>
        <w:rPr>
          <w:rFonts w:ascii="Times New Roman" w:hAnsi="Times New Roman"/>
        </w:rPr>
      </w:pPr>
      <w:r>
        <w:rPr>
          <w:rFonts w:ascii="Times New Roman" w:hAnsi="Times New Roman"/>
        </w:rPr>
        <w:t>f）评价指标表，明确各评价指标得分情况及评价加权综合评分，并判定受评工厂是否符合评价要求；</w:t>
      </w:r>
    </w:p>
    <w:p>
      <w:pPr>
        <w:adjustRightInd w:val="0"/>
        <w:snapToGrid w:val="0"/>
        <w:ind w:firstLine="420" w:firstLineChars="200"/>
        <w:rPr>
          <w:rFonts w:ascii="Times New Roman" w:hAnsi="Times New Roman"/>
        </w:rPr>
      </w:pPr>
      <w:r>
        <w:rPr>
          <w:rFonts w:ascii="Times New Roman" w:hAnsi="Times New Roman"/>
        </w:rPr>
        <w:t>g）发现的问题；</w:t>
      </w:r>
    </w:p>
    <w:p>
      <w:pPr>
        <w:adjustRightInd w:val="0"/>
        <w:snapToGrid w:val="0"/>
        <w:ind w:firstLine="420" w:firstLineChars="200"/>
        <w:rPr>
          <w:rFonts w:ascii="Times New Roman" w:hAnsi="Times New Roman"/>
        </w:rPr>
      </w:pPr>
      <w:r>
        <w:rPr>
          <w:rFonts w:ascii="Times New Roman" w:hAnsi="Times New Roman"/>
        </w:rPr>
        <w:t>h）绿色工厂主要创建做法、工作亮点等；</w:t>
      </w:r>
    </w:p>
    <w:p>
      <w:pPr>
        <w:adjustRightInd w:val="0"/>
        <w:snapToGrid w:val="0"/>
        <w:ind w:firstLine="420" w:firstLineChars="200"/>
        <w:rPr>
          <w:rFonts w:ascii="Times New Roman" w:hAnsi="Times New Roman"/>
        </w:rPr>
      </w:pPr>
      <w:r>
        <w:rPr>
          <w:rFonts w:ascii="Times New Roman" w:hAnsi="Times New Roman"/>
        </w:rPr>
        <w:t>i）对持续创建绿色工厂提出的下一步工作计划或建议；</w:t>
      </w:r>
    </w:p>
    <w:p>
      <w:pPr>
        <w:adjustRightInd w:val="0"/>
        <w:snapToGrid w:val="0"/>
        <w:ind w:firstLine="420" w:firstLineChars="200"/>
        <w:rPr>
          <w:rFonts w:ascii="Times New Roman" w:hAnsi="Times New Roman"/>
        </w:rPr>
        <w:sectPr>
          <w:headerReference r:id="rId9" w:type="default"/>
          <w:footerReference r:id="rId10" w:type="default"/>
          <w:footerReference r:id="rId11" w:type="even"/>
          <w:pgSz w:w="11906" w:h="16838"/>
          <w:pgMar w:top="1418" w:right="1134" w:bottom="1134" w:left="1418" w:header="851" w:footer="992" w:gutter="0"/>
          <w:pgNumType w:start="1"/>
          <w:cols w:space="0" w:num="1"/>
          <w:docGrid w:type="lines" w:linePitch="317" w:charSpace="0"/>
        </w:sectPr>
      </w:pPr>
      <w:r>
        <w:rPr>
          <w:rFonts w:ascii="Times New Roman" w:hAnsi="Times New Roman"/>
        </w:rPr>
        <w:t>j）相关支持材料。</w:t>
      </w:r>
      <w:bookmarkStart w:id="243" w:name="_Toc6567_WPSOffice_Level2"/>
      <w:bookmarkStart w:id="244" w:name="_Toc4044"/>
      <w:bookmarkStart w:id="245" w:name="_Toc16562_WPSOffice_Level2"/>
    </w:p>
    <w:bookmarkEnd w:id="243"/>
    <w:bookmarkEnd w:id="244"/>
    <w:bookmarkEnd w:id="245"/>
    <w:p>
      <w:pPr>
        <w:pStyle w:val="2"/>
        <w:adjustRightInd w:val="0"/>
        <w:snapToGrid w:val="0"/>
        <w:spacing w:line="360" w:lineRule="auto"/>
        <w:jc w:val="center"/>
        <w:rPr>
          <w:rFonts w:ascii="黑体" w:hAnsi="黑体" w:cs="黑体"/>
        </w:rPr>
      </w:pPr>
      <w:bookmarkStart w:id="246" w:name="_Toc29457"/>
      <w:bookmarkStart w:id="247" w:name="_Toc11457"/>
      <w:bookmarkStart w:id="248" w:name="_Toc531265229"/>
      <w:bookmarkStart w:id="249" w:name="_Toc40971606"/>
      <w:bookmarkStart w:id="250" w:name="_Toc12147"/>
      <w:r>
        <w:rPr>
          <w:rFonts w:hint="eastAsia" w:ascii="黑体" w:hAnsi="黑体" w:cs="黑体"/>
        </w:rPr>
        <w:t>附录 A</w:t>
      </w:r>
      <w:bookmarkEnd w:id="246"/>
      <w:bookmarkEnd w:id="247"/>
      <w:bookmarkEnd w:id="248"/>
      <w:bookmarkEnd w:id="249"/>
      <w:bookmarkEnd w:id="250"/>
      <w:bookmarkStart w:id="251" w:name="_Toc531265230"/>
      <w:bookmarkStart w:id="252" w:name="_Toc5528"/>
      <w:bookmarkStart w:id="253" w:name="_Toc28592"/>
    </w:p>
    <w:p>
      <w:pPr>
        <w:jc w:val="center"/>
      </w:pPr>
      <w:r>
        <w:rPr>
          <w:rFonts w:hint="eastAsia"/>
        </w:rPr>
        <w:t>（规范性附录）</w:t>
      </w:r>
      <w:bookmarkEnd w:id="251"/>
      <w:bookmarkEnd w:id="252"/>
      <w:bookmarkEnd w:id="253"/>
    </w:p>
    <w:p>
      <w:pPr>
        <w:adjustRightInd w:val="0"/>
        <w:snapToGrid w:val="0"/>
        <w:jc w:val="center"/>
        <w:rPr>
          <w:rFonts w:ascii="黑体" w:hAnsi="黑体" w:eastAsia="黑体" w:cs="黑体"/>
        </w:rPr>
      </w:pPr>
      <w:r>
        <w:rPr>
          <w:rFonts w:hint="eastAsia" w:ascii="黑体" w:hAnsi="黑体" w:eastAsia="黑体" w:cs="黑体"/>
        </w:rPr>
        <w:t>粘结钕铁硼 绿色工厂评价指标</w:t>
      </w:r>
    </w:p>
    <w:p>
      <w:pPr>
        <w:adjustRightInd w:val="0"/>
        <w:snapToGrid w:val="0"/>
        <w:spacing w:line="240" w:lineRule="auto"/>
        <w:jc w:val="center"/>
        <w:rPr>
          <w:rFonts w:ascii="黑体" w:hAnsi="黑体" w:eastAsia="黑体" w:cs="黑体"/>
        </w:rPr>
      </w:pPr>
      <w:r>
        <w:rPr>
          <w:rFonts w:hint="eastAsia" w:ascii="黑体" w:hAnsi="黑体" w:eastAsia="黑体" w:cs="黑体"/>
        </w:rPr>
        <w:t>表A.1 粘结钕铁硼 绿色工厂评价指标</w:t>
      </w:r>
    </w:p>
    <w:tbl>
      <w:tblPr>
        <w:tblStyle w:val="15"/>
        <w:tblW w:w="141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6"/>
        <w:gridCol w:w="1112"/>
        <w:gridCol w:w="1218"/>
        <w:gridCol w:w="6819"/>
        <w:gridCol w:w="1391"/>
        <w:gridCol w:w="103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90" w:hRule="atLeast"/>
          <w:jc w:val="center"/>
        </w:trPr>
        <w:tc>
          <w:tcPr>
            <w:tcW w:w="746"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序号</w:t>
            </w:r>
          </w:p>
        </w:tc>
        <w:tc>
          <w:tcPr>
            <w:tcW w:w="1112"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一级指标</w:t>
            </w:r>
          </w:p>
        </w:tc>
        <w:tc>
          <w:tcPr>
            <w:tcW w:w="121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二级指标</w:t>
            </w:r>
          </w:p>
        </w:tc>
        <w:tc>
          <w:tcPr>
            <w:tcW w:w="681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具体评价要求</w:t>
            </w:r>
          </w:p>
        </w:tc>
        <w:tc>
          <w:tcPr>
            <w:tcW w:w="1391"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符合性说明及证明材料索引</w:t>
            </w:r>
          </w:p>
        </w:tc>
        <w:tc>
          <w:tcPr>
            <w:tcW w:w="103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要求类型</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分值</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权重</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0</w:t>
            </w:r>
          </w:p>
        </w:tc>
        <w:tc>
          <w:tcPr>
            <w:tcW w:w="1112" w:type="dxa"/>
            <w:vMerge w:val="restart"/>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基本要求</w:t>
            </w: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合规性与相关方要求</w:t>
            </w:r>
          </w:p>
        </w:tc>
        <w:tc>
          <w:tcPr>
            <w:tcW w:w="6819"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粘结钕铁硼永磁体工厂</w:t>
            </w:r>
            <w:r>
              <w:rPr>
                <w:rFonts w:ascii="Times New Roman" w:hAnsi="Times New Roman"/>
                <w:sz w:val="18"/>
                <w:szCs w:val="18"/>
              </w:rPr>
              <w:t>应依法设立，实施生产至少一年以上，在建设和生产过程中应遵守有关法律、法规、政策和标准。</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restart"/>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一票</w:t>
            </w:r>
          </w:p>
          <w:p>
            <w:pPr>
              <w:adjustRightInd w:val="0"/>
              <w:snapToGrid w:val="0"/>
              <w:spacing w:line="240" w:lineRule="auto"/>
              <w:rPr>
                <w:rFonts w:ascii="Times New Roman" w:hAnsi="Times New Roman"/>
                <w:sz w:val="18"/>
                <w:szCs w:val="18"/>
              </w:rPr>
            </w:pPr>
            <w:r>
              <w:rPr>
                <w:rFonts w:hint="eastAsia" w:ascii="Times New Roman" w:hAnsi="Times New Roman"/>
                <w:sz w:val="18"/>
                <w:szCs w:val="18"/>
              </w:rPr>
              <w:t>否决</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一票否决</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312"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jc w:val="center"/>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应具有良好信用，近三年（含成立不足三年）无严重违法失信、经营异常和行政处罚记录。</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127"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近三年（含成立不足三年）</w:t>
            </w:r>
            <w:r>
              <w:rPr>
                <w:rFonts w:hint="eastAsia" w:ascii="Times New Roman" w:hAnsi="Times New Roman"/>
                <w:sz w:val="18"/>
                <w:szCs w:val="18"/>
              </w:rPr>
              <w:t>未发生工亡以上的生产安全事故、未受环保行政处罚、无较大质量事故。</w:t>
            </w:r>
            <w:r>
              <w:rPr>
                <w:rFonts w:ascii="Times New Roman" w:hAnsi="Times New Roman"/>
                <w:sz w:val="18"/>
                <w:szCs w:val="18"/>
              </w:rPr>
              <w:t>。</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31"/>
              <w:spacing w:line="240" w:lineRule="auto"/>
              <w:jc w:val="both"/>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31"/>
              <w:spacing w:line="240" w:lineRule="auto"/>
              <w:jc w:val="both"/>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对利益相关方的环境要求做出承诺的，应同时满足有关承诺的要求。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31"/>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31"/>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237"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能源消耗指标应满足标准限定值的要求。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31"/>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31"/>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58" w:hRule="atLeas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各种污染物排放指标应符合</w:t>
            </w:r>
            <w:r>
              <w:rPr>
                <w:rFonts w:hint="eastAsia" w:ascii="Times New Roman" w:hAnsi="Times New Roman"/>
                <w:sz w:val="18"/>
                <w:szCs w:val="18"/>
              </w:rPr>
              <w:t>国家或行业相关标准的</w:t>
            </w:r>
            <w:r>
              <w:rPr>
                <w:rFonts w:ascii="Times New Roman" w:hAnsi="Times New Roman"/>
                <w:sz w:val="18"/>
                <w:szCs w:val="18"/>
              </w:rPr>
              <w:t>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31"/>
              <w:spacing w:line="240" w:lineRule="auto"/>
              <w:rPr>
                <w:rFonts w:ascii="Times New Roman" w:hAnsi="Times New Roman"/>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31"/>
              <w:spacing w:line="240" w:lineRule="auto"/>
              <w:rPr>
                <w:rFonts w:ascii="Times New Roman" w:hAnsi="Times New Roman"/>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最高管理者要求</w:t>
            </w: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最高管理者在绿色工厂方面的领导作用和承诺应满足GB/T36132中4.3.1a)的要求。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最高管理者应确保在工厂内部分配并沟通与绿色工厂相关角色的职责和权限，且应满足GB/T36132中4.3.1b)的要求。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工厂要求</w:t>
            </w: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应设有绿色工厂管理机构，负责有关绿色工厂的制度建设、实施、考核及奖励工作，建立目标责任制。</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应有开展绿色工厂的中长期规划及年度目标、指标和实施方案。可行时，指标明确且可量化。</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应传播绿色制造的概念和知识，定期为员工提供绿色制造相关知识的教育、培训，并对教育和培训的结果进行考评</w:t>
            </w:r>
            <w:r>
              <w:rPr>
                <w:rFonts w:hint="eastAsia" w:ascii="Times New Roman" w:hAnsi="Times New Roman"/>
                <w:sz w:val="18"/>
                <w:szCs w:val="18"/>
              </w:rPr>
              <w:t>，并形成记录。</w:t>
            </w:r>
          </w:p>
        </w:tc>
        <w:tc>
          <w:tcPr>
            <w:tcW w:w="1391" w:type="dxa"/>
            <w:vAlign w:val="center"/>
          </w:tcPr>
          <w:p>
            <w:pPr>
              <w:adjustRightInd w:val="0"/>
              <w:snapToGrid w:val="0"/>
              <w:spacing w:line="240" w:lineRule="auto"/>
              <w:rPr>
                <w:rFonts w:ascii="Times New Roman" w:hAnsi="Times New Roman" w:eastAsia="仿宋_GB2312"/>
                <w:szCs w:val="21"/>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w:t>
            </w:r>
          </w:p>
        </w:tc>
      </w:tr>
    </w:tbl>
    <w:p>
      <w:pPr>
        <w:adjustRightInd w:val="0"/>
        <w:snapToGrid w:val="0"/>
        <w:jc w:val="center"/>
        <w:rPr>
          <w:rFonts w:ascii="Times New Roman" w:hAnsi="Times New Roman" w:eastAsia="黑体"/>
          <w:bCs/>
          <w:szCs w:val="21"/>
        </w:rPr>
      </w:pPr>
    </w:p>
    <w:p>
      <w:pPr>
        <w:adjustRightInd w:val="0"/>
        <w:snapToGrid w:val="0"/>
        <w:jc w:val="center"/>
        <w:rPr>
          <w:rFonts w:ascii="Times New Roman" w:hAnsi="Times New Roman" w:eastAsia="黑体"/>
          <w:bCs/>
          <w:szCs w:val="21"/>
        </w:rPr>
      </w:pPr>
    </w:p>
    <w:p>
      <w:pPr>
        <w:adjustRightInd w:val="0"/>
        <w:snapToGrid w:val="0"/>
        <w:jc w:val="center"/>
        <w:rPr>
          <w:rFonts w:ascii="Times New Roman" w:hAnsi="Times New Roman" w:eastAsia="黑体"/>
          <w:bCs/>
          <w:szCs w:val="21"/>
        </w:rPr>
      </w:pPr>
    </w:p>
    <w:tbl>
      <w:tblPr>
        <w:tblStyle w:val="15"/>
        <w:tblW w:w="1431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71"/>
        <w:gridCol w:w="1158"/>
        <w:gridCol w:w="1193"/>
        <w:gridCol w:w="6754"/>
        <w:gridCol w:w="1418"/>
        <w:gridCol w:w="992"/>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blHeader/>
        </w:trPr>
        <w:tc>
          <w:tcPr>
            <w:tcW w:w="671" w:type="dxa"/>
            <w:vAlign w:val="center"/>
          </w:tcPr>
          <w:p>
            <w:pPr>
              <w:adjustRightInd w:val="0"/>
              <w:snapToGrid w:val="0"/>
              <w:spacing w:line="240" w:lineRule="auto"/>
              <w:jc w:val="center"/>
              <w:rPr>
                <w:rFonts w:ascii="Times New Roman" w:hAnsi="Times New Roman"/>
                <w:sz w:val="18"/>
                <w:szCs w:val="18"/>
              </w:rPr>
            </w:pPr>
            <w:bookmarkStart w:id="254" w:name="OLE_LINK2"/>
            <w:r>
              <w:rPr>
                <w:rFonts w:ascii="Times New Roman" w:hAnsi="Times New Roman"/>
                <w:sz w:val="18"/>
                <w:szCs w:val="18"/>
              </w:rPr>
              <w:t>序号</w:t>
            </w:r>
          </w:p>
        </w:tc>
        <w:tc>
          <w:tcPr>
            <w:tcW w:w="115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一级指标</w:t>
            </w:r>
          </w:p>
        </w:tc>
        <w:tc>
          <w:tcPr>
            <w:tcW w:w="1193"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二级指标</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具体评价要求</w:t>
            </w:r>
          </w:p>
        </w:tc>
        <w:tc>
          <w:tcPr>
            <w:tcW w:w="141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符合性说明及证明材料索引</w:t>
            </w:r>
          </w:p>
        </w:tc>
        <w:tc>
          <w:tcPr>
            <w:tcW w:w="992"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要求类型</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分值</w:t>
            </w:r>
          </w:p>
        </w:tc>
        <w:tc>
          <w:tcPr>
            <w:tcW w:w="70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权重</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1158"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基础设施</w:t>
            </w:r>
          </w:p>
        </w:tc>
        <w:tc>
          <w:tcPr>
            <w:tcW w:w="1193"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建筑</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工厂的建筑应满足国家或地方相关法律法规及标准的要求。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新建、改建和扩建建筑时，应遵守国家“固定资产投资项目节能评估审查制度”、“三同时制度”、“工业项目建设用地控制指标”等产业政策和有关要求。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厂房内部装饰装修材料中醛、苯、氨、氡等有毒有害物质应符合国家和地方法律、GB 18580～1858</w:t>
            </w:r>
            <w:r>
              <w:rPr>
                <w:rFonts w:hint="eastAsia" w:ascii="Times New Roman" w:hAnsi="Times New Roman"/>
                <w:sz w:val="18"/>
                <w:szCs w:val="18"/>
              </w:rPr>
              <w:t>7</w:t>
            </w:r>
            <w:r>
              <w:rPr>
                <w:rFonts w:ascii="Times New Roman" w:hAnsi="Times New Roman"/>
                <w:sz w:val="18"/>
                <w:szCs w:val="18"/>
              </w:rPr>
              <w:t>和GB 6566</w:t>
            </w:r>
            <w:r>
              <w:rPr>
                <w:rFonts w:hint="eastAsia" w:ascii="Times New Roman" w:hAnsi="Times New Roman"/>
                <w:sz w:val="18"/>
                <w:szCs w:val="18"/>
              </w:rPr>
              <w:t>等</w:t>
            </w:r>
            <w:r>
              <w:rPr>
                <w:rFonts w:ascii="Times New Roman" w:hAnsi="Times New Roman"/>
                <w:sz w:val="18"/>
                <w:szCs w:val="18"/>
              </w:rPr>
              <w:t>标准要求。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危</w:t>
            </w:r>
            <w:r>
              <w:rPr>
                <w:rFonts w:hint="eastAsia" w:ascii="Times New Roman" w:hAnsi="Times New Roman"/>
                <w:sz w:val="18"/>
                <w:szCs w:val="18"/>
              </w:rPr>
              <w:t>化</w:t>
            </w:r>
            <w:r>
              <w:rPr>
                <w:rFonts w:ascii="Times New Roman" w:hAnsi="Times New Roman"/>
                <w:sz w:val="18"/>
                <w:szCs w:val="18"/>
              </w:rPr>
              <w:t>品仓库、</w:t>
            </w:r>
            <w:r>
              <w:rPr>
                <w:rFonts w:hint="eastAsia" w:ascii="Times New Roman" w:hAnsi="Times New Roman"/>
                <w:sz w:val="18"/>
                <w:szCs w:val="18"/>
              </w:rPr>
              <w:t>有毒有害</w:t>
            </w:r>
            <w:r>
              <w:rPr>
                <w:rFonts w:ascii="Times New Roman" w:hAnsi="Times New Roman"/>
                <w:sz w:val="18"/>
                <w:szCs w:val="18"/>
              </w:rPr>
              <w:t>作间、</w:t>
            </w:r>
            <w:r>
              <w:rPr>
                <w:rFonts w:hint="eastAsia" w:ascii="Times New Roman" w:hAnsi="Times New Roman"/>
                <w:sz w:val="18"/>
                <w:szCs w:val="18"/>
              </w:rPr>
              <w:t>危险废弃物仓库</w:t>
            </w:r>
            <w:r>
              <w:rPr>
                <w:rFonts w:ascii="Times New Roman" w:hAnsi="Times New Roman"/>
                <w:sz w:val="18"/>
                <w:szCs w:val="18"/>
              </w:rPr>
              <w:t>、</w:t>
            </w:r>
            <w:r>
              <w:rPr>
                <w:rFonts w:hint="eastAsia" w:ascii="Times New Roman" w:hAnsi="Times New Roman"/>
                <w:sz w:val="18"/>
                <w:szCs w:val="18"/>
              </w:rPr>
              <w:t>一般工业固废仓库</w:t>
            </w:r>
            <w:r>
              <w:rPr>
                <w:rFonts w:ascii="Times New Roman" w:hAnsi="Times New Roman"/>
                <w:sz w:val="18"/>
                <w:szCs w:val="18"/>
              </w:rPr>
              <w:t>等产生</w:t>
            </w:r>
            <w:r>
              <w:rPr>
                <w:rFonts w:hint="eastAsia" w:ascii="Times New Roman" w:hAnsi="Times New Roman"/>
                <w:sz w:val="18"/>
                <w:szCs w:val="18"/>
              </w:rPr>
              <w:t>、贮存</w:t>
            </w:r>
            <w:r>
              <w:rPr>
                <w:rFonts w:ascii="Times New Roman" w:hAnsi="Times New Roman"/>
                <w:sz w:val="18"/>
                <w:szCs w:val="18"/>
              </w:rPr>
              <w:t>污染物的房间应独立设置</w:t>
            </w:r>
            <w:r>
              <w:rPr>
                <w:rFonts w:hint="eastAsia" w:ascii="Times New Roman" w:hAnsi="Times New Roman"/>
                <w:sz w:val="18"/>
                <w:szCs w:val="18"/>
              </w:rPr>
              <w:t>，并设置环境风险防范和应急处置设施，使其符合相关法律法规要求</w:t>
            </w:r>
            <w:r>
              <w:rPr>
                <w:rFonts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粘结钕铁硼磁粉混练或二轴混炼工序的车间应独立设置，作业时应封闭。</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建筑材料</w:t>
            </w:r>
            <w:r>
              <w:rPr>
                <w:rFonts w:ascii="Times New Roman" w:hAnsi="Times New Roman"/>
                <w:sz w:val="18"/>
                <w:szCs w:val="18"/>
              </w:rPr>
              <w:t>选用蕴能低、 高性能、 高耐久性和本地建材， 减少</w:t>
            </w:r>
            <w:r>
              <w:rPr>
                <w:rFonts w:hint="eastAsia" w:ascii="Times New Roman" w:hAnsi="Times New Roman"/>
                <w:sz w:val="18"/>
                <w:szCs w:val="18"/>
              </w:rPr>
              <w:t>建材在全生命周期中的能源消耗。</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室内装饰装修材料满足国家</w:t>
            </w:r>
            <w:r>
              <w:rPr>
                <w:rFonts w:hint="eastAsia" w:ascii="Times New Roman" w:hAnsi="Times New Roman"/>
                <w:sz w:val="18"/>
                <w:szCs w:val="18"/>
              </w:rPr>
              <w:t>标准</w:t>
            </w:r>
            <w:r>
              <w:rPr>
                <w:rFonts w:ascii="Times New Roman" w:hAnsi="Times New Roman"/>
                <w:sz w:val="18"/>
                <w:szCs w:val="18"/>
              </w:rPr>
              <w:t xml:space="preserve"> GB 18580～18588 和 GB 6566 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厂区绿化适应，</w:t>
            </w:r>
            <w:r>
              <w:rPr>
                <w:rFonts w:hint="eastAsia" w:ascii="Times New Roman" w:hAnsi="Times New Roman"/>
                <w:sz w:val="18"/>
                <w:szCs w:val="18"/>
              </w:rPr>
              <w:t>应</w:t>
            </w:r>
            <w:r>
              <w:rPr>
                <w:rFonts w:ascii="Times New Roman" w:hAnsi="Times New Roman"/>
                <w:sz w:val="18"/>
                <w:szCs w:val="18"/>
              </w:rPr>
              <w:t>优先种植乡土植物，采用少维护、耐候性强的植物，减少日常维护的费用。</w:t>
            </w:r>
          </w:p>
        </w:tc>
        <w:tc>
          <w:tcPr>
            <w:tcW w:w="1418" w:type="dxa"/>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绿化总面积应达到工厂占地面积的2</w:t>
            </w:r>
            <w:r>
              <w:rPr>
                <w:rFonts w:ascii="Times New Roman" w:hAnsi="Times New Roman"/>
                <w:sz w:val="18"/>
                <w:szCs w:val="18"/>
              </w:rPr>
              <w:t>0%</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室外透水地面面积占室外总面积的比例不小于30%</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已硬化的地面保护良好，无大面积损坏，排水功能完善。</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eastAsia="仿宋_GB2312"/>
                <w:szCs w:val="21"/>
              </w:rPr>
            </w:pPr>
          </w:p>
        </w:tc>
        <w:tc>
          <w:tcPr>
            <w:tcW w:w="1158" w:type="dxa"/>
            <w:vMerge w:val="continue"/>
            <w:vAlign w:val="center"/>
          </w:tcPr>
          <w:p>
            <w:pPr>
              <w:adjustRightInd w:val="0"/>
              <w:snapToGrid w:val="0"/>
              <w:spacing w:line="240" w:lineRule="auto"/>
              <w:jc w:val="center"/>
              <w:rPr>
                <w:rFonts w:ascii="Times New Roman" w:hAnsi="Times New Roman" w:eastAsia="仿宋_GB2312"/>
                <w:szCs w:val="21"/>
              </w:rPr>
            </w:pPr>
          </w:p>
        </w:tc>
        <w:tc>
          <w:tcPr>
            <w:tcW w:w="1193" w:type="dxa"/>
            <w:vMerge w:val="continue"/>
            <w:vAlign w:val="center"/>
          </w:tcPr>
          <w:p>
            <w:pPr>
              <w:adjustRightInd w:val="0"/>
              <w:snapToGrid w:val="0"/>
              <w:spacing w:line="240" w:lineRule="auto"/>
              <w:jc w:val="center"/>
              <w:rPr>
                <w:rFonts w:ascii="Times New Roman" w:hAnsi="Times New Roman" w:eastAsia="仿宋_GB2312"/>
                <w:szCs w:val="21"/>
              </w:rPr>
            </w:pPr>
          </w:p>
        </w:tc>
        <w:tc>
          <w:tcPr>
            <w:tcW w:w="6754" w:type="dxa"/>
            <w:vAlign w:val="center"/>
          </w:tcPr>
          <w:p>
            <w:pPr>
              <w:adjustRightInd w:val="0"/>
              <w:snapToGrid w:val="0"/>
              <w:spacing w:line="240" w:lineRule="auto"/>
              <w:rPr>
                <w:rFonts w:ascii="Times New Roman" w:hAnsi="Times New Roman" w:eastAsia="仿宋_GB2312"/>
              </w:rPr>
            </w:pPr>
            <w:r>
              <w:rPr>
                <w:rFonts w:ascii="Times New Roman" w:hAnsi="Times New Roman"/>
                <w:sz w:val="18"/>
                <w:szCs w:val="18"/>
              </w:rPr>
              <w:t>可再生能源的使用占建筑总能耗</w:t>
            </w:r>
            <w:r>
              <w:rPr>
                <w:rFonts w:hint="eastAsia" w:ascii="Times New Roman" w:hAnsi="Times New Roman"/>
                <w:sz w:val="18"/>
                <w:szCs w:val="18"/>
              </w:rPr>
              <w:t>（为保障室内建筑环境和生活所需的能耗，包括空调、通风、照明、采暖、炊事和生活热水等用能）</w:t>
            </w:r>
            <w:r>
              <w:rPr>
                <w:rFonts w:ascii="Times New Roman" w:hAnsi="Times New Roman"/>
                <w:sz w:val="18"/>
                <w:szCs w:val="18"/>
              </w:rPr>
              <w:t>的比例大于10%；</w:t>
            </w:r>
            <w:r>
              <w:rPr>
                <w:rFonts w:ascii="Times New Roman" w:hAnsi="Times New Roman" w:eastAsia="仿宋_GB2312"/>
              </w:rPr>
              <w:t xml:space="preserve"> </w:t>
            </w:r>
          </w:p>
        </w:tc>
        <w:tc>
          <w:tcPr>
            <w:tcW w:w="1418" w:type="dxa"/>
            <w:vAlign w:val="center"/>
          </w:tcPr>
          <w:p>
            <w:pPr>
              <w:pStyle w:val="31"/>
              <w:spacing w:line="240" w:lineRule="auto"/>
              <w:rPr>
                <w:rFonts w:ascii="Times New Roman" w:hAnsi="Times New Roman"/>
                <w:szCs w:val="21"/>
              </w:rPr>
            </w:pPr>
          </w:p>
        </w:tc>
        <w:tc>
          <w:tcPr>
            <w:tcW w:w="992" w:type="dxa"/>
            <w:vMerge w:val="continue"/>
            <w:vAlign w:val="center"/>
          </w:tcPr>
          <w:p>
            <w:pPr>
              <w:adjustRightInd w:val="0"/>
              <w:snapToGrid w:val="0"/>
              <w:spacing w:line="240" w:lineRule="auto"/>
              <w:jc w:val="center"/>
              <w:rPr>
                <w:rFonts w:ascii="Times New Roman" w:hAnsi="Times New Roman" w:eastAsia="仿宋_GB2312"/>
                <w:szCs w:val="21"/>
              </w:rPr>
            </w:pPr>
          </w:p>
        </w:tc>
        <w:tc>
          <w:tcPr>
            <w:tcW w:w="709"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4</w:t>
            </w:r>
          </w:p>
        </w:tc>
        <w:tc>
          <w:tcPr>
            <w:tcW w:w="708" w:type="dxa"/>
            <w:vMerge w:val="continue"/>
            <w:vAlign w:val="center"/>
          </w:tcPr>
          <w:p>
            <w:pPr>
              <w:adjustRightInd w:val="0"/>
              <w:snapToGrid w:val="0"/>
              <w:spacing w:line="240" w:lineRule="auto"/>
              <w:jc w:val="center"/>
              <w:rPr>
                <w:rFonts w:ascii="Times New Roman" w:hAnsi="Times New Roman" w:eastAsia="仿宋_GB2312"/>
                <w:szCs w:val="21"/>
              </w:rPr>
            </w:pPr>
          </w:p>
        </w:tc>
        <w:tc>
          <w:tcPr>
            <w:tcW w:w="709" w:type="dxa"/>
            <w:vAlign w:val="center"/>
          </w:tcPr>
          <w:p>
            <w:pPr>
              <w:adjustRightInd w:val="0"/>
              <w:snapToGrid w:val="0"/>
              <w:spacing w:line="240" w:lineRule="auto"/>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建筑结构：采用钢结构、砌体结构和木结构等资源消耗和环境影响小的建筑结构体系。</w:t>
            </w:r>
            <w:r>
              <w:rPr>
                <w:rFonts w:hint="eastAsia" w:ascii="Times New Roman" w:hAnsi="Times New Roman"/>
                <w:sz w:val="18"/>
                <w:szCs w:val="18"/>
              </w:rPr>
              <w:t>见附录B.</w:t>
            </w:r>
            <w:r>
              <w:rPr>
                <w:rFonts w:ascii="Times New Roman" w:hAnsi="Times New Roman"/>
                <w:sz w:val="18"/>
                <w:szCs w:val="18"/>
              </w:rPr>
              <w:t>1</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取值</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工厂的厂房</w:t>
            </w:r>
            <w:r>
              <w:rPr>
                <w:rFonts w:hint="eastAsia" w:ascii="Times New Roman" w:hAnsi="Times New Roman"/>
                <w:sz w:val="18"/>
                <w:szCs w:val="18"/>
              </w:rPr>
              <w:t>应</w:t>
            </w:r>
            <w:r>
              <w:rPr>
                <w:rFonts w:ascii="Times New Roman" w:hAnsi="Times New Roman"/>
                <w:sz w:val="18"/>
                <w:szCs w:val="18"/>
              </w:rPr>
              <w:t>采用多层建筑。</w:t>
            </w:r>
            <w:r>
              <w:rPr>
                <w:rFonts w:hint="eastAsia" w:ascii="Times New Roman" w:hAnsi="Times New Roman"/>
                <w:sz w:val="18"/>
                <w:szCs w:val="18"/>
              </w:rPr>
              <w:t>见附录B.</w:t>
            </w:r>
            <w:r>
              <w:rPr>
                <w:rFonts w:ascii="Times New Roman" w:hAnsi="Times New Roman"/>
                <w:sz w:val="18"/>
                <w:szCs w:val="18"/>
              </w:rPr>
              <w:t>2</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取值</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照明</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厂区及各房间或场所的照明应利用自然光或节能灯，人工照明应符合GB 50034规定。</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不同场所的照明应进行分级设计。</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辅助生产和生活福利设施的照明系统增设照明控制开关，短时有人的场所</w:t>
            </w:r>
            <w:r>
              <w:rPr>
                <w:rFonts w:hint="eastAsia" w:ascii="Times New Roman" w:hAnsi="Times New Roman"/>
                <w:sz w:val="18"/>
                <w:szCs w:val="18"/>
              </w:rPr>
              <w:t>应</w:t>
            </w:r>
            <w:r>
              <w:rPr>
                <w:rFonts w:ascii="Times New Roman" w:hAnsi="Times New Roman"/>
                <w:sz w:val="18"/>
                <w:szCs w:val="18"/>
              </w:rPr>
              <w:t>采取节能自熄措施。</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大于3</w:t>
            </w:r>
            <w:r>
              <w:rPr>
                <w:rFonts w:ascii="Times New Roman" w:hAnsi="Times New Roman"/>
                <w:sz w:val="18"/>
                <w:szCs w:val="18"/>
              </w:rPr>
              <w:t>000</w:t>
            </w:r>
            <w:r>
              <w:rPr>
                <w:rFonts w:hint="eastAsia" w:ascii="Times New Roman" w:hAnsi="Times New Roman"/>
                <w:sz w:val="18"/>
                <w:szCs w:val="18"/>
              </w:rPr>
              <w:t>m</w:t>
            </w:r>
            <w:r>
              <w:rPr>
                <w:rFonts w:ascii="Times New Roman" w:hAnsi="Times New Roman"/>
                <w:sz w:val="18"/>
                <w:szCs w:val="18"/>
                <w:vertAlign w:val="superscript"/>
              </w:rPr>
              <w:t>2</w:t>
            </w:r>
            <w:r>
              <w:rPr>
                <w:rFonts w:hint="eastAsia" w:ascii="Times New Roman" w:hAnsi="Times New Roman"/>
                <w:sz w:val="18"/>
                <w:szCs w:val="18"/>
              </w:rPr>
              <w:t>的</w:t>
            </w:r>
            <w:r>
              <w:rPr>
                <w:rFonts w:ascii="Times New Roman" w:hAnsi="Times New Roman"/>
                <w:sz w:val="18"/>
                <w:szCs w:val="18"/>
              </w:rPr>
              <w:t>大型厂房的照明系统应采用分区控制方式。</w:t>
            </w:r>
            <w:r>
              <w:rPr>
                <w:rFonts w:hint="eastAsia" w:ascii="Times New Roman" w:hAnsi="Times New Roman"/>
                <w:sz w:val="18"/>
                <w:szCs w:val="18"/>
              </w:rPr>
              <w:t>见附录B.</w:t>
            </w:r>
            <w:r>
              <w:rPr>
                <w:rFonts w:ascii="Times New Roman" w:hAnsi="Times New Roman"/>
                <w:sz w:val="18"/>
                <w:szCs w:val="18"/>
              </w:rPr>
              <w:t>3</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取值</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节能灯等节能型照明设备的使用占比不低于6</w:t>
            </w:r>
            <w:r>
              <w:rPr>
                <w:rFonts w:ascii="Times New Roman" w:hAnsi="Times New Roman"/>
                <w:sz w:val="18"/>
                <w:szCs w:val="18"/>
              </w:rPr>
              <w:t>0%</w:t>
            </w:r>
            <w:r>
              <w:rPr>
                <w:rFonts w:hint="eastAsia" w:ascii="Times New Roman" w:hAnsi="Times New Roman"/>
                <w:sz w:val="18"/>
                <w:szCs w:val="18"/>
              </w:rPr>
              <w:t>。见附录B</w:t>
            </w:r>
            <w:r>
              <w:rPr>
                <w:rFonts w:ascii="Times New Roman" w:hAnsi="Times New Roman"/>
                <w:sz w:val="18"/>
                <w:szCs w:val="18"/>
              </w:rPr>
              <w:t>.4</w:t>
            </w:r>
            <w:r>
              <w:rPr>
                <w:rFonts w:hint="eastAsia"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取值</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设备和设施</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专用设备应符合产业准入要求，降低能源与资源消耗，减少污染物排放。</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通用设备应达到相关标准中能效限定值的强制性要求。已明令禁止生产、使用的和能耗高、效率低的设备应限期淘汰更新。</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通用设备或其系统的实际运行效率或主要运行参数应符合该设备经济运行的要求。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工厂应每年开展设备自动化改造，以提高生产效率。</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应依据GB 17167、GB 24789等要求配备、使用和管理能源、水以及其他资源的计量器具和装置。进出用能单位、进出主要次级用能单位、主要用能设备计量器具配备率应满足GB 20902要求。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能源及资源使用的类型不同时，应进行分类计量。工厂若具有以下设备，应满足分类计量的要求：（1）照明系统；（2）冷水机组、相关用能设备的能耗计量和控制；（3）</w:t>
            </w:r>
            <w:r>
              <w:rPr>
                <w:rFonts w:hint="eastAsia" w:ascii="Times New Roman" w:hAnsi="Times New Roman"/>
                <w:sz w:val="18"/>
                <w:szCs w:val="18"/>
              </w:rPr>
              <w:t>生产</w:t>
            </w:r>
            <w:r>
              <w:rPr>
                <w:rFonts w:ascii="Times New Roman" w:hAnsi="Times New Roman"/>
                <w:sz w:val="18"/>
                <w:szCs w:val="18"/>
              </w:rPr>
              <w:t>用水、</w:t>
            </w:r>
            <w:r>
              <w:rPr>
                <w:rFonts w:hint="eastAsia" w:ascii="Times New Roman" w:hAnsi="Times New Roman"/>
                <w:sz w:val="18"/>
                <w:szCs w:val="18"/>
              </w:rPr>
              <w:t>生活</w:t>
            </w:r>
            <w:r>
              <w:rPr>
                <w:rFonts w:ascii="Times New Roman" w:hAnsi="Times New Roman"/>
                <w:sz w:val="18"/>
                <w:szCs w:val="18"/>
              </w:rPr>
              <w:t>用水</w:t>
            </w:r>
            <w:r>
              <w:rPr>
                <w:rFonts w:hint="eastAsia" w:ascii="Times New Roman" w:hAnsi="Times New Roman"/>
                <w:sz w:val="18"/>
                <w:szCs w:val="18"/>
              </w:rPr>
              <w:t>、消防用水</w:t>
            </w:r>
            <w:r>
              <w:rPr>
                <w:rFonts w:ascii="Times New Roman" w:hAnsi="Times New Roman"/>
                <w:sz w:val="18"/>
                <w:szCs w:val="18"/>
              </w:rPr>
              <w:t>；（4）空气处理设备的流量和压力计量；（5）锅炉；（6）冷却塔。</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应投入适应的污染物</w:t>
            </w:r>
            <w:r>
              <w:rPr>
                <w:rFonts w:hint="eastAsia" w:ascii="Times New Roman" w:hAnsi="Times New Roman"/>
                <w:sz w:val="18"/>
                <w:szCs w:val="18"/>
              </w:rPr>
              <w:t>治理</w:t>
            </w:r>
            <w:r>
              <w:rPr>
                <w:rFonts w:ascii="Times New Roman" w:hAnsi="Times New Roman"/>
                <w:sz w:val="18"/>
                <w:szCs w:val="18"/>
              </w:rPr>
              <w:t>设施，以确保其污染物排放达到相关法律法规及标准要求。污染物处理设施的处理能力与工厂生产排放相适应，</w:t>
            </w:r>
            <w:r>
              <w:rPr>
                <w:rFonts w:hint="eastAsia" w:ascii="Times New Roman" w:hAnsi="Times New Roman"/>
                <w:sz w:val="18"/>
                <w:szCs w:val="18"/>
              </w:rPr>
              <w:t>并应正常运行</w:t>
            </w:r>
            <w:r>
              <w:rPr>
                <w:rFonts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8</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应建立完整的污染治理设施管理台账，并至少保存5年以上。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ascii="Times New Roman" w:hAnsi="Times New Roman"/>
                <w:sz w:val="18"/>
                <w:szCs w:val="18"/>
              </w:rPr>
              <w:t>必要时，应安装在线监测装置，对工厂排放的废气、废水中的相关污染物因子进行适时监测。</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通用设备应采用节能型产品或效率高、能耗低、水耗低、物耗低的产品。</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bookmarkStart w:id="255" w:name="_Hlk26787849"/>
            <w:r>
              <w:rPr>
                <w:rFonts w:ascii="Times New Roman" w:hAnsi="Times New Roman"/>
                <w:sz w:val="18"/>
                <w:szCs w:val="18"/>
              </w:rPr>
              <w:t>2</w:t>
            </w:r>
          </w:p>
        </w:tc>
        <w:tc>
          <w:tcPr>
            <w:tcW w:w="1158" w:type="dxa"/>
            <w:vMerge w:val="restart"/>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r>
              <w:rPr>
                <w:rFonts w:ascii="Times New Roman" w:hAnsi="Times New Roman" w:eastAsia="宋体"/>
                <w:sz w:val="18"/>
                <w:szCs w:val="18"/>
              </w:rPr>
              <w:t>管理体系</w:t>
            </w: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质量管理体系</w:t>
            </w:r>
          </w:p>
        </w:tc>
        <w:tc>
          <w:tcPr>
            <w:tcW w:w="6754" w:type="dxa"/>
            <w:tcBorders>
              <w:bottom w:val="single" w:color="auto" w:sz="4" w:space="0"/>
            </w:tcBorders>
            <w:vAlign w:val="center"/>
          </w:tcPr>
          <w:p>
            <w:pPr>
              <w:adjustRightInd w:val="0"/>
              <w:snapToGrid w:val="0"/>
              <w:spacing w:line="240" w:lineRule="auto"/>
              <w:rPr>
                <w:rFonts w:ascii="Times New Roman" w:hAnsi="Times New Roman"/>
                <w:sz w:val="18"/>
                <w:szCs w:val="18"/>
              </w:rPr>
            </w:pPr>
            <w:r>
              <w:rPr>
                <w:rFonts w:ascii="Times New Roman" w:hAnsi="Times New Roman"/>
                <w:iCs/>
                <w:sz w:val="18"/>
                <w:szCs w:val="18"/>
              </w:rPr>
              <w:t>工厂应建立、实施并保持质量管理体系。</w:t>
            </w:r>
            <w:r>
              <w:rPr>
                <w:rFonts w:hint="eastAsia" w:ascii="Times New Roman" w:hAnsi="Times New Roman"/>
                <w:iCs/>
                <w:sz w:val="18"/>
                <w:szCs w:val="18"/>
              </w:rPr>
              <w:t>定期组织实施内部审核，并形成相关文件和记录。</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restart"/>
            <w:vAlign w:val="bottom"/>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rPr>
                <w:rFonts w:ascii="Times New Roman" w:hAnsi="Times New Roman"/>
                <w:sz w:val="18"/>
                <w:szCs w:val="18"/>
              </w:rPr>
            </w:pPr>
          </w:p>
          <w:p>
            <w:pPr>
              <w:adjustRightInd w:val="0"/>
              <w:snapToGrid w:val="0"/>
              <w:spacing w:line="240" w:lineRule="auto"/>
              <w:rPr>
                <w:rFonts w:ascii="Times New Roman" w:hAnsi="Times New Roman"/>
                <w:sz w:val="18"/>
                <w:szCs w:val="18"/>
              </w:rPr>
            </w:pPr>
            <w:r>
              <w:rPr>
                <w:rFonts w:ascii="Times New Roman" w:hAnsi="Times New Roman"/>
                <w:sz w:val="18"/>
                <w:szCs w:val="18"/>
              </w:rPr>
              <w:t>15%</w:t>
            </w:r>
          </w:p>
        </w:tc>
        <w:tc>
          <w:tcPr>
            <w:tcW w:w="709" w:type="dxa"/>
            <w:vMerge w:val="restart"/>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pStyle w:val="31"/>
              <w:spacing w:line="240" w:lineRule="auto"/>
              <w:rPr>
                <w:rFonts w:ascii="Times New Roman" w:hAnsi="Times New Roman" w:eastAsia="宋体"/>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工厂的质量管理体系应满足GB/T 19001的要求。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bottom"/>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pStyle w:val="31"/>
              <w:spacing w:line="240" w:lineRule="auto"/>
              <w:rPr>
                <w:rFonts w:ascii="Times New Roman" w:hAnsi="Times New Roman" w:eastAsia="宋体"/>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工厂的质量管理体系应满足IATF</w:t>
            </w:r>
            <w:r>
              <w:rPr>
                <w:rFonts w:ascii="Times New Roman" w:hAnsi="Times New Roman"/>
                <w:iCs/>
                <w:sz w:val="18"/>
                <w:szCs w:val="18"/>
              </w:rPr>
              <w:t>16949</w:t>
            </w:r>
            <w:r>
              <w:rPr>
                <w:rFonts w:hint="eastAsia" w:ascii="Times New Roman" w:hAnsi="Times New Roman"/>
                <w:iCs/>
                <w:sz w:val="18"/>
                <w:szCs w:val="18"/>
              </w:rPr>
              <w:t>的要求。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bottom"/>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pStyle w:val="31"/>
              <w:spacing w:line="240" w:lineRule="auto"/>
              <w:rPr>
                <w:rFonts w:ascii="Times New Roman" w:hAnsi="Times New Roman" w:eastAsia="宋体"/>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工厂应获得质量管理体系的第三方认证。</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bottom"/>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bookmarkEnd w:id="255"/>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职业健康安全管理体系</w:t>
            </w:r>
          </w:p>
        </w:tc>
        <w:tc>
          <w:tcPr>
            <w:tcW w:w="6754" w:type="dxa"/>
            <w:tcBorders>
              <w:bottom w:val="single" w:color="auto" w:sz="4" w:space="0"/>
            </w:tcBorders>
            <w:vAlign w:val="center"/>
          </w:tcPr>
          <w:p>
            <w:pPr>
              <w:adjustRightInd w:val="0"/>
              <w:snapToGrid w:val="0"/>
              <w:spacing w:line="240" w:lineRule="auto"/>
              <w:rPr>
                <w:rFonts w:ascii="Times New Roman" w:hAnsi="Times New Roman"/>
                <w:sz w:val="18"/>
                <w:szCs w:val="18"/>
              </w:rPr>
            </w:pPr>
            <w:r>
              <w:rPr>
                <w:rFonts w:ascii="Times New Roman" w:hAnsi="Times New Roman"/>
                <w:iCs/>
                <w:sz w:val="18"/>
                <w:szCs w:val="18"/>
              </w:rPr>
              <w:t>工厂应建立、实施并保持职业健康安全管理体系。</w:t>
            </w:r>
            <w:r>
              <w:rPr>
                <w:rFonts w:hint="eastAsia" w:ascii="Times New Roman" w:hAnsi="Times New Roman"/>
                <w:iCs/>
                <w:sz w:val="18"/>
                <w:szCs w:val="18"/>
              </w:rPr>
              <w:t>定期组织实施内部审核，并形成相关文件和记录。</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restart"/>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工厂的职业健康安全管理体系应满足GB/T 45001的要求。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工厂应获得职业健康管理体系第三方认证。</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环境管理体系</w:t>
            </w:r>
          </w:p>
        </w:tc>
        <w:tc>
          <w:tcPr>
            <w:tcW w:w="6754" w:type="dxa"/>
            <w:tcBorders>
              <w:bottom w:val="single" w:color="auto" w:sz="4" w:space="0"/>
            </w:tcBorders>
            <w:vAlign w:val="center"/>
          </w:tcPr>
          <w:p>
            <w:pPr>
              <w:adjustRightInd w:val="0"/>
              <w:snapToGrid w:val="0"/>
              <w:spacing w:line="240" w:lineRule="auto"/>
              <w:rPr>
                <w:rFonts w:ascii="Times New Roman" w:hAnsi="Times New Roman"/>
                <w:sz w:val="18"/>
                <w:szCs w:val="18"/>
              </w:rPr>
            </w:pPr>
            <w:r>
              <w:rPr>
                <w:rFonts w:ascii="Times New Roman" w:hAnsi="Times New Roman"/>
                <w:iCs/>
                <w:sz w:val="18"/>
                <w:szCs w:val="18"/>
              </w:rPr>
              <w:t>工厂应建立、实施并保持环境管理体系。</w:t>
            </w:r>
            <w:r>
              <w:rPr>
                <w:rFonts w:hint="eastAsia" w:ascii="Times New Roman" w:hAnsi="Times New Roman"/>
                <w:iCs/>
                <w:sz w:val="18"/>
                <w:szCs w:val="18"/>
              </w:rPr>
              <w:t>定期组织实施内部审核，并形成相关文件和记录。</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restart"/>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工厂的环境管理体系应满足GB/T24001的要求。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continue"/>
            <w:tcBorders>
              <w:bottom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tcBorders>
              <w:top w:val="single" w:color="auto" w:sz="4" w:space="0"/>
            </w:tcBorders>
            <w:vAlign w:val="center"/>
          </w:tcPr>
          <w:p>
            <w:pPr>
              <w:adjustRightInd w:val="0"/>
              <w:snapToGrid w:val="0"/>
              <w:spacing w:line="240" w:lineRule="auto"/>
              <w:rPr>
                <w:rFonts w:ascii="Times New Roman" w:hAnsi="Times New Roman"/>
                <w:iCs/>
                <w:sz w:val="18"/>
                <w:szCs w:val="18"/>
              </w:rPr>
            </w:pPr>
            <w:r>
              <w:rPr>
                <w:rFonts w:hint="eastAsia" w:ascii="Times New Roman" w:hAnsi="Times New Roman"/>
                <w:iCs/>
                <w:sz w:val="18"/>
                <w:szCs w:val="18"/>
              </w:rPr>
              <w:t>工厂应获得环境管理体系第三方认证。</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能源管理体系</w:t>
            </w:r>
          </w:p>
        </w:tc>
        <w:tc>
          <w:tcPr>
            <w:tcW w:w="6754" w:type="dxa"/>
            <w:vAlign w:val="center"/>
          </w:tcPr>
          <w:p>
            <w:pPr>
              <w:pStyle w:val="31"/>
              <w:spacing w:line="240" w:lineRule="auto"/>
              <w:rPr>
                <w:rFonts w:ascii="Times New Roman" w:hAnsi="Times New Roman" w:eastAsia="宋体"/>
                <w:iCs/>
                <w:kern w:val="2"/>
                <w:sz w:val="18"/>
                <w:szCs w:val="18"/>
              </w:rPr>
            </w:pPr>
            <w:r>
              <w:rPr>
                <w:rFonts w:hint="eastAsia" w:ascii="Times New Roman" w:hAnsi="Times New Roman" w:eastAsia="宋体"/>
                <w:iCs/>
                <w:kern w:val="2"/>
                <w:sz w:val="18"/>
                <w:szCs w:val="18"/>
              </w:rPr>
              <w:t>工厂应建立、实施并保持能源管理体系。定期组织实施内部审核，并形成相关文件和记录。</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Borders>
              <w:bottom w:val="single" w:color="auto" w:sz="4"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工厂的能源管理体系应满足</w:t>
            </w:r>
            <w:r>
              <w:rPr>
                <w:rFonts w:ascii="Times New Roman" w:hAnsi="Times New Roman" w:eastAsia="宋体"/>
                <w:sz w:val="18"/>
                <w:szCs w:val="18"/>
              </w:rPr>
              <w:t>GB/T 23331的要求。</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restart"/>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Borders>
              <w:top w:val="single" w:color="auto" w:sz="4"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工厂应获得能源管理体系第三方认证。</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Merge w:val="continue"/>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0"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安全标</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准化管</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理体系</w:t>
            </w: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w:t>
            </w:r>
            <w:r>
              <w:rPr>
                <w:rFonts w:hint="eastAsia" w:ascii="Times New Roman" w:hAnsi="Times New Roman"/>
                <w:sz w:val="18"/>
                <w:szCs w:val="18"/>
              </w:rPr>
              <w:t>应</w:t>
            </w:r>
            <w:r>
              <w:rPr>
                <w:rFonts w:ascii="Times New Roman" w:hAnsi="Times New Roman"/>
                <w:sz w:val="18"/>
                <w:szCs w:val="18"/>
              </w:rPr>
              <w:t>建立、实施并保持安全生产标准化管理体系。</w:t>
            </w:r>
            <w:r>
              <w:rPr>
                <w:rFonts w:hint="eastAsia" w:ascii="Times New Roman" w:hAnsi="Times New Roman"/>
                <w:iCs/>
                <w:sz w:val="18"/>
                <w:szCs w:val="18"/>
              </w:rPr>
              <w:t>定期组织实施内部审核，并形成相关文件和记录。</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tabs>
                <w:tab w:val="center" w:pos="4153"/>
                <w:tab w:val="right" w:pos="8306"/>
              </w:tabs>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工厂的安全生产标准化管理体系应满足GB/T 33000的要求。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tabs>
                <w:tab w:val="center" w:pos="4153"/>
                <w:tab w:val="right" w:pos="8306"/>
              </w:tabs>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工厂</w:t>
            </w:r>
            <w:r>
              <w:rPr>
                <w:rFonts w:hint="eastAsia" w:ascii="Times New Roman" w:hAnsi="Times New Roman"/>
                <w:sz w:val="18"/>
                <w:szCs w:val="18"/>
              </w:rPr>
              <w:t>应</w:t>
            </w:r>
            <w:r>
              <w:rPr>
                <w:rFonts w:ascii="Times New Roman" w:hAnsi="Times New Roman"/>
                <w:sz w:val="18"/>
                <w:szCs w:val="18"/>
              </w:rPr>
              <w:t>通过安全生产标准化管理体系</w:t>
            </w:r>
            <w:r>
              <w:rPr>
                <w:rFonts w:hint="eastAsia" w:ascii="Times New Roman" w:hAnsi="Times New Roman"/>
                <w:sz w:val="18"/>
                <w:szCs w:val="18"/>
              </w:rPr>
              <w:t>外部评审，并获得应急管理部门颁发相应级别证书</w:t>
            </w:r>
            <w:r>
              <w:rPr>
                <w:rFonts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tabs>
                <w:tab w:val="center" w:pos="4153"/>
                <w:tab w:val="right" w:pos="8306"/>
              </w:tabs>
              <w:adjustRightInd w:val="0"/>
              <w:snapToGrid w:val="0"/>
              <w:spacing w:line="240" w:lineRule="auto"/>
              <w:jc w:val="center"/>
              <w:rPr>
                <w:rFonts w:ascii="Times New Roman" w:hAnsi="Times New Roman"/>
                <w:sz w:val="18"/>
                <w:szCs w:val="18"/>
              </w:rPr>
            </w:pPr>
            <w:r>
              <w:rPr>
                <w:rFonts w:ascii="Times New Roman" w:hAnsi="Times New Roman"/>
                <w:sz w:val="18"/>
                <w:szCs w:val="18"/>
              </w:rPr>
              <w:t>2</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社会责任</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按照GB/T 36000</w:t>
            </w:r>
            <w:r>
              <w:rPr>
                <w:rFonts w:hint="eastAsia" w:ascii="Times New Roman" w:hAnsi="Times New Roman" w:eastAsia="宋体"/>
                <w:sz w:val="18"/>
                <w:szCs w:val="18"/>
              </w:rPr>
              <w:t>的要求，</w:t>
            </w:r>
            <w:r>
              <w:rPr>
                <w:rFonts w:ascii="Times New Roman" w:hAnsi="Times New Roman" w:eastAsia="宋体"/>
                <w:sz w:val="18"/>
                <w:szCs w:val="18"/>
              </w:rPr>
              <w:t>每年发布社会责任报告，说明履行利益相关方责任的情况，特别是环境社会责任的履行情况，报告公开可获得。</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tabs>
                <w:tab w:val="center" w:pos="4153"/>
                <w:tab w:val="right" w:pos="8306"/>
              </w:tabs>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1158" w:type="dxa"/>
            <w:vMerge w:val="restart"/>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r>
              <w:rPr>
                <w:rFonts w:ascii="Times New Roman" w:hAnsi="Times New Roman" w:eastAsia="宋体"/>
                <w:sz w:val="18"/>
                <w:szCs w:val="18"/>
              </w:rPr>
              <w:t>能源资源</w:t>
            </w:r>
          </w:p>
          <w:p>
            <w:pPr>
              <w:pStyle w:val="31"/>
              <w:spacing w:line="240" w:lineRule="auto"/>
              <w:ind w:firstLine="180" w:firstLineChars="100"/>
              <w:rPr>
                <w:rFonts w:ascii="Times New Roman" w:hAnsi="Times New Roman" w:eastAsia="宋体"/>
                <w:sz w:val="18"/>
                <w:szCs w:val="18"/>
              </w:rPr>
            </w:pPr>
            <w:r>
              <w:rPr>
                <w:rFonts w:ascii="Times New Roman" w:hAnsi="Times New Roman" w:eastAsia="宋体"/>
                <w:sz w:val="18"/>
                <w:szCs w:val="18"/>
              </w:rPr>
              <w:t>投入</w:t>
            </w: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能源投入</w:t>
            </w:r>
          </w:p>
        </w:tc>
        <w:tc>
          <w:tcPr>
            <w:tcW w:w="6754" w:type="dxa"/>
            <w:tcBorders>
              <w:bottom w:val="single" w:color="auto" w:sz="6"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工厂应建有能源管理部门并配有专职人员，建设有完整的能源管理制度。</w:t>
            </w:r>
          </w:p>
        </w:tc>
        <w:tc>
          <w:tcPr>
            <w:tcW w:w="1418" w:type="dxa"/>
            <w:tcBorders>
              <w:bottom w:val="single" w:color="auto" w:sz="6" w:space="0"/>
            </w:tcBorders>
            <w:vAlign w:val="center"/>
          </w:tcPr>
          <w:p>
            <w:pPr>
              <w:pStyle w:val="31"/>
              <w:spacing w:line="240" w:lineRule="auto"/>
              <w:rPr>
                <w:rFonts w:ascii="Times New Roman" w:hAnsi="Times New Roman" w:eastAsia="宋体"/>
                <w:sz w:val="18"/>
                <w:szCs w:val="18"/>
              </w:rPr>
            </w:pPr>
          </w:p>
        </w:tc>
        <w:tc>
          <w:tcPr>
            <w:tcW w:w="992" w:type="dxa"/>
            <w:vMerge w:val="restart"/>
            <w:vAlign w:val="bottom"/>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p>
            <w:pPr>
              <w:adjustRightInd w:val="0"/>
              <w:snapToGrid w:val="0"/>
              <w:spacing w:line="240" w:lineRule="auto"/>
              <w:jc w:val="center"/>
              <w:rPr>
                <w:rFonts w:ascii="Times New Roman" w:hAnsi="Times New Roman"/>
                <w:sz w:val="18"/>
                <w:szCs w:val="18"/>
              </w:rPr>
            </w:pPr>
          </w:p>
        </w:tc>
        <w:tc>
          <w:tcPr>
            <w:tcW w:w="709" w:type="dxa"/>
            <w:tcBorders>
              <w:bottom w:val="single" w:color="auto" w:sz="6"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bottom w:val="single" w:color="auto" w:sz="6"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工厂应</w:t>
            </w:r>
            <w:r>
              <w:rPr>
                <w:rFonts w:ascii="Times New Roman" w:hAnsi="Times New Roman" w:eastAsia="宋体"/>
                <w:sz w:val="18"/>
                <w:szCs w:val="18"/>
              </w:rPr>
              <w:t>优化用能结构，</w:t>
            </w:r>
            <w:r>
              <w:rPr>
                <w:rFonts w:hint="eastAsia" w:ascii="Times New Roman" w:hAnsi="Times New Roman" w:eastAsia="宋体"/>
                <w:sz w:val="18"/>
                <w:szCs w:val="18"/>
              </w:rPr>
              <w:t>每年开展节能小组活动，</w:t>
            </w:r>
            <w:r>
              <w:rPr>
                <w:rFonts w:ascii="Times New Roman" w:hAnsi="Times New Roman" w:eastAsia="宋体"/>
                <w:sz w:val="18"/>
                <w:szCs w:val="18"/>
              </w:rPr>
              <w:t>在保证安全、质量的前提下减少能源投入。</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工厂各工序工艺综合能耗应满足行业节能相关法律法规以及标准</w:t>
            </w:r>
            <w:r>
              <w:rPr>
                <w:rFonts w:hint="eastAsia" w:ascii="Times New Roman" w:hAnsi="Times New Roman" w:eastAsia="宋体"/>
                <w:sz w:val="18"/>
                <w:szCs w:val="18"/>
              </w:rPr>
              <w:t>、绿色产品设计规范</w:t>
            </w:r>
            <w:r>
              <w:rPr>
                <w:rFonts w:ascii="Times New Roman" w:hAnsi="Times New Roman" w:eastAsia="宋体"/>
                <w:sz w:val="18"/>
                <w:szCs w:val="18"/>
              </w:rPr>
              <w:t>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使用可再生能源或低碳清洁的新能源。</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可再生能源或低碳清洁能源占工厂总耗能的1</w:t>
            </w:r>
            <w:r>
              <w:rPr>
                <w:rFonts w:ascii="Times New Roman" w:hAnsi="Times New Roman" w:eastAsia="宋体"/>
                <w:sz w:val="18"/>
                <w:szCs w:val="18"/>
              </w:rPr>
              <w:t>0%</w:t>
            </w:r>
            <w:r>
              <w:rPr>
                <w:rFonts w:hint="eastAsia" w:ascii="Times New Roman" w:hAnsi="Times New Roman" w:eastAsia="宋体"/>
                <w:sz w:val="18"/>
                <w:szCs w:val="18"/>
              </w:rPr>
              <w:t>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充分利用余热</w:t>
            </w:r>
            <w:r>
              <w:rPr>
                <w:rFonts w:hint="eastAsia" w:ascii="Times New Roman" w:hAnsi="Times New Roman" w:eastAsia="宋体"/>
                <w:sz w:val="18"/>
                <w:szCs w:val="18"/>
              </w:rPr>
              <w:t>、</w:t>
            </w:r>
            <w:r>
              <w:rPr>
                <w:rFonts w:ascii="Times New Roman" w:hAnsi="Times New Roman" w:eastAsia="宋体"/>
                <w:sz w:val="18"/>
                <w:szCs w:val="18"/>
              </w:rPr>
              <w:t>余压产生的二次能源回收利用。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资源投入</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应按照GB/T 7119的要求开展节水评价工作</w:t>
            </w:r>
            <w:r>
              <w:rPr>
                <w:rFonts w:hint="eastAsia"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采用节水器具和设备，节水率不低于1</w:t>
            </w:r>
            <w:r>
              <w:rPr>
                <w:rFonts w:ascii="Times New Roman" w:hAnsi="Times New Roman" w:eastAsia="宋体"/>
                <w:sz w:val="18"/>
                <w:szCs w:val="18"/>
              </w:rPr>
              <w:t>0%</w:t>
            </w:r>
            <w:r>
              <w:rPr>
                <w:rFonts w:hint="eastAsia"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产品设计阶段</w:t>
            </w:r>
            <w:r>
              <w:rPr>
                <w:rFonts w:ascii="Times New Roman" w:hAnsi="Times New Roman" w:eastAsia="宋体"/>
                <w:sz w:val="18"/>
                <w:szCs w:val="18"/>
              </w:rPr>
              <w:t>应</w:t>
            </w:r>
            <w:r>
              <w:rPr>
                <w:rFonts w:hint="eastAsia" w:ascii="Times New Roman" w:hAnsi="Times New Roman" w:eastAsia="宋体"/>
                <w:sz w:val="18"/>
                <w:szCs w:val="18"/>
              </w:rPr>
              <w:t>考虑</w:t>
            </w:r>
            <w:r>
              <w:rPr>
                <w:rFonts w:ascii="Times New Roman" w:hAnsi="Times New Roman" w:eastAsia="宋体"/>
                <w:sz w:val="18"/>
                <w:szCs w:val="18"/>
              </w:rPr>
              <w:t>减少</w:t>
            </w:r>
            <w:r>
              <w:rPr>
                <w:rFonts w:hint="eastAsia" w:ascii="Times New Roman" w:hAnsi="Times New Roman" w:eastAsia="宋体"/>
                <w:sz w:val="18"/>
                <w:szCs w:val="18"/>
              </w:rPr>
              <w:t>原辅料及材料</w:t>
            </w:r>
            <w:r>
              <w:rPr>
                <w:rFonts w:ascii="Times New Roman" w:hAnsi="Times New Roman" w:eastAsia="宋体"/>
                <w:sz w:val="18"/>
                <w:szCs w:val="18"/>
              </w:rPr>
              <w:t>尤其是有毒有害物质的使用，评估有毒有害物质及化学品减量使用或替代的可行性。</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应按照 GB/T 29115的要求对其</w:t>
            </w:r>
            <w:r>
              <w:rPr>
                <w:rFonts w:hint="eastAsia" w:ascii="Times New Roman" w:hAnsi="Times New Roman" w:eastAsia="宋体"/>
                <w:sz w:val="18"/>
                <w:szCs w:val="18"/>
              </w:rPr>
              <w:t>原辅料及材料</w:t>
            </w:r>
            <w:r>
              <w:rPr>
                <w:rFonts w:ascii="Times New Roman" w:hAnsi="Times New Roman" w:eastAsia="宋体"/>
                <w:sz w:val="18"/>
                <w:szCs w:val="18"/>
              </w:rPr>
              <w:t>使用量的减少进行评价。</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使用</w:t>
            </w:r>
            <w:r>
              <w:rPr>
                <w:rFonts w:hint="eastAsia" w:ascii="Times New Roman" w:hAnsi="Times New Roman" w:eastAsia="宋体"/>
                <w:sz w:val="18"/>
                <w:szCs w:val="18"/>
              </w:rPr>
              <w:t>工厂内部产生的</w:t>
            </w:r>
            <w:r>
              <w:rPr>
                <w:rFonts w:ascii="Times New Roman" w:hAnsi="Times New Roman" w:eastAsia="宋体"/>
                <w:sz w:val="18"/>
                <w:szCs w:val="18"/>
              </w:rPr>
              <w:t>回收料如</w:t>
            </w:r>
            <w:r>
              <w:rPr>
                <w:rFonts w:hint="eastAsia" w:ascii="Times New Roman" w:hAnsi="Times New Roman" w:eastAsia="宋体"/>
                <w:sz w:val="18"/>
                <w:szCs w:val="18"/>
              </w:rPr>
              <w:t>磁粉、颗粒料</w:t>
            </w:r>
            <w:r>
              <w:rPr>
                <w:rFonts w:ascii="Times New Roman" w:hAnsi="Times New Roman" w:eastAsia="宋体"/>
                <w:sz w:val="18"/>
                <w:szCs w:val="18"/>
              </w:rPr>
              <w:t>等可回收材料</w:t>
            </w:r>
            <w:r>
              <w:rPr>
                <w:rFonts w:hint="eastAsia" w:ascii="Times New Roman" w:hAnsi="Times New Roman" w:eastAsia="宋体"/>
                <w:sz w:val="18"/>
                <w:szCs w:val="18"/>
              </w:rPr>
              <w:t>部分</w:t>
            </w:r>
            <w:r>
              <w:rPr>
                <w:rFonts w:ascii="Times New Roman" w:hAnsi="Times New Roman" w:eastAsia="宋体"/>
                <w:sz w:val="18"/>
                <w:szCs w:val="18"/>
              </w:rPr>
              <w:t>替代原材料、</w:t>
            </w:r>
            <w:r>
              <w:rPr>
                <w:rFonts w:hint="eastAsia" w:ascii="Times New Roman" w:hAnsi="Times New Roman" w:eastAsia="宋体"/>
                <w:sz w:val="18"/>
                <w:szCs w:val="18"/>
              </w:rPr>
              <w:t>使用可回收材料代替</w:t>
            </w:r>
            <w:r>
              <w:rPr>
                <w:rFonts w:ascii="Times New Roman" w:hAnsi="Times New Roman" w:eastAsia="宋体"/>
                <w:sz w:val="18"/>
                <w:szCs w:val="18"/>
              </w:rPr>
              <w:t>不可回收材料。</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替代或减少全球增温潜势较高温室气体的使用。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采购</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应制定并实施包括环保要求的选择、评价和重新评价供方的准则。</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与客户签订《绿色采购协议》，每年更新合格供应商目录，按计划监察并形成文件或记录。</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应确定并实施检验或其他必要的活动，以确保采购的产品满足规定的采购要求。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向供方提供的采购信息应包含有毒有害物质使用、可回收材料使用、能效等环保要求。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p>
            <w:pPr>
              <w:adjustRightInd w:val="0"/>
              <w:snapToGrid w:val="0"/>
              <w:spacing w:line="240" w:lineRule="auto"/>
              <w:jc w:val="center"/>
              <w:rPr>
                <w:rFonts w:ascii="Times New Roman" w:hAnsi="Times New Roman"/>
                <w:sz w:val="18"/>
                <w:szCs w:val="18"/>
              </w:rPr>
            </w:pPr>
          </w:p>
        </w:tc>
        <w:tc>
          <w:tcPr>
            <w:tcW w:w="1158" w:type="dxa"/>
            <w:vMerge w:val="restart"/>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r>
              <w:rPr>
                <w:rFonts w:ascii="Times New Roman" w:hAnsi="Times New Roman" w:eastAsia="宋体"/>
                <w:sz w:val="18"/>
                <w:szCs w:val="18"/>
              </w:rPr>
              <w:t>产品</w:t>
            </w:r>
          </w:p>
        </w:tc>
        <w:tc>
          <w:tcPr>
            <w:tcW w:w="1193" w:type="dxa"/>
            <w:vMerge w:val="restart"/>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生态设计</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应在产品设计中引入生态设计的理念</w:t>
            </w:r>
            <w:r>
              <w:rPr>
                <w:rFonts w:hint="eastAsia" w:ascii="Times New Roman" w:hAnsi="Times New Roman" w:eastAsia="宋体"/>
                <w:sz w:val="18"/>
                <w:szCs w:val="18"/>
              </w:rPr>
              <w:t>，</w:t>
            </w:r>
            <w:r>
              <w:rPr>
                <w:rFonts w:ascii="Times New Roman" w:hAnsi="Times New Roman" w:eastAsia="宋体"/>
                <w:sz w:val="18"/>
                <w:szCs w:val="18"/>
              </w:rPr>
              <w:t>产品品种应按照对应品种的绿色产品评价标准进行评价。</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5</w:t>
            </w:r>
          </w:p>
        </w:tc>
        <w:tc>
          <w:tcPr>
            <w:tcW w:w="708"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r>
              <w:rPr>
                <w:rFonts w:ascii="Times New Roman" w:hAnsi="Times New Roman"/>
                <w:sz w:val="18"/>
                <w:szCs w:val="18"/>
              </w:rPr>
              <w:t>%</w:t>
            </w: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未有对应标准的产品品种，应按照GB/T 24256对生产的产品进行生态设计，并应按照GB/T 32161对生产的产品进行生态设计产品评价。</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有毒有害物质使用</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有毒有害物质的贮存、输送、生产和使用场所，应设置环境风险防范和应急</w:t>
            </w:r>
            <w:r>
              <w:rPr>
                <w:rFonts w:hint="eastAsia" w:ascii="Times New Roman" w:hAnsi="Times New Roman" w:eastAsia="宋体"/>
                <w:sz w:val="18"/>
                <w:szCs w:val="18"/>
              </w:rPr>
              <w:t>处置</w:t>
            </w:r>
            <w:r>
              <w:rPr>
                <w:rFonts w:ascii="Times New Roman" w:hAnsi="Times New Roman" w:eastAsia="宋体"/>
                <w:sz w:val="18"/>
                <w:szCs w:val="18"/>
              </w:rPr>
              <w:t>设施</w:t>
            </w:r>
            <w:r>
              <w:rPr>
                <w:rFonts w:hint="eastAsia" w:ascii="Times New Roman" w:hAnsi="Times New Roman" w:eastAsia="宋体"/>
                <w:sz w:val="18"/>
                <w:szCs w:val="18"/>
              </w:rPr>
              <w:t>，并配置相应的应急物资</w:t>
            </w:r>
            <w:r>
              <w:rPr>
                <w:rFonts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应减少有毒有害物质的使用，避免有毒有害物质泄漏，</w:t>
            </w:r>
            <w:r>
              <w:rPr>
                <w:rFonts w:ascii="Times New Roman" w:hAnsi="Times New Roman" w:eastAsia="宋体"/>
                <w:sz w:val="18"/>
                <w:szCs w:val="18"/>
              </w:rPr>
              <w:t>应实现</w:t>
            </w:r>
            <w:r>
              <w:rPr>
                <w:rFonts w:hint="eastAsia" w:ascii="Times New Roman" w:hAnsi="Times New Roman" w:eastAsia="宋体"/>
                <w:sz w:val="18"/>
                <w:szCs w:val="18"/>
              </w:rPr>
              <w:t>有毒</w:t>
            </w:r>
            <w:r>
              <w:rPr>
                <w:rFonts w:ascii="Times New Roman" w:hAnsi="Times New Roman" w:eastAsia="宋体"/>
                <w:sz w:val="18"/>
                <w:szCs w:val="18"/>
              </w:rPr>
              <w:t>有害物质替代。</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喷涂工序或电泳工序应使用水性涂料，减少或杜绝溶剂型涂料和稀释剂的使用。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当客户需要时，影响客户提供产品的Rohs报告。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减碳</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应采用适用的标准或规范对产品进行碳足迹核算或核查。</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应利用核算或核查结果对其产品的碳足迹进行改善。核算或核查结果应对外公布。</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回收利用</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应加强</w:t>
            </w:r>
            <w:r>
              <w:rPr>
                <w:rFonts w:hint="eastAsia" w:ascii="Times New Roman" w:hAnsi="Times New Roman" w:eastAsia="宋体"/>
                <w:sz w:val="18"/>
                <w:szCs w:val="18"/>
              </w:rPr>
              <w:t>废却半成品、废却产品等</w:t>
            </w:r>
            <w:r>
              <w:rPr>
                <w:rFonts w:ascii="Times New Roman" w:hAnsi="Times New Roman" w:eastAsia="宋体"/>
                <w:sz w:val="18"/>
                <w:szCs w:val="18"/>
              </w:rPr>
              <w:t>资源综合利用，提高二次资源应用。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零整</w:t>
            </w:r>
          </w:p>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应加强水资源管理，并加强城市中水、海水、雨水等非常规水资源利用，</w:t>
            </w:r>
            <w:r>
              <w:rPr>
                <w:rFonts w:hint="eastAsia" w:ascii="Times New Roman" w:hAnsi="Times New Roman" w:eastAsia="宋体"/>
                <w:sz w:val="18"/>
                <w:szCs w:val="18"/>
              </w:rPr>
              <w:t>开展RO纯水制备产生的浓水的回收利用，</w:t>
            </w:r>
            <w:r>
              <w:rPr>
                <w:rFonts w:ascii="Times New Roman" w:hAnsi="Times New Roman" w:eastAsia="宋体"/>
                <w:sz w:val="18"/>
                <w:szCs w:val="18"/>
              </w:rPr>
              <w:t>减少淡水资源消耗。</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必要时</w:t>
            </w:r>
            <w:r>
              <w:rPr>
                <w:rFonts w:ascii="Times New Roman" w:hAnsi="Times New Roman" w:eastAsia="宋体"/>
                <w:sz w:val="18"/>
                <w:szCs w:val="18"/>
              </w:rPr>
              <w:t>，应按照GB/T 20862的要求计算其产品的可回收利用率，并应利用计算结果对产品的可回收利用率进行改善。</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bottom"/>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1158" w:type="dxa"/>
            <w:vMerge w:val="restart"/>
            <w:vAlign w:val="bottom"/>
          </w:tcPr>
          <w:p>
            <w:pPr>
              <w:adjustRightInd w:val="0"/>
              <w:snapToGrid w:val="0"/>
              <w:spacing w:line="240" w:lineRule="auto"/>
              <w:rPr>
                <w:rFonts w:ascii="Times New Roman" w:hAnsi="Times New Roman"/>
                <w:sz w:val="18"/>
                <w:szCs w:val="18"/>
              </w:rPr>
            </w:pPr>
            <w:r>
              <w:rPr>
                <w:rFonts w:ascii="Times New Roman" w:hAnsi="Times New Roman"/>
                <w:sz w:val="18"/>
                <w:szCs w:val="18"/>
              </w:rPr>
              <w:t>环境排放</w:t>
            </w:r>
          </w:p>
        </w:tc>
        <w:tc>
          <w:tcPr>
            <w:tcW w:w="1193" w:type="dxa"/>
            <w:vMerge w:val="restart"/>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排污许可证</w:t>
            </w:r>
          </w:p>
        </w:tc>
        <w:tc>
          <w:tcPr>
            <w:tcW w:w="6754" w:type="dxa"/>
            <w:vAlign w:val="center"/>
          </w:tcPr>
          <w:p>
            <w:pPr>
              <w:pStyle w:val="29"/>
              <w:adjustRightInd w:val="0"/>
              <w:snapToGrid w:val="0"/>
              <w:ind w:firstLine="0" w:firstLineChars="0"/>
              <w:rPr>
                <w:rFonts w:ascii="Times New Roman"/>
                <w:sz w:val="18"/>
                <w:szCs w:val="18"/>
              </w:rPr>
            </w:pPr>
            <w:r>
              <w:rPr>
                <w:rFonts w:hint="eastAsia" w:ascii="Times New Roman"/>
                <w:sz w:val="18"/>
                <w:szCs w:val="18"/>
              </w:rPr>
              <w:t>应按照《固定污染源排污许可分类管理目录》和《HJ</w:t>
            </w:r>
            <w:r>
              <w:rPr>
                <w:rFonts w:ascii="Times New Roman"/>
                <w:sz w:val="18"/>
                <w:szCs w:val="18"/>
              </w:rPr>
              <w:t xml:space="preserve">1031-2019 </w:t>
            </w:r>
            <w:r>
              <w:rPr>
                <w:rFonts w:hint="eastAsia" w:ascii="Times New Roman"/>
                <w:sz w:val="18"/>
                <w:szCs w:val="18"/>
              </w:rPr>
              <w:t>排污许可证申请与核发技术规范 电子工业》的要求，按时取得排污许可证。</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15</w:t>
            </w:r>
          </w:p>
        </w:tc>
        <w:tc>
          <w:tcPr>
            <w:tcW w:w="708"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25</w:t>
            </w:r>
            <w:r>
              <w:rPr>
                <w:rFonts w:ascii="Times New Roman" w:hAnsi="Times New Roman"/>
                <w:sz w:val="18"/>
                <w:szCs w:val="18"/>
              </w:rPr>
              <w:t>%</w:t>
            </w: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严格按照国家《排污许可管理条例》实施管理。</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环境应急</w:t>
            </w:r>
          </w:p>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预案</w:t>
            </w: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应编制企业环境应急预案，并通过环保局备案。</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按照应急预案的要求，每年组织实施消防和危化品泄露应急演练，并形成记录。</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大气污染物</w:t>
            </w:r>
          </w:p>
        </w:tc>
        <w:tc>
          <w:tcPr>
            <w:tcW w:w="6754" w:type="dxa"/>
            <w:vAlign w:val="center"/>
          </w:tcPr>
          <w:p>
            <w:pPr>
              <w:pStyle w:val="31"/>
              <w:spacing w:line="240" w:lineRule="auto"/>
              <w:jc w:val="both"/>
              <w:rPr>
                <w:rFonts w:ascii="Times New Roman" w:hAnsi="Times New Roman" w:eastAsia="宋体"/>
                <w:sz w:val="18"/>
                <w:szCs w:val="18"/>
              </w:rPr>
            </w:pPr>
            <w:r>
              <w:rPr>
                <w:rFonts w:ascii="Times New Roman" w:hAnsi="Times New Roman" w:eastAsia="宋体"/>
                <w:sz w:val="18"/>
                <w:szCs w:val="18"/>
              </w:rPr>
              <w:t>大气污染物排放应符合相关国家标准、行业标准及地方标准要求，并满足区域内排放总量控制要求。</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水污染物</w:t>
            </w:r>
          </w:p>
        </w:tc>
        <w:tc>
          <w:tcPr>
            <w:tcW w:w="6754" w:type="dxa"/>
            <w:vAlign w:val="center"/>
          </w:tcPr>
          <w:p>
            <w:pPr>
              <w:pStyle w:val="31"/>
              <w:spacing w:line="240" w:lineRule="auto"/>
              <w:jc w:val="both"/>
              <w:rPr>
                <w:rFonts w:ascii="Times New Roman" w:hAnsi="Times New Roman" w:eastAsia="宋体"/>
                <w:sz w:val="18"/>
                <w:szCs w:val="18"/>
              </w:rPr>
            </w:pPr>
            <w:r>
              <w:rPr>
                <w:rFonts w:ascii="Times New Roman" w:hAnsi="Times New Roman" w:eastAsia="宋体"/>
                <w:sz w:val="18"/>
                <w:szCs w:val="18"/>
              </w:rPr>
              <w:t>水污染物排放应符合相关国家标准、行业标准及地方标准要求，并满足区域内排放总量控制要求。</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工业</w:t>
            </w:r>
            <w:r>
              <w:rPr>
                <w:rFonts w:ascii="Times New Roman" w:hAnsi="Times New Roman" w:eastAsia="宋体"/>
                <w:sz w:val="18"/>
                <w:szCs w:val="18"/>
              </w:rPr>
              <w:t>固体废物</w:t>
            </w:r>
          </w:p>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ascii="Times New Roman" w:hAnsi="Times New Roman" w:eastAsia="宋体"/>
                <w:sz w:val="18"/>
                <w:szCs w:val="18"/>
              </w:rPr>
              <w:t>工厂一般工业固体废物的处置应符合GB 18599及相关标准的要求。工厂无法自行处理的，应将固体废物转交给具备相应能力和资质的处理单位进行处理。</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工厂应按照国家相关法律法规规定对危险废弃物进行严格管理。工厂无处理能力和资质的，应将危险废弃物转移至具有相应能力和资质的危废处置单位进行处理。</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建立完善的一般工业固体废物和危险废弃物管理制度并形成台账，落实责任到人。</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制定切实可行的计划，逐年减少工业固体废物的排放量。</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必要时，调漆或者清洗过程中产生的废稀释剂，应回收再利用。</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危险废弃物的回收或者处置率为1</w:t>
            </w:r>
            <w:r>
              <w:rPr>
                <w:rFonts w:ascii="Times New Roman" w:hAnsi="Times New Roman" w:eastAsia="宋体"/>
                <w:sz w:val="18"/>
                <w:szCs w:val="18"/>
              </w:rPr>
              <w:t>00%</w:t>
            </w:r>
            <w:r>
              <w:rPr>
                <w:rFonts w:hint="eastAsia"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噪声</w:t>
            </w: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厂界环境噪声排放应符合GB 12348的要求。</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57"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温室气体</w:t>
            </w:r>
          </w:p>
        </w:tc>
        <w:tc>
          <w:tcPr>
            <w:tcW w:w="6754" w:type="dxa"/>
            <w:tcBorders>
              <w:bottom w:val="single" w:color="auto" w:sz="4" w:space="0"/>
            </w:tcBorders>
            <w:vAlign w:val="center"/>
          </w:tcPr>
          <w:p>
            <w:pPr>
              <w:pStyle w:val="31"/>
              <w:jc w:val="both"/>
              <w:rPr>
                <w:rFonts w:ascii="Times New Roman" w:hAnsi="Times New Roman" w:eastAsia="宋体"/>
                <w:sz w:val="18"/>
                <w:szCs w:val="18"/>
              </w:rPr>
            </w:pPr>
            <w:r>
              <w:rPr>
                <w:rFonts w:ascii="Times New Roman" w:hAnsi="Times New Roman" w:eastAsia="宋体"/>
                <w:sz w:val="18"/>
                <w:szCs w:val="18"/>
              </w:rPr>
              <w:t>应采用GB/T 32150或适用的标准或规范对其厂界范围内的温室气体排放进行核算和报告。</w:t>
            </w:r>
          </w:p>
        </w:tc>
        <w:tc>
          <w:tcPr>
            <w:tcW w:w="1418" w:type="dxa"/>
            <w:tcBorders>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tcBorders>
              <w:bottom w:val="nil"/>
            </w:tcBorders>
            <w:vAlign w:val="center"/>
          </w:tcPr>
          <w:p>
            <w:pPr>
              <w:adjustRightInd w:val="0"/>
              <w:snapToGrid w:val="0"/>
              <w:spacing w:line="240" w:lineRule="auto"/>
              <w:jc w:val="center"/>
              <w:rPr>
                <w:rFonts w:ascii="Times New Roman" w:hAnsi="Times New Roman"/>
                <w:sz w:val="18"/>
                <w:szCs w:val="18"/>
              </w:rPr>
            </w:pPr>
          </w:p>
        </w:tc>
        <w:tc>
          <w:tcPr>
            <w:tcW w:w="709" w:type="dxa"/>
            <w:tcBorders>
              <w:bottom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5"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获得温室气体排放量第三方</w:t>
            </w:r>
            <w:r>
              <w:rPr>
                <w:rFonts w:hint="eastAsia" w:ascii="Times New Roman" w:hAnsi="Times New Roman" w:eastAsia="宋体"/>
                <w:sz w:val="18"/>
                <w:szCs w:val="18"/>
              </w:rPr>
              <w:t>核算和报告</w:t>
            </w:r>
            <w:r>
              <w:rPr>
                <w:rFonts w:ascii="Times New Roman" w:hAnsi="Times New Roman" w:eastAsia="宋体"/>
                <w:sz w:val="18"/>
                <w:szCs w:val="18"/>
              </w:rPr>
              <w:t>。</w:t>
            </w:r>
            <w:r>
              <w:rPr>
                <w:rFonts w:hint="eastAsia" w:ascii="Times New Roman" w:hAnsi="Times New Roman" w:eastAsia="宋体"/>
                <w:sz w:val="18"/>
                <w:szCs w:val="18"/>
              </w:rPr>
              <w:t>温室气体报告应每年</w:t>
            </w:r>
            <w:r>
              <w:rPr>
                <w:rFonts w:ascii="Times New Roman" w:hAnsi="Times New Roman" w:eastAsia="宋体"/>
                <w:sz w:val="18"/>
                <w:szCs w:val="18"/>
              </w:rPr>
              <w:t>对外公布。</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restart"/>
            <w:tcBorders>
              <w:top w:val="nil"/>
            </w:tcBorders>
            <w:vAlign w:val="center"/>
          </w:tcPr>
          <w:p>
            <w:pPr>
              <w:adjustRightInd w:val="0"/>
              <w:snapToGrid w:val="0"/>
              <w:jc w:val="center"/>
              <w:rPr>
                <w:rFonts w:ascii="Times New Roman" w:hAnsi="Times New Roman"/>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6"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应</w:t>
            </w:r>
            <w:r>
              <w:rPr>
                <w:rFonts w:ascii="Times New Roman" w:hAnsi="Times New Roman" w:eastAsia="宋体"/>
                <w:sz w:val="18"/>
                <w:szCs w:val="18"/>
              </w:rPr>
              <w:t>利用核查结果对其温室气体的排放进行改善。</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jc w:val="center"/>
              <w:rPr>
                <w:rFonts w:ascii="Times New Roman" w:hAnsi="Times New Roman"/>
                <w:sz w:val="18"/>
                <w:szCs w:val="18"/>
              </w:rPr>
            </w:pPr>
          </w:p>
        </w:tc>
        <w:tc>
          <w:tcPr>
            <w:tcW w:w="709" w:type="dxa"/>
            <w:tcBorders>
              <w:top w:val="single" w:color="auto" w:sz="4" w:space="0"/>
              <w:bottom w:val="single" w:color="auto" w:sz="4" w:space="0"/>
            </w:tcBorders>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环境监测</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工厂应按照国家或地方的法律法规要求开展环境监测工作，并将监测结果进行公示。</w:t>
            </w:r>
          </w:p>
        </w:tc>
        <w:tc>
          <w:tcPr>
            <w:tcW w:w="1418" w:type="dxa"/>
            <w:vAlign w:val="center"/>
          </w:tcPr>
          <w:p>
            <w:pPr>
              <w:pStyle w:val="31"/>
              <w:spacing w:line="240" w:lineRule="auto"/>
              <w:rPr>
                <w:rFonts w:ascii="Times New Roman" w:hAnsi="Times New Roman" w:eastAsia="宋体"/>
                <w:sz w:val="18"/>
                <w:szCs w:val="18"/>
              </w:rPr>
            </w:pPr>
          </w:p>
        </w:tc>
        <w:tc>
          <w:tcPr>
            <w:tcW w:w="992" w:type="dxa"/>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1158" w:type="dxa"/>
            <w:vMerge w:val="restart"/>
            <w:vAlign w:val="center"/>
          </w:tcPr>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p>
          <w:p>
            <w:pPr>
              <w:pStyle w:val="31"/>
              <w:spacing w:line="240" w:lineRule="auto"/>
              <w:rPr>
                <w:rFonts w:ascii="Times New Roman" w:hAnsi="Times New Roman" w:eastAsia="宋体"/>
                <w:sz w:val="18"/>
                <w:szCs w:val="18"/>
              </w:rPr>
            </w:pPr>
            <w:r>
              <w:rPr>
                <w:rFonts w:ascii="Times New Roman" w:hAnsi="Times New Roman" w:eastAsia="宋体"/>
                <w:sz w:val="18"/>
                <w:szCs w:val="18"/>
              </w:rPr>
              <w:t>绩效</w:t>
            </w: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用地集约化</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计算工厂容积率，指标应符合项目属地工业项目控制指标中的要求。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restart"/>
            <w:vAlign w:val="center"/>
          </w:tcPr>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25</w:t>
            </w:r>
            <w:r>
              <w:rPr>
                <w:rFonts w:ascii="Times New Roman" w:hAnsi="Times New Roman"/>
                <w:sz w:val="18"/>
                <w:szCs w:val="18"/>
              </w:rPr>
              <w:t>%</w:t>
            </w: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计算工厂容积率，指标达到地方要求的</w:t>
            </w:r>
            <w:r>
              <w:rPr>
                <w:rFonts w:ascii="Times New Roman" w:hAnsi="Times New Roman" w:eastAsia="宋体"/>
                <w:sz w:val="18"/>
                <w:szCs w:val="18"/>
              </w:rPr>
              <w:t>1.2</w:t>
            </w:r>
            <w:r>
              <w:rPr>
                <w:rFonts w:hint="eastAsia" w:ascii="Times New Roman" w:hAnsi="Times New Roman" w:eastAsia="宋体"/>
                <w:sz w:val="18"/>
                <w:szCs w:val="18"/>
              </w:rPr>
              <w:t>倍及以上。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计算工厂容积率，指标达到地方要求</w:t>
            </w:r>
            <w:r>
              <w:rPr>
                <w:rFonts w:ascii="Times New Roman" w:hAnsi="Times New Roman" w:eastAsia="宋体"/>
                <w:sz w:val="18"/>
                <w:szCs w:val="18"/>
              </w:rPr>
              <w:t>1.5</w:t>
            </w:r>
            <w:r>
              <w:rPr>
                <w:rFonts w:hint="eastAsia" w:ascii="Times New Roman" w:hAnsi="Times New Roman" w:eastAsia="宋体"/>
                <w:sz w:val="18"/>
                <w:szCs w:val="18"/>
              </w:rPr>
              <w:t>倍及以上。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计算工厂建筑密度，指标符合项目属地工业项目控制指标中的要求。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按照</w:t>
            </w:r>
            <w:r>
              <w:rPr>
                <w:rFonts w:ascii="Times New Roman" w:hAnsi="Times New Roman" w:eastAsia="宋体"/>
                <w:sz w:val="18"/>
                <w:szCs w:val="18"/>
              </w:rPr>
              <w:t>GB/T 36132</w:t>
            </w:r>
            <w:r>
              <w:rPr>
                <w:rFonts w:hint="eastAsia" w:ascii="Times New Roman" w:hAnsi="Times New Roman" w:eastAsia="宋体"/>
                <w:sz w:val="18"/>
                <w:szCs w:val="18"/>
              </w:rPr>
              <w:t>附录</w:t>
            </w:r>
            <w:r>
              <w:rPr>
                <w:rFonts w:ascii="Times New Roman" w:hAnsi="Times New Roman" w:eastAsia="宋体"/>
                <w:sz w:val="18"/>
                <w:szCs w:val="18"/>
              </w:rPr>
              <w:t>A</w:t>
            </w:r>
            <w:r>
              <w:rPr>
                <w:rFonts w:hint="eastAsia" w:ascii="Times New Roman" w:hAnsi="Times New Roman" w:eastAsia="宋体"/>
                <w:sz w:val="18"/>
                <w:szCs w:val="18"/>
              </w:rPr>
              <w:t>计算工厂建筑密度，建筑密度达到</w:t>
            </w:r>
            <w:r>
              <w:rPr>
                <w:rFonts w:ascii="Times New Roman" w:hAnsi="Times New Roman" w:eastAsia="宋体"/>
                <w:sz w:val="18"/>
                <w:szCs w:val="18"/>
              </w:rPr>
              <w:t>50%</w:t>
            </w:r>
            <w:r>
              <w:rPr>
                <w:rFonts w:hint="eastAsia" w:ascii="Times New Roman" w:hAnsi="Times New Roman" w:eastAsia="宋体"/>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工厂的单位用地面积产值不应低于地方发布的单位用地面积产值的要求；未发布单位用地面积产值的地区，单位用地面积产值应超过本年度所在省市的单位用地面积产值。</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单位用地面积产值达到地方发布的单位用地面积产值的要求的</w:t>
            </w:r>
            <w:r>
              <w:rPr>
                <w:rFonts w:ascii="Times New Roman" w:hAnsi="Times New Roman" w:eastAsia="宋体"/>
                <w:sz w:val="18"/>
                <w:szCs w:val="18"/>
              </w:rPr>
              <w:t>1.2</w:t>
            </w:r>
            <w:r>
              <w:rPr>
                <w:rFonts w:hint="eastAsia" w:ascii="Times New Roman" w:hAnsi="Times New Roman" w:eastAsia="宋体"/>
                <w:sz w:val="18"/>
                <w:szCs w:val="18"/>
              </w:rPr>
              <w:t>倍及以上；未发布单位用地面积产值的地区，单位用地面积产值达到本年度所在省市的单位用地面积产值</w:t>
            </w:r>
            <w:r>
              <w:rPr>
                <w:rFonts w:ascii="Times New Roman" w:hAnsi="Times New Roman" w:eastAsia="宋体"/>
                <w:sz w:val="18"/>
                <w:szCs w:val="18"/>
              </w:rPr>
              <w:t>1.2</w:t>
            </w:r>
            <w:r>
              <w:rPr>
                <w:rFonts w:hint="eastAsia" w:ascii="Times New Roman" w:hAnsi="Times New Roman" w:eastAsia="宋体"/>
                <w:sz w:val="18"/>
                <w:szCs w:val="18"/>
              </w:rPr>
              <w:t>倍及以上。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单位用地面积产值达到地方发布的单位用地面积产值的要求的</w:t>
            </w:r>
            <w:r>
              <w:rPr>
                <w:rFonts w:ascii="Times New Roman" w:hAnsi="Times New Roman" w:eastAsia="宋体"/>
                <w:sz w:val="18"/>
                <w:szCs w:val="18"/>
              </w:rPr>
              <w:t>2</w:t>
            </w:r>
            <w:r>
              <w:rPr>
                <w:rFonts w:hint="eastAsia" w:ascii="Times New Roman" w:hAnsi="Times New Roman" w:eastAsia="宋体"/>
                <w:sz w:val="18"/>
                <w:szCs w:val="18"/>
              </w:rPr>
              <w:t>倍及以上，未发布单位用地面积产值的地区，单位用地面积产值达到本年度所在省市的单位用地面积产值</w:t>
            </w:r>
            <w:r>
              <w:rPr>
                <w:rFonts w:ascii="Times New Roman" w:hAnsi="Times New Roman" w:eastAsia="宋体"/>
                <w:sz w:val="18"/>
                <w:szCs w:val="18"/>
              </w:rPr>
              <w:t>2</w:t>
            </w:r>
            <w:r>
              <w:rPr>
                <w:rFonts w:hint="eastAsia" w:ascii="Times New Roman" w:hAnsi="Times New Roman" w:eastAsia="宋体"/>
                <w:sz w:val="18"/>
                <w:szCs w:val="18"/>
              </w:rPr>
              <w:t>倍及以上。</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原料</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无害化</w:t>
            </w:r>
          </w:p>
        </w:tc>
        <w:tc>
          <w:tcPr>
            <w:tcW w:w="6754" w:type="dxa"/>
            <w:vAlign w:val="center"/>
          </w:tcPr>
          <w:p>
            <w:pPr>
              <w:pStyle w:val="31"/>
              <w:spacing w:line="240" w:lineRule="auto"/>
              <w:jc w:val="both"/>
              <w:rPr>
                <w:rFonts w:ascii="Times New Roman" w:hAnsi="Times New Roman" w:eastAsia="宋体"/>
                <w:sz w:val="18"/>
                <w:szCs w:val="18"/>
              </w:rPr>
            </w:pPr>
            <w:r>
              <w:rPr>
                <w:rFonts w:ascii="Times New Roman" w:hAnsi="Times New Roman" w:eastAsia="宋体"/>
                <w:sz w:val="18"/>
                <w:szCs w:val="18"/>
              </w:rPr>
              <w:t>工厂应逐年降低有毒有害物质的使用率，</w:t>
            </w:r>
            <w:r>
              <w:rPr>
                <w:rFonts w:hint="eastAsia" w:ascii="Times New Roman" w:hAnsi="Times New Roman" w:eastAsia="宋体"/>
                <w:sz w:val="18"/>
                <w:szCs w:val="18"/>
              </w:rPr>
              <w:t>制定规划并跟踪实施，</w:t>
            </w:r>
            <w:r>
              <w:rPr>
                <w:rFonts w:ascii="Times New Roman" w:hAnsi="Times New Roman" w:eastAsia="宋体"/>
                <w:sz w:val="18"/>
                <w:szCs w:val="18"/>
              </w:rPr>
              <w:t>实现有毒有害物质替代。</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应使用工厂内回收的磁粉、颗粒料、磁体半成品等作为原材料进行资源综合利用，减少原辅材料使用量。</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ascii="Times New Roman" w:hAnsi="Times New Roman" w:eastAsia="宋体"/>
                <w:sz w:val="18"/>
                <w:szCs w:val="18"/>
              </w:rPr>
              <w:t>物料应选自有毒有害原料（产品）替代目录，或利用再生资源及产业废弃物等作为原料。</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pStyle w:val="31"/>
              <w:spacing w:line="240" w:lineRule="auto"/>
              <w:jc w:val="center"/>
              <w:rPr>
                <w:rFonts w:ascii="Times New Roman" w:hAnsi="Times New Roman" w:eastAsia="宋体"/>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工厂内产生的钕铁硼废料应1</w:t>
            </w:r>
            <w:r>
              <w:rPr>
                <w:rFonts w:ascii="Times New Roman" w:hAnsi="Times New Roman" w:eastAsia="宋体"/>
                <w:sz w:val="18"/>
                <w:szCs w:val="18"/>
              </w:rPr>
              <w:t>00</w:t>
            </w:r>
            <w:r>
              <w:rPr>
                <w:rFonts w:hint="eastAsia" w:ascii="Times New Roman" w:hAnsi="Times New Roman" w:eastAsia="宋体"/>
                <w:sz w:val="18"/>
                <w:szCs w:val="18"/>
              </w:rPr>
              <w:t>%回收。</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生产</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洁净化</w:t>
            </w: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所有产品单位产品固体污染物产生量达到II级要求。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p>
            <w:pPr>
              <w:pStyle w:val="31"/>
              <w:spacing w:line="240" w:lineRule="auto"/>
              <w:jc w:val="center"/>
              <w:rPr>
                <w:rFonts w:ascii="Times New Roman" w:hAnsi="Times New Roman" w:eastAsia="宋体"/>
                <w:sz w:val="18"/>
                <w:szCs w:val="18"/>
              </w:rPr>
            </w:pPr>
          </w:p>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所有产品单位产品固体污染物产生量应逐年减少。</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所有产品单位产品废气产生量达到II级要求。</w:t>
            </w:r>
          </w:p>
        </w:tc>
        <w:tc>
          <w:tcPr>
            <w:tcW w:w="1418" w:type="dxa"/>
            <w:tcBorders>
              <w:top w:val="single" w:color="auto" w:sz="4" w:space="0"/>
              <w:bottom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所有产品单位产品废气产生量应逐年减少。</w:t>
            </w:r>
          </w:p>
        </w:tc>
        <w:tc>
          <w:tcPr>
            <w:tcW w:w="1418" w:type="dxa"/>
            <w:tcBorders>
              <w:top w:val="single" w:color="auto" w:sz="4" w:space="0"/>
            </w:tcBorders>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hint="eastAsia" w:ascii="Times New Roman" w:hAnsi="Times New Roman" w:eastAsia="宋体"/>
                <w:sz w:val="18"/>
                <w:szCs w:val="18"/>
              </w:rPr>
              <w:t>所有产品单位产品废水指标达到II级要求。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所有产品单位产品废水产生量应逐年减少。</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adjustRightInd w:val="0"/>
              <w:snapToGrid w:val="0"/>
              <w:spacing w:line="240" w:lineRule="auto"/>
              <w:ind w:firstLine="360" w:firstLineChars="200"/>
              <w:rPr>
                <w:rFonts w:ascii="Times New Roman" w:hAnsi="Times New Roman"/>
                <w:sz w:val="18"/>
                <w:szCs w:val="18"/>
              </w:rPr>
            </w:pPr>
            <w:r>
              <w:rPr>
                <w:rFonts w:ascii="Times New Roman" w:hAnsi="Times New Roman"/>
                <w:sz w:val="18"/>
                <w:szCs w:val="18"/>
              </w:rPr>
              <w:t>资源</w:t>
            </w:r>
          </w:p>
          <w:p>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利用</w:t>
            </w:r>
            <w:r>
              <w:rPr>
                <w:rFonts w:ascii="Times New Roman" w:hAnsi="Times New Roman"/>
                <w:sz w:val="18"/>
                <w:szCs w:val="18"/>
              </w:rPr>
              <w:t>化</w:t>
            </w: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所有产品单位产品资源综合利用指标达到II级要求。</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jc w:val="both"/>
              <w:rPr>
                <w:rFonts w:ascii="Times New Roman" w:hAnsi="Times New Roman" w:eastAsia="宋体"/>
                <w:sz w:val="18"/>
                <w:szCs w:val="18"/>
              </w:rPr>
            </w:pPr>
            <w:r>
              <w:rPr>
                <w:rFonts w:hint="eastAsia" w:ascii="Times New Roman" w:hAnsi="Times New Roman" w:eastAsia="宋体"/>
                <w:sz w:val="18"/>
                <w:szCs w:val="18"/>
              </w:rPr>
              <w:t>单位产品主要原材料消耗量应逐年减少。</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bookmarkStart w:id="256" w:name="_Hlk23774040"/>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restart"/>
            <w:vAlign w:val="center"/>
          </w:tcPr>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能源</w:t>
            </w:r>
          </w:p>
          <w:p>
            <w:pPr>
              <w:pStyle w:val="31"/>
              <w:spacing w:line="240" w:lineRule="auto"/>
              <w:jc w:val="center"/>
              <w:rPr>
                <w:rFonts w:ascii="Times New Roman" w:hAnsi="Times New Roman" w:eastAsia="宋体"/>
                <w:sz w:val="18"/>
                <w:szCs w:val="18"/>
              </w:rPr>
            </w:pPr>
            <w:r>
              <w:rPr>
                <w:rFonts w:ascii="Times New Roman" w:hAnsi="Times New Roman" w:eastAsia="宋体"/>
                <w:sz w:val="18"/>
                <w:szCs w:val="18"/>
              </w:rPr>
              <w:t>低碳化</w:t>
            </w:r>
          </w:p>
        </w:tc>
        <w:tc>
          <w:tcPr>
            <w:tcW w:w="6754" w:type="dxa"/>
            <w:vAlign w:val="center"/>
          </w:tcPr>
          <w:p>
            <w:pPr>
              <w:adjustRightInd w:val="0"/>
              <w:snapToGrid w:val="0"/>
              <w:spacing w:line="240" w:lineRule="auto"/>
              <w:rPr>
                <w:rFonts w:ascii="Times New Roman" w:hAnsi="Times New Roman"/>
                <w:sz w:val="18"/>
                <w:szCs w:val="18"/>
              </w:rPr>
            </w:pPr>
            <w:r>
              <w:rPr>
                <w:rFonts w:hint="eastAsia" w:cs="宋体"/>
                <w:color w:val="000000"/>
                <w:kern w:val="0"/>
                <w:sz w:val="18"/>
                <w:szCs w:val="18"/>
              </w:rPr>
              <w:t>所有产品单位产品综合能耗达到国家、行业标准中的准入值要求</w:t>
            </w:r>
            <w:r>
              <w:rPr>
                <w:rFonts w:ascii="Times New Roman" w:hAnsi="Times New Roman"/>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restart"/>
            <w:vAlign w:val="center"/>
          </w:tcPr>
          <w:p>
            <w:pPr>
              <w:pStyle w:val="31"/>
              <w:spacing w:line="240" w:lineRule="auto"/>
              <w:jc w:val="center"/>
              <w:rPr>
                <w:rFonts w:ascii="Times New Roman" w:hAnsi="Times New Roman" w:eastAsia="宋体"/>
                <w:sz w:val="18"/>
                <w:szCs w:val="18"/>
              </w:rPr>
            </w:pPr>
            <w:r>
              <w:rPr>
                <w:rFonts w:hint="eastAsia" w:ascii="Times New Roman" w:hAnsi="Times New Roman" w:eastAsia="宋体"/>
                <w:sz w:val="18"/>
                <w:szCs w:val="18"/>
              </w:rPr>
              <w:t>零整</w:t>
            </w: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adjustRightInd w:val="0"/>
              <w:snapToGrid w:val="0"/>
              <w:spacing w:line="240" w:lineRule="auto"/>
              <w:rPr>
                <w:rFonts w:ascii="Times New Roman" w:hAnsi="Times New Roman"/>
                <w:sz w:val="18"/>
                <w:szCs w:val="18"/>
              </w:rPr>
            </w:pPr>
            <w:r>
              <w:rPr>
                <w:rFonts w:hint="eastAsia" w:cs="宋体"/>
                <w:color w:val="000000"/>
                <w:kern w:val="0"/>
                <w:sz w:val="18"/>
                <w:szCs w:val="18"/>
              </w:rPr>
              <w:t>未指定相关标准的，每年单位产品能耗</w:t>
            </w:r>
            <w:r>
              <w:rPr>
                <w:rFonts w:hint="eastAsia" w:ascii="Times New Roman" w:hAnsi="Times New Roman"/>
                <w:sz w:val="18"/>
                <w:szCs w:val="18"/>
              </w:rPr>
              <w:t>应逐年</w:t>
            </w:r>
            <w:r>
              <w:rPr>
                <w:rFonts w:hint="eastAsia" w:ascii="Times New Roman" w:hAnsi="Times New Roman"/>
                <w:kern w:val="0"/>
                <w:sz w:val="18"/>
                <w:szCs w:val="18"/>
              </w:rPr>
              <w:t>减少</w:t>
            </w:r>
            <w:r>
              <w:rPr>
                <w:rFonts w:hint="eastAsia" w:cs="宋体"/>
                <w:color w:val="000000"/>
                <w:kern w:val="0"/>
                <w:sz w:val="18"/>
                <w:szCs w:val="18"/>
              </w:rPr>
              <w:t>。</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bookmarkStart w:id="257" w:name="RANGE!D134"/>
            <w:r>
              <w:rPr>
                <w:rFonts w:hint="eastAsia" w:eastAsia="宋体" w:cs="宋体"/>
                <w:color w:val="000000"/>
                <w:sz w:val="18"/>
                <w:szCs w:val="18"/>
              </w:rPr>
              <w:t>应按照</w:t>
            </w:r>
            <w:r>
              <w:rPr>
                <w:rFonts w:eastAsia="宋体" w:cs="宋体"/>
                <w:color w:val="000000"/>
                <w:sz w:val="18"/>
                <w:szCs w:val="18"/>
              </w:rPr>
              <w:t>GB/T 36132</w:t>
            </w:r>
            <w:r>
              <w:rPr>
                <w:rFonts w:hint="eastAsia" w:eastAsia="宋体" w:cs="宋体"/>
                <w:color w:val="000000"/>
                <w:sz w:val="18"/>
                <w:szCs w:val="18"/>
              </w:rPr>
              <w:t>附录</w:t>
            </w:r>
            <w:r>
              <w:rPr>
                <w:rFonts w:eastAsia="宋体" w:cs="宋体"/>
                <w:color w:val="000000"/>
                <w:sz w:val="18"/>
                <w:szCs w:val="18"/>
              </w:rPr>
              <w:t>A</w:t>
            </w:r>
            <w:r>
              <w:rPr>
                <w:rFonts w:hint="eastAsia" w:eastAsia="宋体" w:cs="宋体"/>
                <w:color w:val="000000"/>
                <w:sz w:val="18"/>
                <w:szCs w:val="18"/>
              </w:rPr>
              <w:t>计算单位产品碳排放量。</w:t>
            </w:r>
            <w:bookmarkEnd w:id="257"/>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671" w:type="dxa"/>
            <w:vMerge w:val="continue"/>
            <w:vAlign w:val="center"/>
          </w:tcPr>
          <w:p>
            <w:pPr>
              <w:adjustRightInd w:val="0"/>
              <w:snapToGrid w:val="0"/>
              <w:spacing w:line="240" w:lineRule="auto"/>
              <w:jc w:val="center"/>
              <w:rPr>
                <w:rFonts w:ascii="Times New Roman" w:hAnsi="Times New Roman"/>
                <w:sz w:val="18"/>
                <w:szCs w:val="18"/>
              </w:rPr>
            </w:pPr>
          </w:p>
        </w:tc>
        <w:tc>
          <w:tcPr>
            <w:tcW w:w="1158" w:type="dxa"/>
            <w:vMerge w:val="continue"/>
            <w:vAlign w:val="center"/>
          </w:tcPr>
          <w:p>
            <w:pPr>
              <w:adjustRightInd w:val="0"/>
              <w:snapToGrid w:val="0"/>
              <w:spacing w:line="240" w:lineRule="auto"/>
              <w:jc w:val="center"/>
              <w:rPr>
                <w:rFonts w:ascii="Times New Roman" w:hAnsi="Times New Roman"/>
                <w:sz w:val="18"/>
                <w:szCs w:val="18"/>
              </w:rPr>
            </w:pPr>
          </w:p>
        </w:tc>
        <w:tc>
          <w:tcPr>
            <w:tcW w:w="1193" w:type="dxa"/>
            <w:vMerge w:val="continue"/>
            <w:vAlign w:val="center"/>
          </w:tcPr>
          <w:p>
            <w:pPr>
              <w:adjustRightInd w:val="0"/>
              <w:snapToGrid w:val="0"/>
              <w:spacing w:line="240" w:lineRule="auto"/>
              <w:jc w:val="center"/>
              <w:rPr>
                <w:rFonts w:ascii="Times New Roman" w:hAnsi="Times New Roman"/>
                <w:sz w:val="18"/>
                <w:szCs w:val="18"/>
              </w:rPr>
            </w:pPr>
          </w:p>
        </w:tc>
        <w:tc>
          <w:tcPr>
            <w:tcW w:w="6754" w:type="dxa"/>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单位产品碳排放量，</w:t>
            </w:r>
            <w:r>
              <w:rPr>
                <w:rFonts w:hint="eastAsia" w:ascii="Times New Roman" w:hAnsi="Times New Roman" w:eastAsia="宋体"/>
                <w:sz w:val="18"/>
                <w:szCs w:val="18"/>
              </w:rPr>
              <w:t>需</w:t>
            </w:r>
            <w:r>
              <w:rPr>
                <w:rFonts w:ascii="Times New Roman" w:hAnsi="Times New Roman" w:eastAsia="宋体"/>
                <w:sz w:val="18"/>
                <w:szCs w:val="18"/>
              </w:rPr>
              <w:t>达到有关标准要求</w:t>
            </w:r>
            <w:r>
              <w:rPr>
                <w:rFonts w:hint="eastAsia" w:ascii="Times New Roman" w:hAnsi="Times New Roman" w:eastAsia="宋体"/>
                <w:sz w:val="18"/>
                <w:szCs w:val="18"/>
              </w:rPr>
              <w:t>，并</w:t>
            </w:r>
            <w:r>
              <w:rPr>
                <w:rFonts w:ascii="Times New Roman" w:hAnsi="Times New Roman" w:eastAsia="宋体"/>
                <w:sz w:val="18"/>
                <w:szCs w:val="18"/>
              </w:rPr>
              <w:t>应逐年下降。</w:t>
            </w:r>
          </w:p>
        </w:tc>
        <w:tc>
          <w:tcPr>
            <w:tcW w:w="1418" w:type="dxa"/>
            <w:vAlign w:val="center"/>
          </w:tcPr>
          <w:p>
            <w:pPr>
              <w:pStyle w:val="31"/>
              <w:spacing w:line="240" w:lineRule="auto"/>
              <w:rPr>
                <w:rFonts w:ascii="Times New Roman" w:hAnsi="Times New Roman" w:eastAsia="宋体"/>
                <w:sz w:val="18"/>
                <w:szCs w:val="18"/>
              </w:rPr>
            </w:pPr>
          </w:p>
        </w:tc>
        <w:tc>
          <w:tcPr>
            <w:tcW w:w="992" w:type="dxa"/>
            <w:vMerge w:val="continue"/>
            <w:vAlign w:val="center"/>
          </w:tcPr>
          <w:p>
            <w:pPr>
              <w:pStyle w:val="31"/>
              <w:spacing w:line="240" w:lineRule="auto"/>
              <w:jc w:val="center"/>
              <w:rPr>
                <w:rFonts w:ascii="Times New Roman" w:hAnsi="Times New Roman" w:eastAsia="宋体"/>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708" w:type="dxa"/>
            <w:vMerge w:val="continue"/>
            <w:vAlign w:val="center"/>
          </w:tcPr>
          <w:p>
            <w:pPr>
              <w:adjustRightInd w:val="0"/>
              <w:snapToGrid w:val="0"/>
              <w:spacing w:line="240" w:lineRule="auto"/>
              <w:jc w:val="center"/>
              <w:rPr>
                <w:rFonts w:ascii="Times New Roman" w:hAnsi="Times New Roman"/>
                <w:sz w:val="18"/>
                <w:szCs w:val="18"/>
              </w:rPr>
            </w:pPr>
          </w:p>
        </w:tc>
        <w:tc>
          <w:tcPr>
            <w:tcW w:w="709" w:type="dxa"/>
            <w:vAlign w:val="center"/>
          </w:tcPr>
          <w:p>
            <w:pPr>
              <w:adjustRightInd w:val="0"/>
              <w:snapToGrid w:val="0"/>
              <w:spacing w:line="240" w:lineRule="auto"/>
              <w:jc w:val="center"/>
              <w:rPr>
                <w:rFonts w:ascii="Times New Roman" w:hAnsi="Times New Roman"/>
                <w:sz w:val="18"/>
                <w:szCs w:val="18"/>
              </w:rPr>
            </w:pPr>
          </w:p>
        </w:tc>
      </w:tr>
      <w:bookmarkEnd w:id="256"/>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rPr>
        <w:tc>
          <w:tcPr>
            <w:tcW w:w="13603" w:type="dxa"/>
            <w:gridSpan w:val="8"/>
            <w:vAlign w:val="center"/>
          </w:tcPr>
          <w:p>
            <w:pPr>
              <w:pStyle w:val="31"/>
              <w:spacing w:line="240" w:lineRule="auto"/>
              <w:rPr>
                <w:rFonts w:ascii="Times New Roman" w:hAnsi="Times New Roman" w:eastAsia="宋体"/>
                <w:sz w:val="18"/>
                <w:szCs w:val="18"/>
              </w:rPr>
            </w:pPr>
            <w:r>
              <w:rPr>
                <w:rFonts w:ascii="Times New Roman" w:hAnsi="Times New Roman" w:eastAsia="宋体"/>
                <w:sz w:val="18"/>
                <w:szCs w:val="18"/>
              </w:rPr>
              <w:t>总分</w:t>
            </w:r>
          </w:p>
        </w:tc>
        <w:tc>
          <w:tcPr>
            <w:tcW w:w="709" w:type="dxa"/>
            <w:vAlign w:val="center"/>
          </w:tcPr>
          <w:p>
            <w:pPr>
              <w:adjustRightInd w:val="0"/>
              <w:snapToGrid w:val="0"/>
              <w:spacing w:line="240" w:lineRule="auto"/>
              <w:jc w:val="center"/>
              <w:rPr>
                <w:rFonts w:ascii="Times New Roman" w:hAnsi="Times New Roman"/>
                <w:sz w:val="18"/>
                <w:szCs w:val="18"/>
              </w:rPr>
            </w:pPr>
          </w:p>
        </w:tc>
      </w:tr>
      <w:bookmarkEnd w:id="254"/>
    </w:tbl>
    <w:p>
      <w:pPr>
        <w:keepNext/>
        <w:keepLines/>
        <w:adjustRightInd w:val="0"/>
        <w:snapToGrid w:val="0"/>
        <w:spacing w:before="100" w:after="90"/>
        <w:jc w:val="center"/>
        <w:outlineLvl w:val="0"/>
        <w:rPr>
          <w:rFonts w:ascii="黑体" w:hAnsi="黑体" w:eastAsia="黑体" w:cs="黑体"/>
          <w:bCs/>
          <w:kern w:val="44"/>
          <w:szCs w:val="44"/>
        </w:rPr>
      </w:pPr>
      <w:bookmarkStart w:id="258" w:name="_Toc86680273"/>
      <w:bookmarkStart w:id="259" w:name="_Toc54940612"/>
      <w:r>
        <w:rPr>
          <w:rFonts w:hint="eastAsia" w:ascii="黑体" w:hAnsi="黑体" w:eastAsia="黑体" w:cs="黑体"/>
          <w:bCs/>
          <w:kern w:val="44"/>
          <w:szCs w:val="44"/>
        </w:rPr>
        <w:t>附录 B</w:t>
      </w:r>
      <w:bookmarkEnd w:id="258"/>
      <w:bookmarkEnd w:id="259"/>
    </w:p>
    <w:p>
      <w:pPr>
        <w:jc w:val="center"/>
      </w:pPr>
      <w:r>
        <w:rPr>
          <w:rFonts w:hint="eastAsia"/>
        </w:rPr>
        <w:t>（规范性附录）</w:t>
      </w:r>
    </w:p>
    <w:p>
      <w:pPr>
        <w:adjustRightInd w:val="0"/>
        <w:snapToGrid w:val="0"/>
        <w:jc w:val="center"/>
        <w:rPr>
          <w:rFonts w:ascii="黑体" w:hAnsi="黑体" w:eastAsia="黑体" w:cs="黑体"/>
        </w:rPr>
      </w:pPr>
      <w:r>
        <w:rPr>
          <w:rFonts w:hint="eastAsia" w:ascii="黑体" w:hAnsi="黑体" w:eastAsia="黑体" w:cs="黑体"/>
        </w:rPr>
        <w:t>部分量化指标计算方法</w:t>
      </w:r>
    </w:p>
    <w:p>
      <w:pPr>
        <w:rPr>
          <w:rFonts w:ascii="黑体" w:hAnsi="黑体" w:eastAsia="黑体"/>
        </w:rPr>
      </w:pPr>
      <w:r>
        <w:rPr>
          <w:rFonts w:hint="eastAsia" w:ascii="黑体" w:hAnsi="黑体" w:eastAsia="黑体"/>
        </w:rPr>
        <w:t>B</w:t>
      </w:r>
      <w:r>
        <w:rPr>
          <w:rFonts w:ascii="黑体" w:hAnsi="黑体" w:eastAsia="黑体"/>
        </w:rPr>
        <w:t>.1</w:t>
      </w:r>
      <w:r>
        <w:rPr>
          <w:rFonts w:hint="eastAsia" w:ascii="黑体" w:hAnsi="黑体" w:eastAsia="黑体"/>
        </w:rPr>
        <w:t>建筑结构评分</w:t>
      </w:r>
    </w:p>
    <w:p>
      <w:r>
        <w:rPr>
          <w:rFonts w:hint="eastAsia"/>
        </w:rPr>
        <w:t>建筑结构评分按公式（B</w:t>
      </w:r>
      <w:r>
        <w:t>1</w:t>
      </w:r>
      <w:r>
        <w:rPr>
          <w:rFonts w:hint="eastAsia"/>
        </w:rPr>
        <w:t>）计算。</w:t>
      </w:r>
    </w:p>
    <w:p>
      <w:pPr>
        <w:ind w:left="1701" w:leftChars="810"/>
        <w:jc w:val="center"/>
      </w:pPr>
      <m:oMath>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hint="eastAsia" w:ascii="Cambria Math" w:hAnsi="Cambria Math"/>
                      </w:rPr>
                      <m:t>总</m:t>
                    </m:r>
                    <m:ctrlPr>
                      <w:rPr>
                        <w:rFonts w:ascii="Cambria Math" w:hAnsi="Cambria Math"/>
                        <w:i/>
                      </w:rPr>
                    </m:ctrlPr>
                  </m:sub>
                </m:sSub>
                <m:ctrlPr>
                  <w:rPr>
                    <w:rFonts w:ascii="Cambria Math" w:hAnsi="Cambria Math"/>
                    <w:i/>
                  </w:rPr>
                </m:ctrlPr>
              </m:den>
            </m:f>
            <m:r>
              <m:rPr/>
              <w:rPr>
                <w:rFonts w:ascii="Cambria Math" w:hAnsi="Cambria Math"/>
              </w:rPr>
              <m:t>×</m:t>
            </m:r>
            <m:r>
              <m:rPr/>
              <w:rPr>
                <w:rFonts w:hint="eastAsia" w:ascii="Cambria Math" w:hAnsi="Cambria Math"/>
              </w:rPr>
              <m:t>3</m:t>
            </m:r>
            <m:ctrlPr>
              <w:rPr>
                <w:rFonts w:ascii="Cambria Math" w:hAnsi="Cambria Math"/>
                <w:i/>
              </w:rPr>
            </m:ctrlPr>
          </m:e>
        </m:d>
      </m:oMath>
      <w:r>
        <w:rPr>
          <w:rFonts w:hint="eastAsia"/>
        </w:rPr>
        <w:t xml:space="preserve"> </w:t>
      </w:r>
      <w:r>
        <w:t xml:space="preserve">    ………………(B1)</w:t>
      </w:r>
    </w:p>
    <w:p>
      <w:pPr>
        <w:ind w:firstLine="420" w:firstLineChars="200"/>
      </w:pPr>
      <w:r>
        <w:rPr>
          <w:rFonts w:hint="eastAsia"/>
        </w:rPr>
        <w:t>式中：</w:t>
      </w:r>
    </w:p>
    <w:p>
      <w:pPr>
        <w:ind w:firstLine="420" w:firstLineChars="200"/>
      </w:pPr>
      <w:r>
        <w:rPr>
          <w:rFonts w:hint="eastAsia"/>
        </w:rPr>
        <w:t>Y</w:t>
      </w:r>
      <w:r>
        <w:rPr>
          <w:vertAlign w:val="subscript"/>
        </w:rPr>
        <w:t>1</w:t>
      </w:r>
      <w:r>
        <w:rPr>
          <w:rFonts w:hint="eastAsia"/>
        </w:rPr>
        <w:t>——该——项分值，取整数；</w:t>
      </w:r>
    </w:p>
    <w:p>
      <w:pPr>
        <w:ind w:firstLine="420" w:firstLineChars="200"/>
      </w:pPr>
      <w:r>
        <w:rPr>
          <w:rFonts w:hint="eastAsia"/>
        </w:rPr>
        <w:t>S</w:t>
      </w:r>
      <w:r>
        <w:rPr>
          <w:vertAlign w:val="subscript"/>
        </w:rPr>
        <w:t>1</w:t>
      </w:r>
      <w:r>
        <w:rPr>
          <w:rFonts w:hint="eastAsia"/>
        </w:rPr>
        <w:t>——采用钢结构、砌体结构和木结构等资源消耗和环境影响小的建筑结构的面积；</w:t>
      </w:r>
    </w:p>
    <w:p>
      <w:pPr>
        <w:ind w:firstLine="420" w:firstLineChars="200"/>
      </w:pPr>
      <w:r>
        <w:rPr>
          <w:rFonts w:hint="eastAsia"/>
        </w:rPr>
        <w:t>S</w:t>
      </w:r>
      <w:r>
        <w:rPr>
          <w:rFonts w:hint="eastAsia"/>
          <w:vertAlign w:val="subscript"/>
        </w:rPr>
        <w:t>总</w:t>
      </w:r>
      <w:r>
        <w:rPr>
          <w:rFonts w:hint="eastAsia"/>
        </w:rPr>
        <w:t>——总建筑面积。</w:t>
      </w:r>
    </w:p>
    <w:p>
      <w:pPr>
        <w:ind w:firstLine="420" w:firstLineChars="200"/>
      </w:pPr>
      <w:r>
        <w:rPr>
          <w:rFonts w:hint="eastAsia"/>
        </w:rPr>
        <w:t>3——该项总分</w:t>
      </w:r>
    </w:p>
    <w:p/>
    <w:p>
      <w:pPr>
        <w:rPr>
          <w:rFonts w:ascii="黑体" w:hAnsi="黑体" w:eastAsia="黑体"/>
        </w:rPr>
      </w:pPr>
      <w:r>
        <w:rPr>
          <w:rFonts w:hint="eastAsia" w:ascii="黑体" w:hAnsi="黑体" w:eastAsia="黑体"/>
        </w:rPr>
        <w:t>B</w:t>
      </w:r>
      <w:r>
        <w:rPr>
          <w:rFonts w:ascii="黑体" w:hAnsi="黑体" w:eastAsia="黑体"/>
        </w:rPr>
        <w:t>.2</w:t>
      </w:r>
      <w:r>
        <w:rPr>
          <w:rFonts w:hint="eastAsia" w:ascii="黑体" w:hAnsi="黑体" w:eastAsia="黑体"/>
        </w:rPr>
        <w:t>工厂多层建筑评分</w:t>
      </w:r>
    </w:p>
    <w:p>
      <w:r>
        <w:rPr>
          <w:rFonts w:hint="eastAsia"/>
        </w:rPr>
        <w:t>工厂多层建筑评分按公式（B</w:t>
      </w:r>
      <w:r>
        <w:t>2</w:t>
      </w:r>
      <w:r>
        <w:rPr>
          <w:rFonts w:hint="eastAsia"/>
        </w:rPr>
        <w:t>）计算。</w:t>
      </w:r>
    </w:p>
    <w:p>
      <w:pPr>
        <w:ind w:left="1701" w:leftChars="810"/>
        <w:jc w:val="center"/>
      </w:pPr>
      <m:oMath>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hint="eastAsia" w:ascii="Cambria Math" w:hAnsi="Cambria Math"/>
                      </w:rPr>
                      <m:t>总</m:t>
                    </m:r>
                    <m:ctrlPr>
                      <w:rPr>
                        <w:rFonts w:ascii="Cambria Math" w:hAnsi="Cambria Math"/>
                        <w:i/>
                      </w:rPr>
                    </m:ctrlPr>
                  </m:sub>
                </m:sSub>
                <m:ctrlPr>
                  <w:rPr>
                    <w:rFonts w:ascii="Cambria Math" w:hAnsi="Cambria Math"/>
                    <w:i/>
                  </w:rPr>
                </m:ctrlPr>
              </m:den>
            </m:f>
            <m:r>
              <m:rPr/>
              <w:rPr>
                <w:rFonts w:ascii="Cambria Math" w:hAnsi="Cambria Math"/>
              </w:rPr>
              <m:t>×3</m:t>
            </m:r>
            <m:ctrlPr>
              <w:rPr>
                <w:rFonts w:ascii="Cambria Math" w:hAnsi="Cambria Math"/>
                <w:i/>
              </w:rPr>
            </m:ctrlPr>
          </m:e>
        </m:d>
      </m:oMath>
      <w:r>
        <w:rPr>
          <w:rFonts w:hint="eastAsia"/>
        </w:rPr>
        <w:t xml:space="preserve"> </w:t>
      </w:r>
      <w:r>
        <w:t xml:space="preserve">    ………………(B2)</w:t>
      </w:r>
    </w:p>
    <w:p>
      <w:pPr>
        <w:ind w:firstLine="420" w:firstLineChars="200"/>
      </w:pPr>
      <w:r>
        <w:rPr>
          <w:rFonts w:hint="eastAsia"/>
        </w:rPr>
        <w:t>式中：</w:t>
      </w:r>
    </w:p>
    <w:p>
      <w:pPr>
        <w:ind w:firstLine="420" w:firstLineChars="200"/>
      </w:pPr>
      <w:r>
        <w:rPr>
          <w:rFonts w:hint="eastAsia"/>
        </w:rPr>
        <w:t>Y</w:t>
      </w:r>
      <w:r>
        <w:rPr>
          <w:vertAlign w:val="subscript"/>
        </w:rPr>
        <w:t>2</w:t>
      </w:r>
      <w:r>
        <w:rPr>
          <w:rFonts w:hint="eastAsia"/>
        </w:rPr>
        <w:t>——该项分值，取整数；</w:t>
      </w:r>
    </w:p>
    <w:p>
      <w:pPr>
        <w:ind w:firstLine="420" w:firstLineChars="200"/>
      </w:pPr>
      <w:r>
        <w:rPr>
          <w:rFonts w:hint="eastAsia"/>
        </w:rPr>
        <w:t>S</w:t>
      </w:r>
      <w:r>
        <w:rPr>
          <w:vertAlign w:val="subscript"/>
        </w:rPr>
        <w:t>2</w:t>
      </w:r>
      <w:r>
        <w:rPr>
          <w:rFonts w:hint="eastAsia"/>
        </w:rPr>
        <w:t>——为多层建筑的面积；</w:t>
      </w:r>
    </w:p>
    <w:p>
      <w:pPr>
        <w:ind w:firstLine="420" w:firstLineChars="200"/>
      </w:pPr>
      <w:r>
        <w:rPr>
          <w:rFonts w:hint="eastAsia"/>
        </w:rPr>
        <w:t>S</w:t>
      </w:r>
      <w:r>
        <w:rPr>
          <w:rFonts w:hint="eastAsia"/>
          <w:vertAlign w:val="subscript"/>
        </w:rPr>
        <w:t>总</w:t>
      </w:r>
      <w:r>
        <w:rPr>
          <w:rFonts w:hint="eastAsia"/>
        </w:rPr>
        <w:t>——为总建筑面积；</w:t>
      </w:r>
    </w:p>
    <w:p>
      <w:pPr>
        <w:ind w:firstLine="420" w:firstLineChars="200"/>
      </w:pPr>
      <w:r>
        <w:rPr>
          <w:rFonts w:hint="eastAsia"/>
        </w:rPr>
        <w:t>3——该项总分。</w:t>
      </w:r>
    </w:p>
    <w:p/>
    <w:p>
      <w:pPr>
        <w:rPr>
          <w:rFonts w:ascii="黑体" w:hAnsi="黑体" w:eastAsia="黑体"/>
        </w:rPr>
      </w:pPr>
      <w:r>
        <w:rPr>
          <w:rFonts w:hint="eastAsia" w:ascii="黑体" w:hAnsi="黑体" w:eastAsia="黑体"/>
        </w:rPr>
        <w:t>B</w:t>
      </w:r>
      <w:r>
        <w:rPr>
          <w:rFonts w:ascii="黑体" w:hAnsi="黑体" w:eastAsia="黑体"/>
        </w:rPr>
        <w:t>.3</w:t>
      </w:r>
      <w:r>
        <w:rPr>
          <w:rFonts w:hint="eastAsia" w:ascii="黑体" w:hAnsi="黑体" w:eastAsia="黑体"/>
        </w:rPr>
        <w:t>照明系统分区控制</w:t>
      </w:r>
    </w:p>
    <w:p>
      <w:r>
        <w:rPr>
          <w:rFonts w:hint="eastAsia"/>
        </w:rPr>
        <w:t>照明系统分区控制评分按公式（B</w:t>
      </w:r>
      <w:r>
        <w:t>3</w:t>
      </w:r>
      <w:r>
        <w:rPr>
          <w:rFonts w:hint="eastAsia"/>
        </w:rPr>
        <w:t>）计算。</w:t>
      </w:r>
    </w:p>
    <w:p>
      <w:pPr>
        <w:ind w:left="1701" w:leftChars="810"/>
        <w:jc w:val="center"/>
      </w:pPr>
      <m:oMath>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hint="eastAsia" w:ascii="Cambria Math" w:hAnsi="Cambria Math"/>
                      </w:rPr>
                      <m:t>总</m:t>
                    </m:r>
                    <m:r>
                      <m:rPr/>
                      <w:rPr>
                        <w:rFonts w:ascii="Cambria Math" w:hAnsi="Cambria Math"/>
                      </w:rPr>
                      <m:t>−3</m:t>
                    </m:r>
                    <m:ctrlPr>
                      <w:rPr>
                        <w:rFonts w:ascii="Cambria Math" w:hAnsi="Cambria Math"/>
                        <w:i/>
                      </w:rPr>
                    </m:ctrlPr>
                  </m:sub>
                </m:sSub>
                <m:ctrlPr>
                  <w:rPr>
                    <w:rFonts w:ascii="Cambria Math" w:hAnsi="Cambria Math"/>
                    <w:i/>
                  </w:rPr>
                </m:ctrlPr>
              </m:den>
            </m:f>
            <m:r>
              <m:rPr/>
              <w:rPr>
                <w:rFonts w:ascii="Cambria Math" w:hAnsi="Cambria Math"/>
              </w:rPr>
              <m:t>×4</m:t>
            </m:r>
            <m:ctrlPr>
              <w:rPr>
                <w:rFonts w:ascii="Cambria Math" w:hAnsi="Cambria Math"/>
                <w:i/>
              </w:rPr>
            </m:ctrlPr>
          </m:e>
        </m:d>
      </m:oMath>
      <w:r>
        <w:rPr>
          <w:rFonts w:hint="eastAsia"/>
        </w:rPr>
        <w:t xml:space="preserve"> </w:t>
      </w:r>
      <w:r>
        <w:t xml:space="preserve">    ………………(B3)</w:t>
      </w:r>
    </w:p>
    <w:p>
      <w:pPr>
        <w:ind w:firstLine="420" w:firstLineChars="200"/>
      </w:pPr>
      <w:r>
        <w:rPr>
          <w:rFonts w:hint="eastAsia"/>
        </w:rPr>
        <w:t>式中：</w:t>
      </w:r>
    </w:p>
    <w:p>
      <w:pPr>
        <w:ind w:firstLine="420" w:firstLineChars="200"/>
      </w:pPr>
      <w:r>
        <w:rPr>
          <w:rFonts w:hint="eastAsia"/>
        </w:rPr>
        <w:t>Y</w:t>
      </w:r>
      <w:r>
        <w:rPr>
          <w:vertAlign w:val="subscript"/>
        </w:rPr>
        <w:t>3</w:t>
      </w:r>
      <w:r>
        <w:rPr>
          <w:rFonts w:hint="eastAsia"/>
        </w:rPr>
        <w:t>——该项分值，取整数；</w:t>
      </w:r>
    </w:p>
    <w:p>
      <w:pPr>
        <w:ind w:firstLine="420" w:firstLineChars="200"/>
      </w:pPr>
      <w:r>
        <w:rPr>
          <w:rFonts w:hint="eastAsia"/>
        </w:rPr>
        <w:t>S</w:t>
      </w:r>
      <w:r>
        <w:rPr>
          <w:vertAlign w:val="subscript"/>
        </w:rPr>
        <w:t>3</w:t>
      </w:r>
      <w:r>
        <w:rPr>
          <w:rFonts w:hint="eastAsia"/>
        </w:rPr>
        <w:t>——采用分区控制的3</w:t>
      </w:r>
      <w:r>
        <w:t>000</w:t>
      </w:r>
      <w:r>
        <w:rPr>
          <w:rFonts w:hint="eastAsia"/>
        </w:rPr>
        <w:t>平方米以上厂房面积；</w:t>
      </w:r>
    </w:p>
    <w:p>
      <w:pPr>
        <w:ind w:firstLine="420" w:firstLineChars="200"/>
      </w:pPr>
      <w:r>
        <w:rPr>
          <w:rFonts w:hint="eastAsia"/>
        </w:rPr>
        <w:t>S</w:t>
      </w:r>
      <w:r>
        <w:rPr>
          <w:rFonts w:hint="eastAsia"/>
          <w:vertAlign w:val="subscript"/>
        </w:rPr>
        <w:t>总-</w:t>
      </w:r>
      <w:r>
        <w:rPr>
          <w:vertAlign w:val="subscript"/>
        </w:rPr>
        <w:t>3</w:t>
      </w:r>
      <w:r>
        <w:tab/>
      </w:r>
      <w:r>
        <w:rPr>
          <w:rFonts w:hint="eastAsia"/>
        </w:rPr>
        <w:t>——所有3</w:t>
      </w:r>
      <w:r>
        <w:t>000</w:t>
      </w:r>
      <w:r>
        <w:rPr>
          <w:rFonts w:hint="eastAsia"/>
        </w:rPr>
        <w:t>平方米以上厂房总面积；</w:t>
      </w:r>
    </w:p>
    <w:p>
      <w:pPr>
        <w:ind w:firstLine="420" w:firstLineChars="200"/>
      </w:pPr>
      <w:r>
        <w:rPr>
          <w:rFonts w:hint="eastAsia"/>
        </w:rPr>
        <w:t>4——该项总分。</w:t>
      </w:r>
    </w:p>
    <w:p>
      <w:r>
        <w:rPr>
          <w:rFonts w:hint="eastAsia"/>
        </w:rPr>
        <w:t>无3</w:t>
      </w:r>
      <w:r>
        <w:t>000</w:t>
      </w:r>
      <w:r>
        <w:rPr>
          <w:rFonts w:hint="eastAsia"/>
        </w:rPr>
        <w:t>平方米以上厂房，该项为（4分）。</w:t>
      </w:r>
    </w:p>
    <w:p/>
    <w:p>
      <w:pPr>
        <w:rPr>
          <w:rFonts w:ascii="黑体" w:hAnsi="黑体" w:eastAsia="黑体"/>
        </w:rPr>
      </w:pPr>
      <w:r>
        <w:rPr>
          <w:rFonts w:hint="eastAsia" w:ascii="黑体" w:hAnsi="黑体" w:eastAsia="黑体"/>
        </w:rPr>
        <w:t>B</w:t>
      </w:r>
      <w:r>
        <w:rPr>
          <w:rFonts w:ascii="黑体" w:hAnsi="黑体" w:eastAsia="黑体"/>
        </w:rPr>
        <w:t>.4</w:t>
      </w:r>
      <w:r>
        <w:rPr>
          <w:rFonts w:hint="eastAsia" w:ascii="黑体" w:hAnsi="黑体" w:eastAsia="黑体"/>
        </w:rPr>
        <w:t xml:space="preserve"> 节能灯配备比例</w:t>
      </w:r>
    </w:p>
    <w:p>
      <w:r>
        <w:rPr>
          <w:rFonts w:hint="eastAsia"/>
        </w:rPr>
        <w:t>即工厂使用的节能型普通照明灯具（光效≥60lm/W）占全部照明灯具的比例，按公式（B4）计算。</w:t>
      </w:r>
    </w:p>
    <w:p>
      <w:pPr>
        <w:jc w:val="center"/>
      </w:pPr>
      <m:oMath>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ascii="Cambria Math" w:hAnsi="Cambria Math"/>
              </w:rPr>
              <m:t>5</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ascii="Cambria Math" w:hAnsi="Cambria Math"/>
                      </w:rPr>
                      <m:t>L</m:t>
                    </m:r>
                    <m:ctrlPr>
                      <w:rPr>
                        <w:rFonts w:ascii="Cambria Math" w:hAnsi="Cambria Math"/>
                        <w:i/>
                      </w:rPr>
                    </m:ctrlPr>
                  </m:e>
                  <m:sub>
                    <m:r>
                      <m:rPr>
                        <m:sty m:val="p"/>
                      </m:rPr>
                      <w:rPr>
                        <w:rFonts w:ascii="Cambria Math" w:hAnsi="Cambria Math"/>
                      </w:rPr>
                      <m:t>jn</m:t>
                    </m:r>
                    <m:ctrlPr>
                      <w:rPr>
                        <w:rFonts w:ascii="Cambria Math" w:hAnsi="Cambria Math"/>
                        <w:i/>
                      </w:rPr>
                    </m:ctrlPr>
                  </m:sub>
                </m:sSub>
                <m:ctrlPr>
                  <w:rPr>
                    <w:rFonts w:ascii="Cambria Math" w:hAnsi="Cambria Math"/>
                    <w:i/>
                  </w:rPr>
                </m:ctrlPr>
              </m:num>
              <m:den>
                <m:r>
                  <m:rPr/>
                  <w:rPr>
                    <w:rFonts w:ascii="Cambria Math" w:hAnsi="Cambria Math"/>
                  </w:rPr>
                  <m:t>L</m:t>
                </m:r>
                <m:ctrlPr>
                  <w:rPr>
                    <w:rFonts w:ascii="Cambria Math" w:hAnsi="Cambria Math"/>
                    <w:i/>
                  </w:rPr>
                </m:ctrlPr>
              </m:den>
            </m:f>
            <m:r>
              <m:rPr/>
              <w:rPr>
                <w:rFonts w:ascii="Cambria Math" w:hAnsi="Cambria Math"/>
              </w:rPr>
              <m:t>×4</m:t>
            </m:r>
            <m:ctrlPr>
              <w:rPr>
                <w:rFonts w:ascii="Cambria Math" w:hAnsi="Cambria Math"/>
                <w:i/>
              </w:rPr>
            </m:ctrlPr>
          </m:e>
        </m:d>
      </m:oMath>
      <w:r>
        <w:t>………………(B</w:t>
      </w:r>
      <w:r>
        <w:rPr>
          <w:rFonts w:hint="eastAsia"/>
        </w:rPr>
        <w:t>4</w:t>
      </w:r>
      <w:r>
        <w:t>)</w:t>
      </w:r>
    </w:p>
    <w:p>
      <w:pPr>
        <w:ind w:firstLine="420" w:firstLineChars="200"/>
      </w:pPr>
      <w:r>
        <w:rPr>
          <w:rFonts w:hint="eastAsia"/>
        </w:rPr>
        <w:t>式中：</w:t>
      </w:r>
    </w:p>
    <w:p>
      <w:pPr>
        <w:ind w:firstLine="420" w:firstLineChars="200"/>
      </w:pPr>
      <w:r>
        <w:rPr>
          <w:rFonts w:hint="eastAsia"/>
        </w:rPr>
        <w:t>Y</w:t>
      </w:r>
      <w:r>
        <w:rPr>
          <w:rFonts w:hint="eastAsia"/>
          <w:vertAlign w:val="subscript"/>
        </w:rPr>
        <w:t>5</w:t>
      </w:r>
      <w:r>
        <w:rPr>
          <w:rFonts w:hint="eastAsia"/>
        </w:rPr>
        <w:t>——该项分值，取整数；</w:t>
      </w:r>
    </w:p>
    <w:p>
      <w:pPr>
        <w:ind w:firstLine="420" w:firstLineChars="200"/>
      </w:pPr>
      <w:r>
        <w:rPr>
          <w:rFonts w:hint="eastAsia"/>
        </w:rPr>
        <w:t>L</w:t>
      </w:r>
      <w:r>
        <w:rPr>
          <w:rFonts w:hint="eastAsia"/>
          <w:vertAlign w:val="subscript"/>
        </w:rPr>
        <w:t>jn</w:t>
      </w:r>
      <w:r>
        <w:rPr>
          <w:rFonts w:hint="eastAsia"/>
        </w:rPr>
        <w:t>——使用的节能照明灯具（光效≥60lm/W）中数量；</w:t>
      </w:r>
    </w:p>
    <w:p>
      <w:pPr>
        <w:ind w:firstLine="420" w:firstLineChars="200"/>
      </w:pPr>
      <w:r>
        <w:rPr>
          <w:rFonts w:hint="eastAsia"/>
        </w:rPr>
        <w:t>L——工厂照明灯具安装总数；</w:t>
      </w:r>
    </w:p>
    <w:p>
      <w:pPr>
        <w:ind w:left="420"/>
      </w:pPr>
      <w:r>
        <w:rPr>
          <w:rFonts w:hint="eastAsia"/>
        </w:rPr>
        <w:t>4——该项总分。</w:t>
      </w:r>
    </w:p>
    <w:p>
      <w:pPr>
        <w:rPr>
          <w:rFonts w:ascii="Times New Roman" w:hAnsi="Times New Roman"/>
        </w:rPr>
      </w:pPr>
    </w:p>
    <w:p>
      <w:pPr>
        <w:widowControl/>
        <w:spacing w:line="240" w:lineRule="auto"/>
        <w:jc w:val="left"/>
        <w:rPr>
          <w:rFonts w:ascii="Times New Roman" w:hAnsi="Times New Roman"/>
        </w:rPr>
      </w:pPr>
      <w:r>
        <w:rPr>
          <w:rFonts w:ascii="Times New Roman" w:hAnsi="Times New Roman"/>
        </w:rPr>
        <w:br w:type="page"/>
      </w:r>
    </w:p>
    <w:p>
      <w:pPr>
        <w:pStyle w:val="2"/>
        <w:tabs>
          <w:tab w:val="left" w:pos="4095"/>
          <w:tab w:val="center" w:pos="6979"/>
        </w:tabs>
        <w:adjustRightInd w:val="0"/>
        <w:snapToGrid w:val="0"/>
        <w:spacing w:line="360" w:lineRule="auto"/>
        <w:jc w:val="left"/>
        <w:rPr>
          <w:rFonts w:ascii="黑体" w:hAnsi="黑体" w:cs="黑体"/>
        </w:rPr>
      </w:pPr>
      <w:bookmarkStart w:id="260" w:name="_Toc40971607"/>
      <w:r>
        <w:rPr>
          <w:rFonts w:ascii="黑体" w:hAnsi="黑体" w:cs="黑体"/>
        </w:rPr>
        <w:tab/>
      </w:r>
      <w:r>
        <w:rPr>
          <w:rFonts w:ascii="黑体" w:hAnsi="黑体" w:cs="黑体"/>
        </w:rPr>
        <w:tab/>
      </w:r>
      <w:r>
        <w:rPr>
          <w:rFonts w:hint="eastAsia" w:ascii="黑体" w:hAnsi="黑体" w:cs="黑体"/>
        </w:rPr>
        <w:t>参考文献</w:t>
      </w:r>
      <w:bookmarkEnd w:id="260"/>
    </w:p>
    <w:p>
      <w:pPr>
        <w:adjustRightInd w:val="0"/>
        <w:snapToGrid w:val="0"/>
        <w:ind w:firstLine="420" w:firstLineChars="200"/>
        <w:rPr>
          <w:rFonts w:ascii="Times New Roman" w:hAnsi="Times New Roman"/>
        </w:rPr>
      </w:pPr>
    </w:p>
    <w:p>
      <w:pPr>
        <w:adjustRightInd w:val="0"/>
        <w:snapToGrid w:val="0"/>
        <w:ind w:firstLine="420" w:firstLineChars="200"/>
        <w:rPr>
          <w:rFonts w:ascii="Times New Roman" w:hAnsi="Times New Roman"/>
        </w:rPr>
      </w:pPr>
      <w:bookmarkStart w:id="261" w:name="_Hlk40994948"/>
      <w:r>
        <w:rPr>
          <w:rFonts w:ascii="Times New Roman" w:hAnsi="Times New Roman"/>
        </w:rPr>
        <w:t>1、国土资发2008年第24号 工业项目建设用地控制指标</w:t>
      </w:r>
    </w:p>
    <w:p>
      <w:pPr>
        <w:adjustRightInd w:val="0"/>
        <w:snapToGrid w:val="0"/>
        <w:ind w:firstLine="420" w:firstLineChars="200"/>
        <w:rPr>
          <w:rFonts w:ascii="Times New Roman" w:hAnsi="Times New Roman"/>
          <w:szCs w:val="21"/>
        </w:rPr>
      </w:pPr>
      <w:r>
        <w:rPr>
          <w:rFonts w:ascii="Times New Roman" w:hAnsi="Times New Roman"/>
        </w:rPr>
        <w:t xml:space="preserve">2、国务院2011年第612号令 </w:t>
      </w:r>
      <w:r>
        <w:rPr>
          <w:rFonts w:ascii="Times New Roman" w:hAnsi="Times New Roman"/>
          <w:szCs w:val="21"/>
        </w:rPr>
        <w:t>放射性废物安全管理条例</w:t>
      </w:r>
    </w:p>
    <w:p>
      <w:pPr>
        <w:adjustRightInd w:val="0"/>
        <w:snapToGrid w:val="0"/>
        <w:ind w:firstLine="420" w:firstLineChars="200"/>
        <w:rPr>
          <w:rFonts w:ascii="Times New Roman" w:hAnsi="Times New Roman"/>
        </w:rPr>
      </w:pPr>
      <w:r>
        <w:rPr>
          <w:rFonts w:ascii="Times New Roman" w:hAnsi="Times New Roman"/>
        </w:rPr>
        <w:t>3、工信部2012年第23号 稀土行业准入条件</w:t>
      </w:r>
    </w:p>
    <w:p>
      <w:pPr>
        <w:adjustRightInd w:val="0"/>
        <w:snapToGrid w:val="0"/>
        <w:ind w:firstLine="420" w:firstLineChars="200"/>
        <w:rPr>
          <w:rFonts w:ascii="Times New Roman" w:hAnsi="Times New Roman"/>
        </w:rPr>
      </w:pPr>
      <w:r>
        <w:rPr>
          <w:rFonts w:hint="eastAsia" w:ascii="Times New Roman" w:hAnsi="Times New Roman"/>
        </w:rPr>
        <w:t>4</w:t>
      </w:r>
      <w:r>
        <w:rPr>
          <w:rFonts w:ascii="Times New Roman" w:hAnsi="Times New Roman"/>
        </w:rPr>
        <w:t>、工信部联节2016年第398号 国家鼓励的有毒有害原料（产品）替代品目录（2016年版）</w:t>
      </w:r>
    </w:p>
    <w:p>
      <w:pPr>
        <w:adjustRightInd w:val="0"/>
        <w:snapToGrid w:val="0"/>
        <w:ind w:firstLine="420" w:firstLineChars="200"/>
        <w:rPr>
          <w:rFonts w:ascii="Times New Roman" w:hAnsi="Times New Roman"/>
        </w:rPr>
      </w:pPr>
      <w:r>
        <w:rPr>
          <w:rFonts w:hint="eastAsia" w:ascii="Times New Roman" w:hAnsi="Times New Roman"/>
        </w:rPr>
        <w:t>5</w:t>
      </w:r>
      <w:r>
        <w:rPr>
          <w:rFonts w:ascii="Times New Roman" w:hAnsi="Times New Roman"/>
        </w:rPr>
        <w:t>、工信部公告2016年第31号 稀土行业规范条件（2016年本）</w:t>
      </w:r>
    </w:p>
    <w:p>
      <w:pPr>
        <w:adjustRightInd w:val="0"/>
        <w:snapToGrid w:val="0"/>
        <w:ind w:firstLine="420" w:firstLineChars="200"/>
        <w:rPr>
          <w:rFonts w:ascii="Times New Roman" w:hAnsi="Times New Roman"/>
        </w:rPr>
      </w:pPr>
      <w:r>
        <w:rPr>
          <w:rFonts w:hint="eastAsia" w:ascii="Times New Roman" w:hAnsi="Times New Roman"/>
        </w:rPr>
        <w:t>6、</w:t>
      </w:r>
      <w:r>
        <w:rPr>
          <w:rFonts w:ascii="Times New Roman" w:hAnsi="Times New Roman"/>
        </w:rPr>
        <w:t>工信厅节函2016</w:t>
      </w:r>
      <w:r>
        <w:rPr>
          <w:rFonts w:hint="eastAsia" w:ascii="Times New Roman" w:hAnsi="Times New Roman"/>
        </w:rPr>
        <w:t>年第5</w:t>
      </w:r>
      <w:r>
        <w:rPr>
          <w:rFonts w:ascii="Times New Roman" w:hAnsi="Times New Roman"/>
        </w:rPr>
        <w:t>86号</w:t>
      </w:r>
      <w:r>
        <w:rPr>
          <w:rFonts w:hint="eastAsia" w:ascii="Times New Roman" w:hAnsi="Times New Roman"/>
        </w:rPr>
        <w:t xml:space="preserve"> 关于开展绿色制造体系建设的通知</w:t>
      </w:r>
    </w:p>
    <w:p>
      <w:pPr>
        <w:adjustRightInd w:val="0"/>
        <w:snapToGrid w:val="0"/>
        <w:ind w:firstLine="420" w:firstLineChars="200"/>
        <w:rPr>
          <w:rFonts w:ascii="Times New Roman" w:hAnsi="Times New Roman"/>
        </w:rPr>
      </w:pPr>
      <w:r>
        <w:rPr>
          <w:rFonts w:hint="eastAsia" w:ascii="Times New Roman" w:hAnsi="Times New Roman"/>
        </w:rPr>
        <w:t>7</w:t>
      </w:r>
      <w:r>
        <w:rPr>
          <w:rFonts w:ascii="Times New Roman" w:hAnsi="Times New Roman"/>
        </w:rPr>
        <w:t>、工信部 绿色制造工程实施指南（2016-2020 年）</w:t>
      </w:r>
    </w:p>
    <w:p>
      <w:pPr>
        <w:adjustRightInd w:val="0"/>
        <w:snapToGrid w:val="0"/>
        <w:ind w:firstLine="420" w:firstLineChars="200"/>
        <w:rPr>
          <w:rFonts w:ascii="Times New Roman" w:hAnsi="Times New Roman"/>
        </w:rPr>
      </w:pPr>
      <w:r>
        <w:rPr>
          <w:rFonts w:hint="eastAsia" w:ascii="Times New Roman" w:hAnsi="Times New Roman"/>
        </w:rPr>
        <w:t>8</w:t>
      </w:r>
      <w:r>
        <w:rPr>
          <w:rFonts w:ascii="Times New Roman" w:hAnsi="Times New Roman"/>
        </w:rPr>
        <w:t>、工信部公告2018年第26号 工业固体废物资源综合利用评价管理暂行办法</w:t>
      </w:r>
    </w:p>
    <w:p>
      <w:pPr>
        <w:adjustRightInd w:val="0"/>
        <w:snapToGrid w:val="0"/>
        <w:ind w:firstLine="420" w:firstLineChars="200"/>
        <w:rPr>
          <w:rFonts w:ascii="Times New Roman" w:hAnsi="Times New Roman"/>
          <w:szCs w:val="21"/>
        </w:rPr>
      </w:pPr>
      <w:r>
        <w:rPr>
          <w:rFonts w:hint="eastAsia" w:ascii="Times New Roman" w:hAnsi="Times New Roman"/>
          <w:szCs w:val="21"/>
        </w:rPr>
        <w:t>9</w:t>
      </w:r>
      <w:r>
        <w:rPr>
          <w:rFonts w:ascii="Times New Roman" w:hAnsi="Times New Roman"/>
          <w:szCs w:val="21"/>
        </w:rPr>
        <w:t>、工信厅节函2018第257号 工业和信息化部办公厅关于推荐第三批绿色制造名单的通知 附件三 绿色工厂自评价报告及第三方评价报告</w:t>
      </w:r>
    </w:p>
    <w:p>
      <w:pPr>
        <w:adjustRightInd w:val="0"/>
        <w:snapToGrid w:val="0"/>
        <w:ind w:firstLine="420" w:firstLineChars="200"/>
        <w:rPr>
          <w:rFonts w:ascii="Times New Roman" w:hAnsi="Times New Roman"/>
        </w:rPr>
      </w:pPr>
      <w:r>
        <w:rPr>
          <w:rFonts w:hint="eastAsia" w:ascii="Times New Roman" w:hAnsi="Times New Roman"/>
        </w:rPr>
        <w:t>10</w:t>
      </w:r>
      <w:r>
        <w:rPr>
          <w:rFonts w:ascii="Times New Roman" w:hAnsi="Times New Roman"/>
        </w:rPr>
        <w:t>、</w:t>
      </w:r>
      <w:bookmarkStart w:id="262" w:name="_Hlk40994829"/>
      <w:r>
        <w:rPr>
          <w:rFonts w:ascii="Times New Roman" w:hAnsi="Times New Roman"/>
        </w:rPr>
        <w:t>发展和改革委员会令2019年 第29号 产业结构调整指导目录（2019年本）</w:t>
      </w:r>
    </w:p>
    <w:p>
      <w:pPr>
        <w:adjustRightInd w:val="0"/>
        <w:snapToGrid w:val="0"/>
        <w:ind w:firstLine="420" w:firstLineChars="200"/>
        <w:rPr>
          <w:rFonts w:ascii="Times New Roman" w:hAnsi="Times New Roman"/>
        </w:rPr>
      </w:pPr>
      <w:r>
        <w:rPr>
          <w:rFonts w:hint="eastAsia" w:ascii="Times New Roman" w:hAnsi="Times New Roman"/>
        </w:rPr>
        <w:t>11</w:t>
      </w:r>
      <w:r>
        <w:rPr>
          <w:rFonts w:ascii="Times New Roman" w:hAnsi="Times New Roman"/>
        </w:rPr>
        <w:t>、发改办环资2019年第44号 关于推进大宗固体废弃物综合利用产业集聚发展的通知</w:t>
      </w:r>
    </w:p>
    <w:p>
      <w:pPr>
        <w:adjustRightInd w:val="0"/>
        <w:snapToGrid w:val="0"/>
        <w:ind w:firstLine="420" w:firstLineChars="200"/>
        <w:rPr>
          <w:rFonts w:ascii="Times New Roman" w:hAnsi="Times New Roman"/>
        </w:rPr>
      </w:pPr>
      <w:r>
        <w:rPr>
          <w:rFonts w:hint="eastAsia" w:ascii="Times New Roman" w:hAnsi="Times New Roman"/>
        </w:rPr>
        <w:t>12</w:t>
      </w:r>
      <w:r>
        <w:rPr>
          <w:rFonts w:ascii="Times New Roman" w:hAnsi="Times New Roman"/>
        </w:rPr>
        <w:t>、发改环资2019年第293号 绿色产业指导目录（2019版）</w:t>
      </w:r>
    </w:p>
    <w:p>
      <w:pPr>
        <w:adjustRightInd w:val="0"/>
        <w:snapToGrid w:val="0"/>
        <w:ind w:firstLine="420" w:firstLineChars="200"/>
        <w:rPr>
          <w:rFonts w:ascii="Times New Roman" w:hAnsi="Times New Roman"/>
        </w:rPr>
      </w:pPr>
      <w:r>
        <w:rPr>
          <w:rFonts w:hint="eastAsia" w:ascii="Times New Roman" w:hAnsi="Times New Roman"/>
        </w:rPr>
        <w:t xml:space="preserve">13、中华人民共和国生态环境部令第11号 </w:t>
      </w:r>
      <w:r>
        <w:fldChar w:fldCharType="begin"/>
      </w:r>
      <w:r>
        <w:instrText xml:space="preserve"> HYPERLINK "http://www.mee.gov.cn/xxgk2018/xxgk/xxgk02/202001/W020200220415709177749.pdf" </w:instrText>
      </w:r>
      <w:r>
        <w:fldChar w:fldCharType="separate"/>
      </w:r>
      <w:r>
        <w:rPr>
          <w:rFonts w:hint="eastAsia" w:ascii="Times New Roman" w:hAnsi="Times New Roman"/>
        </w:rPr>
        <w:t>固定污染源排污许可分类管理名录</w:t>
      </w:r>
      <w:r>
        <w:rPr>
          <w:rFonts w:hint="eastAsia" w:ascii="Times New Roman" w:hAnsi="Times New Roman"/>
        </w:rPr>
        <w:fldChar w:fldCharType="end"/>
      </w:r>
    </w:p>
    <w:bookmarkEnd w:id="261"/>
    <w:bookmarkEnd w:id="262"/>
    <w:p>
      <w:pPr>
        <w:adjustRightInd w:val="0"/>
        <w:snapToGrid w:val="0"/>
        <w:ind w:firstLine="420" w:firstLineChars="200"/>
        <w:rPr>
          <w:rFonts w:ascii="Times New Roman" w:hAnsi="Times New Roman"/>
        </w:rPr>
      </w:pPr>
    </w:p>
    <w:sectPr>
      <w:headerReference r:id="rId14" w:type="first"/>
      <w:footerReference r:id="rId17" w:type="first"/>
      <w:headerReference r:id="rId12" w:type="default"/>
      <w:footerReference r:id="rId15" w:type="default"/>
      <w:headerReference r:id="rId13" w:type="even"/>
      <w:footerReference r:id="rId16" w:type="even"/>
      <w:pgSz w:w="16838" w:h="11906" w:orient="landscape"/>
      <w:pgMar w:top="1134" w:right="1418" w:bottom="1418" w:left="1134" w:header="851" w:footer="992" w:gutter="0"/>
      <w:pgNumType w:start="12"/>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EUAlbertina">
    <w:altName w:val="宋体"/>
    <w:panose1 w:val="00000000000000000000"/>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David">
    <w:altName w:val="Segoe Print"/>
    <w:panose1 w:val="00000000000000000000"/>
    <w:charset w:val="B1"/>
    <w:family w:val="swiss"/>
    <w:pitch w:val="default"/>
    <w:sig w:usb0="00000000" w:usb1="00000000" w:usb2="00000000" w:usb3="00000000" w:csb0="0000002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Style w:val="19"/>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22225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7785" cy="222250"/>
                      </a:xfrm>
                      <a:prstGeom prst="rect">
                        <a:avLst/>
                      </a:prstGeom>
                      <a:noFill/>
                      <a:ln w="6350">
                        <a:noFill/>
                      </a:ln>
                      <a:effectLst/>
                    </wps:spPr>
                    <wps:txbx>
                      <w:txbxContent>
                        <w:p>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7.5pt;width:4.55pt;mso-position-horizontal:right;mso-position-horizontal-relative:margin;mso-wrap-style:none;z-index:251660288;mso-width-relative:page;mso-height-relative:page;" filled="f" stroked="f" coordsize="21600,21600" o:gfxdata="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ZG6m0QAAAAIBAAAPAAAAAAAAAAEAIAAAACIAAABkcnMvZG93bnJldi54bWxQSwEC&#10;FAAUAAAACACHTuJAdMAprDQCAABiBAAADgAAAAAAAAABACAAAAAgAQAAZHJzL2Uyb0RvYy54bWxQ&#10;SwUGAAAAAAYABgBZAQAAx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EGwwyAgAAZ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8QbDD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606184"/>
    </w:sdtPr>
    <w:sdtContent>
      <w:p>
        <w:pPr>
          <w:pStyle w:val="8"/>
          <w:jc w:val="center"/>
          <w:rPr>
            <w:rStyle w:val="19"/>
          </w:rPr>
        </w:pPr>
        <w:r>
          <w:fldChar w:fldCharType="begin"/>
        </w:r>
        <w:r>
          <w:instrText xml:space="preserve">PAGE   \* MERGEFORMAT</w:instrText>
        </w:r>
        <w:r>
          <w:fldChar w:fldCharType="separate"/>
        </w:r>
        <w:r>
          <w:rPr>
            <w:lang w:val="zh-CN"/>
          </w:rPr>
          <w:t>11</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1eK8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TV4rz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755615"/>
    </w:sdtPr>
    <w:sdtContent>
      <w:p>
        <w:pPr>
          <w:pStyle w:val="8"/>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422714"/>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335568"/>
    </w:sdtPr>
    <w:sdtContent>
      <w:p>
        <w:pPr>
          <w:pStyle w:val="8"/>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8"/>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ordWrap w:val="0"/>
      <w:rPr>
        <w:sz w:val="18"/>
        <w:szCs w:val="18"/>
      </w:rPr>
    </w:pPr>
    <w:r>
      <w:rPr>
        <w:rFonts w:eastAsia="黑体"/>
        <w:sz w:val="18"/>
        <w:szCs w:val="18"/>
      </w:rPr>
      <w:t>XB/T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ordWrap w:val="0"/>
      <w:rPr>
        <w:sz w:val="18"/>
        <w:szCs w:val="18"/>
      </w:rPr>
    </w:pPr>
    <w:r>
      <w:rPr>
        <w:rFonts w:eastAsia="黑体"/>
        <w:sz w:val="18"/>
        <w:szCs w:val="18"/>
      </w:rPr>
      <w:t>XB/T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Times New Roman" w:hAnsi="Times New Roman"/>
      </w:rPr>
    </w:pPr>
    <w:r>
      <w:rPr>
        <w:rFonts w:ascii="Times New Roman" w:hAnsi="Times New Roman" w:eastAsia="黑体"/>
      </w:rPr>
      <w:t>XB/T  XXXX-202X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Times New Roman" w:hAnsi="Times New Roman"/>
      </w:rPr>
    </w:pPr>
    <w:r>
      <w:rPr>
        <w:rFonts w:ascii="Times New Roman" w:hAnsi="Times New Roman"/>
      </w:rPr>
      <w:t>XB/T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Times New Roman" w:hAnsi="Times New Roman"/>
      </w:rPr>
    </w:pPr>
    <w:r>
      <w:rPr>
        <w:rFonts w:ascii="Times New Roman" w:hAnsi="Times New Roman" w:eastAsia="黑体"/>
      </w:rPr>
      <w:t>XB/T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773F3A"/>
    <w:multiLevelType w:val="multilevel"/>
    <w:tmpl w:val="4A773F3A"/>
    <w:lvl w:ilvl="0" w:tentative="0">
      <w:start w:val="7"/>
      <w:numFmt w:val="decimal"/>
      <w:lvlText w:val="%1"/>
      <w:lvlJc w:val="left"/>
      <w:pPr>
        <w:tabs>
          <w:tab w:val="left" w:pos="420"/>
        </w:tabs>
        <w:ind w:left="420" w:hanging="420"/>
      </w:pPr>
      <w:rPr>
        <w:rFonts w:hint="default" w:hAnsi="Times New Roman"/>
      </w:rPr>
    </w:lvl>
    <w:lvl w:ilvl="1" w:tentative="0">
      <w:start w:val="1"/>
      <w:numFmt w:val="lowerLetter"/>
      <w:pStyle w:val="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6748E"/>
    <w:rsid w:val="00000231"/>
    <w:rsid w:val="00001382"/>
    <w:rsid w:val="000017D7"/>
    <w:rsid w:val="00004751"/>
    <w:rsid w:val="000149A9"/>
    <w:rsid w:val="00015BDA"/>
    <w:rsid w:val="00027502"/>
    <w:rsid w:val="0003447C"/>
    <w:rsid w:val="0003663F"/>
    <w:rsid w:val="0003741E"/>
    <w:rsid w:val="00045C82"/>
    <w:rsid w:val="00047DD0"/>
    <w:rsid w:val="000507E4"/>
    <w:rsid w:val="0005582F"/>
    <w:rsid w:val="00056CFC"/>
    <w:rsid w:val="00067D5E"/>
    <w:rsid w:val="00070ADC"/>
    <w:rsid w:val="00070C36"/>
    <w:rsid w:val="000717B9"/>
    <w:rsid w:val="000718A7"/>
    <w:rsid w:val="00074A45"/>
    <w:rsid w:val="0007765F"/>
    <w:rsid w:val="0008276C"/>
    <w:rsid w:val="000855AE"/>
    <w:rsid w:val="00085C72"/>
    <w:rsid w:val="00090F99"/>
    <w:rsid w:val="00093529"/>
    <w:rsid w:val="00094F66"/>
    <w:rsid w:val="00095EB4"/>
    <w:rsid w:val="000A1F95"/>
    <w:rsid w:val="000A51D4"/>
    <w:rsid w:val="000B09F7"/>
    <w:rsid w:val="000B625A"/>
    <w:rsid w:val="000C0906"/>
    <w:rsid w:val="000C0F42"/>
    <w:rsid w:val="000C17B6"/>
    <w:rsid w:val="000C3662"/>
    <w:rsid w:val="000C3AB9"/>
    <w:rsid w:val="000C404A"/>
    <w:rsid w:val="000C6F89"/>
    <w:rsid w:val="000C77FB"/>
    <w:rsid w:val="000D0079"/>
    <w:rsid w:val="000D0C17"/>
    <w:rsid w:val="000D1B16"/>
    <w:rsid w:val="000D2144"/>
    <w:rsid w:val="000D3726"/>
    <w:rsid w:val="000D49B0"/>
    <w:rsid w:val="000D5ACC"/>
    <w:rsid w:val="000E1A8A"/>
    <w:rsid w:val="000E43D0"/>
    <w:rsid w:val="000E45CA"/>
    <w:rsid w:val="000E61D6"/>
    <w:rsid w:val="000F0F79"/>
    <w:rsid w:val="000F26A9"/>
    <w:rsid w:val="000F7287"/>
    <w:rsid w:val="00105429"/>
    <w:rsid w:val="00106461"/>
    <w:rsid w:val="00110910"/>
    <w:rsid w:val="00110E82"/>
    <w:rsid w:val="001113D9"/>
    <w:rsid w:val="00111C1D"/>
    <w:rsid w:val="00112081"/>
    <w:rsid w:val="00112AD0"/>
    <w:rsid w:val="00113C36"/>
    <w:rsid w:val="001170AE"/>
    <w:rsid w:val="0012151A"/>
    <w:rsid w:val="0012369F"/>
    <w:rsid w:val="00123F96"/>
    <w:rsid w:val="001250D9"/>
    <w:rsid w:val="0012559D"/>
    <w:rsid w:val="00132378"/>
    <w:rsid w:val="00132F25"/>
    <w:rsid w:val="00133FF0"/>
    <w:rsid w:val="00147130"/>
    <w:rsid w:val="00150E0E"/>
    <w:rsid w:val="00157EDD"/>
    <w:rsid w:val="001666E6"/>
    <w:rsid w:val="00167C3E"/>
    <w:rsid w:val="00177AFB"/>
    <w:rsid w:val="00183E7F"/>
    <w:rsid w:val="00190CCB"/>
    <w:rsid w:val="00191BA8"/>
    <w:rsid w:val="00193248"/>
    <w:rsid w:val="0019730B"/>
    <w:rsid w:val="001A0C0C"/>
    <w:rsid w:val="001A2041"/>
    <w:rsid w:val="001A2210"/>
    <w:rsid w:val="001A6B40"/>
    <w:rsid w:val="001A7590"/>
    <w:rsid w:val="001A7A7C"/>
    <w:rsid w:val="001B3AB3"/>
    <w:rsid w:val="001B7CAB"/>
    <w:rsid w:val="001C0894"/>
    <w:rsid w:val="001C1005"/>
    <w:rsid w:val="001C19B3"/>
    <w:rsid w:val="001C2C48"/>
    <w:rsid w:val="001C2ED5"/>
    <w:rsid w:val="001C35FF"/>
    <w:rsid w:val="001C50B2"/>
    <w:rsid w:val="001C6588"/>
    <w:rsid w:val="001D33E3"/>
    <w:rsid w:val="001E11AA"/>
    <w:rsid w:val="001E20A7"/>
    <w:rsid w:val="001E5C89"/>
    <w:rsid w:val="001E5F5C"/>
    <w:rsid w:val="001F2F5E"/>
    <w:rsid w:val="001F6FFE"/>
    <w:rsid w:val="00200145"/>
    <w:rsid w:val="0020718A"/>
    <w:rsid w:val="002122B0"/>
    <w:rsid w:val="00212BCB"/>
    <w:rsid w:val="00220BAA"/>
    <w:rsid w:val="00223758"/>
    <w:rsid w:val="00224731"/>
    <w:rsid w:val="0022686B"/>
    <w:rsid w:val="002326AF"/>
    <w:rsid w:val="002327B4"/>
    <w:rsid w:val="00232A6B"/>
    <w:rsid w:val="00232D2C"/>
    <w:rsid w:val="00236056"/>
    <w:rsid w:val="00245D58"/>
    <w:rsid w:val="002477B3"/>
    <w:rsid w:val="00256014"/>
    <w:rsid w:val="00267D99"/>
    <w:rsid w:val="00273779"/>
    <w:rsid w:val="00273A9E"/>
    <w:rsid w:val="00273E67"/>
    <w:rsid w:val="002753F0"/>
    <w:rsid w:val="0028045D"/>
    <w:rsid w:val="00280938"/>
    <w:rsid w:val="002819CC"/>
    <w:rsid w:val="00283E82"/>
    <w:rsid w:val="00285351"/>
    <w:rsid w:val="00292DB8"/>
    <w:rsid w:val="002A0628"/>
    <w:rsid w:val="002A173B"/>
    <w:rsid w:val="002A3717"/>
    <w:rsid w:val="002A6C75"/>
    <w:rsid w:val="002A7C0B"/>
    <w:rsid w:val="002B15A7"/>
    <w:rsid w:val="002B4A8D"/>
    <w:rsid w:val="002C0B5F"/>
    <w:rsid w:val="002C2130"/>
    <w:rsid w:val="002C77E6"/>
    <w:rsid w:val="002D47E5"/>
    <w:rsid w:val="002D49A9"/>
    <w:rsid w:val="002E0E66"/>
    <w:rsid w:val="002E1EF9"/>
    <w:rsid w:val="002F2184"/>
    <w:rsid w:val="002F40E6"/>
    <w:rsid w:val="002F59F4"/>
    <w:rsid w:val="002F5BA6"/>
    <w:rsid w:val="002F7220"/>
    <w:rsid w:val="002F7932"/>
    <w:rsid w:val="0030115A"/>
    <w:rsid w:val="0030387B"/>
    <w:rsid w:val="00306BB9"/>
    <w:rsid w:val="00307A02"/>
    <w:rsid w:val="003131C0"/>
    <w:rsid w:val="00321666"/>
    <w:rsid w:val="0032427D"/>
    <w:rsid w:val="00325B7B"/>
    <w:rsid w:val="0032665F"/>
    <w:rsid w:val="0033017D"/>
    <w:rsid w:val="003325D2"/>
    <w:rsid w:val="00334115"/>
    <w:rsid w:val="003376B0"/>
    <w:rsid w:val="00340504"/>
    <w:rsid w:val="003443E2"/>
    <w:rsid w:val="00350C94"/>
    <w:rsid w:val="00353738"/>
    <w:rsid w:val="003564BD"/>
    <w:rsid w:val="0037410C"/>
    <w:rsid w:val="00374897"/>
    <w:rsid w:val="003845B2"/>
    <w:rsid w:val="00386EB5"/>
    <w:rsid w:val="0039042A"/>
    <w:rsid w:val="0039255D"/>
    <w:rsid w:val="00392C32"/>
    <w:rsid w:val="003A0BEA"/>
    <w:rsid w:val="003A3B12"/>
    <w:rsid w:val="003A3C0D"/>
    <w:rsid w:val="003A4CEC"/>
    <w:rsid w:val="003A6F35"/>
    <w:rsid w:val="003A726B"/>
    <w:rsid w:val="003B0364"/>
    <w:rsid w:val="003B07F6"/>
    <w:rsid w:val="003B1EC2"/>
    <w:rsid w:val="003B34C4"/>
    <w:rsid w:val="003B4AE6"/>
    <w:rsid w:val="003B5F28"/>
    <w:rsid w:val="003B7068"/>
    <w:rsid w:val="003C2079"/>
    <w:rsid w:val="003C5B14"/>
    <w:rsid w:val="003D1E07"/>
    <w:rsid w:val="003D2E14"/>
    <w:rsid w:val="003D2FA4"/>
    <w:rsid w:val="003D5BA3"/>
    <w:rsid w:val="003E3BC1"/>
    <w:rsid w:val="003F008C"/>
    <w:rsid w:val="003F0170"/>
    <w:rsid w:val="003F1159"/>
    <w:rsid w:val="003F26A7"/>
    <w:rsid w:val="003F57E0"/>
    <w:rsid w:val="00405810"/>
    <w:rsid w:val="00406A0A"/>
    <w:rsid w:val="00416C94"/>
    <w:rsid w:val="004218EA"/>
    <w:rsid w:val="00423254"/>
    <w:rsid w:val="00426E71"/>
    <w:rsid w:val="00427464"/>
    <w:rsid w:val="0043040F"/>
    <w:rsid w:val="0043130F"/>
    <w:rsid w:val="00437977"/>
    <w:rsid w:val="004543E0"/>
    <w:rsid w:val="00456A0C"/>
    <w:rsid w:val="00457DEF"/>
    <w:rsid w:val="0046060F"/>
    <w:rsid w:val="00461BA1"/>
    <w:rsid w:val="00461CD1"/>
    <w:rsid w:val="00462E81"/>
    <w:rsid w:val="00467AF6"/>
    <w:rsid w:val="00470EC2"/>
    <w:rsid w:val="00482B75"/>
    <w:rsid w:val="004853B8"/>
    <w:rsid w:val="004906E9"/>
    <w:rsid w:val="004A14BB"/>
    <w:rsid w:val="004A1756"/>
    <w:rsid w:val="004A4D54"/>
    <w:rsid w:val="004B0463"/>
    <w:rsid w:val="004C18F0"/>
    <w:rsid w:val="004C332E"/>
    <w:rsid w:val="004C4298"/>
    <w:rsid w:val="004C454C"/>
    <w:rsid w:val="004C745F"/>
    <w:rsid w:val="004D05DF"/>
    <w:rsid w:val="004D1BE7"/>
    <w:rsid w:val="004D3F16"/>
    <w:rsid w:val="004E1C0B"/>
    <w:rsid w:val="004E40BC"/>
    <w:rsid w:val="004E5BA2"/>
    <w:rsid w:val="004F1C0F"/>
    <w:rsid w:val="004F5BAE"/>
    <w:rsid w:val="0050152F"/>
    <w:rsid w:val="00501E72"/>
    <w:rsid w:val="00520A10"/>
    <w:rsid w:val="005234CF"/>
    <w:rsid w:val="00531444"/>
    <w:rsid w:val="00533124"/>
    <w:rsid w:val="0053349C"/>
    <w:rsid w:val="00534DEE"/>
    <w:rsid w:val="0054071F"/>
    <w:rsid w:val="00541BBB"/>
    <w:rsid w:val="00543788"/>
    <w:rsid w:val="0054394B"/>
    <w:rsid w:val="005455A4"/>
    <w:rsid w:val="00546E67"/>
    <w:rsid w:val="00554A5B"/>
    <w:rsid w:val="00554A9C"/>
    <w:rsid w:val="00566362"/>
    <w:rsid w:val="005679FA"/>
    <w:rsid w:val="00581BB5"/>
    <w:rsid w:val="0058249C"/>
    <w:rsid w:val="00591B65"/>
    <w:rsid w:val="00595ABB"/>
    <w:rsid w:val="00596126"/>
    <w:rsid w:val="00596B01"/>
    <w:rsid w:val="005A0870"/>
    <w:rsid w:val="005A21CB"/>
    <w:rsid w:val="005A2428"/>
    <w:rsid w:val="005A39D9"/>
    <w:rsid w:val="005A3A5A"/>
    <w:rsid w:val="005A6378"/>
    <w:rsid w:val="005A648B"/>
    <w:rsid w:val="005A7D97"/>
    <w:rsid w:val="005B213E"/>
    <w:rsid w:val="005B21EC"/>
    <w:rsid w:val="005B35BC"/>
    <w:rsid w:val="005B5C8C"/>
    <w:rsid w:val="005B6CBD"/>
    <w:rsid w:val="005B7B96"/>
    <w:rsid w:val="005C3ACA"/>
    <w:rsid w:val="005D1B34"/>
    <w:rsid w:val="005D3C27"/>
    <w:rsid w:val="005D4034"/>
    <w:rsid w:val="005D42AB"/>
    <w:rsid w:val="005D46A9"/>
    <w:rsid w:val="005D6940"/>
    <w:rsid w:val="005E21C4"/>
    <w:rsid w:val="005E445B"/>
    <w:rsid w:val="005E6DB4"/>
    <w:rsid w:val="005E7603"/>
    <w:rsid w:val="005F315A"/>
    <w:rsid w:val="005F3C49"/>
    <w:rsid w:val="005F62FA"/>
    <w:rsid w:val="00601F5A"/>
    <w:rsid w:val="00603D96"/>
    <w:rsid w:val="00605558"/>
    <w:rsid w:val="00606B44"/>
    <w:rsid w:val="00606E05"/>
    <w:rsid w:val="00607BB1"/>
    <w:rsid w:val="00617A54"/>
    <w:rsid w:val="00617B9C"/>
    <w:rsid w:val="00624A7C"/>
    <w:rsid w:val="00626BF8"/>
    <w:rsid w:val="00627C89"/>
    <w:rsid w:val="006314BB"/>
    <w:rsid w:val="00632CB0"/>
    <w:rsid w:val="0064507E"/>
    <w:rsid w:val="006454F5"/>
    <w:rsid w:val="00646171"/>
    <w:rsid w:val="00647D4B"/>
    <w:rsid w:val="00656311"/>
    <w:rsid w:val="0065648A"/>
    <w:rsid w:val="00656509"/>
    <w:rsid w:val="00660C20"/>
    <w:rsid w:val="006623C6"/>
    <w:rsid w:val="00664343"/>
    <w:rsid w:val="0066554E"/>
    <w:rsid w:val="00666F2D"/>
    <w:rsid w:val="00672179"/>
    <w:rsid w:val="006770B8"/>
    <w:rsid w:val="00677A1F"/>
    <w:rsid w:val="00682E37"/>
    <w:rsid w:val="00685DDA"/>
    <w:rsid w:val="006906B4"/>
    <w:rsid w:val="0069096C"/>
    <w:rsid w:val="00692B4B"/>
    <w:rsid w:val="006953EE"/>
    <w:rsid w:val="006A0884"/>
    <w:rsid w:val="006A0E21"/>
    <w:rsid w:val="006A1484"/>
    <w:rsid w:val="006A29CF"/>
    <w:rsid w:val="006A2B1C"/>
    <w:rsid w:val="006A6232"/>
    <w:rsid w:val="006C2E45"/>
    <w:rsid w:val="006C3A48"/>
    <w:rsid w:val="006C3AA3"/>
    <w:rsid w:val="006C5BEA"/>
    <w:rsid w:val="006C6941"/>
    <w:rsid w:val="006D184A"/>
    <w:rsid w:val="006D3879"/>
    <w:rsid w:val="006D4760"/>
    <w:rsid w:val="006D51EF"/>
    <w:rsid w:val="006D586F"/>
    <w:rsid w:val="006E651F"/>
    <w:rsid w:val="006E6600"/>
    <w:rsid w:val="006E6648"/>
    <w:rsid w:val="006E7087"/>
    <w:rsid w:val="006F1208"/>
    <w:rsid w:val="006F46B6"/>
    <w:rsid w:val="006F54B3"/>
    <w:rsid w:val="006F5529"/>
    <w:rsid w:val="00701B5E"/>
    <w:rsid w:val="00702A9C"/>
    <w:rsid w:val="00724343"/>
    <w:rsid w:val="007259BC"/>
    <w:rsid w:val="007351E4"/>
    <w:rsid w:val="0074141A"/>
    <w:rsid w:val="007437B8"/>
    <w:rsid w:val="007448AA"/>
    <w:rsid w:val="0075090D"/>
    <w:rsid w:val="0075422B"/>
    <w:rsid w:val="00754E2D"/>
    <w:rsid w:val="00757C39"/>
    <w:rsid w:val="007616FA"/>
    <w:rsid w:val="00762ABC"/>
    <w:rsid w:val="00764A72"/>
    <w:rsid w:val="00764DA8"/>
    <w:rsid w:val="007663CF"/>
    <w:rsid w:val="00771A12"/>
    <w:rsid w:val="0077230E"/>
    <w:rsid w:val="00773BCF"/>
    <w:rsid w:val="00773E65"/>
    <w:rsid w:val="007933B8"/>
    <w:rsid w:val="007949FC"/>
    <w:rsid w:val="00795691"/>
    <w:rsid w:val="007A18A3"/>
    <w:rsid w:val="007A4E59"/>
    <w:rsid w:val="007A5872"/>
    <w:rsid w:val="007A7584"/>
    <w:rsid w:val="007A7D9D"/>
    <w:rsid w:val="007B1A73"/>
    <w:rsid w:val="007B2FCF"/>
    <w:rsid w:val="007B565C"/>
    <w:rsid w:val="007B7AEA"/>
    <w:rsid w:val="007C1A0A"/>
    <w:rsid w:val="007C1F76"/>
    <w:rsid w:val="007C5EB7"/>
    <w:rsid w:val="007D0D98"/>
    <w:rsid w:val="007D2C0D"/>
    <w:rsid w:val="007F0AF6"/>
    <w:rsid w:val="007F313D"/>
    <w:rsid w:val="007F4A52"/>
    <w:rsid w:val="007F703D"/>
    <w:rsid w:val="007F7F7F"/>
    <w:rsid w:val="00801128"/>
    <w:rsid w:val="0080236E"/>
    <w:rsid w:val="008033E9"/>
    <w:rsid w:val="00803CF6"/>
    <w:rsid w:val="00807F48"/>
    <w:rsid w:val="00807FDC"/>
    <w:rsid w:val="008100C7"/>
    <w:rsid w:val="0081161B"/>
    <w:rsid w:val="00820E93"/>
    <w:rsid w:val="00823521"/>
    <w:rsid w:val="008259BC"/>
    <w:rsid w:val="00830C6A"/>
    <w:rsid w:val="0083204D"/>
    <w:rsid w:val="008325F1"/>
    <w:rsid w:val="00832A2F"/>
    <w:rsid w:val="008351C6"/>
    <w:rsid w:val="00837297"/>
    <w:rsid w:val="008411B6"/>
    <w:rsid w:val="0084330E"/>
    <w:rsid w:val="008447A5"/>
    <w:rsid w:val="00844894"/>
    <w:rsid w:val="00846B82"/>
    <w:rsid w:val="00851E65"/>
    <w:rsid w:val="00853B3E"/>
    <w:rsid w:val="00860AAA"/>
    <w:rsid w:val="008610CB"/>
    <w:rsid w:val="0086182E"/>
    <w:rsid w:val="00872C33"/>
    <w:rsid w:val="00873682"/>
    <w:rsid w:val="00875C0F"/>
    <w:rsid w:val="00880F02"/>
    <w:rsid w:val="00881C9B"/>
    <w:rsid w:val="00885298"/>
    <w:rsid w:val="008871C1"/>
    <w:rsid w:val="00891C02"/>
    <w:rsid w:val="008950AF"/>
    <w:rsid w:val="00895179"/>
    <w:rsid w:val="0089529C"/>
    <w:rsid w:val="008A2675"/>
    <w:rsid w:val="008A5C87"/>
    <w:rsid w:val="008A6695"/>
    <w:rsid w:val="008A7296"/>
    <w:rsid w:val="008B410D"/>
    <w:rsid w:val="008B79E5"/>
    <w:rsid w:val="008D7901"/>
    <w:rsid w:val="008E2078"/>
    <w:rsid w:val="008E303E"/>
    <w:rsid w:val="008E3776"/>
    <w:rsid w:val="008E4B3C"/>
    <w:rsid w:val="008E5BC9"/>
    <w:rsid w:val="008E6913"/>
    <w:rsid w:val="008F0844"/>
    <w:rsid w:val="008F0B7A"/>
    <w:rsid w:val="008F5012"/>
    <w:rsid w:val="008F5ED8"/>
    <w:rsid w:val="00901D13"/>
    <w:rsid w:val="00901FCD"/>
    <w:rsid w:val="00910255"/>
    <w:rsid w:val="009106DE"/>
    <w:rsid w:val="009161FD"/>
    <w:rsid w:val="00916522"/>
    <w:rsid w:val="0092134E"/>
    <w:rsid w:val="00922DD3"/>
    <w:rsid w:val="00924554"/>
    <w:rsid w:val="00924C5D"/>
    <w:rsid w:val="00934F8A"/>
    <w:rsid w:val="00940A19"/>
    <w:rsid w:val="00944BC4"/>
    <w:rsid w:val="0094760A"/>
    <w:rsid w:val="0095084F"/>
    <w:rsid w:val="00951074"/>
    <w:rsid w:val="009515B0"/>
    <w:rsid w:val="00953A36"/>
    <w:rsid w:val="00953A43"/>
    <w:rsid w:val="009540E2"/>
    <w:rsid w:val="0095593A"/>
    <w:rsid w:val="00955F1B"/>
    <w:rsid w:val="009604C8"/>
    <w:rsid w:val="00961A2F"/>
    <w:rsid w:val="00965EF7"/>
    <w:rsid w:val="0097291B"/>
    <w:rsid w:val="00972AC1"/>
    <w:rsid w:val="0097693F"/>
    <w:rsid w:val="00981F53"/>
    <w:rsid w:val="00983081"/>
    <w:rsid w:val="00984073"/>
    <w:rsid w:val="00986122"/>
    <w:rsid w:val="0098748E"/>
    <w:rsid w:val="00991ECA"/>
    <w:rsid w:val="009937FA"/>
    <w:rsid w:val="0099558A"/>
    <w:rsid w:val="00995F3E"/>
    <w:rsid w:val="00997605"/>
    <w:rsid w:val="009A13BE"/>
    <w:rsid w:val="009A1539"/>
    <w:rsid w:val="009A362B"/>
    <w:rsid w:val="009A456F"/>
    <w:rsid w:val="009A5923"/>
    <w:rsid w:val="009A7A0E"/>
    <w:rsid w:val="009A7BEA"/>
    <w:rsid w:val="009B5BD6"/>
    <w:rsid w:val="009B7A06"/>
    <w:rsid w:val="009C6871"/>
    <w:rsid w:val="009C71E0"/>
    <w:rsid w:val="009D19D1"/>
    <w:rsid w:val="009D422B"/>
    <w:rsid w:val="009D4E99"/>
    <w:rsid w:val="009D744B"/>
    <w:rsid w:val="009D783A"/>
    <w:rsid w:val="009E4587"/>
    <w:rsid w:val="009E4F2F"/>
    <w:rsid w:val="009E7A57"/>
    <w:rsid w:val="009F1115"/>
    <w:rsid w:val="009F4E3D"/>
    <w:rsid w:val="009F63C7"/>
    <w:rsid w:val="00A01D9A"/>
    <w:rsid w:val="00A03EEF"/>
    <w:rsid w:val="00A127E3"/>
    <w:rsid w:val="00A12DD6"/>
    <w:rsid w:val="00A22370"/>
    <w:rsid w:val="00A22474"/>
    <w:rsid w:val="00A26C67"/>
    <w:rsid w:val="00A34DF5"/>
    <w:rsid w:val="00A35B70"/>
    <w:rsid w:val="00A375B1"/>
    <w:rsid w:val="00A4429C"/>
    <w:rsid w:val="00A44B2F"/>
    <w:rsid w:val="00A478D9"/>
    <w:rsid w:val="00A5098E"/>
    <w:rsid w:val="00A533A4"/>
    <w:rsid w:val="00A63AB4"/>
    <w:rsid w:val="00A63BCC"/>
    <w:rsid w:val="00A65258"/>
    <w:rsid w:val="00A6793E"/>
    <w:rsid w:val="00A73B3F"/>
    <w:rsid w:val="00A742EA"/>
    <w:rsid w:val="00A77003"/>
    <w:rsid w:val="00A81807"/>
    <w:rsid w:val="00A81AA2"/>
    <w:rsid w:val="00A83BBA"/>
    <w:rsid w:val="00A87091"/>
    <w:rsid w:val="00A953E6"/>
    <w:rsid w:val="00A97390"/>
    <w:rsid w:val="00AA3DBF"/>
    <w:rsid w:val="00AB0B88"/>
    <w:rsid w:val="00AB0E30"/>
    <w:rsid w:val="00AB5198"/>
    <w:rsid w:val="00AB637B"/>
    <w:rsid w:val="00AB76AB"/>
    <w:rsid w:val="00AC01D1"/>
    <w:rsid w:val="00AC3255"/>
    <w:rsid w:val="00AC6B88"/>
    <w:rsid w:val="00AD542A"/>
    <w:rsid w:val="00AD5D6C"/>
    <w:rsid w:val="00AE13D4"/>
    <w:rsid w:val="00AE4756"/>
    <w:rsid w:val="00AF01A6"/>
    <w:rsid w:val="00AF0E9F"/>
    <w:rsid w:val="00AF438F"/>
    <w:rsid w:val="00AF487C"/>
    <w:rsid w:val="00AF7301"/>
    <w:rsid w:val="00B0106E"/>
    <w:rsid w:val="00B02008"/>
    <w:rsid w:val="00B1258B"/>
    <w:rsid w:val="00B1788B"/>
    <w:rsid w:val="00B24A22"/>
    <w:rsid w:val="00B24AEA"/>
    <w:rsid w:val="00B24F83"/>
    <w:rsid w:val="00B34972"/>
    <w:rsid w:val="00B34E02"/>
    <w:rsid w:val="00B35F94"/>
    <w:rsid w:val="00B42271"/>
    <w:rsid w:val="00B43C70"/>
    <w:rsid w:val="00B47A40"/>
    <w:rsid w:val="00B505E0"/>
    <w:rsid w:val="00B5251A"/>
    <w:rsid w:val="00B55F89"/>
    <w:rsid w:val="00B627D0"/>
    <w:rsid w:val="00B638E3"/>
    <w:rsid w:val="00B63D3E"/>
    <w:rsid w:val="00B6574D"/>
    <w:rsid w:val="00B66EE4"/>
    <w:rsid w:val="00B6775B"/>
    <w:rsid w:val="00B7532A"/>
    <w:rsid w:val="00B76991"/>
    <w:rsid w:val="00B82E05"/>
    <w:rsid w:val="00B83083"/>
    <w:rsid w:val="00B873B3"/>
    <w:rsid w:val="00B93E26"/>
    <w:rsid w:val="00BB1B82"/>
    <w:rsid w:val="00BB3A12"/>
    <w:rsid w:val="00BB6894"/>
    <w:rsid w:val="00BC0839"/>
    <w:rsid w:val="00BC3DF4"/>
    <w:rsid w:val="00BC4C88"/>
    <w:rsid w:val="00BD5C59"/>
    <w:rsid w:val="00BE4253"/>
    <w:rsid w:val="00BE64AB"/>
    <w:rsid w:val="00BF36B7"/>
    <w:rsid w:val="00C04A17"/>
    <w:rsid w:val="00C11C1B"/>
    <w:rsid w:val="00C12B65"/>
    <w:rsid w:val="00C1758C"/>
    <w:rsid w:val="00C17FEA"/>
    <w:rsid w:val="00C21235"/>
    <w:rsid w:val="00C23B08"/>
    <w:rsid w:val="00C25A48"/>
    <w:rsid w:val="00C26641"/>
    <w:rsid w:val="00C3265D"/>
    <w:rsid w:val="00C334AC"/>
    <w:rsid w:val="00C3451B"/>
    <w:rsid w:val="00C44757"/>
    <w:rsid w:val="00C44EBA"/>
    <w:rsid w:val="00C46AD1"/>
    <w:rsid w:val="00C46DF0"/>
    <w:rsid w:val="00C52098"/>
    <w:rsid w:val="00C54CF2"/>
    <w:rsid w:val="00C57646"/>
    <w:rsid w:val="00C57860"/>
    <w:rsid w:val="00C60AA3"/>
    <w:rsid w:val="00C628A6"/>
    <w:rsid w:val="00C638E0"/>
    <w:rsid w:val="00C63918"/>
    <w:rsid w:val="00C647DA"/>
    <w:rsid w:val="00C65C94"/>
    <w:rsid w:val="00C71A7D"/>
    <w:rsid w:val="00C725C0"/>
    <w:rsid w:val="00C771E2"/>
    <w:rsid w:val="00C810FB"/>
    <w:rsid w:val="00C97220"/>
    <w:rsid w:val="00CA23BB"/>
    <w:rsid w:val="00CA4DF9"/>
    <w:rsid w:val="00CA6BC6"/>
    <w:rsid w:val="00CB4B00"/>
    <w:rsid w:val="00CB6567"/>
    <w:rsid w:val="00CC1E7C"/>
    <w:rsid w:val="00CC301E"/>
    <w:rsid w:val="00CC4F85"/>
    <w:rsid w:val="00CC6AA9"/>
    <w:rsid w:val="00CC6C88"/>
    <w:rsid w:val="00CC7CB5"/>
    <w:rsid w:val="00CD22FC"/>
    <w:rsid w:val="00CD48AC"/>
    <w:rsid w:val="00CD635D"/>
    <w:rsid w:val="00CE0257"/>
    <w:rsid w:val="00CE2CCA"/>
    <w:rsid w:val="00CF20E2"/>
    <w:rsid w:val="00CF23C4"/>
    <w:rsid w:val="00CF31CA"/>
    <w:rsid w:val="00CF3838"/>
    <w:rsid w:val="00CF745A"/>
    <w:rsid w:val="00CF7FB0"/>
    <w:rsid w:val="00D023EC"/>
    <w:rsid w:val="00D02D85"/>
    <w:rsid w:val="00D045E7"/>
    <w:rsid w:val="00D04B65"/>
    <w:rsid w:val="00D136DB"/>
    <w:rsid w:val="00D14AEB"/>
    <w:rsid w:val="00D15155"/>
    <w:rsid w:val="00D17E37"/>
    <w:rsid w:val="00D206B6"/>
    <w:rsid w:val="00D23747"/>
    <w:rsid w:val="00D2388D"/>
    <w:rsid w:val="00D26696"/>
    <w:rsid w:val="00D307C0"/>
    <w:rsid w:val="00D30CD5"/>
    <w:rsid w:val="00D3223F"/>
    <w:rsid w:val="00D33983"/>
    <w:rsid w:val="00D37118"/>
    <w:rsid w:val="00D42441"/>
    <w:rsid w:val="00D425A2"/>
    <w:rsid w:val="00D51B99"/>
    <w:rsid w:val="00D51CD4"/>
    <w:rsid w:val="00D54FC6"/>
    <w:rsid w:val="00D5589D"/>
    <w:rsid w:val="00D55A54"/>
    <w:rsid w:val="00D60B9A"/>
    <w:rsid w:val="00D623FA"/>
    <w:rsid w:val="00D7066D"/>
    <w:rsid w:val="00D71139"/>
    <w:rsid w:val="00D72547"/>
    <w:rsid w:val="00D75E8D"/>
    <w:rsid w:val="00D80328"/>
    <w:rsid w:val="00D849F0"/>
    <w:rsid w:val="00D850F7"/>
    <w:rsid w:val="00D90AAA"/>
    <w:rsid w:val="00D924B4"/>
    <w:rsid w:val="00DA0CCB"/>
    <w:rsid w:val="00DA0CD1"/>
    <w:rsid w:val="00DA2E1B"/>
    <w:rsid w:val="00DA4C10"/>
    <w:rsid w:val="00DB16B7"/>
    <w:rsid w:val="00DC0C1B"/>
    <w:rsid w:val="00DC1223"/>
    <w:rsid w:val="00DD0508"/>
    <w:rsid w:val="00DD33F7"/>
    <w:rsid w:val="00DD34CE"/>
    <w:rsid w:val="00DD36FD"/>
    <w:rsid w:val="00DD5125"/>
    <w:rsid w:val="00DE597F"/>
    <w:rsid w:val="00DE7A2D"/>
    <w:rsid w:val="00DF6974"/>
    <w:rsid w:val="00E02D9A"/>
    <w:rsid w:val="00E143D7"/>
    <w:rsid w:val="00E14E2D"/>
    <w:rsid w:val="00E162C5"/>
    <w:rsid w:val="00E16A7D"/>
    <w:rsid w:val="00E202AB"/>
    <w:rsid w:val="00E2350A"/>
    <w:rsid w:val="00E25A36"/>
    <w:rsid w:val="00E3017F"/>
    <w:rsid w:val="00E30419"/>
    <w:rsid w:val="00E32F43"/>
    <w:rsid w:val="00E3318A"/>
    <w:rsid w:val="00E34535"/>
    <w:rsid w:val="00E34735"/>
    <w:rsid w:val="00E35E5C"/>
    <w:rsid w:val="00E35E94"/>
    <w:rsid w:val="00E36299"/>
    <w:rsid w:val="00E36E84"/>
    <w:rsid w:val="00E4595B"/>
    <w:rsid w:val="00E53417"/>
    <w:rsid w:val="00E56BCB"/>
    <w:rsid w:val="00E67458"/>
    <w:rsid w:val="00E67F3A"/>
    <w:rsid w:val="00E715E2"/>
    <w:rsid w:val="00E74616"/>
    <w:rsid w:val="00E76CDA"/>
    <w:rsid w:val="00E8090F"/>
    <w:rsid w:val="00E83DD0"/>
    <w:rsid w:val="00E85975"/>
    <w:rsid w:val="00E85982"/>
    <w:rsid w:val="00E928B5"/>
    <w:rsid w:val="00E9592A"/>
    <w:rsid w:val="00E96014"/>
    <w:rsid w:val="00EA1571"/>
    <w:rsid w:val="00EA1BEF"/>
    <w:rsid w:val="00EB0AEB"/>
    <w:rsid w:val="00EB1BA0"/>
    <w:rsid w:val="00EB22BC"/>
    <w:rsid w:val="00EB2C3D"/>
    <w:rsid w:val="00EC0225"/>
    <w:rsid w:val="00ED2784"/>
    <w:rsid w:val="00ED4448"/>
    <w:rsid w:val="00EE2C81"/>
    <w:rsid w:val="00EE3B64"/>
    <w:rsid w:val="00EE443C"/>
    <w:rsid w:val="00EE6BD2"/>
    <w:rsid w:val="00EF0D21"/>
    <w:rsid w:val="00EF1044"/>
    <w:rsid w:val="00EF4E18"/>
    <w:rsid w:val="00EF7C50"/>
    <w:rsid w:val="00F00462"/>
    <w:rsid w:val="00F03D5D"/>
    <w:rsid w:val="00F053E5"/>
    <w:rsid w:val="00F109F2"/>
    <w:rsid w:val="00F10E04"/>
    <w:rsid w:val="00F129B0"/>
    <w:rsid w:val="00F12F19"/>
    <w:rsid w:val="00F1643B"/>
    <w:rsid w:val="00F2092A"/>
    <w:rsid w:val="00F2110E"/>
    <w:rsid w:val="00F22312"/>
    <w:rsid w:val="00F240A5"/>
    <w:rsid w:val="00F274B9"/>
    <w:rsid w:val="00F300F8"/>
    <w:rsid w:val="00F33CCD"/>
    <w:rsid w:val="00F352AC"/>
    <w:rsid w:val="00F35A9D"/>
    <w:rsid w:val="00F3732A"/>
    <w:rsid w:val="00F3776D"/>
    <w:rsid w:val="00F40025"/>
    <w:rsid w:val="00F53050"/>
    <w:rsid w:val="00F5566F"/>
    <w:rsid w:val="00F65030"/>
    <w:rsid w:val="00F667C0"/>
    <w:rsid w:val="00F703DC"/>
    <w:rsid w:val="00F706FB"/>
    <w:rsid w:val="00F72AA3"/>
    <w:rsid w:val="00F735B8"/>
    <w:rsid w:val="00F81E7B"/>
    <w:rsid w:val="00F82210"/>
    <w:rsid w:val="00FA7EAA"/>
    <w:rsid w:val="00FB0238"/>
    <w:rsid w:val="00FB145D"/>
    <w:rsid w:val="00FB2690"/>
    <w:rsid w:val="00FB5C61"/>
    <w:rsid w:val="00FB75B5"/>
    <w:rsid w:val="00FC1917"/>
    <w:rsid w:val="00FC5B99"/>
    <w:rsid w:val="00FC7C67"/>
    <w:rsid w:val="00FD3FD9"/>
    <w:rsid w:val="00FE0822"/>
    <w:rsid w:val="00FE1E19"/>
    <w:rsid w:val="00FE2C12"/>
    <w:rsid w:val="00FE2D0D"/>
    <w:rsid w:val="00FE44FE"/>
    <w:rsid w:val="00FE453C"/>
    <w:rsid w:val="00FE45B5"/>
    <w:rsid w:val="00FE4D58"/>
    <w:rsid w:val="00FE7279"/>
    <w:rsid w:val="00FE73E1"/>
    <w:rsid w:val="00FF079A"/>
    <w:rsid w:val="00FF3611"/>
    <w:rsid w:val="00FF3AA4"/>
    <w:rsid w:val="00FF3F3F"/>
    <w:rsid w:val="00FF40CE"/>
    <w:rsid w:val="00FF43B0"/>
    <w:rsid w:val="00FF6E5A"/>
    <w:rsid w:val="01BC0957"/>
    <w:rsid w:val="01EF2F30"/>
    <w:rsid w:val="01FF0969"/>
    <w:rsid w:val="02894707"/>
    <w:rsid w:val="02BD49BF"/>
    <w:rsid w:val="02E67403"/>
    <w:rsid w:val="03EC38CA"/>
    <w:rsid w:val="05326FA0"/>
    <w:rsid w:val="05B75D33"/>
    <w:rsid w:val="05FC7B07"/>
    <w:rsid w:val="06AA143F"/>
    <w:rsid w:val="07247144"/>
    <w:rsid w:val="07C45C06"/>
    <w:rsid w:val="08676FDA"/>
    <w:rsid w:val="086E53D8"/>
    <w:rsid w:val="08E864F8"/>
    <w:rsid w:val="09910A8B"/>
    <w:rsid w:val="09D3707F"/>
    <w:rsid w:val="09DC591A"/>
    <w:rsid w:val="09FA140E"/>
    <w:rsid w:val="0A4B37F8"/>
    <w:rsid w:val="0ADB3B66"/>
    <w:rsid w:val="0AFD7E69"/>
    <w:rsid w:val="0B3667FA"/>
    <w:rsid w:val="0B3C1A54"/>
    <w:rsid w:val="0BA5318B"/>
    <w:rsid w:val="0C2F554A"/>
    <w:rsid w:val="0C3A7F4A"/>
    <w:rsid w:val="0C6C673C"/>
    <w:rsid w:val="0CB513D5"/>
    <w:rsid w:val="0CE253A3"/>
    <w:rsid w:val="0E466309"/>
    <w:rsid w:val="0E7B5A54"/>
    <w:rsid w:val="0E8A05DE"/>
    <w:rsid w:val="0EF45F8B"/>
    <w:rsid w:val="104558DB"/>
    <w:rsid w:val="107F2DC5"/>
    <w:rsid w:val="109C7AD3"/>
    <w:rsid w:val="10B34BA9"/>
    <w:rsid w:val="11851DF7"/>
    <w:rsid w:val="11C8448F"/>
    <w:rsid w:val="11D916BE"/>
    <w:rsid w:val="12BE417E"/>
    <w:rsid w:val="13431E42"/>
    <w:rsid w:val="137262F1"/>
    <w:rsid w:val="13D054CD"/>
    <w:rsid w:val="13D92055"/>
    <w:rsid w:val="148516C1"/>
    <w:rsid w:val="149D4E30"/>
    <w:rsid w:val="14EE0B0A"/>
    <w:rsid w:val="15477DC5"/>
    <w:rsid w:val="155F2ACA"/>
    <w:rsid w:val="158E3427"/>
    <w:rsid w:val="16AF1F12"/>
    <w:rsid w:val="16D10353"/>
    <w:rsid w:val="1776379B"/>
    <w:rsid w:val="18C82EB8"/>
    <w:rsid w:val="190865BD"/>
    <w:rsid w:val="191244EC"/>
    <w:rsid w:val="19BF7498"/>
    <w:rsid w:val="1A2D1177"/>
    <w:rsid w:val="1A7E4BFF"/>
    <w:rsid w:val="1AB332F4"/>
    <w:rsid w:val="1BC42DF7"/>
    <w:rsid w:val="1C627BCD"/>
    <w:rsid w:val="1CE70237"/>
    <w:rsid w:val="1D5B0349"/>
    <w:rsid w:val="1F09511E"/>
    <w:rsid w:val="1F5556C9"/>
    <w:rsid w:val="1FBC1BC4"/>
    <w:rsid w:val="1FC6212B"/>
    <w:rsid w:val="20264B81"/>
    <w:rsid w:val="2115797A"/>
    <w:rsid w:val="219F1202"/>
    <w:rsid w:val="22196ACF"/>
    <w:rsid w:val="22351B31"/>
    <w:rsid w:val="22E000D5"/>
    <w:rsid w:val="2384789C"/>
    <w:rsid w:val="23FD364E"/>
    <w:rsid w:val="2482643C"/>
    <w:rsid w:val="24A37BD7"/>
    <w:rsid w:val="259C375B"/>
    <w:rsid w:val="25D62066"/>
    <w:rsid w:val="269E59E3"/>
    <w:rsid w:val="26B04243"/>
    <w:rsid w:val="275E3750"/>
    <w:rsid w:val="276C1415"/>
    <w:rsid w:val="2873244C"/>
    <w:rsid w:val="296F3041"/>
    <w:rsid w:val="2A714EFD"/>
    <w:rsid w:val="2AB202E0"/>
    <w:rsid w:val="2ABA1E46"/>
    <w:rsid w:val="2ADF65A1"/>
    <w:rsid w:val="2AF11CF6"/>
    <w:rsid w:val="2B330E68"/>
    <w:rsid w:val="2B9F031B"/>
    <w:rsid w:val="2BF05033"/>
    <w:rsid w:val="2C201C6A"/>
    <w:rsid w:val="2C6D4D4A"/>
    <w:rsid w:val="2C8E3173"/>
    <w:rsid w:val="2D103FE4"/>
    <w:rsid w:val="2D183C15"/>
    <w:rsid w:val="2D382DF5"/>
    <w:rsid w:val="2DC71067"/>
    <w:rsid w:val="2DE62634"/>
    <w:rsid w:val="2DE654E7"/>
    <w:rsid w:val="2E3B4CA7"/>
    <w:rsid w:val="2E43123A"/>
    <w:rsid w:val="2E7679D5"/>
    <w:rsid w:val="2EC032E3"/>
    <w:rsid w:val="2EDC5239"/>
    <w:rsid w:val="2FB76D4A"/>
    <w:rsid w:val="2FD71948"/>
    <w:rsid w:val="30B130B6"/>
    <w:rsid w:val="30BD7A41"/>
    <w:rsid w:val="30D71E7D"/>
    <w:rsid w:val="30F604A4"/>
    <w:rsid w:val="31912AA3"/>
    <w:rsid w:val="323811F3"/>
    <w:rsid w:val="32921478"/>
    <w:rsid w:val="32D21377"/>
    <w:rsid w:val="33383015"/>
    <w:rsid w:val="33465B2C"/>
    <w:rsid w:val="34414A34"/>
    <w:rsid w:val="34476051"/>
    <w:rsid w:val="34575833"/>
    <w:rsid w:val="349C36DA"/>
    <w:rsid w:val="352E5B6B"/>
    <w:rsid w:val="354C467E"/>
    <w:rsid w:val="355363F6"/>
    <w:rsid w:val="35C1292C"/>
    <w:rsid w:val="36E3156C"/>
    <w:rsid w:val="372C6904"/>
    <w:rsid w:val="377E057B"/>
    <w:rsid w:val="377E69C7"/>
    <w:rsid w:val="385654F3"/>
    <w:rsid w:val="39376802"/>
    <w:rsid w:val="3A2A095D"/>
    <w:rsid w:val="3A6F24A8"/>
    <w:rsid w:val="3A936480"/>
    <w:rsid w:val="3B5F49D5"/>
    <w:rsid w:val="3B77354A"/>
    <w:rsid w:val="3BD86948"/>
    <w:rsid w:val="3BE04532"/>
    <w:rsid w:val="3BE13E9E"/>
    <w:rsid w:val="3C236509"/>
    <w:rsid w:val="3C543445"/>
    <w:rsid w:val="3E212B17"/>
    <w:rsid w:val="3E4E3B6F"/>
    <w:rsid w:val="3E6D6FB2"/>
    <w:rsid w:val="3E7B24D6"/>
    <w:rsid w:val="3EA26B09"/>
    <w:rsid w:val="3F153BCC"/>
    <w:rsid w:val="3FA15A98"/>
    <w:rsid w:val="3FA570AF"/>
    <w:rsid w:val="404C50C9"/>
    <w:rsid w:val="406E15B7"/>
    <w:rsid w:val="40A57B02"/>
    <w:rsid w:val="40BA518D"/>
    <w:rsid w:val="4115383B"/>
    <w:rsid w:val="416250E2"/>
    <w:rsid w:val="41DA223F"/>
    <w:rsid w:val="42F5320E"/>
    <w:rsid w:val="42F547D8"/>
    <w:rsid w:val="430F17B4"/>
    <w:rsid w:val="433E4D98"/>
    <w:rsid w:val="43580E84"/>
    <w:rsid w:val="43D33DA0"/>
    <w:rsid w:val="43E069B3"/>
    <w:rsid w:val="45564AF3"/>
    <w:rsid w:val="45BF2B87"/>
    <w:rsid w:val="46290E73"/>
    <w:rsid w:val="464C2B4E"/>
    <w:rsid w:val="468E2907"/>
    <w:rsid w:val="47F53873"/>
    <w:rsid w:val="48126142"/>
    <w:rsid w:val="48505C35"/>
    <w:rsid w:val="485247F9"/>
    <w:rsid w:val="48CA6CD7"/>
    <w:rsid w:val="48CD0C8E"/>
    <w:rsid w:val="48E30CB0"/>
    <w:rsid w:val="495D3FC1"/>
    <w:rsid w:val="4A320CF2"/>
    <w:rsid w:val="4B2470C9"/>
    <w:rsid w:val="4BAD633B"/>
    <w:rsid w:val="4BF532C7"/>
    <w:rsid w:val="4BFB375D"/>
    <w:rsid w:val="4C716AE0"/>
    <w:rsid w:val="4D415CF0"/>
    <w:rsid w:val="4D8C37E1"/>
    <w:rsid w:val="4D9D0D53"/>
    <w:rsid w:val="4DCA77A0"/>
    <w:rsid w:val="4E7061A5"/>
    <w:rsid w:val="4E9073A7"/>
    <w:rsid w:val="4EAD59C3"/>
    <w:rsid w:val="4F0462CC"/>
    <w:rsid w:val="4F1C15CE"/>
    <w:rsid w:val="4F705D99"/>
    <w:rsid w:val="4FA22C30"/>
    <w:rsid w:val="4FE7290C"/>
    <w:rsid w:val="50D34ECE"/>
    <w:rsid w:val="51614D18"/>
    <w:rsid w:val="518474EC"/>
    <w:rsid w:val="51CA3F36"/>
    <w:rsid w:val="51E45CDC"/>
    <w:rsid w:val="526775A9"/>
    <w:rsid w:val="540E1D31"/>
    <w:rsid w:val="54244F9C"/>
    <w:rsid w:val="55380241"/>
    <w:rsid w:val="55E6025B"/>
    <w:rsid w:val="56DF3867"/>
    <w:rsid w:val="570D142E"/>
    <w:rsid w:val="573B56E8"/>
    <w:rsid w:val="574F3A95"/>
    <w:rsid w:val="576603E3"/>
    <w:rsid w:val="57864C68"/>
    <w:rsid w:val="582272AA"/>
    <w:rsid w:val="58296A6F"/>
    <w:rsid w:val="590F5B7A"/>
    <w:rsid w:val="59792971"/>
    <w:rsid w:val="5A69018E"/>
    <w:rsid w:val="5AC26D06"/>
    <w:rsid w:val="5BCF7308"/>
    <w:rsid w:val="5C17386D"/>
    <w:rsid w:val="5C761DD7"/>
    <w:rsid w:val="5C9A5084"/>
    <w:rsid w:val="5CC208D3"/>
    <w:rsid w:val="5DBF585D"/>
    <w:rsid w:val="5E870968"/>
    <w:rsid w:val="5F541786"/>
    <w:rsid w:val="5FA36C19"/>
    <w:rsid w:val="5FB95491"/>
    <w:rsid w:val="5FBB070E"/>
    <w:rsid w:val="60837DE7"/>
    <w:rsid w:val="60A9349B"/>
    <w:rsid w:val="61182335"/>
    <w:rsid w:val="61566BDE"/>
    <w:rsid w:val="61C13BDF"/>
    <w:rsid w:val="61C22059"/>
    <w:rsid w:val="623C4C31"/>
    <w:rsid w:val="623C4CAB"/>
    <w:rsid w:val="62B379FC"/>
    <w:rsid w:val="639124EA"/>
    <w:rsid w:val="639D1060"/>
    <w:rsid w:val="63F46152"/>
    <w:rsid w:val="645F111A"/>
    <w:rsid w:val="64E43764"/>
    <w:rsid w:val="652E3F14"/>
    <w:rsid w:val="65AB4879"/>
    <w:rsid w:val="65F92F79"/>
    <w:rsid w:val="661F4DC5"/>
    <w:rsid w:val="66271B54"/>
    <w:rsid w:val="666236A4"/>
    <w:rsid w:val="669213C6"/>
    <w:rsid w:val="66C71E28"/>
    <w:rsid w:val="67294D6A"/>
    <w:rsid w:val="684B3E4C"/>
    <w:rsid w:val="685472EB"/>
    <w:rsid w:val="689819CB"/>
    <w:rsid w:val="69585FAE"/>
    <w:rsid w:val="6AAD55F9"/>
    <w:rsid w:val="6ACF3470"/>
    <w:rsid w:val="6ADB6938"/>
    <w:rsid w:val="6AE57563"/>
    <w:rsid w:val="6AFD7FE3"/>
    <w:rsid w:val="6BD16FA2"/>
    <w:rsid w:val="6BEE68EF"/>
    <w:rsid w:val="6C6B2D49"/>
    <w:rsid w:val="6D0F232E"/>
    <w:rsid w:val="6D535020"/>
    <w:rsid w:val="6E614928"/>
    <w:rsid w:val="6F1A1E3B"/>
    <w:rsid w:val="6F47278A"/>
    <w:rsid w:val="6F8F34F3"/>
    <w:rsid w:val="6F93154A"/>
    <w:rsid w:val="71170E5D"/>
    <w:rsid w:val="7174559B"/>
    <w:rsid w:val="71D6354D"/>
    <w:rsid w:val="723936A6"/>
    <w:rsid w:val="72A43864"/>
    <w:rsid w:val="732B171B"/>
    <w:rsid w:val="73A03C49"/>
    <w:rsid w:val="73E94FC0"/>
    <w:rsid w:val="74805035"/>
    <w:rsid w:val="74C100D0"/>
    <w:rsid w:val="74F66808"/>
    <w:rsid w:val="756F5303"/>
    <w:rsid w:val="76236E97"/>
    <w:rsid w:val="76FC71A9"/>
    <w:rsid w:val="7768642D"/>
    <w:rsid w:val="77A80152"/>
    <w:rsid w:val="77D21B68"/>
    <w:rsid w:val="77D7775F"/>
    <w:rsid w:val="77EB7748"/>
    <w:rsid w:val="781C65BD"/>
    <w:rsid w:val="78315F93"/>
    <w:rsid w:val="79BE4FB8"/>
    <w:rsid w:val="79CC78D0"/>
    <w:rsid w:val="7A0C3E9C"/>
    <w:rsid w:val="7A4D5057"/>
    <w:rsid w:val="7A9E7AD1"/>
    <w:rsid w:val="7AB73E40"/>
    <w:rsid w:val="7AE31B0D"/>
    <w:rsid w:val="7BC978E1"/>
    <w:rsid w:val="7C1661E8"/>
    <w:rsid w:val="7CF75643"/>
    <w:rsid w:val="7D3C2A6C"/>
    <w:rsid w:val="7D400C3F"/>
    <w:rsid w:val="7D9242BB"/>
    <w:rsid w:val="7DFF124F"/>
    <w:rsid w:val="7E650E89"/>
    <w:rsid w:val="7E8E10B6"/>
    <w:rsid w:val="7EA6748E"/>
    <w:rsid w:val="7F055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100" w:after="90" w:line="240" w:lineRule="auto"/>
      <w:outlineLvl w:val="0"/>
    </w:pPr>
    <w:rPr>
      <w:rFonts w:eastAsia="黑体"/>
      <w:bCs/>
      <w:kern w:val="44"/>
      <w:szCs w:val="44"/>
    </w:rPr>
  </w:style>
  <w:style w:type="paragraph" w:styleId="3">
    <w:name w:val="heading 2"/>
    <w:basedOn w:val="1"/>
    <w:next w:val="1"/>
    <w:unhideWhenUsed/>
    <w:qFormat/>
    <w:uiPriority w:val="0"/>
    <w:pPr>
      <w:keepNext/>
      <w:keepLines/>
      <w:numPr>
        <w:ilvl w:val="1"/>
        <w:numId w:val="1"/>
      </w:numPr>
      <w:tabs>
        <w:tab w:val="left" w:pos="420"/>
      </w:tabs>
      <w:spacing w:beforeLines="100" w:afterLines="100" w:line="240" w:lineRule="auto"/>
      <w:ind w:left="839"/>
      <w:jc w:val="left"/>
      <w:outlineLvl w:val="1"/>
    </w:pPr>
    <w:rPr>
      <w:bCs/>
      <w:szCs w:val="30"/>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48"/>
    <w:unhideWhenUsed/>
    <w:qFormat/>
    <w:uiPriority w:val="99"/>
    <w:pPr>
      <w:jc w:val="left"/>
    </w:pPr>
  </w:style>
  <w:style w:type="paragraph" w:styleId="5">
    <w:name w:val="Body Text"/>
    <w:basedOn w:val="1"/>
    <w:link w:val="58"/>
    <w:semiHidden/>
    <w:unhideWhenUsed/>
    <w:uiPriority w:val="0"/>
    <w:pPr>
      <w:spacing w:after="120"/>
    </w:pPr>
  </w:style>
  <w:style w:type="paragraph" w:styleId="6">
    <w:name w:val="Body Text Indent"/>
    <w:basedOn w:val="1"/>
    <w:qFormat/>
    <w:uiPriority w:val="0"/>
    <w:pPr>
      <w:ind w:firstLine="480" w:firstLineChars="200"/>
    </w:pPr>
    <w:rPr>
      <w:color w:val="FF0000"/>
      <w:sz w:val="24"/>
    </w:rPr>
  </w:style>
  <w:style w:type="paragraph" w:styleId="7">
    <w:name w:val="Balloon Text"/>
    <w:basedOn w:val="1"/>
    <w:link w:val="47"/>
    <w:qFormat/>
    <w:uiPriority w:val="0"/>
    <w:pPr>
      <w:spacing w:line="240" w:lineRule="auto"/>
    </w:pPr>
    <w:rPr>
      <w:sz w:val="18"/>
      <w:szCs w:val="18"/>
    </w:rPr>
  </w:style>
  <w:style w:type="paragraph" w:styleId="8">
    <w:name w:val="footer"/>
    <w:basedOn w:val="1"/>
    <w:link w:val="57"/>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1">
    <w:name w:val="Body Text Indent 3"/>
    <w:basedOn w:val="1"/>
    <w:qFormat/>
    <w:uiPriority w:val="0"/>
    <w:pPr>
      <w:ind w:firstLine="480" w:firstLineChars="200"/>
    </w:pPr>
    <w:rPr>
      <w:sz w:val="24"/>
    </w:rPr>
  </w:style>
  <w:style w:type="paragraph" w:styleId="12">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13">
    <w:name w:val="Normal (Web)"/>
    <w:basedOn w:val="1"/>
    <w:semiHidden/>
    <w:unhideWhenUsed/>
    <w:qFormat/>
    <w:uiPriority w:val="99"/>
    <w:pPr>
      <w:widowControl/>
      <w:spacing w:before="100" w:beforeAutospacing="1" w:after="100" w:afterAutospacing="1" w:line="240" w:lineRule="auto"/>
      <w:jc w:val="left"/>
    </w:pPr>
    <w:rPr>
      <w:rFonts w:cs="宋体"/>
      <w:kern w:val="0"/>
      <w:sz w:val="24"/>
    </w:rPr>
  </w:style>
  <w:style w:type="paragraph" w:styleId="14">
    <w:name w:val="annotation subject"/>
    <w:basedOn w:val="4"/>
    <w:next w:val="4"/>
    <w:link w:val="49"/>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color w:val="164396"/>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Variable"/>
    <w:basedOn w:val="17"/>
    <w:qFormat/>
    <w:uiPriority w:val="0"/>
  </w:style>
  <w:style w:type="character" w:styleId="24">
    <w:name w:val="Hyperlink"/>
    <w:basedOn w:val="17"/>
    <w:unhideWhenUsed/>
    <w:qFormat/>
    <w:uiPriority w:val="99"/>
    <w:rPr>
      <w:color w:val="0563C1" w:themeColor="hyperlink"/>
      <w:u w:val="single"/>
    </w:rPr>
  </w:style>
  <w:style w:type="character" w:styleId="25">
    <w:name w:val="HTML Code"/>
    <w:basedOn w:val="17"/>
    <w:qFormat/>
    <w:uiPriority w:val="0"/>
    <w:rPr>
      <w:rFonts w:ascii="Courier New" w:hAnsi="Courier New"/>
      <w:sz w:val="20"/>
    </w:rPr>
  </w:style>
  <w:style w:type="character" w:styleId="26">
    <w:name w:val="annotation reference"/>
    <w:unhideWhenUsed/>
    <w:qFormat/>
    <w:uiPriority w:val="99"/>
    <w:rPr>
      <w:sz w:val="21"/>
      <w:szCs w:val="21"/>
    </w:rPr>
  </w:style>
  <w:style w:type="character" w:styleId="27">
    <w:name w:val="HTML Cite"/>
    <w:basedOn w:val="17"/>
    <w:qFormat/>
    <w:uiPriority w:val="0"/>
  </w:style>
  <w:style w:type="paragraph" w:customStyle="1" w:styleId="28">
    <w:name w:val="封面正文"/>
    <w:qFormat/>
    <w:uiPriority w:val="0"/>
    <w:pPr>
      <w:jc w:val="both"/>
    </w:pPr>
    <w:rPr>
      <w:rFonts w:ascii="Times New Roman" w:hAnsi="Times New Roman" w:eastAsia="宋体" w:cs="Times New Roman"/>
      <w:lang w:val="en-US" w:eastAsia="zh-CN" w:bidi="ar-SA"/>
    </w:rPr>
  </w:style>
  <w:style w:type="paragraph" w:customStyle="1" w:styleId="29">
    <w:name w:val="段"/>
    <w:link w:val="5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标题 1 字符"/>
    <w:link w:val="2"/>
    <w:qFormat/>
    <w:uiPriority w:val="9"/>
    <w:rPr>
      <w:rFonts w:eastAsia="黑体"/>
      <w:bCs/>
      <w:kern w:val="44"/>
      <w:szCs w:val="44"/>
    </w:rPr>
  </w:style>
  <w:style w:type="paragraph" w:customStyle="1" w:styleId="31">
    <w:name w:val="ENFI表体"/>
    <w:basedOn w:val="1"/>
    <w:qFormat/>
    <w:uiPriority w:val="0"/>
    <w:pPr>
      <w:widowControl/>
      <w:adjustRightInd w:val="0"/>
      <w:snapToGrid w:val="0"/>
      <w:spacing w:line="240" w:lineRule="atLeast"/>
      <w:jc w:val="left"/>
    </w:pPr>
    <w:rPr>
      <w:rFonts w:eastAsia="仿宋_GB2312"/>
      <w:kern w:val="0"/>
    </w:rPr>
  </w:style>
  <w:style w:type="paragraph" w:customStyle="1" w:styleId="32">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33">
    <w:name w:val="实施日期"/>
    <w:basedOn w:val="34"/>
    <w:qFormat/>
    <w:uiPriority w:val="0"/>
    <w:pPr>
      <w:jc w:val="right"/>
    </w:pPr>
  </w:style>
  <w:style w:type="paragraph" w:customStyle="1" w:styleId="34">
    <w:name w:val="发布日期"/>
    <w:qFormat/>
    <w:uiPriority w:val="0"/>
    <w:rPr>
      <w:rFonts w:ascii="Times New Roman" w:hAnsi="Times New Roman" w:eastAsia="黑体" w:cs="Times New Roman"/>
      <w:sz w:val="28"/>
      <w:lang w:val="en-US" w:eastAsia="zh-CN" w:bidi="ar-SA"/>
    </w:rPr>
  </w:style>
  <w:style w:type="paragraph" w:customStyle="1" w:styleId="35">
    <w:name w:val="CM1"/>
    <w:basedOn w:val="36"/>
    <w:next w:val="36"/>
    <w:qFormat/>
    <w:uiPriority w:val="99"/>
    <w:rPr>
      <w:rFonts w:cs="Times New Roman"/>
      <w:color w:val="auto"/>
    </w:rPr>
  </w:style>
  <w:style w:type="paragraph" w:customStyle="1" w:styleId="36">
    <w:name w:val="Default"/>
    <w:qFormat/>
    <w:uiPriority w:val="0"/>
    <w:pPr>
      <w:widowControl w:val="0"/>
      <w:autoSpaceDE w:val="0"/>
      <w:autoSpaceDN w:val="0"/>
      <w:adjustRightInd w:val="0"/>
    </w:pPr>
    <w:rPr>
      <w:rFonts w:ascii="EUAlbertina" w:hAnsi="Times New Roman" w:eastAsia="EUAlbertina" w:cs="EUAlbertina"/>
      <w:color w:val="000000"/>
      <w:sz w:val="24"/>
      <w:szCs w:val="24"/>
      <w:lang w:val="en-US" w:eastAsia="zh-CN" w:bidi="ar-SA"/>
    </w:rPr>
  </w:style>
  <w:style w:type="paragraph" w:customStyle="1" w:styleId="3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4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4">
    <w:name w:val="标准书眉一"/>
    <w:qFormat/>
    <w:uiPriority w:val="0"/>
    <w:pPr>
      <w:jc w:val="both"/>
    </w:pPr>
    <w:rPr>
      <w:rFonts w:ascii="Times New Roman" w:hAnsi="Times New Roman" w:eastAsia="宋体" w:cs="Times New Roman"/>
      <w:lang w:val="en-US" w:eastAsia="zh-CN" w:bidi="ar-SA"/>
    </w:rPr>
  </w:style>
  <w:style w:type="paragraph" w:customStyle="1" w:styleId="4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7">
    <w:name w:val="批注框文本 字符"/>
    <w:basedOn w:val="17"/>
    <w:link w:val="7"/>
    <w:qFormat/>
    <w:uiPriority w:val="0"/>
    <w:rPr>
      <w:rFonts w:ascii="宋体" w:hAnsi="宋体"/>
      <w:kern w:val="2"/>
      <w:sz w:val="18"/>
      <w:szCs w:val="18"/>
    </w:rPr>
  </w:style>
  <w:style w:type="character" w:customStyle="1" w:styleId="48">
    <w:name w:val="批注文字 字符"/>
    <w:basedOn w:val="17"/>
    <w:link w:val="4"/>
    <w:qFormat/>
    <w:uiPriority w:val="99"/>
    <w:rPr>
      <w:rFonts w:ascii="宋体" w:hAnsi="宋体"/>
      <w:kern w:val="2"/>
      <w:sz w:val="21"/>
      <w:szCs w:val="24"/>
    </w:rPr>
  </w:style>
  <w:style w:type="character" w:customStyle="1" w:styleId="49">
    <w:name w:val="批注主题 字符"/>
    <w:basedOn w:val="48"/>
    <w:link w:val="14"/>
    <w:qFormat/>
    <w:uiPriority w:val="0"/>
    <w:rPr>
      <w:rFonts w:ascii="宋体" w:hAnsi="宋体"/>
      <w:b/>
      <w:bCs/>
      <w:kern w:val="2"/>
      <w:sz w:val="21"/>
      <w:szCs w:val="24"/>
    </w:rPr>
  </w:style>
  <w:style w:type="paragraph" w:styleId="50">
    <w:name w:val="List Paragraph"/>
    <w:basedOn w:val="1"/>
    <w:qFormat/>
    <w:uiPriority w:val="34"/>
    <w:pPr>
      <w:ind w:firstLine="420"/>
    </w:pPr>
  </w:style>
  <w:style w:type="paragraph" w:customStyle="1" w:styleId="51">
    <w:name w:val="其他标准称谓"/>
    <w:qFormat/>
    <w:uiPriority w:val="0"/>
    <w:pPr>
      <w:spacing w:line="0" w:lineRule="atLeast"/>
      <w:ind w:firstLine="200"/>
      <w:jc w:val="both"/>
    </w:pPr>
    <w:rPr>
      <w:rFonts w:ascii="黑体" w:hAnsi="黑体" w:eastAsia="黑体" w:cs="宋体"/>
      <w:color w:val="000000"/>
      <w:sz w:val="52"/>
      <w:lang w:val="en-US" w:eastAsia="zh-CN" w:bidi="ar-SA"/>
    </w:rPr>
  </w:style>
  <w:style w:type="paragraph" w:customStyle="1" w:styleId="52">
    <w:name w:val="标准标志"/>
    <w:next w:val="1"/>
    <w:qFormat/>
    <w:uiPriority w:val="0"/>
    <w:pPr>
      <w:shd w:val="solid" w:color="FFFFFF" w:fill="FFFFFF"/>
      <w:spacing w:line="0" w:lineRule="atLeast"/>
      <w:ind w:firstLine="200"/>
      <w:jc w:val="right"/>
    </w:pPr>
    <w:rPr>
      <w:rFonts w:ascii="Times New Roman" w:hAnsi="Times New Roman" w:eastAsia="宋体" w:cs="Times New Roman"/>
      <w:b/>
      <w:color w:val="000000"/>
      <w:w w:val="130"/>
      <w:sz w:val="96"/>
      <w:lang w:val="en-US" w:eastAsia="zh-CN" w:bidi="ar-SA"/>
    </w:rPr>
  </w:style>
  <w:style w:type="paragraph" w:customStyle="1" w:styleId="53">
    <w:name w:val="终结线"/>
    <w:basedOn w:val="1"/>
    <w:qFormat/>
    <w:uiPriority w:val="0"/>
    <w:pPr>
      <w:framePr w:hSpace="181" w:vSpace="181" w:wrap="around" w:vAnchor="text" w:hAnchor="margin" w:xAlign="center" w:y="285"/>
    </w:pPr>
  </w:style>
  <w:style w:type="character" w:customStyle="1" w:styleId="54">
    <w:name w:val="段 Char"/>
    <w:link w:val="29"/>
    <w:qFormat/>
    <w:uiPriority w:val="0"/>
    <w:rPr>
      <w:rFonts w:ascii="宋体"/>
      <w:sz w:val="21"/>
    </w:rPr>
  </w:style>
  <w:style w:type="paragraph" w:customStyle="1" w:styleId="55">
    <w:name w:val="p17"/>
    <w:basedOn w:val="1"/>
    <w:qFormat/>
    <w:uiPriority w:val="0"/>
    <w:pPr>
      <w:widowControl/>
      <w:spacing w:line="240" w:lineRule="auto"/>
      <w:ind w:firstLine="420"/>
    </w:pPr>
    <w:rPr>
      <w:rFonts w:cs="宋体"/>
      <w:kern w:val="0"/>
      <w:szCs w:val="21"/>
    </w:rPr>
  </w:style>
  <w:style w:type="paragraph" w:customStyle="1" w:styleId="56">
    <w:name w:val="p18"/>
    <w:basedOn w:val="1"/>
    <w:qFormat/>
    <w:uiPriority w:val="0"/>
    <w:pPr>
      <w:widowControl/>
      <w:spacing w:beforeLines="50" w:afterLines="50" w:line="240" w:lineRule="auto"/>
      <w:jc w:val="left"/>
    </w:pPr>
    <w:rPr>
      <w:rFonts w:ascii="黑体" w:eastAsia="黑体" w:cs="宋体"/>
      <w:kern w:val="0"/>
      <w:szCs w:val="21"/>
    </w:rPr>
  </w:style>
  <w:style w:type="character" w:customStyle="1" w:styleId="57">
    <w:name w:val="页脚 字符"/>
    <w:basedOn w:val="17"/>
    <w:link w:val="8"/>
    <w:qFormat/>
    <w:uiPriority w:val="99"/>
    <w:rPr>
      <w:rFonts w:ascii="宋体" w:hAnsi="宋体"/>
      <w:kern w:val="2"/>
      <w:sz w:val="18"/>
      <w:szCs w:val="18"/>
    </w:rPr>
  </w:style>
  <w:style w:type="character" w:customStyle="1" w:styleId="58">
    <w:name w:val="正文文本 字符"/>
    <w:basedOn w:val="17"/>
    <w:link w:val="5"/>
    <w:semiHidden/>
    <w:uiPriority w:val="0"/>
    <w:rPr>
      <w:rFonts w:ascii="宋体" w:hAnsi="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AFD54-0421-4F94-8F00-630CF0E4AD27}">
  <ds:schemaRefs/>
</ds:datastoreItem>
</file>

<file path=docProps/app.xml><?xml version="1.0" encoding="utf-8"?>
<Properties xmlns="http://schemas.openxmlformats.org/officeDocument/2006/extended-properties" xmlns:vt="http://schemas.openxmlformats.org/officeDocument/2006/docPropsVTypes">
  <Template>0</Template>
  <Company>china</Company>
  <Pages>27</Pages>
  <Words>2745</Words>
  <Characters>15647</Characters>
  <Lines>130</Lines>
  <Paragraphs>36</Paragraphs>
  <TotalTime>1298</TotalTime>
  <ScaleCrop>false</ScaleCrop>
  <LinksUpToDate>false</LinksUpToDate>
  <CharactersWithSpaces>18356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2020-10-03T08:46:00Z</dcterms:created>
  <dc:creator>王 秀峰</dc:creator>
  <cp:lastModifiedBy>CathayMok</cp:lastModifiedBy>
  <cp:lastPrinted>2021-12-05T01:12:00Z</cp:lastPrinted>
  <dcterms:modified xsi:type="dcterms:W3CDTF">2021-12-06T06:20:21Z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EAC294C1116A4B3E933A61E83312D663</vt:lpwstr>
  </property>
</Properties>
</file>