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ascii="黑体" w:hAnsi="黑体" w:eastAsia="黑体"/>
          <w:sz w:val="30"/>
          <w:szCs w:val="30"/>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稀土熔盐电解回收料化学分析方法</w:t>
      </w: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第2部分：十五个稀土元素氧化物配分量测定　</w:t>
      </w: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X-射线荧光光谱法</w:t>
      </w:r>
    </w:p>
    <w:p>
      <w:pPr>
        <w:pStyle w:val="117"/>
        <w:spacing w:before="0" w:line="300" w:lineRule="auto"/>
        <w:ind w:firstLine="0" w:firstLineChars="0"/>
        <w:rPr>
          <w:rFonts w:ascii="宋体" w:hAnsi="宋体" w:cs="宋体"/>
          <w:sz w:val="44"/>
          <w:szCs w:val="44"/>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0"/>
          <w:szCs w:val="30"/>
        </w:rPr>
      </w:pPr>
    </w:p>
    <w:p>
      <w:pPr>
        <w:widowControl/>
        <w:spacing w:line="300" w:lineRule="auto"/>
        <w:jc w:val="center"/>
        <w:rPr>
          <w:rFonts w:hint="eastAsia" w:ascii="宋体" w:hAnsi="宋体" w:eastAsia="宋体" w:cs="宋体"/>
          <w:kern w:val="0"/>
          <w:sz w:val="36"/>
          <w:szCs w:val="36"/>
          <w:lang w:val="en-US" w:eastAsia="zh-CN"/>
        </w:rPr>
      </w:pPr>
      <w:r>
        <w:rPr>
          <w:rFonts w:hint="eastAsia" w:ascii="宋体" w:hAnsi="宋体" w:cs="宋体"/>
          <w:kern w:val="0"/>
          <w:sz w:val="36"/>
          <w:szCs w:val="36"/>
        </w:rPr>
        <w:t>编制说明</w:t>
      </w:r>
      <w:r>
        <w:rPr>
          <w:rFonts w:hint="eastAsia" w:ascii="宋体" w:hAnsi="宋体" w:cs="宋体"/>
          <w:kern w:val="0"/>
          <w:sz w:val="36"/>
          <w:szCs w:val="36"/>
          <w:lang w:val="en-US" w:eastAsia="zh-CN"/>
        </w:rPr>
        <w:t>(预</w:t>
      </w:r>
      <w:bookmarkStart w:id="0" w:name="_GoBack"/>
      <w:bookmarkEnd w:id="0"/>
      <w:r>
        <w:rPr>
          <w:rFonts w:hint="eastAsia" w:ascii="宋体" w:hAnsi="宋体" w:cs="宋体"/>
          <w:kern w:val="0"/>
          <w:sz w:val="36"/>
          <w:szCs w:val="36"/>
          <w:lang w:val="en-US" w:eastAsia="zh-CN"/>
        </w:rPr>
        <w:t>审稿）</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赣州有色冶金研究所</w:t>
      </w:r>
      <w:r>
        <w:rPr>
          <w:rFonts w:hint="eastAsia" w:ascii="宋体" w:hAnsi="宋体" w:cs="宋体"/>
          <w:sz w:val="30"/>
          <w:szCs w:val="30"/>
          <w:lang w:eastAsia="zh-CN"/>
        </w:rPr>
        <w:t>有限公司</w:t>
      </w:r>
      <w:r>
        <w:rPr>
          <w:rFonts w:hint="eastAsia" w:ascii="宋体" w:hAnsi="宋体" w:cs="宋体"/>
          <w:sz w:val="30"/>
          <w:szCs w:val="30"/>
        </w:rPr>
        <w:t>分析检测中心</w:t>
      </w: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2021年</w:t>
      </w:r>
      <w:r>
        <w:rPr>
          <w:rFonts w:hint="eastAsia" w:ascii="宋体" w:hAnsi="宋体" w:cs="宋体"/>
          <w:sz w:val="30"/>
          <w:szCs w:val="30"/>
          <w:lang w:val="en-US" w:eastAsia="zh-CN"/>
        </w:rPr>
        <w:t>12</w:t>
      </w:r>
      <w:r>
        <w:rPr>
          <w:rFonts w:hint="eastAsia" w:ascii="宋体" w:hAnsi="宋体" w:cs="宋体"/>
          <w:sz w:val="30"/>
          <w:szCs w:val="30"/>
        </w:rPr>
        <w:t>月1日</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widowControl/>
        <w:spacing w:line="300" w:lineRule="auto"/>
        <w:jc w:val="left"/>
        <w:rPr>
          <w:rFonts w:ascii="宋体" w:hAnsi="宋体" w:cs="宋体"/>
          <w:sz w:val="30"/>
          <w:szCs w:val="30"/>
        </w:rPr>
        <w:sectPr>
          <w:headerReference r:id="rId3" w:type="default"/>
          <w:footerReference r:id="rId4" w:type="default"/>
          <w:pgSz w:w="11906" w:h="16838"/>
          <w:pgMar w:top="1134" w:right="1077" w:bottom="1213" w:left="1077" w:header="851" w:footer="992" w:gutter="0"/>
          <w:pgBorders>
            <w:top w:val="none" w:sz="0" w:space="0"/>
            <w:left w:val="none" w:sz="0" w:space="0"/>
            <w:bottom w:val="none" w:sz="0" w:space="0"/>
            <w:right w:val="none" w:sz="0" w:space="0"/>
          </w:pgBorders>
          <w:cols w:space="425" w:num="1"/>
          <w:docGrid w:type="lines" w:linePitch="312" w:charSpace="0"/>
        </w:sectPr>
      </w:pPr>
    </w:p>
    <w:p>
      <w:pPr>
        <w:spacing w:before="313" w:beforeLines="100"/>
        <w:jc w:val="center"/>
        <w:rPr>
          <w:rFonts w:hint="eastAsia" w:ascii="宋体" w:hAnsi="宋体" w:cs="宋体"/>
          <w:b/>
          <w:w w:val="90"/>
          <w:sz w:val="30"/>
          <w:szCs w:val="30"/>
          <w:lang w:eastAsia="zh-CN"/>
        </w:rPr>
      </w:pPr>
      <w:r>
        <w:rPr>
          <w:rFonts w:hint="eastAsia" w:ascii="宋体" w:hAnsi="宋体" w:cs="宋体"/>
          <w:b/>
          <w:w w:val="90"/>
          <w:sz w:val="30"/>
          <w:szCs w:val="30"/>
        </w:rPr>
        <w:t>《稀土熔盐电解回收料化学方法 第2部分：十五个稀土元素氧化物配分量</w:t>
      </w:r>
      <w:r>
        <w:rPr>
          <w:rFonts w:hint="eastAsia" w:ascii="宋体" w:hAnsi="宋体" w:cs="宋体"/>
          <w:b/>
          <w:w w:val="90"/>
          <w:sz w:val="30"/>
          <w:szCs w:val="30"/>
          <w:lang w:eastAsia="zh-CN"/>
        </w:rPr>
        <w:t>测定</w:t>
      </w:r>
      <w:r>
        <w:rPr>
          <w:rFonts w:hint="eastAsia" w:ascii="宋体" w:hAnsi="宋体" w:cs="宋体"/>
          <w:b/>
          <w:w w:val="90"/>
          <w:sz w:val="30"/>
          <w:szCs w:val="30"/>
        </w:rPr>
        <w:t>X- 射线荧光光谱》编制说明</w:t>
      </w:r>
      <w:r>
        <w:rPr>
          <w:rFonts w:hint="eastAsia" w:ascii="宋体" w:hAnsi="宋体" w:cs="宋体"/>
          <w:b/>
          <w:w w:val="90"/>
          <w:sz w:val="30"/>
          <w:szCs w:val="30"/>
          <w:lang w:eastAsia="zh-CN"/>
        </w:rPr>
        <w:t>（送审稿）</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工作简况</w:t>
      </w:r>
    </w:p>
    <w:p>
      <w:pPr>
        <w:pStyle w:val="120"/>
        <w:tabs>
          <w:tab w:val="clear" w:pos="675"/>
        </w:tabs>
        <w:spacing w:before="156" w:beforeLines="50" w:after="156" w:afterLines="50"/>
        <w:ind w:left="0"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（一）任务来源</w:t>
      </w:r>
    </w:p>
    <w:p>
      <w:pPr>
        <w:ind w:firstLine="420"/>
        <w:rPr>
          <w:rFonts w:hint="eastAsia" w:ascii="宋体" w:hAnsi="宋体" w:cs="宋体"/>
          <w:szCs w:val="20"/>
        </w:rPr>
      </w:pPr>
      <w:r>
        <w:rPr>
          <w:rFonts w:hint="eastAsia" w:ascii="宋体" w:hAnsi="宋体" w:cs="宋体"/>
          <w:szCs w:val="20"/>
        </w:rPr>
        <w:t>2020年</w:t>
      </w:r>
      <w:r>
        <w:rPr>
          <w:rFonts w:hint="eastAsia" w:ascii="宋体" w:hAnsi="宋体" w:cs="宋体"/>
          <w:szCs w:val="20"/>
          <w:lang w:val="en-US" w:eastAsia="zh-CN"/>
        </w:rPr>
        <w:t>9</w:t>
      </w:r>
      <w:r>
        <w:rPr>
          <w:rFonts w:hint="eastAsia" w:ascii="宋体" w:hAnsi="宋体" w:cs="宋体"/>
          <w:szCs w:val="20"/>
        </w:rPr>
        <w:t>月，</w:t>
      </w:r>
      <w:r>
        <w:rPr>
          <w:rFonts w:hint="eastAsia" w:ascii="宋体" w:hAnsi="宋体" w:cs="宋体"/>
          <w:szCs w:val="20"/>
          <w:lang w:eastAsia="zh-CN"/>
        </w:rPr>
        <w:t>全国稀土标准化技术委员会在陕西省西安市</w:t>
      </w:r>
      <w:r>
        <w:rPr>
          <w:rFonts w:hint="eastAsia" w:ascii="宋体" w:hAnsi="宋体" w:cs="宋体"/>
          <w:szCs w:val="20"/>
        </w:rPr>
        <w:t>召开</w:t>
      </w:r>
      <w:r>
        <w:rPr>
          <w:rFonts w:hint="eastAsia" w:ascii="宋体" w:hAnsi="宋体" w:cs="宋体"/>
          <w:szCs w:val="20"/>
          <w:lang w:eastAsia="zh-CN"/>
        </w:rPr>
        <w:t>了</w:t>
      </w:r>
      <w:r>
        <w:rPr>
          <w:rFonts w:hint="eastAsia" w:ascii="宋体" w:hAnsi="宋体" w:cs="宋体"/>
          <w:szCs w:val="20"/>
        </w:rPr>
        <w:t>2020年第五次稀土标准工作会议，</w:t>
      </w:r>
      <w:r>
        <w:rPr>
          <w:rFonts w:hint="eastAsia" w:ascii="宋体" w:hAnsi="宋体" w:cs="宋体"/>
          <w:szCs w:val="20"/>
          <w:lang w:eastAsia="zh-CN"/>
        </w:rPr>
        <w:t>落实工信部下达的行业标准</w:t>
      </w:r>
      <w:r>
        <w:rPr>
          <w:rFonts w:hint="eastAsia" w:ascii="宋体" w:hAnsi="宋体" w:cs="宋体"/>
          <w:szCs w:val="20"/>
        </w:rPr>
        <w:t>《稀土熔盐电解回收料化学方法 第2部分：十五个稀土元素氧化物配分量</w:t>
      </w:r>
      <w:r>
        <w:rPr>
          <w:rFonts w:hint="eastAsia" w:ascii="宋体" w:hAnsi="宋体" w:cs="宋体"/>
          <w:szCs w:val="20"/>
          <w:lang w:eastAsia="zh-CN"/>
        </w:rPr>
        <w:t>测定</w:t>
      </w:r>
      <w:r>
        <w:rPr>
          <w:rFonts w:hint="eastAsia" w:ascii="宋体" w:hAnsi="宋体" w:cs="宋体"/>
          <w:szCs w:val="20"/>
        </w:rPr>
        <w:t>X-射线荧光光谱》的制定</w:t>
      </w:r>
      <w:r>
        <w:rPr>
          <w:rFonts w:hint="eastAsia" w:ascii="宋体" w:hAnsi="宋体" w:cs="宋体"/>
          <w:szCs w:val="20"/>
          <w:lang w:eastAsia="zh-CN"/>
        </w:rPr>
        <w:t>计划，</w:t>
      </w:r>
      <w:r>
        <w:rPr>
          <w:rFonts w:hint="eastAsia" w:ascii="宋体" w:hAnsi="宋体" w:cs="宋体"/>
          <w:szCs w:val="20"/>
        </w:rPr>
        <w:t>由赣州有色冶金研究所（现更名为赣州有色冶金研究所有限公司）负责起草，项目计划编号为2020-0735T-XB，项目周期</w:t>
      </w:r>
      <w:r>
        <w:rPr>
          <w:rFonts w:hint="eastAsia" w:ascii="宋体" w:hAnsi="宋体" w:cs="宋体"/>
          <w:szCs w:val="20"/>
          <w:lang w:val="en-US" w:eastAsia="zh-CN"/>
        </w:rPr>
        <w:t>24</w:t>
      </w:r>
      <w:r>
        <w:rPr>
          <w:rFonts w:hint="eastAsia" w:ascii="宋体" w:hAnsi="宋体" w:cs="宋体"/>
          <w:szCs w:val="20"/>
        </w:rPr>
        <w:t>个月。</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主要参加单位和工作成员及其所作的工作</w:t>
      </w:r>
    </w:p>
    <w:p>
      <w:pPr>
        <w:pStyle w:val="136"/>
        <w:numPr>
          <w:ilvl w:val="0"/>
          <w:numId w:val="4"/>
        </w:numPr>
        <w:ind w:firstLineChars="0"/>
        <w:rPr>
          <w:b/>
        </w:rPr>
      </w:pPr>
      <w:r>
        <w:rPr>
          <w:rFonts w:hint="eastAsia"/>
          <w:b/>
        </w:rPr>
        <w:t>标准项目编制单位简介及在本标准中所承担的工作</w:t>
      </w:r>
    </w:p>
    <w:p>
      <w:pPr>
        <w:ind w:firstLine="420"/>
        <w:rPr>
          <w:rFonts w:hint="eastAsia" w:ascii="宋体" w:hAnsi="宋体" w:cs="宋体"/>
        </w:rPr>
      </w:pPr>
      <w:r>
        <w:rPr>
          <w:rFonts w:hint="eastAsia" w:ascii="宋体" w:hAnsi="宋体" w:cs="宋体"/>
        </w:rPr>
        <w:t>编制组由赣州有色冶金研究所有限公司、</w:t>
      </w:r>
      <w:r>
        <w:rPr>
          <w:rFonts w:hint="eastAsia" w:ascii="宋体" w:hAnsi="宋体" w:cs="宋体"/>
          <w:lang w:eastAsia="zh-CN"/>
        </w:rPr>
        <w:t>江西理工大学分析测试中心</w:t>
      </w:r>
      <w:r>
        <w:rPr>
          <w:rFonts w:hint="eastAsia" w:ascii="宋体" w:hAnsi="宋体" w:cs="宋体"/>
        </w:rPr>
        <w:t>、</w:t>
      </w:r>
      <w:r>
        <w:rPr>
          <w:rFonts w:hint="default" w:ascii="宋体" w:hAnsi="宋体" w:cs="宋体"/>
        </w:rPr>
        <w:t>中化地质矿山总局浙江地质勘查院</w:t>
      </w:r>
      <w:r>
        <w:rPr>
          <w:rFonts w:hint="eastAsia" w:ascii="宋体" w:hAnsi="宋体" w:cs="宋体"/>
        </w:rPr>
        <w:t>、国标（北京）检验认证有限公司、中国科学院海西研究院厦门稀土材料研究中心、虔东稀土集团股份有限公司</w:t>
      </w:r>
      <w:r>
        <w:rPr>
          <w:rFonts w:hint="eastAsia" w:ascii="宋体" w:hAnsi="宋体" w:cs="宋体"/>
          <w:lang w:eastAsia="zh-CN"/>
        </w:rPr>
        <w:t>和包头稀土研究院</w:t>
      </w:r>
      <w:r>
        <w:rPr>
          <w:rFonts w:hint="eastAsia" w:ascii="宋体" w:hAnsi="宋体" w:cs="宋体"/>
        </w:rPr>
        <w:t>等</w:t>
      </w:r>
      <w:r>
        <w:rPr>
          <w:rFonts w:hint="eastAsia" w:ascii="宋体" w:hAnsi="宋体" w:cs="宋体"/>
          <w:lang w:eastAsia="zh-CN"/>
        </w:rPr>
        <w:t>七</w:t>
      </w:r>
      <w:r>
        <w:rPr>
          <w:rFonts w:hint="eastAsia" w:ascii="宋体" w:hAnsi="宋体" w:cs="宋体"/>
        </w:rPr>
        <w:t>家单位组成。本项目组起草人员长期从事化学分析检测工作，擅长X- 射线荧光光谱</w:t>
      </w:r>
      <w:r>
        <w:rPr>
          <w:rFonts w:hint="eastAsia" w:ascii="宋体" w:hAnsi="宋体" w:cs="宋体"/>
          <w:lang w:eastAsia="zh-CN"/>
        </w:rPr>
        <w:t>、</w:t>
      </w:r>
      <w:r>
        <w:rPr>
          <w:rFonts w:hint="eastAsia" w:ascii="宋体" w:hAnsi="宋体" w:cs="宋体"/>
        </w:rPr>
        <w:t>电感耦合等离子体质谱、电感耦合等离子体光谱等设备的应用及方法开发，多次参与</w:t>
      </w:r>
      <w:r>
        <w:rPr>
          <w:rFonts w:hint="eastAsia" w:ascii="宋体" w:hAnsi="宋体" w:cs="宋体"/>
          <w:lang w:eastAsia="zh-CN"/>
        </w:rPr>
        <w:t>国家、行业</w:t>
      </w:r>
      <w:r>
        <w:rPr>
          <w:rFonts w:hint="eastAsia" w:ascii="宋体" w:hAnsi="宋体" w:cs="宋体"/>
        </w:rPr>
        <w:t>标准的制修订工作，能够保证本项目计划的顺利完成。</w:t>
      </w:r>
    </w:p>
    <w:p>
      <w:pPr>
        <w:rPr>
          <w:kern w:val="2"/>
          <w:sz w:val="21"/>
        </w:rPr>
      </w:pPr>
      <w:r>
        <w:rPr>
          <w:rFonts w:hint="eastAsia" w:cs="宋体" w:asciiTheme="minorEastAsia" w:hAnsiTheme="minorEastAsia" w:eastAsiaTheme="minorEastAsia"/>
          <w:b/>
          <w:szCs w:val="20"/>
        </w:rPr>
        <w:t>1.1赣州有色冶金研究所有限公司：</w:t>
      </w:r>
      <w:r>
        <w:rPr>
          <w:rFonts w:hint="eastAsia" w:ascii="宋体" w:hAnsi="宋体" w:cs="宋体"/>
        </w:rPr>
        <w:t>因事业单位改制于2021</w:t>
      </w:r>
      <w:r>
        <w:rPr>
          <w:rFonts w:hint="eastAsia" w:ascii="宋体" w:hAnsi="宋体" w:cs="宋体"/>
          <w:lang w:eastAsia="zh-CN"/>
        </w:rPr>
        <w:t>年</w:t>
      </w:r>
      <w:r>
        <w:rPr>
          <w:rFonts w:hint="eastAsia" w:ascii="宋体" w:hAnsi="宋体" w:cs="宋体"/>
          <w:lang w:val="en-US" w:eastAsia="zh-CN"/>
        </w:rPr>
        <w:t>1月1日由“</w:t>
      </w:r>
      <w:r>
        <w:rPr>
          <w:rFonts w:hint="eastAsia" w:ascii="宋体" w:hAnsi="宋体" w:cs="宋体"/>
        </w:rPr>
        <w:t>赣州有色冶金研究所</w:t>
      </w:r>
      <w:r>
        <w:rPr>
          <w:rFonts w:hint="eastAsia" w:ascii="宋体" w:hAnsi="宋体" w:cs="宋体"/>
          <w:lang w:eastAsia="zh-CN"/>
        </w:rPr>
        <w:t>”</w:t>
      </w:r>
      <w:r>
        <w:rPr>
          <w:rFonts w:hint="eastAsia" w:ascii="宋体" w:hAnsi="宋体" w:cs="宋体"/>
        </w:rPr>
        <w:t>更名为</w:t>
      </w:r>
      <w:r>
        <w:rPr>
          <w:rFonts w:hint="eastAsia" w:ascii="宋体" w:hAnsi="宋体" w:cs="宋体"/>
          <w:lang w:eastAsia="zh-CN"/>
        </w:rPr>
        <w:t>“</w:t>
      </w:r>
      <w:r>
        <w:rPr>
          <w:rFonts w:hint="eastAsia" w:ascii="宋体" w:hAnsi="宋体" w:cs="宋体"/>
        </w:rPr>
        <w:t>赣州有色冶金研究所有限公司</w:t>
      </w:r>
      <w:r>
        <w:rPr>
          <w:rFonts w:hint="eastAsia" w:ascii="宋体" w:hAnsi="宋体" w:cs="宋体"/>
          <w:lang w:eastAsia="zh-CN"/>
        </w:rPr>
        <w:t>”，赣研所公司</w:t>
      </w:r>
      <w:r>
        <w:rPr>
          <w:rFonts w:hint="eastAsia"/>
          <w:kern w:val="2"/>
          <w:sz w:val="21"/>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w:t>
      </w:r>
      <w:r>
        <w:rPr>
          <w:rFonts w:hint="eastAsia"/>
          <w:kern w:val="2"/>
          <w:sz w:val="21"/>
          <w:lang w:eastAsia="zh-CN"/>
        </w:rPr>
        <w:t>所</w:t>
      </w:r>
      <w:r>
        <w:rPr>
          <w:rFonts w:hint="eastAsia"/>
          <w:kern w:val="2"/>
          <w:sz w:val="21"/>
        </w:rPr>
        <w:t>公司先后</w:t>
      </w:r>
      <w:r>
        <w:rPr>
          <w:rFonts w:hint="eastAsia"/>
          <w:color w:val="000000"/>
          <w:kern w:val="2"/>
          <w:sz w:val="21"/>
        </w:rPr>
        <w:t>完成各类科研课题、工程试验项目2300多项，取得科研成果1200余项，其中获国家发明奖6项，国家科技进步奖8项，省部级科技奖励300多项；授权专利99件，其中，发明专利31件；主持和参与制（修）订钨、稀土、钽铌等有色金属矿及其制品和分析检测</w:t>
      </w:r>
      <w:r>
        <w:rPr>
          <w:rFonts w:hint="eastAsia"/>
          <w:kern w:val="2"/>
          <w:sz w:val="21"/>
        </w:rPr>
        <w:t>方法国家标准107项，行业标准40项，团体标准5项，研制国家标准物质/标准样品6个。在编制组主要负责镝铁合金、钬铁合金、镝铁合金和钆铁合金试验方法起草。</w:t>
      </w:r>
    </w:p>
    <w:p>
      <w:pPr>
        <w:rPr>
          <w:rFonts w:ascii="宋体" w:hAnsi="宋体" w:cs="宋体"/>
          <w:szCs w:val="20"/>
        </w:rPr>
      </w:pPr>
      <w:r>
        <w:rPr>
          <w:rFonts w:hint="eastAsia" w:cs="宋体" w:asciiTheme="minorEastAsia" w:hAnsiTheme="minorEastAsia" w:eastAsiaTheme="minorEastAsia"/>
          <w:b/>
          <w:szCs w:val="20"/>
        </w:rPr>
        <w:t>1.2</w:t>
      </w:r>
      <w:r>
        <w:rPr>
          <w:rFonts w:hint="eastAsia" w:ascii="宋体" w:hAnsi="宋体" w:cs="宋体"/>
          <w:b/>
          <w:bCs/>
          <w:lang w:eastAsia="zh-CN"/>
        </w:rPr>
        <w:t>江西理工大学分析测试中心：</w:t>
      </w:r>
      <w:r>
        <w:rPr>
          <w:rFonts w:hint="eastAsia" w:ascii="宋体" w:hAnsi="宋体" w:cs="宋体"/>
          <w:lang w:eastAsia="zh-CN"/>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测试中心特别在稀土元素的检测方面，做了大量的工作。能够从开采、提取生产到冶炼，以及后面的稀土新材料，提供全面的检测服务。可以测定微量到超高纯的稀土元素产品的成分检测和稀土新材料的表面结构、微区分析和磁性能等的检测。特别是超高纯稀土元素的检测，是中心在稀土检测领域首次完成不需分离，直接测定。基于中心对学校科研和生产单位稀土元素检测过去所做过的工作，江西理工大学分析测试中心有能力保证项目顺利完成。</w:t>
      </w:r>
    </w:p>
    <w:p>
      <w:pPr>
        <w:rPr>
          <w:rFonts w:hint="default" w:cs="宋体" w:asciiTheme="minorEastAsia" w:hAnsiTheme="minorEastAsia" w:eastAsiaTheme="minorEastAsia"/>
          <w:b/>
          <w:szCs w:val="20"/>
        </w:rPr>
      </w:pPr>
      <w:r>
        <w:rPr>
          <w:rFonts w:hint="eastAsia" w:cs="宋体" w:asciiTheme="minorEastAsia" w:hAnsiTheme="minorEastAsia" w:eastAsiaTheme="minorEastAsia"/>
          <w:b/>
          <w:szCs w:val="20"/>
        </w:rPr>
        <w:t>1.3</w:t>
      </w:r>
      <w:r>
        <w:rPr>
          <w:rFonts w:hint="default" w:cs="宋体" w:asciiTheme="minorEastAsia" w:hAnsiTheme="minorEastAsia" w:eastAsiaTheme="minorEastAsia"/>
          <w:b/>
          <w:szCs w:val="20"/>
        </w:rPr>
        <w:t>中化地质矿山总局浙江地质勘查院</w:t>
      </w:r>
      <w:r>
        <w:rPr>
          <w:rFonts w:hint="eastAsia" w:cs="宋体" w:asciiTheme="minorEastAsia" w:hAnsiTheme="minorEastAsia" w:eastAsiaTheme="minorEastAsia"/>
          <w:b/>
          <w:szCs w:val="20"/>
          <w:lang w:val="en-US" w:eastAsia="zh-CN"/>
        </w:rPr>
        <w:t>：</w:t>
      </w:r>
      <w:r>
        <w:rPr>
          <w:rFonts w:hint="default" w:ascii="宋体" w:hAnsi="宋体" w:cs="宋体"/>
          <w:szCs w:val="20"/>
        </w:rPr>
        <w:t>成立于1972年现有职工近500人，其中在职职工200余人。在职人员中包括各类专业技术人员186人，中级以上专业技术人员120人，教授级高工6人。现下设地质勘查分院、地质环境分院、地质测绘分院、生态与环境修复中心、数字地质分院、中化地质华东分析测试研究中心</w:t>
      </w:r>
      <w:r>
        <w:rPr>
          <w:rFonts w:hint="default" w:ascii="宋体" w:hAnsi="宋体" w:cs="宋体"/>
          <w:szCs w:val="20"/>
          <w:lang w:eastAsia="zh-CN"/>
        </w:rPr>
        <w:t>等产业单位。</w:t>
      </w:r>
      <w:r>
        <w:rPr>
          <w:rFonts w:hint="default" w:ascii="宋体" w:hAnsi="宋体" w:cs="宋体"/>
          <w:szCs w:val="20"/>
        </w:rPr>
        <w:t>院属中化地质华东分析测试研究中心为国家级计量认证实验室，拥有岩矿测试（钙、镁、硅、铜、铅、锌、氟化钙等金属非金属元素/成分分析）、区域地球化学调查样品分析（多目标54项指标）、土壤样品分析（重金属、挥发性有机物、半挥发性有机物等）、水质分析（阳离子、挥发酚类、氰化物、阴离子合成洗涤剂等金属非金属元素分析）、土工试验（含水率、密度、颗粒分析等）和岩矿鉴定（火成岩、沉积岩、变质岩鉴定及薄片制样）等检测能力。设备配置齐全，拥有ICP-MS、XRF、GC-MS、LC-MS、ICP-AES、元素分析仪、紫外分光光度计、原子荧光光谱仪等高精度设备，是一支技术力量过硬，综合实力较强的检验检测专业队伍。凭藉扎实的工作作风和优异的工作成绩，多次被中国化工集团公司、中国昊华化工（集团）总公司和中化地质矿山总局评为“文明单位”、“先进党委”、“化工地质勘查先进集体”等荣誉称号。2010年中国煤炭地质总局授予 “四好领导班子”称号，同年被评为杭州市社会治安综合治理先进单位。2011年度浙江省国土资源厅授予“浙江省地质找矿工作先进单位”荣誉称号。</w:t>
      </w:r>
    </w:p>
    <w:p>
      <w:pPr>
        <w:jc w:val="left"/>
        <w:rPr>
          <w:rFonts w:hint="eastAsia" w:ascii="宋体" w:hAnsi="宋体" w:cs="宋体"/>
        </w:rPr>
      </w:pPr>
      <w:r>
        <w:rPr>
          <w:rFonts w:hint="eastAsia" w:ascii="宋体" w:hAnsi="宋体"/>
          <w:b/>
          <w:kern w:val="2"/>
          <w:szCs w:val="24"/>
        </w:rPr>
        <w:t>1.4</w:t>
      </w:r>
      <w:r>
        <w:rPr>
          <w:rFonts w:hint="eastAsia" w:ascii="宋体" w:hAnsi="宋体"/>
          <w:b/>
          <w:bCs/>
          <w:kern w:val="2"/>
          <w:szCs w:val="24"/>
        </w:rPr>
        <w:t>国标（北京）检验认证有限公司</w:t>
      </w:r>
      <w:r>
        <w:rPr>
          <w:rFonts w:hint="eastAsia" w:ascii="宋体" w:hAnsi="宋体"/>
          <w:kern w:val="2"/>
          <w:szCs w:val="24"/>
        </w:rPr>
        <w:t>：</w:t>
      </w:r>
      <w:r>
        <w:rPr>
          <w:rFonts w:hint="eastAsia" w:ascii="宋体" w:hAnsi="宋体" w:cs="宋体"/>
        </w:rPr>
        <w:t>是中国权威的第三方检验认证服务机构，隶属于北京有色金属研究总院，管理并运营着国家有色金属及电子材料分析测试中心（1983年由原国家科委批准建立）与国家有色金属质量监督检验中心（1985年由国家质量技术监督局批准建立）。中心于1992年通过计量认证(CMA)，2001年通过中国合格评定国家认可委员会（CNAS）认可，是我国金属及电子材料的权威检测机构，同时是我国有色金属行业分析测试标准的主要起草单位之一。公司拥有一支基础理论扎实、实践经验丰富的研究和服务队伍，其中教授级高工15名，高级工程师39名，工程师26名。建立了以分析化学、材料力学与表面性能、显微组织结构、无损检测为核心的分析测试服务平台，具备了对产品开展多参数、多尺度、高精度、全成分范围检验评价的能力。拥有辉光放电质谱仪、电感耦合等离子体质谱仪、电感耦合等离子体光谱仪、原子吸收光谱仪、原子荧光光谱仪、超高压电子显微镜、大景深激光共聚焦显微镜、波长色散X射线荧光光谱仪等国内外先进仪器，仪器设备在国内实验室处于领先水平。</w:t>
      </w:r>
    </w:p>
    <w:p>
      <w:pPr>
        <w:rPr>
          <w:rFonts w:ascii="宋体" w:hAnsi="宋体" w:cs="宋体"/>
        </w:rPr>
      </w:pPr>
      <w:r>
        <w:rPr>
          <w:rFonts w:hint="eastAsia" w:ascii="宋体" w:hAnsi="宋体" w:cs="宋体"/>
          <w:b/>
        </w:rPr>
        <w:t>1.5</w:t>
      </w:r>
      <w:r>
        <w:rPr>
          <w:rFonts w:hint="eastAsia" w:ascii="宋体" w:hAnsi="宋体" w:cs="宋体"/>
          <w:b/>
          <w:bCs/>
        </w:rPr>
        <w:t>中国科学院海西研究院厦门稀土材料研究中心</w:t>
      </w:r>
      <w:r>
        <w:rPr>
          <w:rFonts w:hint="eastAsia" w:ascii="宋体" w:hAnsi="宋体" w:cs="宋体"/>
          <w:lang w:val="en-US" w:eastAsia="zh-CN"/>
        </w:rPr>
        <w:t>:</w:t>
      </w:r>
      <w:r>
        <w:rPr>
          <w:rFonts w:hint="eastAsia" w:ascii="宋体" w:hAnsi="宋体" w:cs="宋体"/>
        </w:rPr>
        <w:t>为中国科学院海西研究院、厦门市人民政府与厦门钨业股份有限公司三方，于2012年签约共建成立的地方事业法人单位。厦门稀土所立足于福建省稀土资源优势和厦门现有稀土企（产）业基础，瞄准闽赣稀土资源的集成开发利用和稀土功能材料产业科技需求，重点聚焦稀土分离提纯、稀土磁性材料、稀土发光材料、稀土催化材料、稀土功能助剂、清洁生产与环境修复、稀土特种合金、纳米生物治疗等领域的研发，建立稀土材料高质化利用与工程化示范、综合技术示范与应用基地，以稀土材料的源头创新促进新能源、新材料、新一代信息技术、节能环保等战略性新兴产业的培育和发展，为促进海西稀土产业及其产业链的健康快速发展提供科技支撑。厦门稀土所是福建省第一批命名的省级新型研发机构，已建有福建省清洁核能燃料系统与材料联合创新重点实验室平台、福建省稀土工程研究中心、厦门稀土光电功能材料重点实验室和厦门市重大科技创新公共服务平台等多个平台。厦门稀土所公共技术服务中心先后获得中科院、福建省及厦门市创新平台等多项经费支持，至今已购入科研设备50余台，资产总额约5000万元，已经具备了一定的科研服务能力。同时针对社会需求，成立中科院福建物质结构研究所厦门检验检测中心已通过国家认监委审核，获得国家级CMA资质认证资格，面向全社会提供更好的测试服务。</w:t>
      </w:r>
      <w:r>
        <w:rPr>
          <w:rFonts w:hint="eastAsia" w:cs="宋体"/>
        </w:rPr>
        <w:t>。</w:t>
      </w:r>
    </w:p>
    <w:p>
      <w:pPr>
        <w:rPr>
          <w:rFonts w:ascii="宋体" w:hAnsi="宋体" w:cs="宋体"/>
          <w:b/>
        </w:rPr>
      </w:pPr>
      <w:r>
        <w:rPr>
          <w:rFonts w:hint="eastAsia" w:ascii="宋体" w:hAnsi="宋体" w:cs="宋体"/>
          <w:b/>
          <w:bCs/>
        </w:rPr>
        <w:t>1.6虔东稀土集团股份有限公司</w:t>
      </w:r>
      <w:r>
        <w:rPr>
          <w:rFonts w:hint="eastAsia" w:ascii="宋体" w:hAnsi="宋体" w:cs="宋体"/>
        </w:rPr>
        <w:t>(以下简称虔东集团)</w:t>
      </w:r>
      <w:r>
        <w:rPr>
          <w:rFonts w:hint="eastAsia" w:ascii="宋体" w:hAnsi="宋体" w:cs="宋体"/>
          <w:lang w:val="en-US" w:eastAsia="zh-CN"/>
        </w:rPr>
        <w:t>:</w:t>
      </w:r>
      <w:r>
        <w:rPr>
          <w:rFonts w:hint="eastAsia" w:ascii="宋体" w:hAnsi="宋体" w:cs="宋体"/>
        </w:rPr>
        <w:t>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pPr>
        <w:rPr>
          <w:rFonts w:ascii="宋体" w:hAnsi="宋体" w:cs="宋体"/>
        </w:rPr>
      </w:pPr>
      <w:r>
        <w:rPr>
          <w:rFonts w:hint="eastAsia" w:ascii="宋体" w:hAnsi="宋体" w:cs="宋体"/>
          <w:b/>
        </w:rPr>
        <w:t>1.7</w:t>
      </w:r>
      <w:r>
        <w:rPr>
          <w:rFonts w:hint="eastAsia" w:ascii="宋体" w:hAnsi="宋体" w:cs="宋体"/>
          <w:b/>
          <w:bCs/>
          <w:lang w:eastAsia="zh-CN"/>
        </w:rPr>
        <w:t>包院</w:t>
      </w:r>
      <w:r>
        <w:rPr>
          <w:rFonts w:hint="eastAsia" w:ascii="宋体" w:hAnsi="宋体" w:cs="宋体"/>
          <w:b/>
          <w:bCs/>
        </w:rPr>
        <w:t>。</w:t>
      </w:r>
    </w:p>
    <w:p>
      <w:pPr>
        <w:pStyle w:val="136"/>
        <w:numPr>
          <w:ilvl w:val="0"/>
          <w:numId w:val="5"/>
        </w:numPr>
        <w:ind w:firstLineChars="0"/>
        <w:rPr>
          <w:rFonts w:cs="宋体"/>
          <w:b/>
        </w:rPr>
      </w:pPr>
      <w:r>
        <w:rPr>
          <w:rFonts w:hint="eastAsia" w:cs="宋体"/>
          <w:b/>
        </w:rPr>
        <w:t>标准主要起草人姓名及其负责的工作</w:t>
      </w:r>
    </w:p>
    <w:p>
      <w:pPr>
        <w:ind w:firstLine="420" w:firstLineChars="200"/>
        <w:rPr>
          <w:rFonts w:ascii="宋体" w:hAnsi="宋体" w:cs="宋体"/>
        </w:rPr>
      </w:pPr>
      <w:r>
        <w:rPr>
          <w:rFonts w:hint="eastAsia" w:ascii="宋体" w:hAnsi="宋体" w:cs="宋体"/>
        </w:rPr>
        <w:t>起草人主要工作如下：</w:t>
      </w:r>
    </w:p>
    <w:p>
      <w:pPr>
        <w:ind w:firstLine="420" w:firstLineChars="200"/>
      </w:pPr>
      <w:r>
        <w:rPr>
          <w:rFonts w:hint="eastAsia"/>
        </w:rPr>
        <w:t>刘鸿：镝铁合金</w:t>
      </w:r>
      <w:r>
        <w:rPr>
          <w:rFonts w:hint="eastAsia"/>
          <w:lang w:eastAsia="zh-CN"/>
        </w:rPr>
        <w:t>回收料</w:t>
      </w:r>
      <w:r>
        <w:rPr>
          <w:rFonts w:hint="eastAsia"/>
        </w:rPr>
        <w:t>和钬铁合金</w:t>
      </w:r>
      <w:r>
        <w:rPr>
          <w:rFonts w:hint="eastAsia"/>
          <w:lang w:eastAsia="zh-CN"/>
        </w:rPr>
        <w:t>回收料</w:t>
      </w:r>
      <w:r>
        <w:rPr>
          <w:rFonts w:hint="eastAsia"/>
        </w:rPr>
        <w:t>试验方案设计、试验样品准备、条件试验、试验意见收集处理、编制说明和标准文本撰写；</w:t>
      </w:r>
    </w:p>
    <w:p>
      <w:pPr>
        <w:ind w:firstLine="420" w:firstLineChars="200"/>
      </w:pPr>
      <w:r>
        <w:rPr>
          <w:rFonts w:hint="eastAsia"/>
          <w:lang w:eastAsia="zh-CN"/>
        </w:rPr>
        <w:t>罗燕生</w:t>
      </w:r>
      <w:r>
        <w:rPr>
          <w:rFonts w:hint="eastAsia"/>
        </w:rPr>
        <w:t>：</w:t>
      </w:r>
      <w:r>
        <w:rPr>
          <w:rFonts w:hint="eastAsia"/>
          <w:lang w:eastAsia="zh-CN"/>
        </w:rPr>
        <w:t>镝</w:t>
      </w:r>
      <w:r>
        <w:rPr>
          <w:rFonts w:hint="eastAsia"/>
        </w:rPr>
        <w:t>铁合金和钆铁合金试验方案设计、试验样品准备、条件试验；</w:t>
      </w:r>
    </w:p>
    <w:p>
      <w:pPr>
        <w:ind w:firstLine="420" w:firstLineChars="200"/>
      </w:pPr>
      <w:r>
        <w:rPr>
          <w:rFonts w:hint="eastAsia"/>
        </w:rPr>
        <w:t>张文星：试验样品准备、方案设计与联络沟通、试验数据统计分析、标准文本、编制说明撰写；</w:t>
      </w:r>
    </w:p>
    <w:p>
      <w:pPr>
        <w:ind w:firstLine="420" w:firstLineChars="200"/>
        <w:rPr>
          <w:rFonts w:hint="eastAsia"/>
        </w:rPr>
      </w:pPr>
      <w:r>
        <w:rPr>
          <w:rFonts w:hint="eastAsia"/>
        </w:rPr>
        <w:t>黎英：</w:t>
      </w:r>
      <w:r>
        <w:rPr>
          <w:rFonts w:hint="eastAsia" w:ascii="Times New Roman" w:cs="Times New Roman"/>
          <w:kern w:val="2"/>
          <w:sz w:val="21"/>
          <w:szCs w:val="21"/>
          <w:lang w:val="en-US" w:eastAsia="zh-CN" w:bidi="ar-SA"/>
        </w:rPr>
        <w:t>负责试验计划的组织协调，参与方案设计和试验计划的实施，</w:t>
      </w:r>
      <w:r>
        <w:rPr>
          <w:rFonts w:hint="eastAsia"/>
        </w:rPr>
        <w:t>试验意见收集处理、编制说明和标准文本撰写</w:t>
      </w:r>
      <w:r>
        <w:rPr>
          <w:rFonts w:hint="eastAsia" w:ascii="Times New Roman" w:cs="Times New Roman"/>
          <w:kern w:val="2"/>
          <w:sz w:val="21"/>
          <w:szCs w:val="21"/>
          <w:lang w:val="en-US" w:eastAsia="zh-CN" w:bidi="ar-SA"/>
        </w:rPr>
        <w:t>；</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研制背景</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项目的必要性简述</w:t>
      </w:r>
    </w:p>
    <w:p>
      <w:pPr>
        <w:widowControl/>
        <w:numPr>
          <w:ilvl w:val="255"/>
          <w:numId w:val="0"/>
        </w:numPr>
        <w:ind w:firstLine="420" w:firstLineChars="200"/>
        <w:rPr>
          <w:rFonts w:hint="eastAsia" w:ascii="宋体" w:hAnsi="宋体" w:cs="宋体"/>
        </w:rPr>
      </w:pPr>
      <w:r>
        <w:rPr>
          <w:rFonts w:hint="eastAsia" w:ascii="宋体" w:hAnsi="宋体" w:cs="宋体"/>
        </w:rPr>
        <w:t>稀土火法冶炼回收料是指稀土金属（如：单一稀土金属、混合稀土金属）与稀土合金（如：稀土铁合金、稀土铝合金等）产品在生产过程中产生的具有稀土元素回收价值的回收料。目前，国内稀土火法冶炼回收料根据工艺不同主要来源于两个地方，一是来源于稀土金属熔盐电解生产工艺，其成分主要以REO、REF</w:t>
      </w:r>
      <w:r>
        <w:rPr>
          <w:rFonts w:hint="eastAsia" w:ascii="宋体" w:hAnsi="宋体" w:cs="宋体"/>
          <w:vertAlign w:val="subscript"/>
        </w:rPr>
        <w:t>3</w:t>
      </w:r>
      <w:r>
        <w:rPr>
          <w:rFonts w:hint="eastAsia" w:ascii="宋体" w:hAnsi="宋体" w:cs="宋体"/>
        </w:rPr>
        <w:t>、RE及REOF四种形式存在，并且含有石墨、筑炉材料、铁等杂质；二是来源于稀土金属热还原，主要成分是 CaF</w:t>
      </w:r>
      <w:r>
        <w:rPr>
          <w:rFonts w:hint="eastAsia" w:ascii="宋体" w:hAnsi="宋体" w:cs="宋体"/>
          <w:vertAlign w:val="subscript"/>
        </w:rPr>
        <w:t>2</w:t>
      </w:r>
      <w:r>
        <w:rPr>
          <w:rFonts w:hint="eastAsia" w:ascii="宋体" w:hAnsi="宋体" w:cs="宋体"/>
        </w:rPr>
        <w:t>、CaO、REO、REF</w:t>
      </w:r>
      <w:r>
        <w:rPr>
          <w:rFonts w:hint="eastAsia" w:ascii="宋体" w:hAnsi="宋体" w:cs="宋体"/>
          <w:vertAlign w:val="subscript"/>
        </w:rPr>
        <w:t>3</w:t>
      </w:r>
      <w:r>
        <w:rPr>
          <w:rFonts w:hint="eastAsia" w:ascii="宋体" w:hAnsi="宋体" w:cs="宋体"/>
        </w:rPr>
        <w:t>、RE及REOF。目前国内采用电解工艺生产稀土金属的年产量在35000～45000吨左右，产出的稀土回收料每年约2200吨左右；采用钙热还原工艺生产稀土金属的年产量约260吨左右，产出的稀土回收料每年约250吨左右；采用镧热还原蒸馏工艺生产稀土金属的年产量约850吨左右，产出的稀土回收料每年约800吨左右。为贯彻落实《国务院关于促进稀土行业持续健康发展的若干意见》要求，针对稀土金属及其合金生产回收料国内早已形成贸易、回收加工产业链，主要用于稀土元素的回收再利用。但对于该产业链产品的规范、分析标准的配套、完善却存在遗憾。目前为止没有任何相关的产品标准来规范、指导该产业的健康发展，没有相配套的分析标准来扶持产业稳健前行，以往都是照搬照套其它的分析标准，容易造成适用面不全、准确性不够，给产业链供需双方带来很大的不便，阻碍了不可再生矿产资源的回收再利用。同时有些不法商人还在电解渣中参入电镀泥等危废，使回收加工企业存在环保问题。稀土火法回收料中稀土总量在5%以上，十五个稀土元素氧化物配分量是反映该产品经济价值的重要指标，也是下游分立企业确定分离回收生产工艺的重要指标。综上所述，亟需建立制定统一规范的稀土火法回收料标准中十五个稀土元素氧化物配分量检测方法以适应市场化需求。</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项目的可行性简述</w:t>
      </w:r>
    </w:p>
    <w:p>
      <w:pPr>
        <w:widowControl/>
        <w:numPr>
          <w:ilvl w:val="255"/>
          <w:numId w:val="0"/>
        </w:numPr>
        <w:ind w:firstLine="420" w:firstLineChars="200"/>
      </w:pPr>
      <w:r>
        <w:rPr>
          <w:rFonts w:hint="eastAsia" w:ascii="宋体" w:hAnsi="宋体" w:cs="宋体"/>
        </w:rPr>
        <w:t>本标准用于稀土火法冶炼回收料中十五个稀土元素氧化物配分量，测定范围</w:t>
      </w:r>
      <w:r>
        <w:rPr>
          <w:rFonts w:hint="eastAsia" w:ascii="宋体" w:hAnsi="宋体" w:cs="宋体"/>
          <w:lang w:val="en-US" w:eastAsia="zh-CN"/>
        </w:rPr>
        <w:t>0.20</w:t>
      </w:r>
      <w:r>
        <w:rPr>
          <w:rFonts w:hint="eastAsia" w:ascii="宋体" w:hAnsi="宋体" w:cs="宋体"/>
        </w:rPr>
        <w:t>%～9</w:t>
      </w:r>
      <w:r>
        <w:rPr>
          <w:rFonts w:hint="eastAsia" w:ascii="宋体" w:hAnsi="宋体" w:cs="宋体"/>
          <w:lang w:val="en-US" w:eastAsia="zh-CN"/>
        </w:rPr>
        <w:t>9</w:t>
      </w:r>
      <w:r>
        <w:rPr>
          <w:rFonts w:hint="eastAsia" w:ascii="宋体" w:hAnsi="宋体" w:cs="宋体"/>
        </w:rPr>
        <w:t>.00%。采用X-射线荧光光谱</w:t>
      </w:r>
      <w:r>
        <w:rPr>
          <w:rFonts w:hint="eastAsia" w:ascii="宋体" w:hAnsi="宋体" w:cs="宋体"/>
          <w:lang w:eastAsia="zh-CN"/>
        </w:rPr>
        <w:t>法</w:t>
      </w:r>
      <w:r>
        <w:rPr>
          <w:rFonts w:hint="eastAsia" w:ascii="宋体" w:hAnsi="宋体" w:cs="宋体"/>
        </w:rPr>
        <w:t>进行测定。通过基体近似匹配的方式，实现对各稀土铁合金中非稀土杂质含量的测定。随着科学技术的进步，X-射线荧光光谱</w:t>
      </w:r>
      <w:r>
        <w:rPr>
          <w:rFonts w:hint="eastAsia" w:ascii="宋体" w:hAnsi="宋体" w:cs="宋体"/>
          <w:lang w:eastAsia="zh-CN"/>
        </w:rPr>
        <w:t>法</w:t>
      </w:r>
      <w:r>
        <w:rPr>
          <w:rFonts w:hint="eastAsia" w:ascii="宋体" w:hAnsi="宋体" w:cs="宋体"/>
        </w:rPr>
        <w:t>，在分析检测行业占有举足轻重的</w:t>
      </w:r>
      <w:r>
        <w:rPr>
          <w:rFonts w:hint="eastAsia" w:ascii="宋体" w:hAnsi="宋体" w:cs="宋体"/>
          <w:lang w:eastAsia="zh-CN"/>
        </w:rPr>
        <w:t>地位，其</w:t>
      </w:r>
      <w:r>
        <w:rPr>
          <w:rFonts w:hint="eastAsia" w:ascii="宋体" w:hAnsi="宋体" w:cs="宋体"/>
        </w:rPr>
        <w:t>具有精密度好、动态范围宽和</w:t>
      </w:r>
      <w:r>
        <w:rPr>
          <w:rFonts w:hint="eastAsia" w:ascii="宋体" w:hAnsi="宋体" w:cs="宋体"/>
          <w:lang w:eastAsia="zh-CN"/>
        </w:rPr>
        <w:t>全自动测定</w:t>
      </w:r>
      <w:r>
        <w:rPr>
          <w:rFonts w:hint="eastAsia" w:ascii="宋体" w:hAnsi="宋体" w:cs="宋体"/>
        </w:rPr>
        <w:t>等特点；近似基体匹配方式则具有解决物性干扰、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主要工作过程</w:t>
      </w:r>
    </w:p>
    <w:p>
      <w:pPr>
        <w:pStyle w:val="120"/>
        <w:numPr>
          <w:ilvl w:val="0"/>
          <w:numId w:val="7"/>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预研阶段</w:t>
      </w:r>
    </w:p>
    <w:p>
      <w:pPr>
        <w:numPr>
          <w:ilvl w:val="255"/>
          <w:numId w:val="0"/>
        </w:numPr>
        <w:ind w:firstLine="420" w:firstLineChars="200"/>
        <w:rPr>
          <w:rFonts w:ascii="宋体" w:hAnsi="宋体" w:cs="宋体"/>
        </w:rPr>
      </w:pPr>
      <w:r>
        <w:rPr>
          <w:rFonts w:hint="eastAsia" w:ascii="宋体" w:hAnsi="宋体" w:cs="宋体"/>
        </w:rPr>
        <w:t>本项目计划为</w:t>
      </w:r>
      <w:r>
        <w:rPr>
          <w:rFonts w:hint="eastAsia" w:ascii="宋体" w:hAnsi="宋体" w:cs="宋体"/>
          <w:lang w:eastAsia="zh-CN"/>
        </w:rPr>
        <w:t>制定</w:t>
      </w:r>
      <w:r>
        <w:rPr>
          <w:rFonts w:hint="eastAsia" w:ascii="宋体" w:hAnsi="宋体" w:cs="宋体"/>
        </w:rPr>
        <w:t>项目，20</w:t>
      </w:r>
      <w:r>
        <w:rPr>
          <w:rFonts w:hint="eastAsia" w:ascii="宋体" w:hAnsi="宋体" w:cs="宋体"/>
          <w:lang w:val="en-US" w:eastAsia="zh-CN"/>
        </w:rPr>
        <w:t>20</w:t>
      </w:r>
      <w:r>
        <w:rPr>
          <w:rFonts w:hint="eastAsia" w:ascii="宋体" w:hAnsi="宋体" w:cs="宋体"/>
        </w:rPr>
        <w:t>年1</w:t>
      </w:r>
      <w:r>
        <w:rPr>
          <w:rFonts w:hint="eastAsia" w:ascii="宋体" w:hAnsi="宋体" w:cs="宋体"/>
          <w:lang w:val="en-US" w:eastAsia="zh-CN"/>
        </w:rPr>
        <w:t>0</w:t>
      </w:r>
      <w:r>
        <w:rPr>
          <w:rFonts w:hint="eastAsia" w:ascii="宋体" w:hAnsi="宋体" w:cs="宋体"/>
        </w:rPr>
        <w:t>月牵头单位对本项目组织了调研，广泛征集了用户企业与科研院所等单位意见，确定了</w:t>
      </w:r>
      <w:r>
        <w:rPr>
          <w:rFonts w:hint="eastAsia" w:ascii="宋体" w:hAnsi="宋体" w:cs="宋体"/>
          <w:lang w:eastAsia="zh-CN"/>
        </w:rPr>
        <w:t>制定</w:t>
      </w:r>
      <w:r>
        <w:rPr>
          <w:rFonts w:hint="eastAsia" w:ascii="宋体" w:hAnsi="宋体" w:cs="宋体"/>
        </w:rPr>
        <w:t>的必要性以及</w:t>
      </w:r>
      <w:r>
        <w:rPr>
          <w:rFonts w:hint="eastAsia" w:ascii="宋体" w:hAnsi="宋体" w:cs="宋体"/>
          <w:lang w:eastAsia="zh-CN"/>
        </w:rPr>
        <w:t>制定</w:t>
      </w:r>
      <w:r>
        <w:rPr>
          <w:rFonts w:hint="eastAsia" w:ascii="宋体" w:hAnsi="宋体" w:cs="宋体"/>
        </w:rPr>
        <w:t>方案，并通过初步试验形成了草案稿，证明了本项目</w:t>
      </w:r>
      <w:r>
        <w:rPr>
          <w:rFonts w:hint="eastAsia" w:ascii="宋体" w:hAnsi="宋体" w:cs="宋体"/>
          <w:lang w:eastAsia="zh-CN"/>
        </w:rPr>
        <w:t>制定</w:t>
      </w:r>
      <w:r>
        <w:rPr>
          <w:rFonts w:hint="eastAsia" w:ascii="宋体" w:hAnsi="宋体" w:cs="宋体"/>
        </w:rPr>
        <w:t>方案的可行性，同时完成了立项论证报告及项目建议书的编写。</w:t>
      </w:r>
    </w:p>
    <w:p>
      <w:pPr>
        <w:pStyle w:val="120"/>
        <w:numPr>
          <w:ilvl w:val="0"/>
          <w:numId w:val="7"/>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立项阶段</w:t>
      </w:r>
    </w:p>
    <w:p>
      <w:pPr>
        <w:widowControl/>
        <w:numPr>
          <w:ilvl w:val="255"/>
          <w:numId w:val="0"/>
        </w:numPr>
        <w:ind w:firstLine="420"/>
        <w:rPr>
          <w:rFonts w:ascii="宋体" w:hAnsi="宋体" w:cs="宋体"/>
          <w:color w:val="auto"/>
        </w:rPr>
      </w:pPr>
      <w:r>
        <w:rPr>
          <w:rFonts w:hint="eastAsia" w:ascii="宋体" w:hAnsi="宋体" w:cs="宋体"/>
          <w:color w:val="auto"/>
        </w:rPr>
        <w:t>2019年</w:t>
      </w:r>
      <w:r>
        <w:rPr>
          <w:rFonts w:hint="eastAsia" w:ascii="宋体" w:hAnsi="宋体" w:cs="宋体"/>
          <w:color w:val="auto"/>
          <w:lang w:val="en-US" w:eastAsia="zh-CN"/>
        </w:rPr>
        <w:t>11</w:t>
      </w:r>
      <w:r>
        <w:rPr>
          <w:rFonts w:hint="eastAsia" w:ascii="宋体" w:hAnsi="宋体" w:cs="宋体"/>
          <w:color w:val="auto"/>
        </w:rPr>
        <w:t>月向</w:t>
      </w:r>
      <w:r>
        <w:rPr>
          <w:rFonts w:hint="eastAsia" w:ascii="宋体" w:hAnsi="宋体" w:cs="宋体"/>
          <w:color w:val="auto"/>
          <w:lang w:eastAsia="zh-CN"/>
        </w:rPr>
        <w:t>全国</w:t>
      </w:r>
      <w:r>
        <w:rPr>
          <w:rFonts w:hint="eastAsia" w:ascii="宋体" w:hAnsi="宋体" w:cs="宋体"/>
          <w:color w:val="auto"/>
        </w:rPr>
        <w:t>稀标委秘书处</w:t>
      </w:r>
      <w:r>
        <w:rPr>
          <w:rFonts w:hint="eastAsia" w:ascii="宋体" w:hAnsi="宋体" w:cs="宋体"/>
          <w:color w:val="auto"/>
          <w:lang w:eastAsia="zh-CN"/>
        </w:rPr>
        <w:t>提</w:t>
      </w:r>
      <w:r>
        <w:rPr>
          <w:rFonts w:hint="eastAsia" w:ascii="宋体" w:hAnsi="宋体" w:cs="宋体"/>
          <w:color w:val="auto"/>
        </w:rPr>
        <w:t>交了本项目的项目建议书、立项论证报告、草案稿</w:t>
      </w:r>
      <w:r>
        <w:rPr>
          <w:rFonts w:hint="eastAsia" w:ascii="宋体" w:hAnsi="宋体" w:cs="宋体"/>
          <w:color w:val="auto"/>
          <w:lang w:eastAsia="zh-CN"/>
        </w:rPr>
        <w:t>，</w:t>
      </w:r>
      <w:r>
        <w:rPr>
          <w:rFonts w:hint="eastAsia" w:ascii="宋体" w:hAnsi="宋体" w:cs="宋体"/>
          <w:color w:val="auto"/>
        </w:rPr>
        <w:t>正式申请立项。</w:t>
      </w:r>
      <w:r>
        <w:rPr>
          <w:rFonts w:hint="eastAsia" w:ascii="宋体" w:hAnsi="宋体" w:cs="宋体"/>
          <w:color w:val="auto"/>
          <w:lang w:eastAsia="zh-CN"/>
        </w:rPr>
        <w:t>全国</w:t>
      </w:r>
      <w:r>
        <w:rPr>
          <w:rFonts w:hint="eastAsia" w:ascii="宋体" w:hAnsi="宋体" w:cs="宋体"/>
          <w:color w:val="auto"/>
        </w:rPr>
        <w:t>稀土标委会对本项目立项进行了意见征集并组织了全体委员进行投票，最终通过了本项目的立项请求，并</w:t>
      </w:r>
      <w:r>
        <w:rPr>
          <w:rFonts w:hint="eastAsia" w:ascii="宋体" w:hAnsi="宋体" w:cs="宋体"/>
          <w:color w:val="auto"/>
          <w:lang w:eastAsia="zh-CN"/>
        </w:rPr>
        <w:t>上</w:t>
      </w:r>
      <w:r>
        <w:rPr>
          <w:rFonts w:hint="eastAsia" w:ascii="宋体" w:hAnsi="宋体" w:cs="宋体"/>
          <w:color w:val="auto"/>
        </w:rPr>
        <w:t>报</w:t>
      </w:r>
      <w:r>
        <w:rPr>
          <w:rFonts w:hint="eastAsia" w:ascii="宋体" w:hAnsi="宋体" w:cs="宋体"/>
          <w:color w:val="auto"/>
          <w:lang w:eastAsia="zh-CN"/>
        </w:rPr>
        <w:t>工信部获批立项</w:t>
      </w:r>
      <w:r>
        <w:rPr>
          <w:rFonts w:hint="eastAsia" w:ascii="宋体" w:hAnsi="宋体" w:cs="宋体"/>
          <w:color w:val="auto"/>
        </w:rPr>
        <w:t>。</w:t>
      </w:r>
      <w:r>
        <w:rPr>
          <w:rFonts w:hint="eastAsia" w:ascii="宋体" w:hAnsi="宋体" w:cs="宋体"/>
          <w:color w:val="auto"/>
          <w:lang w:eastAsia="zh-CN"/>
        </w:rPr>
        <w:t>本项目</w:t>
      </w:r>
      <w:r>
        <w:rPr>
          <w:rFonts w:hint="eastAsia" w:ascii="宋体" w:hAnsi="宋体" w:cs="宋体"/>
          <w:color w:val="auto"/>
        </w:rPr>
        <w:t>归口单位为：全国稀土标准化技术委员会；项目周期为</w:t>
      </w:r>
      <w:r>
        <w:rPr>
          <w:rFonts w:hint="eastAsia" w:ascii="宋体" w:hAnsi="宋体" w:cs="宋体"/>
          <w:color w:val="auto"/>
          <w:lang w:val="en-US" w:eastAsia="zh-CN"/>
        </w:rPr>
        <w:t>24</w:t>
      </w:r>
      <w:r>
        <w:rPr>
          <w:rFonts w:hint="eastAsia" w:ascii="宋体" w:hAnsi="宋体" w:cs="宋体"/>
          <w:color w:val="auto"/>
        </w:rPr>
        <w:t>个月。</w:t>
      </w:r>
    </w:p>
    <w:p>
      <w:pPr>
        <w:ind w:firstLine="420"/>
        <w:rPr>
          <w:rFonts w:ascii="宋体" w:hAnsi="宋体" w:cs="宋体"/>
          <w:color w:val="auto"/>
        </w:rPr>
      </w:pPr>
      <w:r>
        <w:rPr>
          <w:rFonts w:hint="eastAsia" w:ascii="宋体" w:hAnsi="宋体" w:cs="宋体"/>
          <w:color w:val="auto"/>
        </w:rPr>
        <w:t>2020年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11</w:t>
      </w:r>
      <w:r>
        <w:rPr>
          <w:rFonts w:hint="eastAsia" w:ascii="宋体" w:hAnsi="宋体" w:cs="宋体"/>
          <w:color w:val="auto"/>
        </w:rPr>
        <w:t>日全国稀土标准化技术委员会召开网络会议，对本项目进行任务落实。会议确定负责起草单位为赣州有色冶金研究所有限公司、</w:t>
      </w:r>
      <w:r>
        <w:rPr>
          <w:rFonts w:hint="eastAsia" w:ascii="宋体" w:hAnsi="宋体" w:cs="宋体"/>
          <w:color w:val="auto"/>
          <w:lang w:eastAsia="zh-CN"/>
        </w:rPr>
        <w:t>江西理工大学分析测试中心</w:t>
      </w:r>
      <w:r>
        <w:rPr>
          <w:rFonts w:hint="eastAsia" w:ascii="宋体" w:hAnsi="宋体" w:cs="宋体"/>
          <w:color w:val="auto"/>
        </w:rPr>
        <w:t>、</w:t>
      </w:r>
      <w:r>
        <w:rPr>
          <w:rFonts w:hint="default" w:ascii="宋体" w:hAnsi="宋体" w:cs="宋体"/>
          <w:color w:val="auto"/>
        </w:rPr>
        <w:t>中化地质矿山总局浙江地质勘查院</w:t>
      </w:r>
      <w:r>
        <w:rPr>
          <w:rFonts w:hint="eastAsia" w:ascii="宋体" w:hAnsi="宋体" w:cs="宋体"/>
          <w:color w:val="auto"/>
        </w:rPr>
        <w:t>、国标（北京）检验认证有限公司、中国科学院海西研究院厦门稀土材料研究中心、虔东稀土集团股份有限公司</w:t>
      </w:r>
      <w:r>
        <w:rPr>
          <w:rFonts w:hint="eastAsia" w:ascii="宋体" w:hAnsi="宋体" w:cs="宋体"/>
          <w:color w:val="auto"/>
          <w:lang w:eastAsia="zh-CN"/>
        </w:rPr>
        <w:t>和包头稀土研究院</w:t>
      </w:r>
      <w:r>
        <w:rPr>
          <w:rFonts w:hint="eastAsia" w:ascii="宋体" w:hAnsi="宋体" w:cs="宋体"/>
          <w:color w:val="auto"/>
          <w:szCs w:val="20"/>
        </w:rPr>
        <w:t>等</w:t>
      </w:r>
      <w:r>
        <w:rPr>
          <w:rFonts w:hint="eastAsia" w:ascii="宋体" w:hAnsi="宋体" w:cs="宋体"/>
          <w:color w:val="auto"/>
          <w:szCs w:val="20"/>
          <w:lang w:eastAsia="zh-CN"/>
        </w:rPr>
        <w:t>七</w:t>
      </w:r>
      <w:r>
        <w:rPr>
          <w:rFonts w:hint="eastAsia" w:ascii="宋体" w:hAnsi="宋体" w:cs="宋体"/>
          <w:color w:val="auto"/>
          <w:szCs w:val="20"/>
        </w:rPr>
        <w:t>家单位</w:t>
      </w:r>
      <w:r>
        <w:rPr>
          <w:rFonts w:hint="eastAsia" w:ascii="宋体" w:hAnsi="宋体" w:cs="宋体"/>
          <w:color w:val="auto"/>
        </w:rPr>
        <w:t>。任务落实会上，确定了赣州有色冶金研究所有限公司为本项目牵头单位，</w:t>
      </w:r>
      <w:r>
        <w:rPr>
          <w:rFonts w:hint="eastAsia" w:ascii="宋体" w:hAnsi="宋体" w:cs="宋体"/>
        </w:rPr>
        <w:t>江西省南方稀土高技术股份有限公司和虔东稀土集团股份有限公司提供了试验用统一样品。</w:t>
      </w:r>
      <w:r>
        <w:rPr>
          <w:rFonts w:hint="eastAsia" w:ascii="宋体" w:hAnsi="宋体" w:cs="宋体"/>
          <w:color w:val="auto"/>
        </w:rPr>
        <w:t>负责统一样品的提供。会议确定了项目的时间进度安排等。</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起草阶段</w:t>
      </w:r>
    </w:p>
    <w:p>
      <w:pPr>
        <w:rPr>
          <w:rFonts w:ascii="宋体" w:hAnsi="宋体" w:cs="宋体"/>
        </w:rPr>
      </w:pPr>
      <w:r>
        <w:rPr>
          <w:rFonts w:hint="eastAsia" w:ascii="宋体" w:hAnsi="宋体" w:cs="宋体"/>
        </w:rPr>
        <w:tab/>
      </w:r>
      <w:r>
        <w:rPr>
          <w:rFonts w:hint="eastAsia" w:ascii="宋体" w:hAnsi="宋体" w:cs="宋体"/>
        </w:rPr>
        <w:t>赣州有色冶金研究所</w:t>
      </w:r>
      <w:r>
        <w:rPr>
          <w:rFonts w:hint="eastAsia" w:ascii="宋体" w:hAnsi="宋体" w:cs="宋体"/>
          <w:lang w:eastAsia="zh-CN"/>
        </w:rPr>
        <w:t>有限公司</w:t>
      </w:r>
      <w:r>
        <w:rPr>
          <w:rFonts w:hint="eastAsia" w:ascii="宋体" w:hAnsi="宋体" w:cs="宋体"/>
        </w:rPr>
        <w:t>分析检测中心接受任务后，立即成立了</w:t>
      </w:r>
      <w:r>
        <w:rPr>
          <w:rFonts w:hint="eastAsia" w:ascii="宋体" w:hAnsi="宋体" w:cs="宋体"/>
          <w:lang w:eastAsia="zh-CN"/>
        </w:rPr>
        <w:t>行标</w:t>
      </w:r>
      <w:r>
        <w:rPr>
          <w:rFonts w:hint="eastAsia" w:ascii="宋体" w:hAnsi="宋体" w:cs="宋体"/>
        </w:rPr>
        <w:t>《稀土熔盐电解回收料化学方法 第2部分：十五个稀土元素氧化物配分量</w:t>
      </w:r>
      <w:r>
        <w:rPr>
          <w:rFonts w:hint="eastAsia" w:ascii="宋体" w:hAnsi="宋体" w:cs="宋体"/>
          <w:lang w:eastAsia="zh-CN"/>
        </w:rPr>
        <w:t>测定</w:t>
      </w:r>
      <w:r>
        <w:rPr>
          <w:rFonts w:hint="eastAsia" w:ascii="宋体" w:hAnsi="宋体" w:cs="宋体"/>
        </w:rPr>
        <w:t>》研发小组，并</w:t>
      </w:r>
      <w:r>
        <w:rPr>
          <w:rFonts w:hint="eastAsia" w:ascii="宋体" w:hAnsi="宋体" w:cs="宋体"/>
          <w:lang w:eastAsia="zh-CN"/>
        </w:rPr>
        <w:t>针对</w:t>
      </w:r>
      <w:r>
        <w:rPr>
          <w:rFonts w:hint="eastAsia" w:ascii="宋体" w:hAnsi="宋体" w:cs="宋体"/>
        </w:rPr>
        <w:t>单一稀土氧化物、氧化铁和稀土</w:t>
      </w:r>
      <w:r>
        <w:rPr>
          <w:rFonts w:hint="eastAsia" w:ascii="宋体" w:hAnsi="宋体" w:cs="宋体"/>
          <w:lang w:eastAsia="zh-CN"/>
        </w:rPr>
        <w:t>火法回收料</w:t>
      </w:r>
      <w:r>
        <w:rPr>
          <w:rFonts w:hint="eastAsia" w:ascii="宋体" w:hAnsi="宋体" w:cs="宋体"/>
        </w:rPr>
        <w:t>等稀土产品进行条件试验摸索，初步形成试验方法。</w:t>
      </w:r>
    </w:p>
    <w:p>
      <w:pPr>
        <w:ind w:firstLine="420"/>
        <w:rPr>
          <w:rFonts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3</w:t>
      </w:r>
      <w:r>
        <w:rPr>
          <w:rFonts w:hint="eastAsia" w:ascii="宋体" w:hAnsi="宋体" w:cs="宋体"/>
        </w:rPr>
        <w:t>月，江西省南方稀土高技术股份有限公司和虔东稀土集团股份有限公司提供了试验用统一样品。接到样品后主起草单位开展了精密度、加标回收等试验，证明方法准确可靠。</w:t>
      </w:r>
    </w:p>
    <w:p>
      <w:pPr>
        <w:rPr>
          <w:rFonts w:ascii="宋体" w:hAnsi="宋体" w:cs="宋体"/>
        </w:rPr>
      </w:pPr>
      <w:r>
        <w:rPr>
          <w:rFonts w:hint="eastAsia" w:ascii="宋体" w:hAnsi="宋体" w:cs="宋体"/>
        </w:rPr>
        <w:tab/>
      </w: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9</w:t>
      </w:r>
      <w:r>
        <w:rPr>
          <w:rFonts w:hint="eastAsia" w:ascii="宋体" w:hAnsi="宋体" w:cs="宋体"/>
        </w:rPr>
        <w:t>月，赣州有色冶金研究所</w:t>
      </w:r>
      <w:r>
        <w:rPr>
          <w:rFonts w:hint="eastAsia" w:ascii="宋体" w:hAnsi="宋体" w:cs="宋体"/>
          <w:lang w:eastAsia="zh-CN"/>
        </w:rPr>
        <w:t>有限公司</w:t>
      </w:r>
      <w:r>
        <w:rPr>
          <w:rFonts w:hint="eastAsia" w:ascii="宋体" w:hAnsi="宋体" w:cs="宋体"/>
        </w:rPr>
        <w:t>对实验数据进行整理，完成了国家标准《稀土熔盐电解回收料化学方法 第2部分：十五个稀土元素氧化物配分量</w:t>
      </w:r>
      <w:r>
        <w:rPr>
          <w:rFonts w:hint="eastAsia" w:ascii="宋体" w:hAnsi="宋体" w:cs="宋体"/>
          <w:lang w:eastAsia="zh-CN"/>
        </w:rPr>
        <w:t>测定</w:t>
      </w:r>
      <w:r>
        <w:rPr>
          <w:rFonts w:hint="eastAsia" w:ascii="宋体" w:hAnsi="宋体" w:cs="宋体"/>
        </w:rPr>
        <w:t>》（</w:t>
      </w:r>
      <w:r>
        <w:rPr>
          <w:rFonts w:hint="eastAsia" w:ascii="宋体" w:hAnsi="宋体" w:cs="宋体"/>
          <w:lang w:eastAsia="zh-CN"/>
        </w:rPr>
        <w:t>征求意见</w:t>
      </w:r>
      <w:r>
        <w:rPr>
          <w:rFonts w:hint="eastAsia" w:ascii="宋体" w:hAnsi="宋体" w:cs="宋体"/>
        </w:rPr>
        <w:t>稿）及方法研究报告的编写，并将样品和方法研究报告提供给</w:t>
      </w:r>
      <w:r>
        <w:rPr>
          <w:rFonts w:hint="eastAsia" w:ascii="宋体" w:hAnsi="宋体" w:cs="宋体"/>
          <w:lang w:val="en-US" w:eastAsia="zh-CN"/>
        </w:rPr>
        <w:t>6</w:t>
      </w:r>
      <w:r>
        <w:rPr>
          <w:rFonts w:hint="eastAsia" w:ascii="宋体" w:hAnsi="宋体" w:cs="宋体"/>
        </w:rPr>
        <w:t>家验证单位进行数据的验证工作。</w:t>
      </w:r>
    </w:p>
    <w:p>
      <w:pPr>
        <w:ind w:firstLine="420"/>
        <w:rPr>
          <w:rFonts w:ascii="宋体" w:hAnsi="宋体" w:cs="宋体"/>
        </w:rPr>
      </w:pPr>
      <w:r>
        <w:rPr>
          <w:rFonts w:hint="eastAsia" w:ascii="宋体" w:hAnsi="宋体" w:cs="宋体"/>
        </w:rPr>
        <w:t>在标准的起草过程中，各单位广泛提出意见。截止202</w:t>
      </w:r>
      <w:r>
        <w:rPr>
          <w:rFonts w:hint="eastAsia" w:ascii="宋体" w:hAnsi="宋体" w:cs="宋体"/>
          <w:lang w:val="en-US" w:eastAsia="zh-CN"/>
        </w:rPr>
        <w:t>1</w:t>
      </w:r>
      <w:r>
        <w:rPr>
          <w:rFonts w:hint="eastAsia" w:ascii="宋体" w:hAnsi="宋体" w:cs="宋体"/>
        </w:rPr>
        <w:t>年1</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15日</w:t>
      </w:r>
      <w:r>
        <w:rPr>
          <w:rFonts w:hint="eastAsia" w:ascii="宋体" w:hAnsi="宋体" w:cs="宋体"/>
        </w:rPr>
        <w:t>，各验证单位陆续完成标准的验证工作并返回验证报告。</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在验证过程中，各验证单位提出意见如下：</w:t>
      </w:r>
    </w:p>
    <w:p>
      <w:pPr>
        <w:pStyle w:val="136"/>
        <w:numPr>
          <w:ilvl w:val="-1"/>
          <w:numId w:val="0"/>
        </w:numPr>
        <w:ind w:left="420" w:firstLine="0" w:firstLineChars="0"/>
        <w:rPr>
          <w:rFonts w:hint="eastAsia" w:ascii="宋体" w:hAnsi="宋体" w:cs="宋体"/>
          <w:color w:val="000000" w:themeColor="text1"/>
          <w:lang w:eastAsia="zh-CN"/>
          <w14:textFill>
            <w14:solidFill>
              <w14:schemeClr w14:val="tx1"/>
            </w14:solidFill>
          </w14:textFill>
        </w:rPr>
      </w:pPr>
      <w:r>
        <w:rPr>
          <w:rFonts w:hint="eastAsia"/>
          <w:szCs w:val="21"/>
          <w:lang w:val="en-US" w:eastAsia="zh-CN"/>
        </w:rPr>
        <w:t>1..</w:t>
      </w:r>
      <w:r>
        <w:rPr>
          <w:rFonts w:hint="eastAsia"/>
          <w:szCs w:val="21"/>
        </w:rPr>
        <w:t>虔东稀土集团股份有限公司</w:t>
      </w:r>
      <w:r>
        <w:rPr>
          <w:rFonts w:hint="eastAsia" w:ascii="宋体" w:hAnsi="宋体" w:cs="宋体"/>
          <w:color w:val="000000" w:themeColor="text1"/>
          <w:lang w:eastAsia="zh-CN"/>
          <w14:textFill>
            <w14:solidFill>
              <w14:schemeClr w14:val="tx1"/>
            </w14:solidFill>
          </w14:textFill>
        </w:rPr>
        <w:t>：</w:t>
      </w:r>
    </w:p>
    <w:p>
      <w:pPr>
        <w:pStyle w:val="136"/>
        <w:numPr>
          <w:ilvl w:val="-1"/>
          <w:numId w:val="0"/>
        </w:numPr>
        <w:ind w:left="0" w:firstLine="420" w:firstLineChars="200"/>
        <w:rPr>
          <w:rFonts w:hint="eastAsia"/>
          <w:szCs w:val="21"/>
          <w:lang w:eastAsia="zh-CN"/>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lang w:eastAsia="zh-CN"/>
          <w14:textFill>
            <w14:solidFill>
              <w14:schemeClr w14:val="tx1"/>
            </w14:solidFill>
          </w14:textFill>
        </w:rPr>
        <w:t>条款</w:t>
      </w:r>
      <w:r>
        <w:rPr>
          <w:rFonts w:hint="eastAsia" w:ascii="宋体" w:hAnsi="宋体" w:cs="宋体"/>
          <w:szCs w:val="21"/>
        </w:rPr>
        <w:t>2.5.2.1</w:t>
      </w:r>
      <w:r>
        <w:rPr>
          <w:rFonts w:hint="eastAsia" w:ascii="宋体" w:hAnsi="宋体" w:cs="宋体"/>
          <w:szCs w:val="21"/>
          <w:lang w:eastAsia="zh-CN"/>
        </w:rPr>
        <w:t>，</w:t>
      </w:r>
      <w:r>
        <w:rPr>
          <w:rFonts w:hint="eastAsia"/>
          <w:szCs w:val="21"/>
        </w:rPr>
        <w:t>一次氨分离无法有效去除试样中的钙，建议两次或两次以上氨分离。</w:t>
      </w:r>
      <w:r>
        <w:rPr>
          <w:rFonts w:hint="eastAsia"/>
          <w:szCs w:val="21"/>
          <w:lang w:eastAsia="zh-CN"/>
        </w:rPr>
        <w:t>采纳。</w:t>
      </w:r>
    </w:p>
    <w:p>
      <w:pPr>
        <w:pStyle w:val="136"/>
        <w:numPr>
          <w:ilvl w:val="-1"/>
          <w:numId w:val="0"/>
        </w:numPr>
        <w:ind w:left="420" w:firstLine="0" w:firstLineChars="0"/>
        <w:rPr>
          <w:rFonts w:hint="eastAsia" w:ascii="Times New Roman" w:hAnsi="Times New Roman" w:cs="Times New Roman"/>
          <w:szCs w:val="21"/>
        </w:rPr>
      </w:pPr>
      <w:r>
        <w:rPr>
          <w:rFonts w:hint="eastAsia"/>
          <w:szCs w:val="21"/>
          <w:lang w:val="en-US" w:eastAsia="zh-CN"/>
        </w:rPr>
        <w:t>2）</w:t>
      </w:r>
      <w:r>
        <w:rPr>
          <w:rFonts w:hint="eastAsia" w:ascii="宋体" w:hAnsi="宋体" w:cs="宋体"/>
          <w:color w:val="000000" w:themeColor="text1"/>
          <w:lang w:eastAsia="zh-CN"/>
          <w14:textFill>
            <w14:solidFill>
              <w14:schemeClr w14:val="tx1"/>
            </w14:solidFill>
          </w14:textFill>
        </w:rPr>
        <w:t>条款</w:t>
      </w:r>
      <w:r>
        <w:rPr>
          <w:bCs/>
          <w:szCs w:val="21"/>
        </w:rPr>
        <w:t>2.5.1</w:t>
      </w:r>
      <w:r>
        <w:rPr>
          <w:rFonts w:hint="eastAsia"/>
          <w:bCs/>
          <w:szCs w:val="21"/>
          <w:lang w:eastAsia="zh-CN"/>
        </w:rPr>
        <w:t>，</w:t>
      </w:r>
      <w:r>
        <w:rPr>
          <w:rFonts w:hAnsi="宋体"/>
        </w:rPr>
        <w:t>“称取</w:t>
      </w:r>
      <w:r>
        <w:t>2.0g</w:t>
      </w:r>
      <w:r>
        <w:rPr>
          <w:rFonts w:hAnsi="宋体"/>
        </w:rPr>
        <w:t>试料于</w:t>
      </w:r>
      <w:r>
        <w:t>250mL</w:t>
      </w:r>
      <w:r>
        <w:rPr>
          <w:rFonts w:hAnsi="宋体"/>
        </w:rPr>
        <w:t>聚四氟乙烯烧杯中，加入</w:t>
      </w:r>
      <w:r>
        <w:t>15mL</w:t>
      </w:r>
      <w:r>
        <w:rPr>
          <w:rFonts w:hAnsi="宋体"/>
        </w:rPr>
        <w:t>硝酸（</w:t>
      </w:r>
      <w:r>
        <w:t>2.3.18</w:t>
      </w:r>
      <w:r>
        <w:rPr>
          <w:rFonts w:hAnsi="宋体"/>
        </w:rPr>
        <w:t>）、</w:t>
      </w:r>
      <w:r>
        <w:t>5mL</w:t>
      </w:r>
      <w:r>
        <w:rPr>
          <w:rFonts w:hAnsi="宋体"/>
        </w:rPr>
        <w:t>盐酸（</w:t>
      </w:r>
      <w:r>
        <w:t>2.3.17</w:t>
      </w:r>
      <w:r>
        <w:rPr>
          <w:rFonts w:hAnsi="宋体"/>
        </w:rPr>
        <w:t>）</w:t>
      </w:r>
      <w:r>
        <w:rPr>
          <w:rFonts w:hint="eastAsia" w:hAnsi="宋体"/>
          <w:lang w:eastAsia="zh-CN"/>
        </w:rPr>
        <w:t>，</w:t>
      </w:r>
      <w:r>
        <w:rPr>
          <w:rFonts w:hint="eastAsia" w:hAnsi="宋体"/>
        </w:rPr>
        <w:t>i</w:t>
      </w:r>
      <w:r>
        <w:t>1mL</w:t>
      </w:r>
      <w:r>
        <w:rPr>
          <w:rFonts w:hAnsi="宋体"/>
        </w:rPr>
        <w:t>过氧化氢（</w:t>
      </w:r>
      <w:r>
        <w:t>2.3.20</w:t>
      </w:r>
      <w:r>
        <w:rPr>
          <w:rFonts w:hAnsi="宋体"/>
        </w:rPr>
        <w:t>），低温加热</w:t>
      </w:r>
      <w:r>
        <w:t>10min</w:t>
      </w:r>
      <w:r>
        <w:rPr>
          <w:rFonts w:hAnsi="宋体"/>
        </w:rPr>
        <w:t>，加入</w:t>
      </w:r>
      <w:r>
        <w:t>10mL</w:t>
      </w:r>
      <w:r>
        <w:rPr>
          <w:rFonts w:hAnsi="宋体"/>
        </w:rPr>
        <w:t>高氯酸（</w:t>
      </w:r>
      <w:r>
        <w:t>2.3.19</w:t>
      </w:r>
      <w:r>
        <w:rPr>
          <w:rFonts w:hAnsi="宋体"/>
        </w:rPr>
        <w:t>）冒烟至尽干，冷却”</w:t>
      </w:r>
      <w:r>
        <w:rPr>
          <w:rFonts w:hint="eastAsia" w:hAnsi="宋体"/>
        </w:rPr>
        <w:t>,建议加入20-30</w:t>
      </w:r>
      <w:r>
        <w:t xml:space="preserve"> mL</w:t>
      </w:r>
      <w:r>
        <w:rPr>
          <w:rFonts w:hAnsi="宋体"/>
        </w:rPr>
        <w:t>高氯酸</w:t>
      </w:r>
      <w:r>
        <w:rPr>
          <w:rFonts w:hint="eastAsia" w:hAnsi="宋体"/>
        </w:rPr>
        <w:t>。</w:t>
      </w:r>
      <w:r>
        <w:rPr>
          <w:rFonts w:hint="eastAsia"/>
          <w:szCs w:val="21"/>
          <w:lang w:eastAsia="zh-CN"/>
        </w:rPr>
        <w:t>不采纳，</w:t>
      </w:r>
      <w:r>
        <w:rPr>
          <w:rFonts w:hint="eastAsia" w:ascii="宋体" w:hAnsi="宋体" w:cs="宋体"/>
          <w:lang w:val="en-US" w:eastAsia="zh-CN"/>
        </w:rPr>
        <w:t>对于含碳低的高氯酸用量是足够的，对于</w:t>
      </w:r>
      <w:r>
        <w:rPr>
          <w:rFonts w:hint="eastAsia" w:ascii="宋体" w:hAnsi="宋体" w:eastAsia="宋体" w:cs="宋体"/>
          <w:lang w:val="en-US" w:eastAsia="zh-CN"/>
        </w:rPr>
        <w:t>含碳高的试料</w:t>
      </w:r>
      <w:r>
        <w:rPr>
          <w:rFonts w:hint="eastAsia" w:ascii="宋体" w:hAnsi="宋体" w:cs="宋体"/>
          <w:lang w:val="en-US" w:eastAsia="zh-CN"/>
        </w:rPr>
        <w:t>试验报告增加了用量。（</w:t>
      </w:r>
      <w:r>
        <w:rPr>
          <w:rFonts w:hint="eastAsia" w:ascii="宋体" w:hAnsi="宋体" w:eastAsia="宋体" w:cs="宋体"/>
          <w:lang w:val="en-US" w:eastAsia="zh-CN"/>
        </w:rPr>
        <w:t>重复上述操作1</w:t>
      </w:r>
      <w:r>
        <w:rPr>
          <w:rFonts w:hint="eastAsia" w:ascii="宋体" w:hAnsi="宋体" w:eastAsia="宋体" w:cs="宋体"/>
          <w:sz w:val="21"/>
          <w:szCs w:val="21"/>
        </w:rPr>
        <w:t>～</w:t>
      </w:r>
      <w:r>
        <w:rPr>
          <w:rFonts w:hint="eastAsia" w:ascii="宋体" w:hAnsi="宋体" w:eastAsia="宋体" w:cs="宋体"/>
          <w:lang w:val="en-US" w:eastAsia="zh-CN"/>
        </w:rPr>
        <w:t>2次</w:t>
      </w:r>
      <w:r>
        <w:rPr>
          <w:rFonts w:hint="eastAsia" w:ascii="宋体" w:hAnsi="宋体" w:cs="宋体"/>
          <w:lang w:val="en-US" w:eastAsia="zh-CN"/>
        </w:rPr>
        <w:t>）</w:t>
      </w:r>
      <w:r>
        <w:rPr>
          <w:rFonts w:hint="eastAsia" w:ascii="宋体" w:hAnsi="宋体" w:eastAsia="宋体" w:cs="宋体"/>
          <w:color w:val="auto"/>
          <w:lang w:val="en-US" w:eastAsia="zh-CN"/>
        </w:rPr>
        <w:t>。</w:t>
      </w:r>
    </w:p>
    <w:p>
      <w:pPr>
        <w:pStyle w:val="136"/>
        <w:numPr>
          <w:ilvl w:val="-1"/>
          <w:numId w:val="0"/>
        </w:numPr>
        <w:ind w:left="420" w:firstLine="0" w:firstLineChars="0"/>
        <w:rPr>
          <w:rFonts w:hint="eastAsia" w:ascii="Times New Roman" w:hAnsi="Times New Roman" w:cs="Times New Roman"/>
          <w:szCs w:val="21"/>
        </w:rPr>
      </w:pPr>
      <w:r>
        <w:rPr>
          <w:rFonts w:hint="eastAsia"/>
          <w:szCs w:val="21"/>
          <w:lang w:val="en-US" w:eastAsia="zh-CN"/>
        </w:rPr>
        <w:t>3）</w:t>
      </w:r>
      <w:r>
        <w:rPr>
          <w:rFonts w:hint="eastAsia"/>
        </w:rPr>
        <w:t>X荧光光谱法测定稀土熔盐电解回收料配分量流程长、复杂，建议增加等离子体发生光谱法测定其配分量</w:t>
      </w:r>
      <w:r>
        <w:rPr>
          <w:rFonts w:hint="eastAsia"/>
          <w:lang w:eastAsia="zh-CN"/>
        </w:rPr>
        <w:t>。</w:t>
      </w:r>
      <w:r>
        <w:rPr>
          <w:rFonts w:hint="eastAsia"/>
          <w:szCs w:val="21"/>
          <w:lang w:eastAsia="zh-CN"/>
        </w:rPr>
        <w:t>不采纳，钙热还原料流程过长，可以不列入本标准适用范围。</w:t>
      </w:r>
    </w:p>
    <w:p>
      <w:pPr>
        <w:ind w:left="420" w:leftChars="200" w:firstLine="0" w:firstLineChars="0"/>
        <w:rPr>
          <w:rFonts w:hint="eastAsia"/>
          <w:szCs w:val="21"/>
          <w:lang w:eastAsia="zh-CN"/>
        </w:rPr>
      </w:pPr>
      <w:r>
        <w:rPr>
          <w:rFonts w:hint="eastAsia"/>
          <w:szCs w:val="21"/>
          <w:lang w:val="en-US" w:eastAsia="zh-CN"/>
        </w:rPr>
        <w:t>2.</w:t>
      </w:r>
      <w:r>
        <w:rPr>
          <w:rFonts w:hint="eastAsia"/>
          <w:szCs w:val="21"/>
          <w:lang w:eastAsia="zh-CN"/>
        </w:rPr>
        <w:t>国标（北京）验证认证有限公司：</w:t>
      </w:r>
    </w:p>
    <w:p>
      <w:pPr>
        <w:ind w:left="420" w:leftChars="200" w:firstLine="0" w:firstLineChars="0"/>
        <w:rPr>
          <w:rFonts w:hint="eastAsia" w:ascii="Times New Roman" w:hAnsi="Times New Roman" w:cs="Times New Roman"/>
          <w:szCs w:val="21"/>
        </w:rPr>
      </w:pPr>
      <w:r>
        <w:rPr>
          <w:rFonts w:hint="eastAsia"/>
          <w:szCs w:val="21"/>
          <w:lang w:eastAsia="zh-CN"/>
        </w:rPr>
        <w:t>条款</w:t>
      </w:r>
      <w:r>
        <w:rPr>
          <w:rFonts w:hint="eastAsia"/>
          <w:szCs w:val="21"/>
          <w:lang w:val="en-US" w:eastAsia="zh-CN"/>
        </w:rPr>
        <w:t>8.4.2，</w:t>
      </w:r>
      <w:r>
        <w:rPr>
          <w:rFonts w:hint="eastAsia"/>
          <w:szCs w:val="21"/>
        </w:rPr>
        <w:t>红外灯烤可能受热不均匀，可以采用自然风干</w:t>
      </w:r>
      <w:r>
        <w:rPr>
          <w:rFonts w:hint="eastAsia"/>
          <w:szCs w:val="21"/>
          <w:lang w:eastAsia="zh-CN"/>
        </w:rPr>
        <w:t>。部分采纳，可以将</w:t>
      </w:r>
      <w:r>
        <w:rPr>
          <w:rFonts w:hint="eastAsia"/>
          <w:szCs w:val="21"/>
        </w:rPr>
        <w:t>自然风干</w:t>
      </w:r>
      <w:r>
        <w:rPr>
          <w:rFonts w:hint="eastAsia"/>
          <w:szCs w:val="21"/>
          <w:lang w:eastAsia="zh-CN"/>
        </w:rPr>
        <w:t>扩散时间增加至</w:t>
      </w:r>
      <w:r>
        <w:rPr>
          <w:rFonts w:hint="eastAsia"/>
          <w:szCs w:val="21"/>
          <w:lang w:val="en-US" w:eastAsia="zh-CN"/>
        </w:rPr>
        <w:t>2h再</w:t>
      </w:r>
      <w:r>
        <w:rPr>
          <w:rFonts w:hint="eastAsia"/>
          <w:szCs w:val="21"/>
        </w:rPr>
        <w:t>红外</w:t>
      </w:r>
      <w:r>
        <w:rPr>
          <w:rFonts w:hint="eastAsia"/>
          <w:szCs w:val="21"/>
          <w:lang w:eastAsia="zh-CN"/>
        </w:rPr>
        <w:t>烘干，全程</w:t>
      </w:r>
      <w:r>
        <w:rPr>
          <w:rFonts w:hint="eastAsia"/>
          <w:szCs w:val="21"/>
        </w:rPr>
        <w:t>自然风干</w:t>
      </w:r>
      <w:r>
        <w:rPr>
          <w:rFonts w:hint="eastAsia"/>
          <w:szCs w:val="21"/>
          <w:lang w:eastAsia="zh-CN"/>
        </w:rPr>
        <w:t>时间太长，尤其南方地区。</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征求意见阶段</w:t>
      </w:r>
    </w:p>
    <w:p>
      <w:pPr>
        <w:ind w:firstLine="420"/>
        <w:rPr>
          <w:rFonts w:ascii="宋体" w:hAnsi="宋体" w:cs="宋体"/>
        </w:rPr>
      </w:pPr>
      <w:r>
        <w:rPr>
          <w:rFonts w:hint="eastAsia" w:ascii="宋体" w:hAnsi="宋体" w:cs="宋体"/>
        </w:rPr>
        <w:t>编制组通过发函、中国有色金属标准质量信息网上公示以及会议等形式对</w:t>
      </w:r>
      <w:r>
        <w:rPr>
          <w:rFonts w:hint="eastAsia" w:ascii="宋体" w:hAnsi="宋体" w:cs="宋体"/>
          <w:lang w:eastAsia="zh-CN"/>
        </w:rPr>
        <w:t>行业</w:t>
      </w:r>
      <w:r>
        <w:rPr>
          <w:rFonts w:hint="eastAsia" w:ascii="宋体" w:hAnsi="宋体" w:cs="宋体"/>
        </w:rPr>
        <w:t>标准《稀土熔盐电解回收料化学方法 第2部分：十五个稀土元素氧化物配分量</w:t>
      </w:r>
      <w:r>
        <w:rPr>
          <w:rFonts w:hint="eastAsia" w:ascii="宋体" w:hAnsi="宋体" w:cs="宋体"/>
          <w:lang w:eastAsia="zh-CN"/>
        </w:rPr>
        <w:t>测定</w:t>
      </w:r>
      <w:r>
        <w:rPr>
          <w:rFonts w:hint="eastAsia" w:ascii="宋体" w:hAnsi="宋体" w:cs="宋体"/>
        </w:rPr>
        <w:t>》（征求意见稿）进行了广泛的意见征询。</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审查阶段</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报批阶段</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标准编制原则、主要内容及其确定依据。修订国家标准时，还包括修订前后技术内容的对比</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（一）</w:t>
      </w:r>
      <w:r>
        <w:rPr>
          <w:rFonts w:ascii="宋体" w:hAnsi="宋体" w:eastAsia="宋体" w:cs="宋体"/>
          <w:b/>
          <w:bCs/>
          <w:sz w:val="24"/>
          <w:szCs w:val="22"/>
        </w:rPr>
        <w:t>编制原则</w:t>
      </w:r>
    </w:p>
    <w:p>
      <w:pPr>
        <w:pStyle w:val="120"/>
        <w:numPr>
          <w:ilvl w:val="0"/>
          <w:numId w:val="8"/>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规范性原则：</w:t>
      </w:r>
    </w:p>
    <w:p>
      <w:pPr>
        <w:widowControl/>
        <w:ind w:firstLine="420" w:firstLineChars="200"/>
        <w:rPr>
          <w:rFonts w:ascii="宋体" w:hAnsi="宋体" w:cs="宋体"/>
        </w:rPr>
      </w:pPr>
      <w:r>
        <w:rPr>
          <w:rFonts w:hint="eastAsia" w:ascii="宋体" w:hAnsi="宋体" w:cs="宋体"/>
        </w:rPr>
        <w:t>本标准是根据GB/T 1.1-2020《标准化工作导则 第1部分：标准化文件的结构和起草规则》和GB/T 20001.4-2015《标准编写规则 第4部分：试验方法标准》的要求进行编写的；</w:t>
      </w:r>
    </w:p>
    <w:p>
      <w:pPr>
        <w:pStyle w:val="120"/>
        <w:numPr>
          <w:ilvl w:val="0"/>
          <w:numId w:val="8"/>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先进性：</w:t>
      </w:r>
    </w:p>
    <w:p>
      <w:pPr>
        <w:widowControl/>
        <w:ind w:firstLine="420" w:firstLineChars="200"/>
        <w:rPr>
          <w:rFonts w:ascii="宋体" w:hAnsi="宋体" w:cs="宋体"/>
        </w:rPr>
      </w:pPr>
      <w:r>
        <w:rPr>
          <w:rFonts w:hint="eastAsia" w:ascii="宋体" w:hAnsi="宋体" w:cs="宋体"/>
        </w:rPr>
        <w:t>本标准的修订采用了近似基体匹配的方法，</w:t>
      </w:r>
      <w:r>
        <w:rPr>
          <w:rFonts w:hint="eastAsia" w:ascii="宋体" w:hAnsi="宋体" w:cs="宋体"/>
          <w:lang w:eastAsia="zh-CN"/>
        </w:rPr>
        <w:t>测定</w:t>
      </w:r>
      <w:r>
        <w:rPr>
          <w:rFonts w:hint="eastAsia" w:cs="宋体"/>
          <w:szCs w:val="22"/>
        </w:rPr>
        <w:t>钆铁合金熔盐电解回收料</w:t>
      </w:r>
      <w:r>
        <w:rPr>
          <w:rFonts w:hint="eastAsia" w:cs="宋体"/>
        </w:rPr>
        <w:t>、</w:t>
      </w:r>
      <w:r>
        <w:rPr>
          <w:rFonts w:hint="eastAsia" w:cs="宋体"/>
          <w:szCs w:val="22"/>
          <w:lang w:eastAsia="zh-CN"/>
        </w:rPr>
        <w:t>钬</w:t>
      </w:r>
      <w:r>
        <w:rPr>
          <w:rFonts w:hint="eastAsia" w:cs="宋体"/>
          <w:szCs w:val="22"/>
        </w:rPr>
        <w:t>铁合金熔盐电解回收料</w:t>
      </w:r>
      <w:r>
        <w:rPr>
          <w:rFonts w:hint="eastAsia" w:cs="宋体"/>
        </w:rPr>
        <w:t>、</w:t>
      </w:r>
      <w:r>
        <w:rPr>
          <w:rFonts w:hint="eastAsia" w:cs="宋体"/>
          <w:szCs w:val="22"/>
          <w:lang w:eastAsia="zh-CN"/>
        </w:rPr>
        <w:t>镝</w:t>
      </w:r>
      <w:r>
        <w:rPr>
          <w:rFonts w:hint="eastAsia" w:cs="宋体"/>
          <w:szCs w:val="22"/>
        </w:rPr>
        <w:t>铁合金熔盐电解回收料</w:t>
      </w:r>
      <w:r>
        <w:rPr>
          <w:rFonts w:hint="eastAsia" w:cs="宋体"/>
          <w:szCs w:val="22"/>
          <w:lang w:eastAsia="zh-CN"/>
        </w:rPr>
        <w:t>、镨钕</w:t>
      </w:r>
      <w:r>
        <w:rPr>
          <w:rFonts w:hint="eastAsia" w:cs="宋体"/>
          <w:szCs w:val="22"/>
        </w:rPr>
        <w:t>合金熔盐电解回收料</w:t>
      </w:r>
      <w:r>
        <w:rPr>
          <w:rFonts w:hint="eastAsia" w:cs="宋体"/>
          <w:szCs w:val="22"/>
          <w:lang w:eastAsia="zh-CN"/>
        </w:rPr>
        <w:t>、</w:t>
      </w:r>
      <w:r>
        <w:rPr>
          <w:rFonts w:hint="eastAsia" w:cs="宋体"/>
          <w:szCs w:val="22"/>
        </w:rPr>
        <w:t>镧热还原回收料</w:t>
      </w:r>
      <w:r>
        <w:rPr>
          <w:rFonts w:hint="eastAsia" w:cs="宋体"/>
          <w:lang w:eastAsia="zh-CN"/>
        </w:rPr>
        <w:t>和</w:t>
      </w:r>
      <w:r>
        <w:rPr>
          <w:rFonts w:hint="eastAsia" w:cs="宋体"/>
          <w:szCs w:val="22"/>
          <w:lang w:eastAsia="zh-CN"/>
        </w:rPr>
        <w:t>钙</w:t>
      </w:r>
      <w:r>
        <w:rPr>
          <w:rFonts w:hint="eastAsia" w:cs="宋体"/>
          <w:szCs w:val="22"/>
        </w:rPr>
        <w:t>热还原回收料</w:t>
      </w:r>
      <w:r>
        <w:rPr>
          <w:rFonts w:hint="eastAsia" w:ascii="宋体" w:hAnsi="宋体" w:cs="宋体"/>
        </w:rPr>
        <w:t>中稀土</w:t>
      </w:r>
      <w:r>
        <w:rPr>
          <w:rFonts w:hint="eastAsia" w:ascii="宋体" w:hAnsi="宋体" w:cs="宋体"/>
          <w:lang w:eastAsia="zh-CN"/>
        </w:rPr>
        <w:t>配分</w:t>
      </w:r>
      <w:r>
        <w:rPr>
          <w:rFonts w:hint="eastAsia" w:ascii="宋体" w:hAnsi="宋体" w:cs="宋体"/>
        </w:rPr>
        <w:t>量，</w:t>
      </w:r>
      <w:r>
        <w:rPr>
          <w:rFonts w:hint="eastAsia" w:ascii="宋体" w:hAnsi="宋体" w:cs="宋体"/>
          <w:lang w:eastAsia="zh-CN"/>
        </w:rPr>
        <w:t>为首次制定，标准实施后</w:t>
      </w:r>
      <w:r>
        <w:rPr>
          <w:rFonts w:hint="eastAsia" w:ascii="宋体" w:hAnsi="宋体" w:cs="宋体"/>
        </w:rPr>
        <w:t>将起到一套标准保障多个系列产品质量检测的作用。本标准的</w:t>
      </w:r>
      <w:r>
        <w:rPr>
          <w:rFonts w:hint="eastAsia" w:ascii="宋体" w:hAnsi="宋体" w:cs="宋体"/>
          <w:lang w:eastAsia="zh-CN"/>
        </w:rPr>
        <w:t>制定</w:t>
      </w:r>
      <w:r>
        <w:rPr>
          <w:rFonts w:hint="eastAsia" w:ascii="宋体" w:hAnsi="宋体" w:cs="宋体"/>
        </w:rPr>
        <w:t>所依据的指标为未出现落后淘汰工艺指标，修订后的标准将使稀土铁合金整个标准体系朝清晰、完整、统一化又迈进了一步。同时也体现了检测技术的进步，将推进稀土</w:t>
      </w:r>
      <w:r>
        <w:rPr>
          <w:rFonts w:hint="eastAsia" w:ascii="宋体" w:hAnsi="宋体" w:cs="宋体"/>
          <w:lang w:eastAsia="zh-CN"/>
        </w:rPr>
        <w:t>火法</w:t>
      </w:r>
      <w:r>
        <w:rPr>
          <w:rFonts w:hint="eastAsia" w:ascii="宋体" w:hAnsi="宋体" w:cs="宋体"/>
        </w:rPr>
        <w:t>产业的发展，对国内稀土生产企业及相关行业的技术进步产生积极的促进作用；</w:t>
      </w:r>
    </w:p>
    <w:p>
      <w:pPr>
        <w:pStyle w:val="120"/>
        <w:numPr>
          <w:ilvl w:val="0"/>
          <w:numId w:val="9"/>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适用性：</w:t>
      </w:r>
    </w:p>
    <w:p>
      <w:pPr>
        <w:widowControl/>
        <w:ind w:firstLine="420" w:firstLineChars="200"/>
        <w:rPr>
          <w:rFonts w:ascii="宋体" w:hAnsi="宋体" w:cs="宋体"/>
        </w:rPr>
      </w:pPr>
      <w:r>
        <w:rPr>
          <w:rFonts w:hint="eastAsia" w:ascii="宋体" w:hAnsi="宋体" w:cs="宋体"/>
        </w:rPr>
        <w:t>本标准根据了现有各</w:t>
      </w:r>
      <w:r>
        <w:rPr>
          <w:rFonts w:hint="eastAsia"/>
        </w:rPr>
        <w:t>稀土火法冶炼回收料</w:t>
      </w:r>
      <w:r>
        <w:rPr>
          <w:rFonts w:hint="eastAsia" w:ascii="宋体" w:hAnsi="宋体" w:cs="宋体"/>
        </w:rPr>
        <w:t>标准所规定的各项指标要求，参考生产工艺与贸易的实际情况修订的。修订中综合考虑了所涉及各产品标准的各方面技术指标，对影响分析质量的条件,全面考虑了影响程度。结合实际运用情况对测定范围等各分析条件的确定，进行了深度考量。本标准除考虑了与产品兼容外，修订中还考虑了各种能力实验室的运用，着重于准确、简单、快速、成本低的特点，能更好的满足客户及操作人员的要求；</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（二）主要技术内容及其确定的依据</w:t>
      </w:r>
    </w:p>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适用范围的确定</w:t>
      </w:r>
    </w:p>
    <w:p>
      <w:pPr>
        <w:pStyle w:val="121"/>
        <w:keepNext w:val="0"/>
        <w:keepLines w:val="0"/>
        <w:pageBreakBefore w:val="0"/>
        <w:widowControl/>
        <w:numPr>
          <w:ilvl w:val="255"/>
          <w:numId w:val="0"/>
        </w:numPr>
        <w:tabs>
          <w:tab w:val="center" w:pos="4201"/>
          <w:tab w:val="right" w:leader="dot" w:pos="9298"/>
        </w:tabs>
        <w:kinsoku/>
        <w:wordWrap/>
        <w:overflowPunct/>
        <w:topLinePunct w:val="0"/>
        <w:autoSpaceDE w:val="0"/>
        <w:autoSpaceDN w:val="0"/>
        <w:bidi w:val="0"/>
        <w:adjustRightInd/>
        <w:snapToGrid/>
        <w:ind w:firstLine="420" w:firstLineChars="200"/>
        <w:jc w:val="left"/>
        <w:textAlignment w:val="auto"/>
        <w:rPr>
          <w:rFonts w:hint="eastAsia" w:cs="宋体"/>
          <w:szCs w:val="22"/>
        </w:rPr>
      </w:pPr>
      <w:r>
        <w:rPr>
          <w:rFonts w:hint="eastAsia" w:ascii="宋体" w:hAnsi="宋体" w:cs="宋体"/>
          <w:lang w:eastAsia="zh-CN"/>
        </w:rPr>
        <w:t>根据正在起草的行业</w:t>
      </w:r>
      <w:r>
        <w:rPr>
          <w:rFonts w:hint="eastAsia" w:cs="宋体"/>
          <w:lang w:eastAsia="zh-CN"/>
        </w:rPr>
        <w:t>标准</w:t>
      </w:r>
      <w:r>
        <w:rPr>
          <w:rFonts w:hint="eastAsia" w:ascii="宋体" w:hAnsi="宋体" w:cs="宋体"/>
        </w:rPr>
        <w:t>《</w:t>
      </w:r>
      <w:r>
        <w:rPr>
          <w:rFonts w:hint="eastAsia" w:hAnsi="黑体" w:cs="黑体"/>
          <w:bCs/>
          <w:szCs w:val="52"/>
        </w:rPr>
        <w:t>稀土火法冶炼回收料</w:t>
      </w:r>
      <w:r>
        <w:rPr>
          <w:rFonts w:hint="eastAsia" w:ascii="宋体" w:hAnsi="宋体" w:cs="宋体"/>
        </w:rPr>
        <w:t>》</w:t>
      </w:r>
      <w:r>
        <w:rPr>
          <w:rFonts w:hint="eastAsia" w:cs="宋体"/>
          <w:lang w:val="en-US" w:eastAsia="zh-CN"/>
        </w:rPr>
        <w:t>中</w:t>
      </w:r>
      <w:r>
        <w:rPr>
          <w:rFonts w:hint="eastAsia" w:hAnsi="Times New Roman"/>
          <w:color w:val="000000"/>
        </w:rPr>
        <w:t>稀土火法冶炼回收料</w:t>
      </w:r>
      <w:r>
        <w:rPr>
          <w:rFonts w:hint="eastAsia"/>
          <w:color w:val="000000"/>
        </w:rPr>
        <w:t>的分类</w:t>
      </w:r>
      <w:r>
        <w:rPr>
          <w:rFonts w:hint="eastAsia"/>
          <w:color w:val="000000"/>
          <w:lang w:eastAsia="zh-CN"/>
        </w:rPr>
        <w:t>（见表</w:t>
      </w:r>
      <w:r>
        <w:rPr>
          <w:rFonts w:hint="eastAsia"/>
          <w:color w:val="000000"/>
          <w:lang w:val="en-US" w:eastAsia="zh-CN"/>
        </w:rPr>
        <w:t>1)，</w:t>
      </w:r>
      <w:r>
        <w:rPr>
          <w:rFonts w:hint="eastAsia" w:cs="宋体"/>
          <w:kern w:val="2"/>
          <w:szCs w:val="24"/>
          <w:lang w:eastAsia="zh-CN"/>
        </w:rPr>
        <w:t>本标准</w:t>
      </w:r>
      <w:r>
        <w:rPr>
          <w:rFonts w:hint="eastAsia" w:cs="宋体"/>
          <w:kern w:val="2"/>
          <w:szCs w:val="24"/>
        </w:rPr>
        <w:t>适用范围为</w:t>
      </w:r>
      <w:r>
        <w:rPr>
          <w:rFonts w:hint="eastAsia" w:cs="宋体"/>
          <w:szCs w:val="22"/>
        </w:rPr>
        <w:t>钆铁合金熔盐电解回收料</w:t>
      </w:r>
      <w:r>
        <w:rPr>
          <w:rFonts w:hint="eastAsia" w:cs="宋体"/>
        </w:rPr>
        <w:t>、</w:t>
      </w:r>
      <w:r>
        <w:rPr>
          <w:rFonts w:hint="eastAsia" w:cs="宋体"/>
          <w:szCs w:val="22"/>
          <w:lang w:eastAsia="zh-CN"/>
        </w:rPr>
        <w:t>钬</w:t>
      </w:r>
      <w:r>
        <w:rPr>
          <w:rFonts w:hint="eastAsia" w:cs="宋体"/>
          <w:szCs w:val="22"/>
        </w:rPr>
        <w:t>铁合金熔盐电解回收料</w:t>
      </w:r>
      <w:r>
        <w:rPr>
          <w:rFonts w:hint="eastAsia" w:cs="宋体"/>
        </w:rPr>
        <w:t>、</w:t>
      </w:r>
      <w:r>
        <w:rPr>
          <w:rFonts w:hint="eastAsia" w:cs="宋体"/>
          <w:szCs w:val="22"/>
          <w:lang w:eastAsia="zh-CN"/>
        </w:rPr>
        <w:t>镝</w:t>
      </w:r>
      <w:r>
        <w:rPr>
          <w:rFonts w:hint="eastAsia" w:cs="宋体"/>
          <w:szCs w:val="22"/>
        </w:rPr>
        <w:t>铁合金熔盐电解回收料</w:t>
      </w:r>
      <w:r>
        <w:rPr>
          <w:rFonts w:hint="eastAsia" w:cs="宋体"/>
          <w:szCs w:val="22"/>
          <w:lang w:eastAsia="zh-CN"/>
        </w:rPr>
        <w:t>、镨钕</w:t>
      </w:r>
      <w:r>
        <w:rPr>
          <w:rFonts w:hint="eastAsia" w:cs="宋体"/>
          <w:szCs w:val="22"/>
        </w:rPr>
        <w:t>合金熔盐电解回收料</w:t>
      </w:r>
      <w:r>
        <w:rPr>
          <w:rFonts w:hint="eastAsia" w:cs="宋体"/>
          <w:szCs w:val="22"/>
          <w:lang w:eastAsia="zh-CN"/>
        </w:rPr>
        <w:t>、</w:t>
      </w:r>
      <w:r>
        <w:rPr>
          <w:rFonts w:hint="eastAsia" w:cs="宋体"/>
          <w:szCs w:val="22"/>
        </w:rPr>
        <w:t>镧热还原回收料</w:t>
      </w:r>
      <w:r>
        <w:rPr>
          <w:rFonts w:hint="eastAsia" w:cs="宋体"/>
          <w:lang w:eastAsia="zh-CN"/>
        </w:rPr>
        <w:t>和</w:t>
      </w:r>
      <w:r>
        <w:rPr>
          <w:rFonts w:hint="eastAsia" w:cs="宋体"/>
          <w:szCs w:val="22"/>
          <w:lang w:eastAsia="zh-CN"/>
        </w:rPr>
        <w:t>钙</w:t>
      </w:r>
      <w:r>
        <w:rPr>
          <w:rFonts w:hint="eastAsia" w:cs="宋体"/>
          <w:szCs w:val="22"/>
        </w:rPr>
        <w:t>热还原回收料</w:t>
      </w:r>
      <w:r>
        <w:rPr>
          <w:rFonts w:hint="eastAsia" w:cs="宋体"/>
        </w:rPr>
        <w:t>，这</w:t>
      </w:r>
      <w:r>
        <w:rPr>
          <w:rFonts w:hint="eastAsia" w:cs="宋体"/>
          <w:lang w:eastAsia="zh-CN"/>
        </w:rPr>
        <w:t>六</w:t>
      </w:r>
      <w:r>
        <w:rPr>
          <w:rFonts w:hint="eastAsia" w:cs="宋体"/>
        </w:rPr>
        <w:t>种产品</w:t>
      </w:r>
      <w:r>
        <w:rPr>
          <w:rFonts w:hint="eastAsia" w:cs="宋体"/>
          <w:lang w:eastAsia="zh-CN"/>
        </w:rPr>
        <w:t>包含</w:t>
      </w:r>
      <w:r>
        <w:rPr>
          <w:rFonts w:hint="eastAsia" w:cs="宋体"/>
          <w:szCs w:val="22"/>
          <w:lang w:eastAsia="zh-CN"/>
        </w:rPr>
        <w:t>了</w:t>
      </w:r>
      <w:r>
        <w:rPr>
          <w:rFonts w:hint="eastAsia" w:cs="宋体"/>
          <w:szCs w:val="22"/>
        </w:rPr>
        <w:t>熔盐电解回收料</w:t>
      </w:r>
      <w:r>
        <w:rPr>
          <w:rFonts w:hint="eastAsia" w:cs="宋体"/>
          <w:szCs w:val="22"/>
          <w:lang w:eastAsia="zh-CN"/>
        </w:rPr>
        <w:t>和</w:t>
      </w:r>
      <w:r>
        <w:rPr>
          <w:rFonts w:hint="eastAsia" w:cs="宋体"/>
          <w:szCs w:val="22"/>
        </w:rPr>
        <w:t>热还原回收料</w:t>
      </w:r>
      <w:r>
        <w:rPr>
          <w:rFonts w:hint="eastAsia" w:cs="宋体"/>
          <w:szCs w:val="22"/>
          <w:lang w:eastAsia="zh-CN"/>
        </w:rPr>
        <w:t>两种类型，为目前稀土火法回收料的主要产品</w:t>
      </w:r>
      <w:r>
        <w:rPr>
          <w:rFonts w:hint="eastAsia" w:cs="宋体"/>
          <w:szCs w:val="22"/>
        </w:rPr>
        <w:t>。</w:t>
      </w:r>
    </w:p>
    <w:p>
      <w:pPr>
        <w:adjustRightInd w:val="0"/>
        <w:snapToGrid w:val="0"/>
        <w:spacing w:line="360" w:lineRule="exact"/>
        <w:jc w:val="center"/>
        <w:rPr>
          <w:rFonts w:hint="eastAsia" w:ascii="黑体" w:hAnsi="黑体" w:eastAsia="黑体"/>
          <w:color w:val="000000"/>
        </w:rPr>
      </w:pPr>
      <w:r>
        <w:rPr>
          <w:rFonts w:hint="eastAsia" w:ascii="黑体" w:hAnsi="黑体" w:eastAsia="黑体"/>
          <w:color w:val="000000"/>
          <w:szCs w:val="21"/>
        </w:rPr>
        <w:t>表</w:t>
      </w:r>
      <w:r>
        <w:rPr>
          <w:rFonts w:ascii="黑体" w:hAnsi="黑体" w:eastAsia="黑体"/>
          <w:color w:val="000000"/>
          <w:szCs w:val="21"/>
        </w:rPr>
        <w:t xml:space="preserve">1 </w:t>
      </w:r>
      <w:r>
        <w:rPr>
          <w:rFonts w:hint="eastAsia" w:ascii="黑体" w:hAnsi="黑体" w:eastAsia="黑体"/>
          <w:color w:val="000000"/>
          <w:szCs w:val="21"/>
        </w:rPr>
        <w:t>稀土火法冶炼</w:t>
      </w:r>
      <w:r>
        <w:rPr>
          <w:rFonts w:hint="eastAsia" w:ascii="黑体" w:hAnsi="黑体" w:eastAsia="黑体"/>
          <w:color w:val="000000"/>
        </w:rPr>
        <w:t>回收料的分类</w:t>
      </w:r>
    </w:p>
    <w:tbl>
      <w:tblPr>
        <w:tblStyle w:val="106"/>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1"/>
        <w:gridCol w:w="1858"/>
        <w:gridCol w:w="3350"/>
        <w:gridCol w:w="3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tcBorders>
              <w:top w:val="single" w:color="000000" w:sz="12"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分类</w:t>
            </w:r>
          </w:p>
        </w:tc>
        <w:tc>
          <w:tcPr>
            <w:tcW w:w="1858" w:type="dxa"/>
            <w:tcBorders>
              <w:top w:val="single" w:color="000000" w:sz="12"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品名</w:t>
            </w:r>
          </w:p>
        </w:tc>
        <w:tc>
          <w:tcPr>
            <w:tcW w:w="3350" w:type="dxa"/>
            <w:tcBorders>
              <w:top w:val="single" w:color="000000" w:sz="12"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主成分</w:t>
            </w:r>
          </w:p>
        </w:tc>
        <w:tc>
          <w:tcPr>
            <w:tcW w:w="3039" w:type="dxa"/>
            <w:tcBorders>
              <w:top w:val="single" w:color="000000" w:sz="12" w:space="0"/>
              <w:left w:val="single" w:color="000000" w:sz="4" w:space="0"/>
              <w:bottom w:val="single" w:color="000000" w:sz="4" w:space="0"/>
              <w:right w:val="single" w:color="000000" w:sz="12" w:space="0"/>
            </w:tcBorders>
            <w:noWrap w:val="0"/>
            <w:vAlign w:val="top"/>
          </w:tcPr>
          <w:p>
            <w:pPr>
              <w:adjustRightInd w:val="0"/>
              <w:snapToGrid w:val="0"/>
              <w:jc w:val="center"/>
              <w:rPr>
                <w:rFonts w:ascii="宋体" w:hAnsi="宋体"/>
                <w:color w:val="000000"/>
                <w:sz w:val="18"/>
                <w:szCs w:val="18"/>
              </w:rPr>
            </w:pPr>
            <w:r>
              <w:rPr>
                <w:rFonts w:hint="eastAsia" w:ascii="宋体" w:hAnsi="宋体"/>
                <w:color w:val="000000"/>
                <w:sz w:val="18"/>
                <w:szCs w:val="18"/>
              </w:rPr>
              <w:t>稀土总量</w:t>
            </w:r>
          </w:p>
          <w:p>
            <w:pPr>
              <w:adjustRightInd w:val="0"/>
              <w:snapToGrid w:val="0"/>
              <w:jc w:val="center"/>
              <w:rPr>
                <w:rFonts w:ascii="宋体" w:hAnsi="宋体"/>
                <w:color w:val="000000"/>
                <w:sz w:val="18"/>
                <w:szCs w:val="18"/>
              </w:rPr>
            </w:pPr>
            <w:r>
              <w:rPr>
                <w:rFonts w:hint="eastAsia" w:ascii="宋体" w:hAnsi="宋体"/>
                <w:color w:val="000000"/>
                <w:sz w:val="18"/>
                <w:szCs w:val="18"/>
              </w:rPr>
              <w:t>参考范围</w:t>
            </w:r>
          </w:p>
          <w:p>
            <w:pPr>
              <w:pStyle w:val="263"/>
              <w:jc w:val="center"/>
              <w:rPr>
                <w:rFonts w:hint="eastAsia" w:ascii="宋体"/>
                <w:color w:val="000000"/>
                <w:sz w:val="18"/>
              </w:rPr>
            </w:pPr>
            <w:r>
              <w:rPr>
                <w:rFonts w:hint="eastAsia" w:ascii="宋体" w:hAnsi="宋体"/>
                <w:color w:val="000000"/>
                <w:sz w:val="18"/>
                <w:szCs w:val="18"/>
              </w:rPr>
              <w:t>（</w:t>
            </w:r>
            <w:r>
              <w:rPr>
                <w:rFonts w:hint="eastAsia" w:ascii="宋体" w:hAnsi="宋体"/>
                <w:color w:val="000000"/>
                <w:sz w:val="18"/>
                <w:szCs w:val="18"/>
                <w:lang w:eastAsia="zh-CN"/>
              </w:rPr>
              <w:t>以</w:t>
            </w:r>
            <w:r>
              <w:rPr>
                <w:rFonts w:hint="eastAsia" w:ascii="宋体" w:hAnsi="宋体"/>
                <w:color w:val="000000"/>
                <w:sz w:val="18"/>
                <w:szCs w:val="18"/>
              </w:rPr>
              <w:t>REO</w:t>
            </w:r>
            <w:r>
              <w:rPr>
                <w:rFonts w:hint="eastAsia" w:ascii="宋体" w:hAnsi="宋体"/>
                <w:color w:val="000000"/>
                <w:sz w:val="18"/>
                <w:szCs w:val="18"/>
                <w:lang w:eastAsia="zh-CN"/>
              </w:rPr>
              <w:t>计</w:t>
            </w: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restart"/>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熔盐电解回收料</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电解渣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1</w:t>
            </w:r>
            <w:r>
              <w:rPr>
                <w:rFonts w:hint="eastAsia" w:ascii="微软雅黑" w:hAnsi="微软雅黑" w:eastAsia="微软雅黑" w:cs="微软雅黑"/>
                <w:color w:val="000000"/>
                <w:sz w:val="18"/>
                <w:szCs w:val="18"/>
              </w:rPr>
              <w:t>~</w:t>
            </w:r>
            <w:r>
              <w:rPr>
                <w:rFonts w:hint="eastAsia" w:ascii="宋体"/>
                <w:color w:val="000000"/>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泄漏熔盐</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、LiF、RE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5%</w:t>
            </w:r>
            <w:r>
              <w:rPr>
                <w:rFonts w:hint="eastAsia" w:ascii="微软雅黑" w:hAnsi="微软雅黑" w:eastAsia="微软雅黑" w:cs="微软雅黑"/>
                <w:color w:val="000000"/>
                <w:sz w:val="18"/>
                <w:szCs w:val="18"/>
              </w:rPr>
              <w:t>~</w:t>
            </w:r>
            <w:r>
              <w:rPr>
                <w:rFonts w:hint="eastAsia" w:ascii="宋体"/>
                <w:color w:val="000000"/>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color w:val="000000"/>
                <w:sz w:val="18"/>
                <w:szCs w:val="18"/>
              </w:rPr>
              <w:t>打磨料</w:t>
            </w:r>
          </w:p>
        </w:tc>
        <w:tc>
          <w:tcPr>
            <w:tcW w:w="3350" w:type="dxa"/>
            <w:tcBorders>
              <w:top w:val="single" w:color="000000" w:sz="4" w:space="0"/>
              <w:left w:val="single" w:color="000000" w:sz="4" w:space="0"/>
              <w:bottom w:val="single" w:color="000000" w:sz="4" w:space="0"/>
              <w:right w:val="single" w:color="000000" w:sz="4" w:space="0"/>
            </w:tcBorders>
            <w:noWrap w:val="0"/>
            <w:vAlign w:val="top"/>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p>
        </w:tc>
        <w:tc>
          <w:tcPr>
            <w:tcW w:w="3039" w:type="dxa"/>
            <w:tcBorders>
              <w:top w:val="single" w:color="000000" w:sz="4" w:space="0"/>
              <w:left w:val="single" w:color="000000" w:sz="4" w:space="0"/>
              <w:bottom w:val="single" w:color="000000" w:sz="4" w:space="0"/>
              <w:right w:val="single" w:color="000000" w:sz="12" w:space="0"/>
            </w:tcBorders>
            <w:noWrap w:val="0"/>
            <w:vAlign w:val="top"/>
          </w:tcPr>
          <w:p>
            <w:pPr>
              <w:pStyle w:val="263"/>
              <w:jc w:val="center"/>
              <w:rPr>
                <w:rFonts w:ascii="宋体"/>
                <w:color w:val="000000"/>
                <w:sz w:val="18"/>
              </w:rPr>
            </w:pPr>
            <w:r>
              <w:rPr>
                <w:rFonts w:hint="eastAsia" w:ascii="宋体"/>
                <w:color w:val="000000"/>
                <w:sz w:val="18"/>
              </w:rPr>
              <w:t>15%</w:t>
            </w:r>
            <w:r>
              <w:rPr>
                <w:rFonts w:hint="eastAsia" w:ascii="微软雅黑" w:hAnsi="微软雅黑" w:eastAsia="微软雅黑" w:cs="微软雅黑"/>
                <w:color w:val="000000"/>
                <w:sz w:val="18"/>
                <w:szCs w:val="18"/>
              </w:rPr>
              <w:t>~</w:t>
            </w:r>
            <w:r>
              <w:rPr>
                <w:rFonts w:hint="eastAsia" w:ascii="宋体"/>
                <w:color w:val="000000"/>
                <w:sz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其他（如扫地灰、回收粉尘）</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、LiF</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restart"/>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热还原回收料</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镧热还原渣（如镧钐渣、镧镱渣）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La</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、La、Sm</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、Sm、Yb</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、Yb等</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钙热还原渣（如铽钙渣、镝钙渣）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ascii="宋体"/>
                <w:color w:val="000000"/>
                <w:sz w:val="18"/>
              </w:rPr>
            </w:pPr>
            <w:r>
              <w:rPr>
                <w:rFonts w:hint="eastAsia" w:ascii="宋体"/>
                <w:color w:val="000000"/>
                <w:sz w:val="18"/>
              </w:rPr>
              <w:t>CaF</w:t>
            </w:r>
            <w:r>
              <w:rPr>
                <w:rFonts w:hint="eastAsia" w:ascii="宋体"/>
                <w:color w:val="000000"/>
                <w:sz w:val="18"/>
                <w:vertAlign w:val="subscript"/>
              </w:rPr>
              <w:t>2</w:t>
            </w:r>
            <w:r>
              <w:rPr>
                <w:rFonts w:hint="eastAsia" w:ascii="宋体"/>
                <w:color w:val="000000"/>
                <w:sz w:val="18"/>
              </w:rPr>
              <w:t>、少量RE、CaCO</w:t>
            </w:r>
            <w:r>
              <w:rPr>
                <w:rFonts w:hint="eastAsia" w:ascii="宋体"/>
                <w:color w:val="000000"/>
                <w:sz w:val="18"/>
                <w:vertAlign w:val="subscript"/>
              </w:rPr>
              <w:t>3</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ascii="宋体"/>
                <w:color w:val="000000"/>
                <w:sz w:val="18"/>
              </w:rPr>
            </w:pPr>
            <w:r>
              <w:rPr>
                <w:rFonts w:hint="eastAsia" w:ascii="宋体"/>
                <w:color w:val="000000"/>
                <w:sz w:val="18"/>
              </w:rPr>
              <w:t>0.5%</w:t>
            </w:r>
            <w:r>
              <w:rPr>
                <w:rFonts w:hint="eastAsia" w:ascii="微软雅黑" w:hAnsi="微软雅黑" w:eastAsia="微软雅黑" w:cs="微软雅黑"/>
                <w:color w:val="000000"/>
                <w:sz w:val="18"/>
                <w:szCs w:val="18"/>
              </w:rPr>
              <w:t>~</w:t>
            </w:r>
            <w:r>
              <w:rPr>
                <w:rFonts w:hint="eastAsia" w:ascii="宋体"/>
                <w:color w:val="000000"/>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泄漏料</w:t>
            </w:r>
          </w:p>
        </w:tc>
        <w:tc>
          <w:tcPr>
            <w:tcW w:w="3350" w:type="dxa"/>
            <w:tcBorders>
              <w:top w:val="single" w:color="000000" w:sz="4" w:space="0"/>
              <w:left w:val="single" w:color="000000" w:sz="4" w:space="0"/>
              <w:bottom w:val="single" w:color="000000" w:sz="4" w:space="0"/>
              <w:right w:val="single" w:color="000000" w:sz="4" w:space="0"/>
            </w:tcBorders>
            <w:noWrap w:val="0"/>
            <w:vAlign w:val="top"/>
          </w:tcPr>
          <w:p>
            <w:pPr>
              <w:pStyle w:val="263"/>
              <w:jc w:val="center"/>
              <w:rPr>
                <w:rFonts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4" w:space="0"/>
              <w:right w:val="single" w:color="000000" w:sz="12" w:space="0"/>
            </w:tcBorders>
            <w:noWrap w:val="0"/>
            <w:vAlign w:val="top"/>
          </w:tcPr>
          <w:p>
            <w:pPr>
              <w:pStyle w:val="263"/>
              <w:jc w:val="center"/>
              <w:rPr>
                <w:rFonts w:ascii="宋体"/>
                <w:color w:val="000000"/>
                <w:sz w:val="18"/>
              </w:rPr>
            </w:pPr>
            <w:r>
              <w:rPr>
                <w:rFonts w:hint="eastAsia" w:ascii="宋体"/>
                <w:color w:val="000000"/>
                <w:sz w:val="18"/>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12"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12"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其他</w:t>
            </w:r>
          </w:p>
        </w:tc>
        <w:tc>
          <w:tcPr>
            <w:tcW w:w="3350" w:type="dxa"/>
            <w:tcBorders>
              <w:top w:val="single" w:color="000000" w:sz="4" w:space="0"/>
              <w:left w:val="single" w:color="000000" w:sz="4" w:space="0"/>
              <w:bottom w:val="single" w:color="000000" w:sz="12" w:space="0"/>
              <w:right w:val="single" w:color="000000" w:sz="4" w:space="0"/>
            </w:tcBorders>
            <w:noWrap w:val="0"/>
            <w:vAlign w:val="top"/>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12" w:space="0"/>
              <w:right w:val="single" w:color="000000" w:sz="12" w:space="0"/>
            </w:tcBorders>
            <w:noWrap w:val="0"/>
            <w:vAlign w:val="top"/>
          </w:tcPr>
          <w:p>
            <w:pPr>
              <w:pStyle w:val="263"/>
              <w:jc w:val="center"/>
              <w:rPr>
                <w:rFonts w:hint="eastAsia" w:ascii="宋体"/>
                <w:color w:val="000000"/>
                <w:sz w:val="18"/>
              </w:rPr>
            </w:pPr>
            <w:r>
              <w:rPr>
                <w:rFonts w:hint="eastAsia" w:ascii="宋体"/>
                <w:color w:val="000000"/>
                <w:sz w:val="18"/>
              </w:rPr>
              <w:t>5%</w:t>
            </w:r>
            <w:r>
              <w:rPr>
                <w:rFonts w:hint="eastAsia" w:ascii="微软雅黑" w:hAnsi="微软雅黑" w:eastAsia="微软雅黑" w:cs="微软雅黑"/>
                <w:color w:val="000000"/>
                <w:sz w:val="18"/>
                <w:szCs w:val="18"/>
              </w:rPr>
              <w:t>~</w:t>
            </w:r>
            <w:r>
              <w:rPr>
                <w:rFonts w:hint="eastAsia" w:ascii="宋体"/>
                <w:color w:val="000000"/>
                <w:sz w:val="18"/>
              </w:rPr>
              <w:t>30%</w:t>
            </w:r>
          </w:p>
        </w:tc>
      </w:tr>
    </w:tbl>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测定范围确定</w:t>
      </w:r>
    </w:p>
    <w:p>
      <w:pPr>
        <w:tabs>
          <w:tab w:val="left" w:pos="1118"/>
        </w:tabs>
        <w:ind w:firstLine="403"/>
        <w:rPr>
          <w:rFonts w:eastAsia="黑体"/>
        </w:rPr>
      </w:pPr>
      <w:r>
        <w:rPr>
          <w:rFonts w:hint="eastAsia" w:ascii="宋体" w:hAnsi="宋体" w:cs="宋体"/>
          <w:lang w:eastAsia="zh-CN"/>
        </w:rPr>
        <w:t>根据正在起草的行业标准</w:t>
      </w:r>
      <w:r>
        <w:rPr>
          <w:rFonts w:hint="eastAsia" w:ascii="宋体" w:hAnsi="宋体" w:cs="宋体"/>
        </w:rPr>
        <w:t>《</w:t>
      </w:r>
      <w:r>
        <w:rPr>
          <w:rFonts w:hint="eastAsia" w:hAnsi="黑体" w:cs="黑体"/>
          <w:bCs/>
          <w:szCs w:val="52"/>
        </w:rPr>
        <w:t>稀土火法冶炼回收料</w:t>
      </w:r>
      <w:r>
        <w:rPr>
          <w:rFonts w:hint="eastAsia" w:ascii="宋体" w:hAnsi="宋体" w:cs="宋体"/>
        </w:rPr>
        <w:t>》</w:t>
      </w:r>
      <w:r>
        <w:rPr>
          <w:rFonts w:hint="eastAsia" w:ascii="宋体" w:hAnsi="宋体" w:cs="宋体"/>
          <w:lang w:eastAsia="zh-CN"/>
        </w:rPr>
        <w:t>规定的</w:t>
      </w:r>
      <w:r>
        <w:rPr>
          <w:rFonts w:hint="eastAsia" w:hAnsi="Times New Roman"/>
          <w:color w:val="000000"/>
        </w:rPr>
        <w:t>稀土火法冶炼回收料</w:t>
      </w:r>
      <w:r>
        <w:rPr>
          <w:rFonts w:hint="eastAsia" w:hAnsi="Times New Roman"/>
          <w:color w:val="000000"/>
          <w:szCs w:val="20"/>
          <w:lang w:eastAsia="zh-CN"/>
        </w:rPr>
        <w:t>中稀土元素化学成分要求，</w:t>
      </w:r>
      <w:r>
        <w:rPr>
          <w:rFonts w:hint="eastAsia" w:ascii="宋体" w:hAnsi="宋体"/>
          <w:color w:val="000000"/>
        </w:rPr>
        <w:t>包含一种或多种稀土元素，所含稀土总量大于0.5%。其中主体元素含量大于80%</w:t>
      </w:r>
      <w:r>
        <w:rPr>
          <w:rFonts w:hint="eastAsia"/>
          <w:color w:val="000000"/>
          <w:lang w:eastAsia="zh-CN"/>
        </w:rPr>
        <w:t>，确定了本标准的测定范围，见表</w:t>
      </w:r>
      <w:r>
        <w:rPr>
          <w:rFonts w:hint="eastAsia"/>
          <w:color w:val="000000"/>
          <w:lang w:val="en-US" w:eastAsia="zh-CN"/>
        </w:rPr>
        <w:t>2</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0" w:afterLines="0" w:line="312" w:lineRule="auto"/>
        <w:jc w:val="center"/>
        <w:textAlignment w:val="auto"/>
        <w:rPr>
          <w:rFonts w:hint="eastAsia" w:eastAsia="黑体"/>
          <w:lang w:val="en-US" w:eastAsia="zh-CN"/>
        </w:rPr>
      </w:pPr>
      <w:r>
        <w:rPr>
          <w:rFonts w:eastAsia="黑体"/>
        </w:rPr>
        <w:t>表</w:t>
      </w:r>
      <w:r>
        <w:rPr>
          <w:rFonts w:hint="eastAsia" w:eastAsia="黑体"/>
          <w:lang w:val="en-US" w:eastAsia="zh-CN"/>
        </w:rPr>
        <w:t>2</w:t>
      </w:r>
      <w:r>
        <w:rPr>
          <w:color w:val="000000"/>
        </w:rPr>
        <w:t>　</w:t>
      </w:r>
      <w:r>
        <w:rPr>
          <w:rFonts w:hint="eastAsia" w:eastAsia="黑体"/>
        </w:rPr>
        <w:t>测定范围</w:t>
      </w:r>
    </w:p>
    <w:p>
      <w:pPr>
        <w:spacing w:line="220" w:lineRule="exact"/>
        <w:ind w:firstLine="360" w:firstLineChars="200"/>
        <w:jc w:val="center"/>
        <w:rPr>
          <w:rFonts w:eastAsia="黑体"/>
        </w:rPr>
      </w:pPr>
      <w:r>
        <w:rPr>
          <w:rFonts w:hint="eastAsia" w:ascii="宋体" w:hAnsi="宋体" w:cs="宋体"/>
          <w:sz w:val="18"/>
          <w:szCs w:val="18"/>
          <w:lang w:val="en-US" w:eastAsia="zh-CN"/>
        </w:rPr>
        <w:t xml:space="preserve">                                                                                   %</w:t>
      </w:r>
      <w:r>
        <w:rPr>
          <w:rFonts w:hint="eastAsia" w:ascii="宋体" w:hAnsi="宋体" w:cs="宋体"/>
          <w:sz w:val="18"/>
          <w:szCs w:val="18"/>
        </w:rPr>
        <w:t xml:space="preserve">                                                                    </w:t>
      </w:r>
    </w:p>
    <w:tbl>
      <w:tblPr>
        <w:tblStyle w:val="106"/>
        <w:tblW w:w="9782" w:type="dxa"/>
        <w:jc w:val="center"/>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84"/>
        <w:gridCol w:w="1333"/>
        <w:gridCol w:w="1333"/>
        <w:gridCol w:w="1333"/>
        <w:gridCol w:w="1332"/>
        <w:gridCol w:w="1333"/>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00" w:hRule="exact"/>
          <w:jc w:val="center"/>
        </w:trPr>
        <w:tc>
          <w:tcPr>
            <w:tcW w:w="1784" w:type="dxa"/>
            <w:tcBorders>
              <w:top w:val="single" w:color="auto" w:sz="12" w:space="0"/>
              <w:left w:val="single" w:color="auto" w:sz="12" w:space="0"/>
              <w:bottom w:val="single" w:color="auto" w:sz="12" w:space="0"/>
              <w:right w:val="single" w:color="auto" w:sz="8" w:space="0"/>
            </w:tcBorders>
            <w:noWrap/>
            <w:vAlign w:val="center"/>
          </w:tcPr>
          <w:p>
            <w:pPr>
              <w:autoSpaceDE w:val="0"/>
              <w:autoSpaceDN w:val="0"/>
              <w:jc w:val="center"/>
              <w:rPr>
                <w:rFonts w:hint="eastAsia" w:ascii="宋体" w:hAnsi="宋体" w:cs="宋体"/>
                <w:sz w:val="18"/>
                <w:szCs w:val="18"/>
              </w:rPr>
            </w:pPr>
            <w:r>
              <w:rPr>
                <w:i/>
                <w:sz w:val="18"/>
              </w:rPr>
              <w:t>w</w:t>
            </w:r>
            <w:r>
              <w:rPr>
                <w:sz w:val="18"/>
              </w:rPr>
              <w:t>（RE</w:t>
            </w:r>
            <w:r>
              <w:rPr>
                <w:sz w:val="18"/>
                <w:vertAlign w:val="subscript"/>
              </w:rPr>
              <w:t>X</w:t>
            </w:r>
            <w:r>
              <w:rPr>
                <w:sz w:val="18"/>
              </w:rPr>
              <w:t>O</w:t>
            </w:r>
            <w:r>
              <w:rPr>
                <w:sz w:val="18"/>
                <w:vertAlign w:val="subscript"/>
              </w:rPr>
              <w:t>Y</w:t>
            </w:r>
            <w:r>
              <w:rPr>
                <w:sz w:val="18"/>
              </w:rPr>
              <w:t>/REO）</w:t>
            </w:r>
          </w:p>
        </w:tc>
        <w:tc>
          <w:tcPr>
            <w:tcW w:w="133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lang w:eastAsia="zh-CN"/>
              </w:rPr>
              <w:t>镨钕</w:t>
            </w:r>
            <w:r>
              <w:rPr>
                <w:rFonts w:hint="eastAsia" w:ascii="宋体" w:hAnsi="宋体" w:cs="宋体"/>
                <w:sz w:val="18"/>
                <w:szCs w:val="18"/>
              </w:rPr>
              <w:t>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p>
            <w:pPr>
              <w:spacing w:line="276" w:lineRule="auto"/>
              <w:jc w:val="center"/>
              <w:rPr>
                <w:rFonts w:hint="eastAsia" w:ascii="宋体" w:hAnsi="宋体" w:cs="宋体"/>
                <w:sz w:val="18"/>
                <w:szCs w:val="18"/>
              </w:rPr>
            </w:pPr>
            <w:r>
              <w:rPr>
                <w:rFonts w:hint="eastAsia" w:ascii="宋体" w:hAnsi="宋体" w:cs="宋体"/>
                <w:sz w:val="18"/>
                <w:szCs w:val="18"/>
              </w:rPr>
              <w:br w:type="textWrapping"/>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33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rPr>
              <w:t>钆铁合金熔盐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33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rPr>
              <w:t>镝铁合金熔盐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332"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rPr>
              <w:t>钬铁合金熔盐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33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rPr>
              <w:t>钙热</w:t>
            </w:r>
            <w:r>
              <w:rPr>
                <w:rFonts w:hint="eastAsia" w:ascii="宋体" w:hAnsi="宋体" w:cs="宋体"/>
                <w:sz w:val="18"/>
                <w:szCs w:val="18"/>
                <w:lang w:eastAsia="zh-CN"/>
              </w:rPr>
              <w:t>还原</w:t>
            </w:r>
          </w:p>
          <w:p>
            <w:pPr>
              <w:spacing w:line="276" w:lineRule="auto"/>
              <w:jc w:val="center"/>
              <w:rPr>
                <w:rFonts w:hint="eastAsia" w:ascii="宋体" w:hAnsi="宋体" w:cs="宋体"/>
                <w:sz w:val="18"/>
                <w:szCs w:val="18"/>
              </w:rPr>
            </w:pPr>
            <w:r>
              <w:rPr>
                <w:rFonts w:hint="eastAsia" w:ascii="宋体" w:hAnsi="宋体" w:cs="宋体"/>
                <w:sz w:val="18"/>
                <w:szCs w:val="18"/>
                <w:lang w:eastAsia="zh-CN"/>
              </w:rPr>
              <w:t>回收料</w:t>
            </w:r>
          </w:p>
        </w:tc>
        <w:tc>
          <w:tcPr>
            <w:tcW w:w="1334" w:type="dxa"/>
            <w:tcBorders>
              <w:top w:val="single" w:color="auto" w:sz="12" w:space="0"/>
              <w:left w:val="single" w:color="auto" w:sz="8" w:space="0"/>
              <w:bottom w:val="single" w:color="auto" w:sz="12" w:space="0"/>
              <w:right w:val="single" w:color="auto" w:sz="12"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rPr>
              <w:t>镧热</w:t>
            </w:r>
            <w:r>
              <w:rPr>
                <w:rFonts w:hint="eastAsia" w:ascii="宋体" w:hAnsi="宋体" w:cs="宋体"/>
                <w:sz w:val="18"/>
                <w:szCs w:val="18"/>
                <w:lang w:eastAsia="zh-CN"/>
              </w:rPr>
              <w:t>还原</w:t>
            </w:r>
          </w:p>
          <w:p>
            <w:pPr>
              <w:spacing w:line="276" w:lineRule="auto"/>
              <w:jc w:val="center"/>
              <w:rPr>
                <w:rFonts w:hint="eastAsia" w:ascii="宋体" w:hAnsi="宋体" w:cs="宋体"/>
                <w:sz w:val="18"/>
                <w:szCs w:val="18"/>
              </w:rPr>
            </w:pPr>
            <w:r>
              <w:rPr>
                <w:rFonts w:hint="eastAsia" w:ascii="宋体" w:hAnsi="宋体" w:cs="宋体"/>
                <w:sz w:val="18"/>
                <w:szCs w:val="18"/>
                <w:lang w:eastAsia="zh-CN"/>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12"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La</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r>
              <w:rPr>
                <w:rFonts w:ascii="Times New Roman"/>
                <w:sz w:val="18"/>
                <w:szCs w:val="18"/>
              </w:rPr>
              <w:t>/REO</w:t>
            </w:r>
            <w:r>
              <w:rPr>
                <w:rFonts w:hint="eastAsia" w:ascii="Times New Roman"/>
                <w:sz w:val="18"/>
                <w:szCs w:val="18"/>
              </w:rPr>
              <w:t>）</w:t>
            </w:r>
          </w:p>
        </w:tc>
        <w:tc>
          <w:tcPr>
            <w:tcW w:w="133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7.00</w:t>
            </w:r>
          </w:p>
        </w:tc>
        <w:tc>
          <w:tcPr>
            <w:tcW w:w="133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2"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12"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CeO</w:t>
            </w:r>
            <w:r>
              <w:rPr>
                <w:rFonts w:ascii="Times New Roman"/>
                <w:sz w:val="18"/>
                <w:szCs w:val="18"/>
                <w:vertAlign w:val="subscript"/>
              </w:rPr>
              <w:t>2</w:t>
            </w:r>
            <w:r>
              <w:rPr>
                <w:rFonts w:ascii="Times New Roman"/>
                <w:sz w:val="18"/>
                <w:szCs w:val="18"/>
              </w:rPr>
              <w:t>/REO</w:t>
            </w:r>
            <w:r>
              <w:rPr>
                <w:rFonts w:ascii="Times New Roman"/>
                <w:sz w:val="18"/>
              </w:rPr>
              <w:t>）</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Pr</w:t>
            </w:r>
            <w:r>
              <w:rPr>
                <w:rFonts w:ascii="Times New Roman"/>
                <w:sz w:val="18"/>
                <w:szCs w:val="18"/>
                <w:vertAlign w:val="subscript"/>
              </w:rPr>
              <w:t>6</w:t>
            </w:r>
            <w:r>
              <w:rPr>
                <w:rFonts w:ascii="Times New Roman"/>
                <w:sz w:val="18"/>
                <w:szCs w:val="18"/>
              </w:rPr>
              <w:t>O</w:t>
            </w:r>
            <w:r>
              <w:rPr>
                <w:rFonts w:ascii="Times New Roman"/>
                <w:sz w:val="18"/>
                <w:szCs w:val="18"/>
                <w:vertAlign w:val="subscript"/>
              </w:rPr>
              <w:t>11</w:t>
            </w:r>
            <w:r>
              <w:rPr>
                <w:rFonts w:ascii="Times New Roman"/>
                <w:sz w:val="18"/>
                <w:szCs w:val="18"/>
              </w:rPr>
              <w:t>/REO</w:t>
            </w:r>
            <w:r>
              <w:rPr>
                <w:rFonts w:ascii="Times New Roman"/>
                <w:sz w:val="18"/>
              </w:rPr>
              <w:t>）</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lang w:val="en-US" w:eastAsia="zh-CN"/>
              </w:rPr>
              <w:t>10.00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3</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2"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Nd</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r>
              <w:rPr>
                <w:rFonts w:ascii="Times New Roman"/>
                <w:sz w:val="18"/>
                <w:szCs w:val="18"/>
              </w:rPr>
              <w:t>/REO</w:t>
            </w:r>
            <w:r>
              <w:rPr>
                <w:rFonts w:ascii="Times New Roman"/>
                <w:sz w:val="18"/>
              </w:rPr>
              <w:t>）</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60.00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8</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Sm</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r>
              <w:rPr>
                <w:rFonts w:ascii="Times New Roman"/>
                <w:sz w:val="18"/>
                <w:szCs w:val="18"/>
              </w:rPr>
              <w:t>/REO</w:t>
            </w:r>
            <w:r>
              <w:rPr>
                <w:rFonts w:ascii="Times New Roman"/>
                <w:sz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Eu</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r>
              <w:rPr>
                <w:rFonts w:ascii="Times New Roman"/>
                <w:sz w:val="18"/>
                <w:szCs w:val="18"/>
              </w:rPr>
              <w:t>/REO</w:t>
            </w:r>
            <w:r>
              <w:rPr>
                <w:rFonts w:ascii="Times New Roman"/>
                <w:sz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Gd</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r>
              <w:rPr>
                <w:rFonts w:ascii="Times New Roman"/>
                <w:sz w:val="18"/>
                <w:szCs w:val="18"/>
              </w:rPr>
              <w:t>/REO</w:t>
            </w:r>
            <w:r>
              <w:rPr>
                <w:rFonts w:ascii="Times New Roman"/>
                <w:sz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宋体" w:hAnsi="宋体" w:cs="宋体"/>
                <w:sz w:val="18"/>
                <w:szCs w:val="18"/>
              </w:rPr>
            </w:pPr>
            <w:r>
              <w:rPr>
                <w:rFonts w:ascii="Times New Roman"/>
                <w:i/>
                <w:sz w:val="18"/>
              </w:rPr>
              <w:t>w</w:t>
            </w:r>
            <w:r>
              <w:rPr>
                <w:rFonts w:ascii="Times New Roman"/>
                <w:sz w:val="18"/>
              </w:rPr>
              <w:t>（</w:t>
            </w:r>
            <w:r>
              <w:rPr>
                <w:rFonts w:ascii="Times New Roman"/>
                <w:sz w:val="18"/>
                <w:szCs w:val="18"/>
              </w:rPr>
              <w:t>Tb</w:t>
            </w:r>
            <w:r>
              <w:rPr>
                <w:rFonts w:ascii="Times New Roman"/>
                <w:sz w:val="18"/>
                <w:szCs w:val="18"/>
                <w:vertAlign w:val="subscript"/>
              </w:rPr>
              <w:t>4</w:t>
            </w:r>
            <w:r>
              <w:rPr>
                <w:rFonts w:ascii="Times New Roman"/>
                <w:sz w:val="18"/>
                <w:szCs w:val="18"/>
              </w:rPr>
              <w:t>O</w:t>
            </w:r>
            <w:r>
              <w:rPr>
                <w:rFonts w:ascii="Times New Roman"/>
                <w:sz w:val="18"/>
                <w:szCs w:val="18"/>
                <w:vertAlign w:val="subscript"/>
              </w:rPr>
              <w:t>7</w:t>
            </w:r>
            <w:r>
              <w:rPr>
                <w:rFonts w:ascii="Times New Roman"/>
                <w:sz w:val="18"/>
                <w:szCs w:val="18"/>
              </w:rPr>
              <w:t>/REO</w:t>
            </w:r>
            <w:r>
              <w:rPr>
                <w:rFonts w:ascii="Times New Roman"/>
                <w:sz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center"/>
              <w:rPr>
                <w:rFonts w:hint="eastAsia" w:ascii="宋体" w:hAnsi="宋体" w:cs="宋体"/>
                <w:sz w:val="18"/>
                <w:szCs w:val="18"/>
              </w:rPr>
            </w:pPr>
            <w:r>
              <w:rPr>
                <w:i/>
                <w:sz w:val="18"/>
              </w:rPr>
              <w:t>w</w:t>
            </w:r>
            <w:r>
              <w:rPr>
                <w:sz w:val="18"/>
              </w:rPr>
              <w:t>（RE</w:t>
            </w:r>
            <w:r>
              <w:rPr>
                <w:sz w:val="18"/>
                <w:vertAlign w:val="subscript"/>
              </w:rPr>
              <w:t>X</w:t>
            </w:r>
            <w:r>
              <w:rPr>
                <w:sz w:val="18"/>
              </w:rPr>
              <w:t>O</w:t>
            </w:r>
            <w:r>
              <w:rPr>
                <w:sz w:val="18"/>
                <w:vertAlign w:val="subscript"/>
              </w:rPr>
              <w:t>Y</w:t>
            </w:r>
            <w:r>
              <w:rPr>
                <w:sz w:val="18"/>
              </w:rPr>
              <w:t>/REO）</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宋体" w:hAnsi="宋体" w:cs="宋体"/>
                <w:sz w:val="18"/>
                <w:szCs w:val="18"/>
              </w:rPr>
            </w:pPr>
            <w:r>
              <w:rPr>
                <w:i/>
                <w:sz w:val="18"/>
              </w:rPr>
              <w:t>w</w:t>
            </w:r>
            <w:r>
              <w:rPr>
                <w:sz w:val="18"/>
              </w:rPr>
              <w:t>（</w:t>
            </w:r>
            <w:r>
              <w:rPr>
                <w:kern w:val="0"/>
                <w:sz w:val="18"/>
                <w:szCs w:val="18"/>
              </w:rPr>
              <w:t>Dy</w:t>
            </w:r>
            <w:r>
              <w:rPr>
                <w:kern w:val="0"/>
                <w:sz w:val="18"/>
                <w:szCs w:val="18"/>
                <w:vertAlign w:val="subscript"/>
              </w:rPr>
              <w:t>2</w:t>
            </w:r>
            <w:r>
              <w:rPr>
                <w:kern w:val="0"/>
                <w:sz w:val="18"/>
                <w:szCs w:val="18"/>
              </w:rPr>
              <w:t>O</w:t>
            </w:r>
            <w:r>
              <w:rPr>
                <w:kern w:val="0"/>
                <w:sz w:val="18"/>
                <w:szCs w:val="18"/>
                <w:vertAlign w:val="subscript"/>
              </w:rPr>
              <w:t>3</w:t>
            </w:r>
            <w:r>
              <w:rPr>
                <w:kern w:val="0"/>
                <w:sz w:val="18"/>
                <w:szCs w:val="18"/>
              </w:rPr>
              <w:t>/REO</w:t>
            </w:r>
            <w:r>
              <w:rPr>
                <w:rFonts w:hint="eastAsia"/>
                <w:sz w:val="18"/>
                <w:szCs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宋体" w:hAnsi="宋体" w:cs="宋体"/>
                <w:sz w:val="18"/>
                <w:szCs w:val="18"/>
              </w:rPr>
            </w:pPr>
            <w:r>
              <w:rPr>
                <w:i/>
                <w:sz w:val="18"/>
              </w:rPr>
              <w:t>w</w:t>
            </w:r>
            <w:r>
              <w:rPr>
                <w:sz w:val="18"/>
              </w:rPr>
              <w:t>（</w:t>
            </w:r>
            <w:r>
              <w:rPr>
                <w:kern w:val="0"/>
                <w:sz w:val="18"/>
                <w:szCs w:val="18"/>
              </w:rPr>
              <w:t>Ho</w:t>
            </w:r>
            <w:r>
              <w:rPr>
                <w:kern w:val="0"/>
                <w:sz w:val="18"/>
                <w:szCs w:val="18"/>
                <w:vertAlign w:val="subscript"/>
              </w:rPr>
              <w:t>2</w:t>
            </w:r>
            <w:r>
              <w:rPr>
                <w:kern w:val="0"/>
                <w:sz w:val="18"/>
                <w:szCs w:val="18"/>
              </w:rPr>
              <w:t>O</w:t>
            </w:r>
            <w:r>
              <w:rPr>
                <w:kern w:val="0"/>
                <w:sz w:val="18"/>
                <w:szCs w:val="18"/>
                <w:vertAlign w:val="subscript"/>
              </w:rPr>
              <w:t>3</w:t>
            </w:r>
            <w:r>
              <w:rPr>
                <w:kern w:val="0"/>
                <w:sz w:val="18"/>
                <w:szCs w:val="18"/>
              </w:rPr>
              <w:t>/REO</w:t>
            </w:r>
            <w:r>
              <w:rPr>
                <w:rFonts w:hint="eastAsia"/>
                <w:sz w:val="18"/>
                <w:szCs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宋体" w:hAnsi="宋体" w:cs="宋体"/>
                <w:sz w:val="18"/>
                <w:szCs w:val="18"/>
              </w:rPr>
            </w:pPr>
            <w:r>
              <w:rPr>
                <w:i/>
                <w:sz w:val="18"/>
              </w:rPr>
              <w:t>w</w:t>
            </w:r>
            <w:r>
              <w:rPr>
                <w:sz w:val="18"/>
              </w:rPr>
              <w:t>（</w:t>
            </w:r>
            <w:r>
              <w:rPr>
                <w:kern w:val="0"/>
                <w:sz w:val="18"/>
                <w:szCs w:val="18"/>
              </w:rPr>
              <w:t>Er</w:t>
            </w:r>
            <w:r>
              <w:rPr>
                <w:kern w:val="0"/>
                <w:sz w:val="18"/>
                <w:szCs w:val="18"/>
                <w:vertAlign w:val="subscript"/>
              </w:rPr>
              <w:t>2</w:t>
            </w:r>
            <w:r>
              <w:rPr>
                <w:kern w:val="0"/>
                <w:sz w:val="18"/>
                <w:szCs w:val="18"/>
              </w:rPr>
              <w:t>O</w:t>
            </w:r>
            <w:r>
              <w:rPr>
                <w:kern w:val="0"/>
                <w:sz w:val="18"/>
                <w:szCs w:val="18"/>
                <w:vertAlign w:val="subscript"/>
              </w:rPr>
              <w:t>3</w:t>
            </w:r>
            <w:r>
              <w:rPr>
                <w:kern w:val="0"/>
                <w:sz w:val="18"/>
                <w:szCs w:val="18"/>
              </w:rPr>
              <w:t>/REO</w:t>
            </w:r>
            <w:r>
              <w:rPr>
                <w:rFonts w:hint="eastAsia"/>
                <w:sz w:val="18"/>
                <w:szCs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宋体" w:hAnsi="宋体" w:cs="宋体"/>
                <w:sz w:val="18"/>
                <w:szCs w:val="18"/>
              </w:rPr>
            </w:pPr>
            <w:r>
              <w:rPr>
                <w:i/>
                <w:sz w:val="18"/>
              </w:rPr>
              <w:t>w</w:t>
            </w:r>
            <w:r>
              <w:rPr>
                <w:sz w:val="18"/>
              </w:rPr>
              <w:t>（</w:t>
            </w:r>
            <w:r>
              <w:rPr>
                <w:kern w:val="0"/>
                <w:sz w:val="18"/>
                <w:szCs w:val="18"/>
              </w:rPr>
              <w:t>Tm</w:t>
            </w:r>
            <w:r>
              <w:rPr>
                <w:kern w:val="0"/>
                <w:sz w:val="18"/>
                <w:szCs w:val="18"/>
                <w:vertAlign w:val="subscript"/>
              </w:rPr>
              <w:t>2</w:t>
            </w:r>
            <w:r>
              <w:rPr>
                <w:kern w:val="0"/>
                <w:sz w:val="18"/>
                <w:szCs w:val="18"/>
              </w:rPr>
              <w:t>O</w:t>
            </w:r>
            <w:r>
              <w:rPr>
                <w:kern w:val="0"/>
                <w:sz w:val="18"/>
                <w:szCs w:val="18"/>
                <w:vertAlign w:val="subscript"/>
              </w:rPr>
              <w:t>3</w:t>
            </w:r>
            <w:r>
              <w:rPr>
                <w:kern w:val="0"/>
                <w:sz w:val="18"/>
                <w:szCs w:val="18"/>
              </w:rPr>
              <w:t>/REO</w:t>
            </w:r>
            <w:r>
              <w:rPr>
                <w:rFonts w:hint="eastAsia"/>
                <w:sz w:val="18"/>
                <w:szCs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宋体" w:hAnsi="宋体" w:cs="宋体"/>
                <w:sz w:val="18"/>
                <w:szCs w:val="18"/>
              </w:rPr>
            </w:pPr>
            <w:r>
              <w:rPr>
                <w:i/>
                <w:sz w:val="18"/>
              </w:rPr>
              <w:t>w</w:t>
            </w:r>
            <w:r>
              <w:rPr>
                <w:sz w:val="18"/>
              </w:rPr>
              <w:t>（</w:t>
            </w:r>
            <w:r>
              <w:rPr>
                <w:kern w:val="0"/>
                <w:sz w:val="18"/>
                <w:szCs w:val="18"/>
              </w:rPr>
              <w:t>Yb</w:t>
            </w:r>
            <w:r>
              <w:rPr>
                <w:kern w:val="0"/>
                <w:sz w:val="18"/>
                <w:szCs w:val="18"/>
                <w:vertAlign w:val="subscript"/>
              </w:rPr>
              <w:t>2</w:t>
            </w:r>
            <w:r>
              <w:rPr>
                <w:kern w:val="0"/>
                <w:sz w:val="18"/>
                <w:szCs w:val="18"/>
              </w:rPr>
              <w:t>O</w:t>
            </w:r>
            <w:r>
              <w:rPr>
                <w:kern w:val="0"/>
                <w:sz w:val="18"/>
                <w:szCs w:val="18"/>
                <w:vertAlign w:val="subscript"/>
              </w:rPr>
              <w:t>3</w:t>
            </w:r>
            <w:r>
              <w:rPr>
                <w:kern w:val="0"/>
                <w:sz w:val="18"/>
                <w:szCs w:val="18"/>
              </w:rPr>
              <w:t>/REO</w:t>
            </w:r>
            <w:r>
              <w:rPr>
                <w:rFonts w:hint="eastAsia"/>
                <w:sz w:val="18"/>
                <w:szCs w:val="18"/>
              </w:rPr>
              <w:t>）</w:t>
            </w:r>
          </w:p>
        </w:tc>
        <w:tc>
          <w:tcPr>
            <w:tcW w:w="13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784" w:type="dxa"/>
            <w:tcBorders>
              <w:top w:val="single" w:color="auto" w:sz="8" w:space="0"/>
              <w:left w:val="single" w:color="auto" w:sz="12" w:space="0"/>
              <w:bottom w:val="single" w:color="auto" w:sz="12" w:space="0"/>
              <w:right w:val="single" w:color="auto" w:sz="8" w:space="0"/>
            </w:tcBorders>
            <w:noWrap w:val="0"/>
            <w:vAlign w:val="top"/>
          </w:tcPr>
          <w:p>
            <w:pPr>
              <w:autoSpaceDE w:val="0"/>
              <w:autoSpaceDN w:val="0"/>
              <w:jc w:val="center"/>
              <w:rPr>
                <w:rFonts w:hint="eastAsia" w:ascii="宋体" w:hAnsi="宋体" w:cs="宋体"/>
                <w:sz w:val="18"/>
                <w:szCs w:val="18"/>
              </w:rPr>
            </w:pPr>
            <w:r>
              <w:rPr>
                <w:i/>
                <w:sz w:val="18"/>
              </w:rPr>
              <w:t>w</w:t>
            </w:r>
            <w:r>
              <w:rPr>
                <w:sz w:val="18"/>
              </w:rPr>
              <w:t>（</w:t>
            </w:r>
            <w:r>
              <w:rPr>
                <w:kern w:val="0"/>
                <w:sz w:val="18"/>
                <w:szCs w:val="18"/>
              </w:rPr>
              <w:t>Lu</w:t>
            </w:r>
            <w:r>
              <w:rPr>
                <w:kern w:val="0"/>
                <w:sz w:val="18"/>
                <w:szCs w:val="18"/>
                <w:vertAlign w:val="subscript"/>
              </w:rPr>
              <w:t>2</w:t>
            </w:r>
            <w:r>
              <w:rPr>
                <w:kern w:val="0"/>
                <w:sz w:val="18"/>
                <w:szCs w:val="18"/>
              </w:rPr>
              <w:t>O</w:t>
            </w:r>
            <w:r>
              <w:rPr>
                <w:kern w:val="0"/>
                <w:sz w:val="18"/>
                <w:szCs w:val="18"/>
                <w:vertAlign w:val="subscript"/>
              </w:rPr>
              <w:t>3</w:t>
            </w:r>
            <w:r>
              <w:rPr>
                <w:kern w:val="0"/>
                <w:sz w:val="18"/>
                <w:szCs w:val="18"/>
              </w:rPr>
              <w:t>/REO</w:t>
            </w:r>
            <w:r>
              <w:rPr>
                <w:rFonts w:hint="eastAsia"/>
                <w:sz w:val="18"/>
                <w:szCs w:val="18"/>
              </w:rPr>
              <w:t>）</w:t>
            </w:r>
          </w:p>
        </w:tc>
        <w:tc>
          <w:tcPr>
            <w:tcW w:w="1333"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333"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2"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3"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334" w:type="dxa"/>
            <w:tcBorders>
              <w:top w:val="single" w:color="auto" w:sz="8" w:space="0"/>
              <w:left w:val="single" w:color="auto" w:sz="8" w:space="0"/>
              <w:bottom w:val="single" w:color="auto" w:sz="12" w:space="0"/>
              <w:right w:val="single" w:color="auto" w:sz="12"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bl>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测定方法的确定</w:t>
      </w:r>
    </w:p>
    <w:p>
      <w:pPr>
        <w:tabs>
          <w:tab w:val="left" w:pos="1118"/>
        </w:tabs>
        <w:ind w:firstLine="403"/>
        <w:rPr>
          <w:rFonts w:hint="eastAsia" w:ascii="宋体" w:hAnsi="宋体" w:cs="宋体"/>
        </w:rPr>
      </w:pPr>
      <w:r>
        <w:rPr>
          <w:rFonts w:hint="eastAsia" w:ascii="宋体" w:hAnsi="宋体" w:cs="宋体"/>
          <w:lang w:eastAsia="zh-CN"/>
        </w:rPr>
        <w:t>本</w:t>
      </w:r>
      <w:r>
        <w:rPr>
          <w:rFonts w:hint="eastAsia" w:ascii="宋体" w:hAnsi="宋体" w:cs="宋体"/>
        </w:rPr>
        <w:t>项目提出</w:t>
      </w:r>
      <w:r>
        <w:rPr>
          <w:rFonts w:hint="eastAsia" w:ascii="宋体" w:hAnsi="宋体" w:cs="宋体"/>
          <w:lang w:eastAsia="zh-CN"/>
        </w:rPr>
        <w:t>起草</w:t>
      </w:r>
      <w:r>
        <w:rPr>
          <w:rFonts w:hint="eastAsia" w:ascii="宋体" w:hAnsi="宋体" w:cs="宋体"/>
        </w:rPr>
        <w:t>时，充分考虑了原检测方法适用性和科学性。X-射线荧光光谱</w:t>
      </w:r>
      <w:r>
        <w:rPr>
          <w:rFonts w:hint="eastAsia" w:ascii="宋体" w:hAnsi="宋体" w:cs="宋体"/>
          <w:lang w:eastAsia="zh-CN"/>
        </w:rPr>
        <w:t>法</w:t>
      </w:r>
      <w:r>
        <w:rPr>
          <w:rFonts w:hint="eastAsia" w:ascii="宋体" w:hAnsi="宋体" w:cs="宋体"/>
        </w:rPr>
        <w:t>能满足稀土熔盐电解回收料</w:t>
      </w:r>
      <w:r>
        <w:rPr>
          <w:rFonts w:hint="eastAsia" w:ascii="宋体" w:hAnsi="宋体" w:cs="宋体"/>
          <w:lang w:eastAsia="zh-CN"/>
        </w:rPr>
        <w:t>中</w:t>
      </w:r>
      <w:r>
        <w:rPr>
          <w:rFonts w:hint="eastAsia" w:ascii="宋体" w:hAnsi="宋体" w:cs="宋体"/>
        </w:rPr>
        <w:t>十五个稀土元素氧化物配分量</w:t>
      </w:r>
      <w:r>
        <w:rPr>
          <w:rFonts w:hint="eastAsia" w:ascii="宋体" w:hAnsi="宋体" w:cs="宋体"/>
          <w:lang w:eastAsia="zh-CN"/>
        </w:rPr>
        <w:t>测定</w:t>
      </w:r>
      <w:r>
        <w:rPr>
          <w:rFonts w:hint="eastAsia" w:ascii="宋体" w:hAnsi="宋体" w:cs="宋体"/>
        </w:rPr>
        <w:t>。例如</w:t>
      </w:r>
      <w:r>
        <w:rPr>
          <w:rFonts w:hint="eastAsia" w:ascii="宋体" w:hAnsi="宋体" w:cs="宋体"/>
          <w:lang w:eastAsia="zh-CN"/>
        </w:rPr>
        <w:t>：</w:t>
      </w:r>
      <w:r>
        <w:rPr>
          <w:rFonts w:hint="eastAsia" w:ascii="宋体" w:hAnsi="宋体" w:cs="宋体"/>
        </w:rPr>
        <w:t>现行国标GB/T 1</w:t>
      </w:r>
      <w:r>
        <w:rPr>
          <w:rFonts w:hint="eastAsia" w:ascii="宋体" w:hAnsi="宋体" w:cs="宋体"/>
          <w:lang w:val="en-US" w:eastAsia="zh-CN"/>
        </w:rPr>
        <w:t>8882.1-2008</w:t>
      </w:r>
      <w:r>
        <w:rPr>
          <w:rFonts w:hint="eastAsia" w:ascii="宋体" w:hAnsi="宋体" w:cs="宋体"/>
        </w:rPr>
        <w:t>《离子型稀土矿混合稀土氧化物化学分析方法　第1分：十五个稀土元素氧化物配分量的测定》就采用了该方法。</w:t>
      </w:r>
    </w:p>
    <w:p>
      <w:pPr>
        <w:numPr>
          <w:ilvl w:val="0"/>
          <w:numId w:val="2"/>
        </w:numPr>
        <w:spacing w:before="156" w:beforeLines="50" w:after="156" w:afterLines="50" w:line="300" w:lineRule="auto"/>
        <w:rPr>
          <w:rFonts w:hint="eastAsia" w:ascii="宋体" w:hAnsi="宋体" w:eastAsia="宋体" w:cs="宋体"/>
          <w:b/>
          <w:bCs w:val="0"/>
          <w:sz w:val="24"/>
        </w:rPr>
      </w:pPr>
      <w:r>
        <w:rPr>
          <w:rFonts w:hint="eastAsia" w:ascii="宋体" w:hAnsi="宋体" w:eastAsia="宋体" w:cs="宋体"/>
          <w:b/>
          <w:bCs w:val="0"/>
          <w:sz w:val="24"/>
        </w:rPr>
        <w:t>试验验证的分析、综述报告，技术经济论证，预期的经济效果</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（一）试验验证的分析</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lang w:eastAsia="zh-CN"/>
        </w:rPr>
        <w:t>标准工作曲线成分设计</w:t>
      </w:r>
    </w:p>
    <w:p>
      <w:pPr>
        <w:tabs>
          <w:tab w:val="left" w:pos="1118"/>
        </w:tabs>
        <w:ind w:firstLine="403"/>
        <w:rPr>
          <w:rFonts w:ascii="宋体" w:hAnsi="宋体" w:cs="宋体"/>
        </w:rPr>
      </w:pPr>
      <w:r>
        <w:rPr>
          <w:rFonts w:hint="eastAsia" w:ascii="宋体" w:hAnsi="宋体" w:cs="宋体"/>
          <w:lang w:eastAsia="zh-CN"/>
        </w:rPr>
        <w:t>根据稀土火法回收料的成分特点设计了</w:t>
      </w:r>
      <w:r>
        <w:rPr>
          <w:rFonts w:hint="eastAsia" w:ascii="宋体" w:hAnsi="宋体" w:cs="宋体"/>
          <w:lang w:val="en-US" w:eastAsia="zh-CN"/>
        </w:rPr>
        <w:t>6类主要产品工作曲线含量表，见表3</w:t>
      </w:r>
      <w:r>
        <w:rPr>
          <w:rFonts w:hint="eastAsia" w:asciiTheme="minorEastAsia" w:hAnsiTheme="minorEastAsia" w:eastAsiaTheme="minorEastAsia" w:cstheme="minorEastAsia"/>
          <w:color w:val="000000"/>
          <w:sz w:val="18"/>
          <w:szCs w:val="18"/>
        </w:rPr>
        <w:t>～</w:t>
      </w:r>
      <w:r>
        <w:rPr>
          <w:rFonts w:hint="eastAsia" w:ascii="宋体" w:hAnsi="宋体" w:cs="宋体"/>
          <w:lang w:val="en-US" w:eastAsia="zh-CN"/>
        </w:rPr>
        <w:t>表8</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 xml:space="preserve">表3  </w:t>
      </w:r>
      <w:r>
        <w:rPr>
          <w:rFonts w:hint="default" w:ascii="Times New Roman" w:hAnsi="Times New Roman" w:eastAsia="黑体" w:cs="Times New Roman"/>
          <w:sz w:val="21"/>
          <w:szCs w:val="24"/>
          <w:lang w:val="en-US" w:eastAsia="zh-CN" w:bidi="ar-SA"/>
        </w:rPr>
        <w:t>镨钕</w:t>
      </w:r>
      <w:r>
        <w:rPr>
          <w:rFonts w:hint="default" w:ascii="Times New Roman" w:hAnsi="Times New Roman" w:eastAsia="黑体" w:cs="Times New Roman"/>
          <w:sz w:val="21"/>
          <w:szCs w:val="24"/>
          <w:lang w:eastAsia="zh-CN"/>
        </w:rPr>
        <w:t>熔盐电解回收料标准样片配分值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425"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2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15.00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23.50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32.00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75.00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82.40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70.00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55.00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64.00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 xml:space="preserve">表4  </w:t>
      </w:r>
      <w:r>
        <w:rPr>
          <w:rFonts w:hint="default" w:ascii="Times New Roman" w:hAnsi="Times New Roman" w:eastAsia="黑体" w:cs="Times New Roman"/>
          <w:sz w:val="21"/>
          <w:szCs w:val="24"/>
          <w:lang w:val="en-US" w:eastAsia="zh-CN" w:bidi="ar-SA"/>
        </w:rPr>
        <w:t>钆铁合金</w:t>
      </w:r>
      <w:r>
        <w:rPr>
          <w:rFonts w:hint="default" w:ascii="Times New Roman" w:hAnsi="Times New Roman" w:eastAsia="黑体" w:cs="Times New Roman"/>
          <w:sz w:val="21"/>
          <w:szCs w:val="24"/>
          <w:lang w:eastAsia="zh-CN"/>
        </w:rPr>
        <w:t>熔盐电解回收料标准样片配分值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425"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2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97.20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93.00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86.00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 xml:space="preserve">表5  </w:t>
      </w:r>
      <w:r>
        <w:rPr>
          <w:rFonts w:hint="default" w:ascii="Times New Roman" w:hAnsi="Times New Roman" w:eastAsia="黑体" w:cs="Times New Roman"/>
          <w:sz w:val="21"/>
          <w:szCs w:val="24"/>
          <w:lang w:val="en-US" w:eastAsia="zh-CN" w:bidi="ar-SA"/>
        </w:rPr>
        <w:t>钙热还原</w:t>
      </w:r>
      <w:r>
        <w:rPr>
          <w:rFonts w:hint="default" w:ascii="Times New Roman" w:hAnsi="Times New Roman" w:eastAsia="黑体" w:cs="Times New Roman"/>
          <w:sz w:val="21"/>
          <w:szCs w:val="24"/>
          <w:lang w:eastAsia="zh-CN"/>
        </w:rPr>
        <w:t>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21"/>
        <w:gridCol w:w="1221"/>
        <w:gridCol w:w="1221"/>
        <w:gridCol w:w="1221"/>
        <w:gridCol w:w="1221"/>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222"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223"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97.20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93.00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86.00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75.00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 xml:space="preserve">表6  </w:t>
      </w:r>
      <w:r>
        <w:rPr>
          <w:rFonts w:hint="default" w:ascii="Times New Roman" w:hAnsi="Times New Roman" w:eastAsia="黑体" w:cs="Times New Roman"/>
          <w:sz w:val="21"/>
          <w:szCs w:val="24"/>
          <w:lang w:val="en-US" w:eastAsia="zh-CN" w:bidi="ar-SA"/>
        </w:rPr>
        <w:t>镝铁合金</w:t>
      </w:r>
      <w:r>
        <w:rPr>
          <w:rFonts w:hint="default" w:ascii="Times New Roman" w:hAnsi="Times New Roman" w:eastAsia="黑体" w:cs="Times New Roman"/>
          <w:sz w:val="21"/>
          <w:szCs w:val="24"/>
          <w:lang w:eastAsia="zh-CN"/>
        </w:rPr>
        <w:t>熔盐电解回收料标准样片配分值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425"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2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Y</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La</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CeO</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Pr</w:t>
            </w:r>
            <w:r>
              <w:rPr>
                <w:rFonts w:hint="eastAsia" w:asciiTheme="majorEastAsia" w:hAnsiTheme="majorEastAsia" w:eastAsiaTheme="majorEastAsia" w:cstheme="majorEastAsia"/>
                <w:i w:val="0"/>
                <w:color w:val="auto"/>
                <w:kern w:val="0"/>
                <w:sz w:val="18"/>
                <w:szCs w:val="18"/>
                <w:u w:val="none"/>
                <w:vertAlign w:val="subscript"/>
                <w:lang w:val="en-US" w:eastAsia="zh-CN" w:bidi="ar"/>
              </w:rPr>
              <w:t>6</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11</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Nd</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Sm</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Eu</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Gd</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Tb</w:t>
            </w:r>
            <w:r>
              <w:rPr>
                <w:rFonts w:hint="eastAsia" w:asciiTheme="majorEastAsia" w:hAnsiTheme="majorEastAsia" w:eastAsiaTheme="majorEastAsia" w:cstheme="majorEastAsia"/>
                <w:i w:val="0"/>
                <w:color w:val="auto"/>
                <w:kern w:val="0"/>
                <w:sz w:val="18"/>
                <w:szCs w:val="18"/>
                <w:u w:val="none"/>
                <w:vertAlign w:val="subscript"/>
                <w:lang w:val="en-US" w:eastAsia="zh-CN" w:bidi="ar"/>
              </w:rPr>
              <w:t>4</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7</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Dy</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97.20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93.00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86.00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65.00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Ho</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Er</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Tm</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Yb</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Lu</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 xml:space="preserve">表7  </w:t>
      </w:r>
      <w:r>
        <w:rPr>
          <w:rFonts w:hint="default" w:ascii="Times New Roman" w:hAnsi="Times New Roman" w:eastAsia="黑体" w:cs="Times New Roman"/>
          <w:sz w:val="21"/>
          <w:szCs w:val="24"/>
          <w:lang w:val="en-US" w:eastAsia="zh-CN" w:bidi="ar-SA"/>
        </w:rPr>
        <w:t>钬铁</w:t>
      </w:r>
      <w:r>
        <w:rPr>
          <w:rFonts w:hint="default" w:ascii="Times New Roman" w:hAnsi="Times New Roman" w:eastAsia="黑体" w:cs="Times New Roman"/>
          <w:sz w:val="21"/>
          <w:szCs w:val="24"/>
          <w:lang w:eastAsia="zh-CN"/>
        </w:rPr>
        <w:t>熔盐电解回收料标准样片配分值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21"/>
        <w:gridCol w:w="1221"/>
        <w:gridCol w:w="1221"/>
        <w:gridCol w:w="1221"/>
        <w:gridCol w:w="1221"/>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222"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223"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12.00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7.50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97.20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93.00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86.00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80.50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表8  镧热还原</w:t>
      </w:r>
      <w:r>
        <w:rPr>
          <w:rFonts w:hint="default" w:ascii="Times New Roman" w:hAnsi="Times New Roman" w:eastAsia="黑体" w:cs="Times New Roman"/>
          <w:sz w:val="21"/>
          <w:szCs w:val="24"/>
          <w:lang w:eastAsia="zh-CN"/>
        </w:rPr>
        <w:t>熔盐电解回收料标准样片配分值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084"/>
        <w:gridCol w:w="1083"/>
        <w:gridCol w:w="1083"/>
        <w:gridCol w:w="1083"/>
        <w:gridCol w:w="1083"/>
        <w:gridCol w:w="1083"/>
        <w:gridCol w:w="108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0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0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w:t>
            </w:r>
          </w:p>
        </w:tc>
        <w:tc>
          <w:tcPr>
            <w:tcW w:w="108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97.20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93.00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86.00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72.00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8.00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lang w:eastAsia="zh-CN"/>
        </w:rPr>
        <w:t>分析条件和谱线的选择</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zh-CN" w:eastAsia="zh-CN"/>
        </w:rPr>
        <w:t>试验在参考</w:t>
      </w:r>
      <w:r>
        <w:rPr>
          <w:rFonts w:hint="eastAsia" w:ascii="宋体" w:hAnsi="宋体" w:eastAsia="宋体" w:cs="宋体"/>
          <w:bCs/>
          <w:sz w:val="21"/>
          <w:szCs w:val="21"/>
          <w:lang w:val="en-US" w:eastAsia="zh-CN"/>
        </w:rPr>
        <w:t>GB/T18882.1-2008、GB/T 26417-2010、XB/T 614.2-2014选择最佳分析线见表9</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校正系数见表10。由于钬对镥的重叠干扰非常严重，钬铁试料镥也可以选择L</w:t>
      </w:r>
      <w:r>
        <w:rPr>
          <w:rFonts w:hint="eastAsia" w:ascii="宋体" w:hAnsi="宋体" w:eastAsia="宋体" w:cs="宋体"/>
          <w:vertAlign w:val="subscript"/>
        </w:rPr>
        <w:t>α</w:t>
      </w:r>
      <w:r>
        <w:rPr>
          <w:rFonts w:hint="eastAsia" w:ascii="宋体" w:hAnsi="宋体" w:eastAsia="宋体" w:cs="宋体"/>
          <w:bCs/>
          <w:sz w:val="21"/>
          <w:szCs w:val="21"/>
          <w:lang w:val="en-US" w:eastAsia="zh-CN"/>
        </w:rPr>
        <w:t>线。</w:t>
      </w:r>
    </w:p>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eastAsia="zh-CN"/>
        </w:rPr>
        <w:t>表</w:t>
      </w:r>
      <w:r>
        <w:rPr>
          <w:rFonts w:hint="default" w:ascii="Times New Roman" w:hAnsi="Times New Roman" w:eastAsia="黑体" w:cs="Times New Roman"/>
          <w:sz w:val="21"/>
          <w:szCs w:val="24"/>
          <w:lang w:val="en-US" w:eastAsia="zh-CN"/>
        </w:rPr>
        <w:t xml:space="preserve">9 </w:t>
      </w:r>
      <w:r>
        <w:rPr>
          <w:rFonts w:hint="default" w:ascii="Times New Roman" w:hAnsi="Times New Roman" w:eastAsia="黑体" w:cs="Times New Roman"/>
          <w:sz w:val="21"/>
          <w:szCs w:val="24"/>
          <w:lang w:eastAsia="zh-CN"/>
        </w:rPr>
        <w:t>分析条件</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000"/>
        <w:gridCol w:w="1001"/>
        <w:gridCol w:w="1001"/>
        <w:gridCol w:w="1001"/>
        <w:gridCol w:w="1001"/>
        <w:gridCol w:w="1000"/>
        <w:gridCol w:w="1001"/>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12" w:space="0"/>
              <w:left w:val="single" w:color="auto" w:sz="12"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元素</w:t>
            </w:r>
          </w:p>
        </w:tc>
        <w:tc>
          <w:tcPr>
            <w:tcW w:w="1000"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V</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Y</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La</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Ce</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Pr</w:t>
            </w:r>
          </w:p>
        </w:tc>
        <w:tc>
          <w:tcPr>
            <w:tcW w:w="1000"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Nd</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Sm</w:t>
            </w:r>
          </w:p>
        </w:tc>
        <w:tc>
          <w:tcPr>
            <w:tcW w:w="1002" w:type="dxa"/>
            <w:tcBorders>
              <w:top w:val="single" w:color="auto" w:sz="12" w:space="0"/>
              <w:left w:val="single" w:color="auto" w:sz="8" w:space="0"/>
              <w:bottom w:val="single" w:color="auto" w:sz="12"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分析线</w:t>
            </w:r>
          </w:p>
        </w:tc>
        <w:tc>
          <w:tcPr>
            <w:tcW w:w="1000"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β1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0"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2" w:type="dxa"/>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2θ</w:t>
            </w:r>
            <w:r>
              <w:rPr>
                <w:rFonts w:hint="eastAsia" w:asciiTheme="majorEastAsia" w:hAnsiTheme="majorEastAsia" w:eastAsiaTheme="majorEastAsia" w:cstheme="majorEastAsia"/>
                <w:sz w:val="18"/>
                <w:szCs w:val="18"/>
                <w:vertAlign w:val="superscript"/>
              </w:rPr>
              <w:t>0</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69.15</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23.76</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82.91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79.05</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68.25</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72.16</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59.53</w:t>
            </w:r>
          </w:p>
        </w:tc>
        <w:tc>
          <w:tcPr>
            <w:tcW w:w="1002" w:type="dxa"/>
            <w:tcBorders>
              <w:top w:val="single" w:color="auto" w:sz="8"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元素</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Gd</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Tb</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Dy</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Ho</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Er</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Tm</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Yb</w:t>
            </w:r>
          </w:p>
        </w:tc>
        <w:tc>
          <w:tcPr>
            <w:tcW w:w="1002" w:type="dxa"/>
            <w:tcBorders>
              <w:top w:val="single" w:color="auto" w:sz="8"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分析线</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2" w:type="dxa"/>
            <w:tcBorders>
              <w:top w:val="single" w:color="auto" w:sz="8"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2θ</w:t>
            </w:r>
            <w:r>
              <w:rPr>
                <w:rFonts w:hint="eastAsia" w:asciiTheme="majorEastAsia" w:hAnsiTheme="majorEastAsia" w:eastAsiaTheme="majorEastAsia" w:cstheme="majorEastAsia"/>
                <w:sz w:val="18"/>
                <w:szCs w:val="18"/>
                <w:vertAlign w:val="superscript"/>
              </w:rPr>
              <w:t>0</w:t>
            </w:r>
          </w:p>
        </w:tc>
        <w:tc>
          <w:tcPr>
            <w:tcW w:w="1000"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61.13</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58.85</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56.52</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48.32</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46.44</w:t>
            </w:r>
          </w:p>
        </w:tc>
        <w:tc>
          <w:tcPr>
            <w:tcW w:w="1000"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50.80</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49.06</w:t>
            </w:r>
          </w:p>
        </w:tc>
        <w:tc>
          <w:tcPr>
            <w:tcW w:w="1002" w:type="dxa"/>
            <w:tcBorders>
              <w:top w:val="single" w:color="auto" w:sz="8" w:space="0"/>
              <w:left w:val="single" w:color="auto" w:sz="8" w:space="0"/>
              <w:bottom w:val="single" w:color="auto" w:sz="12"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41.40</w:t>
            </w:r>
          </w:p>
        </w:tc>
      </w:tr>
    </w:tbl>
    <w:p>
      <w:pPr>
        <w:adjustRightInd w:val="0"/>
        <w:snapToGrid w:val="0"/>
        <w:ind w:firstLine="481"/>
        <w:rPr>
          <w:rFonts w:hint="eastAsia" w:ascii="宋体" w:hAnsi="宋体" w:eastAsia="宋体" w:cs="宋体"/>
          <w:bCs/>
          <w:sz w:val="21"/>
          <w:szCs w:val="21"/>
          <w:lang w:val="en-US" w:eastAsia="zh-CN"/>
        </w:rPr>
      </w:pP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稀土元素间谱线重叠干扰严重，必须加以校正扣除，试验采用的计数率校正，按下式计算：</w:t>
      </w:r>
    </w:p>
    <w:p>
      <w:pPr>
        <w:adjustRightInd w:val="0"/>
        <w:snapToGrid w:val="0"/>
        <w:ind w:firstLine="1944" w:firstLineChars="926"/>
        <w:rPr>
          <w:rFonts w:hint="default" w:ascii="宋体" w:hAnsi="宋体" w:eastAsia="宋体" w:cs="宋体"/>
          <w:bCs/>
          <w:sz w:val="21"/>
          <w:szCs w:val="21"/>
          <w:lang w:val="en-US" w:eastAsia="zh-CN"/>
        </w:rPr>
      </w:pPr>
      <w:r>
        <w:rPr>
          <w:rFonts w:hint="eastAsia" w:ascii="宋体" w:hAnsi="宋体" w:eastAsia="宋体" w:cs="宋体"/>
          <w:bCs/>
          <w:position w:val="-32"/>
          <w:sz w:val="21"/>
          <w:szCs w:val="21"/>
          <w:lang w:val="en-US" w:eastAsia="zh-CN"/>
        </w:rPr>
        <w:object>
          <v:shape id="_x0000_i1025" o:spt="75" type="#_x0000_t75" style="height:38pt;width:10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式中：</w:t>
      </w: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n</w:t>
      </w:r>
      <w:r>
        <w:rPr>
          <w:rFonts w:hint="eastAsia" w:ascii="宋体" w:hAnsi="宋体" w:eastAsia="宋体" w:cs="宋体"/>
          <w:bCs/>
          <w:sz w:val="21"/>
          <w:szCs w:val="21"/>
          <w:lang w:val="en-US" w:eastAsia="zh-CN"/>
        </w:rPr>
        <w:t>：待测元素i分析特征线净强度；</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i</w:t>
      </w:r>
      <w:r>
        <w:rPr>
          <w:rFonts w:hint="eastAsia" w:ascii="宋体" w:hAnsi="宋体" w:eastAsia="宋体" w:cs="宋体"/>
          <w:bCs/>
          <w:sz w:val="21"/>
          <w:szCs w:val="21"/>
          <w:lang w:val="en-US" w:eastAsia="zh-CN"/>
        </w:rPr>
        <w:t>：待测元素i峰值处分析特征线强度；</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j</w:t>
      </w:r>
      <w:r>
        <w:rPr>
          <w:rFonts w:hint="eastAsia" w:ascii="宋体" w:hAnsi="宋体" w:eastAsia="宋体" w:cs="宋体"/>
          <w:bCs/>
          <w:sz w:val="21"/>
          <w:szCs w:val="21"/>
          <w:lang w:val="en-US" w:eastAsia="zh-CN"/>
        </w:rPr>
        <w:t>：干扰元素j峰值处分析特征线强度；</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j</w:t>
      </w:r>
      <w:r>
        <w:rPr>
          <w:rFonts w:hint="eastAsia" w:ascii="宋体" w:hAnsi="宋体" w:eastAsia="宋体" w:cs="宋体"/>
          <w:bCs/>
          <w:i/>
          <w:iCs/>
          <w:sz w:val="21"/>
          <w:szCs w:val="21"/>
          <w:vertAlign w:val="superscript"/>
          <w:lang w:val="en-US" w:eastAsia="zh-CN"/>
        </w:rPr>
        <w:t>j</w:t>
      </w:r>
      <w:r>
        <w:rPr>
          <w:rFonts w:hint="eastAsia" w:ascii="宋体" w:hAnsi="宋体" w:eastAsia="宋体" w:cs="宋体"/>
          <w:bCs/>
          <w:i/>
          <w:iCs/>
          <w:sz w:val="21"/>
          <w:szCs w:val="21"/>
          <w:vertAlign w:val="baseline"/>
          <w:lang w:val="en-US" w:eastAsia="zh-CN"/>
        </w:rPr>
        <w:t>：</w:t>
      </w:r>
      <w:r>
        <w:rPr>
          <w:rFonts w:hint="eastAsia" w:ascii="宋体" w:hAnsi="宋体" w:eastAsia="宋体" w:cs="宋体"/>
          <w:bCs/>
          <w:i w:val="0"/>
          <w:iCs w:val="0"/>
          <w:sz w:val="21"/>
          <w:szCs w:val="21"/>
          <w:vertAlign w:val="baseline"/>
          <w:lang w:val="en-US" w:eastAsia="zh-CN"/>
        </w:rPr>
        <w:t>单一稀土元素j样片j</w:t>
      </w:r>
      <w:r>
        <w:rPr>
          <w:rFonts w:hint="eastAsia" w:ascii="宋体" w:hAnsi="宋体" w:eastAsia="宋体" w:cs="宋体"/>
          <w:bCs/>
          <w:sz w:val="21"/>
          <w:szCs w:val="21"/>
          <w:lang w:val="en-US" w:eastAsia="zh-CN"/>
        </w:rPr>
        <w:t>峰值处分析线特征线强度；</w:t>
      </w:r>
    </w:p>
    <w:p>
      <w:pPr>
        <w:adjustRightInd w:val="0"/>
        <w:snapToGrid w:val="0"/>
        <w:ind w:firstLine="481"/>
        <w:rPr>
          <w:rFonts w:hint="eastAsia" w:ascii="宋体" w:hAnsi="宋体" w:eastAsia="宋体" w:cs="宋体"/>
          <w:bCs/>
          <w:i w:val="0"/>
          <w:iCs w:val="0"/>
          <w:sz w:val="21"/>
          <w:szCs w:val="21"/>
          <w:vertAlign w:val="baseline"/>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j</w:t>
      </w:r>
      <w:r>
        <w:rPr>
          <w:rFonts w:hint="eastAsia" w:ascii="宋体" w:hAnsi="宋体" w:eastAsia="宋体" w:cs="宋体"/>
          <w:bCs/>
          <w:i/>
          <w:iCs/>
          <w:sz w:val="21"/>
          <w:szCs w:val="21"/>
          <w:vertAlign w:val="superscript"/>
          <w:lang w:val="en-US" w:eastAsia="zh-CN"/>
        </w:rPr>
        <w:t>i</w:t>
      </w:r>
      <w:r>
        <w:rPr>
          <w:rFonts w:hint="eastAsia" w:ascii="宋体" w:hAnsi="宋体" w:eastAsia="宋体" w:cs="宋体"/>
          <w:bCs/>
          <w:i/>
          <w:iCs/>
          <w:sz w:val="21"/>
          <w:szCs w:val="21"/>
          <w:vertAlign w:val="baseline"/>
          <w:lang w:val="en-US" w:eastAsia="zh-CN"/>
        </w:rPr>
        <w:t>：</w:t>
      </w:r>
      <w:r>
        <w:rPr>
          <w:rFonts w:hint="eastAsia" w:ascii="宋体" w:hAnsi="宋体" w:eastAsia="宋体" w:cs="宋体"/>
          <w:bCs/>
          <w:i w:val="0"/>
          <w:iCs w:val="0"/>
          <w:sz w:val="21"/>
          <w:szCs w:val="21"/>
          <w:vertAlign w:val="baseline"/>
          <w:lang w:val="en-US" w:eastAsia="zh-CN"/>
        </w:rPr>
        <w:t>单一稀土元素j样片待测元素i</w:t>
      </w:r>
      <w:r>
        <w:rPr>
          <w:rFonts w:hint="eastAsia" w:ascii="宋体" w:hAnsi="宋体" w:eastAsia="宋体" w:cs="宋体"/>
          <w:bCs/>
          <w:sz w:val="21"/>
          <w:szCs w:val="21"/>
          <w:lang w:val="en-US" w:eastAsia="zh-CN"/>
        </w:rPr>
        <w:t>峰值处分析线特征线强度</w:t>
      </w:r>
      <w:r>
        <w:rPr>
          <w:rFonts w:hint="eastAsia" w:ascii="宋体" w:hAnsi="宋体" w:eastAsia="宋体" w:cs="宋体"/>
          <w:bCs/>
          <w:i w:val="0"/>
          <w:iCs w:val="0"/>
          <w:sz w:val="21"/>
          <w:szCs w:val="21"/>
          <w:vertAlign w:val="baseline"/>
          <w:lang w:val="en-US" w:eastAsia="zh-CN"/>
        </w:rPr>
        <w:t>。</w:t>
      </w:r>
    </w:p>
    <w:p>
      <w:pPr>
        <w:adjustRightInd w:val="0"/>
        <w:snapToGrid w:val="0"/>
        <w:ind w:firstLine="481"/>
        <w:rPr>
          <w:rFonts w:hint="eastAsia" w:ascii="宋体" w:hAnsi="宋体" w:eastAsia="宋体" w:cs="宋体"/>
          <w:bCs/>
          <w:i w:val="0"/>
          <w:iCs w:val="0"/>
          <w:sz w:val="21"/>
          <w:szCs w:val="21"/>
          <w:vertAlign w:val="baseline"/>
          <w:lang w:val="en-US" w:eastAsia="zh-CN"/>
        </w:rPr>
      </w:pPr>
      <w:r>
        <w:rPr>
          <w:rFonts w:hint="eastAsia" w:ascii="宋体" w:hAnsi="宋体" w:eastAsia="宋体" w:cs="宋体"/>
          <w:bCs/>
          <w:position w:val="-32"/>
          <w:sz w:val="21"/>
          <w:szCs w:val="21"/>
          <w:lang w:val="en-US" w:eastAsia="zh-CN"/>
        </w:rPr>
        <w:object>
          <v:shape id="_x0000_i1026" o:spt="75" type="#_x0000_t75" style="height:38pt;width:17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bCs/>
          <w:sz w:val="21"/>
          <w:szCs w:val="21"/>
          <w:lang w:val="en-US" w:eastAsia="zh-CN"/>
        </w:rPr>
        <w:t>:校正系数。</w:t>
      </w:r>
    </w:p>
    <w:p>
      <w:pPr>
        <w:adjustRightInd w:val="0"/>
        <w:snapToGrid w:val="0"/>
        <w:ind w:firstLine="481"/>
        <w:rPr>
          <w:rFonts w:hint="eastAsia" w:ascii="宋体" w:hAnsi="宋体" w:eastAsia="宋体" w:cs="宋体"/>
          <w:bCs/>
          <w:i w:val="0"/>
          <w:iCs w:val="0"/>
          <w:sz w:val="21"/>
          <w:szCs w:val="21"/>
          <w:vertAlign w:val="baseline"/>
          <w:lang w:val="en-US" w:eastAsia="zh-CN"/>
        </w:rPr>
      </w:pPr>
      <w:r>
        <w:rPr>
          <w:rFonts w:hint="eastAsia" w:ascii="宋体" w:hAnsi="宋体" w:eastAsia="宋体" w:cs="宋体"/>
          <w:bCs/>
          <w:i w:val="0"/>
          <w:iCs w:val="0"/>
          <w:sz w:val="21"/>
          <w:szCs w:val="21"/>
          <w:vertAlign w:val="baseline"/>
          <w:lang w:val="en-US" w:eastAsia="zh-CN"/>
        </w:rPr>
        <w:t>由于不同的仪器的分辨率不一样，校正系数值不同，试验考察的分析线校正系数见表14。</w:t>
      </w:r>
    </w:p>
    <w:p>
      <w:pPr>
        <w:adjustRightInd/>
        <w:snapToGrid/>
        <w:spacing w:before="156" w:beforeLines="50" w:afterLines="0" w:line="312" w:lineRule="auto"/>
        <w:jc w:val="center"/>
        <w:rPr>
          <w:rFonts w:hint="default" w:ascii="Times New Roman" w:hAnsi="Times New Roman" w:eastAsia="黑体" w:cs="Times New Roman"/>
          <w:bCs w:val="0"/>
          <w:i w:val="0"/>
          <w:iCs w:val="0"/>
          <w:sz w:val="21"/>
          <w:szCs w:val="24"/>
          <w:vertAlign w:val="baseline"/>
          <w:lang w:val="en-US" w:eastAsia="zh-CN"/>
        </w:rPr>
      </w:pPr>
      <w:r>
        <w:rPr>
          <w:rFonts w:hint="default" w:ascii="Times New Roman" w:hAnsi="Times New Roman" w:eastAsia="黑体" w:cs="Times New Roman"/>
          <w:bCs w:val="0"/>
          <w:i w:val="0"/>
          <w:iCs w:val="0"/>
          <w:sz w:val="21"/>
          <w:szCs w:val="24"/>
          <w:vertAlign w:val="baseline"/>
          <w:lang w:val="en-US" w:eastAsia="zh-CN"/>
        </w:rPr>
        <w:t>表10</w:t>
      </w:r>
      <w:r>
        <w:rPr>
          <w:rFonts w:hint="eastAsia" w:eastAsia="黑体" w:cs="Times New Roman"/>
          <w:bCs w:val="0"/>
          <w:i w:val="0"/>
          <w:iCs w:val="0"/>
          <w:sz w:val="21"/>
          <w:szCs w:val="24"/>
          <w:vertAlign w:val="baseline"/>
          <w:lang w:val="en-US" w:eastAsia="zh-CN"/>
        </w:rPr>
        <w:t xml:space="preserve"> </w:t>
      </w:r>
      <w:r>
        <w:rPr>
          <w:rFonts w:hint="default" w:ascii="Times New Roman" w:hAnsi="Times New Roman" w:eastAsia="黑体" w:cs="Times New Roman"/>
          <w:bCs w:val="0"/>
          <w:i w:val="0"/>
          <w:iCs w:val="0"/>
          <w:sz w:val="21"/>
          <w:szCs w:val="24"/>
          <w:vertAlign w:val="baseline"/>
          <w:lang w:val="en-US" w:eastAsia="zh-CN"/>
        </w:rPr>
        <w:t>分析线校正系数</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8"/>
        <w:gridCol w:w="1109"/>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Merge w:val="restart"/>
            <w:tcBorders>
              <w:top w:val="single" w:color="auto" w:sz="12"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待测</w:t>
            </w:r>
          </w:p>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元素</w:t>
            </w:r>
          </w:p>
        </w:tc>
        <w:tc>
          <w:tcPr>
            <w:tcW w:w="8861" w:type="dxa"/>
            <w:gridSpan w:val="8"/>
            <w:tcBorders>
              <w:top w:val="single" w:color="auto" w:sz="12" w:space="0"/>
              <w:left w:val="single" w:color="auto" w:sz="8" w:space="0"/>
              <w:bottom w:val="single" w:color="auto" w:sz="8" w:space="0"/>
              <w:right w:val="single" w:color="auto" w:sz="12"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干扰元素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Merge w:val="continue"/>
            <w:tcBorders>
              <w:top w:val="single" w:color="auto" w:sz="8" w:space="0"/>
              <w:left w:val="single" w:color="auto" w:sz="12" w:space="0"/>
              <w:bottom w:val="single" w:color="auto" w:sz="12" w:space="0"/>
              <w:right w:val="single" w:color="auto" w:sz="8"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Y</w:t>
            </w: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La</w:t>
            </w: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Ce</w:t>
            </w: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Pr</w:t>
            </w:r>
          </w:p>
        </w:tc>
        <w:tc>
          <w:tcPr>
            <w:tcW w:w="1108"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Nd</w:t>
            </w:r>
          </w:p>
        </w:tc>
        <w:tc>
          <w:tcPr>
            <w:tcW w:w="1109"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Sm</w:t>
            </w:r>
          </w:p>
        </w:tc>
        <w:tc>
          <w:tcPr>
            <w:tcW w:w="1108"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Eu</w:t>
            </w:r>
          </w:p>
        </w:tc>
        <w:tc>
          <w:tcPr>
            <w:tcW w:w="1108"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La</w:t>
            </w: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0.0010</w:t>
            </w:r>
          </w:p>
        </w:tc>
        <w:tc>
          <w:tcPr>
            <w:tcW w:w="1109"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12"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Nd</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0.0018</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Eu</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0.3300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0.0700</w:t>
            </w: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Gd</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0.0085</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0.0320</w:t>
            </w: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Tb</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0.0250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0.0020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0.0120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Dy</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0.002</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0.0540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Ho</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0.0100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Er</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0.0300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Tm</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0.0600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Yb</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0.0060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Merge w:val="restart"/>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待测</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Cs/>
                <w:i w:val="0"/>
                <w:iCs w:val="0"/>
                <w:sz w:val="18"/>
                <w:szCs w:val="18"/>
                <w:vertAlign w:val="baseline"/>
                <w:lang w:val="en-US" w:eastAsia="zh-CN"/>
              </w:rPr>
              <w:t>元素</w:t>
            </w:r>
          </w:p>
        </w:tc>
        <w:tc>
          <w:tcPr>
            <w:tcW w:w="8861" w:type="dxa"/>
            <w:gridSpan w:val="8"/>
            <w:tcBorders>
              <w:top w:val="single" w:color="auto" w:sz="8" w:space="0"/>
              <w:left w:val="single" w:color="auto" w:sz="8" w:space="0"/>
              <w:bottom w:val="single" w:color="auto" w:sz="8" w:space="0"/>
              <w:right w:val="single" w:color="auto" w:sz="12"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干扰元素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p>
        </w:tc>
        <w:tc>
          <w:tcPr>
            <w:tcW w:w="11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p>
        </w:tc>
        <w:tc>
          <w:tcPr>
            <w:tcW w:w="11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p>
        </w:tc>
        <w:tc>
          <w:tcPr>
            <w:tcW w:w="11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0.0320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0.0060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0.01200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0.0090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0.0015</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0.090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0.0060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0.0150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0.0280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0.0080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0.0400</w:t>
            </w: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0.1975</w:t>
            </w: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bl>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lang w:eastAsia="zh-CN"/>
        </w:rPr>
        <w:t>测量方式的</w:t>
      </w:r>
      <w:r>
        <w:rPr>
          <w:rFonts w:hint="eastAsia" w:ascii="宋体" w:hAnsi="宋体" w:eastAsia="宋体" w:cs="宋体"/>
          <w:b/>
        </w:rPr>
        <w:t>选择</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测量方式主要包括是否选择内标校正、是否进行背景扣除和是否进行空白试验。虽然试验方法测定的稀土元素间的相对含量，测定样品时内标没有起到任何作用，但是在进行校正曲线时，标准溶液蒸发至近干后残存的水量难以控制，测定稀土分析线特征线强度稳定性差。试验称取5份0.1000g氧化镝，按照试验步骤蒸发至近干，加入5.00 mL钒内标溶液，制备样片后测定DyL</w:t>
      </w:r>
      <w:r>
        <w:rPr>
          <w:rFonts w:hint="eastAsia" w:ascii="宋体" w:hAnsi="宋体" w:eastAsia="宋体" w:cs="宋体"/>
          <w:vertAlign w:val="subscript"/>
        </w:rPr>
        <w:t>α1</w:t>
      </w:r>
      <w:r>
        <w:rPr>
          <w:rFonts w:hint="eastAsia" w:ascii="宋体" w:hAnsi="宋体" w:eastAsia="宋体" w:cs="宋体"/>
          <w:bCs/>
          <w:sz w:val="21"/>
          <w:szCs w:val="21"/>
          <w:lang w:val="en-US" w:eastAsia="zh-CN"/>
        </w:rPr>
        <w:t>和V</w:t>
      </w:r>
      <w:r>
        <w:rPr>
          <w:rFonts w:hint="eastAsia" w:ascii="宋体" w:hAnsi="宋体" w:eastAsia="宋体" w:cs="宋体"/>
        </w:rPr>
        <w:t>K</w:t>
      </w:r>
      <w:r>
        <w:rPr>
          <w:rFonts w:hint="eastAsia" w:ascii="宋体" w:hAnsi="宋体" w:eastAsia="宋体" w:cs="宋体"/>
          <w:vertAlign w:val="subscript"/>
        </w:rPr>
        <w:t>β1</w:t>
      </w:r>
      <w:r>
        <w:rPr>
          <w:rFonts w:hint="eastAsia" w:ascii="宋体" w:hAnsi="宋体" w:eastAsia="宋体" w:cs="宋体"/>
          <w:bCs/>
          <w:sz w:val="21"/>
          <w:szCs w:val="21"/>
          <w:lang w:val="en-US" w:eastAsia="zh-CN"/>
        </w:rPr>
        <w:t>分析线特征线强度择，试验结果见表11。</w:t>
      </w:r>
    </w:p>
    <w:p>
      <w:pPr>
        <w:adjustRightInd/>
        <w:snapToGrid/>
        <w:spacing w:before="156" w:beforeLines="50" w:afterLines="0" w:line="312" w:lineRule="auto"/>
        <w:jc w:val="center"/>
        <w:rPr>
          <w:rFonts w:hint="default" w:ascii="Times New Roman" w:hAnsi="Times New Roman" w:eastAsia="黑体" w:cs="Times New Roman"/>
          <w:bCs w:val="0"/>
          <w:sz w:val="21"/>
          <w:szCs w:val="24"/>
          <w:lang w:val="en-US" w:eastAsia="zh-CN"/>
        </w:rPr>
      </w:pPr>
      <w:r>
        <w:rPr>
          <w:rFonts w:hint="default" w:ascii="Times New Roman" w:hAnsi="Times New Roman" w:eastAsia="黑体" w:cs="Times New Roman"/>
          <w:bCs w:val="0"/>
          <w:sz w:val="21"/>
          <w:szCs w:val="24"/>
          <w:lang w:val="en-US" w:eastAsia="zh-CN"/>
        </w:rPr>
        <w:t xml:space="preserve">表11 </w:t>
      </w:r>
      <w:r>
        <w:rPr>
          <w:rFonts w:hint="eastAsia" w:eastAsia="黑体" w:cs="Times New Roman"/>
          <w:bCs w:val="0"/>
          <w:sz w:val="21"/>
          <w:szCs w:val="24"/>
          <w:lang w:val="en-US" w:eastAsia="zh-CN"/>
        </w:rPr>
        <w:t xml:space="preserve"> </w:t>
      </w:r>
      <w:r>
        <w:rPr>
          <w:rFonts w:hint="default" w:ascii="Times New Roman" w:hAnsi="Times New Roman" w:eastAsia="黑体" w:cs="Times New Roman"/>
          <w:bCs w:val="0"/>
          <w:sz w:val="21"/>
          <w:szCs w:val="24"/>
          <w:lang w:val="en-US" w:eastAsia="zh-CN"/>
        </w:rPr>
        <w:t>测量方式选择试验</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4" w:type="dxa"/>
            <w:tcBorders>
              <w:top w:val="single" w:color="auto" w:sz="12"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参数</w:t>
            </w:r>
          </w:p>
        </w:tc>
        <w:tc>
          <w:tcPr>
            <w:tcW w:w="1423"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w:t>
            </w:r>
          </w:p>
        </w:tc>
        <w:tc>
          <w:tcPr>
            <w:tcW w:w="1424"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w:t>
            </w:r>
          </w:p>
        </w:tc>
        <w:tc>
          <w:tcPr>
            <w:tcW w:w="1424"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3</w:t>
            </w:r>
          </w:p>
        </w:tc>
        <w:tc>
          <w:tcPr>
            <w:tcW w:w="1423"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4</w:t>
            </w:r>
          </w:p>
        </w:tc>
        <w:tc>
          <w:tcPr>
            <w:tcW w:w="1425"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w:t>
            </w:r>
          </w:p>
        </w:tc>
        <w:tc>
          <w:tcPr>
            <w:tcW w:w="1425" w:type="dxa"/>
            <w:tcBorders>
              <w:top w:val="single" w:color="auto" w:sz="12"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Borders>
              <w:top w:val="single" w:color="auto" w:sz="12"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lang w:val="en-US" w:eastAsia="zh-CN"/>
              </w:rPr>
              <w:t>DyL</w:t>
            </w:r>
            <w:r>
              <w:rPr>
                <w:rFonts w:hint="eastAsia" w:asciiTheme="majorEastAsia" w:hAnsiTheme="majorEastAsia" w:eastAsiaTheme="majorEastAsia" w:cstheme="majorEastAsia"/>
                <w:sz w:val="18"/>
                <w:szCs w:val="18"/>
                <w:vertAlign w:val="subscript"/>
              </w:rPr>
              <w:t>α1</w:t>
            </w:r>
            <w:r>
              <w:rPr>
                <w:rFonts w:hint="eastAsia" w:asciiTheme="majorEastAsia" w:hAnsiTheme="majorEastAsia" w:eastAsiaTheme="majorEastAsia" w:cstheme="majorEastAsia"/>
                <w:bCs/>
                <w:sz w:val="18"/>
                <w:szCs w:val="18"/>
                <w:lang w:val="en-US" w:eastAsia="zh-CN"/>
              </w:rPr>
              <w:t>强度</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212.3458</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214.6283</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213.7571</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213.3327</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212.0126</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Borders>
              <w:top w:val="single" w:color="auto" w:sz="8"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lang w:val="en-US" w:eastAsia="zh-CN"/>
              </w:rPr>
              <w:t>V</w:t>
            </w: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β1</w:t>
            </w:r>
            <w:r>
              <w:rPr>
                <w:rFonts w:hint="eastAsia" w:asciiTheme="majorEastAsia" w:hAnsiTheme="majorEastAsia" w:eastAsiaTheme="majorEastAsia" w:cstheme="majorEastAsia"/>
                <w:bCs/>
                <w:sz w:val="18"/>
                <w:szCs w:val="18"/>
                <w:lang w:val="en-US" w:eastAsia="zh-CN"/>
              </w:rPr>
              <w:t>强度</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78.9374</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79.6854</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79.4485</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78.9562</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78.8088</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Borders>
              <w:top w:val="single" w:color="auto" w:sz="8"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lang w:val="en-US" w:eastAsia="zh-CN"/>
              </w:rPr>
              <w:t>DyL</w:t>
            </w:r>
            <w:r>
              <w:rPr>
                <w:rFonts w:hint="eastAsia" w:asciiTheme="majorEastAsia" w:hAnsiTheme="majorEastAsia" w:eastAsiaTheme="majorEastAsia" w:cstheme="majorEastAsia"/>
                <w:sz w:val="18"/>
                <w:szCs w:val="18"/>
                <w:vertAlign w:val="subscript"/>
              </w:rPr>
              <w:t>α1</w:t>
            </w:r>
            <w:r>
              <w:rPr>
                <w:rFonts w:hint="eastAsia" w:asciiTheme="majorEastAsia" w:hAnsiTheme="majorEastAsia" w:eastAsiaTheme="majorEastAsia" w:cstheme="majorEastAsia"/>
                <w:sz w:val="18"/>
                <w:szCs w:val="18"/>
                <w:lang w:val="en-US" w:eastAsia="zh-CN"/>
              </w:rPr>
              <w:t>/V</w:t>
            </w: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β1</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2.6901</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2.6934</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2.6905</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2.7019</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2.6902</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0.19</w:t>
            </w:r>
          </w:p>
        </w:tc>
      </w:tr>
    </w:tbl>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由表14可见，进行内标校正后测定RSD明显低于未校正，说明加入内标后待测元素分析线特征线强度与内标分析线特征线强度的比值更稳定的</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试验选择了钒内标。</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于稀土谱线较密集，干扰严重，不宜谱线两侧扣背景的方法，由于标准片与试料样品的匹配度高以及试验样品对于检出下限要求为0.20%，试验选择了不扣除背景点。对于有条件的单位可采用靶元素钨/铑的康普顿散射线强度扣除背景干扰，分析线背景强度可由下式计算：</w:t>
      </w:r>
    </w:p>
    <w:p>
      <w:pPr>
        <w:adjustRightInd w:val="0"/>
        <w:snapToGrid w:val="0"/>
        <w:ind w:firstLine="1944" w:firstLineChars="926"/>
        <w:rPr>
          <w:rFonts w:hint="eastAsia" w:ascii="宋体" w:hAnsi="宋体" w:eastAsia="宋体" w:cs="宋体"/>
          <w:bCs/>
          <w:sz w:val="21"/>
          <w:szCs w:val="21"/>
          <w:lang w:val="en-US" w:eastAsia="zh-CN"/>
        </w:rPr>
      </w:pPr>
      <w:r>
        <w:rPr>
          <w:rFonts w:hint="eastAsia" w:ascii="宋体" w:hAnsi="宋体" w:eastAsia="宋体" w:cs="宋体"/>
          <w:bCs/>
          <w:position w:val="-12"/>
          <w:sz w:val="21"/>
          <w:szCs w:val="21"/>
          <w:lang w:val="en-US" w:eastAsia="zh-CN"/>
        </w:rPr>
        <w:object>
          <v:shape id="_x0000_i1027" o:spt="75" type="#_x0000_t75" style="height:18pt;width:157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式中：I</w:t>
      </w:r>
      <w:r>
        <w:rPr>
          <w:rFonts w:hint="eastAsia" w:ascii="宋体" w:hAnsi="宋体" w:eastAsia="宋体" w:cs="宋体"/>
          <w:bCs/>
          <w:sz w:val="21"/>
          <w:szCs w:val="21"/>
          <w:vertAlign w:val="subscript"/>
          <w:lang w:val="en-US" w:eastAsia="zh-CN"/>
        </w:rPr>
        <w:t>ai</w:t>
      </w:r>
      <w:r>
        <w:rPr>
          <w:rFonts w:hint="eastAsia" w:ascii="宋体" w:hAnsi="宋体" w:eastAsia="宋体" w:cs="宋体"/>
          <w:bCs/>
          <w:sz w:val="21"/>
          <w:szCs w:val="21"/>
          <w:lang w:val="en-US" w:eastAsia="zh-CN"/>
        </w:rPr>
        <w:t>是在待测元素i的峰值处测量的空白滤纸片的特征强度；I</w:t>
      </w:r>
      <w:r>
        <w:rPr>
          <w:rFonts w:hint="eastAsia" w:ascii="宋体" w:hAnsi="宋体" w:eastAsia="宋体" w:cs="宋体"/>
          <w:bCs/>
          <w:sz w:val="21"/>
          <w:szCs w:val="21"/>
          <w:vertAlign w:val="subscript"/>
          <w:lang w:val="en-US" w:eastAsia="zh-CN"/>
        </w:rPr>
        <w:t>aw</w:t>
      </w:r>
      <w:r>
        <w:rPr>
          <w:rFonts w:hint="eastAsia" w:ascii="宋体" w:hAnsi="宋体" w:eastAsia="宋体" w:cs="宋体"/>
          <w:bCs/>
          <w:sz w:val="21"/>
          <w:szCs w:val="21"/>
          <w:lang w:val="en-US" w:eastAsia="zh-CN"/>
        </w:rPr>
        <w:t>和I</w:t>
      </w:r>
      <w:r>
        <w:rPr>
          <w:rFonts w:hint="eastAsia" w:ascii="宋体" w:hAnsi="宋体" w:eastAsia="宋体" w:cs="宋体"/>
          <w:bCs/>
          <w:sz w:val="21"/>
          <w:szCs w:val="21"/>
          <w:vertAlign w:val="subscript"/>
          <w:lang w:val="en-US" w:eastAsia="zh-CN"/>
        </w:rPr>
        <w:t>w</w:t>
      </w:r>
      <w:r>
        <w:rPr>
          <w:rFonts w:hint="eastAsia" w:ascii="宋体" w:hAnsi="宋体" w:eastAsia="宋体" w:cs="宋体"/>
          <w:bCs/>
          <w:sz w:val="21"/>
          <w:szCs w:val="21"/>
          <w:lang w:val="en-US" w:eastAsia="zh-CN"/>
        </w:rPr>
        <w:t>分别是空白滤纸片和试样片WL</w:t>
      </w:r>
      <w:r>
        <w:rPr>
          <w:rFonts w:hint="eastAsia" w:ascii="宋体" w:hAnsi="宋体" w:eastAsia="宋体" w:cs="宋体"/>
          <w:vertAlign w:val="subscript"/>
        </w:rPr>
        <w:t>β1</w:t>
      </w:r>
      <w:r>
        <w:rPr>
          <w:rFonts w:hint="eastAsia" w:ascii="宋体" w:hAnsi="宋体" w:eastAsia="宋体" w:cs="宋体"/>
          <w:bCs/>
          <w:sz w:val="21"/>
          <w:szCs w:val="21"/>
          <w:lang w:val="en-US" w:eastAsia="zh-CN"/>
        </w:rPr>
        <w:t>/Rh</w:t>
      </w:r>
      <w:r>
        <w:rPr>
          <w:rFonts w:hint="eastAsia" w:ascii="宋体" w:hAnsi="宋体" w:eastAsia="宋体" w:cs="宋体"/>
        </w:rPr>
        <w:t>K</w:t>
      </w:r>
      <w:r>
        <w:rPr>
          <w:rFonts w:hint="eastAsia" w:ascii="宋体" w:hAnsi="宋体" w:eastAsia="宋体" w:cs="宋体"/>
          <w:vertAlign w:val="subscript"/>
        </w:rPr>
        <w:t>α1</w:t>
      </w:r>
      <w:r>
        <w:rPr>
          <w:rFonts w:hint="eastAsia" w:ascii="宋体" w:hAnsi="宋体" w:eastAsia="宋体" w:cs="宋体"/>
          <w:bCs/>
          <w:sz w:val="21"/>
          <w:szCs w:val="21"/>
          <w:lang w:val="en-US" w:eastAsia="zh-CN"/>
        </w:rPr>
        <w:t>线康普顿散射线强度；I</w:t>
      </w:r>
      <w:r>
        <w:rPr>
          <w:rFonts w:hint="eastAsia" w:ascii="宋体" w:hAnsi="宋体" w:eastAsia="宋体" w:cs="宋体"/>
          <w:bCs/>
          <w:sz w:val="21"/>
          <w:szCs w:val="21"/>
          <w:vertAlign w:val="subscript"/>
          <w:lang w:val="en-US" w:eastAsia="zh-CN"/>
        </w:rPr>
        <w:t>i</w:t>
      </w:r>
      <w:r>
        <w:rPr>
          <w:rFonts w:hint="eastAsia" w:ascii="宋体" w:hAnsi="宋体" w:eastAsia="宋体" w:cs="宋体"/>
          <w:bCs/>
          <w:sz w:val="21"/>
          <w:szCs w:val="21"/>
          <w:lang w:val="en-US" w:eastAsia="zh-CN"/>
        </w:rPr>
        <w:t>是待测元素i的背景强度；K</w:t>
      </w:r>
      <w:r>
        <w:rPr>
          <w:rFonts w:hint="eastAsia" w:ascii="宋体" w:hAnsi="宋体" w:eastAsia="宋体" w:cs="宋体"/>
          <w:bCs/>
          <w:sz w:val="21"/>
          <w:szCs w:val="21"/>
          <w:vertAlign w:val="subscript"/>
          <w:lang w:val="en-US" w:eastAsia="zh-CN"/>
        </w:rPr>
        <w:t>ib</w:t>
      </w:r>
      <w:r>
        <w:rPr>
          <w:rFonts w:hint="eastAsia" w:ascii="宋体" w:hAnsi="宋体" w:eastAsia="宋体" w:cs="宋体"/>
          <w:bCs/>
          <w:sz w:val="21"/>
          <w:szCs w:val="21"/>
          <w:lang w:val="en-US" w:eastAsia="zh-CN"/>
        </w:rPr>
        <w:t>是背景系数。</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cs="宋体"/>
          <w:kern w:val="0"/>
          <w:szCs w:val="21"/>
        </w:rPr>
      </w:pPr>
      <w:r>
        <w:rPr>
          <w:rFonts w:hint="eastAsia" w:ascii="宋体" w:hAnsi="宋体" w:eastAsia="宋体" w:cs="宋体"/>
          <w:bCs/>
          <w:sz w:val="21"/>
          <w:szCs w:val="21"/>
          <w:lang w:val="en-US" w:eastAsia="zh-CN"/>
        </w:rPr>
        <w:t>由于待测元素为稀土元素，在使用的试剂中不含有这些元素。操作过程中带入的稀土元素主要来源于试验器皿中残留的稀土元素和器皿中用于抛光的氧化铈，每个器皿的残存量不一致，没有合适的量进行扣除。试验选择了不进行空白试验（为了保证测定的准确性，试验所用的烧杯使用前需先用高氯酸冒烟预处理清洗）。</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szCs w:val="22"/>
          <w:lang w:eastAsia="zh-CN"/>
        </w:rPr>
        <w:t>样品溶解</w:t>
      </w:r>
      <w:r>
        <w:rPr>
          <w:rFonts w:hint="eastAsia" w:ascii="宋体" w:hAnsi="宋体" w:eastAsia="宋体" w:cs="宋体"/>
          <w:b/>
          <w:lang w:eastAsia="zh-CN"/>
        </w:rPr>
        <w:t>试验</w:t>
      </w:r>
      <w:r>
        <w:rPr>
          <w:rFonts w:hint="eastAsia" w:ascii="宋体" w:hAnsi="宋体" w:eastAsia="宋体" w:cs="宋体"/>
          <w:b/>
        </w:rPr>
        <w:t>验证</w:t>
      </w:r>
    </w:p>
    <w:p>
      <w:pPr>
        <w:adjustRightInd w:val="0"/>
        <w:snapToGrid w:val="0"/>
        <w:ind w:firstLine="420" w:firstLineChars="200"/>
        <w:rPr>
          <w:rFonts w:ascii="宋体" w:hAnsi="宋体" w:cs="宋体"/>
          <w:bCs/>
          <w:szCs w:val="21"/>
          <w:lang w:val="zh-CN"/>
        </w:rPr>
      </w:pPr>
      <w:r>
        <w:rPr>
          <w:rFonts w:hint="eastAsia" w:ascii="宋体" w:hAnsi="宋体" w:eastAsia="宋体" w:cs="宋体"/>
          <w:bCs/>
          <w:sz w:val="21"/>
          <w:szCs w:val="21"/>
          <w:lang w:eastAsia="zh-CN"/>
        </w:rPr>
        <w:t>稀土电解回收料（除镧热电解回收料）其组分主要有氟化稀土、氧化稀土、稀土金属、氟化钙、氟化锂、铁盐等，根据组分特点，试验称取各类熔盐回收料样品</w:t>
      </w:r>
      <w:r>
        <w:rPr>
          <w:rFonts w:hint="eastAsia" w:ascii="宋体" w:hAnsi="宋体" w:eastAsia="宋体" w:cs="宋体"/>
          <w:bCs/>
          <w:sz w:val="21"/>
          <w:szCs w:val="21"/>
          <w:lang w:val="en-US" w:eastAsia="zh-CN"/>
        </w:rPr>
        <w:t>2.0 g，</w:t>
      </w:r>
      <w:r>
        <w:rPr>
          <w:rFonts w:hint="eastAsia" w:ascii="宋体" w:hAnsi="宋体" w:eastAsia="宋体" w:cs="宋体"/>
          <w:bCs/>
          <w:sz w:val="21"/>
          <w:szCs w:val="21"/>
          <w:lang w:eastAsia="zh-CN"/>
        </w:rPr>
        <w:t>采用了硝酸</w:t>
      </w:r>
      <w:r>
        <w:rPr>
          <w:rFonts w:hint="eastAsia" w:ascii="宋体" w:hAnsi="宋体" w:eastAsia="宋体" w:cs="宋体"/>
          <w:bCs/>
          <w:sz w:val="21"/>
          <w:szCs w:val="21"/>
          <w:lang w:val="en-US" w:eastAsia="zh-CN"/>
        </w:rPr>
        <w:t>-盐酸分解，高氯酸冒烟挥发氟的方式分解样品，充分消解试料中的碳，样品分解后过滤，将滤纸灰化，过氧化钠碱融浸取，用ICP-MS法检验浸取液中</w:t>
      </w:r>
      <w:r>
        <w:rPr>
          <w:rFonts w:hint="eastAsia" w:ascii="宋体" w:hAnsi="宋体" w:eastAsia="宋体" w:cs="宋体"/>
          <w:bCs/>
          <w:sz w:val="21"/>
          <w:szCs w:val="21"/>
        </w:rPr>
        <w:t>稀土</w:t>
      </w:r>
      <w:r>
        <w:rPr>
          <w:rFonts w:hint="eastAsia" w:ascii="宋体" w:hAnsi="宋体" w:eastAsia="宋体" w:cs="宋体"/>
          <w:bCs/>
          <w:sz w:val="21"/>
          <w:szCs w:val="21"/>
          <w:lang w:eastAsia="zh-CN"/>
        </w:rPr>
        <w:t>含量均小于</w:t>
      </w:r>
      <w:r>
        <w:rPr>
          <w:rFonts w:hint="eastAsia" w:ascii="宋体" w:hAnsi="宋体" w:eastAsia="宋体" w:cs="宋体"/>
          <w:bCs/>
          <w:sz w:val="21"/>
          <w:szCs w:val="21"/>
          <w:lang w:val="en-US" w:eastAsia="zh-CN"/>
        </w:rPr>
        <w:t>0.5 mg，试验结果表明试验样品分解方式满足</w:t>
      </w:r>
      <w:r>
        <w:rPr>
          <w:rFonts w:hint="eastAsia" w:ascii="宋体" w:hAnsi="宋体" w:eastAsia="宋体" w:cs="宋体"/>
          <w:bCs/>
          <w:sz w:val="21"/>
          <w:szCs w:val="21"/>
        </w:rPr>
        <w:t>检测要求</w:t>
      </w:r>
      <w:r>
        <w:rPr>
          <w:rFonts w:hint="eastAsia" w:ascii="宋体" w:hAnsi="宋体" w:eastAsia="宋体" w:cs="宋体"/>
          <w:bCs/>
          <w:sz w:val="21"/>
          <w:szCs w:val="21"/>
          <w:lang w:eastAsia="zh-CN"/>
        </w:rPr>
        <w:t>。镧热电解回收料其组分主要有氧化镧、金属镧以及钐或镱的化合物，用盐酸和过氧化氢就能使试料完全清亮</w:t>
      </w:r>
      <w:r>
        <w:rPr>
          <w:rFonts w:hint="eastAsia" w:ascii="宋体" w:hAnsi="宋体" w:cs="宋体"/>
          <w:bCs/>
          <w:szCs w:val="21"/>
          <w:lang w:val="zh-CN"/>
        </w:rPr>
        <w:t>。</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lang w:eastAsia="zh-CN"/>
        </w:rPr>
        <w:t>沉淀</w:t>
      </w:r>
      <w:r>
        <w:rPr>
          <w:rFonts w:hint="eastAsia" w:ascii="宋体" w:hAnsi="宋体" w:eastAsia="宋体" w:cs="宋体"/>
          <w:b/>
        </w:rPr>
        <w:t>试验验证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cs="宋体"/>
          <w:bCs/>
          <w:sz w:val="24"/>
        </w:rPr>
      </w:pPr>
      <w:r>
        <w:rPr>
          <w:rFonts w:hint="eastAsia" w:ascii="Times New Roman" w:hAnsi="Times New Roman"/>
          <w:bCs/>
          <w:sz w:val="21"/>
          <w:szCs w:val="21"/>
          <w:lang w:val="en-US" w:eastAsia="zh-CN"/>
        </w:rPr>
        <w:t>根据试料化学的化学组分，非稀土杂质主要有铁、钙、氟、硅、锂和铝等，对于含氟高的样品在样品溶解时采用了高氯酸冒烟挥发分离，同时大部分的硅也挥发了，对于钙含量的钙热还原回收料采用氨分离除钙，对于所有试料进行了草酸沉淀分离锂、铁和铝。按照</w:t>
      </w:r>
      <w:r>
        <w:rPr>
          <w:rFonts w:hint="eastAsia" w:ascii="宋体" w:hAnsi="宋体" w:eastAsia="宋体" w:cs="宋体"/>
          <w:bCs/>
          <w:sz w:val="21"/>
          <w:szCs w:val="21"/>
          <w:lang w:val="en-US" w:eastAsia="zh-CN"/>
        </w:rPr>
        <w:t>GB/T14635-2020</w:t>
      </w:r>
      <w:r>
        <w:rPr>
          <w:rFonts w:hint="eastAsia" w:ascii="Times New Roman" w:hAnsi="Times New Roman"/>
          <w:bCs/>
          <w:sz w:val="21"/>
          <w:szCs w:val="21"/>
          <w:lang w:val="en-US" w:eastAsia="zh-CN"/>
        </w:rPr>
        <w:t>检查沉淀物总量均大于</w:t>
      </w:r>
      <w:r>
        <w:rPr>
          <w:rFonts w:hint="eastAsia" w:ascii="宋体" w:hAnsi="宋体" w:eastAsia="宋体" w:cs="宋体"/>
          <w:bCs/>
          <w:sz w:val="21"/>
          <w:szCs w:val="21"/>
          <w:lang w:val="en-US" w:eastAsia="zh-CN"/>
        </w:rPr>
        <w:t>98%,满足检测要求。沉淀分离试剂用量、分离步骤和洗涤次数等均按照GB/T14635-2020进行，该方法为经典方法，试验没有另行做条件选择试验</w:t>
      </w:r>
      <w:r>
        <w:rPr>
          <w:rFonts w:hint="eastAsia" w:ascii="宋体" w:hAnsi="宋体" w:cs="宋体"/>
          <w:bCs/>
          <w:szCs w:val="21"/>
          <w:lang w:val="zh-CN"/>
        </w:rPr>
        <w:t>。</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szCs w:val="22"/>
          <w:lang w:val="en-US" w:eastAsia="zh-CN"/>
        </w:rPr>
        <w:t>试验器皿的选择试验验证</w:t>
      </w:r>
    </w:p>
    <w:p>
      <w:pPr>
        <w:autoSpaceDE w:val="0"/>
        <w:autoSpaceDN w:val="0"/>
        <w:adjustRightInd w:val="0"/>
        <w:ind w:firstLine="420" w:firstLineChars="200"/>
        <w:rPr>
          <w:rFonts w:hint="eastAsia" w:ascii="宋体" w:hAnsi="宋体" w:cs="宋体"/>
          <w:bCs/>
          <w:sz w:val="24"/>
          <w:lang w:val="zh-CN"/>
        </w:rPr>
      </w:pPr>
      <w:r>
        <w:rPr>
          <w:rFonts w:hint="eastAsia" w:ascii="Times New Roman" w:hAnsi="Times New Roman"/>
          <w:bCs/>
          <w:sz w:val="21"/>
          <w:szCs w:val="21"/>
          <w:lang w:val="en-US" w:eastAsia="zh-CN"/>
        </w:rPr>
        <w:t>由于除镧热电解回收料以外的试料均含有大量的氟，如果采用玻璃烧杯，在样品溶解过程中，氟会对玻璃烧杯产生较强的腐蚀，烧杯中的铈溶解，导致在配分值</w:t>
      </w:r>
      <w:r>
        <w:rPr>
          <w:rFonts w:hint="eastAsia" w:ascii="宋体" w:hAnsi="宋体" w:eastAsia="宋体" w:cs="宋体"/>
          <w:bCs/>
          <w:sz w:val="21"/>
          <w:szCs w:val="21"/>
          <w:lang w:val="en-US" w:eastAsia="zh-CN"/>
        </w:rPr>
        <w:t>CeO</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lang w:val="en-US" w:eastAsia="zh-CN"/>
        </w:rPr>
        <w:t>/REO产生0.3%</w:t>
      </w:r>
      <w:r>
        <w:rPr>
          <w:rFonts w:hint="eastAsia" w:ascii="宋体" w:hAnsi="宋体" w:eastAsia="宋体" w:cs="宋体"/>
          <w:sz w:val="21"/>
          <w:szCs w:val="21"/>
        </w:rPr>
        <w:t>～</w:t>
      </w:r>
      <w:r>
        <w:rPr>
          <w:rFonts w:hint="eastAsia" w:ascii="宋体" w:hAnsi="宋体" w:eastAsia="宋体" w:cs="宋体"/>
          <w:sz w:val="21"/>
          <w:szCs w:val="21"/>
          <w:lang w:val="en-US" w:eastAsia="zh-CN"/>
        </w:rPr>
        <w:t>1.0%正误差。试验选择聚四氟乙烯烧杯消除了此误差</w:t>
      </w:r>
      <w:r>
        <w:rPr>
          <w:rFonts w:hint="eastAsia" w:ascii="宋体" w:hAnsi="宋体" w:cs="宋体"/>
          <w:bCs/>
          <w:sz w:val="24"/>
          <w:lang w:val="zh-CN"/>
        </w:rPr>
        <w:t>。</w:t>
      </w:r>
    </w:p>
    <w:p>
      <w:pPr>
        <w:pStyle w:val="120"/>
        <w:numPr>
          <w:ilvl w:val="0"/>
          <w:numId w:val="11"/>
        </w:numPr>
        <w:tabs>
          <w:tab w:val="clear" w:pos="675"/>
        </w:tabs>
        <w:spacing w:before="156" w:beforeLines="50" w:after="156" w:afterLines="50"/>
        <w:jc w:val="left"/>
        <w:rPr>
          <w:rFonts w:hint="default" w:ascii="宋体" w:hAnsi="宋体" w:eastAsia="宋体" w:cs="宋体"/>
          <w:b/>
          <w:szCs w:val="22"/>
          <w:lang w:val="en-US" w:eastAsia="zh-CN"/>
        </w:rPr>
      </w:pPr>
      <w:r>
        <w:rPr>
          <w:rFonts w:hint="eastAsia" w:ascii="宋体" w:hAnsi="宋体" w:eastAsia="宋体" w:cs="宋体"/>
          <w:b/>
          <w:szCs w:val="22"/>
          <w:lang w:val="en-US" w:eastAsia="zh-CN"/>
        </w:rPr>
        <w:t>试样均匀性及称样量试验验证</w:t>
      </w:r>
    </w:p>
    <w:p>
      <w:pPr>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ascii="Times New Roman" w:hAnsi="Times New Roman"/>
          <w:bCs/>
          <w:sz w:val="21"/>
          <w:szCs w:val="21"/>
          <w:lang w:val="en-US" w:eastAsia="zh-CN"/>
        </w:rPr>
      </w:pPr>
      <w:r>
        <w:rPr>
          <w:rFonts w:hint="eastAsia" w:ascii="Times New Roman" w:hAnsi="Times New Roman"/>
          <w:bCs/>
          <w:sz w:val="21"/>
          <w:szCs w:val="21"/>
          <w:lang w:eastAsia="zh-CN"/>
        </w:rPr>
        <w:t>为了考察试样均匀性和确定称样量，试验称取了不同质量试样进行了主元素配分值比对试验。试验结果见表</w:t>
      </w:r>
      <w:r>
        <w:rPr>
          <w:rFonts w:hint="eastAsia" w:ascii="宋体" w:hAnsi="宋体" w:eastAsia="宋体" w:cs="宋体"/>
          <w:bCs/>
          <w:sz w:val="21"/>
          <w:szCs w:val="21"/>
          <w:lang w:val="en-US" w:eastAsia="zh-CN"/>
        </w:rPr>
        <w:t>12。</w:t>
      </w:r>
    </w:p>
    <w:p>
      <w:pPr>
        <w:adjustRightInd/>
        <w:snapToGrid/>
        <w:spacing w:before="156" w:beforeLines="50" w:afterLines="0" w:line="312" w:lineRule="auto"/>
        <w:jc w:val="center"/>
        <w:rPr>
          <w:rFonts w:hint="default" w:ascii="Times New Roman" w:hAnsi="Times New Roman" w:eastAsia="黑体"/>
          <w:bCs w:val="0"/>
          <w:sz w:val="21"/>
          <w:lang w:eastAsia="zh-CN"/>
        </w:rPr>
      </w:pPr>
      <w:r>
        <w:rPr>
          <w:rFonts w:hint="default" w:ascii="Times New Roman" w:hAnsi="Times New Roman" w:eastAsia="黑体"/>
          <w:bCs w:val="0"/>
          <w:sz w:val="21"/>
          <w:szCs w:val="24"/>
          <w:lang w:eastAsia="zh-CN"/>
        </w:rPr>
        <w:t>表</w:t>
      </w:r>
      <w:r>
        <w:rPr>
          <w:rFonts w:hint="default" w:ascii="Times New Roman" w:hAnsi="Times New Roman" w:eastAsia="黑体" w:cs="Times New Roman"/>
          <w:bCs w:val="0"/>
          <w:sz w:val="21"/>
          <w:szCs w:val="24"/>
          <w:lang w:val="en-US" w:eastAsia="zh-CN"/>
        </w:rPr>
        <w:t>12</w:t>
      </w:r>
      <w:r>
        <w:rPr>
          <w:rFonts w:hint="default" w:ascii="Times New Roman" w:hAnsi="Times New Roman" w:eastAsia="黑体"/>
          <w:bCs w:val="0"/>
          <w:sz w:val="21"/>
          <w:szCs w:val="24"/>
          <w:lang w:eastAsia="zh-CN"/>
        </w:rPr>
        <w:t>试样均匀性及称样量试验</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46"/>
        <w:gridCol w:w="1245"/>
        <w:gridCol w:w="1246"/>
        <w:gridCol w:w="1246"/>
        <w:gridCol w:w="1247"/>
        <w:gridCol w:w="124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tcBorders>
              <w:top w:val="single" w:color="auto" w:sz="12"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样品名称</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称样量，g</w:t>
            </w:r>
          </w:p>
        </w:tc>
        <w:tc>
          <w:tcPr>
            <w:tcW w:w="1245"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测定元素</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波动范围</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样品名称</w:t>
            </w:r>
          </w:p>
        </w:tc>
        <w:tc>
          <w:tcPr>
            <w:tcW w:w="1247"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称样量，g</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测定元素</w:t>
            </w:r>
          </w:p>
        </w:tc>
        <w:tc>
          <w:tcPr>
            <w:tcW w:w="1247" w:type="dxa"/>
            <w:tcBorders>
              <w:top w:val="single" w:color="auto" w:sz="12"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波动范围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tcBorders>
              <w:top w:val="single" w:color="auto" w:sz="12"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镨钕</w:t>
            </w:r>
            <w:r>
              <w:rPr>
                <w:rFonts w:hint="eastAsia" w:asciiTheme="majorEastAsia" w:hAnsiTheme="majorEastAsia" w:eastAsiaTheme="majorEastAsia" w:cstheme="majorEastAsia"/>
                <w:sz w:val="18"/>
                <w:szCs w:val="18"/>
                <w:lang w:eastAsia="zh-CN"/>
              </w:rPr>
              <w:t>熔盐电解回收料</w:t>
            </w:r>
          </w:p>
        </w:tc>
        <w:tc>
          <w:tcPr>
            <w:tcW w:w="1246"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5" w:type="dxa"/>
            <w:vMerge w:val="restart"/>
            <w:tcBorders>
              <w:top w:val="single" w:color="auto" w:sz="12"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Nd</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6"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72.5±1.0</w:t>
            </w:r>
          </w:p>
        </w:tc>
        <w:tc>
          <w:tcPr>
            <w:tcW w:w="1246" w:type="dxa"/>
            <w:vMerge w:val="restart"/>
            <w:tcBorders>
              <w:top w:val="single" w:color="auto" w:sz="12"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钆铁合金</w:t>
            </w:r>
            <w:r>
              <w:rPr>
                <w:rFonts w:hint="eastAsia" w:asciiTheme="majorEastAsia" w:hAnsiTheme="majorEastAsia" w:eastAsiaTheme="majorEastAsia" w:cstheme="majorEastAsia"/>
                <w:sz w:val="18"/>
                <w:szCs w:val="18"/>
                <w:lang w:eastAsia="zh-CN"/>
              </w:rPr>
              <w:t>熔盐电解回收料</w:t>
            </w:r>
          </w:p>
        </w:tc>
        <w:tc>
          <w:tcPr>
            <w:tcW w:w="124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6" w:type="dxa"/>
            <w:vMerge w:val="restart"/>
            <w:tcBorders>
              <w:top w:val="single" w:color="auto" w:sz="12"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Gd</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7" w:type="dxa"/>
            <w:tcBorders>
              <w:top w:val="single" w:color="auto" w:sz="12"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72.5±0.5</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72.5±0.3</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72.5±0.3</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镝铁合金</w:t>
            </w:r>
            <w:r>
              <w:rPr>
                <w:rFonts w:hint="eastAsia" w:asciiTheme="majorEastAsia" w:hAnsiTheme="majorEastAsia" w:eastAsiaTheme="majorEastAsia" w:cstheme="majorEastAsia"/>
                <w:sz w:val="18"/>
                <w:szCs w:val="18"/>
                <w:lang w:eastAsia="zh-CN"/>
              </w:rPr>
              <w:t>熔盐电解回收料</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5"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Dy</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98.5±1.3</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钬铁合金</w:t>
            </w:r>
            <w:r>
              <w:rPr>
                <w:rFonts w:hint="eastAsia" w:asciiTheme="majorEastAsia" w:hAnsiTheme="majorEastAsia" w:eastAsiaTheme="majorEastAsia" w:cstheme="majorEastAsia"/>
                <w:sz w:val="18"/>
                <w:szCs w:val="18"/>
                <w:lang w:eastAsia="zh-CN"/>
              </w:rPr>
              <w:t>熔盐电解回收料</w:t>
            </w: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Ho</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98.5±0.8</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98.5±0.4</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98.5±0.4</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钙热还原</w:t>
            </w:r>
            <w:r>
              <w:rPr>
                <w:rFonts w:hint="eastAsia" w:asciiTheme="majorEastAsia" w:hAnsiTheme="majorEastAsia" w:eastAsiaTheme="majorEastAsia" w:cstheme="majorEastAsia"/>
                <w:sz w:val="18"/>
                <w:szCs w:val="18"/>
                <w:lang w:eastAsia="zh-CN"/>
              </w:rPr>
              <w:t>熔盐电解回收料</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5"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Tb</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75.5±1.0</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镧热还原</w:t>
            </w:r>
            <w:r>
              <w:rPr>
                <w:rFonts w:hint="eastAsia" w:asciiTheme="majorEastAsia" w:hAnsiTheme="majorEastAsia" w:eastAsiaTheme="majorEastAsia" w:cstheme="majorEastAsia"/>
                <w:sz w:val="18"/>
                <w:szCs w:val="18"/>
                <w:lang w:eastAsia="zh-CN"/>
              </w:rPr>
              <w:t>熔盐电解回收料</w:t>
            </w: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La</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75.5±0.7</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75.5±0.4</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4.00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5" w:type="dxa"/>
            <w:vMerge w:val="continue"/>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75.5±0.4</w:t>
            </w:r>
          </w:p>
        </w:tc>
        <w:tc>
          <w:tcPr>
            <w:tcW w:w="1246" w:type="dxa"/>
            <w:vMerge w:val="continue"/>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5.00</w:t>
            </w:r>
          </w:p>
        </w:tc>
        <w:tc>
          <w:tcPr>
            <w:tcW w:w="1246" w:type="dxa"/>
            <w:vMerge w:val="continue"/>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82.5±0.3</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cs="宋体"/>
          <w:bCs w:val="0"/>
          <w:sz w:val="21"/>
          <w:szCs w:val="21"/>
          <w:lang w:val="en-US" w:eastAsia="zh-CN"/>
        </w:rPr>
        <w:t>试验表明，</w:t>
      </w:r>
      <w:r>
        <w:rPr>
          <w:rFonts w:hint="eastAsia" w:ascii="宋体" w:hAnsi="宋体" w:eastAsia="宋体" w:cs="宋体"/>
          <w:sz w:val="21"/>
          <w:szCs w:val="21"/>
          <w:lang w:val="en-US" w:eastAsia="zh-CN" w:bidi="ar-SA"/>
        </w:rPr>
        <w:t>镨钕</w:t>
      </w:r>
      <w:r>
        <w:rPr>
          <w:rFonts w:hint="eastAsia" w:ascii="宋体" w:hAnsi="宋体" w:cs="宋体"/>
          <w:sz w:val="21"/>
          <w:szCs w:val="21"/>
          <w:lang w:val="en-US" w:eastAsia="zh-CN" w:bidi="ar-SA"/>
        </w:rPr>
        <w:t>合金</w:t>
      </w:r>
      <w:r>
        <w:rPr>
          <w:rFonts w:hint="eastAsia" w:ascii="宋体" w:hAnsi="宋体" w:eastAsia="宋体" w:cs="宋体"/>
          <w:sz w:val="21"/>
          <w:szCs w:val="21"/>
          <w:lang w:eastAsia="zh-CN"/>
        </w:rPr>
        <w:t>熔盐电解回收料、</w:t>
      </w:r>
      <w:r>
        <w:rPr>
          <w:rFonts w:hint="eastAsia" w:ascii="宋体" w:hAnsi="宋体" w:eastAsia="宋体" w:cs="宋体"/>
          <w:sz w:val="21"/>
          <w:szCs w:val="21"/>
          <w:lang w:val="en-US" w:eastAsia="zh-CN" w:bidi="ar-SA"/>
        </w:rPr>
        <w:t>镝铁合金</w:t>
      </w:r>
      <w:r>
        <w:rPr>
          <w:rFonts w:hint="eastAsia" w:ascii="宋体" w:hAnsi="宋体" w:eastAsia="宋体" w:cs="宋体"/>
          <w:sz w:val="21"/>
          <w:szCs w:val="21"/>
          <w:lang w:eastAsia="zh-CN"/>
        </w:rPr>
        <w:t>熔盐电解回收料、</w:t>
      </w:r>
      <w:r>
        <w:rPr>
          <w:rFonts w:hint="eastAsia" w:ascii="宋体" w:hAnsi="宋体" w:eastAsia="宋体" w:cs="宋体"/>
          <w:sz w:val="21"/>
          <w:szCs w:val="21"/>
          <w:lang w:val="en-US" w:eastAsia="zh-CN" w:bidi="ar-SA"/>
        </w:rPr>
        <w:t>钬铁合金</w:t>
      </w:r>
      <w:r>
        <w:rPr>
          <w:rFonts w:hint="eastAsia" w:ascii="宋体" w:hAnsi="宋体" w:eastAsia="宋体" w:cs="宋体"/>
          <w:sz w:val="21"/>
          <w:szCs w:val="21"/>
          <w:lang w:eastAsia="zh-CN"/>
        </w:rPr>
        <w:t>熔盐电解回收料、</w:t>
      </w:r>
      <w:r>
        <w:rPr>
          <w:rFonts w:hint="eastAsia" w:ascii="宋体" w:hAnsi="宋体" w:eastAsia="宋体" w:cs="宋体"/>
          <w:sz w:val="21"/>
          <w:szCs w:val="21"/>
          <w:lang w:val="en-US" w:eastAsia="zh-CN" w:bidi="ar-SA"/>
        </w:rPr>
        <w:t>钆铁合金</w:t>
      </w:r>
      <w:r>
        <w:rPr>
          <w:rFonts w:hint="eastAsia" w:ascii="宋体" w:hAnsi="宋体" w:eastAsia="宋体" w:cs="宋体"/>
          <w:sz w:val="21"/>
          <w:szCs w:val="21"/>
          <w:lang w:eastAsia="zh-CN"/>
        </w:rPr>
        <w:t>熔盐电解回收料、</w:t>
      </w:r>
      <w:r>
        <w:rPr>
          <w:rFonts w:hint="eastAsia" w:ascii="宋体" w:hAnsi="宋体" w:eastAsia="宋体" w:cs="宋体"/>
          <w:sz w:val="21"/>
          <w:szCs w:val="21"/>
          <w:lang w:val="en-US" w:eastAsia="zh-CN" w:bidi="ar-SA"/>
        </w:rPr>
        <w:t>钙热</w:t>
      </w:r>
      <w:r>
        <w:rPr>
          <w:rFonts w:hint="eastAsia" w:ascii="宋体" w:hAnsi="宋体" w:cs="宋体"/>
          <w:sz w:val="21"/>
          <w:szCs w:val="21"/>
          <w:lang w:val="en-US" w:eastAsia="zh-CN" w:bidi="ar-SA"/>
        </w:rPr>
        <w:t>还原</w:t>
      </w:r>
      <w:r>
        <w:rPr>
          <w:rFonts w:hint="eastAsia" w:ascii="宋体" w:hAnsi="宋体" w:eastAsia="宋体" w:cs="宋体"/>
          <w:sz w:val="21"/>
          <w:szCs w:val="21"/>
          <w:lang w:eastAsia="zh-CN"/>
        </w:rPr>
        <w:t>熔盐电解回收料</w:t>
      </w:r>
      <w:r>
        <w:rPr>
          <w:rFonts w:hint="eastAsia" w:ascii="宋体" w:hAnsi="宋体" w:cs="宋体"/>
          <w:bCs w:val="0"/>
          <w:sz w:val="21"/>
          <w:szCs w:val="21"/>
          <w:lang w:val="en-US" w:eastAsia="zh-CN"/>
        </w:rPr>
        <w:t>称样量在</w:t>
      </w:r>
      <w:r>
        <w:rPr>
          <w:rFonts w:hint="eastAsia" w:ascii="宋体" w:hAnsi="宋体" w:eastAsia="宋体" w:cs="宋体"/>
          <w:bCs w:val="0"/>
          <w:sz w:val="21"/>
          <w:szCs w:val="21"/>
          <w:lang w:val="en-US" w:eastAsia="zh-CN"/>
        </w:rPr>
        <w:t>1g</w:t>
      </w:r>
      <w:r>
        <w:rPr>
          <w:rFonts w:hint="eastAsia" w:ascii="宋体" w:hAnsi="宋体" w:eastAsia="宋体" w:cs="宋体"/>
          <w:sz w:val="21"/>
          <w:szCs w:val="21"/>
        </w:rPr>
        <w:t>～</w:t>
      </w:r>
      <w:r>
        <w:rPr>
          <w:rFonts w:hint="eastAsia" w:ascii="宋体" w:hAnsi="宋体" w:eastAsia="宋体" w:cs="宋体"/>
          <w:sz w:val="21"/>
          <w:szCs w:val="21"/>
          <w:lang w:val="en-US" w:eastAsia="zh-CN"/>
        </w:rPr>
        <w:t>2g试验结果的波动满足检测要求，镧热</w:t>
      </w:r>
      <w:r>
        <w:rPr>
          <w:rFonts w:hint="eastAsia" w:ascii="宋体" w:hAnsi="宋体" w:cs="宋体"/>
          <w:sz w:val="21"/>
          <w:szCs w:val="21"/>
          <w:lang w:val="en-US" w:eastAsia="zh-CN" w:bidi="ar-SA"/>
        </w:rPr>
        <w:t>还原</w:t>
      </w:r>
      <w:r>
        <w:rPr>
          <w:rFonts w:hint="eastAsia" w:ascii="宋体" w:hAnsi="宋体" w:eastAsia="宋体" w:cs="宋体"/>
          <w:sz w:val="21"/>
          <w:szCs w:val="21"/>
          <w:lang w:eastAsia="zh-CN"/>
        </w:rPr>
        <w:t>熔盐电解</w:t>
      </w:r>
      <w:r>
        <w:rPr>
          <w:rFonts w:hint="eastAsia" w:ascii="宋体" w:hAnsi="宋体" w:eastAsia="宋体" w:cs="宋体"/>
          <w:bCs w:val="0"/>
          <w:sz w:val="21"/>
          <w:szCs w:val="21"/>
          <w:lang w:val="en-US" w:eastAsia="zh-CN"/>
        </w:rPr>
        <w:t>称样量在4g</w:t>
      </w:r>
      <w:r>
        <w:rPr>
          <w:rFonts w:hint="eastAsia" w:ascii="宋体" w:hAnsi="宋体" w:eastAsia="宋体" w:cs="宋体"/>
          <w:sz w:val="21"/>
          <w:szCs w:val="21"/>
        </w:rPr>
        <w:t>～</w:t>
      </w:r>
      <w:r>
        <w:rPr>
          <w:rFonts w:hint="eastAsia" w:ascii="宋体" w:hAnsi="宋体" w:eastAsia="宋体" w:cs="宋体"/>
          <w:sz w:val="21"/>
          <w:szCs w:val="21"/>
          <w:lang w:val="en-US" w:eastAsia="zh-CN"/>
        </w:rPr>
        <w:t>5g试验结果的波动满足检测要求，试验分别选择了2g和4g。</w:t>
      </w:r>
    </w:p>
    <w:p>
      <w:pPr>
        <w:pStyle w:val="120"/>
        <w:numPr>
          <w:ilvl w:val="0"/>
          <w:numId w:val="11"/>
        </w:numPr>
        <w:tabs>
          <w:tab w:val="clear" w:pos="675"/>
        </w:tabs>
        <w:spacing w:before="156" w:beforeLines="50" w:after="156" w:afterLines="50"/>
        <w:jc w:val="left"/>
        <w:rPr>
          <w:rFonts w:hint="eastAsia" w:ascii="宋体" w:hAnsi="宋体" w:eastAsia="宋体" w:cs="宋体"/>
          <w:b/>
          <w:szCs w:val="22"/>
          <w:lang w:val="en-US" w:eastAsia="zh-CN"/>
        </w:rPr>
      </w:pPr>
      <w:r>
        <w:rPr>
          <w:rFonts w:hint="eastAsia" w:ascii="宋体" w:hAnsi="宋体" w:eastAsia="宋体" w:cs="宋体"/>
          <w:b/>
          <w:szCs w:val="22"/>
          <w:lang w:val="en-US" w:eastAsia="zh-CN"/>
        </w:rPr>
        <w:t>样片滤纸的选择</w:t>
      </w:r>
    </w:p>
    <w:p>
      <w:pPr>
        <w:adjustRightInd w:val="0"/>
        <w:snapToGrid w:val="0"/>
        <w:ind w:firstLine="481"/>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X光管的原级X射线照射样品表面光斑一般呈椭圆形，其中央强度高，向外逐渐减弱。制备样片时用同一浓度滴加，由于滤纸的不同，扩散速度、扩散面积以及待测元素含量分布均有差异，试验考查了快速定性滤纸、快速定量滤纸和中速定量对测定的影响，试验选择镨钕</w:t>
      </w:r>
      <w:r>
        <w:rPr>
          <w:rFonts w:hint="eastAsia" w:ascii="宋体" w:hAnsi="宋体" w:cs="宋体"/>
          <w:bCs/>
          <w:sz w:val="21"/>
          <w:szCs w:val="21"/>
          <w:lang w:val="en-US" w:eastAsia="zh-CN"/>
        </w:rPr>
        <w:t>合金</w:t>
      </w:r>
      <w:r>
        <w:rPr>
          <w:rFonts w:hint="eastAsia" w:ascii="宋体" w:hAnsi="宋体" w:eastAsia="宋体" w:cs="宋体"/>
          <w:bCs/>
          <w:sz w:val="21"/>
          <w:szCs w:val="21"/>
          <w:lang w:val="en-US" w:eastAsia="zh-CN"/>
        </w:rPr>
        <w:t>熔盐电解回收料实际样进行了比对试验，结果表明不同类型的滤纸对测定的影响不大。</w:t>
      </w:r>
    </w:p>
    <w:p>
      <w:pPr>
        <w:pStyle w:val="120"/>
        <w:numPr>
          <w:ilvl w:val="0"/>
          <w:numId w:val="11"/>
        </w:numPr>
        <w:tabs>
          <w:tab w:val="clear" w:pos="675"/>
        </w:tabs>
        <w:spacing w:before="156" w:beforeLines="50" w:after="156" w:afterLines="50"/>
        <w:jc w:val="left"/>
        <w:rPr>
          <w:rFonts w:hint="eastAsia" w:ascii="宋体" w:hAnsi="宋体" w:eastAsia="宋体" w:cs="宋体"/>
          <w:b/>
          <w:szCs w:val="22"/>
          <w:lang w:val="en-US" w:eastAsia="zh-CN"/>
        </w:rPr>
      </w:pPr>
      <w:r>
        <w:rPr>
          <w:rFonts w:hint="eastAsia" w:ascii="宋体" w:hAnsi="宋体" w:eastAsia="宋体" w:cs="宋体"/>
          <w:b/>
          <w:szCs w:val="22"/>
          <w:lang w:val="en-US" w:eastAsia="zh-CN"/>
        </w:rPr>
        <w:t>共存离子干扰试验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由于试料溶解、沉淀过程中分离氟、铁、铝、锂、硅、钙（大量），草酸沉淀灼烧物中钙含量不高于0.50%，试验称取0.1000g镧热还原回收料分离后的氧化物，加入0.2mg、0.5mg钙，比对结果表明共存离子不影响测定。</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精密度数据的确定</w:t>
      </w:r>
    </w:p>
    <w:p>
      <w:pPr>
        <w:spacing w:before="156" w:beforeLines="50" w:after="156" w:afterLines="50"/>
        <w:jc w:val="left"/>
        <w:rPr>
          <w:rFonts w:ascii="宋体" w:hAnsi="宋体" w:cs="宋体"/>
          <w:b/>
        </w:rPr>
      </w:pPr>
      <w:r>
        <w:rPr>
          <w:rFonts w:hint="eastAsia" w:ascii="宋体" w:hAnsi="宋体" w:cs="宋体"/>
          <w:b/>
          <w:lang w:val="en-US" w:eastAsia="zh-CN"/>
        </w:rPr>
        <w:t>10</w:t>
      </w:r>
      <w:r>
        <w:rPr>
          <w:rFonts w:hint="eastAsia" w:ascii="宋体" w:hAnsi="宋体" w:cs="宋体"/>
          <w:b/>
        </w:rPr>
        <w:t>.1 原始数据统计和检验</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20" w:firstLineChars="200"/>
        <w:jc w:val="left"/>
        <w:textAlignment w:val="auto"/>
        <w:rPr>
          <w:rFonts w:ascii="宋体" w:hAnsi="宋体" w:cs="宋体"/>
        </w:rPr>
      </w:pPr>
      <w:r>
        <w:rPr>
          <w:rFonts w:hint="eastAsia" w:ascii="宋体" w:hAnsi="宋体" w:cs="宋体"/>
        </w:rPr>
        <w:t>主起草单位对各试验室内数据进行了均值、标准偏差和相对标准偏差的统计，并就各试验室内数据和实验室间均值进行了格拉布斯检验以及实验室间数据等精度检验（柯克伦检验）。试验数据统计和检验结果见附件A</w:t>
      </w:r>
      <w:r>
        <w:rPr>
          <w:rFonts w:hint="eastAsia"/>
          <w:szCs w:val="21"/>
        </w:rPr>
        <w:t>~</w:t>
      </w:r>
      <w:r>
        <w:rPr>
          <w:rFonts w:hint="eastAsia" w:ascii="宋体" w:hAnsi="宋体" w:cs="宋体"/>
          <w:lang w:val="en-US" w:eastAsia="zh-CN"/>
        </w:rPr>
        <w:t>F</w:t>
      </w:r>
      <w:r>
        <w:rPr>
          <w:rFonts w:hint="eastAsia" w:ascii="宋体" w:hAnsi="宋体" w:cs="宋体"/>
        </w:rPr>
        <w:t>（带*数据为离群数据）。</w:t>
      </w:r>
    </w:p>
    <w:p>
      <w:pPr>
        <w:spacing w:before="156" w:beforeLines="50" w:after="156" w:afterLines="50"/>
        <w:jc w:val="left"/>
        <w:rPr>
          <w:rFonts w:ascii="宋体" w:hAnsi="宋体" w:cs="宋体"/>
          <w:b/>
        </w:rPr>
      </w:pPr>
      <w:r>
        <w:rPr>
          <w:rFonts w:hint="eastAsia" w:ascii="宋体" w:hAnsi="宋体" w:cs="宋体"/>
          <w:b/>
          <w:lang w:val="en-US" w:eastAsia="zh-CN"/>
        </w:rPr>
        <w:t>10</w:t>
      </w:r>
      <w:r>
        <w:rPr>
          <w:rFonts w:hint="eastAsia" w:ascii="宋体" w:hAnsi="宋体" w:cs="宋体"/>
          <w:b/>
        </w:rPr>
        <w:t>.2 对于岐离和离群数据的分析</w:t>
      </w:r>
    </w:p>
    <w:p>
      <w:pPr>
        <w:spacing w:before="156" w:beforeLines="50" w:after="156" w:afterLines="50"/>
        <w:ind w:firstLine="420"/>
        <w:jc w:val="left"/>
        <w:rPr>
          <w:rFonts w:ascii="宋体" w:hAnsi="宋体" w:cs="宋体"/>
        </w:rPr>
      </w:pPr>
      <w:r>
        <w:rPr>
          <w:rFonts w:hint="eastAsia" w:ascii="宋体" w:hAnsi="宋体" w:cs="宋体"/>
        </w:rPr>
        <w:t>由于本方法测定元素的质量分数较低，试验数据取舍在统计学基础上还应符合化学分析特点，对于岐离和离群数据是否留用，试验采取的判断方式：实验室测定结果与参考值之差|Xmax-μ</w:t>
      </w:r>
      <w:r>
        <w:rPr>
          <w:rFonts w:hint="eastAsia" w:ascii="宋体" w:hAnsi="宋体" w:cs="宋体"/>
          <w:vertAlign w:val="subscript"/>
        </w:rPr>
        <w:t>0</w:t>
      </w:r>
      <w:r>
        <w:rPr>
          <w:rFonts w:hint="eastAsia" w:ascii="宋体" w:hAnsi="宋体" w:cs="宋体"/>
        </w:rPr>
        <w:t>|不大于</w:t>
      </w:r>
      <w:r>
        <w:rPr>
          <w:rFonts w:hint="eastAsia" w:ascii="宋体" w:hAnsi="宋体" w:cs="宋体"/>
          <w:i/>
          <w:iCs/>
        </w:rPr>
        <w:t>CD′</w:t>
      </w:r>
      <w:r>
        <w:rPr>
          <w:rFonts w:hint="eastAsia" w:ascii="宋体" w:hAnsi="宋体" w:cs="宋体"/>
        </w:rPr>
        <w:t>（μ</w:t>
      </w:r>
      <w:r>
        <w:rPr>
          <w:rFonts w:hint="eastAsia" w:ascii="宋体" w:hAnsi="宋体" w:cs="宋体"/>
          <w:vertAlign w:val="subscript"/>
        </w:rPr>
        <w:t>0</w:t>
      </w:r>
      <w:r>
        <w:rPr>
          <w:rFonts w:hint="eastAsia" w:ascii="宋体" w:hAnsi="宋体" w:cs="宋体"/>
        </w:rPr>
        <w:t>理论上为真值，在无真值的情况下采用试验室内或实验室间平均值，Xmax为最大偏离数据），则数据符合要求留用，否则舍去。</w:t>
      </w:r>
      <w:r>
        <w:rPr>
          <w:rFonts w:hint="eastAsia" w:ascii="宋体" w:hAnsi="宋体" w:cs="宋体"/>
          <w:i/>
          <w:iCs/>
        </w:rPr>
        <w:t>CD′</w:t>
      </w:r>
      <w:r>
        <w:rPr>
          <w:rFonts w:hint="eastAsia" w:ascii="宋体" w:hAnsi="宋体" w:cs="宋体"/>
        </w:rPr>
        <w:t>按照下式计算：</w:t>
      </w:r>
    </w:p>
    <w:p>
      <w:pPr>
        <w:spacing w:before="156" w:beforeLines="50" w:after="156" w:afterLines="50"/>
        <w:ind w:firstLine="2730" w:firstLineChars="1300"/>
        <w:jc w:val="left"/>
        <w:rPr>
          <w:rFonts w:ascii="宋体" w:hAnsi="宋体" w:cs="宋体"/>
        </w:rPr>
      </w:pPr>
      <w:r>
        <w:rPr>
          <w:rFonts w:ascii="宋体" w:hAnsi="宋体" w:cs="宋体"/>
          <w:i/>
          <w:iCs/>
          <w:position w:val="-22"/>
        </w:rPr>
        <w:object>
          <v:shape id="_x0000_i1028" o:spt="75" type="#_x0000_t75" style="height:30.05pt;width:140.8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p>
    <w:p>
      <w:pPr>
        <w:spacing w:before="156" w:beforeLines="50" w:after="156" w:afterLines="50"/>
        <w:ind w:firstLine="420" w:firstLineChars="200"/>
        <w:jc w:val="left"/>
        <w:rPr>
          <w:sz w:val="18"/>
          <w:szCs w:val="18"/>
        </w:rPr>
      </w:pPr>
      <w:r>
        <w:rPr>
          <w:rFonts w:hint="eastAsia" w:ascii="宋体" w:hAnsi="宋体" w:cs="宋体"/>
        </w:rPr>
        <w:t>式中：δE为相近测试标准(现行稀土铁合金国行标)规定的实验室之间允许差Δ，U为测量不确定度，由于试验样品不能提供测量不确定度，U值定义为0。试验数据取舍评价结果见表</w:t>
      </w:r>
      <w:r>
        <w:rPr>
          <w:rFonts w:hint="eastAsia" w:ascii="宋体" w:hAnsi="宋体" w:cs="宋体"/>
          <w:lang w:val="en-US" w:eastAsia="zh-CN"/>
        </w:rPr>
        <w:t>13</w:t>
      </w:r>
      <w:r>
        <w:rPr>
          <w:rFonts w:hint="eastAsia" w:ascii="宋体" w:hAnsi="宋体" w:cs="宋体"/>
        </w:rPr>
        <w:t>-1</w:t>
      </w:r>
      <w:r>
        <w:rPr>
          <w:rFonts w:hint="eastAsia"/>
          <w:szCs w:val="21"/>
        </w:rPr>
        <w:t>~</w:t>
      </w:r>
      <w:r>
        <w:rPr>
          <w:rFonts w:hint="eastAsia" w:ascii="宋体" w:hAnsi="宋体" w:cs="宋体"/>
          <w:lang w:val="en-US" w:eastAsia="zh-CN"/>
        </w:rPr>
        <w:t>13</w:t>
      </w:r>
      <w:r>
        <w:rPr>
          <w:rFonts w:hint="eastAsia" w:ascii="宋体" w:hAnsi="宋体" w:cs="宋体"/>
        </w:rPr>
        <w:t>-</w:t>
      </w:r>
      <w:r>
        <w:rPr>
          <w:rFonts w:hint="eastAsia" w:ascii="宋体" w:hAnsi="宋体" w:cs="宋体"/>
          <w:lang w:val="en-US" w:eastAsia="zh-CN"/>
        </w:rPr>
        <w:t>6</w:t>
      </w:r>
      <w:r>
        <w:rPr>
          <w:rFonts w:hint="eastAsia"/>
          <w:sz w:val="18"/>
          <w:szCs w:val="18"/>
        </w:rPr>
        <w:t>。</w:t>
      </w:r>
    </w:p>
    <w:p>
      <w:pPr>
        <w:spacing w:before="156" w:beforeLines="50" w:after="156" w:afterLines="50"/>
        <w:ind w:firstLine="540" w:firstLineChars="300"/>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156" w:beforeLines="50" w:after="0" w:afterLines="0" w:line="312" w:lineRule="auto"/>
        <w:ind w:firstLine="0" w:firstLineChars="0"/>
        <w:jc w:val="center"/>
        <w:rPr>
          <w:rFonts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13</w:t>
      </w:r>
      <w:r>
        <w:rPr>
          <w:rFonts w:hint="default" w:ascii="Times New Roman" w:hAnsi="Times New Roman" w:eastAsia="黑体" w:cs="Times New Roman"/>
        </w:rPr>
        <w:t>-1 镝铁</w:t>
      </w:r>
      <w:r>
        <w:rPr>
          <w:rFonts w:hint="default" w:ascii="Times New Roman" w:hAnsi="Times New Roman" w:eastAsia="黑体" w:cs="Times New Roman"/>
          <w:lang w:eastAsia="zh-CN"/>
        </w:rPr>
        <w:t>回收料</w:t>
      </w:r>
      <w:r>
        <w:rPr>
          <w:rFonts w:hint="default" w:ascii="Times New Roman" w:hAnsi="Times New Roman" w:eastAsia="黑体" w:cs="Times New Roman"/>
        </w:rPr>
        <w:t>数据取舍评价</w:t>
      </w:r>
    </w:p>
    <w:tbl>
      <w:tblPr>
        <w:tblStyle w:val="106"/>
        <w:tblW w:w="9825" w:type="dxa"/>
        <w:tblInd w:w="0" w:type="dxa"/>
        <w:tblLayout w:type="fixed"/>
        <w:tblCellMar>
          <w:top w:w="0" w:type="dxa"/>
          <w:left w:w="0" w:type="dxa"/>
          <w:bottom w:w="0" w:type="dxa"/>
          <w:right w:w="0" w:type="dxa"/>
        </w:tblCellMar>
      </w:tblPr>
      <w:tblGrid>
        <w:gridCol w:w="906"/>
        <w:gridCol w:w="478"/>
        <w:gridCol w:w="486"/>
        <w:gridCol w:w="1614"/>
        <w:gridCol w:w="1107"/>
        <w:gridCol w:w="704"/>
        <w:gridCol w:w="853"/>
        <w:gridCol w:w="1112"/>
        <w:gridCol w:w="937"/>
        <w:gridCol w:w="852"/>
        <w:gridCol w:w="776"/>
      </w:tblGrid>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单位名称</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元素</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水平</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检验方式</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检验结果</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平均值</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|Xmax-μ0|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推荐Δ</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CD’</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评价</w:t>
            </w: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heme="majorEastAsia" w:hAnsiTheme="majorEastAsia" w:eastAsiaTheme="majorEastAsia" w:cstheme="majorEastAsia"/>
                <w:color w:val="000000"/>
                <w:kern w:val="0"/>
                <w:sz w:val="18"/>
                <w:szCs w:val="18"/>
                <w:lang w:bidi="ar"/>
              </w:rPr>
            </w:pPr>
          </w:p>
        </w:tc>
      </w:tr>
    </w:tbl>
    <w:p>
      <w:pPr>
        <w:spacing w:before="156" w:beforeLines="50" w:after="0" w:afterLines="0" w:line="312" w:lineRule="auto"/>
        <w:ind w:firstLine="0" w:firstLineChars="0"/>
        <w:jc w:val="center"/>
        <w:rPr>
          <w:rFonts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13</w:t>
      </w:r>
      <w:r>
        <w:rPr>
          <w:rFonts w:hint="default" w:ascii="Times New Roman" w:hAnsi="Times New Roman" w:eastAsia="黑体" w:cs="Times New Roman"/>
        </w:rPr>
        <w:t>-2 钆铁</w:t>
      </w:r>
      <w:r>
        <w:rPr>
          <w:rFonts w:hint="default" w:ascii="Times New Roman" w:hAnsi="Times New Roman" w:eastAsia="黑体" w:cs="Times New Roman"/>
          <w:lang w:eastAsia="zh-CN"/>
        </w:rPr>
        <w:t>回收料</w:t>
      </w:r>
      <w:r>
        <w:rPr>
          <w:rFonts w:hint="default" w:ascii="Times New Roman" w:hAnsi="Times New Roman" w:eastAsia="黑体" w:cs="Times New Roman"/>
        </w:rPr>
        <w:t>数据取舍评价</w:t>
      </w:r>
    </w:p>
    <w:tbl>
      <w:tblPr>
        <w:tblStyle w:val="106"/>
        <w:tblW w:w="9825" w:type="dxa"/>
        <w:tblInd w:w="0" w:type="dxa"/>
        <w:tblLayout w:type="fixed"/>
        <w:tblCellMar>
          <w:top w:w="0" w:type="dxa"/>
          <w:left w:w="0" w:type="dxa"/>
          <w:bottom w:w="0" w:type="dxa"/>
          <w:right w:w="0" w:type="dxa"/>
        </w:tblCellMar>
      </w:tblPr>
      <w:tblGrid>
        <w:gridCol w:w="919"/>
        <w:gridCol w:w="465"/>
        <w:gridCol w:w="476"/>
        <w:gridCol w:w="1635"/>
        <w:gridCol w:w="1169"/>
        <w:gridCol w:w="727"/>
        <w:gridCol w:w="893"/>
        <w:gridCol w:w="1049"/>
        <w:gridCol w:w="924"/>
        <w:gridCol w:w="820"/>
        <w:gridCol w:w="748"/>
      </w:tblGrid>
      <w:tr>
        <w:tblPrEx>
          <w:tblLayout w:type="fixed"/>
          <w:tblCellMar>
            <w:top w:w="0" w:type="dxa"/>
            <w:left w:w="0" w:type="dxa"/>
            <w:bottom w:w="0" w:type="dxa"/>
            <w:right w:w="0" w:type="dxa"/>
          </w:tblCellMar>
        </w:tblPrEx>
        <w:trPr>
          <w:trHeight w:val="338"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单位名称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元素</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水平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检验方式</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检验结果</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Xmax</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平均值</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|Xmax-μ</w:t>
            </w:r>
            <w:r>
              <w:rPr>
                <w:rFonts w:hint="eastAsia" w:asciiTheme="majorEastAsia" w:hAnsiTheme="majorEastAsia" w:eastAsiaTheme="majorEastAsia" w:cstheme="majorEastAsia"/>
                <w:sz w:val="18"/>
                <w:szCs w:val="18"/>
                <w:vertAlign w:val="subscript"/>
              </w:rPr>
              <w:t>0</w:t>
            </w:r>
            <w:r>
              <w:rPr>
                <w:rFonts w:hint="eastAsia" w:asciiTheme="majorEastAsia" w:hAnsiTheme="majorEastAsia" w:eastAsiaTheme="majorEastAsia" w:cstheme="majorEastAsia"/>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推荐Δ</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i/>
                <w:iCs/>
                <w:sz w:val="18"/>
                <w:szCs w:val="18"/>
              </w:rPr>
              <w:t>CD’</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评价</w:t>
            </w:r>
          </w:p>
        </w:tc>
      </w:tr>
      <w:tr>
        <w:tblPrEx>
          <w:tblLayout w:type="fixed"/>
          <w:tblCellMar>
            <w:top w:w="0" w:type="dxa"/>
            <w:left w:w="0" w:type="dxa"/>
            <w:bottom w:w="0" w:type="dxa"/>
            <w:right w:w="0" w:type="dxa"/>
          </w:tblCellMar>
        </w:tblPrEx>
        <w:trPr>
          <w:trHeight w:val="227"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r>
      <w:tr>
        <w:tblPrEx>
          <w:tblLayout w:type="fixed"/>
          <w:tblCellMar>
            <w:top w:w="0" w:type="dxa"/>
            <w:left w:w="0" w:type="dxa"/>
            <w:bottom w:w="0" w:type="dxa"/>
            <w:right w:w="0" w:type="dxa"/>
          </w:tblCellMar>
        </w:tblPrEx>
        <w:trPr>
          <w:trHeight w:val="227"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r>
      <w:tr>
        <w:tblPrEx>
          <w:tblLayout w:type="fixed"/>
          <w:tblCellMar>
            <w:top w:w="0" w:type="dxa"/>
            <w:left w:w="0" w:type="dxa"/>
            <w:bottom w:w="0" w:type="dxa"/>
            <w:right w:w="0" w:type="dxa"/>
          </w:tblCellMar>
        </w:tblPrEx>
        <w:trPr>
          <w:trHeight w:val="227"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r>
      <w:tr>
        <w:tblPrEx>
          <w:tblLayout w:type="fixed"/>
          <w:tblCellMar>
            <w:top w:w="0" w:type="dxa"/>
            <w:left w:w="0" w:type="dxa"/>
            <w:bottom w:w="0" w:type="dxa"/>
            <w:right w:w="0" w:type="dxa"/>
          </w:tblCellMar>
        </w:tblPrEx>
        <w:trPr>
          <w:trHeight w:val="227"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18"/>
                <w:szCs w:val="18"/>
              </w:rPr>
            </w:pPr>
          </w:p>
        </w:tc>
      </w:tr>
    </w:tbl>
    <w:p>
      <w:pPr>
        <w:spacing w:before="156" w:beforeLines="50" w:after="0" w:afterLines="0" w:line="312" w:lineRule="auto"/>
        <w:jc w:val="center"/>
        <w:rPr>
          <w:rFonts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13</w:t>
      </w:r>
      <w:r>
        <w:rPr>
          <w:rFonts w:hint="default" w:ascii="Times New Roman" w:hAnsi="Times New Roman" w:eastAsia="黑体" w:cs="Times New Roman"/>
        </w:rPr>
        <w:t>-3 钬铁</w:t>
      </w:r>
      <w:r>
        <w:rPr>
          <w:rFonts w:hint="default" w:ascii="Times New Roman" w:hAnsi="Times New Roman" w:eastAsia="黑体" w:cs="Times New Roman"/>
          <w:lang w:eastAsia="zh-CN"/>
        </w:rPr>
        <w:t>回收料</w:t>
      </w:r>
      <w:r>
        <w:rPr>
          <w:rFonts w:hint="default" w:ascii="Times New Roman" w:hAnsi="Times New Roman" w:eastAsia="黑体" w:cs="Times New Roman"/>
        </w:rPr>
        <w:t>数据取舍评价</w:t>
      </w:r>
    </w:p>
    <w:tbl>
      <w:tblPr>
        <w:tblStyle w:val="106"/>
        <w:tblW w:w="9825" w:type="dxa"/>
        <w:tblInd w:w="0" w:type="dxa"/>
        <w:tblLayout w:type="fixed"/>
        <w:tblCellMar>
          <w:top w:w="0" w:type="dxa"/>
          <w:left w:w="0" w:type="dxa"/>
          <w:bottom w:w="0" w:type="dxa"/>
          <w:right w:w="0" w:type="dxa"/>
        </w:tblCellMar>
      </w:tblPr>
      <w:tblGrid>
        <w:gridCol w:w="906"/>
        <w:gridCol w:w="489"/>
        <w:gridCol w:w="486"/>
        <w:gridCol w:w="1634"/>
        <w:gridCol w:w="1149"/>
        <w:gridCol w:w="744"/>
        <w:gridCol w:w="740"/>
        <w:gridCol w:w="1153"/>
        <w:gridCol w:w="896"/>
        <w:gridCol w:w="852"/>
        <w:gridCol w:w="776"/>
      </w:tblGrid>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单位名称</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元素</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水平</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检验方式</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检验结果</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Xmax</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平均值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|Xmax-μ</w:t>
            </w:r>
            <w:r>
              <w:rPr>
                <w:rFonts w:hint="eastAsia" w:asciiTheme="majorEastAsia" w:hAnsiTheme="majorEastAsia" w:eastAsiaTheme="majorEastAsia" w:cstheme="majorEastAsia"/>
                <w:sz w:val="18"/>
                <w:szCs w:val="18"/>
                <w:vertAlign w:val="subscript"/>
              </w:rPr>
              <w:t>0</w:t>
            </w:r>
            <w:r>
              <w:rPr>
                <w:rFonts w:hint="eastAsia" w:asciiTheme="majorEastAsia" w:hAnsiTheme="majorEastAsia" w:eastAsiaTheme="majorEastAsia" w:cstheme="majorEastAsia"/>
                <w:sz w:val="18"/>
                <w:szCs w:val="18"/>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推荐Δ</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i/>
                <w:iCs/>
                <w:sz w:val="18"/>
                <w:szCs w:val="18"/>
              </w:rPr>
              <w:t>CD’</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评价</w:t>
            </w: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bl>
    <w:p>
      <w:pPr>
        <w:spacing w:before="156" w:beforeLines="50" w:after="0" w:afterLines="0" w:line="312" w:lineRule="auto"/>
        <w:jc w:val="center"/>
        <w:rPr>
          <w:rFonts w:ascii="Times New Roman" w:hAnsi="Times New Roman" w:eastAsia="黑体" w:cs="Times New Roman"/>
          <w:sz w:val="21"/>
          <w:szCs w:val="24"/>
        </w:rPr>
      </w:pPr>
      <w:r>
        <w:rPr>
          <w:rFonts w:hint="default" w:ascii="Times New Roman" w:hAnsi="Times New Roman" w:eastAsia="黑体" w:cs="Times New Roman"/>
          <w:sz w:val="21"/>
          <w:szCs w:val="24"/>
        </w:rPr>
        <w:t>表</w:t>
      </w:r>
      <w:r>
        <w:rPr>
          <w:rFonts w:hint="default" w:ascii="Times New Roman" w:hAnsi="Times New Roman" w:eastAsia="黑体" w:cs="Times New Roman"/>
          <w:sz w:val="21"/>
          <w:szCs w:val="24"/>
          <w:lang w:val="en-US" w:eastAsia="zh-CN"/>
        </w:rPr>
        <w:t>13</w:t>
      </w:r>
      <w:r>
        <w:rPr>
          <w:rFonts w:hint="default" w:ascii="Times New Roman" w:hAnsi="Times New Roman" w:eastAsia="黑体" w:cs="Times New Roman"/>
          <w:sz w:val="21"/>
          <w:szCs w:val="24"/>
        </w:rPr>
        <w:t>-4</w:t>
      </w:r>
      <w:r>
        <w:rPr>
          <w:rFonts w:hint="default" w:ascii="Times New Roman" w:hAnsi="Times New Roman" w:eastAsia="黑体" w:cs="Times New Roman"/>
          <w:sz w:val="21"/>
          <w:szCs w:val="24"/>
          <w:lang w:eastAsia="zh-CN"/>
        </w:rPr>
        <w:t>镨钕回收</w:t>
      </w:r>
      <w:r>
        <w:rPr>
          <w:rFonts w:hint="default" w:ascii="Times New Roman" w:hAnsi="Times New Roman" w:eastAsia="黑体" w:cs="Times New Roman"/>
          <w:sz w:val="21"/>
          <w:szCs w:val="24"/>
        </w:rPr>
        <w:t>数据取舍评价</w:t>
      </w:r>
    </w:p>
    <w:tbl>
      <w:tblPr>
        <w:tblStyle w:val="106"/>
        <w:tblW w:w="9825" w:type="dxa"/>
        <w:tblInd w:w="0" w:type="dxa"/>
        <w:tblLayout w:type="fixed"/>
        <w:tblCellMar>
          <w:top w:w="0" w:type="dxa"/>
          <w:left w:w="0" w:type="dxa"/>
          <w:bottom w:w="0" w:type="dxa"/>
          <w:right w:w="0" w:type="dxa"/>
        </w:tblCellMar>
      </w:tblPr>
      <w:tblGrid>
        <w:gridCol w:w="906"/>
        <w:gridCol w:w="478"/>
        <w:gridCol w:w="476"/>
        <w:gridCol w:w="1645"/>
        <w:gridCol w:w="1138"/>
        <w:gridCol w:w="745"/>
        <w:gridCol w:w="760"/>
        <w:gridCol w:w="1174"/>
        <w:gridCol w:w="875"/>
        <w:gridCol w:w="852"/>
        <w:gridCol w:w="776"/>
      </w:tblGrid>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单位名称</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元素</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水平</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检验方式</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检验结果</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平均值</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|Xmax-μ</w:t>
            </w:r>
            <w:r>
              <w:rPr>
                <w:rFonts w:hint="eastAsia" w:asciiTheme="majorEastAsia" w:hAnsiTheme="majorEastAsia" w:eastAsiaTheme="majorEastAsia" w:cstheme="majorEastAsia"/>
                <w:color w:val="000000"/>
                <w:kern w:val="0"/>
                <w:sz w:val="18"/>
                <w:szCs w:val="18"/>
                <w:vertAlign w:val="baseline"/>
                <w:lang w:bidi="ar"/>
              </w:rPr>
              <w:t>0</w:t>
            </w:r>
            <w:r>
              <w:rPr>
                <w:rFonts w:hint="eastAsia" w:asciiTheme="majorEastAsia" w:hAnsiTheme="majorEastAsia" w:eastAsiaTheme="majorEastAsia" w:cstheme="majorEastAsia"/>
                <w:color w:val="000000"/>
                <w:kern w:val="0"/>
                <w:sz w:val="18"/>
                <w:szCs w:val="18"/>
                <w:lang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推荐Δ</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i w:val="0"/>
                <w:iCs w:val="0"/>
                <w:color w:val="000000"/>
                <w:kern w:val="0"/>
                <w:sz w:val="18"/>
                <w:szCs w:val="18"/>
                <w:lang w:bidi="ar"/>
              </w:rPr>
              <w:t>CD’</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评价</w:t>
            </w: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bl>
    <w:p>
      <w:pPr>
        <w:spacing w:before="156" w:beforeLines="50" w:after="0" w:afterLines="0" w:line="312" w:lineRule="auto"/>
        <w:jc w:val="center"/>
        <w:rPr>
          <w:rFonts w:ascii="Times New Roman" w:hAnsi="Times New Roman" w:eastAsia="黑体" w:cs="Times New Roman"/>
          <w:sz w:val="21"/>
          <w:szCs w:val="24"/>
        </w:rPr>
      </w:pPr>
      <w:r>
        <w:rPr>
          <w:rFonts w:hint="default" w:ascii="Times New Roman" w:hAnsi="Times New Roman" w:eastAsia="黑体" w:cs="Times New Roman"/>
          <w:sz w:val="21"/>
          <w:szCs w:val="24"/>
        </w:rPr>
        <w:t>表</w:t>
      </w:r>
      <w:r>
        <w:rPr>
          <w:rFonts w:hint="default" w:ascii="Times New Roman" w:hAnsi="Times New Roman" w:eastAsia="黑体" w:cs="Times New Roman"/>
          <w:sz w:val="21"/>
          <w:szCs w:val="24"/>
          <w:lang w:val="en-US" w:eastAsia="zh-CN"/>
        </w:rPr>
        <w:t>13</w:t>
      </w:r>
      <w:r>
        <w:rPr>
          <w:rFonts w:hint="default" w:ascii="Times New Roman" w:hAnsi="Times New Roman" w:eastAsia="黑体" w:cs="Times New Roman"/>
          <w:sz w:val="21"/>
          <w:szCs w:val="24"/>
        </w:rPr>
        <w:t>-5 镧</w:t>
      </w:r>
      <w:r>
        <w:rPr>
          <w:rFonts w:hint="default" w:ascii="Times New Roman" w:hAnsi="Times New Roman" w:eastAsia="黑体" w:cs="Times New Roman"/>
          <w:sz w:val="21"/>
          <w:szCs w:val="24"/>
          <w:lang w:eastAsia="zh-CN"/>
        </w:rPr>
        <w:t>热回收料</w:t>
      </w:r>
      <w:r>
        <w:rPr>
          <w:rFonts w:hint="default" w:ascii="Times New Roman" w:hAnsi="Times New Roman" w:eastAsia="黑体" w:cs="Times New Roman"/>
          <w:sz w:val="21"/>
          <w:szCs w:val="24"/>
        </w:rPr>
        <w:t>数据取舍评价</w:t>
      </w:r>
    </w:p>
    <w:tbl>
      <w:tblPr>
        <w:tblStyle w:val="106"/>
        <w:tblW w:w="9825" w:type="dxa"/>
        <w:tblInd w:w="0" w:type="dxa"/>
        <w:tblLayout w:type="fixed"/>
        <w:tblCellMar>
          <w:top w:w="0" w:type="dxa"/>
          <w:left w:w="0" w:type="dxa"/>
          <w:bottom w:w="0" w:type="dxa"/>
          <w:right w:w="0" w:type="dxa"/>
        </w:tblCellMar>
      </w:tblPr>
      <w:tblGrid>
        <w:gridCol w:w="906"/>
        <w:gridCol w:w="489"/>
        <w:gridCol w:w="475"/>
        <w:gridCol w:w="1635"/>
        <w:gridCol w:w="1159"/>
        <w:gridCol w:w="703"/>
        <w:gridCol w:w="781"/>
        <w:gridCol w:w="1185"/>
        <w:gridCol w:w="864"/>
        <w:gridCol w:w="852"/>
        <w:gridCol w:w="776"/>
      </w:tblGrid>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单位名称</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元素</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水平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检验方式</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检验结果</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平均值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|Xmax-μ</w:t>
            </w:r>
            <w:r>
              <w:rPr>
                <w:rFonts w:hint="eastAsia" w:asciiTheme="majorEastAsia" w:hAnsiTheme="majorEastAsia" w:eastAsiaTheme="majorEastAsia" w:cstheme="majorEastAsia"/>
                <w:color w:val="000000"/>
                <w:kern w:val="0"/>
                <w:sz w:val="18"/>
                <w:szCs w:val="18"/>
                <w:vertAlign w:val="baseline"/>
                <w:lang w:bidi="ar"/>
              </w:rPr>
              <w:t>0</w:t>
            </w:r>
            <w:r>
              <w:rPr>
                <w:rFonts w:hint="eastAsia" w:asciiTheme="majorEastAsia" w:hAnsiTheme="majorEastAsia" w:eastAsiaTheme="majorEastAsia" w:cstheme="majorEastAsia"/>
                <w:color w:val="000000"/>
                <w:kern w:val="0"/>
                <w:sz w:val="18"/>
                <w:szCs w:val="18"/>
                <w:lang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推荐Δ</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i w:val="0"/>
                <w:iCs w:val="0"/>
                <w:color w:val="000000"/>
                <w:kern w:val="0"/>
                <w:sz w:val="18"/>
                <w:szCs w:val="18"/>
                <w:lang w:bidi="ar"/>
              </w:rPr>
              <w:t>CD’</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评价</w:t>
            </w: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bl>
    <w:p>
      <w:pPr>
        <w:spacing w:before="156" w:beforeLines="50" w:after="0" w:afterLines="0" w:line="312" w:lineRule="auto"/>
        <w:jc w:val="center"/>
        <w:rPr>
          <w:rFonts w:ascii="Times New Roman" w:hAnsi="Times New Roman" w:eastAsia="黑体" w:cs="Times New Roman"/>
          <w:sz w:val="21"/>
          <w:szCs w:val="24"/>
        </w:rPr>
      </w:pPr>
      <w:r>
        <w:rPr>
          <w:rFonts w:hint="default" w:ascii="Times New Roman" w:hAnsi="Times New Roman" w:eastAsia="黑体" w:cs="Times New Roman"/>
          <w:sz w:val="21"/>
          <w:szCs w:val="24"/>
        </w:rPr>
        <w:t>表</w:t>
      </w:r>
      <w:r>
        <w:rPr>
          <w:rFonts w:hint="default" w:ascii="Times New Roman" w:hAnsi="Times New Roman" w:eastAsia="黑体" w:cs="Times New Roman"/>
          <w:sz w:val="21"/>
          <w:szCs w:val="24"/>
          <w:lang w:val="en-US" w:eastAsia="zh-CN"/>
        </w:rPr>
        <w:t>13</w:t>
      </w:r>
      <w:r>
        <w:rPr>
          <w:rFonts w:hint="default" w:ascii="Times New Roman" w:hAnsi="Times New Roman" w:eastAsia="黑体" w:cs="Times New Roman"/>
          <w:sz w:val="21"/>
          <w:szCs w:val="24"/>
        </w:rPr>
        <w:t>-</w:t>
      </w:r>
      <w:r>
        <w:rPr>
          <w:rFonts w:hint="default" w:ascii="Times New Roman" w:hAnsi="Times New Roman" w:eastAsia="黑体" w:cs="Times New Roman"/>
          <w:sz w:val="21"/>
          <w:szCs w:val="24"/>
          <w:lang w:val="en-US" w:eastAsia="zh-CN"/>
        </w:rPr>
        <w:t>6</w:t>
      </w:r>
      <w:r>
        <w:rPr>
          <w:rFonts w:hint="default" w:ascii="Times New Roman" w:hAnsi="Times New Roman" w:eastAsia="黑体" w:cs="Times New Roman"/>
          <w:sz w:val="21"/>
          <w:szCs w:val="24"/>
          <w:lang w:eastAsia="zh-CN"/>
        </w:rPr>
        <w:t>钙热回收料</w:t>
      </w:r>
      <w:r>
        <w:rPr>
          <w:rFonts w:hint="default" w:ascii="Times New Roman" w:hAnsi="Times New Roman" w:eastAsia="黑体" w:cs="Times New Roman"/>
          <w:sz w:val="21"/>
          <w:szCs w:val="24"/>
        </w:rPr>
        <w:t>数据取舍评价</w:t>
      </w:r>
    </w:p>
    <w:tbl>
      <w:tblPr>
        <w:tblStyle w:val="106"/>
        <w:tblW w:w="9825" w:type="dxa"/>
        <w:tblInd w:w="0" w:type="dxa"/>
        <w:tblLayout w:type="fixed"/>
        <w:tblCellMar>
          <w:top w:w="0" w:type="dxa"/>
          <w:left w:w="0" w:type="dxa"/>
          <w:bottom w:w="0" w:type="dxa"/>
          <w:right w:w="0" w:type="dxa"/>
        </w:tblCellMar>
      </w:tblPr>
      <w:tblGrid>
        <w:gridCol w:w="906"/>
        <w:gridCol w:w="509"/>
        <w:gridCol w:w="497"/>
        <w:gridCol w:w="1614"/>
        <w:gridCol w:w="1148"/>
        <w:gridCol w:w="714"/>
        <w:gridCol w:w="760"/>
        <w:gridCol w:w="1195"/>
        <w:gridCol w:w="854"/>
        <w:gridCol w:w="852"/>
        <w:gridCol w:w="776"/>
      </w:tblGrid>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单位名称</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元素</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水平</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检验方式</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检验结果</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平均值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|Xmax-μ</w:t>
            </w:r>
            <w:r>
              <w:rPr>
                <w:rFonts w:hint="eastAsia" w:asciiTheme="majorEastAsia" w:hAnsiTheme="majorEastAsia" w:eastAsiaTheme="majorEastAsia" w:cstheme="majorEastAsia"/>
                <w:color w:val="000000"/>
                <w:kern w:val="0"/>
                <w:sz w:val="18"/>
                <w:szCs w:val="18"/>
                <w:vertAlign w:val="baseline"/>
                <w:lang w:bidi="ar"/>
              </w:rPr>
              <w:t>0</w:t>
            </w:r>
            <w:r>
              <w:rPr>
                <w:rFonts w:hint="eastAsia" w:asciiTheme="majorEastAsia" w:hAnsiTheme="majorEastAsia" w:eastAsiaTheme="majorEastAsia" w:cstheme="majorEastAsia"/>
                <w:color w:val="000000"/>
                <w:kern w:val="0"/>
                <w:sz w:val="18"/>
                <w:szCs w:val="18"/>
                <w:lang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推荐Δ</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i w:val="0"/>
                <w:iCs w:val="0"/>
                <w:color w:val="000000"/>
                <w:kern w:val="0"/>
                <w:sz w:val="18"/>
                <w:szCs w:val="18"/>
                <w:lang w:bidi="ar"/>
              </w:rPr>
              <w:t>CD’</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评价</w:t>
            </w: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0" w:type="dxa"/>
            <w:left w:w="0" w:type="dxa"/>
            <w:bottom w:w="0" w:type="dxa"/>
            <w:right w:w="0" w:type="dxa"/>
          </w:tblCellMar>
        </w:tblPrEx>
        <w:trPr>
          <w:trHeight w:val="22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bl>
    <w:p>
      <w:pPr>
        <w:spacing w:before="156" w:beforeLines="50" w:after="156" w:afterLines="50"/>
        <w:jc w:val="left"/>
        <w:rPr>
          <w:rFonts w:ascii="宋体" w:hAnsi="宋体" w:cs="宋体"/>
          <w:b/>
        </w:rPr>
      </w:pPr>
      <w:r>
        <w:rPr>
          <w:rFonts w:hint="eastAsia" w:ascii="宋体" w:hAnsi="宋体" w:cs="宋体"/>
          <w:b/>
          <w:lang w:val="en-US" w:eastAsia="zh-CN"/>
        </w:rPr>
        <w:t>8</w:t>
      </w:r>
      <w:r>
        <w:rPr>
          <w:rFonts w:hint="eastAsia" w:ascii="宋体" w:hAnsi="宋体" w:cs="宋体"/>
          <w:b/>
        </w:rPr>
        <w:t>.3 重复性限和再现性限计算</w:t>
      </w:r>
    </w:p>
    <w:p>
      <w:pPr>
        <w:spacing w:before="156" w:beforeLines="50" w:after="156" w:afterLines="50"/>
        <w:ind w:firstLine="420" w:firstLineChars="200"/>
        <w:jc w:val="left"/>
        <w:rPr>
          <w:rFonts w:ascii="宋体" w:hAnsi="宋体" w:cs="宋体"/>
        </w:rPr>
      </w:pPr>
      <w:r>
        <w:rPr>
          <w:rFonts w:hint="eastAsia" w:ascii="宋体" w:hAnsi="宋体" w:cs="宋体"/>
        </w:rPr>
        <w:t>试验对</w:t>
      </w:r>
      <w:r>
        <w:rPr>
          <w:rFonts w:hint="eastAsia" w:ascii="宋体" w:hAnsi="宋体" w:cs="宋体"/>
          <w:lang w:val="en-US" w:eastAsia="zh-CN"/>
        </w:rPr>
        <w:t>6</w:t>
      </w:r>
      <w:r>
        <w:rPr>
          <w:rFonts w:hint="eastAsia" w:ascii="宋体" w:hAnsi="宋体" w:cs="宋体"/>
        </w:rPr>
        <w:t>种稀土铁合金5个水平样品所有保留数据进行了重复性限和再现性限计算，计算结果见附件A</w:t>
      </w:r>
      <w:r>
        <w:rPr>
          <w:rFonts w:hint="eastAsia"/>
          <w:szCs w:val="21"/>
        </w:rPr>
        <w:t>~</w:t>
      </w:r>
      <w:r>
        <w:rPr>
          <w:rFonts w:hint="eastAsia" w:ascii="宋体" w:hAnsi="宋体" w:cs="宋体"/>
        </w:rPr>
        <w:t>G。重复性限r和再现性限R用计算方程表述见表</w:t>
      </w:r>
      <w:r>
        <w:rPr>
          <w:rFonts w:hint="eastAsia" w:ascii="宋体" w:hAnsi="宋体" w:cs="宋体"/>
          <w:lang w:val="en-US" w:eastAsia="zh-CN"/>
        </w:rPr>
        <w:t>14</w:t>
      </w:r>
      <w:r>
        <w:rPr>
          <w:rFonts w:hint="eastAsia" w:ascii="宋体" w:hAnsi="宋体" w:cs="宋体"/>
        </w:rPr>
        <w:t>。</w:t>
      </w:r>
    </w:p>
    <w:p>
      <w:pPr>
        <w:snapToGrid/>
        <w:spacing w:before="156" w:beforeLines="50" w:after="0" w:afterLines="0" w:line="312" w:lineRule="auto"/>
        <w:jc w:val="center"/>
        <w:rPr>
          <w:rFonts w:eastAsia="黑体"/>
          <w:kern w:val="2"/>
          <w:szCs w:val="24"/>
        </w:rPr>
      </w:pPr>
      <w:r>
        <w:rPr>
          <w:rFonts w:eastAsia="黑体"/>
        </w:rPr>
        <w:t>表</w:t>
      </w:r>
      <w:r>
        <w:rPr>
          <w:rFonts w:hint="default" w:ascii="Times New Roman" w:hAnsi="Times New Roman" w:eastAsia="黑体" w:cs="Times New Roman"/>
          <w:lang w:val="en-US" w:eastAsia="zh-CN"/>
        </w:rPr>
        <w:t>14</w:t>
      </w:r>
      <w:r>
        <w:rPr>
          <w:rFonts w:hint="default" w:eastAsia="黑体"/>
          <w:kern w:val="2"/>
          <w:szCs w:val="24"/>
        </w:rPr>
        <w:t>重复性限和再现性</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80"/>
        <w:gridCol w:w="3382"/>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94"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成分</w:t>
            </w:r>
          </w:p>
        </w:tc>
        <w:tc>
          <w:tcPr>
            <w:tcW w:w="1780"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含量范围m，%</w:t>
            </w:r>
          </w:p>
        </w:tc>
        <w:tc>
          <w:tcPr>
            <w:tcW w:w="338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重复性限（r）</w:t>
            </w:r>
          </w:p>
        </w:tc>
        <w:tc>
          <w:tcPr>
            <w:tcW w:w="351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再现性限（R）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294"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780"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38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51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294"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780"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38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51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294"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780"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38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51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294"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780"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38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51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294"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780"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38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3512" w:type="dxa"/>
            <w:vAlign w:val="center"/>
          </w:tcPr>
          <w:p>
            <w:pPr>
              <w:widowControl/>
              <w:jc w:val="center"/>
              <w:textAlignment w:val="center"/>
              <w:rPr>
                <w:rFonts w:hint="eastAsia" w:asciiTheme="majorEastAsia" w:hAnsiTheme="majorEastAsia" w:eastAsiaTheme="majorEastAsia" w:cstheme="majorEastAsia"/>
                <w:color w:val="000000"/>
                <w:kern w:val="0"/>
                <w:sz w:val="18"/>
                <w:szCs w:val="18"/>
                <w:lang w:bidi="ar"/>
              </w:rPr>
            </w:pPr>
          </w:p>
        </w:tc>
      </w:tr>
    </w:tbl>
    <w:p>
      <w:pPr>
        <w:pStyle w:val="120"/>
        <w:numPr>
          <w:ilvl w:val="0"/>
          <w:numId w:val="11"/>
        </w:numPr>
        <w:tabs>
          <w:tab w:val="clear" w:pos="675"/>
        </w:tabs>
        <w:spacing w:before="156" w:beforeLines="50" w:after="156" w:afterLines="50"/>
        <w:jc w:val="left"/>
        <w:rPr>
          <w:rFonts w:hint="eastAsia" w:ascii="宋体" w:hAnsi="宋体" w:eastAsia="宋体" w:cs="宋体"/>
          <w:b/>
          <w:szCs w:val="22"/>
        </w:rPr>
      </w:pPr>
      <w:r>
        <w:rPr>
          <w:rFonts w:hint="eastAsia" w:ascii="宋体" w:hAnsi="宋体" w:eastAsia="宋体" w:cs="宋体"/>
          <w:b/>
          <w:szCs w:val="22"/>
        </w:rPr>
        <w:t>方法准确性验证</w:t>
      </w:r>
    </w:p>
    <w:p>
      <w:pPr>
        <w:spacing w:before="156" w:beforeLines="50" w:after="156" w:afterLines="50"/>
        <w:ind w:firstLine="420" w:firstLineChars="200"/>
        <w:rPr>
          <w:rFonts w:ascii="宋体" w:hAnsi="宋体" w:cs="宋体"/>
          <w:lang w:val="zh-CN"/>
        </w:rPr>
      </w:pPr>
      <w:r>
        <w:rPr>
          <w:rFonts w:hint="eastAsia" w:ascii="宋体" w:hAnsi="宋体" w:cs="宋体"/>
          <w:lang w:val="zh-CN"/>
        </w:rPr>
        <w:t>为了考察方法的准确度，每种制得三个合成样A、B和C，对加入量和实际样品质量测定</w:t>
      </w:r>
      <w:r>
        <w:rPr>
          <w:rFonts w:hint="eastAsia" w:ascii="宋体" w:hAnsi="宋体" w:cs="宋体"/>
        </w:rPr>
        <w:t>计算回收率，</w:t>
      </w:r>
      <w:r>
        <w:rPr>
          <w:rFonts w:hint="eastAsia" w:ascii="宋体" w:hAnsi="宋体" w:cs="宋体"/>
          <w:lang w:val="zh-CN"/>
        </w:rPr>
        <w:t>测定结果见表</w:t>
      </w:r>
      <w:r>
        <w:rPr>
          <w:rFonts w:hint="eastAsia" w:ascii="宋体" w:hAnsi="宋体" w:cs="宋体"/>
          <w:lang w:val="en-US" w:eastAsia="zh-CN"/>
        </w:rPr>
        <w:t>15</w:t>
      </w:r>
      <w:r>
        <w:rPr>
          <w:rFonts w:hint="eastAsia" w:ascii="宋体" w:hAnsi="宋体" w:cs="宋体"/>
          <w:lang w:val="zh-CN"/>
        </w:rPr>
        <w:t>。</w:t>
      </w:r>
    </w:p>
    <w:p>
      <w:pPr>
        <w:widowControl/>
        <w:wordWrap w:val="0"/>
        <w:adjustRightInd w:val="0"/>
        <w:snapToGrid w:val="0"/>
        <w:spacing w:before="156" w:beforeLines="50" w:after="156" w:afterLines="50" w:line="360" w:lineRule="auto"/>
        <w:rPr>
          <w:rFonts w:ascii="黑体" w:hAnsi="宋体" w:eastAsia="黑体"/>
          <w:bCs/>
          <w:sz w:val="24"/>
        </w:rPr>
      </w:pPr>
      <w:r>
        <w:rPr>
          <w:rFonts w:ascii="黑体" w:hAnsi="宋体" w:eastAsia="黑体"/>
          <w:bCs/>
          <w:sz w:val="24"/>
        </w:rPr>
        <w:t>（</w:t>
      </w:r>
      <w:r>
        <w:rPr>
          <w:rFonts w:hint="eastAsia" w:ascii="黑体" w:hAnsi="宋体" w:eastAsia="黑体"/>
          <w:bCs/>
          <w:sz w:val="24"/>
        </w:rPr>
        <w:t>二</w:t>
      </w:r>
      <w:r>
        <w:rPr>
          <w:rFonts w:ascii="黑体" w:hAnsi="宋体" w:eastAsia="黑体"/>
          <w:bCs/>
          <w:sz w:val="24"/>
        </w:rPr>
        <w:t>）综述报告</w:t>
      </w:r>
    </w:p>
    <w:p>
      <w:pPr>
        <w:widowControl/>
        <w:ind w:firstLine="420"/>
        <w:jc w:val="left"/>
        <w:rPr>
          <w:rFonts w:ascii="宋体" w:hAnsi="宋体" w:cs="宋体"/>
          <w:kern w:val="0"/>
          <w:szCs w:val="22"/>
        </w:rPr>
      </w:pPr>
      <w:r>
        <w:rPr>
          <w:rFonts w:hint="eastAsia" w:ascii="宋体" w:hAnsi="宋体" w:cs="宋体"/>
          <w:szCs w:val="21"/>
        </w:rPr>
        <w:t>试验对称样量、</w:t>
      </w:r>
      <w:r>
        <w:rPr>
          <w:rFonts w:hint="eastAsia" w:ascii="宋体" w:hAnsi="宋体" w:cs="宋体"/>
          <w:kern w:val="0"/>
          <w:szCs w:val="22"/>
        </w:rPr>
        <w:t>样品分解盐酸、</w:t>
      </w:r>
      <w:r>
        <w:rPr>
          <w:rFonts w:hint="eastAsia" w:ascii="宋体" w:hAnsi="宋体" w:cs="宋体"/>
          <w:kern w:val="0"/>
          <w:szCs w:val="22"/>
          <w:lang w:eastAsia="zh-CN"/>
        </w:rPr>
        <w:t>试验器皿选择、滤纸选择、</w:t>
      </w:r>
      <w:r>
        <w:rPr>
          <w:rFonts w:hint="eastAsia" w:ascii="宋体" w:hAnsi="宋体" w:cs="宋体"/>
          <w:kern w:val="0"/>
          <w:szCs w:val="22"/>
        </w:rPr>
        <w:t>谱线选择、</w:t>
      </w:r>
      <w:r>
        <w:rPr>
          <w:rFonts w:hint="eastAsia" w:ascii="宋体" w:hAnsi="宋体" w:cs="宋体"/>
          <w:kern w:val="0"/>
          <w:szCs w:val="22"/>
          <w:lang w:eastAsia="zh-CN"/>
        </w:rPr>
        <w:t>校正系数的确定</w:t>
      </w:r>
      <w:r>
        <w:rPr>
          <w:rFonts w:hint="eastAsia" w:ascii="宋体" w:hAnsi="宋体" w:cs="宋体"/>
          <w:kern w:val="0"/>
          <w:szCs w:val="22"/>
        </w:rPr>
        <w:t>、共存离子干扰等验证试验，进行了准确性验证，确定了测定范围，并对所有试验数据进行了统计，确定所有方法的重复性限和再现性限。所有验证表明试验方法满足</w:t>
      </w:r>
      <w:r>
        <w:rPr>
          <w:rFonts w:hint="eastAsia" w:ascii="宋体" w:hAnsi="宋体" w:cs="宋体"/>
          <w:kern w:val="0"/>
          <w:szCs w:val="22"/>
          <w:lang w:eastAsia="zh-CN"/>
        </w:rPr>
        <w:t>行业</w:t>
      </w:r>
      <w:r>
        <w:rPr>
          <w:rFonts w:hint="eastAsia" w:ascii="宋体" w:hAnsi="宋体" w:cs="宋体"/>
          <w:kern w:val="0"/>
          <w:szCs w:val="22"/>
        </w:rPr>
        <w:t>分析方法标准要求。</w:t>
      </w:r>
    </w:p>
    <w:p>
      <w:pPr>
        <w:widowControl/>
        <w:wordWrap w:val="0"/>
        <w:adjustRightInd w:val="0"/>
        <w:snapToGrid w:val="0"/>
        <w:spacing w:before="156" w:beforeLines="50" w:after="156" w:afterLines="50" w:line="360" w:lineRule="auto"/>
        <w:rPr>
          <w:rFonts w:cs="宋体" w:asciiTheme="minorEastAsia" w:hAnsiTheme="minorEastAsia" w:eastAsiaTheme="minorEastAsia"/>
          <w:szCs w:val="21"/>
        </w:rPr>
      </w:pPr>
      <w:r>
        <w:rPr>
          <w:rFonts w:hint="eastAsia" w:ascii="黑体" w:hAnsi="宋体" w:eastAsia="黑体"/>
          <w:bCs/>
          <w:sz w:val="24"/>
        </w:rPr>
        <w:t>（三）技术经济论证，预期的经济效果</w:t>
      </w:r>
    </w:p>
    <w:p>
      <w:pPr>
        <w:widowControl/>
        <w:ind w:firstLine="420"/>
        <w:jc w:val="left"/>
        <w:rPr>
          <w:rFonts w:hint="eastAsia" w:ascii="宋体" w:hAnsi="宋体" w:cs="宋体"/>
          <w:szCs w:val="21"/>
        </w:rPr>
      </w:pPr>
      <w:r>
        <w:rPr>
          <w:rFonts w:hint="eastAsia" w:ascii="宋体" w:hAnsi="宋体" w:cs="宋体"/>
          <w:szCs w:val="21"/>
        </w:rPr>
        <w:t>为贯彻落实《国务院关于促进稀土行业持续健康发展的若干意见》要求，针对稀土金属及其合金生产回收料国内早已形成贸易、回收加工产业链，主要用于稀土元素的回收再利用。</w:t>
      </w:r>
      <w:r>
        <w:rPr>
          <w:rFonts w:hint="eastAsia" w:ascii="宋体" w:hAnsi="宋体" w:cs="宋体"/>
          <w:szCs w:val="21"/>
          <w:lang w:eastAsia="zh-CN"/>
        </w:rPr>
        <w:t>本</w:t>
      </w:r>
      <w:r>
        <w:rPr>
          <w:rFonts w:hint="eastAsia" w:ascii="宋体" w:hAnsi="宋体" w:cs="宋体"/>
          <w:szCs w:val="21"/>
        </w:rPr>
        <w:t>标准</w:t>
      </w:r>
      <w:r>
        <w:rPr>
          <w:rFonts w:hint="eastAsia" w:ascii="宋体" w:hAnsi="宋体" w:cs="宋体"/>
          <w:szCs w:val="21"/>
          <w:lang w:eastAsia="zh-CN"/>
        </w:rPr>
        <w:t>的实施将</w:t>
      </w:r>
      <w:r>
        <w:rPr>
          <w:rFonts w:hint="eastAsia" w:ascii="宋体" w:hAnsi="宋体" w:cs="宋体"/>
          <w:szCs w:val="21"/>
        </w:rPr>
        <w:t>规范</w:t>
      </w:r>
      <w:r>
        <w:rPr>
          <w:rFonts w:hint="eastAsia" w:ascii="宋体" w:hAnsi="宋体" w:cs="宋体"/>
          <w:szCs w:val="21"/>
          <w:lang w:eastAsia="zh-CN"/>
        </w:rPr>
        <w:t>和</w:t>
      </w:r>
      <w:r>
        <w:rPr>
          <w:rFonts w:hint="eastAsia" w:ascii="宋体" w:hAnsi="宋体" w:cs="宋体"/>
          <w:szCs w:val="21"/>
        </w:rPr>
        <w:t>指导该产业的健康发展，同时</w:t>
      </w:r>
      <w:r>
        <w:rPr>
          <w:rFonts w:hint="eastAsia" w:ascii="宋体" w:hAnsi="宋体" w:cs="宋体"/>
          <w:szCs w:val="21"/>
          <w:lang w:eastAsia="zh-CN"/>
        </w:rPr>
        <w:t>可以防止</w:t>
      </w:r>
      <w:r>
        <w:rPr>
          <w:rFonts w:hint="eastAsia" w:ascii="宋体" w:hAnsi="宋体" w:cs="宋体"/>
          <w:szCs w:val="21"/>
        </w:rPr>
        <w:t>不法商人在电解</w:t>
      </w:r>
      <w:r>
        <w:rPr>
          <w:rFonts w:hint="eastAsia" w:ascii="宋体" w:hAnsi="宋体" w:cs="宋体"/>
          <w:szCs w:val="21"/>
          <w:lang w:eastAsia="zh-CN"/>
        </w:rPr>
        <w:t>回收料</w:t>
      </w:r>
      <w:r>
        <w:rPr>
          <w:rFonts w:hint="eastAsia" w:ascii="宋体" w:hAnsi="宋体" w:cs="宋体"/>
          <w:szCs w:val="21"/>
        </w:rPr>
        <w:t>中参入电镀泥等危废，使回收加工企业存在环保问题。</w:t>
      </w:r>
    </w:p>
    <w:p>
      <w:pPr>
        <w:numPr>
          <w:ilvl w:val="0"/>
          <w:numId w:val="12"/>
        </w:numPr>
        <w:spacing w:before="312" w:beforeLines="100" w:after="312" w:afterLines="100" w:line="312" w:lineRule="auto"/>
        <w:rPr>
          <w:rFonts w:ascii="黑体" w:hAnsi="宋体" w:eastAsia="黑体"/>
          <w:bCs/>
          <w:sz w:val="24"/>
        </w:rPr>
      </w:pPr>
      <w:r>
        <w:rPr>
          <w:rFonts w:hint="eastAsia" w:ascii="黑体" w:hAnsi="宋体" w:eastAsia="黑体"/>
          <w:bCs/>
          <w:sz w:val="24"/>
        </w:rPr>
        <w:t>与国际、国外同类标准技术内容的对比</w:t>
      </w:r>
    </w:p>
    <w:p>
      <w:pPr>
        <w:widowControl/>
        <w:numPr>
          <w:ilvl w:val="255"/>
          <w:numId w:val="0"/>
        </w:numPr>
        <w:spacing w:before="156" w:beforeLines="50" w:after="156" w:afterLines="50"/>
        <w:ind w:firstLine="420" w:firstLineChars="200"/>
        <w:rPr>
          <w:rFonts w:ascii="宋体" w:hAnsi="宋体" w:cs="宋体"/>
        </w:rPr>
      </w:pPr>
      <w:r>
        <w:rPr>
          <w:rFonts w:hint="eastAsia" w:ascii="宋体" w:hAnsi="宋体" w:cs="宋体"/>
        </w:rPr>
        <w:t>国内、国外</w:t>
      </w:r>
      <w:r>
        <w:rPr>
          <w:rFonts w:hint="eastAsia" w:ascii="宋体" w:hAnsi="宋体" w:cs="宋体"/>
          <w:lang w:eastAsia="zh-CN"/>
        </w:rPr>
        <w:t>尚未见测定稀土火法回收料</w:t>
      </w:r>
      <w:r>
        <w:rPr>
          <w:rFonts w:hint="eastAsia" w:ascii="宋体" w:hAnsi="宋体" w:cs="宋体"/>
        </w:rPr>
        <w:t>中稀土</w:t>
      </w:r>
      <w:r>
        <w:rPr>
          <w:rFonts w:hint="eastAsia" w:ascii="宋体" w:hAnsi="宋体" w:cs="宋体"/>
          <w:lang w:eastAsia="zh-CN"/>
        </w:rPr>
        <w:t>配分</w:t>
      </w:r>
      <w:r>
        <w:rPr>
          <w:rFonts w:hint="eastAsia" w:ascii="宋体" w:hAnsi="宋体" w:cs="宋体"/>
        </w:rPr>
        <w:t>量的</w:t>
      </w:r>
      <w:r>
        <w:rPr>
          <w:rFonts w:hint="eastAsia" w:ascii="宋体" w:hAnsi="宋体" w:cs="宋体"/>
          <w:lang w:eastAsia="zh-CN"/>
        </w:rPr>
        <w:t>分析方法</w:t>
      </w:r>
      <w:r>
        <w:rPr>
          <w:rFonts w:hint="eastAsia" w:ascii="宋体" w:hAnsi="宋体" w:cs="宋体"/>
        </w:rPr>
        <w:t>标准。</w:t>
      </w:r>
    </w:p>
    <w:p>
      <w:pPr>
        <w:numPr>
          <w:ilvl w:val="255"/>
          <w:numId w:val="0"/>
        </w:numPr>
        <w:spacing w:before="312" w:beforeLines="100" w:after="312" w:afterLines="100" w:line="312" w:lineRule="auto"/>
        <w:rPr>
          <w:rFonts w:ascii="黑体" w:hAnsi="宋体" w:eastAsia="黑体"/>
          <w:bCs/>
          <w:sz w:val="24"/>
        </w:rPr>
      </w:pPr>
      <w:r>
        <w:rPr>
          <w:rFonts w:hint="eastAsia" w:ascii="宋体" w:hAnsi="宋体" w:cs="宋体"/>
          <w:bCs/>
          <w:sz w:val="24"/>
        </w:rPr>
        <w:t>五、</w:t>
      </w:r>
      <w:r>
        <w:rPr>
          <w:rFonts w:hint="eastAsia" w:ascii="黑体" w:hAnsi="宋体" w:eastAsia="黑体"/>
          <w:bCs/>
          <w:sz w:val="24"/>
        </w:rPr>
        <w:t>采标情况，以及是否合规引用或采用国际国外标准</w:t>
      </w:r>
    </w:p>
    <w:p>
      <w:pPr>
        <w:widowControl/>
        <w:spacing w:before="156" w:beforeLines="50" w:after="156" w:afterLines="50"/>
        <w:ind w:firstLine="420" w:firstLineChars="200"/>
        <w:jc w:val="left"/>
        <w:rPr>
          <w:rFonts w:ascii="宋体" w:hAnsi="宋体" w:cs="宋体"/>
        </w:rPr>
      </w:pPr>
      <w:r>
        <w:rPr>
          <w:rFonts w:hint="eastAsia" w:ascii="宋体" w:hAnsi="宋体" w:cs="宋体"/>
        </w:rPr>
        <w:t>经查，国外无相同类型的标准。本标准未采用（包括等同采用、修改采用及非等效采用）国际标准或国外先进标准。</w:t>
      </w:r>
    </w:p>
    <w:p>
      <w:pPr>
        <w:spacing w:before="156" w:beforeLines="50" w:after="156" w:afterLines="50"/>
        <w:rPr>
          <w:rFonts w:ascii="宋体" w:hAnsi="宋体" w:cs="宋体"/>
          <w:bCs/>
          <w:sz w:val="24"/>
        </w:rPr>
      </w:pPr>
      <w:r>
        <w:rPr>
          <w:rFonts w:hint="eastAsia" w:ascii="宋体" w:hAnsi="宋体" w:cs="宋体"/>
          <w:bCs/>
          <w:sz w:val="24"/>
        </w:rPr>
        <w:t>六、</w:t>
      </w:r>
      <w:r>
        <w:rPr>
          <w:rFonts w:hint="eastAsia" w:ascii="黑体" w:hAnsi="宋体" w:eastAsia="黑体"/>
          <w:bCs/>
          <w:sz w:val="24"/>
        </w:rPr>
        <w:t>与有关法律、法规的关系</w:t>
      </w:r>
    </w:p>
    <w:p>
      <w:pPr>
        <w:spacing w:before="156" w:beforeLines="50" w:after="156" w:afterLines="50"/>
        <w:ind w:firstLine="420" w:firstLineChars="200"/>
        <w:jc w:val="left"/>
        <w:rPr>
          <w:rFonts w:ascii="宋体" w:hAnsi="宋体" w:cs="宋体"/>
        </w:rPr>
      </w:pPr>
      <w:r>
        <w:rPr>
          <w:rFonts w:hint="eastAsia" w:hAnsi="宋体"/>
        </w:rPr>
        <w:t>本标准与现行法律、法规和相关标准相协调、无冲突</w:t>
      </w:r>
      <w:r>
        <w:rPr>
          <w:rFonts w:hint="eastAsia" w:ascii="宋体" w:hAnsi="宋体" w:cs="宋体"/>
        </w:rPr>
        <w:t>。</w:t>
      </w:r>
    </w:p>
    <w:p>
      <w:pPr>
        <w:spacing w:before="156" w:beforeLines="50" w:after="156" w:afterLines="50"/>
        <w:rPr>
          <w:rFonts w:ascii="宋体" w:hAnsi="宋体" w:cs="宋体"/>
          <w:bCs/>
          <w:sz w:val="24"/>
        </w:rPr>
      </w:pPr>
      <w:r>
        <w:rPr>
          <w:rFonts w:hint="eastAsia" w:ascii="宋体" w:hAnsi="宋体" w:cs="宋体"/>
          <w:bCs/>
          <w:sz w:val="24"/>
        </w:rPr>
        <w:t>七、重大分歧意见的处理和依据</w:t>
      </w:r>
    </w:p>
    <w:p>
      <w:pPr>
        <w:rPr>
          <w:rFonts w:ascii="宋体" w:hAnsi="宋体" w:cs="宋体"/>
          <w:bCs/>
          <w:sz w:val="24"/>
        </w:rPr>
      </w:pPr>
      <w:r>
        <w:rPr>
          <w:rFonts w:hint="eastAsia" w:ascii="宋体" w:hAnsi="宋体" w:cs="宋体"/>
          <w:bCs/>
          <w:sz w:val="24"/>
        </w:rPr>
        <w:tab/>
      </w:r>
      <w:r>
        <w:rPr>
          <w:rFonts w:hint="eastAsia" w:ascii="宋体" w:hAnsi="宋体" w:cs="宋体"/>
          <w:bCs/>
          <w:sz w:val="24"/>
        </w:rPr>
        <w:t>无。</w:t>
      </w:r>
    </w:p>
    <w:p>
      <w:pPr>
        <w:spacing w:before="156" w:beforeLines="50" w:after="156" w:afterLines="50"/>
        <w:rPr>
          <w:rFonts w:ascii="宋体" w:hAnsi="宋体" w:cs="宋体"/>
          <w:bCs/>
          <w:sz w:val="24"/>
        </w:rPr>
      </w:pPr>
      <w:r>
        <w:rPr>
          <w:rFonts w:hint="eastAsia" w:ascii="宋体" w:hAnsi="宋体" w:cs="宋体"/>
          <w:bCs/>
          <w:sz w:val="24"/>
        </w:rPr>
        <w:t>八、</w:t>
      </w:r>
      <w:r>
        <w:rPr>
          <w:rFonts w:hint="eastAsia" w:ascii="黑体" w:hAnsi="宋体" w:eastAsia="黑体"/>
          <w:bCs/>
          <w:sz w:val="24"/>
        </w:rPr>
        <w:t>涉及专利的有关说明</w:t>
      </w:r>
    </w:p>
    <w:p>
      <w:pPr>
        <w:pStyle w:val="121"/>
        <w:tabs>
          <w:tab w:val="center" w:pos="4201"/>
          <w:tab w:val="right" w:leader="dot" w:pos="9298"/>
        </w:tabs>
        <w:ind w:firstLine="420"/>
        <w:rPr>
          <w:rFonts w:cs="宋体"/>
        </w:rPr>
      </w:pPr>
      <w:r>
        <w:rPr>
          <w:rFonts w:hint="eastAsia"/>
        </w:rPr>
        <w:t>本标准不涉及专利问题</w:t>
      </w:r>
      <w:r>
        <w:rPr>
          <w:rFonts w:hint="eastAsia" w:cs="宋体"/>
        </w:rPr>
        <w:t>。</w:t>
      </w:r>
    </w:p>
    <w:p>
      <w:pPr>
        <w:spacing w:before="156" w:beforeLines="50" w:after="156" w:afterLines="50"/>
        <w:rPr>
          <w:rFonts w:ascii="宋体" w:hAnsi="宋体" w:cs="宋体"/>
          <w:bCs/>
          <w:sz w:val="24"/>
        </w:rPr>
      </w:pPr>
      <w:r>
        <w:rPr>
          <w:rFonts w:hint="eastAsia" w:ascii="宋体" w:hAnsi="宋体" w:cs="宋体"/>
          <w:bCs/>
          <w:sz w:val="24"/>
        </w:rPr>
        <w:t>九、</w:t>
      </w:r>
      <w:r>
        <w:rPr>
          <w:rFonts w:hint="eastAsia" w:ascii="黑体" w:hAnsi="宋体" w:eastAsia="黑体"/>
          <w:bCs/>
          <w:sz w:val="24"/>
        </w:rPr>
        <w:t>贯彻国家标准的要求，以及组织措施、技术措施、过渡期和实施日期的建议等措施建议</w:t>
      </w:r>
    </w:p>
    <w:p>
      <w:pPr>
        <w:ind w:firstLine="420" w:firstLineChars="200"/>
        <w:jc w:val="left"/>
        <w:rPr>
          <w:rFonts w:ascii="宋体" w:hAnsi="宋体" w:cs="宋体"/>
          <w:sz w:val="24"/>
        </w:rPr>
      </w:pPr>
      <w:r>
        <w:rPr>
          <w:rFonts w:hint="eastAsia" w:ascii="宋体" w:hAnsi="宋体" w:cs="宋体"/>
          <w:lang w:eastAsia="zh-CN"/>
        </w:rPr>
        <w:t>本标准实施后</w:t>
      </w:r>
      <w:r>
        <w:rPr>
          <w:rFonts w:hint="eastAsia" w:ascii="宋体" w:hAnsi="宋体" w:cs="宋体"/>
          <w:kern w:val="0"/>
          <w:szCs w:val="20"/>
        </w:rPr>
        <w:t>建议稀土产品的生产和检测单位积极组织本标准的学习与宣贯，可向企业、公司和科研院校（所）推荐本标准。</w:t>
      </w:r>
    </w:p>
    <w:p>
      <w:pPr>
        <w:spacing w:before="156" w:beforeLines="50" w:after="156" w:afterLines="50"/>
        <w:rPr>
          <w:rFonts w:ascii="宋体" w:hAnsi="宋体" w:cs="宋体"/>
          <w:bCs/>
          <w:sz w:val="24"/>
        </w:rPr>
      </w:pPr>
      <w:r>
        <w:rPr>
          <w:rFonts w:hint="eastAsia" w:ascii="宋体" w:hAnsi="宋体" w:cs="宋体"/>
          <w:bCs/>
          <w:sz w:val="24"/>
        </w:rPr>
        <w:t>十、</w:t>
      </w:r>
      <w:r>
        <w:rPr>
          <w:rFonts w:hint="eastAsia" w:ascii="黑体" w:hAnsi="宋体" w:eastAsia="黑体"/>
          <w:bCs/>
          <w:sz w:val="24"/>
        </w:rPr>
        <w:t>其他应当说明的事项</w:t>
      </w:r>
    </w:p>
    <w:p>
      <w:pPr>
        <w:pStyle w:val="121"/>
        <w:ind w:firstLine="420"/>
        <w:jc w:val="left"/>
        <w:rPr>
          <w:rFonts w:cs="宋体"/>
          <w:szCs w:val="22"/>
        </w:rPr>
      </w:pPr>
      <w:r>
        <w:rPr>
          <w:rFonts w:hint="eastAsia" w:cs="宋体"/>
          <w:lang w:eastAsia="zh-CN"/>
        </w:rPr>
        <w:t>无</w:t>
      </w:r>
      <w:r>
        <w:rPr>
          <w:rFonts w:hint="eastAsia" w:cs="宋体"/>
          <w:szCs w:val="22"/>
        </w:rPr>
        <w:t>。</w:t>
      </w:r>
    </w:p>
    <w:p>
      <w:pPr>
        <w:ind w:firstLine="420" w:firstLineChars="200"/>
        <w:rPr>
          <w:rFonts w:ascii="宋体" w:hAnsi="宋体" w:cs="宋体"/>
          <w:kern w:val="0"/>
          <w:szCs w:val="20"/>
        </w:rPr>
        <w:sectPr>
          <w:footerReference r:id="rId5" w:type="default"/>
          <w:pgSz w:w="11906" w:h="16838"/>
          <w:pgMar w:top="1134" w:right="1077" w:bottom="1213" w:left="107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default" w:ascii="Times New Roman" w:hAnsi="Times New Roman" w:eastAsia="黑体" w:cs="Times New Roman"/>
          <w:sz w:val="21"/>
          <w:szCs w:val="24"/>
          <w:lang w:val="en-US" w:eastAsia="zh-CN"/>
        </w:rPr>
        <w:t xml:space="preserve"> </w:t>
      </w:r>
      <w:r>
        <w:rPr>
          <w:rFonts w:hint="default" w:ascii="Times New Roman" w:hAnsi="Times New Roman" w:eastAsia="黑体" w:cs="Times New Roman"/>
          <w:sz w:val="21"/>
          <w:szCs w:val="24"/>
        </w:rPr>
        <w:t>表</w:t>
      </w:r>
      <w:r>
        <w:rPr>
          <w:rFonts w:hint="default" w:ascii="Times New Roman" w:hAnsi="Times New Roman" w:eastAsia="黑体" w:cs="Times New Roman"/>
          <w:sz w:val="21"/>
          <w:szCs w:val="24"/>
          <w:lang w:val="en-US" w:eastAsia="zh-CN"/>
        </w:rPr>
        <w:t>15</w:t>
      </w:r>
      <w:r>
        <w:rPr>
          <w:rFonts w:hint="default" w:ascii="Times New Roman" w:hAnsi="Times New Roman" w:eastAsia="黑体" w:cs="Times New Roman"/>
          <w:sz w:val="21"/>
          <w:szCs w:val="24"/>
        </w:rPr>
        <w:t xml:space="preserve"> </w:t>
      </w:r>
      <w:r>
        <w:rPr>
          <w:rFonts w:hint="default" w:ascii="Times New Roman" w:hAnsi="Times New Roman" w:eastAsia="黑体" w:cs="Times New Roman"/>
          <w:sz w:val="21"/>
          <w:szCs w:val="24"/>
          <w:lang w:eastAsia="zh-CN"/>
        </w:rPr>
        <w:t>回收率试验</w:t>
      </w:r>
      <w:r>
        <w:rPr>
          <w:rFonts w:hint="default" w:ascii="Times New Roman" w:hAnsi="Times New Roman" w:eastAsia="黑体" w:cs="Times New Roman"/>
          <w:sz w:val="21"/>
          <w:szCs w:val="24"/>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tbl>
      <w:tblPr>
        <w:tblStyle w:val="106"/>
        <w:tblW w:w="13889" w:type="dxa"/>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
      <w:tblGrid>
        <w:gridCol w:w="752"/>
        <w:gridCol w:w="899"/>
        <w:gridCol w:w="813"/>
        <w:gridCol w:w="816"/>
        <w:gridCol w:w="817"/>
        <w:gridCol w:w="814"/>
        <w:gridCol w:w="817"/>
        <w:gridCol w:w="817"/>
        <w:gridCol w:w="817"/>
        <w:gridCol w:w="814"/>
        <w:gridCol w:w="817"/>
        <w:gridCol w:w="817"/>
        <w:gridCol w:w="817"/>
        <w:gridCol w:w="814"/>
        <w:gridCol w:w="817"/>
        <w:gridCol w:w="817"/>
        <w:gridCol w:w="814"/>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top w:val="single" w:color="auto" w:sz="12" w:space="0"/>
              <w:bottom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top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镨钕熔盐电解回收料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实际样</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0.162</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4.913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0.055</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17.661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72.813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0.102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0.072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0.065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3.023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1.044</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0.022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0.068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0.342</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2.725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0.276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20.59</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71.292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0.315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0.268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0.254</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0.257</w:t>
            </w:r>
          </w:p>
        </w:tc>
        <w:tc>
          <w:tcPr>
            <w:tcW w:w="817" w:type="dxa"/>
            <w:noWrap w:val="0"/>
            <w:vAlign w:val="bottom"/>
          </w:tcPr>
          <w:p>
            <w:pPr>
              <w:widowControl/>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1.800</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0.853</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0.262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0.241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0.283</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0.242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23.50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70.00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104.4 </w:t>
            </w:r>
          </w:p>
        </w:tc>
        <w:tc>
          <w:tcPr>
            <w:tcW w:w="816" w:type="dxa"/>
            <w:noWrap w:val="0"/>
            <w:vAlign w:val="bottom"/>
          </w:tcPr>
          <w:p>
            <w:pPr>
              <w:widowControl/>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99.7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105.6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107.2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87.2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89.8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99.6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0.562</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2.953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0.538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24.725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64.079</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0.502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0.512</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0.508</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2.022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1.035</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0.517</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0.526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0.495</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32.00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55.00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96.2 </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102.1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90.2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1.123</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3.482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1.156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13.657</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68.137</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1.091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0.98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1.024</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2.611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1.526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1.054</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0.973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1.045</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1.037</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bottom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6"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64.00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bottom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104.2 </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112.9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110.0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97.3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top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top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钆铁熔盐电解回收料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实际样</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0.103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0.333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1.242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0.179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0.207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96.570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0.052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0.901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0.020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0.020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0.020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0.030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0.311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0.382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0.414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0.869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0.350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0.356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94.710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0.707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0.292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0.276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112.9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0.647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0.663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1.124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0.615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91.327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0.527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0.510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1.328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1.333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1.447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1.860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1.390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1.328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80.555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1.277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1.725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1.265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1.274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1.311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镝铁熔盐电解回收料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0.060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0.225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0.586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0.050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98.489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0.321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0.123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0.044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0.367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0.419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0.315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0.558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0.605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0.796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0.482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92.229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0.674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0.552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0.554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0.517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1.225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1.205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1.532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1.235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1.245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1.376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81.677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1.416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1.325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钬铁熔盐电解回收料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1.406</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0.002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1.869</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9.536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0.075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0.065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0.187</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6.809</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78.622</w:t>
            </w:r>
          </w:p>
        </w:tc>
        <w:tc>
          <w:tcPr>
            <w:tcW w:w="814"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c>
          <w:tcPr>
            <w:tcW w:w="817"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0.195 </w:t>
            </w:r>
          </w:p>
        </w:tc>
        <w:tc>
          <w:tcPr>
            <w:tcW w:w="814"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0.967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0.873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1.191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5.107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0.297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0.339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3.603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85.718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0.351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0.238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135.5 </w:t>
            </w:r>
          </w:p>
        </w:tc>
        <w:tc>
          <w:tcPr>
            <w:tcW w:w="817"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98.3 </w:t>
            </w:r>
          </w:p>
        </w:tc>
        <w:tc>
          <w:tcPr>
            <w:tcW w:w="817"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4"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101.2 </w:t>
            </w:r>
          </w:p>
        </w:tc>
        <w:tc>
          <w:tcPr>
            <w:tcW w:w="817"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95.2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1.225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1.130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1.413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5.220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0.489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0.574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3.831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82.483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0.517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0.590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0.495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1.950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1.857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1.254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2.130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5.975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1.277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1.240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1.268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1.444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4.702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71.684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1.235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1.351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1.345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1.296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镧热还原电解回收料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0.022</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82.402</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0.031</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0.074</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0.046</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0.042</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0.025</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0.011</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0.141</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0.018</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0.045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17.021</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87.720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0.275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0.245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0.302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0.238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0.269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8.840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107.4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91.6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92.4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0.532</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84.05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0.524</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0.538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0.498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0.493</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0.512</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0.529</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0.538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0.604</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0.507</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0.487</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0.476</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9.12</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0.496</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106.7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91.7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1.235</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73.92</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1.325</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1.289</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1.232</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1.243</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1.278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1.246</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1.256</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1.054</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1.257</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9.876</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1.287</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97.9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109.2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钙热还原回收料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0.256</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1.553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0.054</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8.185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0.262</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0.036</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0.136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75.711</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9.315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2.639</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0.368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1.077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1.172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4.318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0.402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0.307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84.263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4.947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1.549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0.289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0.272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0.238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93.00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w:t>
            </w:r>
          </w:p>
        </w:tc>
        <w:tc>
          <w:tcPr>
            <w:tcW w:w="816"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108.2</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99.8</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98.4</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0.641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1.268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0.505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1.388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4.540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0.672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0.519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80.985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5.134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1.799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0.478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0.508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0.482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86.00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102.5</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95.6</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108.2</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103.6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96.4</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1.381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2.008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1.281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2.084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5.371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1.477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1.244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1.348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70.486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5.936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2.512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1.230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1.217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1.215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bottom w:val="single" w:color="auto" w:sz="12" w:space="0"/>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96.7</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107.7</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98.1</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102.4</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100.4</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95.4</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98.4</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97.2</w:t>
            </w:r>
          </w:p>
        </w:tc>
      </w:tr>
    </w:tbl>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sectPr>
      <w:pgSz w:w="16838" w:h="11906" w:orient="landscape"/>
      <w:pgMar w:top="850" w:right="1134" w:bottom="850" w:left="1213" w:header="851" w:footer="454"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44"/>
    </w:sdtPr>
    <w:sdtContent>
      <w:p>
        <w:pPr>
          <w:pStyle w:val="57"/>
          <w:jc w:val="center"/>
        </w:pPr>
      </w:p>
    </w:sdtContent>
  </w:sdt>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0947E"/>
    <w:multiLevelType w:val="singleLevel"/>
    <w:tmpl w:val="C300947E"/>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B554A8"/>
    <w:multiLevelType w:val="multilevel"/>
    <w:tmpl w:val="07B554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7E5D7E"/>
    <w:multiLevelType w:val="singleLevel"/>
    <w:tmpl w:val="177E5D7E"/>
    <w:lvl w:ilvl="0" w:tentative="0">
      <w:start w:val="2"/>
      <w:numFmt w:val="chineseCounting"/>
      <w:suff w:val="nothing"/>
      <w:lvlText w:val="（%1）"/>
      <w:lvlJc w:val="left"/>
      <w:rPr>
        <w:rFonts w:hint="eastAsia"/>
      </w:rPr>
    </w:lvl>
  </w:abstractNum>
  <w:abstractNum w:abstractNumId="4">
    <w:nsid w:val="19A45967"/>
    <w:multiLevelType w:val="multilevel"/>
    <w:tmpl w:val="19A45967"/>
    <w:lvl w:ilvl="0" w:tentative="0">
      <w:start w:val="1"/>
      <w:numFmt w:val="decimal"/>
      <w:lvlText w:val="%1."/>
      <w:lvlJc w:val="left"/>
      <w:pPr>
        <w:ind w:left="360" w:hanging="360"/>
      </w:pPr>
      <w:rPr>
        <w:rFonts w:hint="default"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7B5876"/>
    <w:multiLevelType w:val="multilevel"/>
    <w:tmpl w:val="1C7B58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EC56C9"/>
    <w:multiLevelType w:val="multilevel"/>
    <w:tmpl w:val="23EC56C9"/>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505F08"/>
    <w:multiLevelType w:val="multilevel"/>
    <w:tmpl w:val="2F505F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1D14DE"/>
    <w:multiLevelType w:val="singleLevel"/>
    <w:tmpl w:val="671D14DE"/>
    <w:lvl w:ilvl="0" w:tentative="0">
      <w:start w:val="3"/>
      <w:numFmt w:val="chineseCounting"/>
      <w:suff w:val="nothing"/>
      <w:lvlText w:val="%1、"/>
      <w:lvlJc w:val="left"/>
      <w:rPr>
        <w:rFonts w:hint="eastAsia"/>
      </w:rPr>
    </w:lvl>
  </w:abstractNum>
  <w:abstractNum w:abstractNumId="9">
    <w:nsid w:val="73BE0329"/>
    <w:multiLevelType w:val="multilevel"/>
    <w:tmpl w:val="73BE03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7A2BA9"/>
    <w:multiLevelType w:val="multilevel"/>
    <w:tmpl w:val="7C7A2B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956ADF"/>
    <w:multiLevelType w:val="multilevel"/>
    <w:tmpl w:val="7E956ADF"/>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11"/>
  </w:num>
  <w:num w:numId="6">
    <w:abstractNumId w:val="2"/>
  </w:num>
  <w:num w:numId="7">
    <w:abstractNumId w:val="5"/>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2195"/>
    <w:rsid w:val="000332A6"/>
    <w:rsid w:val="00035035"/>
    <w:rsid w:val="00036C57"/>
    <w:rsid w:val="00046620"/>
    <w:rsid w:val="00047D95"/>
    <w:rsid w:val="00050085"/>
    <w:rsid w:val="0005146E"/>
    <w:rsid w:val="0005350B"/>
    <w:rsid w:val="00061D34"/>
    <w:rsid w:val="00061D46"/>
    <w:rsid w:val="00062070"/>
    <w:rsid w:val="0006432D"/>
    <w:rsid w:val="0006477B"/>
    <w:rsid w:val="00072756"/>
    <w:rsid w:val="00073C3A"/>
    <w:rsid w:val="00081A9E"/>
    <w:rsid w:val="00083A57"/>
    <w:rsid w:val="000842C3"/>
    <w:rsid w:val="00085404"/>
    <w:rsid w:val="00091DD9"/>
    <w:rsid w:val="000926B6"/>
    <w:rsid w:val="000A0C8C"/>
    <w:rsid w:val="000A0CA9"/>
    <w:rsid w:val="000A180E"/>
    <w:rsid w:val="000A1CC0"/>
    <w:rsid w:val="000A1DCD"/>
    <w:rsid w:val="000A2986"/>
    <w:rsid w:val="000A54AC"/>
    <w:rsid w:val="000A569E"/>
    <w:rsid w:val="000A5CC2"/>
    <w:rsid w:val="000B14A6"/>
    <w:rsid w:val="000B3127"/>
    <w:rsid w:val="000B605E"/>
    <w:rsid w:val="000C189F"/>
    <w:rsid w:val="000C44B2"/>
    <w:rsid w:val="000C44E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D8F"/>
    <w:rsid w:val="00122903"/>
    <w:rsid w:val="001241A8"/>
    <w:rsid w:val="0012792A"/>
    <w:rsid w:val="001345DA"/>
    <w:rsid w:val="00134E2D"/>
    <w:rsid w:val="00135E64"/>
    <w:rsid w:val="00136064"/>
    <w:rsid w:val="00137D4C"/>
    <w:rsid w:val="001414E3"/>
    <w:rsid w:val="001424D5"/>
    <w:rsid w:val="00151F1C"/>
    <w:rsid w:val="00152747"/>
    <w:rsid w:val="0015285E"/>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18F0"/>
    <w:rsid w:val="001D1A3E"/>
    <w:rsid w:val="001D200A"/>
    <w:rsid w:val="001D24F0"/>
    <w:rsid w:val="001D57BC"/>
    <w:rsid w:val="001D6080"/>
    <w:rsid w:val="001D783C"/>
    <w:rsid w:val="001D7A87"/>
    <w:rsid w:val="001E7268"/>
    <w:rsid w:val="001F156B"/>
    <w:rsid w:val="001F4370"/>
    <w:rsid w:val="001F5F9B"/>
    <w:rsid w:val="001F65ED"/>
    <w:rsid w:val="001F6B47"/>
    <w:rsid w:val="001F705D"/>
    <w:rsid w:val="001F7DA6"/>
    <w:rsid w:val="0020225C"/>
    <w:rsid w:val="0021099A"/>
    <w:rsid w:val="0021153B"/>
    <w:rsid w:val="002119ED"/>
    <w:rsid w:val="002123C9"/>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6D32"/>
    <w:rsid w:val="00277FC2"/>
    <w:rsid w:val="00283872"/>
    <w:rsid w:val="002842F4"/>
    <w:rsid w:val="0029258B"/>
    <w:rsid w:val="0029271E"/>
    <w:rsid w:val="00292C1B"/>
    <w:rsid w:val="002935AF"/>
    <w:rsid w:val="00294B68"/>
    <w:rsid w:val="00295158"/>
    <w:rsid w:val="00295954"/>
    <w:rsid w:val="00296C10"/>
    <w:rsid w:val="00297A7C"/>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40092"/>
    <w:rsid w:val="003402ED"/>
    <w:rsid w:val="003406E3"/>
    <w:rsid w:val="003430B3"/>
    <w:rsid w:val="003520D3"/>
    <w:rsid w:val="00356703"/>
    <w:rsid w:val="00363C9B"/>
    <w:rsid w:val="00363FF5"/>
    <w:rsid w:val="00364128"/>
    <w:rsid w:val="00370FF7"/>
    <w:rsid w:val="00371AA3"/>
    <w:rsid w:val="00372782"/>
    <w:rsid w:val="00373131"/>
    <w:rsid w:val="00376DAF"/>
    <w:rsid w:val="00376F19"/>
    <w:rsid w:val="0038065A"/>
    <w:rsid w:val="00383889"/>
    <w:rsid w:val="00386212"/>
    <w:rsid w:val="003918BA"/>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5749"/>
    <w:rsid w:val="004169D7"/>
    <w:rsid w:val="00424F60"/>
    <w:rsid w:val="004306FA"/>
    <w:rsid w:val="0043072C"/>
    <w:rsid w:val="00433247"/>
    <w:rsid w:val="00437F04"/>
    <w:rsid w:val="004425AD"/>
    <w:rsid w:val="0044631C"/>
    <w:rsid w:val="004468D7"/>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3098"/>
    <w:rsid w:val="005A3D53"/>
    <w:rsid w:val="005A433E"/>
    <w:rsid w:val="005A6367"/>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4E99"/>
    <w:rsid w:val="006664F9"/>
    <w:rsid w:val="00666745"/>
    <w:rsid w:val="006727AA"/>
    <w:rsid w:val="00673F33"/>
    <w:rsid w:val="00674D40"/>
    <w:rsid w:val="00675AA1"/>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7755"/>
    <w:rsid w:val="006D7CDB"/>
    <w:rsid w:val="006E02B1"/>
    <w:rsid w:val="006E059D"/>
    <w:rsid w:val="006E1891"/>
    <w:rsid w:val="006E28B7"/>
    <w:rsid w:val="006E2ACE"/>
    <w:rsid w:val="006E4918"/>
    <w:rsid w:val="006E5A49"/>
    <w:rsid w:val="006E67A8"/>
    <w:rsid w:val="006E7ACD"/>
    <w:rsid w:val="006E7C18"/>
    <w:rsid w:val="006E7FF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ACC"/>
    <w:rsid w:val="00752FB4"/>
    <w:rsid w:val="00754E21"/>
    <w:rsid w:val="00755B27"/>
    <w:rsid w:val="00764446"/>
    <w:rsid w:val="00766258"/>
    <w:rsid w:val="00771198"/>
    <w:rsid w:val="0077459D"/>
    <w:rsid w:val="0078372D"/>
    <w:rsid w:val="00790EBF"/>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5D21"/>
    <w:rsid w:val="008260E1"/>
    <w:rsid w:val="0082615F"/>
    <w:rsid w:val="00826C6B"/>
    <w:rsid w:val="0083190B"/>
    <w:rsid w:val="00832B3D"/>
    <w:rsid w:val="00832E0B"/>
    <w:rsid w:val="00835BDA"/>
    <w:rsid w:val="00842D20"/>
    <w:rsid w:val="008459EE"/>
    <w:rsid w:val="0084647D"/>
    <w:rsid w:val="00854C07"/>
    <w:rsid w:val="0086177D"/>
    <w:rsid w:val="00862280"/>
    <w:rsid w:val="00872C9E"/>
    <w:rsid w:val="00873AC3"/>
    <w:rsid w:val="00880BF7"/>
    <w:rsid w:val="00880F82"/>
    <w:rsid w:val="00881B81"/>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4AF"/>
    <w:rsid w:val="009118E6"/>
    <w:rsid w:val="00911BFC"/>
    <w:rsid w:val="0091772E"/>
    <w:rsid w:val="00920149"/>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7980"/>
    <w:rsid w:val="00A248DD"/>
    <w:rsid w:val="00A24971"/>
    <w:rsid w:val="00A25709"/>
    <w:rsid w:val="00A267A6"/>
    <w:rsid w:val="00A278D4"/>
    <w:rsid w:val="00A27A5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2390"/>
    <w:rsid w:val="00C027EA"/>
    <w:rsid w:val="00C1097A"/>
    <w:rsid w:val="00C15AC4"/>
    <w:rsid w:val="00C16FCF"/>
    <w:rsid w:val="00C17DCE"/>
    <w:rsid w:val="00C22C6B"/>
    <w:rsid w:val="00C24CA2"/>
    <w:rsid w:val="00C2763A"/>
    <w:rsid w:val="00C317D1"/>
    <w:rsid w:val="00C32990"/>
    <w:rsid w:val="00C33B55"/>
    <w:rsid w:val="00C35D4C"/>
    <w:rsid w:val="00C417FC"/>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251C"/>
    <w:rsid w:val="00D3293E"/>
    <w:rsid w:val="00D358A0"/>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7C0E"/>
    <w:rsid w:val="00D812CF"/>
    <w:rsid w:val="00D81811"/>
    <w:rsid w:val="00D81A5C"/>
    <w:rsid w:val="00D92B70"/>
    <w:rsid w:val="00D9464C"/>
    <w:rsid w:val="00D979B0"/>
    <w:rsid w:val="00DA0918"/>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F4E97"/>
    <w:rsid w:val="00E01E44"/>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003F"/>
    <w:rsid w:val="00E45521"/>
    <w:rsid w:val="00E50610"/>
    <w:rsid w:val="00E50944"/>
    <w:rsid w:val="00E51658"/>
    <w:rsid w:val="00E5171B"/>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4979"/>
    <w:rsid w:val="00ED51F7"/>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47BD"/>
    <w:rsid w:val="00F16864"/>
    <w:rsid w:val="00F173C9"/>
    <w:rsid w:val="00F2098A"/>
    <w:rsid w:val="00F20BBA"/>
    <w:rsid w:val="00F211DE"/>
    <w:rsid w:val="00F22622"/>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33BB"/>
    <w:rsid w:val="00FE3922"/>
    <w:rsid w:val="00FE6B87"/>
    <w:rsid w:val="00FE7DF6"/>
    <w:rsid w:val="00FF595B"/>
    <w:rsid w:val="00FF6D53"/>
    <w:rsid w:val="00FF7B8D"/>
    <w:rsid w:val="011C7FAB"/>
    <w:rsid w:val="01842B3A"/>
    <w:rsid w:val="04913321"/>
    <w:rsid w:val="058C526E"/>
    <w:rsid w:val="06A93FEB"/>
    <w:rsid w:val="06B24EDC"/>
    <w:rsid w:val="07E93EC3"/>
    <w:rsid w:val="0992428F"/>
    <w:rsid w:val="0A031966"/>
    <w:rsid w:val="0AC559ED"/>
    <w:rsid w:val="0B6C35CB"/>
    <w:rsid w:val="0CA8467D"/>
    <w:rsid w:val="0D320BEF"/>
    <w:rsid w:val="0D4A2684"/>
    <w:rsid w:val="0FEA16FB"/>
    <w:rsid w:val="10314F56"/>
    <w:rsid w:val="10656AF9"/>
    <w:rsid w:val="11BA6255"/>
    <w:rsid w:val="11E3277B"/>
    <w:rsid w:val="11ED58D9"/>
    <w:rsid w:val="12CA41C9"/>
    <w:rsid w:val="138D3E23"/>
    <w:rsid w:val="14DB6602"/>
    <w:rsid w:val="15C7654C"/>
    <w:rsid w:val="1630041B"/>
    <w:rsid w:val="16472131"/>
    <w:rsid w:val="17385A95"/>
    <w:rsid w:val="174F2A96"/>
    <w:rsid w:val="18D50E27"/>
    <w:rsid w:val="19534EA1"/>
    <w:rsid w:val="1A552CDE"/>
    <w:rsid w:val="1BC3459F"/>
    <w:rsid w:val="1D3C79DD"/>
    <w:rsid w:val="1E8E7D9A"/>
    <w:rsid w:val="1EB2514F"/>
    <w:rsid w:val="1F24272B"/>
    <w:rsid w:val="20A222A4"/>
    <w:rsid w:val="20F51202"/>
    <w:rsid w:val="20FE15E2"/>
    <w:rsid w:val="21011F09"/>
    <w:rsid w:val="21C92553"/>
    <w:rsid w:val="22A968D1"/>
    <w:rsid w:val="23DB68DC"/>
    <w:rsid w:val="24537D32"/>
    <w:rsid w:val="24BF5EBF"/>
    <w:rsid w:val="254209B4"/>
    <w:rsid w:val="26106EC1"/>
    <w:rsid w:val="26B25179"/>
    <w:rsid w:val="275D49CF"/>
    <w:rsid w:val="2765311F"/>
    <w:rsid w:val="278A3CD8"/>
    <w:rsid w:val="27BC4B60"/>
    <w:rsid w:val="299652E5"/>
    <w:rsid w:val="2A101862"/>
    <w:rsid w:val="2A626650"/>
    <w:rsid w:val="2CAD06D8"/>
    <w:rsid w:val="2D170F8C"/>
    <w:rsid w:val="2D4B61E9"/>
    <w:rsid w:val="2E000C64"/>
    <w:rsid w:val="2E0D1473"/>
    <w:rsid w:val="2F8F18E7"/>
    <w:rsid w:val="30302EE7"/>
    <w:rsid w:val="312E5F87"/>
    <w:rsid w:val="31305C6A"/>
    <w:rsid w:val="314D2D73"/>
    <w:rsid w:val="32E30F09"/>
    <w:rsid w:val="32FB0A45"/>
    <w:rsid w:val="3302144E"/>
    <w:rsid w:val="33697E44"/>
    <w:rsid w:val="351F5732"/>
    <w:rsid w:val="353C4B7E"/>
    <w:rsid w:val="35BD5166"/>
    <w:rsid w:val="368E4767"/>
    <w:rsid w:val="36DB29B6"/>
    <w:rsid w:val="37063BC7"/>
    <w:rsid w:val="37F1281B"/>
    <w:rsid w:val="3BD7645B"/>
    <w:rsid w:val="3C653863"/>
    <w:rsid w:val="3CC93B61"/>
    <w:rsid w:val="3D3E1EB4"/>
    <w:rsid w:val="3E7915A6"/>
    <w:rsid w:val="3EEB53F5"/>
    <w:rsid w:val="415B2476"/>
    <w:rsid w:val="41E67BB9"/>
    <w:rsid w:val="42023214"/>
    <w:rsid w:val="428C5839"/>
    <w:rsid w:val="459E2CF6"/>
    <w:rsid w:val="45B25B50"/>
    <w:rsid w:val="463D0B60"/>
    <w:rsid w:val="482F4E62"/>
    <w:rsid w:val="489705DF"/>
    <w:rsid w:val="489D3661"/>
    <w:rsid w:val="49316F50"/>
    <w:rsid w:val="4A3C75AB"/>
    <w:rsid w:val="4C787046"/>
    <w:rsid w:val="4C8476D9"/>
    <w:rsid w:val="4DCD125C"/>
    <w:rsid w:val="4E6B2C81"/>
    <w:rsid w:val="510238DF"/>
    <w:rsid w:val="515063E7"/>
    <w:rsid w:val="5194179F"/>
    <w:rsid w:val="51E32A8A"/>
    <w:rsid w:val="523E7463"/>
    <w:rsid w:val="5392505B"/>
    <w:rsid w:val="53F818D7"/>
    <w:rsid w:val="5420024B"/>
    <w:rsid w:val="54654585"/>
    <w:rsid w:val="55F30089"/>
    <w:rsid w:val="56BF726A"/>
    <w:rsid w:val="580D1C5B"/>
    <w:rsid w:val="58A9130C"/>
    <w:rsid w:val="595F3439"/>
    <w:rsid w:val="5993581A"/>
    <w:rsid w:val="5CD113D9"/>
    <w:rsid w:val="5DC44645"/>
    <w:rsid w:val="5E5575CC"/>
    <w:rsid w:val="5EB752F0"/>
    <w:rsid w:val="5EEC1216"/>
    <w:rsid w:val="5FE9583B"/>
    <w:rsid w:val="6028681C"/>
    <w:rsid w:val="60F00F42"/>
    <w:rsid w:val="618E2E12"/>
    <w:rsid w:val="638F38F3"/>
    <w:rsid w:val="63A027AE"/>
    <w:rsid w:val="64DF3780"/>
    <w:rsid w:val="659C6720"/>
    <w:rsid w:val="659F008C"/>
    <w:rsid w:val="67EE657E"/>
    <w:rsid w:val="67F537B7"/>
    <w:rsid w:val="68EB247A"/>
    <w:rsid w:val="6ADC1D19"/>
    <w:rsid w:val="6B7A105E"/>
    <w:rsid w:val="6C252B29"/>
    <w:rsid w:val="6C7D4200"/>
    <w:rsid w:val="6D42233D"/>
    <w:rsid w:val="6D6F49D4"/>
    <w:rsid w:val="6D8F236C"/>
    <w:rsid w:val="6DD6793B"/>
    <w:rsid w:val="6E934421"/>
    <w:rsid w:val="70B03A42"/>
    <w:rsid w:val="72122CF0"/>
    <w:rsid w:val="722A0CD0"/>
    <w:rsid w:val="72AC21C7"/>
    <w:rsid w:val="73114F22"/>
    <w:rsid w:val="73A2461B"/>
    <w:rsid w:val="753016E1"/>
    <w:rsid w:val="76F270DB"/>
    <w:rsid w:val="778E5270"/>
    <w:rsid w:val="78260ECC"/>
    <w:rsid w:val="78750853"/>
    <w:rsid w:val="78DC13F0"/>
    <w:rsid w:val="7B7801D8"/>
    <w:rsid w:val="7C5F41AB"/>
    <w:rsid w:val="7E1E0092"/>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10"/>
    <w:qFormat/>
    <w:uiPriority w:val="0"/>
    <w:pPr>
      <w:keepNext/>
      <w:keepLines/>
      <w:spacing w:before="260" w:after="260" w:line="416" w:lineRule="auto"/>
      <w:outlineLvl w:val="2"/>
    </w:pPr>
    <w:rPr>
      <w:b/>
      <w:bCs/>
      <w:sz w:val="32"/>
      <w:szCs w:val="32"/>
    </w:rPr>
  </w:style>
  <w:style w:type="paragraph" w:styleId="5">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2"/>
    <w:qFormat/>
    <w:uiPriority w:val="0"/>
    <w:pPr>
      <w:keepNext/>
      <w:keepLines/>
      <w:spacing w:before="280" w:after="290" w:line="376" w:lineRule="auto"/>
      <w:outlineLvl w:val="4"/>
    </w:pPr>
    <w:rPr>
      <w:b/>
      <w:bCs/>
      <w:sz w:val="28"/>
      <w:szCs w:val="28"/>
    </w:rPr>
  </w:style>
  <w:style w:type="paragraph" w:styleId="7">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14"/>
    <w:qFormat/>
    <w:uiPriority w:val="0"/>
    <w:pPr>
      <w:keepNext/>
      <w:keepLines/>
      <w:spacing w:before="240" w:after="64" w:line="320" w:lineRule="auto"/>
      <w:outlineLvl w:val="6"/>
    </w:pPr>
    <w:rPr>
      <w:b/>
      <w:bCs/>
      <w:sz w:val="24"/>
    </w:rPr>
  </w:style>
  <w:style w:type="paragraph" w:styleId="9">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annotation subject"/>
    <w:basedOn w:val="13"/>
    <w:next w:val="13"/>
    <w:link w:val="134"/>
    <w:qFormat/>
    <w:uiPriority w:val="0"/>
    <w:rPr>
      <w:b/>
      <w:bCs/>
      <w:szCs w:val="24"/>
    </w:rPr>
  </w:style>
  <w:style w:type="paragraph" w:styleId="13">
    <w:name w:val="annotation text"/>
    <w:basedOn w:val="1"/>
    <w:link w:val="122"/>
    <w:unhideWhenUsed/>
    <w:qFormat/>
    <w:uiPriority w:val="0"/>
    <w:pPr>
      <w:jc w:val="left"/>
    </w:pPr>
    <w:rPr>
      <w:szCs w:val="21"/>
    </w:rPr>
  </w:style>
  <w:style w:type="paragraph" w:styleId="14">
    <w:name w:val="toc 7"/>
    <w:basedOn w:val="1"/>
    <w:next w:val="1"/>
    <w:qFormat/>
    <w:uiPriority w:val="0"/>
    <w:pPr>
      <w:ind w:left="2520" w:leftChars="1200"/>
    </w:pPr>
  </w:style>
  <w:style w:type="paragraph" w:styleId="15">
    <w:name w:val="Body Text First Indent"/>
    <w:basedOn w:val="16"/>
    <w:link w:val="156"/>
    <w:qFormat/>
    <w:uiPriority w:val="0"/>
    <w:pPr>
      <w:ind w:firstLine="420" w:firstLineChars="100"/>
    </w:pPr>
  </w:style>
  <w:style w:type="paragraph" w:styleId="16">
    <w:name w:val="Body Text"/>
    <w:basedOn w:val="1"/>
    <w:link w:val="155"/>
    <w:qFormat/>
    <w:uiPriority w:val="0"/>
    <w:pPr>
      <w:spacing w:after="120"/>
    </w:pPr>
  </w:style>
  <w:style w:type="paragraph" w:styleId="17">
    <w:name w:val="List Number 2"/>
    <w:basedOn w:val="1"/>
    <w:qFormat/>
    <w:uiPriority w:val="0"/>
    <w:pPr>
      <w:tabs>
        <w:tab w:val="left" w:pos="675"/>
        <w:tab w:val="left" w:pos="780"/>
      </w:tabs>
      <w:ind w:left="675" w:hanging="360"/>
    </w:pPr>
  </w:style>
  <w:style w:type="paragraph" w:styleId="18">
    <w:name w:val="table of authorities"/>
    <w:basedOn w:val="1"/>
    <w:next w:val="1"/>
    <w:qFormat/>
    <w:uiPriority w:val="0"/>
    <w:pPr>
      <w:ind w:left="420" w:leftChars="200"/>
    </w:pPr>
  </w:style>
  <w:style w:type="paragraph" w:styleId="19">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166"/>
    <w:qFormat/>
    <w:uiPriority w:val="0"/>
    <w:pPr>
      <w:jc w:val="center"/>
    </w:pPr>
  </w:style>
  <w:style w:type="paragraph" w:styleId="21">
    <w:name w:val="List Bullet 4"/>
    <w:basedOn w:val="1"/>
    <w:qFormat/>
    <w:uiPriority w:val="0"/>
    <w:pPr>
      <w:tabs>
        <w:tab w:val="left" w:pos="750"/>
        <w:tab w:val="left" w:pos="1620"/>
      </w:tabs>
      <w:ind w:left="750" w:hanging="750"/>
    </w:pPr>
  </w:style>
  <w:style w:type="paragraph" w:styleId="22">
    <w:name w:val="index 8"/>
    <w:basedOn w:val="1"/>
    <w:next w:val="1"/>
    <w:qFormat/>
    <w:uiPriority w:val="0"/>
    <w:pPr>
      <w:ind w:left="1400" w:leftChars="1400"/>
    </w:pPr>
  </w:style>
  <w:style w:type="paragraph" w:styleId="23">
    <w:name w:val="E-mail Signature"/>
    <w:basedOn w:val="1"/>
    <w:link w:val="163"/>
    <w:qFormat/>
    <w:uiPriority w:val="0"/>
  </w:style>
  <w:style w:type="paragraph" w:styleId="24">
    <w:name w:val="List Number"/>
    <w:basedOn w:val="1"/>
    <w:qFormat/>
    <w:uiPriority w:val="0"/>
    <w:pPr>
      <w:tabs>
        <w:tab w:val="left" w:pos="360"/>
        <w:tab w:val="left" w:pos="720"/>
      </w:tabs>
      <w:ind w:left="720" w:hanging="720"/>
    </w:pPr>
  </w:style>
  <w:style w:type="paragraph" w:styleId="25">
    <w:name w:val="Normal Indent"/>
    <w:basedOn w:val="1"/>
    <w:unhideWhenUsed/>
    <w:qFormat/>
    <w:uiPriority w:val="0"/>
    <w:pPr>
      <w:ind w:firstLine="420" w:firstLineChars="200"/>
    </w:pPr>
  </w:style>
  <w:style w:type="paragraph" w:styleId="26">
    <w:name w:val="caption"/>
    <w:basedOn w:val="1"/>
    <w:next w:val="1"/>
    <w:qFormat/>
    <w:uiPriority w:val="0"/>
    <w:pPr>
      <w:jc w:val="center"/>
    </w:pPr>
    <w:rPr>
      <w:rFonts w:ascii="Arial" w:hAnsi="Arial" w:eastAsia="黑体" w:cs="Arial"/>
      <w:sz w:val="24"/>
      <w:szCs w:val="20"/>
    </w:rPr>
  </w:style>
  <w:style w:type="paragraph" w:styleId="27">
    <w:name w:val="index 5"/>
    <w:basedOn w:val="1"/>
    <w:next w:val="1"/>
    <w:qFormat/>
    <w:uiPriority w:val="0"/>
    <w:pPr>
      <w:ind w:left="800" w:leftChars="800"/>
    </w:pPr>
  </w:style>
  <w:style w:type="paragraph" w:styleId="28">
    <w:name w:val="List Bullet"/>
    <w:basedOn w:val="1"/>
    <w:qFormat/>
    <w:uiPriority w:val="0"/>
    <w:pPr>
      <w:tabs>
        <w:tab w:val="left" w:pos="360"/>
        <w:tab w:val="left" w:pos="720"/>
      </w:tabs>
      <w:ind w:left="720" w:hanging="720"/>
    </w:pPr>
  </w:style>
  <w:style w:type="paragraph" w:styleId="29">
    <w:name w:val="envelope address"/>
    <w:basedOn w:val="1"/>
    <w:qFormat/>
    <w:uiPriority w:val="0"/>
    <w:pPr>
      <w:snapToGrid w:val="0"/>
      <w:ind w:left="100" w:leftChars="1400"/>
    </w:pPr>
    <w:rPr>
      <w:rFonts w:ascii="Arial" w:hAnsi="Arial" w:cs="Arial"/>
      <w:sz w:val="24"/>
    </w:rPr>
  </w:style>
  <w:style w:type="paragraph" w:styleId="30">
    <w:name w:val="Document Map"/>
    <w:basedOn w:val="1"/>
    <w:link w:val="159"/>
    <w:qFormat/>
    <w:uiPriority w:val="0"/>
    <w:pPr>
      <w:shd w:val="clear" w:color="auto" w:fill="000080"/>
    </w:pPr>
  </w:style>
  <w:style w:type="paragraph" w:styleId="31">
    <w:name w:val="toa heading"/>
    <w:basedOn w:val="1"/>
    <w:next w:val="1"/>
    <w:qFormat/>
    <w:uiPriority w:val="0"/>
    <w:pPr>
      <w:spacing w:before="120"/>
    </w:pPr>
    <w:rPr>
      <w:rFonts w:ascii="Arial" w:hAnsi="Arial" w:cs="Arial"/>
      <w:sz w:val="24"/>
    </w:rPr>
  </w:style>
  <w:style w:type="paragraph" w:styleId="32">
    <w:name w:val="index 6"/>
    <w:basedOn w:val="1"/>
    <w:next w:val="1"/>
    <w:qFormat/>
    <w:uiPriority w:val="0"/>
    <w:pPr>
      <w:ind w:left="1000" w:leftChars="1000"/>
    </w:pPr>
  </w:style>
  <w:style w:type="paragraph" w:styleId="33">
    <w:name w:val="Salutation"/>
    <w:basedOn w:val="1"/>
    <w:next w:val="1"/>
    <w:link w:val="168"/>
    <w:qFormat/>
    <w:uiPriority w:val="0"/>
  </w:style>
  <w:style w:type="paragraph" w:styleId="34">
    <w:name w:val="Body Text 3"/>
    <w:basedOn w:val="1"/>
    <w:link w:val="160"/>
    <w:qFormat/>
    <w:uiPriority w:val="0"/>
    <w:pPr>
      <w:spacing w:after="120"/>
    </w:pPr>
    <w:rPr>
      <w:sz w:val="16"/>
      <w:szCs w:val="16"/>
    </w:rPr>
  </w:style>
  <w:style w:type="paragraph" w:styleId="35">
    <w:name w:val="Closing"/>
    <w:basedOn w:val="1"/>
    <w:link w:val="170"/>
    <w:qFormat/>
    <w:uiPriority w:val="0"/>
    <w:pPr>
      <w:ind w:left="100" w:leftChars="2100"/>
    </w:pPr>
  </w:style>
  <w:style w:type="paragraph" w:styleId="36">
    <w:name w:val="List Bullet 3"/>
    <w:basedOn w:val="1"/>
    <w:qFormat/>
    <w:uiPriority w:val="0"/>
    <w:pPr>
      <w:tabs>
        <w:tab w:val="left" w:pos="480"/>
        <w:tab w:val="left" w:pos="1200"/>
      </w:tabs>
      <w:ind w:left="480" w:hanging="480"/>
    </w:pPr>
  </w:style>
  <w:style w:type="paragraph" w:styleId="37">
    <w:name w:val="Body Text Indent"/>
    <w:basedOn w:val="1"/>
    <w:link w:val="157"/>
    <w:qFormat/>
    <w:uiPriority w:val="0"/>
    <w:pPr>
      <w:spacing w:after="120"/>
      <w:ind w:left="420" w:leftChars="200"/>
    </w:pPr>
  </w:style>
  <w:style w:type="paragraph" w:styleId="38">
    <w:name w:val="List Number 3"/>
    <w:basedOn w:val="1"/>
    <w:qFormat/>
    <w:uiPriority w:val="0"/>
    <w:pPr>
      <w:tabs>
        <w:tab w:val="left" w:pos="360"/>
        <w:tab w:val="left" w:pos="1200"/>
      </w:tabs>
      <w:ind w:left="360" w:hanging="360"/>
    </w:pPr>
  </w:style>
  <w:style w:type="paragraph" w:styleId="39">
    <w:name w:val="List 2"/>
    <w:basedOn w:val="1"/>
    <w:qFormat/>
    <w:uiPriority w:val="0"/>
    <w:pPr>
      <w:ind w:left="100" w:leftChars="200" w:hanging="200" w:hangingChars="200"/>
      <w:contextualSpacing/>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tabs>
        <w:tab w:val="left" w:pos="720"/>
        <w:tab w:val="left" w:pos="780"/>
      </w:tabs>
      <w:ind w:left="720" w:hanging="360"/>
    </w:pPr>
  </w:style>
  <w:style w:type="paragraph" w:styleId="43">
    <w:name w:val="HTML Address"/>
    <w:basedOn w:val="1"/>
    <w:link w:val="161"/>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1680" w:leftChars="800"/>
    </w:pPr>
  </w:style>
  <w:style w:type="paragraph" w:styleId="46">
    <w:name w:val="toc 3"/>
    <w:basedOn w:val="1"/>
    <w:next w:val="1"/>
    <w:qFormat/>
    <w:uiPriority w:val="0"/>
    <w:pPr>
      <w:tabs>
        <w:tab w:val="right" w:leader="dot" w:pos="8296"/>
      </w:tabs>
      <w:spacing w:line="312" w:lineRule="auto"/>
      <w:ind w:left="400" w:leftChars="400"/>
    </w:pPr>
    <w:rPr>
      <w:sz w:val="24"/>
    </w:rPr>
  </w:style>
  <w:style w:type="paragraph" w:styleId="47">
    <w:name w:val="Plain Text"/>
    <w:basedOn w:val="1"/>
    <w:link w:val="133"/>
    <w:qFormat/>
    <w:uiPriority w:val="0"/>
    <w:rPr>
      <w:rFonts w:ascii="宋体" w:hAnsi="Courier New" w:cs="Courier New"/>
      <w:szCs w:val="21"/>
    </w:rPr>
  </w:style>
  <w:style w:type="paragraph" w:styleId="48">
    <w:name w:val="List Bullet 5"/>
    <w:basedOn w:val="1"/>
    <w:qFormat/>
    <w:uiPriority w:val="0"/>
    <w:pPr>
      <w:tabs>
        <w:tab w:val="left" w:pos="840"/>
        <w:tab w:val="left" w:pos="2040"/>
      </w:tabs>
      <w:ind w:left="840" w:hanging="420"/>
    </w:pPr>
  </w:style>
  <w:style w:type="paragraph" w:styleId="49">
    <w:name w:val="List Number 4"/>
    <w:basedOn w:val="1"/>
    <w:qFormat/>
    <w:uiPriority w:val="0"/>
    <w:pPr>
      <w:tabs>
        <w:tab w:val="left" w:pos="960"/>
        <w:tab w:val="left" w:pos="1620"/>
      </w:tabs>
      <w:ind w:left="960" w:hanging="720"/>
    </w:pPr>
  </w:style>
  <w:style w:type="paragraph" w:styleId="50">
    <w:name w:val="toc 8"/>
    <w:basedOn w:val="1"/>
    <w:next w:val="1"/>
    <w:qFormat/>
    <w:uiPriority w:val="0"/>
    <w:pPr>
      <w:ind w:left="2940" w:leftChars="1400"/>
    </w:pPr>
  </w:style>
  <w:style w:type="paragraph" w:styleId="51">
    <w:name w:val="index 3"/>
    <w:basedOn w:val="1"/>
    <w:next w:val="1"/>
    <w:qFormat/>
    <w:uiPriority w:val="0"/>
    <w:pPr>
      <w:ind w:left="400" w:leftChars="400"/>
    </w:pPr>
  </w:style>
  <w:style w:type="paragraph" w:styleId="52">
    <w:name w:val="Date"/>
    <w:basedOn w:val="1"/>
    <w:next w:val="1"/>
    <w:link w:val="131"/>
    <w:qFormat/>
    <w:uiPriority w:val="0"/>
    <w:pPr>
      <w:ind w:left="100" w:leftChars="2500"/>
    </w:pPr>
  </w:style>
  <w:style w:type="paragraph" w:styleId="53">
    <w:name w:val="Body Text Indent 2"/>
    <w:basedOn w:val="1"/>
    <w:link w:val="171"/>
    <w:qFormat/>
    <w:uiPriority w:val="0"/>
    <w:pPr>
      <w:spacing w:after="120" w:line="480" w:lineRule="auto"/>
      <w:ind w:left="420" w:leftChars="200"/>
    </w:pPr>
  </w:style>
  <w:style w:type="paragraph" w:styleId="54">
    <w:name w:val="endnote text"/>
    <w:basedOn w:val="1"/>
    <w:link w:val="169"/>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35"/>
    <w:qFormat/>
    <w:uiPriority w:val="0"/>
    <w:rPr>
      <w:sz w:val="18"/>
      <w:szCs w:val="18"/>
    </w:rPr>
  </w:style>
  <w:style w:type="paragraph" w:styleId="57">
    <w:name w:val="footer"/>
    <w:basedOn w:val="1"/>
    <w:link w:val="124"/>
    <w:qFormat/>
    <w:uiPriority w:val="99"/>
    <w:pPr>
      <w:tabs>
        <w:tab w:val="center" w:pos="4153"/>
        <w:tab w:val="right" w:pos="8306"/>
      </w:tabs>
      <w:snapToGrid w:val="0"/>
      <w:jc w:val="left"/>
    </w:pPr>
    <w:rPr>
      <w:sz w:val="18"/>
    </w:rPr>
  </w:style>
  <w:style w:type="paragraph" w:styleId="58">
    <w:name w:val="envelope return"/>
    <w:basedOn w:val="1"/>
    <w:qFormat/>
    <w:uiPriority w:val="0"/>
    <w:pPr>
      <w:snapToGrid w:val="0"/>
    </w:pPr>
    <w:rPr>
      <w:rFonts w:ascii="Arial" w:hAnsi="Arial" w:cs="Arial"/>
    </w:rPr>
  </w:style>
  <w:style w:type="paragraph" w:styleId="59">
    <w:name w:val="Body Text First Indent 2"/>
    <w:basedOn w:val="37"/>
    <w:link w:val="158"/>
    <w:qFormat/>
    <w:uiPriority w:val="0"/>
    <w:pPr>
      <w:ind w:firstLine="420" w:firstLineChars="200"/>
    </w:pPr>
  </w:style>
  <w:style w:type="paragraph" w:styleId="60">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1">
    <w:name w:val="Signature"/>
    <w:basedOn w:val="1"/>
    <w:link w:val="164"/>
    <w:qFormat/>
    <w:uiPriority w:val="0"/>
    <w:pPr>
      <w:ind w:left="100" w:leftChars="2100"/>
    </w:pPr>
  </w:style>
  <w:style w:type="paragraph" w:styleId="62">
    <w:name w:val="toc 1"/>
    <w:basedOn w:val="1"/>
    <w:next w:val="1"/>
    <w:qFormat/>
    <w:uiPriority w:val="0"/>
    <w:pPr>
      <w:tabs>
        <w:tab w:val="right" w:leader="dot" w:pos="8296"/>
      </w:tabs>
      <w:spacing w:line="312" w:lineRule="auto"/>
    </w:pPr>
    <w:rPr>
      <w:sz w:val="24"/>
    </w:rPr>
  </w:style>
  <w:style w:type="paragraph" w:styleId="63">
    <w:name w:val="List Continue 4"/>
    <w:basedOn w:val="1"/>
    <w:qFormat/>
    <w:uiPriority w:val="0"/>
    <w:pPr>
      <w:spacing w:after="120"/>
      <w:ind w:left="1680" w:leftChars="800"/>
    </w:pPr>
  </w:style>
  <w:style w:type="paragraph" w:styleId="64">
    <w:name w:val="toc 4"/>
    <w:basedOn w:val="1"/>
    <w:next w:val="1"/>
    <w:qFormat/>
    <w:uiPriority w:val="0"/>
    <w:pPr>
      <w:ind w:left="1260" w:leftChars="600"/>
    </w:pPr>
  </w:style>
  <w:style w:type="paragraph" w:styleId="65">
    <w:name w:val="index heading"/>
    <w:basedOn w:val="1"/>
    <w:next w:val="66"/>
    <w:qFormat/>
    <w:uiPriority w:val="0"/>
    <w:rPr>
      <w:rFonts w:ascii="Arial" w:hAnsi="Arial" w:cs="Arial"/>
      <w:b/>
      <w:bCs/>
    </w:rPr>
  </w:style>
  <w:style w:type="paragraph" w:styleId="66">
    <w:name w:val="index 1"/>
    <w:basedOn w:val="1"/>
    <w:next w:val="1"/>
    <w:qFormat/>
    <w:uiPriority w:val="0"/>
  </w:style>
  <w:style w:type="paragraph" w:styleId="67">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8">
    <w:name w:val="List Number 5"/>
    <w:basedOn w:val="1"/>
    <w:qFormat/>
    <w:uiPriority w:val="0"/>
    <w:pPr>
      <w:tabs>
        <w:tab w:val="left" w:pos="2040"/>
      </w:tabs>
    </w:pPr>
  </w:style>
  <w:style w:type="paragraph" w:styleId="69">
    <w:name w:val="List"/>
    <w:basedOn w:val="1"/>
    <w:qFormat/>
    <w:uiPriority w:val="0"/>
    <w:pPr>
      <w:ind w:left="200" w:hanging="200" w:hangingChars="200"/>
    </w:pPr>
  </w:style>
  <w:style w:type="paragraph" w:styleId="70">
    <w:name w:val="footnote text"/>
    <w:basedOn w:val="1"/>
    <w:link w:val="165"/>
    <w:qFormat/>
    <w:uiPriority w:val="0"/>
    <w:pPr>
      <w:snapToGrid w:val="0"/>
      <w:jc w:val="left"/>
    </w:pPr>
    <w:rPr>
      <w:sz w:val="18"/>
      <w:szCs w:val="18"/>
    </w:rPr>
  </w:style>
  <w:style w:type="paragraph" w:styleId="71">
    <w:name w:val="toc 6"/>
    <w:basedOn w:val="1"/>
    <w:next w:val="1"/>
    <w:qFormat/>
    <w:uiPriority w:val="0"/>
    <w:pPr>
      <w:ind w:left="2100" w:leftChars="1000"/>
    </w:pPr>
  </w:style>
  <w:style w:type="paragraph" w:styleId="72">
    <w:name w:val="List 5"/>
    <w:basedOn w:val="1"/>
    <w:qFormat/>
    <w:uiPriority w:val="0"/>
    <w:pPr>
      <w:ind w:left="100" w:leftChars="800" w:hanging="200" w:hangingChars="200"/>
    </w:pPr>
  </w:style>
  <w:style w:type="paragraph" w:styleId="73">
    <w:name w:val="Body Text Indent 3"/>
    <w:basedOn w:val="1"/>
    <w:link w:val="162"/>
    <w:qFormat/>
    <w:uiPriority w:val="0"/>
    <w:pPr>
      <w:spacing w:after="120"/>
      <w:ind w:left="420" w:leftChars="200"/>
    </w:pPr>
    <w:rPr>
      <w:sz w:val="16"/>
      <w:szCs w:val="16"/>
    </w:rPr>
  </w:style>
  <w:style w:type="paragraph" w:styleId="74">
    <w:name w:val="index 7"/>
    <w:basedOn w:val="1"/>
    <w:next w:val="1"/>
    <w:qFormat/>
    <w:uiPriority w:val="0"/>
    <w:pPr>
      <w:ind w:left="1200" w:leftChars="1200"/>
    </w:pPr>
  </w:style>
  <w:style w:type="paragraph" w:styleId="75">
    <w:name w:val="index 9"/>
    <w:basedOn w:val="1"/>
    <w:next w:val="1"/>
    <w:qFormat/>
    <w:uiPriority w:val="0"/>
    <w:pPr>
      <w:ind w:left="1600" w:leftChars="1600"/>
    </w:pPr>
  </w:style>
  <w:style w:type="paragraph" w:styleId="76">
    <w:name w:val="table of figures"/>
    <w:basedOn w:val="1"/>
    <w:next w:val="1"/>
    <w:qFormat/>
    <w:uiPriority w:val="0"/>
    <w:pPr>
      <w:ind w:left="200" w:leftChars="200" w:hanging="200" w:hangingChars="200"/>
    </w:pPr>
  </w:style>
  <w:style w:type="paragraph" w:styleId="77">
    <w:name w:val="toc 2"/>
    <w:basedOn w:val="1"/>
    <w:next w:val="1"/>
    <w:qFormat/>
    <w:uiPriority w:val="0"/>
    <w:pPr>
      <w:tabs>
        <w:tab w:val="right" w:leader="dot" w:pos="8296"/>
      </w:tabs>
      <w:spacing w:line="312" w:lineRule="auto"/>
      <w:ind w:left="420" w:leftChars="200"/>
    </w:pPr>
    <w:rPr>
      <w:sz w:val="24"/>
    </w:rPr>
  </w:style>
  <w:style w:type="paragraph" w:styleId="78">
    <w:name w:val="toc 9"/>
    <w:basedOn w:val="1"/>
    <w:next w:val="1"/>
    <w:qFormat/>
    <w:uiPriority w:val="0"/>
    <w:pPr>
      <w:ind w:left="3360" w:leftChars="1600"/>
    </w:pPr>
  </w:style>
  <w:style w:type="paragraph" w:styleId="79">
    <w:name w:val="Body Text 2"/>
    <w:basedOn w:val="1"/>
    <w:link w:val="167"/>
    <w:qFormat/>
    <w:uiPriority w:val="0"/>
    <w:pPr>
      <w:spacing w:after="120" w:line="480" w:lineRule="auto"/>
    </w:p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3">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ind w:left="1260" w:leftChars="600"/>
    </w:pPr>
  </w:style>
  <w:style w:type="paragraph" w:styleId="86">
    <w:name w:val="index 2"/>
    <w:basedOn w:val="1"/>
    <w:next w:val="1"/>
    <w:qFormat/>
    <w:uiPriority w:val="0"/>
    <w:pPr>
      <w:ind w:left="200" w:leftChars="200"/>
    </w:pPr>
  </w:style>
  <w:style w:type="paragraph" w:styleId="87">
    <w:name w:val="Title"/>
    <w:basedOn w:val="1"/>
    <w:link w:val="127"/>
    <w:qFormat/>
    <w:uiPriority w:val="0"/>
    <w:pPr>
      <w:spacing w:before="240" w:after="60"/>
      <w:jc w:val="center"/>
      <w:outlineLvl w:val="0"/>
    </w:pPr>
    <w:rPr>
      <w:rFonts w:ascii="Arial" w:hAnsi="Arial" w:cs="Arial"/>
      <w:b/>
      <w:bCs/>
      <w:sz w:val="32"/>
      <w:szCs w:val="32"/>
    </w:rPr>
  </w:style>
  <w:style w:type="character" w:styleId="89">
    <w:name w:val="Strong"/>
    <w:basedOn w:val="88"/>
    <w:qFormat/>
    <w:uiPriority w:val="22"/>
    <w:rPr>
      <w:b/>
      <w:bCs/>
    </w:rPr>
  </w:style>
  <w:style w:type="character" w:styleId="90">
    <w:name w:val="endnote reference"/>
    <w:qFormat/>
    <w:uiPriority w:val="0"/>
    <w:rPr>
      <w:vertAlign w:val="superscript"/>
    </w:rPr>
  </w:style>
  <w:style w:type="character" w:styleId="91">
    <w:name w:val="page number"/>
    <w:basedOn w:val="88"/>
    <w:unhideWhenUsed/>
    <w:qFormat/>
    <w:uiPriority w:val="0"/>
    <w:rPr>
      <w:rFonts w:ascii="Times New Roman" w:hAnsi="Times New Roman" w:eastAsia="宋体"/>
      <w:sz w:val="18"/>
    </w:rPr>
  </w:style>
  <w:style w:type="character" w:styleId="92">
    <w:name w:val="FollowedHyperlink"/>
    <w:basedOn w:val="88"/>
    <w:qFormat/>
    <w:uiPriority w:val="99"/>
    <w:rPr>
      <w:color w:val="800080" w:themeColor="followedHyperlink"/>
      <w:u w:val="single"/>
      <w14:textFill>
        <w14:solidFill>
          <w14:schemeClr w14:val="folHlink"/>
        </w14:solidFill>
      </w14:textFill>
    </w:rPr>
  </w:style>
  <w:style w:type="character" w:styleId="93">
    <w:name w:val="Emphasis"/>
    <w:qFormat/>
    <w:uiPriority w:val="20"/>
    <w:rPr>
      <w:i/>
      <w:iCs/>
    </w:rPr>
  </w:style>
  <w:style w:type="character" w:styleId="94">
    <w:name w:val="line number"/>
    <w:basedOn w:val="88"/>
    <w:qFormat/>
    <w:uiPriority w:val="0"/>
  </w:style>
  <w:style w:type="character" w:styleId="95">
    <w:name w:val="HTML Definition"/>
    <w:qFormat/>
    <w:uiPriority w:val="0"/>
    <w:rPr>
      <w:i/>
      <w:iCs/>
    </w:rPr>
  </w:style>
  <w:style w:type="character" w:styleId="96">
    <w:name w:val="HTML Typewriter"/>
    <w:qFormat/>
    <w:uiPriority w:val="0"/>
    <w:rPr>
      <w:rFonts w:ascii="Courier New" w:hAnsi="Courier New" w:cs="Courier New"/>
      <w:sz w:val="20"/>
      <w:szCs w:val="20"/>
    </w:rPr>
  </w:style>
  <w:style w:type="character" w:styleId="97">
    <w:name w:val="HTML Acronym"/>
    <w:basedOn w:val="88"/>
    <w:qFormat/>
    <w:uiPriority w:val="0"/>
  </w:style>
  <w:style w:type="character" w:styleId="98">
    <w:name w:val="HTML Variable"/>
    <w:qFormat/>
    <w:uiPriority w:val="0"/>
    <w:rPr>
      <w:i/>
      <w:iCs/>
    </w:rPr>
  </w:style>
  <w:style w:type="character" w:styleId="99">
    <w:name w:val="Hyperlink"/>
    <w:basedOn w:val="88"/>
    <w:qFormat/>
    <w:uiPriority w:val="99"/>
    <w:rPr>
      <w:color w:val="0000FF"/>
      <w:u w:val="single"/>
    </w:rPr>
  </w:style>
  <w:style w:type="character" w:styleId="100">
    <w:name w:val="HTML Code"/>
    <w:qFormat/>
    <w:uiPriority w:val="0"/>
    <w:rPr>
      <w:rFonts w:ascii="Courier New" w:hAnsi="Courier New" w:cs="Courier New"/>
      <w:sz w:val="20"/>
      <w:szCs w:val="20"/>
    </w:rPr>
  </w:style>
  <w:style w:type="character" w:styleId="101">
    <w:name w:val="annotation reference"/>
    <w:basedOn w:val="88"/>
    <w:qFormat/>
    <w:uiPriority w:val="0"/>
    <w:rPr>
      <w:sz w:val="21"/>
      <w:szCs w:val="21"/>
    </w:rPr>
  </w:style>
  <w:style w:type="character" w:styleId="102">
    <w:name w:val="HTML Cite"/>
    <w:qFormat/>
    <w:uiPriority w:val="0"/>
    <w:rPr>
      <w:i/>
      <w:iCs/>
    </w:rPr>
  </w:style>
  <w:style w:type="character" w:styleId="103">
    <w:name w:val="footnote reference"/>
    <w:qFormat/>
    <w:uiPriority w:val="0"/>
    <w:rPr>
      <w:vertAlign w:val="superscript"/>
    </w:rPr>
  </w:style>
  <w:style w:type="character" w:styleId="104">
    <w:name w:val="HTML Keyboard"/>
    <w:qFormat/>
    <w:uiPriority w:val="0"/>
    <w:rPr>
      <w:rFonts w:ascii="Courier New" w:hAnsi="Courier New" w:cs="Courier New"/>
      <w:sz w:val="20"/>
      <w:szCs w:val="20"/>
    </w:rPr>
  </w:style>
  <w:style w:type="character" w:styleId="105">
    <w:name w:val="HTML Sample"/>
    <w:qFormat/>
    <w:uiPriority w:val="0"/>
    <w:rPr>
      <w:rFonts w:ascii="Courier New" w:hAnsi="Courier New" w:cs="Courier New"/>
    </w:rPr>
  </w:style>
  <w:style w:type="table" w:styleId="107">
    <w:name w:val="Table Grid"/>
    <w:basedOn w:val="10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8">
    <w:name w:val="标题 1 Char"/>
    <w:basedOn w:val="88"/>
    <w:link w:val="2"/>
    <w:qFormat/>
    <w:uiPriority w:val="0"/>
    <w:rPr>
      <w:b/>
      <w:bCs/>
      <w:kern w:val="44"/>
      <w:sz w:val="44"/>
      <w:szCs w:val="44"/>
    </w:rPr>
  </w:style>
  <w:style w:type="character" w:customStyle="1" w:styleId="109">
    <w:name w:val="标题 2 Char"/>
    <w:basedOn w:val="88"/>
    <w:link w:val="3"/>
    <w:qFormat/>
    <w:uiPriority w:val="0"/>
    <w:rPr>
      <w:rFonts w:ascii="Arial" w:hAnsi="Arial" w:eastAsia="黑体"/>
      <w:b/>
      <w:bCs/>
      <w:kern w:val="2"/>
      <w:sz w:val="32"/>
      <w:szCs w:val="32"/>
    </w:rPr>
  </w:style>
  <w:style w:type="character" w:customStyle="1" w:styleId="110">
    <w:name w:val="标题 3 Char"/>
    <w:basedOn w:val="88"/>
    <w:link w:val="4"/>
    <w:qFormat/>
    <w:uiPriority w:val="0"/>
    <w:rPr>
      <w:b/>
      <w:bCs/>
      <w:kern w:val="2"/>
      <w:sz w:val="32"/>
      <w:szCs w:val="32"/>
    </w:rPr>
  </w:style>
  <w:style w:type="character" w:customStyle="1" w:styleId="111">
    <w:name w:val="标题 4 Char"/>
    <w:basedOn w:val="88"/>
    <w:link w:val="5"/>
    <w:qFormat/>
    <w:uiPriority w:val="0"/>
    <w:rPr>
      <w:rFonts w:ascii="Arial" w:hAnsi="Arial" w:eastAsia="黑体"/>
      <w:b/>
      <w:bCs/>
      <w:kern w:val="2"/>
      <w:sz w:val="28"/>
      <w:szCs w:val="28"/>
    </w:rPr>
  </w:style>
  <w:style w:type="character" w:customStyle="1" w:styleId="112">
    <w:name w:val="标题 5 Char"/>
    <w:basedOn w:val="88"/>
    <w:link w:val="6"/>
    <w:qFormat/>
    <w:uiPriority w:val="0"/>
    <w:rPr>
      <w:b/>
      <w:bCs/>
      <w:kern w:val="2"/>
      <w:sz w:val="28"/>
      <w:szCs w:val="28"/>
    </w:rPr>
  </w:style>
  <w:style w:type="character" w:customStyle="1" w:styleId="113">
    <w:name w:val="标题 6 Char"/>
    <w:basedOn w:val="88"/>
    <w:link w:val="7"/>
    <w:qFormat/>
    <w:uiPriority w:val="0"/>
    <w:rPr>
      <w:rFonts w:ascii="Arial" w:hAnsi="Arial" w:eastAsia="黑体"/>
      <w:b/>
      <w:bCs/>
      <w:kern w:val="2"/>
      <w:sz w:val="24"/>
      <w:szCs w:val="24"/>
    </w:rPr>
  </w:style>
  <w:style w:type="character" w:customStyle="1" w:styleId="114">
    <w:name w:val="标题 7 Char"/>
    <w:basedOn w:val="88"/>
    <w:link w:val="8"/>
    <w:qFormat/>
    <w:uiPriority w:val="0"/>
    <w:rPr>
      <w:b/>
      <w:bCs/>
      <w:kern w:val="2"/>
      <w:sz w:val="24"/>
      <w:szCs w:val="24"/>
    </w:rPr>
  </w:style>
  <w:style w:type="character" w:customStyle="1" w:styleId="115">
    <w:name w:val="标题 8 Char"/>
    <w:basedOn w:val="88"/>
    <w:link w:val="9"/>
    <w:qFormat/>
    <w:uiPriority w:val="0"/>
    <w:rPr>
      <w:rFonts w:ascii="Arial" w:hAnsi="Arial" w:eastAsia="黑体"/>
      <w:kern w:val="2"/>
      <w:sz w:val="24"/>
      <w:szCs w:val="24"/>
    </w:rPr>
  </w:style>
  <w:style w:type="character" w:customStyle="1" w:styleId="116">
    <w:name w:val="标题 9 Char"/>
    <w:basedOn w:val="88"/>
    <w:link w:val="10"/>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88"/>
    <w:link w:val="13"/>
    <w:qFormat/>
    <w:uiPriority w:val="0"/>
    <w:rPr>
      <w:kern w:val="2"/>
      <w:sz w:val="21"/>
      <w:szCs w:val="21"/>
    </w:rPr>
  </w:style>
  <w:style w:type="character" w:customStyle="1" w:styleId="123">
    <w:name w:val="页眉 Char"/>
    <w:basedOn w:val="88"/>
    <w:link w:val="60"/>
    <w:qFormat/>
    <w:uiPriority w:val="0"/>
    <w:rPr>
      <w:kern w:val="2"/>
      <w:sz w:val="18"/>
      <w:szCs w:val="24"/>
    </w:rPr>
  </w:style>
  <w:style w:type="character" w:customStyle="1" w:styleId="124">
    <w:name w:val="页脚 Char"/>
    <w:basedOn w:val="88"/>
    <w:link w:val="57"/>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88"/>
    <w:link w:val="87"/>
    <w:qFormat/>
    <w:uiPriority w:val="0"/>
    <w:rPr>
      <w:rFonts w:ascii="Arial" w:hAnsi="Arial" w:cs="Arial"/>
      <w:b/>
      <w:bCs/>
      <w:kern w:val="2"/>
      <w:sz w:val="32"/>
      <w:szCs w:val="32"/>
    </w:rPr>
  </w:style>
  <w:style w:type="character" w:customStyle="1" w:styleId="128">
    <w:name w:val="t_tag"/>
    <w:basedOn w:val="88"/>
    <w:qFormat/>
    <w:uiPriority w:val="0"/>
  </w:style>
  <w:style w:type="character" w:customStyle="1" w:styleId="129">
    <w:name w:val="apple-converted-space"/>
    <w:basedOn w:val="88"/>
    <w:qFormat/>
    <w:uiPriority w:val="0"/>
  </w:style>
  <w:style w:type="character" w:customStyle="1" w:styleId="130">
    <w:name w:val="apple-style-span"/>
    <w:basedOn w:val="88"/>
    <w:qFormat/>
    <w:uiPriority w:val="0"/>
  </w:style>
  <w:style w:type="character" w:customStyle="1" w:styleId="131">
    <w:name w:val="日期 Char"/>
    <w:basedOn w:val="88"/>
    <w:link w:val="52"/>
    <w:qFormat/>
    <w:uiPriority w:val="0"/>
    <w:rPr>
      <w:kern w:val="2"/>
      <w:sz w:val="21"/>
      <w:szCs w:val="24"/>
    </w:rPr>
  </w:style>
  <w:style w:type="character" w:customStyle="1" w:styleId="132">
    <w:name w:val="HTML 预设格式 Char"/>
    <w:basedOn w:val="88"/>
    <w:link w:val="83"/>
    <w:qFormat/>
    <w:uiPriority w:val="99"/>
    <w:rPr>
      <w:rFonts w:ascii="宋体" w:hAnsi="宋体" w:cs="宋体"/>
      <w:sz w:val="24"/>
      <w:szCs w:val="24"/>
    </w:rPr>
  </w:style>
  <w:style w:type="character" w:customStyle="1" w:styleId="133">
    <w:name w:val="纯文本 Char"/>
    <w:basedOn w:val="88"/>
    <w:link w:val="47"/>
    <w:qFormat/>
    <w:uiPriority w:val="0"/>
    <w:rPr>
      <w:rFonts w:ascii="宋体" w:hAnsi="Courier New" w:cs="Courier New"/>
      <w:kern w:val="2"/>
      <w:sz w:val="21"/>
      <w:szCs w:val="21"/>
    </w:rPr>
  </w:style>
  <w:style w:type="character" w:customStyle="1" w:styleId="134">
    <w:name w:val="批注主题 Char"/>
    <w:basedOn w:val="122"/>
    <w:link w:val="12"/>
    <w:qFormat/>
    <w:uiPriority w:val="0"/>
    <w:rPr>
      <w:b/>
      <w:bCs/>
      <w:kern w:val="2"/>
      <w:sz w:val="21"/>
      <w:szCs w:val="24"/>
    </w:rPr>
  </w:style>
  <w:style w:type="character" w:customStyle="1" w:styleId="135">
    <w:name w:val="批注框文本 Char"/>
    <w:basedOn w:val="88"/>
    <w:link w:val="56"/>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88"/>
    <w:link w:val="121"/>
    <w:qFormat/>
    <w:uiPriority w:val="0"/>
    <w:rPr>
      <w:rFonts w:ascii="宋体" w:hAnsi="宋体"/>
      <w:sz w:val="21"/>
    </w:rPr>
  </w:style>
  <w:style w:type="character" w:customStyle="1" w:styleId="138">
    <w:name w:val="short_text1"/>
    <w:basedOn w:val="88"/>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88"/>
    <w:link w:val="19"/>
    <w:qFormat/>
    <w:uiPriority w:val="0"/>
    <w:rPr>
      <w:rFonts w:ascii="Courier New" w:hAnsi="Courier New" w:cs="Courier New"/>
      <w:kern w:val="2"/>
      <w:sz w:val="24"/>
      <w:szCs w:val="24"/>
    </w:rPr>
  </w:style>
  <w:style w:type="character" w:customStyle="1" w:styleId="155">
    <w:name w:val="正文文本 Char"/>
    <w:basedOn w:val="88"/>
    <w:link w:val="16"/>
    <w:qFormat/>
    <w:uiPriority w:val="0"/>
    <w:rPr>
      <w:kern w:val="2"/>
      <w:sz w:val="21"/>
      <w:szCs w:val="24"/>
    </w:rPr>
  </w:style>
  <w:style w:type="character" w:customStyle="1" w:styleId="156">
    <w:name w:val="正文首行缩进 Char"/>
    <w:basedOn w:val="155"/>
    <w:link w:val="15"/>
    <w:qFormat/>
    <w:uiPriority w:val="0"/>
    <w:rPr>
      <w:kern w:val="2"/>
      <w:sz w:val="21"/>
      <w:szCs w:val="24"/>
    </w:rPr>
  </w:style>
  <w:style w:type="character" w:customStyle="1" w:styleId="157">
    <w:name w:val="正文文本缩进 Char"/>
    <w:basedOn w:val="88"/>
    <w:link w:val="37"/>
    <w:qFormat/>
    <w:uiPriority w:val="0"/>
    <w:rPr>
      <w:kern w:val="2"/>
      <w:sz w:val="21"/>
      <w:szCs w:val="24"/>
    </w:rPr>
  </w:style>
  <w:style w:type="character" w:customStyle="1" w:styleId="158">
    <w:name w:val="正文首行缩进 2 Char"/>
    <w:basedOn w:val="157"/>
    <w:link w:val="59"/>
    <w:qFormat/>
    <w:uiPriority w:val="0"/>
    <w:rPr>
      <w:kern w:val="2"/>
      <w:sz w:val="21"/>
      <w:szCs w:val="24"/>
    </w:rPr>
  </w:style>
  <w:style w:type="character" w:customStyle="1" w:styleId="159">
    <w:name w:val="文档结构图 Char"/>
    <w:basedOn w:val="88"/>
    <w:link w:val="30"/>
    <w:qFormat/>
    <w:uiPriority w:val="0"/>
    <w:rPr>
      <w:kern w:val="2"/>
      <w:sz w:val="21"/>
      <w:szCs w:val="24"/>
      <w:shd w:val="clear" w:color="auto" w:fill="000080"/>
    </w:rPr>
  </w:style>
  <w:style w:type="character" w:customStyle="1" w:styleId="160">
    <w:name w:val="正文文本 3 Char"/>
    <w:basedOn w:val="88"/>
    <w:link w:val="34"/>
    <w:qFormat/>
    <w:uiPriority w:val="0"/>
    <w:rPr>
      <w:kern w:val="2"/>
      <w:sz w:val="16"/>
      <w:szCs w:val="16"/>
    </w:rPr>
  </w:style>
  <w:style w:type="character" w:customStyle="1" w:styleId="161">
    <w:name w:val="HTML 地址 Char"/>
    <w:basedOn w:val="88"/>
    <w:link w:val="43"/>
    <w:qFormat/>
    <w:uiPriority w:val="0"/>
    <w:rPr>
      <w:i/>
      <w:iCs/>
      <w:kern w:val="2"/>
      <w:sz w:val="21"/>
      <w:szCs w:val="24"/>
    </w:rPr>
  </w:style>
  <w:style w:type="character" w:customStyle="1" w:styleId="162">
    <w:name w:val="正文文本缩进 3 Char"/>
    <w:basedOn w:val="88"/>
    <w:link w:val="73"/>
    <w:qFormat/>
    <w:uiPriority w:val="0"/>
    <w:rPr>
      <w:kern w:val="2"/>
      <w:sz w:val="16"/>
      <w:szCs w:val="16"/>
    </w:rPr>
  </w:style>
  <w:style w:type="character" w:customStyle="1" w:styleId="163">
    <w:name w:val="电子邮件签名 Char"/>
    <w:basedOn w:val="88"/>
    <w:link w:val="23"/>
    <w:qFormat/>
    <w:uiPriority w:val="0"/>
    <w:rPr>
      <w:kern w:val="2"/>
      <w:sz w:val="21"/>
      <w:szCs w:val="24"/>
    </w:rPr>
  </w:style>
  <w:style w:type="character" w:customStyle="1" w:styleId="164">
    <w:name w:val="签名 Char"/>
    <w:basedOn w:val="88"/>
    <w:link w:val="61"/>
    <w:qFormat/>
    <w:uiPriority w:val="0"/>
    <w:rPr>
      <w:kern w:val="2"/>
      <w:sz w:val="21"/>
      <w:szCs w:val="24"/>
    </w:rPr>
  </w:style>
  <w:style w:type="character" w:customStyle="1" w:styleId="165">
    <w:name w:val="脚注文本 Char"/>
    <w:basedOn w:val="88"/>
    <w:link w:val="70"/>
    <w:qFormat/>
    <w:uiPriority w:val="0"/>
    <w:rPr>
      <w:kern w:val="2"/>
      <w:sz w:val="18"/>
      <w:szCs w:val="18"/>
    </w:rPr>
  </w:style>
  <w:style w:type="character" w:customStyle="1" w:styleId="166">
    <w:name w:val="注释标题 Char"/>
    <w:basedOn w:val="88"/>
    <w:link w:val="20"/>
    <w:qFormat/>
    <w:uiPriority w:val="0"/>
    <w:rPr>
      <w:kern w:val="2"/>
      <w:sz w:val="21"/>
      <w:szCs w:val="24"/>
    </w:rPr>
  </w:style>
  <w:style w:type="character" w:customStyle="1" w:styleId="167">
    <w:name w:val="正文文本 2 Char"/>
    <w:basedOn w:val="88"/>
    <w:link w:val="79"/>
    <w:qFormat/>
    <w:uiPriority w:val="0"/>
    <w:rPr>
      <w:kern w:val="2"/>
      <w:sz w:val="21"/>
      <w:szCs w:val="24"/>
    </w:rPr>
  </w:style>
  <w:style w:type="character" w:customStyle="1" w:styleId="168">
    <w:name w:val="称呼 Char"/>
    <w:basedOn w:val="88"/>
    <w:link w:val="33"/>
    <w:qFormat/>
    <w:uiPriority w:val="0"/>
    <w:rPr>
      <w:kern w:val="2"/>
      <w:sz w:val="21"/>
      <w:szCs w:val="24"/>
    </w:rPr>
  </w:style>
  <w:style w:type="character" w:customStyle="1" w:styleId="169">
    <w:name w:val="尾注文本 Char"/>
    <w:basedOn w:val="88"/>
    <w:link w:val="54"/>
    <w:qFormat/>
    <w:uiPriority w:val="0"/>
    <w:rPr>
      <w:kern w:val="2"/>
      <w:sz w:val="21"/>
      <w:szCs w:val="24"/>
    </w:rPr>
  </w:style>
  <w:style w:type="character" w:customStyle="1" w:styleId="170">
    <w:name w:val="结束语 Char"/>
    <w:basedOn w:val="88"/>
    <w:link w:val="35"/>
    <w:qFormat/>
    <w:uiPriority w:val="0"/>
    <w:rPr>
      <w:kern w:val="2"/>
      <w:sz w:val="21"/>
      <w:szCs w:val="24"/>
    </w:rPr>
  </w:style>
  <w:style w:type="character" w:customStyle="1" w:styleId="171">
    <w:name w:val="正文文本缩进 2 Char"/>
    <w:basedOn w:val="88"/>
    <w:link w:val="53"/>
    <w:qFormat/>
    <w:uiPriority w:val="0"/>
    <w:rPr>
      <w:kern w:val="2"/>
      <w:sz w:val="21"/>
      <w:szCs w:val="24"/>
    </w:rPr>
  </w:style>
  <w:style w:type="character" w:customStyle="1" w:styleId="172">
    <w:name w:val="副标题 Char"/>
    <w:basedOn w:val="88"/>
    <w:link w:val="67"/>
    <w:qFormat/>
    <w:uiPriority w:val="0"/>
    <w:rPr>
      <w:rFonts w:ascii="Arial" w:hAnsi="Arial" w:cs="Arial"/>
      <w:b/>
      <w:bCs/>
      <w:kern w:val="28"/>
      <w:sz w:val="32"/>
      <w:szCs w:val="32"/>
    </w:rPr>
  </w:style>
  <w:style w:type="character" w:customStyle="1" w:styleId="173">
    <w:name w:val="信息标题 Char"/>
    <w:basedOn w:val="88"/>
    <w:link w:val="82"/>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16"/>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16"/>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2"/>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2"/>
    <w:next w:val="150"/>
    <w:qFormat/>
    <w:uiPriority w:val="0"/>
    <w:pPr>
      <w:spacing w:line="576" w:lineRule="auto"/>
      <w:jc w:val="center"/>
    </w:pPr>
    <w:rPr>
      <w:rFonts w:eastAsia="黑体"/>
      <w:sz w:val="30"/>
    </w:rPr>
  </w:style>
  <w:style w:type="paragraph" w:customStyle="1" w:styleId="189">
    <w:name w:val="基准页脚样式"/>
    <w:basedOn w:val="16"/>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2"/>
    <w:qFormat/>
    <w:uiPriority w:val="0"/>
    <w:pPr>
      <w:spacing w:line="576" w:lineRule="auto"/>
    </w:pPr>
  </w:style>
  <w:style w:type="paragraph" w:customStyle="1" w:styleId="194">
    <w:name w:val="u正文2级标题"/>
    <w:basedOn w:val="3"/>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16"/>
    <w:next w:val="16"/>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2"/>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16"/>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4"/>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6"/>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88"/>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91"/>
    <w:basedOn w:val="88"/>
    <w:qFormat/>
    <w:uiPriority w:val="0"/>
    <w:rPr>
      <w:rFonts w:hint="eastAsia" w:ascii="宋体" w:hAnsi="宋体" w:eastAsia="宋体" w:cs="宋体"/>
      <w:b/>
      <w:color w:val="000000"/>
      <w:sz w:val="32"/>
      <w:szCs w:val="32"/>
      <w:u w:val="none"/>
    </w:rPr>
  </w:style>
  <w:style w:type="character" w:customStyle="1" w:styleId="253">
    <w:name w:val="font11"/>
    <w:basedOn w:val="88"/>
    <w:qFormat/>
    <w:uiPriority w:val="0"/>
    <w:rPr>
      <w:rFonts w:hint="default" w:ascii="Times New Roman" w:hAnsi="Times New Roman" w:cs="Times New Roman"/>
      <w:b/>
      <w:color w:val="000000"/>
      <w:sz w:val="32"/>
      <w:szCs w:val="32"/>
      <w:u w:val="none"/>
    </w:rPr>
  </w:style>
  <w:style w:type="character" w:customStyle="1" w:styleId="254">
    <w:name w:val="font71"/>
    <w:basedOn w:val="88"/>
    <w:qFormat/>
    <w:uiPriority w:val="0"/>
    <w:rPr>
      <w:rFonts w:hint="default" w:ascii="Times New Roman" w:hAnsi="Times New Roman" w:cs="Times New Roman"/>
      <w:b/>
      <w:color w:val="000000"/>
      <w:sz w:val="20"/>
      <w:szCs w:val="20"/>
      <w:u w:val="none"/>
    </w:rPr>
  </w:style>
  <w:style w:type="character" w:customStyle="1" w:styleId="255">
    <w:name w:val="font41"/>
    <w:basedOn w:val="88"/>
    <w:qFormat/>
    <w:uiPriority w:val="0"/>
    <w:rPr>
      <w:rFonts w:hint="eastAsia" w:ascii="宋体" w:hAnsi="宋体" w:eastAsia="宋体" w:cs="宋体"/>
      <w:b/>
      <w:color w:val="000000"/>
      <w:sz w:val="20"/>
      <w:szCs w:val="20"/>
      <w:u w:val="none"/>
    </w:rPr>
  </w:style>
  <w:style w:type="character" w:customStyle="1" w:styleId="256">
    <w:name w:val="font51"/>
    <w:basedOn w:val="88"/>
    <w:qFormat/>
    <w:uiPriority w:val="0"/>
    <w:rPr>
      <w:rFonts w:hint="eastAsia" w:ascii="宋体" w:hAnsi="宋体" w:eastAsia="宋体" w:cs="宋体"/>
      <w:color w:val="000000"/>
      <w:sz w:val="20"/>
      <w:szCs w:val="20"/>
      <w:u w:val="none"/>
    </w:rPr>
  </w:style>
  <w:style w:type="character" w:customStyle="1" w:styleId="257">
    <w:name w:val="font21"/>
    <w:basedOn w:val="88"/>
    <w:qFormat/>
    <w:uiPriority w:val="0"/>
    <w:rPr>
      <w:rFonts w:hint="default" w:ascii="Times New Roman" w:hAnsi="Times New Roman" w:cs="Times New Roman"/>
      <w:color w:val="000000"/>
      <w:sz w:val="20"/>
      <w:szCs w:val="20"/>
      <w:u w:val="none"/>
    </w:rPr>
  </w:style>
  <w:style w:type="character" w:customStyle="1" w:styleId="258">
    <w:name w:val="font81"/>
    <w:basedOn w:val="88"/>
    <w:qFormat/>
    <w:uiPriority w:val="0"/>
    <w:rPr>
      <w:rFonts w:hint="eastAsia" w:ascii="宋体" w:hAnsi="宋体" w:eastAsia="宋体" w:cs="宋体"/>
      <w:color w:val="FF0000"/>
      <w:sz w:val="20"/>
      <w:szCs w:val="20"/>
      <w:u w:val="none"/>
    </w:rPr>
  </w:style>
  <w:style w:type="character" w:customStyle="1" w:styleId="259">
    <w:name w:val="font31"/>
    <w:basedOn w:val="88"/>
    <w:qFormat/>
    <w:uiPriority w:val="0"/>
    <w:rPr>
      <w:rFonts w:hint="default" w:ascii="Times New Roman" w:hAnsi="Times New Roman" w:cs="Times New Roman"/>
      <w:color w:val="FF0000"/>
      <w:sz w:val="20"/>
      <w:szCs w:val="20"/>
      <w:u w:val="none"/>
    </w:rPr>
  </w:style>
  <w:style w:type="character" w:customStyle="1" w:styleId="260">
    <w:name w:val="font61"/>
    <w:basedOn w:val="88"/>
    <w:qFormat/>
    <w:uiPriority w:val="0"/>
    <w:rPr>
      <w:rFonts w:hint="default" w:ascii="Times New Roman" w:hAnsi="Times New Roman" w:cs="Times New Roman"/>
      <w:b/>
      <w:color w:val="000000"/>
      <w:sz w:val="20"/>
      <w:szCs w:val="20"/>
      <w:u w:val="none"/>
    </w:rPr>
  </w:style>
  <w:style w:type="character" w:customStyle="1" w:styleId="261">
    <w:name w:val="font01"/>
    <w:basedOn w:val="88"/>
    <w:qFormat/>
    <w:uiPriority w:val="0"/>
    <w:rPr>
      <w:rFonts w:hint="eastAsia" w:ascii="宋体" w:hAnsi="宋体" w:eastAsia="宋体" w:cs="宋体"/>
      <w:color w:val="000000"/>
      <w:sz w:val="22"/>
      <w:szCs w:val="22"/>
      <w:u w:val="none"/>
    </w:rPr>
  </w:style>
  <w:style w:type="paragraph" w:customStyle="1" w:styleId="262">
    <w:name w:val="ENFI正文"/>
    <w:basedOn w:val="1"/>
    <w:qFormat/>
    <w:uiPriority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6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6981-9A35-4B5D-B7A8-39CBF6857D7E}">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43</Pages>
  <Words>39076</Words>
  <Characters>222738</Characters>
  <Lines>1856</Lines>
  <Paragraphs>522</Paragraphs>
  <TotalTime>3</TotalTime>
  <ScaleCrop>false</ScaleCrop>
  <LinksUpToDate>false</LinksUpToDate>
  <CharactersWithSpaces>261292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2021-04-07T07:11:00Z</dcterms:created>
  <dc:creator>zljy05</dc:creator>
  <cp:lastModifiedBy>Administrator</cp:lastModifiedBy>
  <cp:lastPrinted>2021-07-09T07:12:00Z</cp:lastPrinted>
  <dcterms:modified xsi:type="dcterms:W3CDTF">2021-11-29T07:39:53Z</dcterms:modified>
  <dc:title>再生锌化学分析方法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