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lang w:val="en-US" w:eastAsia="zh-CN"/>
        </w:rPr>
        <w:t>团体标准</w:t>
      </w:r>
      <w:r>
        <w:rPr>
          <w:rFonts w:hint="eastAsia" w:ascii="黑体" w:hAnsi="黑体" w:eastAsia="黑体" w:cs="黑体"/>
          <w:b/>
          <w:sz w:val="36"/>
          <w:szCs w:val="36"/>
        </w:rPr>
        <w:t>《绿色设计产品评价技术规范 镍钴酸锂》</w:t>
      </w:r>
    </w:p>
    <w:p>
      <w:pPr>
        <w:jc w:val="center"/>
        <w:rPr>
          <w:rFonts w:hint="eastAsia" w:ascii="黑体" w:hAnsi="黑体" w:eastAsia="黑体" w:cs="黑体"/>
          <w:b/>
          <w:sz w:val="36"/>
          <w:szCs w:val="36"/>
        </w:rPr>
      </w:pPr>
      <w:r>
        <w:rPr>
          <w:rFonts w:hint="eastAsia" w:ascii="黑体" w:hAnsi="黑体" w:eastAsia="黑体" w:cs="黑体"/>
          <w:b/>
          <w:sz w:val="36"/>
          <w:szCs w:val="36"/>
        </w:rPr>
        <w:t>编制说明</w:t>
      </w:r>
    </w:p>
    <w:p>
      <w:pPr>
        <w:spacing w:line="360" w:lineRule="auto"/>
        <w:jc w:val="center"/>
        <w:rPr>
          <w:rFonts w:hint="default" w:ascii="Times New Roman" w:hAnsi="Times New Roman" w:eastAsia="黑体" w:cs="Times New Roman"/>
          <w:b w:val="0"/>
          <w:bCs/>
          <w:sz w:val="24"/>
          <w:szCs w:val="24"/>
        </w:rPr>
      </w:pPr>
      <w:r>
        <w:rPr>
          <w:rFonts w:hint="eastAsia" w:ascii="黑体" w:hAnsi="黑体" w:eastAsia="黑体" w:cs="黑体"/>
          <w:b/>
          <w:sz w:val="36"/>
          <w:szCs w:val="36"/>
        </w:rPr>
        <w:t>（</w:t>
      </w:r>
      <w:r>
        <w:rPr>
          <w:rFonts w:hint="eastAsia" w:ascii="黑体" w:hAnsi="黑体" w:eastAsia="黑体" w:cs="黑体"/>
          <w:b/>
          <w:sz w:val="36"/>
          <w:szCs w:val="36"/>
          <w:lang w:val="en-US" w:eastAsia="zh-CN"/>
        </w:rPr>
        <w:t>征求意见稿</w:t>
      </w:r>
      <w:r>
        <w:rPr>
          <w:rFonts w:hint="eastAsia" w:ascii="黑体" w:hAnsi="黑体" w:eastAsia="黑体" w:cs="黑体"/>
          <w:b/>
          <w:sz w:val="36"/>
          <w:szCs w:val="36"/>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一、工作简况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1.1</w:t>
      </w:r>
      <w:r>
        <w:rPr>
          <w:rFonts w:hint="eastAsia" w:ascii="Times New Roman" w:hAnsi="Times New Roman" w:eastAsia="黑体" w:cs="Times New Roman"/>
          <w:b w:val="0"/>
          <w:bCs/>
          <w:sz w:val="24"/>
          <w:szCs w:val="24"/>
          <w:lang w:val="en-US" w:eastAsia="zh-CN"/>
        </w:rPr>
        <w:t xml:space="preserve">  </w:t>
      </w:r>
      <w:r>
        <w:rPr>
          <w:rFonts w:hint="default" w:ascii="Times New Roman" w:hAnsi="Times New Roman" w:eastAsia="黑体" w:cs="Times New Roman"/>
          <w:b w:val="0"/>
          <w:bCs/>
          <w:sz w:val="24"/>
          <w:szCs w:val="24"/>
        </w:rPr>
        <w:t>任务来源与计划要求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color w:val="000000"/>
          <w:sz w:val="24"/>
          <w:szCs w:val="24"/>
          <w:lang w:val="en-US" w:eastAsia="zh-CN"/>
        </w:rPr>
        <w:t>根据</w:t>
      </w:r>
      <w:r>
        <w:rPr>
          <w:rFonts w:hint="eastAsia" w:ascii="Times New Roman" w:hAnsi="Times New Roman" w:cs="Times New Roman"/>
          <w:color w:val="000000"/>
          <w:sz w:val="24"/>
          <w:szCs w:val="24"/>
        </w:rPr>
        <w:t>中国有色金属工业协会《关于下达2021第二批协会标准制修订计划的通知》（中色协科字[2021]88号）精神</w:t>
      </w:r>
      <w:r>
        <w:rPr>
          <w:rFonts w:hint="default" w:ascii="Times New Roman" w:hAnsi="Times New Roman" w:cs="Times New Roman"/>
          <w:color w:val="000000"/>
          <w:sz w:val="24"/>
          <w:szCs w:val="24"/>
          <w:lang w:val="en-US" w:eastAsia="zh-CN"/>
        </w:rPr>
        <w:t>，由</w:t>
      </w:r>
      <w:r>
        <w:rPr>
          <w:rFonts w:hint="eastAsia" w:ascii="Times New Roman" w:hAnsi="Times New Roman" w:cs="Times New Roman"/>
          <w:color w:val="000000"/>
          <w:sz w:val="24"/>
          <w:szCs w:val="24"/>
          <w:lang w:val="en-US" w:eastAsia="zh-CN"/>
        </w:rPr>
        <w:t>湖南长远锂科股份有限公司</w:t>
      </w:r>
      <w:r>
        <w:rPr>
          <w:rFonts w:hint="default" w:ascii="Times New Roman" w:hAnsi="Times New Roman" w:cs="Times New Roman"/>
          <w:color w:val="000000"/>
          <w:sz w:val="24"/>
          <w:szCs w:val="24"/>
          <w:lang w:val="en-US" w:eastAsia="zh-CN"/>
        </w:rPr>
        <w:t>负责起草</w:t>
      </w:r>
      <w:r>
        <w:rPr>
          <w:rFonts w:hint="eastAsia" w:ascii="Times New Roman" w:hAnsi="Times New Roman" w:cs="Times New Roman"/>
          <w:color w:val="000000"/>
          <w:sz w:val="24"/>
          <w:szCs w:val="24"/>
          <w:lang w:val="en-US" w:eastAsia="zh-CN"/>
        </w:rPr>
        <w:t>有色金属协会标准</w:t>
      </w:r>
      <w:r>
        <w:rPr>
          <w:rFonts w:hint="default" w:ascii="Times New Roman" w:hAnsi="Times New Roman" w:cs="Times New Roman"/>
          <w:color w:val="000000"/>
          <w:sz w:val="24"/>
          <w:szCs w:val="24"/>
          <w:lang w:val="en-US" w:eastAsia="zh-CN"/>
        </w:rPr>
        <w:t>《</w:t>
      </w:r>
      <w:r>
        <w:rPr>
          <w:rFonts w:hint="eastAsia" w:ascii="Times New Roman" w:hAnsi="Times New Roman" w:cs="Times New Roman"/>
          <w:color w:val="000000"/>
          <w:sz w:val="24"/>
          <w:szCs w:val="24"/>
        </w:rPr>
        <w:t>绿色设计产品评价技术规范 镍钴酸锂</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项</w:t>
      </w:r>
      <w:r>
        <w:rPr>
          <w:rFonts w:hint="default" w:ascii="Times New Roman" w:hAnsi="Times New Roman" w:eastAsia="宋体" w:cs="Times New Roman"/>
          <w:sz w:val="24"/>
          <w:szCs w:val="24"/>
        </w:rPr>
        <w:t>目计划</w:t>
      </w:r>
      <w:r>
        <w:rPr>
          <w:rFonts w:hint="default" w:ascii="Times New Roman" w:hAnsi="Times New Roman" w:eastAsia="宋体" w:cs="Times New Roman"/>
          <w:sz w:val="24"/>
          <w:szCs w:val="24"/>
          <w:lang w:val="en-US" w:eastAsia="zh-CN"/>
        </w:rPr>
        <w:t>编</w:t>
      </w:r>
      <w:r>
        <w:rPr>
          <w:rFonts w:hint="eastAsia" w:ascii="Times New Roman" w:hAnsi="Times New Roman" w:eastAsia="宋体" w:cs="Times New Roman"/>
          <w:sz w:val="24"/>
          <w:szCs w:val="24"/>
          <w:lang w:val="en-US" w:eastAsia="zh-CN"/>
        </w:rPr>
        <w:t>号</w:t>
      </w:r>
      <w:r>
        <w:rPr>
          <w:rFonts w:hint="default" w:ascii="Times New Roman" w:hAnsi="Times New Roman" w:cs="Times New Roman"/>
          <w:color w:val="000000"/>
          <w:sz w:val="24"/>
          <w:szCs w:val="24"/>
        </w:rPr>
        <w:t>2021-018-T/CNIA</w:t>
      </w:r>
      <w:r>
        <w:rPr>
          <w:rFonts w:hint="default" w:ascii="Times New Roman" w:hAnsi="Times New Roman" w:cs="Times New Roman"/>
          <w:color w:val="000000"/>
          <w:sz w:val="24"/>
          <w:szCs w:val="24"/>
          <w:lang w:eastAsia="zh-CN"/>
        </w:rPr>
        <w:t>，</w:t>
      </w:r>
      <w:r>
        <w:rPr>
          <w:rFonts w:hint="default" w:ascii="Times New Roman" w:hAnsi="Times New Roman" w:eastAsia="宋体" w:cs="Times New Roman"/>
          <w:sz w:val="24"/>
          <w:szCs w:val="24"/>
        </w:rPr>
        <w:t>计划完成年限</w:t>
      </w:r>
      <w:r>
        <w:rPr>
          <w:rFonts w:hint="eastAsia"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年。</w:t>
      </w:r>
    </w:p>
    <w:p>
      <w:pPr>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 xml:space="preserve">2 </w:t>
      </w:r>
      <w:r>
        <w:rPr>
          <w:rFonts w:hint="default" w:ascii="Times New Roman" w:hAnsi="Times New Roman" w:eastAsia="黑体" w:cs="Times New Roman"/>
          <w:b w:val="0"/>
          <w:bCs/>
          <w:sz w:val="24"/>
          <w:szCs w:val="24"/>
        </w:rPr>
        <w:t xml:space="preserve"> 标准编写的目的和意义</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资源及环境问题是人类面临的共同挑战，可持续发展日益成为全球共识，我国大力提倡实施绿色可持续发展战略，以“节约资源及能源、减少环境污染”为主要目的，致力于</w:t>
      </w:r>
      <w:r>
        <w:rPr>
          <w:rFonts w:hint="default" w:ascii="Times New Roman" w:hAnsi="Times New Roman" w:cs="Times New Roman"/>
          <w:color w:val="000000"/>
          <w:sz w:val="24"/>
          <w:szCs w:val="24"/>
          <w:lang w:val="en-US" w:eastAsia="zh-CN"/>
        </w:rPr>
        <w:t>加快转变经济发展方式和优化产业结构</w:t>
      </w:r>
      <w:r>
        <w:rPr>
          <w:rFonts w:hint="eastAsia" w:ascii="Times New Roman" w:hAnsi="Times New Roman" w:cs="Times New Roman"/>
          <w:color w:val="000000"/>
          <w:sz w:val="24"/>
          <w:szCs w:val="24"/>
          <w:lang w:val="en-US" w:eastAsia="zh-CN"/>
        </w:rPr>
        <w:t>。绿色产品在基于全生命周期理念下，在资源获取、生产、销售、使用、处置等产品生命周期各阶段中，兼顾资源能源消耗少、污染物排放低、低毒少害、易回收处理和再利用、健康安全和质量品质高等特征，致力于不断促进绿色引领高质量发展。国务院办公厅发布的《关于建立统一的绿色产品标准、认证、标识体系的意见》中明确，建立统一的绿色产品标准、认证、标识体系，是推动绿色低碳循环发展、培育绿色市场的必然要求，是加强供给侧结构性改革、提升绿色产品供给质量和效率的重要举措。</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eastAsia" w:ascii="Times New Roman" w:hAnsi="Times New Roman" w:cs="Times New Roman"/>
          <w:color w:val="000000"/>
          <w:sz w:val="24"/>
          <w:szCs w:val="24"/>
          <w:lang w:val="en-US" w:eastAsia="zh-CN"/>
        </w:rPr>
        <w:t>《新能源汽车产业发展规划（2021—2035年）》明确要开展正极材料等关键核心技术研究，加强高强度、轻量化、高安全、低成本、长寿命的动力电池和燃料电池系统短板技术攻关。《中国制造2025》中将“节能与新能源汽车”作为重点发展领域，不断促进新能源汽车关键技术攻关。锂离子电池正极材料作为动力电池的重要原材料，直接制约着动力电池循环寿命、生产成本、能量密度等关键性能，目前被广泛应用于数码、电子设备、动力汽车等各大储能领域。镍钴酸锂</w:t>
      </w:r>
      <w:bookmarkStart w:id="0" w:name="OLE_LINK1"/>
      <w:r>
        <w:rPr>
          <w:rFonts w:hint="eastAsia" w:ascii="Times New Roman" w:hAnsi="Times New Roman" w:cs="Times New Roman"/>
          <w:color w:val="000000"/>
          <w:sz w:val="24"/>
          <w:szCs w:val="24"/>
          <w:lang w:val="en-US" w:eastAsia="zh-CN"/>
        </w:rPr>
        <w:t>结合了LiNiO</w:t>
      </w:r>
      <w:r>
        <w:rPr>
          <w:rFonts w:hint="eastAsia" w:ascii="Times New Roman" w:hAnsi="Times New Roman" w:cs="Times New Roman"/>
          <w:color w:val="000000"/>
          <w:sz w:val="24"/>
          <w:szCs w:val="24"/>
          <w:vertAlign w:val="subscript"/>
          <w:lang w:val="en-US" w:eastAsia="zh-CN"/>
        </w:rPr>
        <w:t>2</w:t>
      </w:r>
      <w:r>
        <w:rPr>
          <w:rFonts w:hint="eastAsia" w:ascii="Times New Roman" w:hAnsi="Times New Roman" w:cs="Times New Roman"/>
          <w:color w:val="000000"/>
          <w:sz w:val="24"/>
          <w:szCs w:val="24"/>
          <w:lang w:val="en-US" w:eastAsia="zh-CN"/>
        </w:rPr>
        <w:t>和LiCoO</w:t>
      </w:r>
      <w:r>
        <w:rPr>
          <w:rFonts w:hint="eastAsia" w:ascii="Times New Roman" w:hAnsi="Times New Roman" w:cs="Times New Roman"/>
          <w:color w:val="000000"/>
          <w:sz w:val="24"/>
          <w:szCs w:val="24"/>
          <w:vertAlign w:val="subscript"/>
          <w:lang w:val="en-US" w:eastAsia="zh-CN"/>
        </w:rPr>
        <w:t>2</w:t>
      </w:r>
      <w:r>
        <w:rPr>
          <w:rFonts w:hint="eastAsia" w:ascii="Times New Roman" w:hAnsi="Times New Roman" w:cs="Times New Roman"/>
          <w:color w:val="000000"/>
          <w:sz w:val="24"/>
          <w:szCs w:val="24"/>
          <w:lang w:val="en-US" w:eastAsia="zh-CN"/>
        </w:rPr>
        <w:t>两款材料的优点</w:t>
      </w:r>
      <w:bookmarkEnd w:id="0"/>
      <w:r>
        <w:rPr>
          <w:rFonts w:hint="eastAsia" w:ascii="Times New Roman" w:hAnsi="Times New Roman" w:cs="Times New Roman"/>
          <w:color w:val="000000"/>
          <w:sz w:val="24"/>
          <w:szCs w:val="24"/>
          <w:lang w:val="en-US" w:eastAsia="zh-CN"/>
        </w:rPr>
        <w:t>，分子式为LiNixC</w:t>
      </w:r>
      <w:r>
        <w:rPr>
          <w:rFonts w:hint="eastAsia" w:ascii="Times New Roman" w:hAnsi="Times New Roman" w:cs="Times New Roman"/>
          <w:color w:val="000000"/>
          <w:sz w:val="24"/>
          <w:szCs w:val="24"/>
          <w:vertAlign w:val="subscript"/>
          <w:lang w:val="en-US" w:eastAsia="zh-CN"/>
        </w:rPr>
        <w:t>o1-x</w:t>
      </w:r>
      <w:r>
        <w:rPr>
          <w:rFonts w:hint="eastAsia" w:ascii="Times New Roman" w:hAnsi="Times New Roman" w:cs="Times New Roman"/>
          <w:color w:val="000000"/>
          <w:sz w:val="24"/>
          <w:szCs w:val="24"/>
          <w:lang w:val="en-US" w:eastAsia="zh-CN"/>
        </w:rPr>
        <w:t>O</w:t>
      </w:r>
      <w:r>
        <w:rPr>
          <w:rFonts w:hint="eastAsia" w:ascii="Times New Roman" w:hAnsi="Times New Roman" w:cs="Times New Roman"/>
          <w:color w:val="000000"/>
          <w:sz w:val="24"/>
          <w:szCs w:val="24"/>
          <w:vertAlign w:val="subscript"/>
          <w:lang w:val="en-US" w:eastAsia="zh-CN"/>
        </w:rPr>
        <w:t>2</w:t>
      </w:r>
      <w:r>
        <w:rPr>
          <w:rFonts w:hint="eastAsia" w:ascii="Times New Roman" w:hAnsi="Times New Roman" w:cs="Times New Roman"/>
          <w:color w:val="000000"/>
          <w:sz w:val="24"/>
          <w:szCs w:val="24"/>
          <w:lang w:val="en-US" w:eastAsia="zh-CN"/>
        </w:rPr>
        <w:t>，属于六方晶系，呈层状结构，可直接用作锂离子电池正极材料，也可通过烧结制备得到镍钴锰酸锂、镍钴铝酸锂正极材料，已在各大正极材料企业进行了批量性稳定生产并销售。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eastAsia" w:ascii="Times New Roman" w:hAnsi="Times New Roman" w:eastAsia="宋体" w:cs="Times New Roman"/>
          <w:sz w:val="24"/>
          <w:szCs w:val="24"/>
          <w:lang w:val="en-US" w:eastAsia="zh-CN"/>
        </w:rPr>
        <w:t>镍钴酸锂</w:t>
      </w:r>
      <w:r>
        <w:rPr>
          <w:rFonts w:hint="eastAsia" w:ascii="Times New Roman" w:hAnsi="Times New Roman" w:eastAsia="宋体" w:cs="Times New Roman"/>
          <w:sz w:val="24"/>
          <w:szCs w:val="24"/>
        </w:rPr>
        <w:t>绿色设计产品评价团体标准的制定和实施，</w:t>
      </w:r>
      <w:r>
        <w:rPr>
          <w:rFonts w:hint="eastAsia" w:ascii="Times New Roman" w:hAnsi="Times New Roman" w:cs="Times New Roman"/>
          <w:color w:val="000000"/>
          <w:sz w:val="24"/>
          <w:szCs w:val="24"/>
          <w:lang w:val="en-US" w:eastAsia="zh-CN"/>
        </w:rPr>
        <w:t>规范镍钴酸锂绿色产品评价的基本原则、评价指标以及评价方法等，在产品生产全过程中实现生命周期绿色管理，</w:t>
      </w:r>
      <w:r>
        <w:rPr>
          <w:rFonts w:hint="eastAsia" w:ascii="Times New Roman" w:hAnsi="Times New Roman" w:eastAsia="宋体" w:cs="Times New Roman"/>
          <w:sz w:val="24"/>
          <w:szCs w:val="24"/>
        </w:rPr>
        <w:t>提高产品竞争力，提升供给侧的质量和效益，促进</w:t>
      </w:r>
      <w:r>
        <w:rPr>
          <w:rFonts w:hint="eastAsia" w:ascii="Times New Roman" w:hAnsi="Times New Roman" w:eastAsia="宋体" w:cs="Times New Roman"/>
          <w:sz w:val="24"/>
          <w:szCs w:val="24"/>
          <w:lang w:val="en-US" w:eastAsia="zh-CN"/>
        </w:rPr>
        <w:t>镍钴酸锂</w:t>
      </w:r>
      <w:r>
        <w:rPr>
          <w:rFonts w:hint="eastAsia" w:ascii="Times New Roman" w:hAnsi="Times New Roman" w:eastAsia="宋体" w:cs="Times New Roman"/>
          <w:sz w:val="24"/>
          <w:szCs w:val="24"/>
        </w:rPr>
        <w:t>产品制造的技术进步和下游市场应用推广。</w:t>
      </w:r>
      <w:r>
        <w:rPr>
          <w:rFonts w:hint="eastAsia" w:ascii="Times New Roman" w:hAnsi="Times New Roman" w:eastAsia="宋体" w:cs="Times New Roman"/>
          <w:sz w:val="24"/>
          <w:szCs w:val="24"/>
          <w:lang w:val="en-US" w:eastAsia="zh-CN"/>
        </w:rPr>
        <w:t>同时</w:t>
      </w:r>
      <w:r>
        <w:rPr>
          <w:rFonts w:hint="eastAsia" w:ascii="Times New Roman" w:hAnsi="Times New Roman" w:cs="Times New Roman"/>
          <w:color w:val="000000"/>
          <w:sz w:val="24"/>
          <w:szCs w:val="24"/>
          <w:lang w:val="en-US" w:eastAsia="zh-CN"/>
        </w:rPr>
        <w:t>引导镍钴酸锂材料生产企业贯彻实施生态文明建设战略，落实“以先进标准引领消费品质量提升，倒逼装备制造业升级”要求的重要成果，推动绿色可持续发展战略。</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default" w:ascii="Times New Roman" w:hAnsi="Times New Roman" w:eastAsia="黑体" w:cs="Times New Roman"/>
          <w:b w:val="0"/>
          <w:bCs/>
          <w:sz w:val="24"/>
          <w:szCs w:val="24"/>
        </w:rPr>
        <w:t>1.</w:t>
      </w:r>
      <w:r>
        <w:rPr>
          <w:rFonts w:hint="eastAsia" w:ascii="Times New Roman" w:hAnsi="Times New Roman" w:eastAsia="黑体" w:cs="Times New Roman"/>
          <w:b w:val="0"/>
          <w:bCs/>
          <w:sz w:val="24"/>
          <w:szCs w:val="24"/>
          <w:lang w:val="en-US" w:eastAsia="zh-CN"/>
        </w:rPr>
        <w:t xml:space="preserve">3  </w:t>
      </w:r>
      <w:r>
        <w:rPr>
          <w:rFonts w:hint="eastAsia" w:ascii="黑体" w:hAnsi="黑体" w:eastAsia="黑体" w:cs="黑体"/>
          <w:b w:val="0"/>
          <w:bCs w:val="0"/>
          <w:iCs/>
          <w:sz w:val="24"/>
          <w:szCs w:val="24"/>
        </w:rPr>
        <w:t>主要</w:t>
      </w:r>
      <w:r>
        <w:rPr>
          <w:rFonts w:hint="default" w:ascii="黑体" w:hAnsi="黑体" w:eastAsia="黑体" w:cs="黑体"/>
          <w:b w:val="0"/>
          <w:bCs w:val="0"/>
          <w:iCs/>
          <w:sz w:val="24"/>
          <w:szCs w:val="24"/>
        </w:rPr>
        <w:t>参</w:t>
      </w:r>
      <w:r>
        <w:rPr>
          <w:rFonts w:hint="eastAsia" w:ascii="黑体" w:hAnsi="黑体" w:eastAsia="黑体" w:cs="黑体"/>
          <w:b w:val="0"/>
          <w:bCs w:val="0"/>
          <w:iCs/>
          <w:sz w:val="24"/>
          <w:szCs w:val="24"/>
        </w:rPr>
        <w:t>加</w:t>
      </w:r>
      <w:r>
        <w:rPr>
          <w:rFonts w:hint="default" w:ascii="黑体" w:hAnsi="黑体" w:eastAsia="黑体" w:cs="黑体"/>
          <w:b w:val="0"/>
          <w:bCs w:val="0"/>
          <w:iCs/>
          <w:sz w:val="24"/>
          <w:szCs w:val="24"/>
        </w:rPr>
        <w:t>单位和工作成员及其所</w:t>
      </w:r>
      <w:r>
        <w:rPr>
          <w:rFonts w:hint="eastAsia" w:ascii="黑体" w:hAnsi="黑体" w:eastAsia="黑体" w:cs="黑体"/>
          <w:b w:val="0"/>
          <w:bCs w:val="0"/>
          <w:iCs/>
          <w:sz w:val="24"/>
          <w:szCs w:val="24"/>
        </w:rPr>
        <w:t>做</w:t>
      </w:r>
      <w:r>
        <w:rPr>
          <w:rFonts w:hint="default" w:ascii="黑体" w:hAnsi="黑体" w:eastAsia="黑体" w:cs="黑体"/>
          <w:b w:val="0"/>
          <w:bCs w:val="0"/>
          <w:iCs/>
          <w:sz w:val="24"/>
          <w:szCs w:val="24"/>
        </w:rPr>
        <w:t>工作</w:t>
      </w:r>
    </w:p>
    <w:p>
      <w:pPr>
        <w:rPr>
          <w:rFonts w:hint="default" w:eastAsia="黑体"/>
          <w:lang w:val="en-US" w:eastAsia="zh-CN"/>
        </w:rPr>
      </w:pPr>
      <w:r>
        <w:rPr>
          <w:rFonts w:hint="eastAsia" w:ascii="黑体" w:hAnsi="黑体" w:eastAsia="黑体" w:cs="黑体"/>
          <w:b w:val="0"/>
          <w:bCs w:val="0"/>
          <w:iCs/>
          <w:sz w:val="24"/>
          <w:szCs w:val="24"/>
          <w:lang w:val="en-US" w:eastAsia="zh-CN"/>
        </w:rPr>
        <w:t>1.3.1 起草单位简介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eastAsia="宋体" w:cs="Times New Roman"/>
          <w:kern w:val="0"/>
          <w:sz w:val="24"/>
          <w:szCs w:val="24"/>
          <w:lang w:val="en-US" w:eastAsia="zh-CN" w:bidi="ar"/>
        </w:rPr>
        <w:t>湖南长远锂科股份有限公司成立于2002年，是世界500强企业中国五矿集团有限公司直管企业，是中央企业电动汽车联盟成员企业，2021年8月登陆上交所科创板。公司专注于高效电池材料的研究与生产，主要产品包括多元材料前驱体、多元正极材料、钴酸锂等锂电正极材料和镍氢电池正极材料，拥有锂电多元材料前驱体和锂电多元正极材料完整产品体系，在动力三元材料市场占有率始终保持行业领先。目前，公司拥有麓谷基地、铜官基地、高新基地三个生产基地，2022年将达到2万吨/年前驱体、11万吨/年正极材料的产能。</w:t>
      </w:r>
    </w:p>
    <w:p>
      <w:pPr>
        <w:pStyle w:val="6"/>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cs="Times New Roman"/>
          <w:kern w:val="0"/>
          <w:sz w:val="24"/>
          <w:szCs w:val="24"/>
          <w:lang w:val="en-US" w:eastAsia="zh-CN" w:bidi="ar"/>
        </w:rPr>
        <w:t>公司</w:t>
      </w:r>
      <w:r>
        <w:rPr>
          <w:rFonts w:hint="eastAsia" w:ascii="Times New Roman" w:hAnsi="Times New Roman" w:eastAsia="宋体" w:cs="Times New Roman"/>
          <w:kern w:val="0"/>
          <w:sz w:val="24"/>
          <w:szCs w:val="24"/>
          <w:lang w:val="en-US" w:eastAsia="zh-CN" w:bidi="ar"/>
        </w:rPr>
        <w:t>是高新技术企业、省级企业技术中心，拥有博士后工作站。公司产品代表了高性能锂离子电池正极材料的发展方向，单晶三元、高镍材料在行业内享誉盛名，产品技术处于国际先进水平。公司通过ISO9001质量管理体系认证、ISO14001环境管理体系认证、ISO45001职业健康安全管理体系认证、ISO50001能源管理体系认证、ISO27001信息安全管理体系认证、IATF16949汽车行业质量管理体系认证和知识产权管理体系认证。</w:t>
      </w:r>
    </w:p>
    <w:p>
      <w:pPr>
        <w:pStyle w:val="6"/>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kern w:val="0"/>
          <w:sz w:val="24"/>
          <w:szCs w:val="24"/>
          <w:lang w:val="en-US" w:eastAsia="zh-CN" w:bidi="ar"/>
        </w:rPr>
      </w:pPr>
      <w:r>
        <w:rPr>
          <w:rFonts w:hint="eastAsia" w:ascii="Times New Roman" w:hAnsi="Times New Roman" w:cs="Times New Roman"/>
          <w:kern w:val="0"/>
          <w:sz w:val="24"/>
          <w:szCs w:val="24"/>
          <w:lang w:val="en-US" w:eastAsia="zh-CN" w:bidi="ar"/>
        </w:rPr>
        <w:t>公司</w:t>
      </w:r>
      <w:r>
        <w:rPr>
          <w:rFonts w:hint="eastAsia" w:ascii="Times New Roman" w:hAnsi="Times New Roman" w:eastAsia="宋体" w:cs="Times New Roman"/>
          <w:kern w:val="0"/>
          <w:sz w:val="24"/>
          <w:szCs w:val="24"/>
          <w:lang w:val="en-US" w:eastAsia="zh-CN" w:bidi="ar"/>
        </w:rPr>
        <w:t>是中国五矿新能源材料产业的骨干企业，是国内先进储能材料产业链的典型代表性企业，是长株潭先进储能材料产业联盟盟长单位。作为中国五矿成员企业，借助集团公司镍、钴、锰、锂等资源长远保障优势和全产业链优势，公司坚持品质，集聚人才，专注研发，致力于成为全球技术领先、品质优良、价格优惠、受行业尊敬的新能源材料行业引领者，为中国五矿“四梁八柱”业务体系做强做优增砖加瓦，为实现国有资产快速增值贡献力量。</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eastAsia" w:ascii="黑体" w:hAnsi="黑体" w:eastAsia="黑体" w:cs="黑体"/>
          <w:b w:val="0"/>
          <w:bCs w:val="0"/>
          <w:iCs/>
          <w:sz w:val="24"/>
          <w:szCs w:val="24"/>
          <w:lang w:val="en-US" w:eastAsia="zh-CN"/>
        </w:rPr>
        <w:t>1.3.2</w:t>
      </w:r>
      <w:r>
        <w:rPr>
          <w:rFonts w:hint="default" w:ascii="黑体" w:hAnsi="黑体" w:eastAsia="黑体" w:cs="黑体"/>
          <w:b w:val="0"/>
          <w:bCs w:val="0"/>
          <w:iCs/>
          <w:sz w:val="24"/>
          <w:szCs w:val="24"/>
        </w:rPr>
        <w:t>主要参加单位</w:t>
      </w:r>
      <w:r>
        <w:rPr>
          <w:rFonts w:hint="eastAsia" w:ascii="黑体" w:hAnsi="黑体" w:eastAsia="黑体" w:cs="黑体"/>
          <w:b w:val="0"/>
          <w:bCs w:val="0"/>
          <w:iCs/>
          <w:sz w:val="24"/>
          <w:szCs w:val="24"/>
        </w:rPr>
        <w:t>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8"/>
          <w:szCs w:val="28"/>
          <w:lang w:val="en-US" w:eastAsia="zh-CN"/>
        </w:rPr>
      </w:pPr>
      <w:r>
        <w:rPr>
          <w:rFonts w:hint="default" w:ascii="Times New Roman" w:hAnsi="Times New Roman" w:cs="Times New Roman"/>
          <w:sz w:val="24"/>
          <w:lang w:val="en-US" w:eastAsia="zh-CN"/>
        </w:rPr>
        <w:t>在标准的编制过程</w:t>
      </w:r>
      <w:r>
        <w:rPr>
          <w:rFonts w:hint="eastAsia" w:ascii="Times New Roman" w:hAnsi="Times New Roman" w:cs="Times New Roman"/>
          <w:sz w:val="24"/>
          <w:lang w:val="en-US" w:eastAsia="zh-CN"/>
        </w:rPr>
        <w:t>中</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广东邦普循环科技有限公司、金驰能源材料有限公司、天津国安盟固利新材料科技股份有限公司、格林美股份有限公司、江苏当升材料科技有限公司、浙江华友钴业股份有限公司、湖北万润新能源科技股份有限公司、南通金通储能动力新材料有限公司等镍钴酸锂生产企业</w:t>
      </w:r>
      <w:r>
        <w:rPr>
          <w:rFonts w:hint="default" w:ascii="Times New Roman" w:hAnsi="Times New Roman" w:cs="Times New Roman"/>
          <w:sz w:val="24"/>
          <w:lang w:val="en-US" w:eastAsia="zh-CN"/>
        </w:rPr>
        <w:t>，积极参与</w:t>
      </w:r>
      <w:r>
        <w:rPr>
          <w:rFonts w:hint="eastAsia" w:ascii="Times New Roman" w:hAnsi="Times New Roman" w:cs="Times New Roman"/>
          <w:sz w:val="24"/>
          <w:lang w:val="en-US" w:eastAsia="zh-CN"/>
        </w:rPr>
        <w:t>本</w:t>
      </w:r>
      <w:r>
        <w:rPr>
          <w:rFonts w:hint="default" w:ascii="Times New Roman" w:hAnsi="Times New Roman" w:cs="Times New Roman"/>
          <w:sz w:val="24"/>
          <w:lang w:val="en-US" w:eastAsia="zh-CN"/>
        </w:rPr>
        <w:t>标准的调研工作，</w:t>
      </w:r>
      <w:r>
        <w:rPr>
          <w:rFonts w:hint="eastAsia" w:ascii="Times New Roman" w:hAnsi="Times New Roman" w:cs="Times New Roman"/>
          <w:sz w:val="24"/>
          <w:lang w:val="en-US" w:eastAsia="zh-CN"/>
        </w:rPr>
        <w:t>结合企业实际生产情况提供相关数据，并对</w:t>
      </w:r>
      <w:r>
        <w:rPr>
          <w:rFonts w:hint="default" w:ascii="Times New Roman" w:hAnsi="Times New Roman" w:cs="Times New Roman"/>
          <w:sz w:val="24"/>
          <w:lang w:val="en-US" w:eastAsia="zh-CN"/>
        </w:rPr>
        <w:t>标准的征求意见稿</w:t>
      </w:r>
      <w:r>
        <w:rPr>
          <w:rFonts w:hint="eastAsia" w:ascii="Times New Roman" w:hAnsi="Times New Roman" w:cs="Times New Roman"/>
          <w:sz w:val="24"/>
          <w:lang w:val="en-US" w:eastAsia="zh-CN"/>
        </w:rPr>
        <w:t>提出了</w:t>
      </w:r>
      <w:r>
        <w:rPr>
          <w:rFonts w:hint="default" w:ascii="Times New Roman" w:hAnsi="Times New Roman" w:cs="Times New Roman"/>
          <w:sz w:val="24"/>
          <w:lang w:val="en-US" w:eastAsia="zh-CN"/>
        </w:rPr>
        <w:t>修改意见</w:t>
      </w:r>
      <w:r>
        <w:rPr>
          <w:rFonts w:hint="eastAsia" w:ascii="Times New Roman" w:hAnsi="Times New Roman" w:cs="Times New Roman"/>
          <w:sz w:val="24"/>
          <w:lang w:val="en-US" w:eastAsia="zh-CN"/>
        </w:rPr>
        <w:t>，为本标准的编制工作提供有力支撑。</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eastAsia" w:ascii="黑体" w:hAnsi="黑体" w:eastAsia="黑体" w:cs="黑体"/>
          <w:b w:val="0"/>
          <w:bCs w:val="0"/>
          <w:iCs/>
          <w:sz w:val="24"/>
          <w:szCs w:val="24"/>
          <w:lang w:val="en-US" w:eastAsia="zh-CN"/>
        </w:rPr>
        <w:t xml:space="preserve">1.3.3 </w:t>
      </w:r>
      <w:r>
        <w:rPr>
          <w:rFonts w:hint="default" w:ascii="黑体" w:hAnsi="黑体" w:eastAsia="黑体" w:cs="黑体"/>
          <w:b w:val="0"/>
          <w:bCs w:val="0"/>
          <w:iCs/>
          <w:sz w:val="24"/>
          <w:szCs w:val="24"/>
        </w:rPr>
        <w:t>主要工作成员所</w:t>
      </w:r>
      <w:r>
        <w:rPr>
          <w:rFonts w:hint="eastAsia" w:ascii="黑体" w:hAnsi="黑体" w:eastAsia="黑体" w:cs="黑体"/>
          <w:b w:val="0"/>
          <w:bCs w:val="0"/>
          <w:iCs/>
          <w:sz w:val="24"/>
          <w:szCs w:val="24"/>
        </w:rPr>
        <w:t>负责</w:t>
      </w:r>
      <w:r>
        <w:rPr>
          <w:rFonts w:hint="default" w:ascii="黑体" w:hAnsi="黑体" w:eastAsia="黑体" w:cs="黑体"/>
          <w:b w:val="0"/>
          <w:bCs w:val="0"/>
          <w:iCs/>
          <w:sz w:val="24"/>
          <w:szCs w:val="24"/>
        </w:rPr>
        <w:t>的工作情况</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本标准主要起草人及工作职责见表1。</w:t>
      </w:r>
    </w:p>
    <w:p>
      <w:pPr>
        <w:spacing w:line="360" w:lineRule="auto"/>
        <w:ind w:firstLine="480" w:firstLineChars="20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表1 主要</w:t>
      </w:r>
      <w:r>
        <w:rPr>
          <w:rFonts w:hint="default" w:ascii="Times New Roman" w:hAnsi="Times New Roman" w:cs="Times New Roman"/>
          <w:sz w:val="24"/>
          <w:lang w:val="en-US" w:eastAsia="zh-CN"/>
        </w:rPr>
        <w:t>起草人及工作职责</w:t>
      </w:r>
    </w:p>
    <w:tbl>
      <w:tblPr>
        <w:tblStyle w:val="8"/>
        <w:tblW w:w="7507" w:type="dxa"/>
        <w:tblInd w:w="10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87"/>
        <w:gridCol w:w="4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起草</w:t>
            </w:r>
            <w:r>
              <w:rPr>
                <w:rFonts w:hint="default" w:ascii="Times New Roman" w:hAnsi="Times New Roman" w:cs="Times New Roman"/>
                <w:sz w:val="21"/>
                <w:szCs w:val="21"/>
                <w:lang w:val="en-US" w:eastAsia="zh-CN"/>
              </w:rPr>
              <w:t>人</w:t>
            </w:r>
          </w:p>
        </w:tc>
        <w:tc>
          <w:tcPr>
            <w:tcW w:w="4620"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工作</w:t>
            </w:r>
            <w:r>
              <w:rPr>
                <w:rFonts w:hint="default" w:ascii="Times New Roman" w:hAnsi="Times New Roman" w:cs="Times New Roman"/>
                <w:sz w:val="21"/>
                <w:szCs w:val="21"/>
                <w:lang w:val="en-US" w:eastAsia="zh-CN"/>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周耀、周春仙</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w:t>
            </w:r>
            <w:r>
              <w:rPr>
                <w:rFonts w:hint="eastAsia" w:ascii="Times New Roman" w:hAnsi="Times New Roman" w:cs="Times New Roman"/>
                <w:sz w:val="21"/>
                <w:szCs w:val="21"/>
                <w:lang w:val="en-US" w:eastAsia="zh-CN"/>
              </w:rPr>
              <w:t>的指导及</w:t>
            </w:r>
            <w:r>
              <w:rPr>
                <w:rFonts w:hint="default" w:ascii="Times New Roman" w:hAnsi="Times New Roman" w:cs="Times New Roman"/>
                <w:sz w:val="21"/>
                <w:szCs w:val="21"/>
                <w:lang w:val="en-US" w:eastAsia="zh-CN"/>
              </w:rPr>
              <w:t>组织协调</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spacing w:line="360" w:lineRule="auto"/>
              <w:ind w:firstLine="420" w:firstLineChars="20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刘玮</w:t>
            </w:r>
          </w:p>
        </w:tc>
        <w:tc>
          <w:tcPr>
            <w:tcW w:w="4620" w:type="dxa"/>
            <w:noWrap w:val="0"/>
            <w:vAlign w:val="center"/>
          </w:tcPr>
          <w:p>
            <w:pPr>
              <w:spacing w:line="360" w:lineRule="auto"/>
              <w:ind w:left="0" w:leftChars="0" w:firstLine="0" w:firstLineChars="0"/>
              <w:jc w:val="both"/>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负责本</w:t>
            </w:r>
            <w:r>
              <w:rPr>
                <w:rFonts w:hint="default" w:ascii="Times New Roman" w:hAnsi="Times New Roman" w:cs="Times New Roman"/>
                <w:sz w:val="21"/>
                <w:szCs w:val="21"/>
                <w:lang w:val="en-US" w:eastAsia="zh-CN"/>
              </w:rPr>
              <w:t>标准的标准文本、编制说明的撰写</w:t>
            </w:r>
            <w:r>
              <w:rPr>
                <w:rFonts w:hint="eastAsia" w:ascii="Times New Roman" w:hAnsi="Times New Roman" w:cs="Times New Roman"/>
                <w:sz w:val="21"/>
                <w:szCs w:val="21"/>
                <w:lang w:val="en-US" w:eastAsia="zh-CN"/>
              </w:rPr>
              <w:t>，标准意见</w:t>
            </w:r>
            <w:r>
              <w:rPr>
                <w:rFonts w:hint="default" w:ascii="Times New Roman" w:hAnsi="Times New Roman" w:cs="Times New Roman"/>
                <w:sz w:val="21"/>
                <w:szCs w:val="21"/>
                <w:lang w:val="en-US" w:eastAsia="zh-CN"/>
              </w:rPr>
              <w:t>汇总处理</w:t>
            </w:r>
            <w:r>
              <w:rPr>
                <w:rFonts w:hint="eastAsia" w:ascii="Times New Roman" w:hAnsi="Times New Roman"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8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明帮来、凌仕刚、</w:t>
            </w:r>
            <w:r>
              <w:rPr>
                <w:rFonts w:hint="default" w:ascii="Times New Roman" w:hAnsi="Times New Roman" w:cs="Times New Roman"/>
                <w:sz w:val="21"/>
                <w:szCs w:val="21"/>
                <w:lang w:val="en-US" w:eastAsia="zh-CN"/>
              </w:rPr>
              <w:t>王玉娇、王培、</w:t>
            </w:r>
            <w:r>
              <w:rPr>
                <w:rFonts w:hint="eastAsia" w:ascii="Times New Roman" w:hAnsi="Times New Roman" w:cs="Times New Roman"/>
                <w:sz w:val="21"/>
                <w:szCs w:val="21"/>
                <w:lang w:val="en-US" w:eastAsia="zh-CN"/>
              </w:rPr>
              <w:t>郭静静、陶丽娟等</w:t>
            </w:r>
          </w:p>
        </w:tc>
        <w:tc>
          <w:tcPr>
            <w:tcW w:w="4620" w:type="dxa"/>
            <w:noWrap w:val="0"/>
            <w:vAlign w:val="center"/>
          </w:tcPr>
          <w:p>
            <w:pPr>
              <w:spacing w:line="360" w:lineRule="auto"/>
              <w:ind w:left="0" w:leftChars="0" w:firstLine="0" w:firstLineChars="0"/>
              <w:jc w:val="both"/>
              <w:rPr>
                <w:rFonts w:hint="eastAsia" w:ascii="Times New Roman" w:hAnsi="Times New Roman" w:eastAsia="宋体" w:cs="Times New Roman"/>
                <w:sz w:val="21"/>
                <w:szCs w:val="21"/>
                <w:lang w:val="en-US" w:eastAsia="zh-CN"/>
              </w:rPr>
            </w:pPr>
            <w:r>
              <w:rPr>
                <w:rFonts w:hint="eastAsia"/>
                <w:sz w:val="22"/>
              </w:rPr>
              <w:t>负责提供企业的现场调研及配合文件编写开展现场评价及数据提供</w:t>
            </w:r>
            <w:r>
              <w:rPr>
                <w:rFonts w:hint="eastAsia"/>
                <w:sz w:val="22"/>
                <w:lang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rPr>
      </w:pP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lang w:val="en-US" w:eastAsia="zh-CN"/>
        </w:rPr>
      </w:pPr>
      <w:r>
        <w:rPr>
          <w:rFonts w:hint="default" w:ascii="黑体" w:hAnsi="黑体" w:eastAsia="黑体" w:cs="黑体"/>
          <w:b w:val="0"/>
          <w:bCs w:val="0"/>
          <w:iCs/>
          <w:sz w:val="24"/>
          <w:szCs w:val="24"/>
          <w:lang w:val="en-US" w:eastAsia="zh-CN"/>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lang w:val="en-US" w:eastAsia="zh-CN"/>
        </w:rPr>
        <w:t>主要工作过程</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lang w:val="en-US" w:eastAsia="zh-CN"/>
        </w:rPr>
      </w:pPr>
      <w:r>
        <w:rPr>
          <w:rFonts w:hint="eastAsia" w:ascii="黑体" w:hAnsi="黑体" w:eastAsia="黑体" w:cs="黑体"/>
          <w:b w:val="0"/>
          <w:bCs w:val="0"/>
          <w:iCs/>
          <w:sz w:val="24"/>
          <w:szCs w:val="24"/>
          <w:lang w:val="en-US" w:eastAsia="zh-CN"/>
        </w:rPr>
        <w:t>1.4.1 起草阶段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eastAsia" w:ascii="Times New Roman" w:hAnsi="Times New Roman" w:cs="Times New Roman" w:eastAsiaTheme="minorEastAsia"/>
          <w:kern w:val="2"/>
          <w:sz w:val="24"/>
          <w:szCs w:val="22"/>
          <w:lang w:val="en-US" w:eastAsia="zh-CN" w:bidi="ar-SA"/>
        </w:rPr>
      </w:pPr>
      <w:r>
        <w:rPr>
          <w:rFonts w:hint="default" w:ascii="Times New Roman" w:hAnsi="Times New Roman" w:cs="Times New Roman" w:eastAsiaTheme="minorEastAsia"/>
          <w:kern w:val="2"/>
          <w:sz w:val="24"/>
          <w:szCs w:val="22"/>
          <w:lang w:val="en-US" w:eastAsia="zh-CN" w:bidi="ar-SA"/>
        </w:rPr>
        <w:t>根据任务落实会议精神，</w:t>
      </w:r>
      <w:r>
        <w:rPr>
          <w:rFonts w:hint="eastAsia" w:ascii="Times New Roman" w:hAnsi="Times New Roman" w:cs="Times New Roman" w:eastAsiaTheme="minorEastAsia"/>
          <w:kern w:val="2"/>
          <w:sz w:val="24"/>
          <w:szCs w:val="22"/>
          <w:lang w:val="en-US" w:eastAsia="zh-CN" w:bidi="ar-SA"/>
        </w:rPr>
        <w:t>湖南长远锂科股份有限公司</w:t>
      </w:r>
      <w:r>
        <w:rPr>
          <w:rFonts w:hint="default" w:ascii="Times New Roman" w:hAnsi="Times New Roman" w:cs="Times New Roman" w:eastAsiaTheme="minorEastAsia"/>
          <w:kern w:val="2"/>
          <w:sz w:val="24"/>
          <w:szCs w:val="22"/>
          <w:lang w:val="en-US" w:eastAsia="zh-CN" w:bidi="ar-SA"/>
        </w:rPr>
        <w:t>接到项目下达任务后，积极组织相关人员成立标准</w:t>
      </w:r>
      <w:r>
        <w:rPr>
          <w:rFonts w:ascii="Times New Roman" w:hAnsi="Times New Roman" w:eastAsia="宋体" w:cs="Times New Roman"/>
          <w:color w:val="000000"/>
          <w:sz w:val="24"/>
          <w:szCs w:val="24"/>
        </w:rPr>
        <w:t>编制工作组</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确认了各成员的工作任务和职责，制定了工作计划和进度安排，确定了制定原则</w:t>
      </w:r>
      <w:r>
        <w:rPr>
          <w:rFonts w:hint="eastAsia" w:ascii="Times New Roman" w:hAnsi="Times New Roman" w:cs="Times New Roman" w:eastAsiaTheme="minorEastAsia"/>
          <w:kern w:val="2"/>
          <w:sz w:val="24"/>
          <w:szCs w:val="22"/>
          <w:lang w:val="en-US" w:eastAsia="zh-CN" w:bidi="ar-SA"/>
        </w:rPr>
        <w:t>。</w:t>
      </w:r>
      <w:r>
        <w:rPr>
          <w:rFonts w:hint="eastAsia" w:ascii="Times New Roman" w:hAnsi="Times New Roman" w:cs="Times New Roman"/>
          <w:kern w:val="2"/>
          <w:sz w:val="24"/>
          <w:szCs w:val="22"/>
          <w:lang w:val="en-US" w:eastAsia="zh-CN" w:bidi="ar-SA"/>
        </w:rPr>
        <w:t>标准编制工作组</w:t>
      </w:r>
      <w:r>
        <w:rPr>
          <w:rFonts w:hint="eastAsia" w:ascii="Times New Roman" w:hAnsi="Times New Roman" w:cs="Times New Roman" w:eastAsiaTheme="minorEastAsia"/>
          <w:kern w:val="2"/>
          <w:sz w:val="24"/>
          <w:szCs w:val="22"/>
          <w:lang w:val="en-US" w:eastAsia="zh-CN" w:bidi="ar-SA"/>
        </w:rPr>
        <w:t>通过</w:t>
      </w:r>
      <w:r>
        <w:rPr>
          <w:rFonts w:hint="eastAsia" w:ascii="Times New Roman" w:hAnsi="Times New Roman" w:cs="Times New Roman"/>
          <w:kern w:val="2"/>
          <w:sz w:val="24"/>
          <w:szCs w:val="22"/>
          <w:lang w:val="en-US" w:eastAsia="zh-CN" w:bidi="ar-SA"/>
        </w:rPr>
        <w:t>查找、分析</w:t>
      </w:r>
      <w:r>
        <w:rPr>
          <w:rFonts w:ascii="Times New Roman" w:hAnsi="Times New Roman" w:eastAsia="宋体" w:cs="Times New Roman"/>
          <w:sz w:val="24"/>
          <w:szCs w:val="24"/>
        </w:rPr>
        <w:t>相关标准</w:t>
      </w:r>
      <w:r>
        <w:rPr>
          <w:rFonts w:hint="eastAsia" w:ascii="Times New Roman" w:hAnsi="Times New Roman" w:eastAsia="宋体" w:cs="Times New Roman"/>
          <w:sz w:val="24"/>
          <w:szCs w:val="24"/>
          <w:lang w:val="en-US" w:eastAsia="zh-CN"/>
        </w:rPr>
        <w:t>及</w:t>
      </w:r>
      <w:r>
        <w:rPr>
          <w:rFonts w:ascii="Times New Roman" w:hAnsi="Times New Roman" w:eastAsia="宋体" w:cs="Times New Roman"/>
          <w:sz w:val="24"/>
          <w:szCs w:val="24"/>
        </w:rPr>
        <w:t>文献</w:t>
      </w:r>
      <w:r>
        <w:rPr>
          <w:rFonts w:hint="eastAsia" w:ascii="Times New Roman" w:hAnsi="Times New Roman" w:eastAsia="宋体" w:cs="Times New Roman"/>
          <w:sz w:val="24"/>
          <w:szCs w:val="24"/>
          <w:lang w:eastAsia="zh-CN"/>
        </w:rPr>
        <w:t>，</w:t>
      </w:r>
      <w:r>
        <w:rPr>
          <w:rFonts w:hint="eastAsia" w:ascii="Times New Roman" w:hAnsi="Times New Roman" w:cs="Times New Roman" w:eastAsiaTheme="minorEastAsia"/>
          <w:kern w:val="2"/>
          <w:sz w:val="24"/>
          <w:szCs w:val="22"/>
          <w:lang w:val="en-US" w:eastAsia="zh-CN" w:bidi="ar-SA"/>
        </w:rPr>
        <w:t>对</w:t>
      </w:r>
      <w:r>
        <w:rPr>
          <w:rFonts w:hint="eastAsia" w:ascii="Times New Roman" w:hAnsi="Times New Roman" w:cs="Times New Roman"/>
          <w:kern w:val="2"/>
          <w:sz w:val="24"/>
          <w:szCs w:val="22"/>
          <w:lang w:val="en-US" w:eastAsia="zh-CN" w:bidi="ar-SA"/>
        </w:rPr>
        <w:t>镍钴酸锂</w:t>
      </w:r>
      <w:r>
        <w:rPr>
          <w:rFonts w:hint="eastAsia" w:ascii="Times New Roman" w:hAnsi="Times New Roman" w:cs="Times New Roman" w:eastAsiaTheme="minorEastAsia"/>
          <w:kern w:val="2"/>
          <w:sz w:val="24"/>
          <w:szCs w:val="22"/>
          <w:lang w:val="en-US" w:eastAsia="zh-CN" w:bidi="ar-SA"/>
        </w:rPr>
        <w:t>生产</w:t>
      </w:r>
      <w:r>
        <w:rPr>
          <w:rFonts w:hint="eastAsia" w:ascii="Times New Roman" w:hAnsi="Times New Roman" w:cs="Times New Roman"/>
          <w:kern w:val="2"/>
          <w:sz w:val="24"/>
          <w:szCs w:val="22"/>
          <w:lang w:val="en-US" w:eastAsia="zh-CN" w:bidi="ar-SA"/>
        </w:rPr>
        <w:t>企业</w:t>
      </w:r>
      <w:r>
        <w:rPr>
          <w:rFonts w:hint="eastAsia" w:ascii="Times New Roman" w:hAnsi="Times New Roman" w:cs="Times New Roman" w:eastAsiaTheme="minorEastAsia"/>
          <w:kern w:val="2"/>
          <w:sz w:val="24"/>
          <w:szCs w:val="22"/>
          <w:lang w:val="en-US" w:eastAsia="zh-CN" w:bidi="ar-SA"/>
        </w:rPr>
        <w:t>的实际情况进行了大量调研，对国内水平进行了充分论证，于202</w:t>
      </w:r>
      <w:r>
        <w:rPr>
          <w:rFonts w:hint="eastAsia" w:ascii="Times New Roman" w:hAnsi="Times New Roman" w:cs="Times New Roman"/>
          <w:kern w:val="2"/>
          <w:sz w:val="24"/>
          <w:szCs w:val="22"/>
          <w:lang w:val="en-US" w:eastAsia="zh-CN" w:bidi="ar-SA"/>
        </w:rPr>
        <w:t>1</w:t>
      </w:r>
      <w:r>
        <w:rPr>
          <w:rFonts w:hint="eastAsia" w:ascii="Times New Roman" w:hAnsi="Times New Roman" w:cs="Times New Roman" w:eastAsiaTheme="minorEastAsia"/>
          <w:kern w:val="2"/>
          <w:sz w:val="24"/>
          <w:szCs w:val="22"/>
          <w:lang w:val="en-US" w:eastAsia="zh-CN" w:bidi="ar-SA"/>
        </w:rPr>
        <w:t>年</w:t>
      </w:r>
      <w:r>
        <w:rPr>
          <w:rFonts w:hint="eastAsia" w:ascii="Times New Roman" w:hAnsi="Times New Roman" w:cs="Times New Roman"/>
          <w:kern w:val="2"/>
          <w:sz w:val="24"/>
          <w:szCs w:val="22"/>
          <w:lang w:val="en-US" w:eastAsia="zh-CN" w:bidi="ar-SA"/>
        </w:rPr>
        <w:t>11</w:t>
      </w:r>
      <w:r>
        <w:rPr>
          <w:rFonts w:hint="eastAsia" w:ascii="Times New Roman" w:hAnsi="Times New Roman" w:cs="Times New Roman" w:eastAsiaTheme="minorEastAsia"/>
          <w:kern w:val="2"/>
          <w:sz w:val="24"/>
          <w:szCs w:val="22"/>
          <w:lang w:val="en-US" w:eastAsia="zh-CN" w:bidi="ar-SA"/>
        </w:rPr>
        <w:t xml:space="preserve">月形成了协会标准《绿色设计产品评价技术规范 </w:t>
      </w:r>
      <w:r>
        <w:rPr>
          <w:rFonts w:hint="eastAsia" w:ascii="Times New Roman" w:hAnsi="Times New Roman" w:cs="Times New Roman"/>
          <w:kern w:val="2"/>
          <w:sz w:val="24"/>
          <w:szCs w:val="22"/>
          <w:lang w:val="en-US" w:eastAsia="zh-CN" w:bidi="ar-SA"/>
        </w:rPr>
        <w:t>镍钴酸锂</w:t>
      </w:r>
      <w:r>
        <w:rPr>
          <w:rFonts w:hint="eastAsia" w:ascii="Times New Roman" w:hAnsi="Times New Roman" w:cs="Times New Roman" w:eastAsiaTheme="minorEastAsia"/>
          <w:kern w:val="2"/>
          <w:sz w:val="24"/>
          <w:szCs w:val="22"/>
          <w:lang w:val="en-US" w:eastAsia="zh-CN" w:bidi="ar-SA"/>
        </w:rPr>
        <w:t>》（征求意见稿）和编制说明。</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eastAsia" w:ascii="黑体" w:hAnsi="黑体" w:eastAsia="黑体" w:cs="黑体"/>
          <w:b w:val="0"/>
          <w:bCs w:val="0"/>
          <w:iCs/>
          <w:sz w:val="24"/>
          <w:szCs w:val="24"/>
          <w:lang w:val="en-US" w:eastAsia="zh-CN"/>
        </w:rPr>
      </w:pPr>
      <w:r>
        <w:rPr>
          <w:rFonts w:hint="eastAsia" w:ascii="黑体" w:hAnsi="黑体" w:eastAsia="黑体" w:cs="黑体"/>
          <w:b w:val="0"/>
          <w:bCs w:val="0"/>
          <w:iCs/>
          <w:sz w:val="24"/>
          <w:szCs w:val="24"/>
          <w:lang w:val="en-US" w:eastAsia="zh-CN"/>
        </w:rPr>
        <w:t>1.4.2 征求意见阶段</w:t>
      </w:r>
    </w:p>
    <w:p>
      <w:pPr>
        <w:spacing w:line="440" w:lineRule="exact"/>
        <w:ind w:firstLine="470" w:firstLineChars="196"/>
        <w:rPr>
          <w:rFonts w:hAnsi="宋体"/>
          <w:sz w:val="24"/>
        </w:rPr>
      </w:pPr>
      <w:r>
        <w:rPr>
          <w:sz w:val="24"/>
        </w:rPr>
        <w:t>20</w:t>
      </w:r>
      <w:r>
        <w:rPr>
          <w:rFonts w:hint="eastAsia"/>
          <w:sz w:val="24"/>
        </w:rPr>
        <w:t>2</w:t>
      </w:r>
      <w:r>
        <w:rPr>
          <w:rFonts w:hint="eastAsia"/>
          <w:sz w:val="24"/>
          <w:lang w:val="en-US" w:eastAsia="zh-CN"/>
        </w:rPr>
        <w:t>1</w:t>
      </w:r>
      <w:r>
        <w:rPr>
          <w:rFonts w:hAnsi="宋体"/>
          <w:sz w:val="24"/>
        </w:rPr>
        <w:t>年</w:t>
      </w:r>
      <w:r>
        <w:rPr>
          <w:rFonts w:hint="eastAsia"/>
          <w:sz w:val="24"/>
          <w:lang w:val="en-US" w:eastAsia="zh-CN"/>
        </w:rPr>
        <w:t>12</w:t>
      </w:r>
      <w:r>
        <w:rPr>
          <w:rFonts w:hAnsi="宋体"/>
          <w:sz w:val="24"/>
        </w:rPr>
        <w:t>月</w:t>
      </w:r>
      <w:r>
        <w:rPr>
          <w:rFonts w:hint="eastAsia"/>
          <w:sz w:val="24"/>
          <w:lang w:val="en-US" w:eastAsia="zh-CN"/>
        </w:rPr>
        <w:t>6</w:t>
      </w:r>
      <w:r>
        <w:rPr>
          <w:rFonts w:hAnsi="宋体"/>
          <w:color w:val="000000"/>
          <w:sz w:val="24"/>
        </w:rPr>
        <w:t>日～</w:t>
      </w:r>
      <w:r>
        <w:rPr>
          <w:rFonts w:hint="eastAsia"/>
          <w:color w:val="000000"/>
          <w:sz w:val="24"/>
          <w:lang w:val="en-US" w:eastAsia="zh-CN"/>
        </w:rPr>
        <w:t>8</w:t>
      </w:r>
      <w:r>
        <w:rPr>
          <w:rFonts w:hAnsi="宋体"/>
          <w:sz w:val="24"/>
        </w:rPr>
        <w:t>日，全国有色金属标准化技术委员会组织在</w:t>
      </w:r>
      <w:r>
        <w:rPr>
          <w:rFonts w:hint="eastAsia" w:hAnsi="宋体"/>
          <w:sz w:val="24"/>
          <w:lang w:val="en-US" w:eastAsia="zh-CN"/>
        </w:rPr>
        <w:t>云南省昆明</w:t>
      </w:r>
      <w:r>
        <w:rPr>
          <w:rFonts w:hAnsi="宋体"/>
          <w:sz w:val="24"/>
        </w:rPr>
        <w:t>召开本标准的讨论会。来自</w:t>
      </w:r>
      <w:r>
        <w:rPr>
          <w:rFonts w:hint="eastAsia" w:hAnsi="宋体"/>
          <w:sz w:val="24"/>
          <w:lang w:val="en-US" w:eastAsia="zh-CN"/>
        </w:rPr>
        <w:t>XXXX</w:t>
      </w:r>
      <w:r>
        <w:rPr>
          <w:sz w:val="24"/>
        </w:rPr>
        <w:t>等</w:t>
      </w:r>
      <w:r>
        <w:rPr>
          <w:rFonts w:hint="eastAsia"/>
          <w:sz w:val="24"/>
        </w:rPr>
        <w:t>XX</w:t>
      </w:r>
      <w:r>
        <w:rPr>
          <w:sz w:val="24"/>
        </w:rPr>
        <w:t>家单位的</w:t>
      </w:r>
      <w:r>
        <w:rPr>
          <w:rFonts w:hint="eastAsia"/>
          <w:sz w:val="24"/>
        </w:rPr>
        <w:t>XX</w:t>
      </w:r>
      <w:r>
        <w:rPr>
          <w:sz w:val="24"/>
        </w:rPr>
        <w:t>位专家</w:t>
      </w:r>
      <w:r>
        <w:rPr>
          <w:rFonts w:hAnsi="宋体"/>
          <w:sz w:val="24"/>
        </w:rPr>
        <w:t>代表参加了会议。与会代表对本标准的</w:t>
      </w:r>
      <w:r>
        <w:rPr>
          <w:rFonts w:hAnsi="宋体"/>
          <w:color w:val="000000"/>
          <w:sz w:val="24"/>
        </w:rPr>
        <w:t>征求意见稿和编制说明</w:t>
      </w:r>
      <w:r>
        <w:rPr>
          <w:rFonts w:hAnsi="宋体"/>
          <w:sz w:val="24"/>
        </w:rPr>
        <w:t>进行了认真、细致的讨论，提出了修改意见和建议。</w:t>
      </w:r>
      <w:r>
        <w:rPr>
          <w:rFonts w:hint="eastAsia" w:hAnsi="宋体"/>
          <w:sz w:val="24"/>
        </w:rPr>
        <w:t>编制</w:t>
      </w:r>
      <w:r>
        <w:rPr>
          <w:rFonts w:hAnsi="宋体"/>
          <w:sz w:val="24"/>
        </w:rPr>
        <w:t>组根据讨论的意见对标准进行修改，形成了标准预审稿。</w:t>
      </w:r>
    </w:p>
    <w:p>
      <w:pPr>
        <w:adjustRightInd w:val="0"/>
        <w:spacing w:line="440" w:lineRule="exact"/>
        <w:ind w:firstLine="480" w:firstLineChars="200"/>
        <w:rPr>
          <w:rFonts w:hint="eastAsia" w:hAnsi="宋体"/>
          <w:sz w:val="24"/>
        </w:rPr>
      </w:pPr>
      <w:r>
        <w:rPr>
          <w:rFonts w:hAnsi="宋体"/>
          <w:color w:val="000000"/>
          <w:sz w:val="24"/>
        </w:rPr>
        <w:t>同时，</w:t>
      </w:r>
      <w:r>
        <w:rPr>
          <w:rFonts w:hAnsi="宋体"/>
          <w:sz w:val="24"/>
        </w:rPr>
        <w:t>全国有色金属标准化技术委员会通过工作群、邮件向委员单位征求意见，并将征求意见资料在</w:t>
      </w:r>
      <w:r>
        <w:rPr>
          <w:sz w:val="24"/>
        </w:rPr>
        <w:fldChar w:fldCharType="begin"/>
      </w:r>
      <w:r>
        <w:rPr>
          <w:sz w:val="24"/>
        </w:rPr>
        <w:instrText xml:space="preserve"> HYPERLINK "http://www.cnsmq.com" </w:instrText>
      </w:r>
      <w:r>
        <w:rPr>
          <w:sz w:val="24"/>
        </w:rPr>
        <w:fldChar w:fldCharType="separate"/>
      </w:r>
      <w:r>
        <w:rPr>
          <w:rStyle w:val="11"/>
          <w:sz w:val="24"/>
        </w:rPr>
        <w:t>www.cnsmq.com</w:t>
      </w:r>
      <w:r>
        <w:rPr>
          <w:sz w:val="24"/>
        </w:rPr>
        <w:fldChar w:fldCharType="end"/>
      </w:r>
      <w:r>
        <w:rPr>
          <w:rFonts w:hAnsi="宋体"/>
          <w:sz w:val="24"/>
        </w:rPr>
        <w:t>网站上挂网。征求意见的单位包括主要生产、经销、使用、科研、检验等单位及大专院校，征求意见单位广泛且具有代表性，征求意见时间大于</w:t>
      </w:r>
      <w:r>
        <w:rPr>
          <w:sz w:val="24"/>
        </w:rPr>
        <w:t>2</w:t>
      </w:r>
      <w:r>
        <w:rPr>
          <w:rFonts w:hAnsi="宋体"/>
          <w:sz w:val="24"/>
        </w:rPr>
        <w:t>个月。</w:t>
      </w:r>
    </w:p>
    <w:p>
      <w:pPr>
        <w:adjustRightInd w:val="0"/>
        <w:spacing w:line="440" w:lineRule="exact"/>
        <w:ind w:firstLine="480" w:firstLineChars="200"/>
        <w:rPr>
          <w:rFonts w:hAnsi="宋体"/>
          <w:sz w:val="24"/>
        </w:rPr>
      </w:pPr>
      <w:r>
        <w:rPr>
          <w:rFonts w:hint="eastAsia" w:hAnsi="宋体"/>
          <w:sz w:val="24"/>
        </w:rPr>
        <w:t>202</w:t>
      </w:r>
      <w:r>
        <w:rPr>
          <w:rFonts w:hint="eastAsia" w:hAnsi="宋体"/>
          <w:sz w:val="24"/>
          <w:lang w:val="en-US" w:eastAsia="zh-CN"/>
        </w:rPr>
        <w:t>1</w:t>
      </w:r>
      <w:r>
        <w:rPr>
          <w:rFonts w:hint="eastAsia" w:hAnsi="宋体"/>
          <w:sz w:val="24"/>
        </w:rPr>
        <w:t>年X月，编制</w:t>
      </w:r>
      <w:r>
        <w:rPr>
          <w:rFonts w:hAnsi="宋体"/>
          <w:sz w:val="24"/>
        </w:rPr>
        <w:t>组</w:t>
      </w:r>
      <w:r>
        <w:rPr>
          <w:rFonts w:hint="eastAsia" w:hAnsi="宋体"/>
          <w:sz w:val="24"/>
        </w:rPr>
        <w:t>对收集到的意见进行整理，共收到XX条意见，形成了</w:t>
      </w:r>
      <w:r>
        <w:rPr>
          <w:rFonts w:hAnsi="宋体"/>
          <w:sz w:val="24"/>
        </w:rPr>
        <w:t>标准意见汇总处理表。</w:t>
      </w:r>
      <w:r>
        <w:rPr>
          <w:rFonts w:hint="eastAsia" w:hAnsi="宋体"/>
          <w:sz w:val="24"/>
        </w:rPr>
        <w:t>标准制定工作组</w:t>
      </w:r>
      <w:r>
        <w:rPr>
          <w:rFonts w:hAnsi="宋体"/>
          <w:sz w:val="24"/>
        </w:rPr>
        <w:t>根据意见对标准进行修改，形成了标准意见汇总处理表和</w:t>
      </w:r>
      <w:r>
        <w:rPr>
          <w:rFonts w:hint="eastAsia" w:hAnsi="宋体"/>
          <w:sz w:val="24"/>
        </w:rPr>
        <w:t>送</w:t>
      </w:r>
      <w:r>
        <w:rPr>
          <w:rFonts w:hAnsi="宋体"/>
          <w:sz w:val="24"/>
        </w:rPr>
        <w:t>审稿。</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default" w:ascii="黑体" w:hAnsi="黑体" w:eastAsia="黑体" w:cs="黑体"/>
          <w:b w:val="0"/>
          <w:bCs w:val="0"/>
          <w:iCs/>
          <w:sz w:val="24"/>
          <w:szCs w:val="24"/>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rPr>
        <w:t>.</w:t>
      </w:r>
      <w:r>
        <w:rPr>
          <w:rFonts w:hint="default" w:ascii="黑体" w:hAnsi="黑体" w:eastAsia="黑体" w:cs="黑体"/>
          <w:b w:val="0"/>
          <w:bCs w:val="0"/>
          <w:iCs/>
          <w:sz w:val="24"/>
          <w:szCs w:val="24"/>
          <w:lang w:val="en-US" w:eastAsia="zh-CN"/>
        </w:rPr>
        <w:t>3</w:t>
      </w:r>
      <w:r>
        <w:rPr>
          <w:rFonts w:hint="default" w:ascii="黑体" w:hAnsi="黑体" w:eastAsia="黑体" w:cs="黑体"/>
          <w:b w:val="0"/>
          <w:bCs w:val="0"/>
          <w:iCs/>
          <w:sz w:val="24"/>
          <w:szCs w:val="24"/>
        </w:rPr>
        <w:t xml:space="preserve"> 审查阶段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XXX。</w:t>
      </w:r>
    </w:p>
    <w:p>
      <w:pPr>
        <w:pStyle w:val="4"/>
        <w:keepNext/>
        <w:keepLines w:val="0"/>
        <w:pageBreakBefore w:val="0"/>
        <w:widowControl/>
        <w:kinsoku/>
        <w:wordWrap/>
        <w:overflowPunct/>
        <w:topLinePunct w:val="0"/>
        <w:autoSpaceDE/>
        <w:autoSpaceDN/>
        <w:bidi w:val="0"/>
        <w:adjustRightInd/>
        <w:snapToGrid/>
        <w:spacing w:before="0" w:after="0"/>
        <w:ind w:firstLine="0" w:firstLineChars="0"/>
        <w:jc w:val="left"/>
        <w:textAlignment w:val="auto"/>
        <w:rPr>
          <w:rFonts w:hint="default" w:ascii="黑体" w:hAnsi="黑体" w:eastAsia="黑体" w:cs="黑体"/>
          <w:b w:val="0"/>
          <w:bCs w:val="0"/>
          <w:iCs/>
          <w:sz w:val="24"/>
          <w:szCs w:val="24"/>
        </w:rPr>
      </w:pPr>
      <w:r>
        <w:rPr>
          <w:rFonts w:hint="default" w:ascii="黑体" w:hAnsi="黑体" w:eastAsia="黑体" w:cs="黑体"/>
          <w:b w:val="0"/>
          <w:bCs w:val="0"/>
          <w:iCs/>
          <w:sz w:val="24"/>
          <w:szCs w:val="24"/>
        </w:rPr>
        <w:t>1.</w:t>
      </w:r>
      <w:r>
        <w:rPr>
          <w:rFonts w:hint="eastAsia" w:ascii="黑体" w:hAnsi="黑体" w:eastAsia="黑体" w:cs="黑体"/>
          <w:b w:val="0"/>
          <w:bCs w:val="0"/>
          <w:iCs/>
          <w:sz w:val="24"/>
          <w:szCs w:val="24"/>
          <w:lang w:val="en-US" w:eastAsia="zh-CN"/>
        </w:rPr>
        <w:t>4</w:t>
      </w:r>
      <w:r>
        <w:rPr>
          <w:rFonts w:hint="default" w:ascii="黑体" w:hAnsi="黑体" w:eastAsia="黑体" w:cs="黑体"/>
          <w:b w:val="0"/>
          <w:bCs w:val="0"/>
          <w:iCs/>
          <w:sz w:val="24"/>
          <w:szCs w:val="24"/>
        </w:rPr>
        <w:t>.4 报批阶段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default"/>
          <w:lang w:val="en-US" w:eastAsia="zh-CN"/>
        </w:rPr>
      </w:pPr>
      <w:r>
        <w:rPr>
          <w:rFonts w:hint="eastAsia" w:ascii="宋体" w:hAnsi="宋体" w:eastAsia="宋体" w:cs="宋体"/>
          <w:sz w:val="24"/>
          <w:lang w:val="en-US" w:eastAsia="zh-CN"/>
        </w:rPr>
        <w:t>XXX。</w:t>
      </w:r>
    </w:p>
    <w:p>
      <w:pPr>
        <w:numPr>
          <w:ilvl w:val="0"/>
          <w:numId w:val="1"/>
        </w:numPr>
        <w:spacing w:before="313" w:beforeLines="100" w:after="313" w:afterLines="100" w:line="240" w:lineRule="auto"/>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标准编制原则</w:t>
      </w:r>
      <w:r>
        <w:rPr>
          <w:rFonts w:hint="eastAsia" w:ascii="Times New Roman" w:hAnsi="Times New Roman" w:eastAsia="黑体" w:cs="Times New Roman"/>
          <w:b w:val="0"/>
          <w:bCs w:val="0"/>
          <w:sz w:val="24"/>
          <w:szCs w:val="24"/>
          <w:lang w:val="en-US" w:eastAsia="zh-CN"/>
        </w:rPr>
        <w:t>及主要内容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2.1  编制原则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本标准的制定工作遵循“统一性、协调性、适用性、一致性、规范性”的原则，本着先进性、科学性、合理性和可操作性的原则，按</w:t>
      </w:r>
      <w:r>
        <w:rPr>
          <w:rFonts w:hint="default" w:ascii="Times New Roman" w:hAnsi="Times New Roman" w:eastAsia="宋体" w:cs="Times New Roman"/>
          <w:color w:val="000000"/>
          <w:sz w:val="24"/>
          <w:szCs w:val="24"/>
        </w:rPr>
        <w:t>照GB/T 1.1-20</w:t>
      </w:r>
      <w:r>
        <w:rPr>
          <w:rFonts w:hint="default"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给</w:t>
      </w:r>
      <w:r>
        <w:rPr>
          <w:rFonts w:hint="eastAsia" w:ascii="宋体" w:hAnsi="宋体" w:eastAsia="宋体" w:cs="Times New Roman"/>
          <w:color w:val="000000"/>
          <w:sz w:val="24"/>
          <w:szCs w:val="24"/>
        </w:rPr>
        <w:t>出的规则编写。</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本标准的编制充分考虑生产企业的产品质量和相关单位的意见，同时要确保用户的需求，为锂电池生产企业提供满意的使用原料。</w:t>
      </w:r>
    </w:p>
    <w:p>
      <w:pPr>
        <w:snapToGrid w:val="0"/>
        <w:spacing w:line="360" w:lineRule="auto"/>
        <w:ind w:firstLine="480" w:firstLineChars="200"/>
        <w:rPr>
          <w:rFonts w:hint="eastAsia"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本</w:t>
      </w:r>
      <w:r>
        <w:rPr>
          <w:rFonts w:hint="eastAsia" w:ascii="宋体" w:hAnsi="宋体" w:eastAsia="宋体" w:cs="Times New Roman"/>
          <w:color w:val="000000"/>
          <w:sz w:val="24"/>
          <w:szCs w:val="24"/>
        </w:rPr>
        <w:t>标准</w:t>
      </w:r>
      <w:r>
        <w:rPr>
          <w:rFonts w:hint="eastAsia" w:ascii="宋体" w:hAnsi="宋体" w:eastAsia="宋体" w:cs="Times New Roman"/>
          <w:color w:val="000000"/>
          <w:sz w:val="24"/>
          <w:szCs w:val="24"/>
          <w:lang w:val="en-US" w:eastAsia="zh-CN"/>
        </w:rPr>
        <w:t>的制定</w:t>
      </w:r>
      <w:r>
        <w:rPr>
          <w:rFonts w:hint="eastAsia" w:ascii="宋体" w:hAnsi="宋体" w:eastAsia="宋体" w:cs="Times New Roman"/>
          <w:color w:val="000000"/>
          <w:sz w:val="24"/>
          <w:szCs w:val="24"/>
        </w:rPr>
        <w:t>应科学合理、切实可行、具有可操作性，同时促进镍钴酸锂正极材料生产企业综合利用水平的提高。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2.2  主要内容</w:t>
      </w:r>
    </w:p>
    <w:p>
      <w:pPr>
        <w:snapToGrid w:val="0"/>
        <w:spacing w:line="360" w:lineRule="auto"/>
        <w:ind w:firstLine="480" w:firstLineChars="200"/>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本标准规定了镍钴酸锂绿色设计产品评价原则和方法、对镍钴酸锂生产企业的绿色生产要求、镍钴酸锂绿色设计产品的评价指标及产品生命周期评价方法等内容。锂离子电池正极材料镍钴酸锂的绿色设计产品评价。</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240" w:lineRule="auto"/>
        <w:ind w:left="0" w:leftChars="0" w:firstLine="0" w:firstLineChars="0"/>
        <w:textAlignment w:val="auto"/>
        <w:rPr>
          <w:rFonts w:hint="default" w:ascii="Times New Roman" w:hAnsi="Times New Roman" w:eastAsia="黑体" w:cs="Times New Roman"/>
          <w:b w:val="0"/>
          <w:bCs/>
          <w:sz w:val="24"/>
          <w:szCs w:val="24"/>
        </w:rPr>
      </w:pPr>
      <w:r>
        <w:rPr>
          <w:rFonts w:hint="default" w:ascii="Times New Roman" w:hAnsi="Times New Roman" w:eastAsia="黑体" w:cs="Times New Roman"/>
          <w:b w:val="0"/>
          <w:bCs/>
          <w:sz w:val="24"/>
          <w:szCs w:val="24"/>
        </w:rPr>
        <w:t>标准主要内容的论据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3.1  镍钴酸锂生产工艺流程</w:t>
      </w:r>
    </w:p>
    <w:p>
      <w:pPr>
        <w:ind w:firstLine="420" w:firstLineChars="200"/>
        <w:rPr>
          <w:rFonts w:hint="eastAsia"/>
        </w:rPr>
      </w:pPr>
      <w:r>
        <w:rPr>
          <w:rFonts w:hint="eastAsia"/>
        </w:rPr>
        <w:t>由</w:t>
      </w:r>
      <w:r>
        <w:rPr>
          <w:rFonts w:hint="eastAsia"/>
          <w:lang w:val="en-US" w:eastAsia="zh-CN"/>
        </w:rPr>
        <w:t>镍钴氢氧化物</w:t>
      </w:r>
      <w:r>
        <w:rPr>
          <w:rFonts w:hint="eastAsia"/>
        </w:rPr>
        <w:t>前驱体直接</w:t>
      </w:r>
      <w:r>
        <w:rPr>
          <w:rFonts w:hint="eastAsia"/>
          <w:lang w:val="en-US" w:eastAsia="zh-CN"/>
        </w:rPr>
        <w:t>制备</w:t>
      </w:r>
      <w:r>
        <w:rPr>
          <w:rFonts w:hint="eastAsia"/>
        </w:rPr>
        <w:t>镍钴酸锂正极材料的生产工艺流程如图1所示。</w:t>
      </w:r>
    </w:p>
    <w:p>
      <w:pPr>
        <w:ind w:firstLine="420" w:firstLineChars="200"/>
        <w:rPr>
          <w:rFonts w:hint="default"/>
          <w:lang w:val="en-US" w:eastAsia="zh-CN"/>
        </w:rPr>
      </w:pPr>
      <w:r>
        <w:rPr>
          <w:rFonts w:ascii="Calibri" w:hAnsi="Calibri" w:cs="Mongolian Baiti"/>
          <w:color w:val="000000"/>
        </w:rPr>
        <mc:AlternateContent>
          <mc:Choice Requires="wpc">
            <w:drawing>
              <wp:inline distT="0" distB="0" distL="114300" distR="114300">
                <wp:extent cx="4767580" cy="3963670"/>
                <wp:effectExtent l="0" t="0" r="0" b="55880"/>
                <wp:docPr id="27" name="画布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
                        <wps:cNvSpPr/>
                        <wps:spPr>
                          <a:xfrm>
                            <a:off x="1983120" y="101000"/>
                            <a:ext cx="1223613" cy="28820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8"/>
                                  <w:szCs w:val="15"/>
                                </w:rPr>
                              </w:pPr>
                              <w:r>
                                <w:rPr>
                                  <w:rFonts w:hint="eastAsia"/>
                                  <w:color w:val="000000"/>
                                  <w:sz w:val="18"/>
                                  <w:szCs w:val="15"/>
                                </w:rPr>
                                <w:t>混料</w:t>
                              </w:r>
                            </w:p>
                          </w:txbxContent>
                        </wps:txbx>
                        <wps:bodyPr anchor="ctr" upright="1"/>
                      </wps:wsp>
                      <wps:wsp>
                        <wps:cNvPr id="2" name="直接箭头连接符 2"/>
                        <wps:cNvCnPr/>
                        <wps:spPr>
                          <a:xfrm flipH="1">
                            <a:off x="2595227" y="389200"/>
                            <a:ext cx="0" cy="215900"/>
                          </a:xfrm>
                          <a:prstGeom prst="straightConnector1">
                            <a:avLst/>
                          </a:prstGeom>
                          <a:ln w="12700" cap="flat" cmpd="sng">
                            <a:solidFill>
                              <a:srgbClr val="000000"/>
                            </a:solidFill>
                            <a:prstDash val="solid"/>
                            <a:headEnd type="none" w="med" len="med"/>
                            <a:tailEnd type="arrow" w="med" len="med"/>
                          </a:ln>
                        </wps:spPr>
                        <wps:bodyPr/>
                      </wps:wsp>
                      <wps:wsp>
                        <wps:cNvPr id="3" name="矩形 3"/>
                        <wps:cNvSpPr/>
                        <wps:spPr>
                          <a:xfrm>
                            <a:off x="1983720" y="6134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0" w:afterAutospacing="0"/>
                                <w:jc w:val="center"/>
                                <w:rPr>
                                  <w:sz w:val="32"/>
                                </w:rPr>
                              </w:pPr>
                              <w:r>
                                <w:rPr>
                                  <w:rFonts w:hint="eastAsia" w:ascii="Times New Roman"/>
                                  <w:color w:val="000000"/>
                                  <w:kern w:val="2"/>
                                  <w:sz w:val="18"/>
                                  <w:szCs w:val="15"/>
                                </w:rPr>
                                <w:t>装钵</w:t>
                              </w:r>
                            </w:p>
                          </w:txbxContent>
                        </wps:txbx>
                        <wps:bodyPr anchor="ctr" upright="1"/>
                      </wps:wsp>
                      <wps:wsp>
                        <wps:cNvPr id="4" name="直接箭头连接符 4"/>
                        <wps:cNvCnPr/>
                        <wps:spPr>
                          <a:xfrm flipH="1">
                            <a:off x="2595227" y="901100"/>
                            <a:ext cx="0" cy="216500"/>
                          </a:xfrm>
                          <a:prstGeom prst="straightConnector1">
                            <a:avLst/>
                          </a:prstGeom>
                          <a:ln w="12700" cap="flat" cmpd="sng">
                            <a:solidFill>
                              <a:srgbClr val="000000"/>
                            </a:solidFill>
                            <a:prstDash val="solid"/>
                            <a:headEnd type="none" w="med" len="med"/>
                            <a:tailEnd type="arrow" w="med" len="med"/>
                          </a:ln>
                        </wps:spPr>
                        <wps:bodyPr/>
                      </wps:wsp>
                      <wps:wsp>
                        <wps:cNvPr id="5" name="矩形 5"/>
                        <wps:cNvSpPr/>
                        <wps:spPr>
                          <a:xfrm>
                            <a:off x="1983720" y="11328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32"/>
                                </w:rPr>
                              </w:pPr>
                              <w:r>
                                <w:rPr>
                                  <w:rFonts w:hint="eastAsia" w:ascii="Times New Roman"/>
                                  <w:color w:val="000000"/>
                                  <w:kern w:val="2"/>
                                  <w:sz w:val="18"/>
                                  <w:szCs w:val="15"/>
                                </w:rPr>
                                <w:t>一次烧结</w:t>
                              </w:r>
                            </w:p>
                          </w:txbxContent>
                        </wps:txbx>
                        <wps:bodyPr anchor="ctr" upright="1"/>
                      </wps:wsp>
                      <wps:wsp>
                        <wps:cNvPr id="6" name="直接箭头连接符 6"/>
                        <wps:cNvCnPr/>
                        <wps:spPr>
                          <a:xfrm flipH="1">
                            <a:off x="2595227" y="1430000"/>
                            <a:ext cx="0" cy="215900"/>
                          </a:xfrm>
                          <a:prstGeom prst="straightConnector1">
                            <a:avLst/>
                          </a:prstGeom>
                          <a:ln w="12700" cap="flat" cmpd="sng">
                            <a:solidFill>
                              <a:srgbClr val="000000"/>
                            </a:solidFill>
                            <a:prstDash val="solid"/>
                            <a:headEnd type="none" w="med" len="med"/>
                            <a:tailEnd type="arrow" w="med" len="med"/>
                          </a:ln>
                        </wps:spPr>
                        <wps:bodyPr/>
                      </wps:wsp>
                      <wps:wsp>
                        <wps:cNvPr id="7" name="矩形 7"/>
                        <wps:cNvSpPr/>
                        <wps:spPr>
                          <a:xfrm>
                            <a:off x="1983720" y="16618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18"/>
                                </w:rPr>
                              </w:pPr>
                              <w:r>
                                <w:rPr>
                                  <w:rFonts w:hint="eastAsia"/>
                                  <w:sz w:val="18"/>
                                </w:rPr>
                                <w:t>处理</w:t>
                              </w:r>
                            </w:p>
                          </w:txbxContent>
                        </wps:txbx>
                        <wps:bodyPr anchor="ctr" upright="1"/>
                      </wps:wsp>
                      <wps:wsp>
                        <wps:cNvPr id="8" name="直接箭头连接符 8"/>
                        <wps:cNvCnPr/>
                        <wps:spPr>
                          <a:xfrm flipH="1">
                            <a:off x="2595227" y="1953900"/>
                            <a:ext cx="0" cy="215900"/>
                          </a:xfrm>
                          <a:prstGeom prst="straightConnector1">
                            <a:avLst/>
                          </a:prstGeom>
                          <a:ln w="12700" cap="flat" cmpd="sng">
                            <a:solidFill>
                              <a:srgbClr val="000000"/>
                            </a:solidFill>
                            <a:prstDash val="solid"/>
                            <a:headEnd type="none" w="med" len="med"/>
                            <a:tailEnd type="arrow" w="med" len="med"/>
                          </a:ln>
                        </wps:spPr>
                        <wps:bodyPr/>
                      </wps:wsp>
                      <wps:wsp>
                        <wps:cNvPr id="9" name="矩形 9"/>
                        <wps:cNvSpPr/>
                        <wps:spPr>
                          <a:xfrm>
                            <a:off x="1983720" y="21857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32"/>
                                </w:rPr>
                              </w:pPr>
                              <w:r>
                                <w:rPr>
                                  <w:rFonts w:hint="eastAsia" w:ascii="Times New Roman"/>
                                  <w:color w:val="000000"/>
                                  <w:kern w:val="2"/>
                                  <w:sz w:val="18"/>
                                  <w:szCs w:val="15"/>
                                </w:rPr>
                                <w:t>二次烧结</w:t>
                              </w:r>
                            </w:p>
                          </w:txbxContent>
                        </wps:txbx>
                        <wps:bodyPr anchor="ctr" upright="1"/>
                      </wps:wsp>
                      <wps:wsp>
                        <wps:cNvPr id="10" name="直接箭头连接符 10"/>
                        <wps:cNvCnPr/>
                        <wps:spPr>
                          <a:xfrm flipH="1">
                            <a:off x="2595227" y="2458700"/>
                            <a:ext cx="0" cy="215900"/>
                          </a:xfrm>
                          <a:prstGeom prst="straightConnector1">
                            <a:avLst/>
                          </a:prstGeom>
                          <a:ln w="12700" cap="flat" cmpd="sng">
                            <a:solidFill>
                              <a:srgbClr val="000000"/>
                            </a:solidFill>
                            <a:prstDash val="solid"/>
                            <a:headEnd type="none" w="med" len="med"/>
                            <a:tailEnd type="arrow" w="med" len="med"/>
                          </a:ln>
                        </wps:spPr>
                        <wps:bodyPr/>
                      </wps:wsp>
                      <wps:wsp>
                        <wps:cNvPr id="11" name="矩形 11"/>
                        <wps:cNvSpPr/>
                        <wps:spPr>
                          <a:xfrm>
                            <a:off x="1983720" y="26905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32"/>
                                </w:rPr>
                              </w:pPr>
                              <w:r>
                                <w:rPr>
                                  <w:rFonts w:hint="eastAsia" w:ascii="Times New Roman"/>
                                  <w:color w:val="000000"/>
                                  <w:kern w:val="2"/>
                                  <w:sz w:val="18"/>
                                  <w:szCs w:val="15"/>
                                </w:rPr>
                                <w:t>破碎</w:t>
                              </w:r>
                            </w:p>
                          </w:txbxContent>
                        </wps:txbx>
                        <wps:bodyPr anchor="ctr" upright="1"/>
                      </wps:wsp>
                      <wps:wsp>
                        <wps:cNvPr id="12" name="直接箭头连接符 12"/>
                        <wps:cNvCnPr/>
                        <wps:spPr>
                          <a:xfrm flipH="1">
                            <a:off x="2595227" y="2982600"/>
                            <a:ext cx="600" cy="215900"/>
                          </a:xfrm>
                          <a:prstGeom prst="straightConnector1">
                            <a:avLst/>
                          </a:prstGeom>
                          <a:ln w="12700" cap="flat" cmpd="sng">
                            <a:solidFill>
                              <a:srgbClr val="000000"/>
                            </a:solidFill>
                            <a:prstDash val="solid"/>
                            <a:headEnd type="none" w="med" len="med"/>
                            <a:tailEnd type="arrow" w="med" len="med"/>
                          </a:ln>
                        </wps:spPr>
                        <wps:bodyPr/>
                      </wps:wsp>
                      <wps:wsp>
                        <wps:cNvPr id="13" name="矩形 13"/>
                        <wps:cNvSpPr/>
                        <wps:spPr>
                          <a:xfrm>
                            <a:off x="1983720" y="3214400"/>
                            <a:ext cx="1223013" cy="2876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32"/>
                                </w:rPr>
                              </w:pPr>
                              <w:r>
                                <w:rPr>
                                  <w:rFonts w:hint="eastAsia" w:ascii="Times New Roman"/>
                                  <w:color w:val="000000"/>
                                  <w:kern w:val="2"/>
                                  <w:sz w:val="18"/>
                                  <w:szCs w:val="15"/>
                                </w:rPr>
                                <w:t>筛分、混料、除磁</w:t>
                              </w:r>
                            </w:p>
                          </w:txbxContent>
                        </wps:txbx>
                        <wps:bodyPr anchor="ctr" upright="1"/>
                      </wps:wsp>
                      <wps:wsp>
                        <wps:cNvPr id="14" name="直接箭头连接符 14"/>
                        <wps:cNvCnPr/>
                        <wps:spPr>
                          <a:xfrm flipH="1">
                            <a:off x="2595227" y="3496900"/>
                            <a:ext cx="600" cy="215900"/>
                          </a:xfrm>
                          <a:prstGeom prst="straightConnector1">
                            <a:avLst/>
                          </a:prstGeom>
                          <a:ln w="12700" cap="flat" cmpd="sng">
                            <a:solidFill>
                              <a:srgbClr val="000000"/>
                            </a:solidFill>
                            <a:prstDash val="solid"/>
                            <a:headEnd type="none" w="med" len="med"/>
                            <a:tailEnd type="arrow" w="med" len="med"/>
                          </a:ln>
                        </wps:spPr>
                        <wps:bodyPr/>
                      </wps:wsp>
                      <wps:wsp>
                        <wps:cNvPr id="15" name="左大括号 15"/>
                        <wps:cNvSpPr/>
                        <wps:spPr>
                          <a:xfrm>
                            <a:off x="1364614" y="205700"/>
                            <a:ext cx="593706" cy="3725500"/>
                          </a:xfrm>
                          <a:prstGeom prst="leftBrace">
                            <a:avLst>
                              <a:gd name="adj1" fmla="val 10429"/>
                              <a:gd name="adj2" fmla="val 50000"/>
                            </a:avLst>
                          </a:prstGeom>
                          <a:noFill/>
                          <a:ln w="19050" cap="flat" cmpd="sng">
                            <a:solidFill>
                              <a:srgbClr val="000000"/>
                            </a:solidFill>
                            <a:prstDash val="solid"/>
                            <a:headEnd type="none" w="med" len="med"/>
                            <a:tailEnd type="none" w="med" len="med"/>
                          </a:ln>
                        </wps:spPr>
                        <wps:bodyPr anchor="ctr" upright="1"/>
                      </wps:wsp>
                      <wps:wsp>
                        <wps:cNvPr id="16" name="矩形 16"/>
                        <wps:cNvSpPr/>
                        <wps:spPr>
                          <a:xfrm>
                            <a:off x="288203" y="1518200"/>
                            <a:ext cx="720107" cy="28770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8"/>
                                  <w:szCs w:val="15"/>
                                </w:rPr>
                              </w:pPr>
                              <w:r>
                                <w:rPr>
                                  <w:rFonts w:hint="eastAsia"/>
                                  <w:color w:val="000000"/>
                                  <w:sz w:val="18"/>
                                  <w:szCs w:val="15"/>
                                </w:rPr>
                                <w:t>原辅料</w:t>
                              </w:r>
                            </w:p>
                          </w:txbxContent>
                        </wps:txbx>
                        <wps:bodyPr anchor="ctr" upright="1"/>
                      </wps:wsp>
                      <wps:wsp>
                        <wps:cNvPr id="18" name="矩形 18"/>
                        <wps:cNvSpPr/>
                        <wps:spPr>
                          <a:xfrm>
                            <a:off x="288203" y="2314500"/>
                            <a:ext cx="720107" cy="288300"/>
                          </a:xfrm>
                          <a:prstGeom prst="rect">
                            <a:avLst/>
                          </a:prstGeom>
                          <a:noFill/>
                          <a:ln w="19050" cap="flat" cmpd="sng">
                            <a:solidFill>
                              <a:srgbClr val="000000"/>
                            </a:solidFill>
                            <a:prstDash val="solid"/>
                            <a:miter/>
                            <a:headEnd type="none" w="med" len="med"/>
                            <a:tailEnd type="none" w="med" len="med"/>
                          </a:ln>
                        </wps:spPr>
                        <wps:txbx>
                          <w:txbxContent>
                            <w:p>
                              <w:pPr>
                                <w:jc w:val="center"/>
                                <w:rPr>
                                  <w:rFonts w:hint="eastAsia" w:eastAsiaTheme="minorEastAsia"/>
                                  <w:color w:val="000000"/>
                                  <w:sz w:val="18"/>
                                  <w:szCs w:val="15"/>
                                  <w:lang w:val="en-US" w:eastAsia="zh-CN"/>
                                </w:rPr>
                              </w:pPr>
                              <w:r>
                                <w:rPr>
                                  <w:rFonts w:hint="eastAsia"/>
                                  <w:color w:val="000000"/>
                                  <w:sz w:val="18"/>
                                  <w:szCs w:val="15"/>
                                  <w:lang w:val="en-US" w:eastAsia="zh-CN"/>
                                </w:rPr>
                                <w:t>能源</w:t>
                              </w:r>
                            </w:p>
                          </w:txbxContent>
                        </wps:txbx>
                        <wps:bodyPr anchor="ctr" upright="1"/>
                      </wps:wsp>
                      <wps:wsp>
                        <wps:cNvPr id="19" name="直接箭头连接符 19"/>
                        <wps:cNvCnPr/>
                        <wps:spPr>
                          <a:xfrm>
                            <a:off x="1213485" y="2064385"/>
                            <a:ext cx="243205" cy="9525"/>
                          </a:xfrm>
                          <a:prstGeom prst="straightConnector1">
                            <a:avLst/>
                          </a:prstGeom>
                          <a:ln w="19050" cap="flat" cmpd="sng">
                            <a:solidFill>
                              <a:srgbClr val="000000"/>
                            </a:solidFill>
                            <a:prstDash val="solid"/>
                            <a:headEnd type="none" w="med" len="med"/>
                            <a:tailEnd type="arrow" w="med" len="med"/>
                          </a:ln>
                        </wps:spPr>
                        <wps:bodyPr/>
                      </wps:wsp>
                      <wps:wsp>
                        <wps:cNvPr id="20" name="右大括号 20"/>
                        <wps:cNvSpPr/>
                        <wps:spPr>
                          <a:xfrm>
                            <a:off x="3216233" y="205700"/>
                            <a:ext cx="594406" cy="3725500"/>
                          </a:xfrm>
                          <a:prstGeom prst="rightBrace">
                            <a:avLst>
                              <a:gd name="adj1" fmla="val 10475"/>
                              <a:gd name="adj2" fmla="val 50000"/>
                            </a:avLst>
                          </a:prstGeom>
                          <a:noFill/>
                          <a:ln w="19050" cap="flat" cmpd="sng">
                            <a:solidFill>
                              <a:srgbClr val="000000"/>
                            </a:solidFill>
                            <a:prstDash val="solid"/>
                            <a:headEnd type="none" w="med" len="med"/>
                            <a:tailEnd type="none" w="med" len="med"/>
                          </a:ln>
                        </wps:spPr>
                        <wps:bodyPr anchor="ctr" upright="1"/>
                      </wps:wsp>
                      <wps:wsp>
                        <wps:cNvPr id="21" name="矩形 21"/>
                        <wps:cNvSpPr/>
                        <wps:spPr>
                          <a:xfrm>
                            <a:off x="3868440" y="1953400"/>
                            <a:ext cx="720107" cy="288300"/>
                          </a:xfrm>
                          <a:prstGeom prst="rect">
                            <a:avLst/>
                          </a:prstGeom>
                          <a:noFill/>
                          <a:ln w="19050" cap="flat" cmpd="sng">
                            <a:solidFill>
                              <a:srgbClr val="000000"/>
                            </a:solidFill>
                            <a:prstDash val="solid"/>
                            <a:miter/>
                            <a:headEnd type="none" w="med" len="med"/>
                            <a:tailEnd type="none" w="med" len="med"/>
                          </a:ln>
                        </wps:spPr>
                        <wps:txbx>
                          <w:txbxContent>
                            <w:p>
                              <w:pPr>
                                <w:jc w:val="center"/>
                                <w:rPr>
                                  <w:color w:val="000000"/>
                                  <w:sz w:val="18"/>
                                  <w:szCs w:val="15"/>
                                </w:rPr>
                              </w:pPr>
                              <w:r>
                                <w:rPr>
                                  <w:rFonts w:hint="eastAsia"/>
                                  <w:color w:val="000000"/>
                                  <w:sz w:val="18"/>
                                  <w:szCs w:val="15"/>
                                </w:rPr>
                                <w:t>废物排放</w:t>
                              </w:r>
                            </w:p>
                          </w:txbxContent>
                        </wps:txbx>
                        <wps:bodyPr anchor="ctr" upright="1"/>
                      </wps:wsp>
                      <wps:wsp>
                        <wps:cNvPr id="22" name="直接连接符 22"/>
                        <wps:cNvCnPr/>
                        <wps:spPr>
                          <a:xfrm>
                            <a:off x="1008310" y="1677200"/>
                            <a:ext cx="201302" cy="0"/>
                          </a:xfrm>
                          <a:prstGeom prst="line">
                            <a:avLst/>
                          </a:prstGeom>
                          <a:ln w="19050" cap="flat" cmpd="sng">
                            <a:solidFill>
                              <a:srgbClr val="000000"/>
                            </a:solidFill>
                            <a:prstDash val="solid"/>
                            <a:headEnd type="none" w="med" len="med"/>
                            <a:tailEnd type="none" w="med" len="med"/>
                          </a:ln>
                        </wps:spPr>
                        <wps:bodyPr upright="1"/>
                      </wps:wsp>
                      <wps:wsp>
                        <wps:cNvPr id="23" name="直接连接符 23"/>
                        <wps:cNvCnPr/>
                        <wps:spPr>
                          <a:xfrm>
                            <a:off x="1008310" y="2475600"/>
                            <a:ext cx="201302" cy="0"/>
                          </a:xfrm>
                          <a:prstGeom prst="line">
                            <a:avLst/>
                          </a:prstGeom>
                          <a:ln w="19050" cap="flat" cmpd="sng">
                            <a:solidFill>
                              <a:srgbClr val="000000"/>
                            </a:solidFill>
                            <a:prstDash val="solid"/>
                            <a:headEnd type="none" w="med" len="med"/>
                            <a:tailEnd type="none" w="med" len="med"/>
                          </a:ln>
                        </wps:spPr>
                        <wps:bodyPr upright="1"/>
                      </wps:wsp>
                      <wps:wsp>
                        <wps:cNvPr id="24" name="直接连接符 24"/>
                        <wps:cNvCnPr/>
                        <wps:spPr>
                          <a:xfrm>
                            <a:off x="1209612" y="1674900"/>
                            <a:ext cx="0" cy="800700"/>
                          </a:xfrm>
                          <a:prstGeom prst="line">
                            <a:avLst/>
                          </a:prstGeom>
                          <a:ln w="19050" cap="flat" cmpd="sng">
                            <a:solidFill>
                              <a:srgbClr val="000000"/>
                            </a:solidFill>
                            <a:prstDash val="solid"/>
                            <a:headEnd type="none" w="med" len="med"/>
                            <a:tailEnd type="none" w="med" len="med"/>
                          </a:ln>
                        </wps:spPr>
                        <wps:bodyPr upright="1"/>
                      </wps:wsp>
                      <wps:wsp>
                        <wps:cNvPr id="25" name="直接箭头连接符 25"/>
                        <wps:cNvCnPr/>
                        <wps:spPr>
                          <a:xfrm flipV="1">
                            <a:off x="3673338" y="2069200"/>
                            <a:ext cx="211802" cy="700"/>
                          </a:xfrm>
                          <a:prstGeom prst="straightConnector1">
                            <a:avLst/>
                          </a:prstGeom>
                          <a:ln w="19050" cap="flat" cmpd="sng">
                            <a:solidFill>
                              <a:srgbClr val="000000"/>
                            </a:solidFill>
                            <a:prstDash val="solid"/>
                            <a:headEnd type="none" w="med" len="med"/>
                            <a:tailEnd type="arrow" w="med" len="med"/>
                          </a:ln>
                        </wps:spPr>
                        <wps:bodyPr/>
                      </wps:wsp>
                      <wps:wsp>
                        <wps:cNvPr id="26" name="矩形 26"/>
                        <wps:cNvSpPr/>
                        <wps:spPr>
                          <a:xfrm>
                            <a:off x="1993221" y="3712800"/>
                            <a:ext cx="1223013" cy="287700"/>
                          </a:xfrm>
                          <a:prstGeom prst="rect">
                            <a:avLst/>
                          </a:prstGeom>
                          <a:noFill/>
                          <a:ln w="19050" cap="flat" cmpd="sng">
                            <a:solidFill>
                              <a:srgbClr val="000000"/>
                            </a:solidFill>
                            <a:prstDash val="solid"/>
                            <a:miter/>
                            <a:headEnd type="none" w="med" len="med"/>
                            <a:tailEnd type="none" w="med" len="med"/>
                          </a:ln>
                        </wps:spPr>
                        <wps:txbx>
                          <w:txbxContent>
                            <w:p>
                              <w:pPr>
                                <w:pStyle w:val="7"/>
                                <w:spacing w:before="0" w:beforeAutospacing="0" w:after="78" w:afterAutospacing="0"/>
                                <w:jc w:val="center"/>
                                <w:rPr>
                                  <w:sz w:val="18"/>
                                </w:rPr>
                              </w:pPr>
                              <w:r>
                                <w:rPr>
                                  <w:rFonts w:hint="eastAsia"/>
                                  <w:sz w:val="18"/>
                                </w:rPr>
                                <w:t>产品包装</w:t>
                              </w:r>
                            </w:p>
                          </w:txbxContent>
                        </wps:txbx>
                        <wps:bodyPr anchor="ctr" upright="1"/>
                      </wps:wsp>
                    </wpc:wpc>
                  </a:graphicData>
                </a:graphic>
              </wp:inline>
            </w:drawing>
          </mc:Choice>
          <mc:Fallback>
            <w:pict>
              <v:group id="_x0000_s1026" o:spid="_x0000_s1026" o:spt="203" style="height:312.1pt;width:375.4pt;" coordsize="4767580,3963670" editas="canvas" o:gfxdata="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">
                <o:lock v:ext="edit" aspectratio="f"/>
                <v:shape id="_x0000_s1026" o:spid="_x0000_s1026" style="position:absolute;left:0;top:0;height:3963670;width:4767580;" filled="f" stroked="f" coordsize="21600,21600" o:gfxdata="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">
                  <v:fill on="f" focussize="0,0"/>
                  <v:stroke on="f"/>
                  <v:imagedata o:title=""/>
                  <o:lock v:ext="edit" aspectratio="t"/>
                </v:shape>
                <v:rect id="_x0000_s1026" o:spid="_x0000_s1026" o:spt="1" style="position:absolute;left:1983120;top:101000;height:288200;width:12236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5utHdYAAAAFAQAADwAAAAAAAAABACAAAAAiAAAAZHJzL2Rvd25yZXYueG1sUEsBAhQAFAAA&#10;AAgAh07iQLJ2FjTxAQAAywMAAA4AAAAAAAAAAQAgAAAAJQEAAGRycy9lMm9Eb2MueG1sUEsFBgAA&#10;AAAGAAYAWQEAAIgFAAAAAA==&#10;">
                  <v:fill on="f" focussize="0,0"/>
                  <v:stroke weight="1.5pt" color="#000000" joinstyle="miter"/>
                  <v:imagedata o:title=""/>
                  <o:lock v:ext="edit" aspectratio="f"/>
                  <v:textbox>
                    <w:txbxContent>
                      <w:p>
                        <w:pPr>
                          <w:jc w:val="center"/>
                          <w:rPr>
                            <w:color w:val="000000"/>
                            <w:sz w:val="18"/>
                            <w:szCs w:val="15"/>
                          </w:rPr>
                        </w:pPr>
                        <w:r>
                          <w:rPr>
                            <w:rFonts w:hint="eastAsia"/>
                            <w:color w:val="000000"/>
                            <w:sz w:val="18"/>
                            <w:szCs w:val="15"/>
                          </w:rPr>
                          <w:t>混料</w:t>
                        </w:r>
                      </w:p>
                    </w:txbxContent>
                  </v:textbox>
                </v:rect>
                <v:shape id="_x0000_s1026" o:spid="_x0000_s1026" o:spt="32" type="#_x0000_t32" style="position:absolute;left:2595227;top:3892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v4Bb1QAAAAUBAAAPAAAAAAAAAAEAIAAAACIAAABkcnMvZG93bnJldi54bWxQ&#10;SwECFAAUAAAACACHTuJAByKeWPoBAAC0AwAADgAAAAAAAAABACAAAAAkAQAAZHJzL2Uyb0RvYy54&#10;bWxQSwUGAAAAAAYABgBZAQAAkAUAAAAA&#10;">
                  <v:fill on="f" focussize="0,0"/>
                  <v:stroke weight="1pt" color="#000000" joinstyle="round" endarrow="open"/>
                  <v:imagedata o:title=""/>
                  <o:lock v:ext="edit" aspectratio="f"/>
                </v:shape>
                <v:rect id="_x0000_s1026" o:spid="_x0000_s1026" o:spt="1" style="position:absolute;left:1983720;top:6134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rR3WAAAABQEAAA8AAAAAAAAAAQAgAAAAIgAAAGRycy9kb3ducmV2LnhtbFBLAQIU&#10;ABQAAAAIAIdO4kDIp1VU9QEAAMsDAAAOAAAAAAAAAAEAIAAAACUBAABkcnMvZTJvRG9jLnhtbFBL&#10;BQYAAAAABgAGAFkBAACMBQAAAAA=&#10;">
                  <v:fill on="f" focussize="0,0"/>
                  <v:stroke weight="1.5pt" color="#000000" joinstyle="miter"/>
                  <v:imagedata o:title=""/>
                  <o:lock v:ext="edit" aspectratio="f"/>
                  <v:textbox>
                    <w:txbxContent>
                      <w:p>
                        <w:pPr>
                          <w:pStyle w:val="7"/>
                          <w:spacing w:before="0" w:beforeAutospacing="0" w:after="0" w:afterAutospacing="0"/>
                          <w:jc w:val="center"/>
                          <w:rPr>
                            <w:sz w:val="32"/>
                          </w:rPr>
                        </w:pPr>
                        <w:r>
                          <w:rPr>
                            <w:rFonts w:hint="eastAsia" w:ascii="Times New Roman"/>
                            <w:color w:val="000000"/>
                            <w:kern w:val="2"/>
                            <w:sz w:val="18"/>
                            <w:szCs w:val="15"/>
                          </w:rPr>
                          <w:t>装钵</w:t>
                        </w:r>
                      </w:p>
                    </w:txbxContent>
                  </v:textbox>
                </v:rect>
                <v:shape id="_x0000_s1026" o:spid="_x0000_s1026" o:spt="32" type="#_x0000_t32" style="position:absolute;left:2595227;top:901100;flip:x;height:2165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b+AW9UAAAAFAQAADwAAAAAAAAABACAAAAAiAAAAZHJzL2Rvd25yZXYueG1s&#10;UEsBAhQAFAAAAAgAh07iQJN3M3r7AQAAtAMAAA4AAAAAAAAAAQAgAAAAJAEAAGRycy9lMm9Eb2Mu&#10;eG1sUEsFBgAAAAAGAAYAWQEAAJEFAAAAAA==&#10;">
                  <v:fill on="f" focussize="0,0"/>
                  <v:stroke weight="1pt" color="#000000" joinstyle="round" endarrow="open"/>
                  <v:imagedata o:title=""/>
                  <o:lock v:ext="edit" aspectratio="f"/>
                </v:shape>
                <v:rect id="_x0000_s1026" o:spid="_x0000_s1026" o:spt="1" style="position:absolute;left:1983720;top:11328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rR3WAAAABQEAAA8AAAAAAAAAAQAgAAAAIgAAAGRycy9kb3ducmV2LnhtbFBLAQIU&#10;ABQAAAAIAIdO4kDPL5yB9QEAAMwDAAAOAAAAAAAAAAEAIAAAACUBAABkcnMvZTJvRG9jLnhtbFBL&#10;BQYAAAAABgAGAFkBAACMBQAAAAA=&#10;">
                  <v:fill on="f" focussize="0,0"/>
                  <v:stroke weight="1.5pt" color="#000000" joinstyle="miter"/>
                  <v:imagedata o:title=""/>
                  <o:lock v:ext="edit" aspectratio="f"/>
                  <v:textbox>
                    <w:txbxContent>
                      <w:p>
                        <w:pPr>
                          <w:pStyle w:val="7"/>
                          <w:spacing w:before="0" w:beforeAutospacing="0" w:after="78" w:afterAutospacing="0"/>
                          <w:jc w:val="center"/>
                          <w:rPr>
                            <w:sz w:val="32"/>
                          </w:rPr>
                        </w:pPr>
                        <w:r>
                          <w:rPr>
                            <w:rFonts w:hint="eastAsia" w:ascii="Times New Roman"/>
                            <w:color w:val="000000"/>
                            <w:kern w:val="2"/>
                            <w:sz w:val="18"/>
                            <w:szCs w:val="15"/>
                          </w:rPr>
                          <w:t>一次烧结</w:t>
                        </w:r>
                      </w:p>
                    </w:txbxContent>
                  </v:textbox>
                </v:rect>
                <v:shape id="_x0000_s1026" o:spid="_x0000_s1026" o:spt="32" type="#_x0000_t32" style="position:absolute;left:2595227;top:14300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v4Bb1QAAAAUBAAAPAAAAAAAAAAEAIAAAACIAAABkcnMvZG93bnJldi54bWxQ&#10;SwECFAAUAAAACACHTuJAzaP+TPoBAAC1AwAADgAAAAAAAAABACAAAAAkAQAAZHJzL2Uyb0RvYy54&#10;bWxQSwUGAAAAAAYABgBZAQAAkAUAAAAA&#10;">
                  <v:fill on="f" focussize="0,0"/>
                  <v:stroke weight="1pt" color="#000000" joinstyle="round" endarrow="open"/>
                  <v:imagedata o:title=""/>
                  <o:lock v:ext="edit" aspectratio="f"/>
                </v:shape>
                <v:rect id="_x0000_s1026" o:spid="_x0000_s1026" o:spt="1" style="position:absolute;left:1983720;top:16618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rR3WAAAABQEAAA8AAAAAAAAAAQAgAAAAIgAAAGRycy9kb3ducmV2LnhtbFBLAQIU&#10;ABQAAAAIAIdO4kBlsUBi9QEAAMwDAAAOAAAAAAAAAAEAIAAAACUBAABkcnMvZTJvRG9jLnhtbFBL&#10;BQYAAAAABgAGAFkBAACMBQAAAAA=&#10;">
                  <v:fill on="f" focussize="0,0"/>
                  <v:stroke weight="1.5pt" color="#000000" joinstyle="miter"/>
                  <v:imagedata o:title=""/>
                  <o:lock v:ext="edit" aspectratio="f"/>
                  <v:textbox>
                    <w:txbxContent>
                      <w:p>
                        <w:pPr>
                          <w:pStyle w:val="7"/>
                          <w:spacing w:before="0" w:beforeAutospacing="0" w:after="78" w:afterAutospacing="0"/>
                          <w:jc w:val="center"/>
                          <w:rPr>
                            <w:sz w:val="18"/>
                          </w:rPr>
                        </w:pPr>
                        <w:r>
                          <w:rPr>
                            <w:rFonts w:hint="eastAsia"/>
                            <w:sz w:val="18"/>
                          </w:rPr>
                          <w:t>处理</w:t>
                        </w:r>
                      </w:p>
                    </w:txbxContent>
                  </v:textbox>
                </v:rect>
                <v:shape id="_x0000_s1026" o:spid="_x0000_s1026" o:spt="32" type="#_x0000_t32" style="position:absolute;left:2595227;top:19539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v4Bb1QAAAAUBAAAPAAAAAAAAAAEAIAAAACIAAABkcnMvZG93bnJldi54bWxQ&#10;SwECFAAUAAAACACHTuJAy1oxM/oBAAC1AwAADgAAAAAAAAABACAAAAAkAQAAZHJzL2Uyb0RvYy54&#10;bWxQSwUGAAAAAAYABgBZAQAAkAUAAAAA&#10;">
                  <v:fill on="f" focussize="0,0"/>
                  <v:stroke weight="1pt" color="#000000" joinstyle="round" endarrow="open"/>
                  <v:imagedata o:title=""/>
                  <o:lock v:ext="edit" aspectratio="f"/>
                </v:shape>
                <v:rect id="_x0000_s1026" o:spid="_x0000_s1026" o:spt="1" style="position:absolute;left:1983720;top:21857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60d1gAAAAUBAAAPAAAAAAAAAAEAIAAAACIAAABkcnMvZG93bnJldi54bWxQSwEC&#10;FAAUAAAACACHTuJAJp0mofYBAADMAwAADgAAAAAAAAABACAAAAAlAQAAZHJzL2Uyb0RvYy54bWxQ&#10;SwUGAAAAAAYABgBZAQAAjQUAAAAA&#10;">
                  <v:fill on="f" focussize="0,0"/>
                  <v:stroke weight="1.5pt" color="#000000" joinstyle="miter"/>
                  <v:imagedata o:title=""/>
                  <o:lock v:ext="edit" aspectratio="f"/>
                  <v:textbox>
                    <w:txbxContent>
                      <w:p>
                        <w:pPr>
                          <w:pStyle w:val="7"/>
                          <w:spacing w:before="0" w:beforeAutospacing="0" w:after="78" w:afterAutospacing="0"/>
                          <w:jc w:val="center"/>
                          <w:rPr>
                            <w:sz w:val="32"/>
                          </w:rPr>
                        </w:pPr>
                        <w:r>
                          <w:rPr>
                            <w:rFonts w:hint="eastAsia" w:ascii="Times New Roman"/>
                            <w:color w:val="000000"/>
                            <w:kern w:val="2"/>
                            <w:sz w:val="18"/>
                            <w:szCs w:val="15"/>
                          </w:rPr>
                          <w:t>二次烧结</w:t>
                        </w:r>
                      </w:p>
                    </w:txbxContent>
                  </v:textbox>
                </v:rect>
                <v:shape id="_x0000_s1026" o:spid="_x0000_s1026" o:spt="32" type="#_x0000_t32" style="position:absolute;left:2595227;top:2458700;flip:x;height:215900;width: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gFvVAAAABQEAAA8AAAAAAAAAAQAgAAAAIgAAAGRycy9kb3ducmV2LnhtbFBL&#10;AQIUABQAAAAIAIdO4kCNM/4p+QEAALcDAAAOAAAAAAAAAAEAIAAAACQBAABkcnMvZTJvRG9jLnht&#10;bFBLBQYAAAAABgAGAFkBAACPBQAAAAA=&#10;">
                  <v:fill on="f" focussize="0,0"/>
                  <v:stroke weight="1pt" color="#000000" joinstyle="round" endarrow="open"/>
                  <v:imagedata o:title=""/>
                  <o:lock v:ext="edit" aspectratio="f"/>
                </v:shape>
                <v:rect id="_x0000_s1026" o:spid="_x0000_s1026" o:spt="1" style="position:absolute;left:1983720;top:26905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rR3WAAAABQEAAA8AAAAAAAAAAQAgAAAAIgAAAGRycy9kb3ducmV2LnhtbFBLAQIU&#10;ABQAAAAIAIdO4kBUDPzg9QEAAM4DAAAOAAAAAAAAAAEAIAAAACUBAABkcnMvZTJvRG9jLnhtbFBL&#10;BQYAAAAABgAGAFkBAACMBQAAAAA=&#10;">
                  <v:fill on="f" focussize="0,0"/>
                  <v:stroke weight="1.5pt" color="#000000" joinstyle="miter"/>
                  <v:imagedata o:title=""/>
                  <o:lock v:ext="edit" aspectratio="f"/>
                  <v:textbox>
                    <w:txbxContent>
                      <w:p>
                        <w:pPr>
                          <w:pStyle w:val="7"/>
                          <w:spacing w:before="0" w:beforeAutospacing="0" w:after="78" w:afterAutospacing="0"/>
                          <w:jc w:val="center"/>
                          <w:rPr>
                            <w:sz w:val="32"/>
                          </w:rPr>
                        </w:pPr>
                        <w:r>
                          <w:rPr>
                            <w:rFonts w:hint="eastAsia" w:ascii="Times New Roman"/>
                            <w:color w:val="000000"/>
                            <w:kern w:val="2"/>
                            <w:sz w:val="18"/>
                            <w:szCs w:val="15"/>
                          </w:rPr>
                          <w:t>破碎</w:t>
                        </w:r>
                      </w:p>
                    </w:txbxContent>
                  </v:textbox>
                </v:rect>
                <v:shape id="_x0000_s1026" o:spid="_x0000_s1026" o:spt="32" type="#_x0000_t32" style="position:absolute;left:2595227;top:2982600;flip:x;height:215900;width:60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gFvVAAAABQEAAA8AAAAAAAAAAQAgAAAAIgAAAGRycy9kb3ducmV2LnhtbFBL&#10;AQIUABQAAAAIAIdO4kBLXt4v+QEAALkDAAAOAAAAAAAAAAEAIAAAACQBAABkcnMvZTJvRG9jLnht&#10;bFBLBQYAAAAABgAGAFkBAACPBQAAAAA=&#10;">
                  <v:fill on="f" focussize="0,0"/>
                  <v:stroke weight="1pt" color="#000000" joinstyle="round" endarrow="open"/>
                  <v:imagedata o:title=""/>
                  <o:lock v:ext="edit" aspectratio="f"/>
                </v:shape>
                <v:rect id="_x0000_s1026" o:spid="_x0000_s1026" o:spt="1" style="position:absolute;left:1983720;top:3214400;height:2876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60d1gAAAAUBAAAPAAAAAAAAAAEAIAAAACIAAABkcnMvZG93bnJldi54bWxQSwEC&#10;FAAUAAAACACHTuJAQc+bafYBAADOAwAADgAAAAAAAAABACAAAAAlAQAAZHJzL2Uyb0RvYy54bWxQ&#10;SwUGAAAAAAYABgBZAQAAjQUAAAAA&#10;">
                  <v:fill on="f" focussize="0,0"/>
                  <v:stroke weight="1.5pt" color="#000000" joinstyle="miter"/>
                  <v:imagedata o:title=""/>
                  <o:lock v:ext="edit" aspectratio="f"/>
                  <v:textbox>
                    <w:txbxContent>
                      <w:p>
                        <w:pPr>
                          <w:pStyle w:val="7"/>
                          <w:spacing w:before="0" w:beforeAutospacing="0" w:after="78" w:afterAutospacing="0"/>
                          <w:jc w:val="center"/>
                          <w:rPr>
                            <w:sz w:val="32"/>
                          </w:rPr>
                        </w:pPr>
                        <w:r>
                          <w:rPr>
                            <w:rFonts w:hint="eastAsia" w:ascii="Times New Roman"/>
                            <w:color w:val="000000"/>
                            <w:kern w:val="2"/>
                            <w:sz w:val="18"/>
                            <w:szCs w:val="15"/>
                          </w:rPr>
                          <w:t>筛分、混料、除磁</w:t>
                        </w:r>
                      </w:p>
                    </w:txbxContent>
                  </v:textbox>
                </v:rect>
                <v:shape id="_x0000_s1026" o:spid="_x0000_s1026" o:spt="32" type="#_x0000_t32" style="position:absolute;left:2595227;top:3496900;flip:x;height:215900;width:600;" filled="f" stroked="t" coordsize="21600,21600" o:gfxdata="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v4Bb1QAAAAUBAAAPAAAAAAAAAAEAIAAAACIAAABkcnMvZG93bnJldi54&#10;bWxQSwECFAAUAAAACACHTuJAsoMlNv0BAAC5AwAADgAAAAAAAAABACAAAAAkAQAAZHJzL2Uyb0Rv&#10;Yy54bWxQSwUGAAAAAAYABgBZAQAAkwUAAAAA&#10;">
                  <v:fill on="f" focussize="0,0"/>
                  <v:stroke weight="1pt" color="#000000" joinstyle="round" endarrow="open"/>
                  <v:imagedata o:title=""/>
                  <o:lock v:ext="edit" aspectratio="f"/>
                </v:shape>
                <v:shape id="_x0000_s1026" o:spid="_x0000_s1026" o:spt="87" type="#_x0000_t87" style="position:absolute;left:1364614;top:205700;height:3725500;width:593706;v-text-anchor:middle;" filled="f" stroked="t" coordsize="21600,21600" o:gfxdata="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atUR1AAAAAUBAAAPAAAA&#10;AAAAAAEAIAAAACIAAABkcnMvZG93bnJldi54bWxQSwECFAAUAAAACACHTuJAlpzjABkCAAAUBAAA&#10;DgAAAAAAAAABACAAAAAjAQAAZHJzL2Uyb0RvYy54bWxQSwUGAAAAAAYABgBZAQAArgUAAAAA&#10;" adj="358,10800">
                  <v:fill on="f" focussize="0,0"/>
                  <v:stroke weight="1.5pt" color="#000000" joinstyle="round"/>
                  <v:imagedata o:title=""/>
                  <o:lock v:ext="edit" aspectratio="f"/>
                </v:shape>
                <v:rect id="_x0000_s1026" o:spid="_x0000_s1026" o:spt="1" style="position:absolute;left:288203;top:1518200;height:287700;width:720107;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5utHdYAAAAFAQAADwAAAAAAAAABACAAAAAiAAAAZHJzL2Rvd25yZXYueG1sUEsBAhQA&#10;FAAAAAgAh07iQCbL6aj0AQAAzAMAAA4AAAAAAAAAAQAgAAAAJQEAAGRycy9lMm9Eb2MueG1sUEsF&#10;BgAAAAAGAAYAWQEAAIsFAAAAAA==&#10;">
                  <v:fill on="f" focussize="0,0"/>
                  <v:stroke weight="1.5pt" color="#000000" joinstyle="miter"/>
                  <v:imagedata o:title=""/>
                  <o:lock v:ext="edit" aspectratio="f"/>
                  <v:textbox>
                    <w:txbxContent>
                      <w:p>
                        <w:pPr>
                          <w:jc w:val="center"/>
                          <w:rPr>
                            <w:color w:val="000000"/>
                            <w:sz w:val="18"/>
                            <w:szCs w:val="15"/>
                          </w:rPr>
                        </w:pPr>
                        <w:r>
                          <w:rPr>
                            <w:rFonts w:hint="eastAsia"/>
                            <w:color w:val="000000"/>
                            <w:sz w:val="18"/>
                            <w:szCs w:val="15"/>
                          </w:rPr>
                          <w:t>原辅料</w:t>
                        </w:r>
                      </w:p>
                    </w:txbxContent>
                  </v:textbox>
                </v:rect>
                <v:rect id="_x0000_s1026" o:spid="_x0000_s1026" o:spt="1" style="position:absolute;left:288203;top:2314500;height:288300;width:720107;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rR3WAAAABQEAAA8AAAAAAAAAAQAgAAAAIgAAAGRycy9kb3ducmV2LnhtbFBLAQIU&#10;ABQAAAAIAIdO4kCE2MGc9QEAAMwDAAAOAAAAAAAAAAEAIAAAACUBAABkcnMvZTJvRG9jLnhtbFBL&#10;BQYAAAAABgAGAFkBAACMBQAAAAA=&#10;">
                  <v:fill on="f" focussize="0,0"/>
                  <v:stroke weight="1.5pt" color="#000000" joinstyle="miter"/>
                  <v:imagedata o:title=""/>
                  <o:lock v:ext="edit" aspectratio="f"/>
                  <v:textbox>
                    <w:txbxContent>
                      <w:p>
                        <w:pPr>
                          <w:jc w:val="center"/>
                          <w:rPr>
                            <w:rFonts w:hint="eastAsia" w:eastAsiaTheme="minorEastAsia"/>
                            <w:color w:val="000000"/>
                            <w:sz w:val="18"/>
                            <w:szCs w:val="15"/>
                            <w:lang w:val="en-US" w:eastAsia="zh-CN"/>
                          </w:rPr>
                        </w:pPr>
                        <w:r>
                          <w:rPr>
                            <w:rFonts w:hint="eastAsia"/>
                            <w:color w:val="000000"/>
                            <w:sz w:val="18"/>
                            <w:szCs w:val="15"/>
                            <w:lang w:val="en-US" w:eastAsia="zh-CN"/>
                          </w:rPr>
                          <w:t>能源</w:t>
                        </w:r>
                      </w:p>
                    </w:txbxContent>
                  </v:textbox>
                </v:rect>
                <v:shape id="_x0000_s1026" o:spid="_x0000_s1026" o:spt="32" type="#_x0000_t32" style="position:absolute;left:1213485;top:2064385;height:9525;width:243205;" filled="f" stroked="t" coordsize="21600,21600" o:gfxdata="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h71T1gAAAAUBAAAPAAAAAAAAAAEAIAAAACIAAABkcnMvZG93bnJldi54bWxQSwEC&#10;FAAUAAAACACHTuJAi9bTMPYBAACwAwAADgAAAAAAAAABACAAAAAlAQAAZHJzL2Uyb0RvYy54bWxQ&#10;SwUGAAAAAAYABgBZAQAAjQUAAAAA&#10;">
                  <v:fill on="f" focussize="0,0"/>
                  <v:stroke weight="1.5pt" color="#000000" joinstyle="round" endarrow="open"/>
                  <v:imagedata o:title=""/>
                  <o:lock v:ext="edit" aspectratio="f"/>
                </v:shape>
                <v:shape id="_x0000_s1026" o:spid="_x0000_s1026" o:spt="88" type="#_x0000_t88" style="position:absolute;left:3216233;top:205700;height:3725500;width:594406;v-text-anchor:middle;" filled="f" stroked="t" coordsize="21600,21600" o:gfxdata="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rXAitQAAAAFAQAADwAA&#10;AAAAAAABACAAAAAiAAAAZHJzL2Rvd25yZXYueG1sUEsBAhQAFAAAAAgAh07iQKgSc94aAgAAFQQA&#10;AA4AAAAAAAAAAQAgAAAAIwEAAGRycy9lMm9Eb2MueG1sUEsFBgAAAAAGAAYAWQEAAK8FAAAAAA==&#10;" adj="360,10800">
                  <v:fill on="f" focussize="0,0"/>
                  <v:stroke weight="1.5pt" color="#000000" joinstyle="round"/>
                  <v:imagedata o:title=""/>
                  <o:lock v:ext="edit" aspectratio="f"/>
                </v:shape>
                <v:rect id="_x0000_s1026" o:spid="_x0000_s1026" o:spt="1" style="position:absolute;left:3868440;top:1953400;height:288300;width:720107;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m60d1gAAAAUBAAAPAAAAAAAAAAEAIAAAACIAAABkcnMvZG93bnJldi54bWxQSwEC&#10;FAAUAAAACACHTuJASfqah/YBAADNAwAADgAAAAAAAAABACAAAAAlAQAAZHJzL2Uyb0RvYy54bWxQ&#10;SwUGAAAAAAYABgBZAQAAjQUAAAAA&#10;">
                  <v:fill on="f" focussize="0,0"/>
                  <v:stroke weight="1.5pt" color="#000000" joinstyle="miter"/>
                  <v:imagedata o:title=""/>
                  <o:lock v:ext="edit" aspectratio="f"/>
                  <v:textbox>
                    <w:txbxContent>
                      <w:p>
                        <w:pPr>
                          <w:jc w:val="center"/>
                          <w:rPr>
                            <w:color w:val="000000"/>
                            <w:sz w:val="18"/>
                            <w:szCs w:val="15"/>
                          </w:rPr>
                        </w:pPr>
                        <w:r>
                          <w:rPr>
                            <w:rFonts w:hint="eastAsia"/>
                            <w:color w:val="000000"/>
                            <w:sz w:val="18"/>
                            <w:szCs w:val="15"/>
                          </w:rPr>
                          <w:t>废物排放</w:t>
                        </w:r>
                      </w:p>
                    </w:txbxContent>
                  </v:textbox>
                </v:rect>
                <v:line id="_x0000_s1026" o:spid="_x0000_s1026" o:spt="20" style="position:absolute;left:1008310;top:1677200;height:0;width:201302;"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ENZntQAAAAF&#10;AQAADwAAAAAAAAABACAAAAAiAAAAZHJzL2Rvd25yZXYueG1sUEsBAhQAFAAAAAgAh07iQB/pKHnn&#10;AQAApAMAAA4AAAAAAAAAAQAgAAAAIwEAAGRycy9lMm9Eb2MueG1sUEsFBgAAAAAGAAYAWQEAAHwF&#10;AAAAAA==&#10;">
                  <v:fill on="f" focussize="0,0"/>
                  <v:stroke weight="1.5pt" color="#000000" joinstyle="round"/>
                  <v:imagedata o:title=""/>
                  <o:lock v:ext="edit" aspectratio="f"/>
                </v:line>
                <v:line id="_x0000_s1026" o:spid="_x0000_s1026" o:spt="20" style="position:absolute;left:1008310;top:2475600;height:0;width:201302;"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sQ1me1AAA&#10;AAUBAAAPAAAAAAAAAAEAIAAAACIAAABkcnMvZG93bnJldi54bWxQSwECFAAUAAAACACHTuJA134a&#10;nekBAACkAwAADgAAAAAAAAABACAAAAAjAQAAZHJzL2Uyb0RvYy54bWxQSwUGAAAAAAYABgBZAQAA&#10;fgUAAAAA&#10;">
                  <v:fill on="f" focussize="0,0"/>
                  <v:stroke weight="1.5pt" color="#000000" joinstyle="round"/>
                  <v:imagedata o:title=""/>
                  <o:lock v:ext="edit" aspectratio="f"/>
                </v:line>
                <v:line id="_x0000_s1026" o:spid="_x0000_s1026" o:spt="20" style="position:absolute;left:1209612;top:1674900;height:800700;width:0;" filled="f" stroked="t" coordsize="21600,21600" o:gfxdata="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xDWZ7UAAAA&#10;BQEAAA8AAAAAAAAAAQAgAAAAIgAAAGRycy9kb3ducmV2LnhtbFBLAQIUABQAAAAIAIdO4kCsNmaS&#10;6AEAAKQDAAAOAAAAAAAAAAEAIAAAACMBAABkcnMvZTJvRG9jLnhtbFBLBQYAAAAABgAGAFkBAAB9&#10;BQAAAAA=&#10;">
                  <v:fill on="f" focussize="0,0"/>
                  <v:stroke weight="1.5pt" color="#000000" joinstyle="round"/>
                  <v:imagedata o:title=""/>
                  <o:lock v:ext="edit" aspectratio="f"/>
                </v:line>
                <v:shape id="_x0000_s1026" o:spid="_x0000_s1026" o:spt="32" type="#_x0000_t32" style="position:absolute;left:3673338;top:2069200;flip:y;height:700;width:211802;" filled="f" stroked="t" coordsize="21600,21600" o:gfxdata="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KVavdQAAAAFAQAADwAAAAAAAAABACAAAAAiAAAAZHJzL2Rvd25yZXYu&#10;eG1sUEsBAhQAFAAAAAgAh07iQFNCpEr/AQAAuQMAAA4AAAAAAAAAAQAgAAAAIwEAAGRycy9lMm9E&#10;b2MueG1sUEsFBgAAAAAGAAYAWQEAAJQFAAAAAA==&#10;">
                  <v:fill on="f" focussize="0,0"/>
                  <v:stroke weight="1.5pt" color="#000000" joinstyle="round" endarrow="open"/>
                  <v:imagedata o:title=""/>
                  <o:lock v:ext="edit" aspectratio="f"/>
                </v:shape>
                <v:rect id="_x0000_s1026" o:spid="_x0000_s1026" o:spt="1" style="position:absolute;left:1993221;top:3712800;height:287700;width:1223013;v-text-anchor:middle;" filled="f" stroked="t" coordsize="21600,21600" o:gfxdata="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brR3WAAAABQEAAA8AAAAAAAAAAQAgAAAAIgAAAGRycy9kb3ducmV2LnhtbFBL&#10;AQIUABQAAAAIAIdO4kDqaa4R+AEAAM4DAAAOAAAAAAAAAAEAIAAAACUBAABkcnMvZTJvRG9jLnht&#10;bFBLBQYAAAAABgAGAFkBAACPBQAAAAA=&#10;">
                  <v:fill on="f" focussize="0,0"/>
                  <v:stroke weight="1.5pt" color="#000000" joinstyle="miter"/>
                  <v:imagedata o:title=""/>
                  <o:lock v:ext="edit" aspectratio="f"/>
                  <v:textbox>
                    <w:txbxContent>
                      <w:p>
                        <w:pPr>
                          <w:pStyle w:val="7"/>
                          <w:spacing w:before="0" w:beforeAutospacing="0" w:after="78" w:afterAutospacing="0"/>
                          <w:jc w:val="center"/>
                          <w:rPr>
                            <w:sz w:val="18"/>
                          </w:rPr>
                        </w:pPr>
                        <w:r>
                          <w:rPr>
                            <w:rFonts w:hint="eastAsia"/>
                            <w:sz w:val="18"/>
                          </w:rPr>
                          <w:t>产品包装</w:t>
                        </w:r>
                      </w:p>
                    </w:txbxContent>
                  </v:textbox>
                </v:rect>
                <w10:wrap type="none"/>
                <w10:anchorlock/>
              </v:group>
            </w:pict>
          </mc:Fallback>
        </mc:AlternateContent>
      </w:r>
    </w:p>
    <w:p>
      <w:r>
        <w:rPr>
          <w:rFonts w:hint="eastAsia"/>
        </w:rPr>
        <w:t>注：其中筛分、混料和除磁性异物的先后顺序不固定。</w:t>
      </w:r>
    </w:p>
    <w:p>
      <w:pPr>
        <w:spacing w:line="360" w:lineRule="auto"/>
        <w:ind w:firstLine="480" w:firstLineChars="200"/>
        <w:jc w:val="center"/>
        <w:rPr>
          <w:rFonts w:hint="eastAsia" w:ascii="Times New Roman" w:hAnsi="Times New Roman" w:eastAsia="黑体" w:cs="Times New Roman"/>
          <w:b w:val="0"/>
          <w:bCs/>
          <w:sz w:val="24"/>
          <w:szCs w:val="24"/>
          <w:lang w:val="en-US" w:eastAsia="zh-CN"/>
        </w:rPr>
      </w:pPr>
      <w:r>
        <w:rPr>
          <w:rFonts w:hint="eastAsia"/>
          <w:sz w:val="24"/>
        </w:rPr>
        <w:t>图1 典型的镍钴酸锂生产工艺流程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3.2确定标准的主要技术内容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3.2.1基本要求</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基本要求宜包括应满足的节能环保法律法规、工艺技术、管理体系及相关产品标准等方法的要求，生产企业应满足的绿色要求包括但不限于：</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—产品生产企业的污染物排放状况，应要求符合相关环境保护法律法规，达到国家或地方污染物排放标准的要求，近三年无重大安全事故和重大环境污染事件；</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—生产企业的污染物总量控制，应要求达到国家和地方污染物排放总量控制指标；</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—生产企业的管理，应要求按照GB/T 24001和GB/T 19001分别建立并运行环境管理体系和质量管理体系；</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—产品质量水平，应要求满足相关产品标准要求。</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sz w:val="24"/>
          <w:szCs w:val="24"/>
        </w:rPr>
        <w:t>在这些内容的基础上，本标准参照已</w:t>
      </w:r>
      <w:r>
        <w:rPr>
          <w:rFonts w:hint="eastAsia" w:ascii="Times New Roman" w:hAnsi="Times New Roman" w:eastAsia="宋体" w:cs="Times New Roman"/>
          <w:sz w:val="24"/>
          <w:szCs w:val="24"/>
          <w:lang w:val="en-US" w:eastAsia="zh-CN"/>
        </w:rPr>
        <w:t>发布实施</w:t>
      </w:r>
      <w:r>
        <w:rPr>
          <w:rFonts w:hint="eastAsia" w:ascii="Times New Roman" w:hAnsi="Times New Roman" w:eastAsia="宋体" w:cs="Times New Roman"/>
          <w:sz w:val="24"/>
          <w:szCs w:val="24"/>
        </w:rPr>
        <w:t>的《绿色设计产品评价技术规范 镍钴锰氢氧化物》</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《绿色设计产品评价技术规范 镍钴锰酸锂》</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已经报批的</w:t>
      </w:r>
      <w:r>
        <w:rPr>
          <w:rFonts w:hint="eastAsia" w:ascii="Times New Roman" w:hAnsi="Times New Roman" w:eastAsia="宋体" w:cs="Times New Roman"/>
          <w:sz w:val="24"/>
          <w:szCs w:val="24"/>
        </w:rPr>
        <w:t>《绿色设计产品评价技术规范 镍钴</w:t>
      </w:r>
      <w:r>
        <w:rPr>
          <w:rFonts w:hint="eastAsia" w:ascii="Times New Roman" w:hAnsi="Times New Roman" w:eastAsia="宋体" w:cs="Times New Roman"/>
          <w:sz w:val="24"/>
          <w:szCs w:val="24"/>
          <w:lang w:val="en-US" w:eastAsia="zh-CN"/>
        </w:rPr>
        <w:t>铝</w:t>
      </w:r>
      <w:r>
        <w:rPr>
          <w:rFonts w:hint="eastAsia" w:ascii="Times New Roman" w:hAnsi="Times New Roman" w:eastAsia="宋体" w:cs="Times New Roman"/>
          <w:sz w:val="24"/>
          <w:szCs w:val="24"/>
        </w:rPr>
        <w:t>氢氧化物》</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《绿色设计产品评价技术规范 镍钴</w:t>
      </w:r>
      <w:r>
        <w:rPr>
          <w:rFonts w:hint="eastAsia" w:ascii="Times New Roman" w:hAnsi="Times New Roman" w:eastAsia="宋体" w:cs="Times New Roman"/>
          <w:sz w:val="24"/>
          <w:szCs w:val="24"/>
          <w:lang w:val="en-US" w:eastAsia="zh-CN"/>
        </w:rPr>
        <w:t>铝</w:t>
      </w:r>
      <w:r>
        <w:rPr>
          <w:rFonts w:hint="eastAsia" w:ascii="Times New Roman" w:hAnsi="Times New Roman" w:eastAsia="宋体" w:cs="Times New Roman"/>
          <w:sz w:val="24"/>
          <w:szCs w:val="24"/>
        </w:rPr>
        <w:t>酸锂》，</w:t>
      </w:r>
      <w:r>
        <w:rPr>
          <w:rFonts w:hint="eastAsia" w:ascii="Times New Roman" w:hAnsi="Times New Roman" w:eastAsia="宋体" w:cs="Times New Roman"/>
          <w:bCs/>
          <w:sz w:val="24"/>
          <w:szCs w:val="24"/>
        </w:rPr>
        <w:t>确定基本要求如下：</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　企业应采用国家鼓励的先进技术和工艺，不应使用国家或有关部门发布的淘汰或禁止的技术、工艺、装备及相关物质。</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.1.2　企业的污染物排放应达到国家和地方污染物排放标准的要求，污染物总量控制应达到国家和地方污染物排放总量控制指标；应严格执行节能环保相关国家标准并提供标准清单，截止评价日近三年无重大质量、安全和环境事故。</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.1.3　企业的噪声排放应符合GB 12348。</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.1.4　企业安全生产标准化水平应符合GB/T 33000的要求。</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4.1.5　企业应按照GB 17167配备能源计量器具。</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.1.6　企业的管理，生产企业应按照GB/T 19001、GB/T 24001 和 GB/T 28001分别建立、实施、保持并持续改进质量管理体系、环境管理体系和职业健康安全管理体系</w:t>
      </w:r>
      <w:r>
        <w:rPr>
          <w:rFonts w:hint="eastAsia" w:ascii="Times New Roman" w:hAnsi="Times New Roman" w:eastAsia="宋体" w:cs="Times New Roman"/>
          <w:bCs/>
          <w:sz w:val="24"/>
          <w:szCs w:val="24"/>
          <w:lang w:eastAsia="zh-CN"/>
        </w:rPr>
        <w:t>，</w:t>
      </w:r>
      <w:r>
        <w:rPr>
          <w:rFonts w:hint="eastAsia" w:ascii="Times New Roman" w:hAnsi="Times New Roman" w:eastAsia="宋体" w:cs="Times New Roman"/>
          <w:bCs/>
          <w:sz w:val="24"/>
          <w:szCs w:val="24"/>
          <w:lang w:val="en-US" w:eastAsia="zh-CN"/>
        </w:rPr>
        <w:t>宜建立IATF16949汽车行业质量管理体系</w:t>
      </w:r>
      <w:r>
        <w:rPr>
          <w:rFonts w:hint="eastAsia" w:ascii="Times New Roman" w:hAnsi="Times New Roman" w:eastAsia="宋体" w:cs="Times New Roman"/>
          <w:bCs/>
          <w:sz w:val="24"/>
          <w:szCs w:val="24"/>
        </w:rPr>
        <w:t>；开展能耗、物耗考核并建立考核制度，按照GB/T 23331建立并运行能源管理体系。</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.1.7　企业对产品主要原料供应方、生产协作方、相关服务方等提出相关质量、环境、能源和安全等方面的管理要求，宜开展绿色供应链管理，并建立绿色供应链管理绩效评价机制、程序，确定评价指标和评价方法。</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.1.8　企业对所产生含镍钴废料应进行无害化/资源化处理，产生的危险废物应有符合GB 18597要求的专门储存场所或交由有资质的第三方处置；产品包装材料应采用可再生利用或可降解材料。</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.1.9　企业应对剩余产品及包装物进行回收或处置。</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.1.10　企业应按照《国家危险废物名录》和《危险化学品安全管理条例》建立并运行危险化学品安全管理制度。应向使用方提供符合GB/T 16483要求的产品安全技术说明书。</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.1.11　企业应按照《环境信息公开办法（试行）》第十九条公开环境信息。</w:t>
      </w:r>
    </w:p>
    <w:p>
      <w:pPr>
        <w:snapToGrid w:val="0"/>
        <w:spacing w:line="360"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lang w:val="en-US" w:eastAsia="zh-CN"/>
        </w:rPr>
        <w:t>3</w:t>
      </w:r>
      <w:r>
        <w:rPr>
          <w:rFonts w:hint="eastAsia" w:ascii="Times New Roman" w:hAnsi="Times New Roman" w:eastAsia="宋体" w:cs="Times New Roman"/>
          <w:bCs/>
          <w:sz w:val="24"/>
          <w:szCs w:val="24"/>
        </w:rPr>
        <w:t>.1.12　产品质量应符合相关产品标准的规定，产品执行企业标准的技术要求应不低于国家和行业标准的要求</w:t>
      </w:r>
      <w:r>
        <w:rPr>
          <w:rFonts w:ascii="Times New Roman" w:hAnsi="Times New Roman" w:eastAsia="宋体" w:cs="Times New Roman"/>
          <w:bCs/>
          <w:sz w:val="24"/>
          <w:szCs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val="0"/>
          <w:bCs/>
          <w:sz w:val="24"/>
          <w:szCs w:val="24"/>
          <w:lang w:val="en-US" w:eastAsia="zh-CN"/>
        </w:rPr>
      </w:pPr>
      <w:r>
        <w:rPr>
          <w:rFonts w:hint="eastAsia" w:ascii="Times New Roman" w:hAnsi="Times New Roman" w:eastAsia="黑体" w:cs="Times New Roman"/>
          <w:b w:val="0"/>
          <w:bCs/>
          <w:sz w:val="24"/>
          <w:szCs w:val="24"/>
          <w:lang w:val="en-US" w:eastAsia="zh-CN"/>
        </w:rPr>
        <w:t>3.2.2评价指标</w:t>
      </w:r>
    </w:p>
    <w:p>
      <w:pPr>
        <w:widowControl/>
        <w:spacing w:line="360" w:lineRule="auto"/>
        <w:ind w:firstLine="480" w:firstLineChars="200"/>
        <w:jc w:val="left"/>
        <w:rPr>
          <w:rFonts w:ascii="Times New Roman" w:hAnsi="Times New Roman" w:eastAsia="宋体" w:cs="Times New Roman"/>
          <w:color w:val="000000"/>
          <w:sz w:val="24"/>
          <w:szCs w:val="24"/>
        </w:rPr>
      </w:pPr>
      <w:r>
        <w:rPr>
          <w:rFonts w:hint="eastAsia" w:ascii="Times New Roman" w:hAnsi="Times New Roman" w:eastAsia="宋体" w:cs="Times New Roman"/>
          <w:bCs/>
          <w:sz w:val="24"/>
          <w:szCs w:val="24"/>
        </w:rPr>
        <w:t>评价指标宜包括资源属性指标、能源属性指标、环境属性指标和品质属性指标等四类一级指标，在一级指标下设置可量化、可检测、可验证的二级指标，不同类别产品的一级指标可依据产品特点、对环境和人体健康影响程度、现有标准实施情况等因素选取。其中资源属性指标选择选取金属锂、金属镍、金属钴的消耗量</w:t>
      </w:r>
      <w:r>
        <w:rPr>
          <w:rFonts w:hint="eastAsia" w:ascii="Times New Roman" w:hAnsi="Times New Roman" w:eastAsia="宋体" w:cs="Times New Roman"/>
          <w:bCs/>
          <w:sz w:val="24"/>
          <w:szCs w:val="24"/>
          <w:lang w:val="en-US" w:eastAsia="zh-CN"/>
        </w:rPr>
        <w:t>以及</w:t>
      </w:r>
      <w:r>
        <w:rPr>
          <w:rFonts w:hint="eastAsia" w:ascii="Times New Roman" w:hAnsi="Times New Roman" w:eastAsia="宋体" w:cs="Times New Roman"/>
          <w:bCs/>
          <w:sz w:val="24"/>
          <w:szCs w:val="24"/>
        </w:rPr>
        <w:t>包装材质作为二级评价指标</w:t>
      </w:r>
      <w:r>
        <w:rPr>
          <w:rFonts w:hint="eastAsia" w:ascii="Times New Roman" w:hAnsi="Times New Roman" w:eastAsia="宋体" w:cs="Times New Roman"/>
          <w:bCs/>
          <w:sz w:val="24"/>
          <w:szCs w:val="24"/>
          <w:lang w:eastAsia="zh-CN"/>
        </w:rPr>
        <w:t>；</w:t>
      </w:r>
      <w:r>
        <w:rPr>
          <w:rFonts w:ascii="Times New Roman" w:hAnsi="Times New Roman" w:eastAsia="宋体" w:cs="Times New Roman"/>
          <w:color w:val="000000"/>
          <w:sz w:val="24"/>
          <w:szCs w:val="24"/>
        </w:rPr>
        <w:t>能源属性选取单位产品综合能耗作为二级评价指标；环境属性根据网上公开的相关项目的环境影响评价文件以及企业反馈意见确定，选择共性和镍钴酸锂生产行业特有的指标</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rPr>
        <w:t>选择</w:t>
      </w:r>
      <w:r>
        <w:rPr>
          <w:rFonts w:ascii="Times New Roman" w:hAnsi="Times New Roman" w:eastAsia="宋体" w:cs="Times New Roman"/>
          <w:color w:val="000000"/>
          <w:sz w:val="24"/>
          <w:szCs w:val="24"/>
        </w:rPr>
        <w:t>粉尘以及废气中镍及其化合物作为二级评价指标。</w:t>
      </w:r>
      <w:r>
        <w:rPr>
          <w:rFonts w:hint="eastAsia" w:ascii="Times New Roman" w:hAnsi="Times New Roman" w:eastAsia="宋体" w:cs="Times New Roman"/>
          <w:color w:val="000000"/>
          <w:sz w:val="24"/>
          <w:szCs w:val="24"/>
        </w:rPr>
        <w:t>品质属性</w:t>
      </w:r>
      <w:r>
        <w:rPr>
          <w:rFonts w:ascii="Times New Roman" w:hAnsi="Times New Roman" w:eastAsia="宋体" w:cs="Times New Roman"/>
          <w:color w:val="000000"/>
          <w:sz w:val="24"/>
          <w:szCs w:val="24"/>
        </w:rPr>
        <w:t>选取磁性异物作为二级评价指标。</w:t>
      </w:r>
    </w:p>
    <w:p>
      <w:pPr>
        <w:widowControl/>
        <w:spacing w:line="360" w:lineRule="auto"/>
        <w:ind w:firstLine="480" w:firstLineChars="200"/>
        <w:jc w:val="left"/>
        <w:rPr>
          <w:rFonts w:ascii="Times New Roman" w:hAnsi="Times New Roman" w:cs="Times New Roman"/>
          <w:kern w:val="0"/>
          <w:szCs w:val="21"/>
        </w:rPr>
      </w:pPr>
      <w:r>
        <w:rPr>
          <w:rFonts w:hint="eastAsia" w:ascii="Times New Roman" w:hAnsi="Times New Roman" w:eastAsia="宋体" w:cs="Times New Roman"/>
          <w:sz w:val="24"/>
          <w:szCs w:val="24"/>
        </w:rPr>
        <w:t>本文绿色产品指标确定的依据为：选择所调研企业耗值最高的一家企业应不满足绿色产品的要求，但其指标不宜定的过于苛刻，通过适当工艺技术、管理等改进也能达到（其中部分指标由于各企业之间差距不大，本文选择全部满足）。</w:t>
      </w:r>
    </w:p>
    <w:p>
      <w:pPr>
        <w:snapToGrid w:val="0"/>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lang w:val="en-US" w:eastAsia="zh-CN"/>
        </w:rPr>
        <w:t>根据镍钴酸锂生产企业数据调研情况，</w:t>
      </w:r>
      <w:r>
        <w:rPr>
          <w:rFonts w:hint="eastAsia" w:ascii="Times New Roman" w:hAnsi="Times New Roman" w:eastAsia="宋体" w:cs="Times New Roman"/>
          <w:sz w:val="24"/>
          <w:szCs w:val="24"/>
        </w:rPr>
        <w:t>其调研含量和理论含量值见表1。</w:t>
      </w:r>
    </w:p>
    <w:p>
      <w:pPr>
        <w:snapToGrid w:val="0"/>
        <w:spacing w:line="360" w:lineRule="auto"/>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1</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镍钴酸锂</w:t>
      </w:r>
      <w:r>
        <w:rPr>
          <w:rFonts w:ascii="Times New Roman" w:hAnsi="Times New Roman" w:eastAsia="宋体" w:cs="Times New Roman"/>
          <w:szCs w:val="21"/>
        </w:rPr>
        <w:t>产品中主要金属元素含量       单位：wt.%</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1447"/>
        <w:gridCol w:w="1447"/>
        <w:gridCol w:w="1447"/>
        <w:gridCol w:w="1444"/>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3" w:type="dxa"/>
            <w:vAlign w:val="center"/>
          </w:tcPr>
          <w:p>
            <w:pPr>
              <w:jc w:val="center"/>
              <w:rPr>
                <w:rFonts w:ascii="Times New Roman" w:hAnsi="Times New Roman" w:eastAsia="宋体" w:cs="Times New Roman"/>
                <w:color w:val="000000"/>
                <w:kern w:val="0"/>
                <w:sz w:val="20"/>
                <w:szCs w:val="21"/>
                <w:lang w:bidi="mn-Mong-CN"/>
              </w:rPr>
            </w:pPr>
            <w:r>
              <w:rPr>
                <w:rFonts w:ascii="Times New Roman" w:hAnsi="Times New Roman" w:eastAsia="宋体" w:cs="Times New Roman"/>
                <w:color w:val="000000"/>
                <w:kern w:val="0"/>
                <w:sz w:val="20"/>
                <w:szCs w:val="21"/>
                <w:lang w:bidi="mn-Mong-CN"/>
              </w:rPr>
              <w:t>主元素含量</w:t>
            </w:r>
          </w:p>
        </w:tc>
        <w:tc>
          <w:tcPr>
            <w:tcW w:w="1447" w:type="dxa"/>
            <w:vAlign w:val="center"/>
          </w:tcPr>
          <w:p>
            <w:pPr>
              <w:jc w:val="center"/>
              <w:rPr>
                <w:rFonts w:ascii="Times New Roman" w:hAnsi="Times New Roman" w:eastAsia="宋体" w:cs="Times New Roman"/>
                <w:color w:val="000000"/>
                <w:kern w:val="0"/>
                <w:sz w:val="20"/>
                <w:szCs w:val="21"/>
                <w:lang w:bidi="mn-Mong-CN"/>
              </w:rPr>
            </w:pPr>
            <w:r>
              <w:rPr>
                <w:rFonts w:hint="eastAsia" w:ascii="Times New Roman" w:hAnsi="Times New Roman" w:eastAsia="宋体" w:cs="Times New Roman"/>
                <w:color w:val="000000"/>
                <w:kern w:val="0"/>
                <w:sz w:val="20"/>
                <w:szCs w:val="21"/>
                <w:lang w:bidi="mn-Mong-CN"/>
              </w:rPr>
              <w:t>企业A</w:t>
            </w:r>
          </w:p>
        </w:tc>
        <w:tc>
          <w:tcPr>
            <w:tcW w:w="2894" w:type="dxa"/>
            <w:gridSpan w:val="2"/>
          </w:tcPr>
          <w:p>
            <w:pPr>
              <w:jc w:val="center"/>
              <w:rPr>
                <w:rFonts w:ascii="Times New Roman" w:hAnsi="Times New Roman" w:eastAsia="宋体" w:cs="Times New Roman"/>
                <w:color w:val="000000"/>
                <w:kern w:val="0"/>
                <w:sz w:val="20"/>
                <w:szCs w:val="21"/>
                <w:lang w:bidi="mn-Mong-CN"/>
              </w:rPr>
            </w:pPr>
            <w:r>
              <w:rPr>
                <w:rFonts w:hint="eastAsia" w:ascii="Times New Roman" w:hAnsi="Times New Roman" w:eastAsia="宋体" w:cs="Times New Roman"/>
                <w:color w:val="000000"/>
                <w:kern w:val="0"/>
                <w:sz w:val="20"/>
                <w:szCs w:val="21"/>
                <w:lang w:bidi="mn-Mong-CN"/>
              </w:rPr>
              <w:t>企业B</w:t>
            </w:r>
          </w:p>
        </w:tc>
        <w:tc>
          <w:tcPr>
            <w:tcW w:w="1444" w:type="dxa"/>
          </w:tcPr>
          <w:p>
            <w:pPr>
              <w:jc w:val="center"/>
              <w:rPr>
                <w:rFonts w:hint="eastAsia" w:ascii="Times New Roman" w:hAnsi="Times New Roman" w:eastAsia="宋体" w:cs="Times New Roman"/>
                <w:color w:val="000000"/>
                <w:kern w:val="0"/>
                <w:sz w:val="20"/>
                <w:szCs w:val="21"/>
                <w:lang w:eastAsia="zh-CN" w:bidi="mn-Mong-CN"/>
              </w:rPr>
            </w:pPr>
            <w:r>
              <w:rPr>
                <w:rFonts w:hint="eastAsia" w:ascii="Times New Roman" w:hAnsi="Times New Roman" w:eastAsia="宋体" w:cs="Times New Roman"/>
                <w:color w:val="000000"/>
                <w:kern w:val="0"/>
                <w:sz w:val="20"/>
                <w:szCs w:val="21"/>
                <w:lang w:bidi="mn-Mong-CN"/>
              </w:rPr>
              <w:t>企业</w:t>
            </w:r>
            <w:r>
              <w:rPr>
                <w:rFonts w:hint="eastAsia" w:ascii="Times New Roman" w:hAnsi="Times New Roman" w:eastAsia="宋体" w:cs="Times New Roman"/>
                <w:color w:val="000000"/>
                <w:kern w:val="0"/>
                <w:sz w:val="20"/>
                <w:szCs w:val="21"/>
                <w:lang w:val="en-US" w:eastAsia="zh-CN" w:bidi="mn-Mong-CN"/>
              </w:rPr>
              <w:t>C</w:t>
            </w:r>
          </w:p>
        </w:tc>
        <w:tc>
          <w:tcPr>
            <w:tcW w:w="1444" w:type="dxa"/>
          </w:tcPr>
          <w:p>
            <w:pPr>
              <w:jc w:val="center"/>
              <w:rPr>
                <w:rFonts w:ascii="Times New Roman" w:hAnsi="Times New Roman" w:eastAsia="宋体" w:cs="Times New Roman"/>
                <w:color w:val="000000"/>
                <w:kern w:val="0"/>
                <w:sz w:val="20"/>
                <w:szCs w:val="21"/>
                <w:lang w:bidi="mn-Mong-CN"/>
              </w:rPr>
            </w:pPr>
            <w:r>
              <w:rPr>
                <w:rFonts w:hint="eastAsia" w:ascii="Times New Roman" w:hAnsi="Times New Roman" w:eastAsia="宋体" w:cs="Times New Roman"/>
                <w:color w:val="000000"/>
                <w:kern w:val="0"/>
                <w:sz w:val="20"/>
                <w:szCs w:val="21"/>
                <w:lang w:bidi="mn-Mong-CN"/>
              </w:rPr>
              <w:t>理论含量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3" w:type="dxa"/>
            <w:vAlign w:val="center"/>
          </w:tcPr>
          <w:p>
            <w:pPr>
              <w:jc w:val="center"/>
              <w:rPr>
                <w:rFonts w:ascii="Times New Roman" w:hAnsi="Times New Roman" w:eastAsia="宋体" w:cs="Times New Roman"/>
                <w:color w:val="000000"/>
                <w:kern w:val="0"/>
                <w:sz w:val="20"/>
                <w:szCs w:val="21"/>
                <w:lang w:bidi="mn-Mong-CN"/>
              </w:rPr>
            </w:pPr>
            <w:r>
              <w:rPr>
                <w:rFonts w:hint="eastAsia" w:ascii="Times New Roman" w:hAnsi="Times New Roman" w:eastAsia="宋体" w:cs="Times New Roman"/>
                <w:color w:val="000000"/>
                <w:kern w:val="0"/>
                <w:sz w:val="20"/>
                <w:szCs w:val="21"/>
                <w:lang w:bidi="mn-Mong-CN"/>
              </w:rPr>
              <w:t>L</w:t>
            </w:r>
            <w:r>
              <w:rPr>
                <w:rFonts w:ascii="Times New Roman" w:hAnsi="Times New Roman" w:eastAsia="宋体" w:cs="Times New Roman"/>
                <w:color w:val="000000"/>
                <w:kern w:val="0"/>
                <w:sz w:val="20"/>
                <w:szCs w:val="21"/>
                <w:lang w:bidi="mn-Mong-CN"/>
              </w:rPr>
              <w:t>i</w:t>
            </w:r>
          </w:p>
        </w:tc>
        <w:tc>
          <w:tcPr>
            <w:tcW w:w="1447" w:type="dxa"/>
            <w:vAlign w:val="center"/>
          </w:tcPr>
          <w:p>
            <w:pPr>
              <w:keepNext w:val="0"/>
              <w:keepLines w:val="0"/>
              <w:widowControl/>
              <w:suppressLineNumbers w:val="0"/>
              <w:jc w:val="center"/>
              <w:textAlignment w:val="center"/>
              <w:rPr>
                <w:rFonts w:ascii="Times New Roman" w:hAnsi="Times New Roman" w:eastAsia="宋体" w:cs="Times New Roman"/>
                <w:kern w:val="0"/>
                <w:sz w:val="20"/>
                <w:szCs w:val="20"/>
                <w:highlight w:val="yellow"/>
                <w:lang w:bidi="mn-Mong-CN"/>
              </w:rPr>
            </w:pPr>
            <w:r>
              <w:rPr>
                <w:rFonts w:hint="default" w:ascii="Times New Roman" w:hAnsi="Times New Roman" w:eastAsia="宋体" w:cs="Times New Roman"/>
                <w:i w:val="0"/>
                <w:color w:val="000000"/>
                <w:kern w:val="0"/>
                <w:sz w:val="22"/>
                <w:szCs w:val="22"/>
                <w:u w:val="none"/>
                <w:lang w:val="en-US" w:eastAsia="zh-CN" w:bidi="ar"/>
              </w:rPr>
              <w:t>7.24~7.52</w:t>
            </w:r>
          </w:p>
        </w:tc>
        <w:tc>
          <w:tcPr>
            <w:tcW w:w="1447"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6.80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7.80</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6.80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7.80</w:t>
            </w:r>
          </w:p>
        </w:tc>
        <w:tc>
          <w:tcPr>
            <w:tcW w:w="1444"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6.91~7.31</w:t>
            </w:r>
          </w:p>
        </w:tc>
        <w:tc>
          <w:tcPr>
            <w:tcW w:w="144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3" w:type="dxa"/>
            <w:vAlign w:val="center"/>
          </w:tcPr>
          <w:p>
            <w:pPr>
              <w:jc w:val="center"/>
              <w:rPr>
                <w:rFonts w:ascii="Times New Roman" w:hAnsi="Times New Roman" w:eastAsia="宋体" w:cs="Times New Roman"/>
                <w:color w:val="000000"/>
                <w:kern w:val="0"/>
                <w:sz w:val="20"/>
                <w:szCs w:val="21"/>
                <w:lang w:bidi="mn-Mong-CN"/>
              </w:rPr>
            </w:pPr>
            <w:r>
              <w:rPr>
                <w:rFonts w:ascii="Times New Roman" w:hAnsi="Times New Roman" w:eastAsia="宋体" w:cs="Times New Roman"/>
                <w:color w:val="000000"/>
                <w:kern w:val="0"/>
                <w:sz w:val="20"/>
                <w:szCs w:val="21"/>
                <w:lang w:bidi="mn-Mong-CN"/>
              </w:rPr>
              <w:t>Ni</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kern w:val="0"/>
                <w:sz w:val="20"/>
                <w:szCs w:val="20"/>
                <w:highlight w:val="yellow"/>
                <w:lang w:val="en-US" w:bidi="mn-Mong-CN"/>
              </w:rPr>
            </w:pPr>
            <w:r>
              <w:rPr>
                <w:rFonts w:hint="default" w:ascii="Times New Roman" w:hAnsi="Times New Roman" w:eastAsia="宋体" w:cs="Times New Roman"/>
                <w:i w:val="0"/>
                <w:color w:val="000000"/>
                <w:kern w:val="0"/>
                <w:sz w:val="22"/>
                <w:szCs w:val="22"/>
                <w:u w:val="none"/>
                <w:lang w:val="en-US" w:eastAsia="zh-CN" w:bidi="ar"/>
              </w:rPr>
              <w:t>54.39~56.61</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28.50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30.50</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34.50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36.50</w:t>
            </w:r>
          </w:p>
        </w:tc>
        <w:tc>
          <w:tcPr>
            <w:tcW w:w="144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54.60-54.80</w:t>
            </w:r>
          </w:p>
        </w:tc>
        <w:tc>
          <w:tcPr>
            <w:tcW w:w="144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53.56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3" w:type="dxa"/>
            <w:vAlign w:val="center"/>
          </w:tcPr>
          <w:p>
            <w:pPr>
              <w:jc w:val="center"/>
              <w:rPr>
                <w:rFonts w:ascii="Times New Roman" w:hAnsi="Times New Roman" w:eastAsia="宋体" w:cs="Times New Roman"/>
                <w:color w:val="000000"/>
                <w:kern w:val="0"/>
                <w:sz w:val="20"/>
                <w:szCs w:val="21"/>
                <w:lang w:bidi="mn-Mong-CN"/>
              </w:rPr>
            </w:pPr>
            <w:r>
              <w:rPr>
                <w:rFonts w:ascii="Times New Roman" w:hAnsi="Times New Roman" w:eastAsia="宋体" w:cs="Times New Roman"/>
                <w:color w:val="000000"/>
                <w:kern w:val="0"/>
                <w:sz w:val="20"/>
                <w:szCs w:val="21"/>
                <w:lang w:bidi="mn-Mong-CN"/>
              </w:rPr>
              <w:t>Co</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kern w:val="0"/>
                <w:sz w:val="20"/>
                <w:szCs w:val="20"/>
                <w:highlight w:val="yellow"/>
                <w:lang w:val="en-US" w:bidi="mn-Mong-CN"/>
              </w:rPr>
            </w:pPr>
            <w:r>
              <w:rPr>
                <w:rFonts w:hint="default" w:ascii="Times New Roman" w:hAnsi="Times New Roman" w:eastAsia="宋体" w:cs="Times New Roman"/>
                <w:i w:val="0"/>
                <w:color w:val="000000"/>
                <w:kern w:val="0"/>
                <w:sz w:val="22"/>
                <w:szCs w:val="22"/>
                <w:u w:val="none"/>
                <w:lang w:val="en-US" w:eastAsia="zh-CN" w:bidi="ar"/>
              </w:rPr>
              <w:t>4.41~4.59</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10.80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12.80</w:t>
            </w:r>
          </w:p>
        </w:tc>
        <w:tc>
          <w:tcPr>
            <w:tcW w:w="1447"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11.00</w:t>
            </w:r>
            <w:r>
              <w:rPr>
                <w:rFonts w:hint="eastAsia"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13.00</w:t>
            </w:r>
          </w:p>
        </w:tc>
        <w:tc>
          <w:tcPr>
            <w:tcW w:w="144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5.85-6.65</w:t>
            </w:r>
          </w:p>
        </w:tc>
        <w:tc>
          <w:tcPr>
            <w:tcW w:w="144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5.98</w:t>
            </w:r>
          </w:p>
        </w:tc>
      </w:tr>
    </w:tbl>
    <w:p>
      <w:pPr>
        <w:snapToGrid w:val="0"/>
        <w:spacing w:line="360" w:lineRule="auto"/>
        <w:ind w:firstLine="420" w:firstLineChars="200"/>
        <w:rPr>
          <w:rFonts w:ascii="Times New Roman" w:hAnsi="Times New Roman" w:cs="Times New Roman"/>
          <w:kern w:val="0"/>
          <w:szCs w:val="24"/>
        </w:rPr>
      </w:pPr>
    </w:p>
    <w:p>
      <w:pPr>
        <w:snapToGrid w:val="0"/>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金属利用率调研见表2</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rPr>
        <w:t>综合考虑，取锂利用率95%，镍利用率9</w:t>
      </w:r>
      <w:r>
        <w:rPr>
          <w:rFonts w:hint="eastAsia" w:ascii="Times New Roman" w:hAnsi="Times New Roman" w:eastAsia="宋体" w:cs="Times New Roman"/>
          <w:color w:val="000000"/>
          <w:sz w:val="24"/>
          <w:szCs w:val="24"/>
          <w:lang w:val="en-US" w:eastAsia="zh-CN"/>
        </w:rPr>
        <w:t>5.5</w:t>
      </w:r>
      <w:r>
        <w:rPr>
          <w:rFonts w:hint="eastAsia" w:ascii="Times New Roman" w:hAnsi="Times New Roman" w:eastAsia="宋体" w:cs="Times New Roman"/>
          <w:color w:val="000000"/>
          <w:sz w:val="24"/>
          <w:szCs w:val="24"/>
        </w:rPr>
        <w:t>%，钴利用率9</w:t>
      </w:r>
      <w:r>
        <w:rPr>
          <w:rFonts w:hint="eastAsia" w:ascii="Times New Roman" w:hAnsi="Times New Roman" w:eastAsia="宋体" w:cs="Times New Roman"/>
          <w:color w:val="000000"/>
          <w:sz w:val="24"/>
          <w:szCs w:val="24"/>
          <w:lang w:val="en-US" w:eastAsia="zh-CN"/>
        </w:rPr>
        <w:t>5</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表2  金属利用率（%）</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30"/>
        <w:gridCol w:w="1732"/>
        <w:gridCol w:w="173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项目</w:t>
            </w:r>
          </w:p>
        </w:tc>
        <w:tc>
          <w:tcPr>
            <w:tcW w:w="6927" w:type="dxa"/>
            <w:gridSpan w:val="4"/>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金属利用率（%）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金属元素</w:t>
            </w:r>
          </w:p>
        </w:tc>
        <w:tc>
          <w:tcPr>
            <w:tcW w:w="1730"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企业A</w:t>
            </w:r>
          </w:p>
        </w:tc>
        <w:tc>
          <w:tcPr>
            <w:tcW w:w="3464" w:type="dxa"/>
            <w:gridSpan w:val="2"/>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企业B</w:t>
            </w:r>
          </w:p>
        </w:tc>
        <w:tc>
          <w:tcPr>
            <w:tcW w:w="1733" w:type="dxa"/>
            <w:vAlign w:val="center"/>
          </w:tcPr>
          <w:p>
            <w:pPr>
              <w:adjustRightInd w:val="0"/>
              <w:snapToGrid w:val="0"/>
              <w:jc w:val="center"/>
              <w:rPr>
                <w:rFonts w:hint="eastAsia" w:ascii="Times New Roman" w:hAnsi="Times New Roman" w:eastAsia="宋体" w:cs="Times New Roman"/>
                <w:kern w:val="0"/>
                <w:sz w:val="20"/>
                <w:szCs w:val="21"/>
                <w:lang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bookmarkStart w:id="1" w:name="_GoBack" w:colFirst="1" w:colLast="1"/>
            <w:r>
              <w:rPr>
                <w:rFonts w:hint="eastAsia" w:ascii="Times New Roman" w:hAnsi="Times New Roman" w:eastAsia="宋体" w:cs="Times New Roman"/>
                <w:i w:val="0"/>
                <w:color w:val="000000"/>
                <w:kern w:val="0"/>
                <w:sz w:val="22"/>
                <w:szCs w:val="22"/>
                <w:u w:val="none"/>
                <w:lang w:val="en-US" w:eastAsia="zh-CN" w:bidi="ar"/>
              </w:rPr>
              <w:t>Li</w:t>
            </w:r>
          </w:p>
        </w:tc>
        <w:tc>
          <w:tcPr>
            <w:tcW w:w="173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97.2</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98.6</w:t>
            </w:r>
          </w:p>
        </w:tc>
        <w:tc>
          <w:tcPr>
            <w:tcW w:w="173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Ni</w:t>
            </w:r>
          </w:p>
        </w:tc>
        <w:tc>
          <w:tcPr>
            <w:tcW w:w="1730"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97.8</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96.2</w:t>
            </w:r>
          </w:p>
        </w:tc>
        <w:tc>
          <w:tcPr>
            <w:tcW w:w="173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Co</w:t>
            </w:r>
          </w:p>
        </w:tc>
        <w:tc>
          <w:tcPr>
            <w:tcW w:w="1730" w:type="dxa"/>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96.4</w:t>
            </w:r>
          </w:p>
        </w:tc>
        <w:tc>
          <w:tcPr>
            <w:tcW w:w="1732"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97.2</w:t>
            </w:r>
          </w:p>
        </w:tc>
        <w:tc>
          <w:tcPr>
            <w:tcW w:w="1733"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97.2</w:t>
            </w:r>
          </w:p>
        </w:tc>
      </w:tr>
      <w:bookmarkEnd w:id="1"/>
    </w:tbl>
    <w:p>
      <w:pPr>
        <w:snapToGrid w:val="0"/>
        <w:spacing w:line="360" w:lineRule="auto"/>
        <w:ind w:firstLine="420" w:firstLineChars="200"/>
        <w:rPr>
          <w:rFonts w:ascii="Times New Roman" w:hAnsi="Times New Roman" w:cs="Times New Roman"/>
          <w:kern w:val="0"/>
          <w:szCs w:val="24"/>
          <w:highlight w:val="yellow"/>
        </w:rPr>
      </w:pP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结合行业标准YS/T </w:t>
      </w:r>
      <w:r>
        <w:rPr>
          <w:rFonts w:hint="eastAsia" w:ascii="Times New Roman" w:hAnsi="Times New Roman" w:eastAsia="宋体" w:cs="Times New Roman"/>
          <w:color w:val="000000"/>
          <w:sz w:val="24"/>
          <w:szCs w:val="24"/>
          <w:lang w:val="en-US" w:eastAsia="zh-CN"/>
        </w:rPr>
        <w:t>XXXX</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XXXX</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镍钴酸锂</w:t>
      </w:r>
      <w:r>
        <w:rPr>
          <w:rFonts w:hint="eastAsia" w:ascii="Times New Roman" w:hAnsi="Times New Roman" w:eastAsia="宋体" w:cs="Times New Roman"/>
          <w:color w:val="000000"/>
          <w:sz w:val="24"/>
          <w:szCs w:val="24"/>
        </w:rPr>
        <w:t>产品锂含量应不大于7.</w:t>
      </w:r>
      <w:r>
        <w:rPr>
          <w:rFonts w:hint="eastAsia" w:ascii="Times New Roman" w:hAnsi="Times New Roman" w:eastAsia="宋体" w:cs="Times New Roman"/>
          <w:color w:val="000000"/>
          <w:sz w:val="24"/>
          <w:szCs w:val="24"/>
          <w:lang w:val="en-US" w:eastAsia="zh-CN"/>
        </w:rPr>
        <w:t>9</w:t>
      </w:r>
      <w:r>
        <w:rPr>
          <w:rFonts w:hint="eastAsia" w:ascii="Times New Roman" w:hAnsi="Times New Roman" w:eastAsia="宋体" w:cs="Times New Roman"/>
          <w:color w:val="000000"/>
          <w:sz w:val="24"/>
          <w:szCs w:val="24"/>
        </w:rPr>
        <w:t>%，镍含量应不大于5</w:t>
      </w:r>
      <w:r>
        <w:rPr>
          <w:rFonts w:hint="eastAsia" w:ascii="Times New Roman" w:hAnsi="Times New Roman" w:eastAsia="宋体" w:cs="Times New Roman"/>
          <w:color w:val="000000"/>
          <w:sz w:val="24"/>
          <w:szCs w:val="24"/>
          <w:lang w:val="en-US" w:eastAsia="zh-CN"/>
        </w:rPr>
        <w:t>8</w:t>
      </w:r>
      <w:r>
        <w:rPr>
          <w:rFonts w:hint="eastAsia" w:ascii="Times New Roman" w:hAnsi="Times New Roman" w:eastAsia="宋体" w:cs="Times New Roman"/>
          <w:color w:val="000000"/>
          <w:sz w:val="24"/>
          <w:szCs w:val="24"/>
        </w:rPr>
        <w:t>%，钴含量应不大于</w:t>
      </w:r>
      <w:r>
        <w:rPr>
          <w:rFonts w:hint="eastAsia" w:ascii="Times New Roman" w:hAnsi="Times New Roman" w:eastAsia="宋体" w:cs="Times New Roman"/>
          <w:color w:val="000000"/>
          <w:sz w:val="24"/>
          <w:szCs w:val="24"/>
          <w:lang w:val="en-US" w:eastAsia="zh-CN"/>
        </w:rPr>
        <w:t>19.5</w:t>
      </w:r>
      <w:r>
        <w:rPr>
          <w:rFonts w:hint="eastAsia" w:ascii="Times New Roman" w:hAnsi="Times New Roman" w:eastAsia="宋体" w:cs="Times New Roman"/>
          <w:color w:val="000000"/>
          <w:sz w:val="24"/>
          <w:szCs w:val="24"/>
        </w:rPr>
        <w:t>%。确定NC</w:t>
      </w:r>
      <w:r>
        <w:rPr>
          <w:rFonts w:hint="eastAsia" w:ascii="Times New Roman" w:hAnsi="Times New Roman" w:eastAsia="宋体" w:cs="Times New Roman"/>
          <w:color w:val="000000"/>
          <w:sz w:val="24"/>
          <w:szCs w:val="24"/>
          <w:lang w:val="en-US" w:eastAsia="zh-CN"/>
        </w:rPr>
        <w:t>9010</w:t>
      </w:r>
      <w:r>
        <w:rPr>
          <w:rFonts w:hint="eastAsia" w:ascii="Times New Roman" w:hAnsi="Times New Roman" w:eastAsia="宋体" w:cs="Times New Roman"/>
          <w:color w:val="000000"/>
          <w:sz w:val="24"/>
          <w:szCs w:val="24"/>
        </w:rPr>
        <w:t>产品的金属消耗量应满足表3的要求。</w:t>
      </w:r>
    </w:p>
    <w:p>
      <w:pPr>
        <w:wordWrap w:val="0"/>
        <w:snapToGrid w:val="0"/>
        <w:spacing w:line="360" w:lineRule="auto"/>
        <w:ind w:firstLine="420" w:firstLineChars="200"/>
        <w:jc w:val="right"/>
        <w:rPr>
          <w:rFonts w:hAnsi="宋体" w:cs="宋体"/>
          <w:kern w:val="0"/>
          <w:szCs w:val="21"/>
        </w:rPr>
      </w:pPr>
      <w:r>
        <w:rPr>
          <w:rFonts w:hint="eastAsia" w:ascii="Times New Roman" w:hAnsi="Times New Roman" w:eastAsia="宋体" w:cs="Times New Roman"/>
          <w:szCs w:val="21"/>
        </w:rPr>
        <w:t>表3  NC</w:t>
      </w:r>
      <w:r>
        <w:rPr>
          <w:rFonts w:hint="eastAsia" w:ascii="Times New Roman" w:hAnsi="Times New Roman" w:eastAsia="宋体" w:cs="Times New Roman"/>
          <w:szCs w:val="21"/>
          <w:lang w:val="en-US" w:eastAsia="zh-CN"/>
        </w:rPr>
        <w:t>9010</w:t>
      </w:r>
      <w:r>
        <w:rPr>
          <w:rFonts w:hint="eastAsia" w:ascii="Times New Roman" w:hAnsi="Times New Roman" w:eastAsia="宋体" w:cs="Times New Roman"/>
          <w:szCs w:val="21"/>
        </w:rPr>
        <w:t>产品的金属消耗量         单位：kg/t产品</w:t>
      </w:r>
    </w:p>
    <w:tbl>
      <w:tblPr>
        <w:tblStyle w:val="9"/>
        <w:tblW w:w="6195" w:type="dxa"/>
        <w:tblInd w:w="1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4"/>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4"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消耗资源</w:t>
            </w:r>
          </w:p>
        </w:tc>
        <w:tc>
          <w:tcPr>
            <w:tcW w:w="3881" w:type="dxa"/>
            <w:vAlign w:val="center"/>
          </w:tcPr>
          <w:p>
            <w:pPr>
              <w:jc w:val="center"/>
              <w:rPr>
                <w:rFonts w:hint="default" w:ascii="Times New Roman" w:hAnsi="Times New Roman" w:cs="Times New Roman" w:eastAsiaTheme="minorEastAsia"/>
                <w:color w:val="000000"/>
                <w:sz w:val="18"/>
                <w:szCs w:val="18"/>
                <w:lang w:val="en-US" w:eastAsia="zh-CN"/>
              </w:rPr>
            </w:pPr>
            <w:r>
              <w:rPr>
                <w:rFonts w:ascii="Times New Roman" w:hAnsi="Times New Roman" w:cs="Times New Roman"/>
                <w:color w:val="000000"/>
                <w:sz w:val="18"/>
                <w:szCs w:val="18"/>
              </w:rPr>
              <w:t>NC</w:t>
            </w:r>
            <w:r>
              <w:rPr>
                <w:rFonts w:hint="eastAsia" w:ascii="Times New Roman" w:hAnsi="Times New Roman" w:cs="Times New Roman"/>
                <w:color w:val="000000"/>
                <w:sz w:val="18"/>
                <w:szCs w:val="18"/>
                <w:lang w:val="en-US" w:eastAsia="zh-CN"/>
              </w:rPr>
              <w:t>9010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4"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Li</w:t>
            </w:r>
          </w:p>
        </w:tc>
        <w:tc>
          <w:tcPr>
            <w:tcW w:w="3881" w:type="dxa"/>
            <w:vAlign w:val="center"/>
          </w:tcPr>
          <w:p>
            <w:pPr>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color w:val="000000"/>
                <w:sz w:val="18"/>
                <w:szCs w:val="18"/>
              </w:rPr>
              <w:t>≤7</w:t>
            </w:r>
            <w:r>
              <w:rPr>
                <w:rFonts w:hint="eastAsia" w:ascii="Times New Roman" w:hAnsi="Times New Roman" w:cs="Times New Roman"/>
                <w:color w:val="000000"/>
                <w:sz w:val="18"/>
                <w:szCs w:val="1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4"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Ni</w:t>
            </w:r>
          </w:p>
        </w:tc>
        <w:tc>
          <w:tcPr>
            <w:tcW w:w="3881" w:type="dxa"/>
            <w:vAlign w:val="center"/>
          </w:tcPr>
          <w:p>
            <w:pPr>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color w:val="000000"/>
                <w:sz w:val="18"/>
                <w:szCs w:val="18"/>
              </w:rPr>
              <w:t>≤</w:t>
            </w:r>
            <w:r>
              <w:rPr>
                <w:rFonts w:hint="eastAsia" w:ascii="Times New Roman" w:hAnsi="Times New Roman" w:cs="Times New Roman"/>
                <w:sz w:val="18"/>
                <w:szCs w:val="18"/>
              </w:rPr>
              <w:t>5</w:t>
            </w:r>
            <w:r>
              <w:rPr>
                <w:rFonts w:hint="eastAsia" w:ascii="Times New Roman" w:hAnsi="Times New Roman" w:cs="Times New Roman"/>
                <w:sz w:val="18"/>
                <w:szCs w:val="18"/>
                <w:lang w:val="en-US"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4" w:type="dxa"/>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Co</w:t>
            </w:r>
          </w:p>
        </w:tc>
        <w:tc>
          <w:tcPr>
            <w:tcW w:w="3881" w:type="dxa"/>
            <w:vAlign w:val="center"/>
          </w:tcPr>
          <w:p>
            <w:pPr>
              <w:jc w:val="center"/>
              <w:rPr>
                <w:rFonts w:hint="default" w:ascii="Times New Roman" w:hAnsi="Times New Roman" w:cs="Times New Roman" w:eastAsiaTheme="minorEastAsia"/>
                <w:sz w:val="18"/>
                <w:szCs w:val="18"/>
                <w:lang w:val="en-US" w:eastAsia="zh-CN"/>
              </w:rPr>
            </w:pPr>
            <w:r>
              <w:rPr>
                <w:rFonts w:hint="eastAsia" w:ascii="Times New Roman" w:hAnsi="Times New Roman" w:cs="Times New Roman"/>
                <w:color w:val="000000"/>
                <w:sz w:val="18"/>
                <w:szCs w:val="18"/>
              </w:rPr>
              <w:t>≤</w:t>
            </w:r>
            <w:r>
              <w:rPr>
                <w:rFonts w:hint="eastAsia" w:ascii="Times New Roman" w:hAnsi="Times New Roman" w:cs="Times New Roman"/>
                <w:sz w:val="18"/>
                <w:szCs w:val="18"/>
                <w:lang w:val="en-US" w:eastAsia="zh-CN"/>
              </w:rPr>
              <w:t>77</w:t>
            </w:r>
          </w:p>
        </w:tc>
      </w:tr>
    </w:tbl>
    <w:p>
      <w:pPr>
        <w:snapToGrid w:val="0"/>
        <w:spacing w:line="360" w:lineRule="auto"/>
        <w:ind w:firstLine="420" w:firstLineChars="200"/>
        <w:rPr>
          <w:rFonts w:hAnsi="宋体" w:cs="宋体"/>
          <w:kern w:val="0"/>
          <w:szCs w:val="21"/>
        </w:rPr>
      </w:pP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w:t>
      </w:r>
      <w:r>
        <w:rPr>
          <w:rFonts w:ascii="Times New Roman" w:hAnsi="Times New Roman" w:eastAsia="宋体" w:cs="Times New Roman"/>
          <w:sz w:val="24"/>
          <w:szCs w:val="21"/>
        </w:rPr>
        <w:t>、单位产品综合能耗：产品单位产量直接综合能耗与产品单位产量间接综合能耗之和。根据企业反馈资料（见表4），将</w:t>
      </w:r>
      <w:r>
        <w:rPr>
          <w:rFonts w:hint="eastAsia" w:ascii="Times New Roman" w:hAnsi="Times New Roman" w:eastAsia="宋体" w:cs="Times New Roman"/>
          <w:sz w:val="24"/>
          <w:szCs w:val="21"/>
        </w:rPr>
        <w:t>NC</w:t>
      </w:r>
      <w:r>
        <w:rPr>
          <w:rFonts w:hint="eastAsia" w:ascii="Times New Roman" w:hAnsi="Times New Roman" w:eastAsia="宋体" w:cs="Times New Roman"/>
          <w:sz w:val="24"/>
          <w:szCs w:val="21"/>
          <w:lang w:val="en-US" w:eastAsia="zh-CN"/>
        </w:rPr>
        <w:t>9010</w:t>
      </w:r>
      <w:r>
        <w:rPr>
          <w:rFonts w:ascii="Times New Roman" w:hAnsi="Times New Roman" w:eastAsia="宋体" w:cs="Times New Roman"/>
          <w:sz w:val="24"/>
          <w:szCs w:val="21"/>
        </w:rPr>
        <w:t>品综合能耗指标的基准值定为不超过</w:t>
      </w:r>
      <w:r>
        <w:rPr>
          <w:rFonts w:hint="eastAsia" w:ascii="Times New Roman" w:hAnsi="Times New Roman" w:eastAsia="宋体" w:cs="Times New Roman"/>
          <w:sz w:val="24"/>
          <w:szCs w:val="21"/>
          <w:lang w:val="en-US" w:eastAsia="zh-CN"/>
        </w:rPr>
        <w:t>1600</w:t>
      </w:r>
      <w:r>
        <w:rPr>
          <w:rFonts w:ascii="Times New Roman" w:hAnsi="Times New Roman" w:eastAsia="宋体" w:cs="Times New Roman"/>
          <w:sz w:val="24"/>
          <w:szCs w:val="21"/>
        </w:rPr>
        <w:t xml:space="preserve"> kgce/t产品。</w:t>
      </w:r>
    </w:p>
    <w:p>
      <w:pPr>
        <w:snapToGrid w:val="0"/>
        <w:spacing w:line="360" w:lineRule="auto"/>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表4  NC</w:t>
      </w:r>
      <w:r>
        <w:rPr>
          <w:rFonts w:hint="eastAsia" w:ascii="Times New Roman" w:hAnsi="Times New Roman" w:eastAsia="宋体" w:cs="Times New Roman"/>
          <w:szCs w:val="21"/>
          <w:lang w:val="en-US" w:eastAsia="zh-CN"/>
        </w:rPr>
        <w:t>9010</w:t>
      </w:r>
      <w:r>
        <w:rPr>
          <w:rFonts w:ascii="Times New Roman" w:hAnsi="Times New Roman" w:eastAsia="宋体" w:cs="Times New Roman"/>
          <w:szCs w:val="21"/>
        </w:rPr>
        <w:t>产品的单位产品综合能耗调研结果</w:t>
      </w:r>
      <w:r>
        <w:rPr>
          <w:rFonts w:hint="eastAsia" w:ascii="Times New Roman" w:hAnsi="Times New Roman" w:eastAsia="宋体" w:cs="Times New Roman"/>
          <w:szCs w:val="21"/>
        </w:rPr>
        <w:t xml:space="preserve">  单位：</w:t>
      </w:r>
      <w:r>
        <w:rPr>
          <w:rFonts w:ascii="Times New Roman" w:hAnsi="Times New Roman" w:eastAsia="宋体" w:cs="Times New Roman"/>
          <w:szCs w:val="21"/>
        </w:rPr>
        <w:t>kgce</w:t>
      </w:r>
      <w:r>
        <w:rPr>
          <w:rFonts w:hint="eastAsia" w:ascii="Times New Roman" w:hAnsi="Times New Roman" w:eastAsia="宋体" w:cs="Times New Roman"/>
          <w:szCs w:val="21"/>
        </w:rPr>
        <w:t>/t产品</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30"/>
        <w:gridCol w:w="1732"/>
        <w:gridCol w:w="173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项目</w:t>
            </w:r>
          </w:p>
        </w:tc>
        <w:tc>
          <w:tcPr>
            <w:tcW w:w="6927" w:type="dxa"/>
            <w:gridSpan w:val="4"/>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单位产品综合能耗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kern w:val="0"/>
                <w:sz w:val="20"/>
                <w:szCs w:val="21"/>
                <w:lang w:bidi="mn-Mong-CN"/>
              </w:rPr>
            </w:pPr>
            <w:r>
              <w:rPr>
                <w:rFonts w:hint="eastAsia" w:ascii="Times New Roman" w:hAnsi="Times New Roman" w:eastAsia="宋体" w:cs="Times New Roman"/>
                <w:kern w:val="0"/>
                <w:sz w:val="20"/>
                <w:szCs w:val="21"/>
                <w:lang w:bidi="mn-Mong-CN"/>
              </w:rPr>
              <w:t>企业</w:t>
            </w:r>
          </w:p>
        </w:tc>
        <w:tc>
          <w:tcPr>
            <w:tcW w:w="1730" w:type="dxa"/>
            <w:vAlign w:val="center"/>
          </w:tcPr>
          <w:p>
            <w:pPr>
              <w:adjustRightInd w:val="0"/>
              <w:snapToGrid w:val="0"/>
              <w:jc w:val="center"/>
              <w:rPr>
                <w:rFonts w:ascii="Times New Roman" w:hAnsi="Times New Roman" w:eastAsia="宋体" w:cs="Times New Roman"/>
                <w:kern w:val="0"/>
                <w:sz w:val="20"/>
                <w:szCs w:val="21"/>
                <w:lang w:bidi="mn-Mong-CN"/>
              </w:rPr>
            </w:pPr>
            <w:r>
              <w:rPr>
                <w:rFonts w:ascii="Times New Roman" w:hAnsi="Times New Roman" w:eastAsia="宋体" w:cs="Times New Roman"/>
                <w:kern w:val="0"/>
                <w:sz w:val="20"/>
                <w:szCs w:val="21"/>
                <w:lang w:bidi="mn-Mong-CN"/>
              </w:rPr>
              <w:t>企业A</w:t>
            </w:r>
          </w:p>
        </w:tc>
        <w:tc>
          <w:tcPr>
            <w:tcW w:w="3464" w:type="dxa"/>
            <w:gridSpan w:val="2"/>
            <w:vAlign w:val="center"/>
          </w:tcPr>
          <w:p>
            <w:pPr>
              <w:adjustRightInd w:val="0"/>
              <w:snapToGrid w:val="0"/>
              <w:jc w:val="center"/>
              <w:rPr>
                <w:rFonts w:hint="eastAsia" w:ascii="Times New Roman" w:hAnsi="Times New Roman" w:eastAsia="宋体" w:cs="Times New Roman"/>
                <w:kern w:val="0"/>
                <w:sz w:val="20"/>
                <w:szCs w:val="21"/>
                <w:lang w:val="en-US"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B</w:t>
            </w:r>
          </w:p>
        </w:tc>
        <w:tc>
          <w:tcPr>
            <w:tcW w:w="1733" w:type="dxa"/>
            <w:vAlign w:val="center"/>
          </w:tcPr>
          <w:p>
            <w:pPr>
              <w:adjustRightInd w:val="0"/>
              <w:snapToGrid w:val="0"/>
              <w:jc w:val="center"/>
              <w:rPr>
                <w:rFonts w:hint="eastAsia" w:ascii="Times New Roman" w:hAnsi="Times New Roman" w:eastAsia="宋体" w:cs="Times New Roman"/>
                <w:kern w:val="0"/>
                <w:sz w:val="20"/>
                <w:szCs w:val="21"/>
                <w:lang w:eastAsia="zh-CN" w:bidi="mn-Mong-CN"/>
              </w:rPr>
            </w:pPr>
            <w:r>
              <w:rPr>
                <w:rFonts w:ascii="Times New Roman" w:hAnsi="Times New Roman" w:eastAsia="宋体" w:cs="Times New Roman"/>
                <w:kern w:val="0"/>
                <w:sz w:val="20"/>
                <w:szCs w:val="21"/>
                <w:lang w:bidi="mn-Mong-CN"/>
              </w:rPr>
              <w:t>企业</w:t>
            </w:r>
            <w:r>
              <w:rPr>
                <w:rFonts w:hint="eastAsia" w:ascii="Times New Roman" w:hAnsi="Times New Roman" w:eastAsia="宋体" w:cs="Times New Roman"/>
                <w:kern w:val="0"/>
                <w:sz w:val="20"/>
                <w:szCs w:val="21"/>
                <w:lang w:val="en-US" w:eastAsia="zh-CN" w:bidi="mn-Mong-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jc w:val="center"/>
              <w:rPr>
                <w:rFonts w:hint="default" w:ascii="Times New Roman" w:hAnsi="Times New Roman" w:eastAsia="宋体" w:cs="Times New Roman"/>
                <w:color w:val="000000"/>
                <w:kern w:val="0"/>
                <w:sz w:val="20"/>
                <w:szCs w:val="21"/>
                <w:lang w:val="en-US" w:eastAsia="zh-CN" w:bidi="mn-Mong-CN"/>
              </w:rPr>
            </w:pPr>
            <w:r>
              <w:rPr>
                <w:rFonts w:hint="eastAsia" w:ascii="Times New Roman" w:hAnsi="Times New Roman" w:eastAsia="宋体" w:cs="Times New Roman"/>
                <w:color w:val="000000"/>
                <w:kern w:val="0"/>
                <w:sz w:val="20"/>
                <w:szCs w:val="21"/>
                <w:lang w:bidi="mn-Mong-CN"/>
              </w:rPr>
              <w:t>NC</w:t>
            </w:r>
            <w:r>
              <w:rPr>
                <w:rFonts w:hint="eastAsia" w:ascii="Times New Roman" w:hAnsi="Times New Roman" w:eastAsia="宋体" w:cs="Times New Roman"/>
                <w:color w:val="000000"/>
                <w:kern w:val="0"/>
                <w:sz w:val="20"/>
                <w:szCs w:val="21"/>
                <w:lang w:val="en-US" w:eastAsia="zh-CN" w:bidi="mn-Mong-CN"/>
              </w:rPr>
              <w:t>9010</w:t>
            </w:r>
          </w:p>
        </w:tc>
        <w:tc>
          <w:tcPr>
            <w:tcW w:w="1730" w:type="dxa"/>
            <w:vAlign w:val="center"/>
          </w:tcPr>
          <w:p>
            <w:pPr>
              <w:adjustRightInd w:val="0"/>
              <w:snapToGrid w:val="0"/>
              <w:jc w:val="center"/>
              <w:rPr>
                <w:rFonts w:hint="default"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1508</w:t>
            </w:r>
          </w:p>
        </w:tc>
        <w:tc>
          <w:tcPr>
            <w:tcW w:w="1732" w:type="dxa"/>
            <w:vAlign w:val="center"/>
          </w:tcPr>
          <w:p>
            <w:pPr>
              <w:adjustRightInd w:val="0"/>
              <w:snapToGrid w:val="0"/>
              <w:jc w:val="center"/>
              <w:rPr>
                <w:rFonts w:hint="default" w:ascii="Times New Roman" w:hAnsi="Times New Roman" w:eastAsia="宋体" w:cs="Times New Roman"/>
                <w:kern w:val="0"/>
                <w:sz w:val="20"/>
                <w:szCs w:val="20"/>
                <w:lang w:val="en-US" w:eastAsia="zh-CN" w:bidi="mn-Mong-CN"/>
              </w:rPr>
            </w:pPr>
            <w:r>
              <w:rPr>
                <w:rFonts w:hint="eastAsia" w:ascii="Times New Roman" w:hAnsi="Times New Roman" w:eastAsia="宋体" w:cs="Times New Roman"/>
                <w:kern w:val="0"/>
                <w:sz w:val="20"/>
                <w:szCs w:val="20"/>
                <w:lang w:val="en-US" w:eastAsia="zh-CN" w:bidi="mn-Mong-CN"/>
              </w:rPr>
              <w:t>1008</w:t>
            </w:r>
          </w:p>
        </w:tc>
        <w:tc>
          <w:tcPr>
            <w:tcW w:w="1732" w:type="dxa"/>
            <w:vAlign w:val="center"/>
          </w:tcPr>
          <w:p>
            <w:pPr>
              <w:adjustRightInd w:val="0"/>
              <w:snapToGrid w:val="0"/>
              <w:jc w:val="center"/>
              <w:rPr>
                <w:rFonts w:hint="default" w:ascii="Times New Roman" w:hAnsi="Times New Roman" w:eastAsia="宋体" w:cs="Times New Roman"/>
                <w:kern w:val="0"/>
                <w:sz w:val="20"/>
                <w:szCs w:val="21"/>
                <w:lang w:val="en-US" w:eastAsia="zh-CN" w:bidi="mn-Mong-CN"/>
              </w:rPr>
            </w:pPr>
            <w:r>
              <w:rPr>
                <w:rFonts w:hint="eastAsia" w:ascii="Times New Roman" w:hAnsi="Times New Roman" w:eastAsia="宋体" w:cs="Times New Roman"/>
                <w:kern w:val="0"/>
                <w:sz w:val="20"/>
                <w:szCs w:val="21"/>
                <w:lang w:val="en-US" w:eastAsia="zh-CN" w:bidi="mn-Mong-CN"/>
              </w:rPr>
              <w:t>1124</w:t>
            </w:r>
          </w:p>
        </w:tc>
        <w:tc>
          <w:tcPr>
            <w:tcW w:w="1733" w:type="dxa"/>
            <w:vAlign w:val="center"/>
          </w:tcPr>
          <w:p>
            <w:pPr>
              <w:adjustRightInd w:val="0"/>
              <w:snapToGrid w:val="0"/>
              <w:jc w:val="center"/>
              <w:rPr>
                <w:rFonts w:hint="default" w:ascii="Times New Roman" w:hAnsi="Times New Roman" w:eastAsia="宋体" w:cs="Times New Roman"/>
                <w:kern w:val="0"/>
                <w:sz w:val="20"/>
                <w:szCs w:val="21"/>
                <w:lang w:val="en-US" w:eastAsia="zh-CN" w:bidi="mn-Mong-CN"/>
              </w:rPr>
            </w:pPr>
            <w:r>
              <w:rPr>
                <w:rFonts w:hint="eastAsia" w:ascii="Times New Roman" w:hAnsi="Times New Roman" w:eastAsia="宋体" w:cs="Times New Roman"/>
                <w:kern w:val="0"/>
                <w:sz w:val="20"/>
                <w:szCs w:val="21"/>
                <w:lang w:val="en-US" w:eastAsia="zh-CN" w:bidi="mn-Mong-CN"/>
              </w:rPr>
              <w:t>1478</w:t>
            </w:r>
          </w:p>
        </w:tc>
      </w:tr>
    </w:tbl>
    <w:p>
      <w:pPr>
        <w:snapToGrid w:val="0"/>
        <w:spacing w:line="360" w:lineRule="auto"/>
        <w:ind w:firstLine="480" w:firstLineChars="200"/>
        <w:rPr>
          <w:rFonts w:ascii="Times New Roman" w:hAnsi="Times New Roman" w:eastAsia="宋体" w:cs="Times New Roman"/>
          <w:sz w:val="24"/>
          <w:szCs w:val="24"/>
        </w:rPr>
      </w:pPr>
    </w:p>
    <w:p>
      <w:pPr>
        <w:snapToGrid w:val="0"/>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、磁性异物</w:t>
      </w:r>
      <w:r>
        <w:rPr>
          <w:rFonts w:ascii="Times New Roman" w:hAnsi="Times New Roman" w:eastAsia="宋体" w:cs="Times New Roman"/>
          <w:color w:val="000000"/>
          <w:sz w:val="24"/>
          <w:szCs w:val="24"/>
        </w:rPr>
        <w:t xml:space="preserve">：现行的镍钴酸锂产品标准YS/T </w:t>
      </w:r>
      <w:r>
        <w:rPr>
          <w:rFonts w:hint="eastAsia" w:ascii="Times New Roman" w:hAnsi="Times New Roman" w:eastAsia="宋体" w:cs="Times New Roman"/>
          <w:color w:val="000000"/>
          <w:sz w:val="24"/>
          <w:szCs w:val="24"/>
          <w:lang w:val="en-US" w:eastAsia="zh-CN"/>
        </w:rPr>
        <w:t>XXXX</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val="en-US" w:eastAsia="zh-CN"/>
        </w:rPr>
        <w:t>XXXX</w:t>
      </w:r>
      <w:r>
        <w:rPr>
          <w:rFonts w:ascii="Times New Roman" w:hAnsi="Times New Roman" w:eastAsia="宋体" w:cs="Times New Roman"/>
          <w:color w:val="000000"/>
          <w:sz w:val="24"/>
          <w:szCs w:val="24"/>
        </w:rPr>
        <w:t>《镍钴酸锂》中规定</w:t>
      </w:r>
      <w:r>
        <w:rPr>
          <w:rFonts w:hint="eastAsia" w:ascii="Times New Roman" w:hAnsi="Times New Roman" w:eastAsia="宋体" w:cs="Times New Roman"/>
          <w:color w:val="000000"/>
          <w:sz w:val="24"/>
          <w:szCs w:val="24"/>
        </w:rPr>
        <w:t>磁性异物含量应不大于</w:t>
      </w:r>
      <w:r>
        <w:rPr>
          <w:rFonts w:ascii="Times New Roman" w:hAnsi="Times New Roman" w:eastAsia="宋体" w:cs="Times New Roman"/>
          <w:color w:val="000000"/>
          <w:sz w:val="24"/>
          <w:szCs w:val="24"/>
        </w:rPr>
        <w:t>0.000 005 0%，</w:t>
      </w:r>
      <w:r>
        <w:rPr>
          <w:rFonts w:hint="eastAsia" w:ascii="Times New Roman" w:hAnsi="Times New Roman" w:eastAsia="宋体" w:cs="Times New Roman"/>
          <w:sz w:val="24"/>
          <w:szCs w:val="24"/>
        </w:rPr>
        <w:t>本标准规定磁性异物含量</w:t>
      </w:r>
      <w:r>
        <w:rPr>
          <w:rFonts w:ascii="Times New Roman" w:hAnsi="Times New Roman" w:eastAsia="宋体" w:cs="Times New Roman"/>
          <w:sz w:val="24"/>
          <w:szCs w:val="24"/>
        </w:rPr>
        <w:t>不大于</w:t>
      </w:r>
      <w:r>
        <w:rPr>
          <w:rFonts w:ascii="Times New Roman" w:hAnsi="Times New Roman" w:eastAsia="宋体" w:cs="Times New Roman"/>
          <w:color w:val="000000"/>
          <w:sz w:val="24"/>
          <w:szCs w:val="24"/>
        </w:rPr>
        <w:t>0.000 005 0%，即不超过</w:t>
      </w:r>
      <w:r>
        <w:rPr>
          <w:rFonts w:hint="eastAsia" w:ascii="Times New Roman" w:hAnsi="Times New Roman" w:eastAsia="宋体" w:cs="Times New Roman"/>
          <w:color w:val="000000"/>
          <w:sz w:val="24"/>
          <w:szCs w:val="24"/>
          <w:lang w:val="en-US" w:eastAsia="zh-CN"/>
        </w:rPr>
        <w:t>50</w:t>
      </w:r>
      <w:r>
        <w:rPr>
          <w:rFonts w:ascii="Times New Roman" w:hAnsi="Times New Roman" w:eastAsia="宋体" w:cs="Times New Roman"/>
          <w:color w:val="000000"/>
          <w:sz w:val="24"/>
          <w:szCs w:val="24"/>
        </w:rPr>
        <w:t xml:space="preserve"> ppb。</w:t>
      </w:r>
    </w:p>
    <w:p>
      <w:pPr>
        <w:snapToGrid w:val="0"/>
        <w:spacing w:line="360" w:lineRule="auto"/>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6</w:t>
      </w:r>
      <w:r>
        <w:rPr>
          <w:rFonts w:ascii="Times New Roman" w:hAnsi="Times New Roman" w:eastAsia="宋体" w:cs="Times New Roman"/>
          <w:szCs w:val="21"/>
        </w:rPr>
        <w:t xml:space="preserve">  </w:t>
      </w:r>
      <w:r>
        <w:rPr>
          <w:rFonts w:hint="eastAsia" w:ascii="Times New Roman" w:hAnsi="Times New Roman" w:eastAsia="宋体" w:cs="Times New Roman"/>
          <w:color w:val="000000"/>
          <w:sz w:val="24"/>
          <w:szCs w:val="24"/>
        </w:rPr>
        <w:t>NC</w:t>
      </w:r>
      <w:r>
        <w:rPr>
          <w:rFonts w:hint="eastAsia" w:ascii="Times New Roman" w:hAnsi="Times New Roman" w:eastAsia="宋体" w:cs="Times New Roman"/>
          <w:color w:val="000000"/>
          <w:sz w:val="24"/>
          <w:szCs w:val="24"/>
          <w:lang w:val="en-US" w:eastAsia="zh-CN"/>
        </w:rPr>
        <w:t>9010</w:t>
      </w:r>
      <w:r>
        <w:rPr>
          <w:rFonts w:ascii="Times New Roman" w:hAnsi="Times New Roman" w:eastAsia="宋体" w:cs="Times New Roman"/>
          <w:szCs w:val="21"/>
        </w:rPr>
        <w:t>产品的磁性异物含量调研结果</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730"/>
        <w:gridCol w:w="3464"/>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6927" w:type="dxa"/>
            <w:gridSpan w:val="3"/>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磁性异物含量（</w:t>
            </w:r>
            <w:r>
              <w:rPr>
                <w:rFonts w:hint="eastAsia" w:ascii="Times New Roman" w:hAnsi="Times New Roman" w:eastAsia="宋体" w:cs="Times New Roman"/>
                <w:sz w:val="18"/>
                <w:szCs w:val="18"/>
              </w:rPr>
              <w:t>ppb</w:t>
            </w: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5"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产品</w:t>
            </w:r>
          </w:p>
        </w:tc>
        <w:tc>
          <w:tcPr>
            <w:tcW w:w="1730"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企业A</w:t>
            </w:r>
          </w:p>
        </w:tc>
        <w:tc>
          <w:tcPr>
            <w:tcW w:w="3464" w:type="dxa"/>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企业B</w:t>
            </w:r>
          </w:p>
        </w:tc>
        <w:tc>
          <w:tcPr>
            <w:tcW w:w="1733" w:type="dxa"/>
            <w:vAlign w:val="center"/>
          </w:tcPr>
          <w:p>
            <w:pPr>
              <w:adjustRightInd w:val="0"/>
              <w:snapToGrid w:val="0"/>
              <w:jc w:val="center"/>
              <w:rPr>
                <w:rFonts w:hint="eastAsia" w:ascii="Times New Roman" w:hAnsi="Times New Roman" w:eastAsia="宋体" w:cs="Times New Roman"/>
                <w:sz w:val="18"/>
                <w:szCs w:val="18"/>
                <w:lang w:eastAsia="zh-CN"/>
              </w:rPr>
            </w:pPr>
            <w:r>
              <w:rPr>
                <w:rFonts w:ascii="Times New Roman" w:hAnsi="Times New Roman" w:eastAsia="宋体" w:cs="Times New Roman"/>
                <w:sz w:val="18"/>
                <w:szCs w:val="18"/>
              </w:rPr>
              <w:t>企业</w:t>
            </w:r>
            <w:r>
              <w:rPr>
                <w:rFonts w:hint="eastAsia" w:ascii="Times New Roman" w:hAnsi="Times New Roman" w:eastAsia="宋体" w:cs="Times New Roman"/>
                <w:sz w:val="18"/>
                <w:szCs w:val="18"/>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595" w:type="dxa"/>
            <w:vAlign w:val="center"/>
          </w:tcPr>
          <w:p>
            <w:pPr>
              <w:jc w:val="center"/>
              <w:rPr>
                <w:rFonts w:hint="default" w:ascii="Times New Roman" w:hAnsi="Times New Roman" w:eastAsia="宋体" w:cs="Times New Roman"/>
                <w:color w:val="000000"/>
                <w:kern w:val="0"/>
                <w:sz w:val="20"/>
                <w:szCs w:val="21"/>
                <w:lang w:val="en-US" w:eastAsia="zh-CN" w:bidi="mn-Mong-CN"/>
              </w:rPr>
            </w:pPr>
            <w:r>
              <w:rPr>
                <w:rFonts w:hint="eastAsia" w:ascii="Times New Roman" w:hAnsi="Times New Roman" w:eastAsia="宋体" w:cs="Times New Roman"/>
                <w:color w:val="000000"/>
                <w:kern w:val="0"/>
                <w:sz w:val="20"/>
                <w:szCs w:val="21"/>
                <w:lang w:bidi="mn-Mong-CN"/>
              </w:rPr>
              <w:t>NC</w:t>
            </w:r>
            <w:r>
              <w:rPr>
                <w:rFonts w:hint="eastAsia" w:ascii="Times New Roman" w:hAnsi="Times New Roman" w:eastAsia="宋体" w:cs="Times New Roman"/>
                <w:color w:val="000000"/>
                <w:kern w:val="0"/>
                <w:sz w:val="20"/>
                <w:szCs w:val="21"/>
                <w:lang w:val="en-US" w:eastAsia="zh-CN" w:bidi="mn-Mong-CN"/>
              </w:rPr>
              <w:t>9010</w:t>
            </w:r>
          </w:p>
        </w:tc>
        <w:tc>
          <w:tcPr>
            <w:tcW w:w="1730" w:type="dxa"/>
            <w:vAlign w:val="center"/>
          </w:tcPr>
          <w:p>
            <w:pPr>
              <w:jc w:val="center"/>
              <w:rPr>
                <w:rFonts w:hint="default" w:ascii="Times New Roman" w:hAnsi="Times New Roman" w:eastAsia="宋体" w:cs="Times New Roman"/>
                <w:color w:val="000000"/>
                <w:kern w:val="0"/>
                <w:sz w:val="20"/>
                <w:szCs w:val="21"/>
                <w:lang w:val="en-US" w:eastAsia="zh-CN" w:bidi="mn-Mong-CN"/>
              </w:rPr>
            </w:pPr>
            <w:r>
              <w:rPr>
                <w:rFonts w:hint="eastAsia" w:ascii="Times New Roman" w:hAnsi="Times New Roman" w:eastAsia="宋体" w:cs="Times New Roman"/>
                <w:color w:val="000000"/>
                <w:kern w:val="0"/>
                <w:sz w:val="20"/>
                <w:szCs w:val="21"/>
                <w:lang w:bidi="mn-Mong-CN"/>
              </w:rPr>
              <w:t>≤</w:t>
            </w:r>
            <w:r>
              <w:rPr>
                <w:rFonts w:hint="eastAsia" w:ascii="Times New Roman" w:hAnsi="Times New Roman" w:eastAsia="宋体" w:cs="Times New Roman"/>
                <w:color w:val="000000"/>
                <w:kern w:val="0"/>
                <w:sz w:val="20"/>
                <w:szCs w:val="21"/>
                <w:lang w:val="en-US" w:eastAsia="zh-CN" w:bidi="mn-Mong-CN"/>
              </w:rPr>
              <w:t>50</w:t>
            </w:r>
          </w:p>
        </w:tc>
        <w:tc>
          <w:tcPr>
            <w:tcW w:w="3464" w:type="dxa"/>
            <w:vAlign w:val="center"/>
          </w:tcPr>
          <w:p>
            <w:pPr>
              <w:jc w:val="center"/>
              <w:rPr>
                <w:rFonts w:hint="eastAsia" w:ascii="Times New Roman" w:hAnsi="Times New Roman" w:eastAsia="宋体" w:cs="Times New Roman"/>
                <w:color w:val="000000"/>
                <w:kern w:val="0"/>
                <w:sz w:val="20"/>
                <w:szCs w:val="21"/>
                <w:lang w:bidi="mn-Mong-CN"/>
              </w:rPr>
            </w:pPr>
            <w:r>
              <w:rPr>
                <w:rFonts w:hint="eastAsia" w:ascii="Times New Roman" w:hAnsi="Times New Roman" w:eastAsia="宋体" w:cs="Times New Roman"/>
                <w:color w:val="000000"/>
                <w:kern w:val="0"/>
                <w:sz w:val="20"/>
                <w:szCs w:val="21"/>
                <w:lang w:bidi="mn-Mong-CN"/>
              </w:rPr>
              <w:t>≤</w:t>
            </w:r>
            <w:r>
              <w:rPr>
                <w:rFonts w:hint="eastAsia" w:ascii="Times New Roman" w:hAnsi="Times New Roman" w:eastAsia="宋体" w:cs="Times New Roman"/>
                <w:color w:val="000000"/>
                <w:kern w:val="0"/>
                <w:sz w:val="20"/>
                <w:szCs w:val="21"/>
                <w:lang w:val="en-US" w:eastAsia="zh-CN" w:bidi="mn-Mong-CN"/>
              </w:rPr>
              <w:t>100</w:t>
            </w:r>
          </w:p>
        </w:tc>
        <w:tc>
          <w:tcPr>
            <w:tcW w:w="1733" w:type="dxa"/>
            <w:vAlign w:val="center"/>
          </w:tcPr>
          <w:p>
            <w:pPr>
              <w:jc w:val="center"/>
              <w:rPr>
                <w:rFonts w:hint="default" w:ascii="Times New Roman" w:hAnsi="Times New Roman" w:eastAsia="宋体" w:cs="Times New Roman"/>
                <w:color w:val="000000"/>
                <w:kern w:val="0"/>
                <w:sz w:val="20"/>
                <w:szCs w:val="21"/>
                <w:lang w:val="en-US" w:eastAsia="zh-CN" w:bidi="mn-Mong-CN"/>
              </w:rPr>
            </w:pPr>
            <w:r>
              <w:rPr>
                <w:rFonts w:hint="eastAsia" w:ascii="Times New Roman" w:hAnsi="Times New Roman" w:eastAsia="宋体" w:cs="Times New Roman"/>
                <w:color w:val="000000"/>
                <w:kern w:val="0"/>
                <w:sz w:val="20"/>
                <w:szCs w:val="21"/>
                <w:lang w:bidi="mn-Mong-CN"/>
              </w:rPr>
              <w:t>≤</w:t>
            </w:r>
            <w:r>
              <w:rPr>
                <w:rFonts w:hint="eastAsia" w:ascii="Times New Roman" w:hAnsi="Times New Roman" w:eastAsia="宋体" w:cs="Times New Roman"/>
                <w:color w:val="000000"/>
                <w:kern w:val="0"/>
                <w:sz w:val="20"/>
                <w:szCs w:val="21"/>
                <w:lang w:val="en-US" w:eastAsia="zh-CN" w:bidi="mn-Mong-CN"/>
              </w:rPr>
              <w:t>50</w:t>
            </w:r>
          </w:p>
        </w:tc>
      </w:tr>
    </w:tbl>
    <w:p>
      <w:pPr>
        <w:snapToGrid w:val="0"/>
        <w:spacing w:before="156" w:beforeLines="50" w:line="360" w:lineRule="auto"/>
        <w:ind w:firstLine="480" w:firstLineChars="200"/>
        <w:rPr>
          <w:rFonts w:hint="default" w:ascii="Times New Roman" w:hAnsi="Times New Roman" w:eastAsia="黑体" w:cs="Times New Roman"/>
          <w:b w:val="0"/>
          <w:bCs/>
          <w:sz w:val="24"/>
          <w:szCs w:val="24"/>
        </w:rPr>
      </w:pPr>
      <w:r>
        <w:rPr>
          <w:rFonts w:ascii="Times New Roman" w:hAnsi="Times New Roman" w:eastAsia="宋体" w:cs="Times New Roman"/>
          <w:color w:val="000000"/>
          <w:sz w:val="24"/>
          <w:szCs w:val="24"/>
        </w:rPr>
        <w:t>标准中其他部分的内容主要参照已</w:t>
      </w:r>
      <w:r>
        <w:rPr>
          <w:rFonts w:hint="eastAsia" w:ascii="Times New Roman" w:hAnsi="Times New Roman" w:eastAsia="宋体" w:cs="Times New Roman"/>
          <w:color w:val="000000"/>
          <w:sz w:val="24"/>
          <w:szCs w:val="24"/>
          <w:lang w:val="en-US" w:eastAsia="zh-CN"/>
        </w:rPr>
        <w:t>发布实施</w:t>
      </w:r>
      <w:r>
        <w:rPr>
          <w:rFonts w:ascii="Times New Roman" w:hAnsi="Times New Roman" w:eastAsia="宋体" w:cs="Times New Roman"/>
          <w:color w:val="000000"/>
          <w:sz w:val="24"/>
          <w:szCs w:val="24"/>
        </w:rPr>
        <w:t>的中国有色金属工业协会团体标准</w:t>
      </w:r>
      <w:r>
        <w:rPr>
          <w:rFonts w:hint="eastAsia" w:ascii="Times New Roman" w:hAnsi="Times New Roman" w:eastAsia="宋体" w:cs="Times New Roman"/>
          <w:color w:val="000000"/>
          <w:sz w:val="24"/>
          <w:szCs w:val="24"/>
        </w:rPr>
        <w:t>《绿色设计产品评价技术规范 镍钴锰酸锂》、《绿色设计产品评价技术规范 镍钴锰氢氧化物》，</w:t>
      </w:r>
      <w:r>
        <w:rPr>
          <w:rFonts w:hint="eastAsia" w:ascii="Times New Roman" w:hAnsi="Times New Roman" w:eastAsia="宋体" w:cs="Times New Roman"/>
          <w:color w:val="000000"/>
          <w:sz w:val="24"/>
          <w:szCs w:val="24"/>
          <w:lang w:val="en-US" w:eastAsia="zh-CN"/>
        </w:rPr>
        <w:t>以及报批的</w:t>
      </w:r>
      <w:r>
        <w:rPr>
          <w:rFonts w:ascii="Times New Roman" w:hAnsi="Times New Roman" w:eastAsia="宋体" w:cs="Times New Roman"/>
          <w:color w:val="000000"/>
          <w:sz w:val="24"/>
          <w:szCs w:val="24"/>
        </w:rPr>
        <w:t>中国有色金属工业协会团体标准</w:t>
      </w:r>
      <w:r>
        <w:rPr>
          <w:rFonts w:hint="eastAsia" w:ascii="Times New Roman" w:hAnsi="Times New Roman" w:eastAsia="宋体" w:cs="Times New Roman"/>
          <w:color w:val="000000"/>
          <w:sz w:val="24"/>
          <w:szCs w:val="24"/>
        </w:rPr>
        <w:t>《绿色设计产品评价技术规范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rPr>
        <w:t>根据镍钴酸锂</w:t>
      </w:r>
      <w:r>
        <w:rPr>
          <w:rFonts w:hint="eastAsia" w:ascii="Times New Roman" w:hAnsi="Times New Roman" w:eastAsia="宋体" w:cs="Times New Roman"/>
          <w:color w:val="000000"/>
          <w:sz w:val="24"/>
          <w:szCs w:val="24"/>
        </w:rPr>
        <w:t>产品和</w:t>
      </w:r>
      <w:r>
        <w:rPr>
          <w:rFonts w:ascii="Times New Roman" w:hAnsi="Times New Roman" w:eastAsia="宋体" w:cs="Times New Roman"/>
          <w:color w:val="000000"/>
          <w:sz w:val="24"/>
          <w:szCs w:val="24"/>
        </w:rPr>
        <w:t>生产工艺的特点进行相应修改。</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val="0"/>
          <w:sz w:val="24"/>
          <w:szCs w:val="28"/>
        </w:rPr>
      </w:pPr>
      <w:r>
        <w:rPr>
          <w:rFonts w:hint="default" w:ascii="Times New Roman" w:hAnsi="Times New Roman" w:eastAsia="黑体" w:cs="Times New Roman"/>
          <w:b w:val="0"/>
          <w:bCs/>
          <w:sz w:val="24"/>
          <w:szCs w:val="28"/>
        </w:rPr>
        <w:t>四、</w:t>
      </w:r>
      <w:r>
        <w:rPr>
          <w:rFonts w:hint="default" w:ascii="Times New Roman" w:hAnsi="Times New Roman" w:eastAsia="黑体" w:cs="Times New Roman"/>
          <w:b w:val="0"/>
          <w:bCs w:val="0"/>
          <w:sz w:val="24"/>
          <w:szCs w:val="28"/>
        </w:rPr>
        <w:t>采用国际标准和国外先进标准的程度</w:t>
      </w:r>
    </w:p>
    <w:p>
      <w:pPr>
        <w:snapToGrid w:val="0"/>
        <w:spacing w:line="360" w:lineRule="auto"/>
        <w:ind w:firstLine="480" w:firstLineChars="200"/>
        <w:rPr>
          <w:rFonts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没有查找到国内外</w:t>
      </w:r>
      <w:r>
        <w:rPr>
          <w:rFonts w:hint="eastAsia" w:ascii="Times New Roman" w:hAnsi="Times New Roman" w:cs="Times New Roman"/>
          <w:kern w:val="2"/>
          <w:sz w:val="24"/>
          <w:szCs w:val="22"/>
          <w:lang w:val="en-US" w:eastAsia="zh-CN" w:bidi="ar-SA"/>
        </w:rPr>
        <w:t>镍钴酸锂</w:t>
      </w:r>
      <w:r>
        <w:rPr>
          <w:rFonts w:hint="eastAsia" w:ascii="Times New Roman" w:hAnsi="Times New Roman" w:cs="Times New Roman" w:eastAsiaTheme="minorEastAsia"/>
          <w:kern w:val="2"/>
          <w:sz w:val="24"/>
          <w:szCs w:val="22"/>
          <w:lang w:val="en-US" w:eastAsia="zh-CN" w:bidi="ar-SA"/>
        </w:rPr>
        <w:t>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hint="default" w:ascii="Times New Roman" w:hAnsi="Times New Roman" w:eastAsia="宋体" w:cs="Times New Roman"/>
          <w:sz w:val="24"/>
          <w:szCs w:val="24"/>
        </w:rPr>
      </w:pPr>
      <w:r>
        <w:rPr>
          <w:rFonts w:ascii="Times New Roman" w:hAnsi="Times New Roman" w:eastAsia="宋体" w:cs="Times New Roman"/>
          <w:color w:val="000000"/>
          <w:sz w:val="24"/>
          <w:szCs w:val="24"/>
        </w:rPr>
        <w:t>本标准主要参考了</w:t>
      </w:r>
      <w:r>
        <w:rPr>
          <w:rFonts w:hint="eastAsia" w:ascii="Times New Roman" w:hAnsi="Times New Roman" w:eastAsia="宋体" w:cs="Times New Roman"/>
          <w:color w:val="000000"/>
          <w:sz w:val="24"/>
          <w:szCs w:val="24"/>
        </w:rPr>
        <w:t>《绿色设计产品评价技术规范 镍钴锰酸锂》、《绿色设计产品评价技术规范 镍钴锰氢氧化物》、《绿色设计产品评价技术规范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酸锂》、《绿色设计产品评价技术规范 镍钴</w:t>
      </w:r>
      <w:r>
        <w:rPr>
          <w:rFonts w:hint="eastAsia" w:ascii="Times New Roman" w:hAnsi="Times New Roman" w:eastAsia="宋体" w:cs="Times New Roman"/>
          <w:color w:val="000000"/>
          <w:sz w:val="24"/>
          <w:szCs w:val="24"/>
          <w:lang w:val="en-US" w:eastAsia="zh-CN"/>
        </w:rPr>
        <w:t>铝</w:t>
      </w:r>
      <w:r>
        <w:rPr>
          <w:rFonts w:hint="eastAsia" w:ascii="Times New Roman" w:hAnsi="Times New Roman" w:eastAsia="宋体" w:cs="Times New Roman"/>
          <w:color w:val="000000"/>
          <w:sz w:val="24"/>
          <w:szCs w:val="24"/>
        </w:rPr>
        <w:t>氢氧化物》、GB/T 32161《生态设计产品评价通则》、</w:t>
      </w:r>
      <w:r>
        <w:rPr>
          <w:rFonts w:ascii="Times New Roman" w:hAnsi="Times New Roman" w:eastAsia="宋体" w:cs="Times New Roman"/>
          <w:color w:val="000000"/>
          <w:sz w:val="24"/>
          <w:szCs w:val="24"/>
        </w:rPr>
        <w:t>GB/T 12348《工业企业厂界环境噪声排放标准》、GB/T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24533—20</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9《锂离子电池石墨类负极材料》、GB/T 28001《职业健康安全管理体系 规范》、GB/T 33000《企业安全生产标准化基本规范》。编制内容以GB/T 33761-2017《绿色产品评价通则》为基本框架，参照已发布的绿色产品评价相关的国家、行业及团体标准。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宋体" w:cs="Times New Roman"/>
          <w:b/>
          <w:sz w:val="24"/>
          <w:szCs w:val="28"/>
        </w:rPr>
      </w:pPr>
      <w:r>
        <w:rPr>
          <w:rFonts w:hint="default" w:ascii="Times New Roman" w:hAnsi="Times New Roman" w:eastAsia="黑体" w:cs="Times New Roman"/>
          <w:b w:val="0"/>
          <w:bCs/>
          <w:sz w:val="24"/>
          <w:szCs w:val="28"/>
        </w:rPr>
        <w:t>五、与有关的现行法律、法规和强制性国家标准及相关标准协调配套情况</w:t>
      </w:r>
    </w:p>
    <w:p>
      <w:pPr>
        <w:snapToGrid w:val="0"/>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本标准与相关法律、法规、规章及相关标准协调一致，没有冲突。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六、重大分歧意见的出来经过和依据</w:t>
      </w:r>
    </w:p>
    <w:p>
      <w:pPr>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无</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七、标准作为强制性或推荐性标准的建议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建议该标准作为</w:t>
      </w:r>
      <w:r>
        <w:rPr>
          <w:rFonts w:hint="eastAsia" w:ascii="Times New Roman" w:hAnsi="Times New Roman" w:eastAsia="宋体" w:cs="Times New Roman"/>
          <w:sz w:val="24"/>
          <w:szCs w:val="24"/>
          <w:lang w:val="en-US" w:eastAsia="zh-CN"/>
        </w:rPr>
        <w:t>团体标准发布实施</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八、贯彻标准的要求和措施建议，包括（组织措施、技术措施、过渡办法）</w:t>
      </w:r>
    </w:p>
    <w:p>
      <w:pPr>
        <w:spacing w:line="360" w:lineRule="auto"/>
        <w:ind w:firstLine="480"/>
        <w:rPr>
          <w:rFonts w:hint="default" w:ascii="Times New Roman" w:hAnsi="Times New Roman" w:eastAsia="宋体" w:cs="Times New Roman"/>
          <w:sz w:val="22"/>
          <w:szCs w:val="28"/>
        </w:rPr>
      </w:pPr>
      <w:r>
        <w:rPr>
          <w:rFonts w:hint="default" w:ascii="Times New Roman" w:hAnsi="Times New Roman" w:eastAsia="宋体" w:cs="Times New Roman"/>
          <w:sz w:val="24"/>
          <w:szCs w:val="24"/>
        </w:rPr>
        <w:t>由于本标准首次制定，没有特殊要求。</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九、废止现有有关标准的建议</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default" w:ascii="Times New Roman" w:hAnsi="Times New Roman" w:eastAsia="黑体" w:cs="Times New Roman"/>
          <w:b w:val="0"/>
          <w:bCs/>
          <w:sz w:val="24"/>
          <w:szCs w:val="28"/>
        </w:rPr>
      </w:pPr>
      <w:r>
        <w:rPr>
          <w:rFonts w:hint="default" w:ascii="Times New Roman" w:hAnsi="Times New Roman" w:eastAsia="黑体" w:cs="Times New Roman"/>
          <w:b w:val="0"/>
          <w:bCs/>
          <w:sz w:val="24"/>
          <w:szCs w:val="28"/>
        </w:rPr>
        <w:t>十、其他应予说明的事项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sz w:val="24"/>
          <w:szCs w:val="28"/>
        </w:rPr>
      </w:pPr>
    </w:p>
    <w:p>
      <w:pPr>
        <w:spacing w:line="360" w:lineRule="auto"/>
        <w:ind w:firstLine="2640" w:firstLineChars="1100"/>
        <w:rPr>
          <w:rFonts w:hint="default" w:ascii="Times New Roman" w:hAnsi="Times New Roman" w:eastAsia="宋体" w:cs="Times New Roman"/>
          <w:sz w:val="24"/>
          <w:szCs w:val="28"/>
        </w:rPr>
      </w:pPr>
      <w:r>
        <w:rPr>
          <w:rFonts w:hint="default" w:ascii="Times New Roman" w:hAnsi="Times New Roman" w:eastAsia="宋体" w:cs="Times New Roman"/>
          <w:sz w:val="24"/>
          <w:szCs w:val="28"/>
        </w:rPr>
        <w:t>《</w:t>
      </w:r>
      <w:r>
        <w:rPr>
          <w:rFonts w:hint="eastAsia" w:ascii="Times New Roman" w:hAnsi="Times New Roman" w:cs="Times New Roman"/>
          <w:color w:val="000000"/>
          <w:sz w:val="24"/>
          <w:szCs w:val="24"/>
        </w:rPr>
        <w:t>绿色设计产品评价技术规范 镍钴酸锂</w:t>
      </w:r>
      <w:r>
        <w:rPr>
          <w:rFonts w:hint="default" w:ascii="Times New Roman" w:hAnsi="Times New Roman" w:eastAsia="宋体" w:cs="Times New Roman"/>
          <w:sz w:val="24"/>
          <w:szCs w:val="28"/>
        </w:rPr>
        <w:t>》标准编制组</w:t>
      </w:r>
    </w:p>
    <w:p>
      <w:pPr>
        <w:spacing w:line="360" w:lineRule="auto"/>
        <w:ind w:firstLine="48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8"/>
        </w:rPr>
        <w:t xml:space="preserve">                                   </w:t>
      </w:r>
      <w:r>
        <w:rPr>
          <w:rFonts w:hint="eastAsia" w:ascii="Times New Roman" w:hAnsi="Times New Roman" w:eastAsia="宋体" w:cs="Times New Roman"/>
          <w:sz w:val="24"/>
          <w:szCs w:val="28"/>
          <w:lang w:val="en-US" w:eastAsia="zh-CN"/>
        </w:rPr>
        <w:t xml:space="preserve">  </w:t>
      </w:r>
      <w:r>
        <w:rPr>
          <w:rFonts w:hint="default" w:ascii="Times New Roman" w:hAnsi="Times New Roman" w:eastAsia="宋体" w:cs="Times New Roman"/>
          <w:sz w:val="24"/>
          <w:szCs w:val="28"/>
        </w:rPr>
        <w:t>20</w:t>
      </w:r>
      <w:r>
        <w:rPr>
          <w:rFonts w:hint="default" w:ascii="Times New Roman" w:hAnsi="Times New Roman" w:eastAsia="宋体" w:cs="Times New Roman"/>
          <w:sz w:val="24"/>
          <w:szCs w:val="28"/>
          <w:lang w:val="en-US" w:eastAsia="zh-CN"/>
        </w:rPr>
        <w:t>2</w:t>
      </w:r>
      <w:r>
        <w:rPr>
          <w:rFonts w:hint="eastAsia" w:ascii="Times New Roman" w:hAnsi="Times New Roman" w:eastAsia="宋体" w:cs="Times New Roman"/>
          <w:sz w:val="24"/>
          <w:szCs w:val="28"/>
          <w:lang w:val="en-US" w:eastAsia="zh-CN"/>
        </w:rPr>
        <w:t>1</w:t>
      </w:r>
      <w:r>
        <w:rPr>
          <w:rFonts w:hint="default" w:ascii="Times New Roman" w:hAnsi="Times New Roman" w:eastAsia="宋体" w:cs="Times New Roman"/>
          <w:sz w:val="24"/>
          <w:szCs w:val="28"/>
        </w:rPr>
        <w:t>年</w:t>
      </w:r>
      <w:r>
        <w:rPr>
          <w:rFonts w:hint="eastAsia" w:ascii="Times New Roman" w:hAnsi="Times New Roman" w:eastAsia="宋体" w:cs="Times New Roman"/>
          <w:sz w:val="24"/>
          <w:szCs w:val="28"/>
          <w:lang w:val="en-US" w:eastAsia="zh-CN"/>
        </w:rPr>
        <w:t>11</w:t>
      </w:r>
      <w:r>
        <w:rPr>
          <w:rFonts w:hint="default" w:ascii="Times New Roman" w:hAnsi="Times New Roman" w:eastAsia="宋体" w:cs="Times New Roman"/>
          <w:sz w:val="24"/>
          <w:szCs w:val="28"/>
        </w:rPr>
        <w:t>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eastAsiaTheme="minorEastAsia"/>
          <w:b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黑体" w:cs="Times New Roman"/>
          <w:b w:val="0"/>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imes New Roman" w:hAnsi="Times New Roman" w:eastAsia="黑体" w:cs="Times New Roman"/>
          <w:b w:val="0"/>
          <w:b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C495B"/>
    <w:multiLevelType w:val="singleLevel"/>
    <w:tmpl w:val="F88C49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10DC"/>
    <w:rsid w:val="00725F6B"/>
    <w:rsid w:val="016553F1"/>
    <w:rsid w:val="01D56AF7"/>
    <w:rsid w:val="02513953"/>
    <w:rsid w:val="03D97811"/>
    <w:rsid w:val="03F81B19"/>
    <w:rsid w:val="04A844D6"/>
    <w:rsid w:val="0531346A"/>
    <w:rsid w:val="05535CDF"/>
    <w:rsid w:val="07C25D83"/>
    <w:rsid w:val="084E5D81"/>
    <w:rsid w:val="0B0F3292"/>
    <w:rsid w:val="0B7A42A4"/>
    <w:rsid w:val="0B8D7CE7"/>
    <w:rsid w:val="0C2E168A"/>
    <w:rsid w:val="0CC21911"/>
    <w:rsid w:val="0CF77A0F"/>
    <w:rsid w:val="0D355C04"/>
    <w:rsid w:val="0DAA1B81"/>
    <w:rsid w:val="0DC33AD5"/>
    <w:rsid w:val="0DD14A50"/>
    <w:rsid w:val="0F0771CD"/>
    <w:rsid w:val="0F0A6BBB"/>
    <w:rsid w:val="11AB77EB"/>
    <w:rsid w:val="12B65F19"/>
    <w:rsid w:val="12EC49FF"/>
    <w:rsid w:val="155D53AA"/>
    <w:rsid w:val="15825126"/>
    <w:rsid w:val="16730E97"/>
    <w:rsid w:val="169E277C"/>
    <w:rsid w:val="16BD4BE4"/>
    <w:rsid w:val="16C2435B"/>
    <w:rsid w:val="178657DC"/>
    <w:rsid w:val="181164BE"/>
    <w:rsid w:val="182826B5"/>
    <w:rsid w:val="185B7197"/>
    <w:rsid w:val="19B549F6"/>
    <w:rsid w:val="1A030D20"/>
    <w:rsid w:val="1B261934"/>
    <w:rsid w:val="1DC37E53"/>
    <w:rsid w:val="1EAF0341"/>
    <w:rsid w:val="1F6F0F0C"/>
    <w:rsid w:val="1FA077BD"/>
    <w:rsid w:val="1FEC2A59"/>
    <w:rsid w:val="205931EE"/>
    <w:rsid w:val="20B010DC"/>
    <w:rsid w:val="211C73F8"/>
    <w:rsid w:val="21F52690"/>
    <w:rsid w:val="227E30BB"/>
    <w:rsid w:val="228A2FF1"/>
    <w:rsid w:val="23FF0515"/>
    <w:rsid w:val="249A7208"/>
    <w:rsid w:val="252B56E6"/>
    <w:rsid w:val="255260AB"/>
    <w:rsid w:val="28131116"/>
    <w:rsid w:val="28481A53"/>
    <w:rsid w:val="28FA733A"/>
    <w:rsid w:val="298E6EC6"/>
    <w:rsid w:val="29CE7FE0"/>
    <w:rsid w:val="2A633C13"/>
    <w:rsid w:val="2AD0334A"/>
    <w:rsid w:val="2B515290"/>
    <w:rsid w:val="2BE279F8"/>
    <w:rsid w:val="2BED00B4"/>
    <w:rsid w:val="2D016548"/>
    <w:rsid w:val="2D033BC1"/>
    <w:rsid w:val="2D5215E6"/>
    <w:rsid w:val="2DD6444B"/>
    <w:rsid w:val="30EE3278"/>
    <w:rsid w:val="325751D2"/>
    <w:rsid w:val="32B3539F"/>
    <w:rsid w:val="32CA777D"/>
    <w:rsid w:val="33446FC8"/>
    <w:rsid w:val="33624860"/>
    <w:rsid w:val="33B71BCC"/>
    <w:rsid w:val="344262FF"/>
    <w:rsid w:val="35D239D4"/>
    <w:rsid w:val="3749062B"/>
    <w:rsid w:val="37CE0B93"/>
    <w:rsid w:val="38B2102F"/>
    <w:rsid w:val="39304E55"/>
    <w:rsid w:val="3AE31B4A"/>
    <w:rsid w:val="3AFB704D"/>
    <w:rsid w:val="3B2A40ED"/>
    <w:rsid w:val="3BDC7BD4"/>
    <w:rsid w:val="3BF407F9"/>
    <w:rsid w:val="3D0C160C"/>
    <w:rsid w:val="3D100C69"/>
    <w:rsid w:val="3D414333"/>
    <w:rsid w:val="3E9073C6"/>
    <w:rsid w:val="3EDD273E"/>
    <w:rsid w:val="41001BE3"/>
    <w:rsid w:val="44171BBF"/>
    <w:rsid w:val="44B90A36"/>
    <w:rsid w:val="45BE1EB1"/>
    <w:rsid w:val="463E4403"/>
    <w:rsid w:val="46905E4C"/>
    <w:rsid w:val="474D355C"/>
    <w:rsid w:val="476B11C5"/>
    <w:rsid w:val="479F7894"/>
    <w:rsid w:val="48181AF6"/>
    <w:rsid w:val="48AD0F93"/>
    <w:rsid w:val="48C6145F"/>
    <w:rsid w:val="498E3F4D"/>
    <w:rsid w:val="4A7B7C91"/>
    <w:rsid w:val="4B124F17"/>
    <w:rsid w:val="4C1C116E"/>
    <w:rsid w:val="4D4B04BC"/>
    <w:rsid w:val="4F3010A0"/>
    <w:rsid w:val="4F4A0745"/>
    <w:rsid w:val="4F7E4E13"/>
    <w:rsid w:val="50B659BC"/>
    <w:rsid w:val="51662F13"/>
    <w:rsid w:val="52DA4DB5"/>
    <w:rsid w:val="52F64B83"/>
    <w:rsid w:val="53923522"/>
    <w:rsid w:val="53CA1F43"/>
    <w:rsid w:val="54150A83"/>
    <w:rsid w:val="543619FF"/>
    <w:rsid w:val="545C4973"/>
    <w:rsid w:val="54F26A01"/>
    <w:rsid w:val="556C06CE"/>
    <w:rsid w:val="5695386C"/>
    <w:rsid w:val="5926186C"/>
    <w:rsid w:val="594D2F8B"/>
    <w:rsid w:val="5996412E"/>
    <w:rsid w:val="5A2D46E2"/>
    <w:rsid w:val="5B1F6EA4"/>
    <w:rsid w:val="5BAB4D77"/>
    <w:rsid w:val="5C907979"/>
    <w:rsid w:val="5CE12A4F"/>
    <w:rsid w:val="5D00095D"/>
    <w:rsid w:val="5DBC7659"/>
    <w:rsid w:val="5FA77F57"/>
    <w:rsid w:val="601453B1"/>
    <w:rsid w:val="614C0E7E"/>
    <w:rsid w:val="61AD533F"/>
    <w:rsid w:val="61E744C6"/>
    <w:rsid w:val="61F2556D"/>
    <w:rsid w:val="62CF7536"/>
    <w:rsid w:val="63E15835"/>
    <w:rsid w:val="64F44B4E"/>
    <w:rsid w:val="6504693A"/>
    <w:rsid w:val="65CF1A61"/>
    <w:rsid w:val="6629303A"/>
    <w:rsid w:val="66355A52"/>
    <w:rsid w:val="66405C56"/>
    <w:rsid w:val="672F73F0"/>
    <w:rsid w:val="67B35415"/>
    <w:rsid w:val="680F1AD4"/>
    <w:rsid w:val="68E3614A"/>
    <w:rsid w:val="696673E0"/>
    <w:rsid w:val="6A8746C9"/>
    <w:rsid w:val="6B564AEF"/>
    <w:rsid w:val="6B6A10B4"/>
    <w:rsid w:val="6CD77C0E"/>
    <w:rsid w:val="6CDC6D09"/>
    <w:rsid w:val="6CED7893"/>
    <w:rsid w:val="6D2670FD"/>
    <w:rsid w:val="6DC328AC"/>
    <w:rsid w:val="6EF243A0"/>
    <w:rsid w:val="6F1233C0"/>
    <w:rsid w:val="6F4128B2"/>
    <w:rsid w:val="719665B1"/>
    <w:rsid w:val="722356D8"/>
    <w:rsid w:val="72FD5643"/>
    <w:rsid w:val="741853B5"/>
    <w:rsid w:val="741D1082"/>
    <w:rsid w:val="754420DB"/>
    <w:rsid w:val="783C2A8D"/>
    <w:rsid w:val="79932ACB"/>
    <w:rsid w:val="7A337A03"/>
    <w:rsid w:val="7A360237"/>
    <w:rsid w:val="7ADE7514"/>
    <w:rsid w:val="7B0E3519"/>
    <w:rsid w:val="7B870BD5"/>
    <w:rsid w:val="7BFD5DC2"/>
    <w:rsid w:val="7CA45C2C"/>
    <w:rsid w:val="7D3B2EF8"/>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List Paragraph"/>
    <w:basedOn w:val="1"/>
    <w:qFormat/>
    <w:uiPriority w:val="34"/>
    <w:pPr>
      <w:ind w:left="720"/>
      <w:contextualSpacing/>
    </w:pPr>
  </w:style>
  <w:style w:type="paragraph" w:styleId="5">
    <w:name w:val="annotation text"/>
    <w:basedOn w:val="1"/>
    <w:semiHidden/>
    <w:unhideWhenUsed/>
    <w:qFormat/>
    <w:uiPriority w:val="99"/>
    <w:pPr>
      <w:jc w:val="left"/>
    </w:pPr>
  </w:style>
  <w:style w:type="paragraph" w:styleId="6">
    <w:name w:val="endnote text"/>
    <w:basedOn w:val="1"/>
    <w:unhideWhenUsed/>
    <w:qFormat/>
    <w:uiPriority w:val="99"/>
    <w:pPr>
      <w:snapToGrid w:val="0"/>
    </w:pPr>
    <w:rPr>
      <w:rFonts w:ascii="Calibri" w:hAnsi="Calibri" w:eastAsia="宋体" w:cs="Times New Roman"/>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unhideWhenUsed/>
    <w:qFormat/>
    <w:uiPriority w:val="99"/>
    <w:rPr>
      <w:color w:val="0000FF"/>
      <w:u w:val="single"/>
    </w:rPr>
  </w:style>
  <w:style w:type="paragraph" w:customStyle="1" w:styleId="12">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13">
    <w:name w:val="网格型1"/>
    <w:basedOn w:val="8"/>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网格型2"/>
    <w:basedOn w:val="8"/>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刘玮</cp:lastModifiedBy>
  <dcterms:modified xsi:type="dcterms:W3CDTF">2021-12-01T06:14:52Z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