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32"/>
          <w:szCs w:val="32"/>
        </w:rPr>
      </w:pPr>
      <w:r>
        <w:rPr>
          <w:rFonts w:hint="eastAsia" w:ascii="黑体" w:hAnsi="黑体" w:eastAsia="黑体" w:cs="黑体"/>
          <w:b/>
          <w:sz w:val="32"/>
          <w:szCs w:val="32"/>
          <w:lang w:val="en-US" w:eastAsia="zh-CN"/>
        </w:rPr>
        <w:t>团体标准</w:t>
      </w:r>
      <w:r>
        <w:rPr>
          <w:rFonts w:hint="eastAsia" w:ascii="黑体" w:hAnsi="黑体" w:eastAsia="黑体" w:cs="黑体"/>
          <w:b/>
          <w:sz w:val="32"/>
          <w:szCs w:val="32"/>
        </w:rPr>
        <w:t>《绿色设计产品评价技术规范 球形氢氧化镍》</w:t>
      </w:r>
    </w:p>
    <w:p>
      <w:pPr>
        <w:jc w:val="center"/>
        <w:rPr>
          <w:rFonts w:hint="eastAsia" w:ascii="黑体" w:hAnsi="黑体" w:eastAsia="黑体" w:cs="黑体"/>
          <w:b/>
          <w:sz w:val="32"/>
          <w:szCs w:val="32"/>
        </w:rPr>
      </w:pPr>
      <w:r>
        <w:rPr>
          <w:rFonts w:hint="eastAsia" w:ascii="黑体" w:hAnsi="黑体" w:eastAsia="黑体" w:cs="黑体"/>
          <w:b/>
          <w:sz w:val="32"/>
          <w:szCs w:val="32"/>
        </w:rPr>
        <w:t>编制说明</w:t>
      </w:r>
    </w:p>
    <w:p>
      <w:pPr>
        <w:spacing w:line="360" w:lineRule="auto"/>
        <w:jc w:val="center"/>
        <w:rPr>
          <w:rFonts w:hint="default" w:ascii="Times New Roman" w:hAnsi="Times New Roman" w:eastAsia="黑体" w:cs="Times New Roman"/>
          <w:b w:val="0"/>
          <w:bCs/>
          <w:sz w:val="24"/>
          <w:szCs w:val="24"/>
        </w:rPr>
      </w:pPr>
      <w:r>
        <w:rPr>
          <w:rFonts w:hint="eastAsia" w:ascii="黑体" w:hAnsi="黑体" w:eastAsia="黑体" w:cs="黑体"/>
          <w:b/>
          <w:sz w:val="32"/>
          <w:szCs w:val="32"/>
        </w:rPr>
        <w:t>（</w:t>
      </w:r>
      <w:r>
        <w:rPr>
          <w:rFonts w:hint="eastAsia" w:ascii="黑体" w:hAnsi="黑体" w:eastAsia="黑体" w:cs="黑体"/>
          <w:b/>
          <w:sz w:val="32"/>
          <w:szCs w:val="32"/>
          <w:lang w:val="en-US" w:eastAsia="zh-CN"/>
        </w:rPr>
        <w:t>征求意见稿</w:t>
      </w:r>
      <w:r>
        <w:rPr>
          <w:rFonts w:hint="eastAsia" w:ascii="黑体" w:hAnsi="黑体" w:eastAsia="黑体" w:cs="黑体"/>
          <w:b/>
          <w:sz w:val="32"/>
          <w:szCs w:val="32"/>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一、工作简况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1.1任务来源与计划要求</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cs="Times New Roman"/>
          <w:color w:val="000000"/>
          <w:sz w:val="24"/>
          <w:szCs w:val="24"/>
          <w:lang w:val="en-US" w:eastAsia="zh-CN"/>
        </w:rPr>
        <w:t>根据</w:t>
      </w:r>
      <w:r>
        <w:rPr>
          <w:rFonts w:hint="eastAsia" w:ascii="Times New Roman" w:hAnsi="Times New Roman" w:cs="Times New Roman"/>
          <w:color w:val="000000"/>
          <w:sz w:val="24"/>
          <w:szCs w:val="24"/>
        </w:rPr>
        <w:t>中国有色金属工业协会《关于下达2021第二批协会标准制修订计划的通知》（中色协科字[2021]88号）精神</w:t>
      </w:r>
      <w:r>
        <w:rPr>
          <w:rFonts w:hint="default" w:ascii="Times New Roman" w:hAnsi="Times New Roman" w:cs="Times New Roman"/>
          <w:color w:val="000000"/>
          <w:sz w:val="24"/>
          <w:szCs w:val="24"/>
          <w:lang w:val="en-US" w:eastAsia="zh-CN"/>
        </w:rPr>
        <w:t>，由</w:t>
      </w:r>
      <w:r>
        <w:rPr>
          <w:rFonts w:hint="eastAsia" w:ascii="Times New Roman" w:hAnsi="Times New Roman" w:cs="Times New Roman"/>
          <w:color w:val="000000"/>
          <w:sz w:val="24"/>
          <w:szCs w:val="24"/>
          <w:lang w:val="en-US" w:eastAsia="zh-CN"/>
        </w:rPr>
        <w:t>金驰能源材料有限公司</w:t>
      </w:r>
      <w:r>
        <w:rPr>
          <w:rFonts w:hint="default" w:ascii="Times New Roman" w:hAnsi="Times New Roman" w:cs="Times New Roman"/>
          <w:color w:val="000000"/>
          <w:sz w:val="24"/>
          <w:szCs w:val="24"/>
          <w:lang w:val="en-US" w:eastAsia="zh-CN"/>
        </w:rPr>
        <w:t>负责起草</w:t>
      </w:r>
      <w:r>
        <w:rPr>
          <w:rFonts w:hint="eastAsia" w:ascii="Times New Roman" w:hAnsi="Times New Roman" w:cs="Times New Roman"/>
          <w:color w:val="000000"/>
          <w:sz w:val="24"/>
          <w:szCs w:val="24"/>
          <w:lang w:val="en-US" w:eastAsia="zh-CN"/>
        </w:rPr>
        <w:t>有色金属协会标准</w:t>
      </w:r>
      <w:r>
        <w:rPr>
          <w:rFonts w:hint="default" w:ascii="Times New Roman" w:hAnsi="Times New Roman" w:cs="Times New Roman"/>
          <w:color w:val="000000"/>
          <w:sz w:val="24"/>
          <w:szCs w:val="24"/>
          <w:lang w:val="en-US" w:eastAsia="zh-CN"/>
        </w:rPr>
        <w:t>《</w:t>
      </w:r>
      <w:r>
        <w:rPr>
          <w:rFonts w:hint="eastAsia" w:ascii="Times New Roman" w:hAnsi="Times New Roman" w:cs="Times New Roman"/>
          <w:color w:val="000000"/>
          <w:sz w:val="24"/>
          <w:szCs w:val="24"/>
        </w:rPr>
        <w:t xml:space="preserve">绿色设计产品评价技术规范 </w:t>
      </w:r>
      <w:r>
        <w:rPr>
          <w:rFonts w:hint="eastAsia" w:ascii="Times New Roman" w:hAnsi="Times New Roman" w:cs="Times New Roman"/>
          <w:color w:val="000000"/>
          <w:sz w:val="24"/>
          <w:szCs w:val="24"/>
          <w:lang w:val="en-US" w:eastAsia="zh-CN"/>
        </w:rPr>
        <w:t>球形氢氧化镍</w:t>
      </w:r>
      <w:r>
        <w:rPr>
          <w:rFonts w:hint="default" w:ascii="Times New Roman" w:hAnsi="Times New Roman" w:cs="Times New Roman"/>
          <w:color w:val="000000"/>
          <w:sz w:val="24"/>
          <w:szCs w:val="24"/>
          <w:lang w:val="en-US" w:eastAsia="zh-CN"/>
        </w:rPr>
        <w:t>》，</w:t>
      </w:r>
      <w:r>
        <w:rPr>
          <w:rFonts w:hint="default" w:ascii="Times New Roman" w:hAnsi="Times New Roman" w:cs="Times New Roman"/>
          <w:color w:val="000000"/>
          <w:sz w:val="24"/>
          <w:szCs w:val="24"/>
        </w:rPr>
        <w:t>项</w:t>
      </w:r>
      <w:r>
        <w:rPr>
          <w:rFonts w:hint="default" w:ascii="Times New Roman" w:hAnsi="Times New Roman" w:eastAsia="宋体" w:cs="Times New Roman"/>
          <w:sz w:val="24"/>
          <w:szCs w:val="24"/>
        </w:rPr>
        <w:t>目计划</w:t>
      </w:r>
      <w:r>
        <w:rPr>
          <w:rFonts w:hint="default" w:ascii="Times New Roman" w:hAnsi="Times New Roman" w:eastAsia="宋体" w:cs="Times New Roman"/>
          <w:sz w:val="24"/>
          <w:szCs w:val="24"/>
          <w:lang w:val="en-US" w:eastAsia="zh-CN"/>
        </w:rPr>
        <w:t>编</w:t>
      </w:r>
      <w:r>
        <w:rPr>
          <w:rFonts w:hint="eastAsia" w:ascii="Times New Roman" w:hAnsi="Times New Roman" w:eastAsia="宋体" w:cs="Times New Roman"/>
          <w:sz w:val="24"/>
          <w:szCs w:val="24"/>
          <w:lang w:val="en-US" w:eastAsia="zh-CN"/>
        </w:rPr>
        <w:t>号</w:t>
      </w:r>
      <w:r>
        <w:rPr>
          <w:rFonts w:hint="eastAsia" w:ascii="Times New Roman" w:hAnsi="Times New Roman" w:cs="Times New Roman"/>
          <w:color w:val="000000"/>
          <w:sz w:val="24"/>
          <w:szCs w:val="24"/>
          <w:lang w:val="en-US" w:eastAsia="zh-CN"/>
        </w:rPr>
        <w:t>2021-019-T/CNIA</w:t>
      </w:r>
      <w:r>
        <w:rPr>
          <w:rFonts w:hint="default" w:ascii="Times New Roman" w:hAnsi="Times New Roman" w:cs="Times New Roman"/>
          <w:color w:val="000000"/>
          <w:sz w:val="24"/>
          <w:szCs w:val="24"/>
          <w:lang w:eastAsia="zh-CN"/>
        </w:rPr>
        <w:t>，</w:t>
      </w:r>
      <w:r>
        <w:rPr>
          <w:rFonts w:hint="default" w:ascii="Times New Roman" w:hAnsi="Times New Roman" w:eastAsia="宋体" w:cs="Times New Roman"/>
          <w:sz w:val="24"/>
          <w:szCs w:val="24"/>
        </w:rPr>
        <w:t>计划完成年限</w:t>
      </w:r>
      <w:r>
        <w:rPr>
          <w:rFonts w:hint="eastAsia" w:ascii="Times New Roman" w:hAnsi="Times New Roman" w:eastAsia="宋体" w:cs="Times New Roman"/>
          <w:sz w:val="24"/>
          <w:szCs w:val="24"/>
          <w:lang w:val="en-US" w:eastAsia="zh-CN"/>
        </w:rPr>
        <w:t>为</w:t>
      </w:r>
      <w:r>
        <w:rPr>
          <w:rFonts w:hint="default" w:ascii="Times New Roman" w:hAnsi="Times New Roman" w:eastAsia="宋体" w:cs="Times New Roman"/>
          <w:sz w:val="24"/>
          <w:szCs w:val="24"/>
        </w:rPr>
        <w:t>202</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年。</w:t>
      </w:r>
    </w:p>
    <w:p>
      <w:pP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1.</w:t>
      </w:r>
      <w:r>
        <w:rPr>
          <w:rFonts w:hint="eastAsia" w:ascii="Times New Roman" w:hAnsi="Times New Roman" w:eastAsia="黑体" w:cs="Times New Roman"/>
          <w:b w:val="0"/>
          <w:bCs/>
          <w:sz w:val="24"/>
          <w:szCs w:val="24"/>
          <w:lang w:val="en-US" w:eastAsia="zh-CN"/>
        </w:rPr>
        <w:t xml:space="preserve">2 </w:t>
      </w:r>
      <w:r>
        <w:rPr>
          <w:rFonts w:hint="default" w:ascii="Times New Roman" w:hAnsi="Times New Roman" w:eastAsia="黑体" w:cs="Times New Roman"/>
          <w:b w:val="0"/>
          <w:bCs/>
          <w:sz w:val="24"/>
          <w:szCs w:val="24"/>
        </w:rPr>
        <w:t xml:space="preserve"> 标准编写的目的和意义</w:t>
      </w:r>
    </w:p>
    <w:p>
      <w:pPr>
        <w:keepNext w:val="0"/>
        <w:keepLines w:val="0"/>
        <w:pageBreakBefore w:val="0"/>
        <w:widowControl/>
        <w:tabs>
          <w:tab w:val="center" w:pos="4201"/>
          <w:tab w:val="left" w:pos="5819"/>
        </w:tabs>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为深入贯彻实施生态文明建设理念下，全面推行绿色设计、提升产品节能环保低碳水平，推进绿色设计产品评价工作，加快建立完善绿色制造标准体系，引导绿色生产和绿色消费，是实现可持续发展的必由之路。《生态文明体制改革总体方案》中提出，要“建立统一的绿色产品体系。将目前分头设立的环保、节能、节水、循环、低碳、再生、有机等产品统一整合为绿色产品，建立统一的绿色产品标准、认证、标识等体系”。《关于建立统一的绿色产品标准、认证、标识体系的意见》，明确指出“按照统一目录、统一标准、统一评价、统一标识的方针，将现有环保、节能、节水、循环、低碳、再生、有机等产品整合为绿色产品”。</w:t>
      </w:r>
      <w:r>
        <w:rPr>
          <w:rFonts w:hint="eastAsia" w:ascii="宋体" w:hAnsi="宋体" w:eastAsia="宋体" w:cs="宋体"/>
          <w:b w:val="0"/>
          <w:bCs w:val="0"/>
          <w:kern w:val="0"/>
          <w:sz w:val="24"/>
          <w:szCs w:val="24"/>
          <w:lang w:val="en-US" w:eastAsia="zh-CN" w:bidi="ar-SA"/>
        </w:rPr>
        <w:t>球形氢氧化镍为淡绿色粉末状，无毒无害，具有储存电能及缓慢释放电能的特性，属于新型的绿色能源材料，被用作镍氢电池的正极材料，其产品好坏直接制约着镍氢电池性能的发挥，制备而成的镍氢电池凭借其高比能量、体积小、质量轻、能量密度高、安全性能好、无污染、价格适宜等优点，被广泛应用于汽车混合动力能源、手机、相机、笔记本电脑和军工等领域，已在国内外进行研发、生产及销售，市场发展前景广阔。</w:t>
      </w:r>
      <w:r>
        <w:rPr>
          <w:rFonts w:hint="eastAsia" w:ascii="宋体" w:hAnsi="宋体" w:eastAsia="宋体" w:cs="宋体"/>
          <w:kern w:val="0"/>
          <w:sz w:val="24"/>
          <w:szCs w:val="24"/>
          <w:lang w:val="en-US" w:eastAsia="zh-CN" w:bidi="ar-SA"/>
        </w:rPr>
        <w:t>在球形氢氧化镍产品生产过程中基于全生命周期理念，在资源获取、生产、销售、使用、处置等产品生命周期各阶段中，兼顾资源能源消耗少、污染物排放低、低毒少害、易回收处理和再利用、健康安全和质量品质高等特征，促进镍氢电池材料行业的发展，推进生态文件体系建设。</w:t>
      </w:r>
    </w:p>
    <w:p>
      <w:pPr>
        <w:pStyle w:val="4"/>
        <w:keepNext/>
        <w:keepLines w:val="0"/>
        <w:pageBreakBefore w:val="0"/>
        <w:widowControl/>
        <w:kinsoku/>
        <w:wordWrap/>
        <w:overflowPunct/>
        <w:topLinePunct w:val="0"/>
        <w:autoSpaceDE/>
        <w:autoSpaceDN/>
        <w:bidi w:val="0"/>
        <w:adjustRightInd/>
        <w:snapToGrid/>
        <w:spacing w:before="0" w:after="0"/>
        <w:ind w:firstLine="0" w:firstLineChars="0"/>
        <w:jc w:val="left"/>
        <w:textAlignment w:val="auto"/>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1.</w:t>
      </w:r>
      <w:r>
        <w:rPr>
          <w:rFonts w:hint="eastAsia" w:ascii="Times New Roman" w:hAnsi="Times New Roman" w:eastAsia="黑体" w:cs="Times New Roman"/>
          <w:b w:val="0"/>
          <w:bCs/>
          <w:sz w:val="24"/>
          <w:szCs w:val="24"/>
          <w:lang w:val="en-US" w:eastAsia="zh-CN"/>
        </w:rPr>
        <w:t>3</w:t>
      </w:r>
      <w:r>
        <w:rPr>
          <w:rFonts w:hint="eastAsia" w:ascii="黑体" w:hAnsi="黑体" w:eastAsia="黑体" w:cs="黑体"/>
          <w:b w:val="0"/>
          <w:bCs w:val="0"/>
          <w:iCs/>
          <w:sz w:val="24"/>
          <w:szCs w:val="24"/>
        </w:rPr>
        <w:t>主要</w:t>
      </w:r>
      <w:r>
        <w:rPr>
          <w:rFonts w:hint="default" w:ascii="黑体" w:hAnsi="黑体" w:eastAsia="黑体" w:cs="黑体"/>
          <w:b w:val="0"/>
          <w:bCs w:val="0"/>
          <w:iCs/>
          <w:sz w:val="24"/>
          <w:szCs w:val="24"/>
        </w:rPr>
        <w:t>参</w:t>
      </w:r>
      <w:r>
        <w:rPr>
          <w:rFonts w:hint="eastAsia" w:ascii="黑体" w:hAnsi="黑体" w:eastAsia="黑体" w:cs="黑体"/>
          <w:b w:val="0"/>
          <w:bCs w:val="0"/>
          <w:iCs/>
          <w:sz w:val="24"/>
          <w:szCs w:val="24"/>
        </w:rPr>
        <w:t>加</w:t>
      </w:r>
      <w:r>
        <w:rPr>
          <w:rFonts w:hint="default" w:ascii="黑体" w:hAnsi="黑体" w:eastAsia="黑体" w:cs="黑体"/>
          <w:b w:val="0"/>
          <w:bCs w:val="0"/>
          <w:iCs/>
          <w:sz w:val="24"/>
          <w:szCs w:val="24"/>
        </w:rPr>
        <w:t>单位和工作成员及其所</w:t>
      </w:r>
      <w:r>
        <w:rPr>
          <w:rFonts w:hint="eastAsia" w:ascii="黑体" w:hAnsi="黑体" w:eastAsia="黑体" w:cs="黑体"/>
          <w:b w:val="0"/>
          <w:bCs w:val="0"/>
          <w:iCs/>
          <w:sz w:val="24"/>
          <w:szCs w:val="24"/>
        </w:rPr>
        <w:t>做</w:t>
      </w:r>
      <w:r>
        <w:rPr>
          <w:rFonts w:hint="default" w:ascii="黑体" w:hAnsi="黑体" w:eastAsia="黑体" w:cs="黑体"/>
          <w:b w:val="0"/>
          <w:bCs w:val="0"/>
          <w:iCs/>
          <w:sz w:val="24"/>
          <w:szCs w:val="24"/>
        </w:rPr>
        <w:t>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rPr>
        <w:t>1.</w:t>
      </w:r>
      <w:r>
        <w:rPr>
          <w:rFonts w:hint="eastAsia" w:ascii="Times New Roman" w:hAnsi="Times New Roman" w:eastAsia="黑体" w:cs="Times New Roman"/>
          <w:b w:val="0"/>
          <w:bCs/>
          <w:sz w:val="24"/>
          <w:szCs w:val="24"/>
          <w:lang w:val="en-US" w:eastAsia="zh-CN"/>
        </w:rPr>
        <w:t>3</w:t>
      </w:r>
      <w:r>
        <w:rPr>
          <w:rFonts w:hint="default" w:ascii="Times New Roman" w:hAnsi="Times New Roman" w:eastAsia="黑体" w:cs="Times New Roman"/>
          <w:b w:val="0"/>
          <w:bCs/>
          <w:sz w:val="24"/>
          <w:szCs w:val="24"/>
        </w:rPr>
        <w:t>.1承担单位</w:t>
      </w:r>
      <w:r>
        <w:rPr>
          <w:rFonts w:hint="eastAsia" w:ascii="Times New Roman" w:hAnsi="Times New Roman" w:eastAsia="黑体" w:cs="Times New Roman"/>
          <w:b w:val="0"/>
          <w:bCs/>
          <w:sz w:val="24"/>
          <w:szCs w:val="24"/>
          <w:lang w:val="en-US" w:eastAsia="zh-CN"/>
        </w:rPr>
        <w:t>简介</w:t>
      </w:r>
    </w:p>
    <w:p>
      <w:pPr>
        <w:spacing w:line="360" w:lineRule="auto"/>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金驰能源材料有限公司（以下简称“公司”）成立于2013年，注册资本17.98亿元，为世界500强企业中国五矿集团有限公司（以下简称“五矿集团”）直管企业湖南长远锂科股份有限公司全资子公司，中央企业电动汽车联盟成员企业。为五矿集团“四梁八柱”业务体系之新能源材料产业支柱，千亿新能源材料产业发展平台。</w:t>
      </w:r>
    </w:p>
    <w:p>
      <w:pPr>
        <w:spacing w:line="360" w:lineRule="auto"/>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公司主要从事高效电池材料的研究与生产，拥有锂电多元材料前驱体和多元锂电正极材料完整产品体系</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主要产品包括镍氢电池用球形（覆钴）氢氧化镍、镍钴铝前驱体、镍钴锰前驱体、常规镍钴锰系列锂离子电池正极材料、高镍系列锂离子电池正极材料等。经过多年技术积累，拥有独有优势技术和自主知识产权，技术水平和市场规模国内领先。公司拥有海外研究经历的专家，享国务院津贴专家，长沙市领军人才等；拥有省级企业技术中心，动力电池正极材料制备湖南省工程实验室、先进锂电材料技术创新中心、车用动力多元材料技术创新中心等创新平台</w:t>
      </w:r>
      <w:r>
        <w:rPr>
          <w:rFonts w:hint="eastAsia" w:ascii="Times New Roman" w:hAnsi="Times New Roman" w:cs="Times New Roman"/>
          <w:sz w:val="24"/>
          <w:lang w:val="en-US" w:eastAsia="zh-CN"/>
        </w:rPr>
        <w:t>。</w:t>
      </w:r>
    </w:p>
    <w:p>
      <w:pPr>
        <w:spacing w:line="360" w:lineRule="auto"/>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公司坚持不断创新、攻坚克难，取得多项重要的科研成果，</w:t>
      </w:r>
      <w:r>
        <w:rPr>
          <w:rFonts w:hint="eastAsia" w:ascii="Times New Roman" w:hAnsi="Times New Roman" w:cs="Times New Roman"/>
          <w:sz w:val="24"/>
          <w:lang w:val="en-US" w:eastAsia="zh-CN"/>
        </w:rPr>
        <w:t>成功</w:t>
      </w:r>
      <w:r>
        <w:rPr>
          <w:rFonts w:hint="default" w:ascii="Times New Roman" w:hAnsi="Times New Roman" w:cs="Times New Roman"/>
          <w:sz w:val="24"/>
          <w:lang w:val="en-US" w:eastAsia="zh-CN"/>
        </w:rPr>
        <w:t>实现多款新材料的产业化，促进公司锂电正极材料产品升级，多款新产品市场占有率名列前茅。</w:t>
      </w:r>
      <w:r>
        <w:rPr>
          <w:rFonts w:hint="eastAsia" w:ascii="Times New Roman" w:hAnsi="Times New Roman" w:cs="Times New Roman"/>
          <w:sz w:val="24"/>
          <w:lang w:val="en-US" w:eastAsia="zh-CN"/>
        </w:rPr>
        <w:t>公司</w:t>
      </w:r>
      <w:r>
        <w:rPr>
          <w:rFonts w:hint="default" w:ascii="Times New Roman" w:hAnsi="Times New Roman" w:cs="Times New Roman"/>
          <w:sz w:val="24"/>
          <w:lang w:val="en-US" w:eastAsia="zh-CN"/>
        </w:rPr>
        <w:t>在品牌建设（行业信誉、 高端客户开发等）、 产能规模、安全环保管控等方面都处于行业领先地位</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已取得ISO9001质量管理体系认证、ISO14001环境管理体系认证、ISO45001职业健康安全管理体系认证、IATF16949汽车行业质量管理体系认证</w:t>
      </w:r>
      <w:r>
        <w:rPr>
          <w:rFonts w:hint="eastAsia" w:ascii="Times New Roman" w:hAnsi="Times New Roman" w:cs="Times New Roman"/>
          <w:sz w:val="24"/>
          <w:lang w:val="en-US" w:eastAsia="zh-CN"/>
        </w:rPr>
        <w:t>以及</w:t>
      </w:r>
      <w:r>
        <w:rPr>
          <w:rFonts w:hint="default" w:ascii="Times New Roman" w:hAnsi="Times New Roman" w:cs="Times New Roman"/>
          <w:sz w:val="24"/>
          <w:lang w:val="en-US" w:eastAsia="zh-CN"/>
        </w:rPr>
        <w:t>知识产权管理体系认证。</w:t>
      </w:r>
    </w:p>
    <w:p>
      <w:pPr>
        <w:pStyle w:val="4"/>
        <w:keepNext/>
        <w:keepLines w:val="0"/>
        <w:pageBreakBefore w:val="0"/>
        <w:widowControl/>
        <w:kinsoku/>
        <w:wordWrap/>
        <w:overflowPunct/>
        <w:topLinePunct w:val="0"/>
        <w:autoSpaceDE/>
        <w:autoSpaceDN/>
        <w:bidi w:val="0"/>
        <w:adjustRightInd/>
        <w:snapToGrid/>
        <w:spacing w:before="0" w:after="0"/>
        <w:ind w:firstLine="0" w:firstLineChars="0"/>
        <w:jc w:val="left"/>
        <w:textAlignment w:val="auto"/>
        <w:rPr>
          <w:rFonts w:hint="default" w:ascii="黑体" w:hAnsi="黑体" w:eastAsia="黑体" w:cs="黑体"/>
          <w:b w:val="0"/>
          <w:bCs w:val="0"/>
          <w:iCs/>
          <w:sz w:val="24"/>
          <w:szCs w:val="24"/>
        </w:rPr>
      </w:pPr>
      <w:r>
        <w:rPr>
          <w:rFonts w:hint="eastAsia" w:ascii="黑体" w:hAnsi="黑体" w:eastAsia="黑体" w:cs="黑体"/>
          <w:b w:val="0"/>
          <w:bCs w:val="0"/>
          <w:iCs/>
          <w:sz w:val="24"/>
          <w:szCs w:val="24"/>
          <w:lang w:val="en-US" w:eastAsia="zh-CN"/>
        </w:rPr>
        <w:t>1.3.2</w:t>
      </w:r>
      <w:r>
        <w:rPr>
          <w:rFonts w:hint="default" w:ascii="黑体" w:hAnsi="黑体" w:eastAsia="黑体" w:cs="黑体"/>
          <w:b w:val="0"/>
          <w:bCs w:val="0"/>
          <w:iCs/>
          <w:sz w:val="24"/>
          <w:szCs w:val="24"/>
        </w:rPr>
        <w:t>主要参加单位</w:t>
      </w:r>
      <w:r>
        <w:rPr>
          <w:rFonts w:hint="eastAsia" w:ascii="黑体" w:hAnsi="黑体" w:eastAsia="黑体" w:cs="黑体"/>
          <w:b w:val="0"/>
          <w:bCs w:val="0"/>
          <w:iCs/>
          <w:sz w:val="24"/>
          <w:szCs w:val="24"/>
        </w:rPr>
        <w:t>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8"/>
          <w:szCs w:val="28"/>
          <w:lang w:val="en-US" w:eastAsia="zh-CN"/>
        </w:rPr>
      </w:pPr>
      <w:r>
        <w:rPr>
          <w:rFonts w:hint="default" w:ascii="Times New Roman" w:hAnsi="Times New Roman" w:cs="Times New Roman"/>
          <w:sz w:val="24"/>
          <w:lang w:val="en-US" w:eastAsia="zh-CN"/>
        </w:rPr>
        <w:t>在标准的编制过程</w:t>
      </w:r>
      <w:r>
        <w:rPr>
          <w:rFonts w:hint="eastAsia" w:ascii="Times New Roman" w:hAnsi="Times New Roman" w:cs="Times New Roman"/>
          <w:sz w:val="24"/>
          <w:lang w:val="en-US" w:eastAsia="zh-CN"/>
        </w:rPr>
        <w:t>中</w:t>
      </w:r>
      <w:r>
        <w:rPr>
          <w:rFonts w:hint="default" w:ascii="Times New Roman" w:hAnsi="Times New Roman" w:cs="Times New Roman"/>
          <w:sz w:val="24"/>
          <w:lang w:val="en-US" w:eastAsia="zh-CN"/>
        </w:rPr>
        <w:t>，</w:t>
      </w:r>
      <w:r>
        <w:rPr>
          <w:rFonts w:hint="eastAsia" w:ascii="Times New Roman" w:hAnsi="Times New Roman" w:cs="Times New Roman"/>
          <w:sz w:val="24"/>
          <w:lang w:val="en-US" w:eastAsia="zh-CN"/>
        </w:rPr>
        <w:t>浙江华友钴业股份有限公司、厦门厦钨新能源材料股份有限公司、湖南长远锂科股份有限公司、金川集团股份有限公司、南通金通储能动力新材料有限公司等球形氢氧化镍生产企业</w:t>
      </w:r>
      <w:r>
        <w:rPr>
          <w:rFonts w:hint="default" w:ascii="Times New Roman" w:hAnsi="Times New Roman" w:cs="Times New Roman"/>
          <w:sz w:val="24"/>
          <w:lang w:val="en-US" w:eastAsia="zh-CN"/>
        </w:rPr>
        <w:t>，积极参与</w:t>
      </w:r>
      <w:r>
        <w:rPr>
          <w:rFonts w:hint="eastAsia" w:ascii="Times New Roman" w:hAnsi="Times New Roman" w:cs="Times New Roman"/>
          <w:sz w:val="24"/>
          <w:lang w:val="en-US" w:eastAsia="zh-CN"/>
        </w:rPr>
        <w:t>本</w:t>
      </w:r>
      <w:r>
        <w:rPr>
          <w:rFonts w:hint="default" w:ascii="Times New Roman" w:hAnsi="Times New Roman" w:cs="Times New Roman"/>
          <w:sz w:val="24"/>
          <w:lang w:val="en-US" w:eastAsia="zh-CN"/>
        </w:rPr>
        <w:t>标准的调研工作，</w:t>
      </w:r>
      <w:r>
        <w:rPr>
          <w:rFonts w:hint="eastAsia" w:ascii="Times New Roman" w:hAnsi="Times New Roman" w:cs="Times New Roman"/>
          <w:sz w:val="24"/>
          <w:lang w:val="en-US" w:eastAsia="zh-CN"/>
        </w:rPr>
        <w:t>结合企业实际生产情况提供相关数据，并对</w:t>
      </w:r>
      <w:r>
        <w:rPr>
          <w:rFonts w:hint="default" w:ascii="Times New Roman" w:hAnsi="Times New Roman" w:cs="Times New Roman"/>
          <w:sz w:val="24"/>
          <w:lang w:val="en-US" w:eastAsia="zh-CN"/>
        </w:rPr>
        <w:t>标准的征求意见稿</w:t>
      </w:r>
      <w:r>
        <w:rPr>
          <w:rFonts w:hint="eastAsia" w:ascii="Times New Roman" w:hAnsi="Times New Roman" w:cs="Times New Roman"/>
          <w:sz w:val="24"/>
          <w:lang w:val="en-US" w:eastAsia="zh-CN"/>
        </w:rPr>
        <w:t>提出了</w:t>
      </w:r>
      <w:r>
        <w:rPr>
          <w:rFonts w:hint="default" w:ascii="Times New Roman" w:hAnsi="Times New Roman" w:cs="Times New Roman"/>
          <w:sz w:val="24"/>
          <w:lang w:val="en-US" w:eastAsia="zh-CN"/>
        </w:rPr>
        <w:t>修改意见</w:t>
      </w:r>
      <w:r>
        <w:rPr>
          <w:rFonts w:hint="eastAsia" w:ascii="Times New Roman" w:hAnsi="Times New Roman" w:cs="Times New Roman"/>
          <w:sz w:val="24"/>
          <w:lang w:val="en-US" w:eastAsia="zh-CN"/>
        </w:rPr>
        <w:t>，为本标准的编制工作提供有力支撑。</w:t>
      </w:r>
    </w:p>
    <w:p>
      <w:pPr>
        <w:pStyle w:val="4"/>
        <w:keepNext/>
        <w:keepLines w:val="0"/>
        <w:pageBreakBefore w:val="0"/>
        <w:widowControl/>
        <w:kinsoku/>
        <w:wordWrap/>
        <w:overflowPunct/>
        <w:topLinePunct w:val="0"/>
        <w:autoSpaceDE/>
        <w:autoSpaceDN/>
        <w:bidi w:val="0"/>
        <w:adjustRightInd/>
        <w:snapToGrid/>
        <w:spacing w:before="0" w:after="0"/>
        <w:ind w:firstLine="0" w:firstLineChars="0"/>
        <w:jc w:val="left"/>
        <w:textAlignment w:val="auto"/>
        <w:rPr>
          <w:rFonts w:hint="default" w:ascii="黑体" w:hAnsi="黑体" w:eastAsia="黑体" w:cs="黑体"/>
          <w:b w:val="0"/>
          <w:bCs w:val="0"/>
          <w:iCs/>
          <w:sz w:val="24"/>
          <w:szCs w:val="24"/>
        </w:rPr>
      </w:pPr>
      <w:r>
        <w:rPr>
          <w:rFonts w:hint="eastAsia" w:ascii="黑体" w:hAnsi="黑体" w:eastAsia="黑体" w:cs="黑体"/>
          <w:b w:val="0"/>
          <w:bCs w:val="0"/>
          <w:iCs/>
          <w:sz w:val="24"/>
          <w:szCs w:val="24"/>
          <w:lang w:val="en-US" w:eastAsia="zh-CN"/>
        </w:rPr>
        <w:t xml:space="preserve">1.3.3 </w:t>
      </w:r>
      <w:r>
        <w:rPr>
          <w:rFonts w:hint="default" w:ascii="黑体" w:hAnsi="黑体" w:eastAsia="黑体" w:cs="黑体"/>
          <w:b w:val="0"/>
          <w:bCs w:val="0"/>
          <w:iCs/>
          <w:sz w:val="24"/>
          <w:szCs w:val="24"/>
        </w:rPr>
        <w:t>主要工作成员所</w:t>
      </w:r>
      <w:r>
        <w:rPr>
          <w:rFonts w:hint="eastAsia" w:ascii="黑体" w:hAnsi="黑体" w:eastAsia="黑体" w:cs="黑体"/>
          <w:b w:val="0"/>
          <w:bCs w:val="0"/>
          <w:iCs/>
          <w:sz w:val="24"/>
          <w:szCs w:val="24"/>
        </w:rPr>
        <w:t>负责</w:t>
      </w:r>
      <w:r>
        <w:rPr>
          <w:rFonts w:hint="default" w:ascii="黑体" w:hAnsi="黑体" w:eastAsia="黑体" w:cs="黑体"/>
          <w:b w:val="0"/>
          <w:bCs w:val="0"/>
          <w:iCs/>
          <w:sz w:val="24"/>
          <w:szCs w:val="24"/>
        </w:rPr>
        <w:t>的工作情况</w:t>
      </w:r>
    </w:p>
    <w:p>
      <w:pPr>
        <w:spacing w:line="360" w:lineRule="auto"/>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本标准主要起草人及工作职责见表1。</w:t>
      </w:r>
    </w:p>
    <w:p>
      <w:pPr>
        <w:spacing w:line="360" w:lineRule="auto"/>
        <w:ind w:firstLine="480" w:firstLineChars="200"/>
        <w:jc w:val="center"/>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表1 主要</w:t>
      </w:r>
      <w:r>
        <w:rPr>
          <w:rFonts w:hint="default" w:ascii="Times New Roman" w:hAnsi="Times New Roman" w:cs="Times New Roman"/>
          <w:sz w:val="24"/>
          <w:lang w:val="en-US" w:eastAsia="zh-CN"/>
        </w:rPr>
        <w:t>起草人及工作职责</w:t>
      </w:r>
    </w:p>
    <w:tbl>
      <w:tblPr>
        <w:tblStyle w:val="7"/>
        <w:tblW w:w="7507" w:type="dxa"/>
        <w:tblInd w:w="10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87"/>
        <w:gridCol w:w="4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87" w:type="dxa"/>
            <w:noWrap w:val="0"/>
            <w:vAlign w:val="center"/>
          </w:tcPr>
          <w:p>
            <w:pPr>
              <w:spacing w:line="360" w:lineRule="auto"/>
              <w:ind w:firstLine="420" w:firstLineChars="20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起草</w:t>
            </w:r>
            <w:r>
              <w:rPr>
                <w:rFonts w:hint="default" w:ascii="Times New Roman" w:hAnsi="Times New Roman" w:cs="Times New Roman"/>
                <w:sz w:val="21"/>
                <w:szCs w:val="21"/>
                <w:lang w:val="en-US" w:eastAsia="zh-CN"/>
              </w:rPr>
              <w:t>人</w:t>
            </w:r>
          </w:p>
        </w:tc>
        <w:tc>
          <w:tcPr>
            <w:tcW w:w="4620" w:type="dxa"/>
            <w:noWrap w:val="0"/>
            <w:vAlign w:val="center"/>
          </w:tcPr>
          <w:p>
            <w:pPr>
              <w:spacing w:line="360" w:lineRule="auto"/>
              <w:ind w:firstLine="420" w:firstLineChars="20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工作</w:t>
            </w:r>
            <w:r>
              <w:rPr>
                <w:rFonts w:hint="default" w:ascii="Times New Roman" w:hAnsi="Times New Roman" w:cs="Times New Roman"/>
                <w:sz w:val="21"/>
                <w:szCs w:val="21"/>
                <w:lang w:val="en-US" w:eastAsia="zh-CN"/>
              </w:rPr>
              <w:t>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87" w:type="dxa"/>
            <w:noWrap w:val="0"/>
            <w:vAlign w:val="center"/>
          </w:tcPr>
          <w:p>
            <w:pPr>
              <w:spacing w:line="360" w:lineRule="auto"/>
              <w:ind w:firstLine="420" w:firstLineChars="20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周耀、周春仙</w:t>
            </w:r>
          </w:p>
        </w:tc>
        <w:tc>
          <w:tcPr>
            <w:tcW w:w="4620" w:type="dxa"/>
            <w:noWrap w:val="0"/>
            <w:vAlign w:val="center"/>
          </w:tcPr>
          <w:p>
            <w:pPr>
              <w:spacing w:line="360" w:lineRule="auto"/>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负责本</w:t>
            </w:r>
            <w:r>
              <w:rPr>
                <w:rFonts w:hint="default" w:ascii="Times New Roman" w:hAnsi="Times New Roman" w:cs="Times New Roman"/>
                <w:sz w:val="21"/>
                <w:szCs w:val="21"/>
                <w:lang w:val="en-US" w:eastAsia="zh-CN"/>
              </w:rPr>
              <w:t>标准</w:t>
            </w:r>
            <w:r>
              <w:rPr>
                <w:rFonts w:hint="eastAsia" w:ascii="Times New Roman" w:hAnsi="Times New Roman" w:cs="Times New Roman"/>
                <w:sz w:val="21"/>
                <w:szCs w:val="21"/>
                <w:lang w:val="en-US" w:eastAsia="zh-CN"/>
              </w:rPr>
              <w:t>的指导及</w:t>
            </w:r>
            <w:r>
              <w:rPr>
                <w:rFonts w:hint="default" w:ascii="Times New Roman" w:hAnsi="Times New Roman" w:cs="Times New Roman"/>
                <w:sz w:val="21"/>
                <w:szCs w:val="21"/>
                <w:lang w:val="en-US" w:eastAsia="zh-CN"/>
              </w:rPr>
              <w:t>组织协调</w:t>
            </w:r>
            <w:r>
              <w:rPr>
                <w:rFonts w:hint="eastAsia" w:ascii="Times New Roman" w:hAnsi="Times New Roman" w:cs="Times New Roman"/>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87" w:type="dxa"/>
            <w:noWrap w:val="0"/>
            <w:vAlign w:val="center"/>
          </w:tcPr>
          <w:p>
            <w:pPr>
              <w:spacing w:line="360" w:lineRule="auto"/>
              <w:ind w:firstLine="420" w:firstLineChars="20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刘玮</w:t>
            </w:r>
          </w:p>
        </w:tc>
        <w:tc>
          <w:tcPr>
            <w:tcW w:w="4620" w:type="dxa"/>
            <w:noWrap w:val="0"/>
            <w:vAlign w:val="center"/>
          </w:tcPr>
          <w:p>
            <w:pPr>
              <w:spacing w:line="360" w:lineRule="auto"/>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负责本</w:t>
            </w:r>
            <w:r>
              <w:rPr>
                <w:rFonts w:hint="default" w:ascii="Times New Roman" w:hAnsi="Times New Roman" w:cs="Times New Roman"/>
                <w:sz w:val="21"/>
                <w:szCs w:val="21"/>
                <w:lang w:val="en-US" w:eastAsia="zh-CN"/>
              </w:rPr>
              <w:t>标准的标准文本、编制说明的撰写</w:t>
            </w:r>
            <w:r>
              <w:rPr>
                <w:rFonts w:hint="eastAsia" w:ascii="Times New Roman" w:hAnsi="Times New Roman" w:cs="Times New Roman"/>
                <w:sz w:val="21"/>
                <w:szCs w:val="21"/>
                <w:lang w:val="en-US" w:eastAsia="zh-CN"/>
              </w:rPr>
              <w:t>，标准意见</w:t>
            </w:r>
            <w:r>
              <w:rPr>
                <w:rFonts w:hint="default" w:ascii="Times New Roman" w:hAnsi="Times New Roman" w:cs="Times New Roman"/>
                <w:sz w:val="21"/>
                <w:szCs w:val="21"/>
                <w:lang w:val="en-US" w:eastAsia="zh-CN"/>
              </w:rPr>
              <w:t>汇总处理</w:t>
            </w:r>
            <w:r>
              <w:rPr>
                <w:rFonts w:hint="eastAsia" w:ascii="Times New Roman" w:hAnsi="Times New Roman" w:cs="Times New Roman"/>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8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谢柏华、魏丽英、朱涛等</w:t>
            </w:r>
          </w:p>
        </w:tc>
        <w:tc>
          <w:tcPr>
            <w:tcW w:w="4620" w:type="dxa"/>
            <w:noWrap w:val="0"/>
            <w:vAlign w:val="center"/>
          </w:tcPr>
          <w:p>
            <w:pPr>
              <w:spacing w:line="360" w:lineRule="auto"/>
              <w:ind w:left="0" w:leftChars="0" w:firstLine="0" w:firstLineChars="0"/>
              <w:jc w:val="both"/>
              <w:rPr>
                <w:rFonts w:hint="eastAsia" w:ascii="Times New Roman" w:hAnsi="Times New Roman" w:eastAsia="宋体" w:cs="Times New Roman"/>
                <w:sz w:val="21"/>
                <w:szCs w:val="21"/>
                <w:lang w:val="en-US" w:eastAsia="zh-CN"/>
              </w:rPr>
            </w:pPr>
            <w:r>
              <w:rPr>
                <w:rFonts w:hint="eastAsia"/>
                <w:sz w:val="22"/>
              </w:rPr>
              <w:t>负责提供企业的现场调研及配合文件编写开展现场评价及数据提供</w:t>
            </w:r>
            <w:r>
              <w:rPr>
                <w:rFonts w:hint="eastAsia"/>
                <w:sz w:val="22"/>
                <w:lang w:eastAsia="zh-CN"/>
              </w:rPr>
              <w:t>。</w:t>
            </w:r>
          </w:p>
        </w:tc>
      </w:tr>
    </w:tbl>
    <w:p>
      <w:pPr>
        <w:pStyle w:val="2"/>
        <w:rPr>
          <w:rFonts w:hint="default"/>
          <w:lang w:val="en-US" w:eastAsia="zh-CN"/>
        </w:rPr>
      </w:pPr>
    </w:p>
    <w:p>
      <w:pPr>
        <w:pStyle w:val="4"/>
        <w:keepNext/>
        <w:keepLines w:val="0"/>
        <w:pageBreakBefore w:val="0"/>
        <w:widowControl/>
        <w:kinsoku/>
        <w:wordWrap/>
        <w:overflowPunct/>
        <w:topLinePunct w:val="0"/>
        <w:autoSpaceDE/>
        <w:autoSpaceDN/>
        <w:bidi w:val="0"/>
        <w:adjustRightInd/>
        <w:snapToGrid/>
        <w:spacing w:before="0" w:after="0"/>
        <w:ind w:firstLine="0" w:firstLineChars="0"/>
        <w:jc w:val="left"/>
        <w:textAlignment w:val="auto"/>
        <w:rPr>
          <w:rFonts w:hint="default" w:ascii="黑体" w:hAnsi="黑体" w:eastAsia="黑体" w:cs="黑体"/>
          <w:b w:val="0"/>
          <w:bCs w:val="0"/>
          <w:iCs/>
          <w:sz w:val="24"/>
          <w:szCs w:val="24"/>
          <w:lang w:val="en-US" w:eastAsia="zh-CN"/>
        </w:rPr>
      </w:pPr>
      <w:r>
        <w:rPr>
          <w:rFonts w:hint="default" w:ascii="黑体" w:hAnsi="黑体" w:eastAsia="黑体" w:cs="黑体"/>
          <w:b w:val="0"/>
          <w:bCs w:val="0"/>
          <w:iCs/>
          <w:sz w:val="24"/>
          <w:szCs w:val="24"/>
          <w:lang w:val="en-US" w:eastAsia="zh-CN"/>
        </w:rPr>
        <w:t>1.</w:t>
      </w:r>
      <w:r>
        <w:rPr>
          <w:rFonts w:hint="eastAsia" w:ascii="黑体" w:hAnsi="黑体" w:eastAsia="黑体" w:cs="黑体"/>
          <w:b w:val="0"/>
          <w:bCs w:val="0"/>
          <w:iCs/>
          <w:sz w:val="24"/>
          <w:szCs w:val="24"/>
          <w:lang w:val="en-US" w:eastAsia="zh-CN"/>
        </w:rPr>
        <w:t>4</w:t>
      </w:r>
      <w:r>
        <w:rPr>
          <w:rFonts w:hint="default" w:ascii="黑体" w:hAnsi="黑体" w:eastAsia="黑体" w:cs="黑体"/>
          <w:b w:val="0"/>
          <w:bCs w:val="0"/>
          <w:iCs/>
          <w:sz w:val="24"/>
          <w:szCs w:val="24"/>
          <w:lang w:val="en-US" w:eastAsia="zh-CN"/>
        </w:rPr>
        <w:t>主要工作过程</w:t>
      </w:r>
    </w:p>
    <w:p>
      <w:pPr>
        <w:pStyle w:val="4"/>
        <w:keepNext/>
        <w:keepLines w:val="0"/>
        <w:pageBreakBefore w:val="0"/>
        <w:widowControl/>
        <w:kinsoku/>
        <w:wordWrap/>
        <w:overflowPunct/>
        <w:topLinePunct w:val="0"/>
        <w:autoSpaceDE/>
        <w:autoSpaceDN/>
        <w:bidi w:val="0"/>
        <w:adjustRightInd/>
        <w:snapToGrid/>
        <w:spacing w:before="0" w:after="0"/>
        <w:ind w:firstLine="0" w:firstLineChars="0"/>
        <w:jc w:val="left"/>
        <w:textAlignment w:val="auto"/>
        <w:rPr>
          <w:rFonts w:hint="default" w:ascii="黑体" w:hAnsi="黑体" w:eastAsia="黑体" w:cs="黑体"/>
          <w:b w:val="0"/>
          <w:bCs w:val="0"/>
          <w:iCs/>
          <w:sz w:val="24"/>
          <w:szCs w:val="24"/>
          <w:lang w:val="en-US" w:eastAsia="zh-CN"/>
        </w:rPr>
      </w:pPr>
      <w:r>
        <w:rPr>
          <w:rFonts w:hint="eastAsia" w:ascii="黑体" w:hAnsi="黑体" w:eastAsia="黑体" w:cs="黑体"/>
          <w:b w:val="0"/>
          <w:bCs w:val="0"/>
          <w:iCs/>
          <w:sz w:val="24"/>
          <w:szCs w:val="24"/>
          <w:lang w:val="en-US" w:eastAsia="zh-CN"/>
        </w:rPr>
        <w:t>1.4.1 起草阶段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0"/>
        <w:rPr>
          <w:rFonts w:hint="eastAsia" w:ascii="Times New Roman" w:hAnsi="Times New Roman" w:cs="Times New Roman" w:eastAsiaTheme="minorEastAsia"/>
          <w:kern w:val="2"/>
          <w:sz w:val="24"/>
          <w:szCs w:val="22"/>
          <w:lang w:val="en-US" w:eastAsia="zh-CN" w:bidi="ar-SA"/>
        </w:rPr>
      </w:pPr>
      <w:r>
        <w:rPr>
          <w:rFonts w:hint="default" w:ascii="Times New Roman" w:hAnsi="Times New Roman" w:cs="Times New Roman" w:eastAsiaTheme="minorEastAsia"/>
          <w:kern w:val="2"/>
          <w:sz w:val="24"/>
          <w:szCs w:val="22"/>
          <w:lang w:val="en-US" w:eastAsia="zh-CN" w:bidi="ar-SA"/>
        </w:rPr>
        <w:t>根据任务落实会议精神，</w:t>
      </w:r>
      <w:r>
        <w:rPr>
          <w:rFonts w:hint="eastAsia" w:ascii="Times New Roman" w:hAnsi="Times New Roman" w:cs="Times New Roman"/>
          <w:kern w:val="2"/>
          <w:sz w:val="24"/>
          <w:szCs w:val="22"/>
          <w:lang w:val="en-US" w:eastAsia="zh-CN" w:bidi="ar-SA"/>
        </w:rPr>
        <w:t>金驰能源材料</w:t>
      </w:r>
      <w:r>
        <w:rPr>
          <w:rFonts w:hint="eastAsia" w:ascii="Times New Roman" w:hAnsi="Times New Roman" w:cs="Times New Roman" w:eastAsiaTheme="minorEastAsia"/>
          <w:kern w:val="2"/>
          <w:sz w:val="24"/>
          <w:szCs w:val="22"/>
          <w:lang w:val="en-US" w:eastAsia="zh-CN" w:bidi="ar-SA"/>
        </w:rPr>
        <w:t>有限公司</w:t>
      </w:r>
      <w:r>
        <w:rPr>
          <w:rFonts w:hint="default" w:ascii="Times New Roman" w:hAnsi="Times New Roman" w:cs="Times New Roman" w:eastAsiaTheme="minorEastAsia"/>
          <w:kern w:val="2"/>
          <w:sz w:val="24"/>
          <w:szCs w:val="22"/>
          <w:lang w:val="en-US" w:eastAsia="zh-CN" w:bidi="ar-SA"/>
        </w:rPr>
        <w:t>接到项目下达任务后，积极组织相关人员成立标准</w:t>
      </w:r>
      <w:r>
        <w:rPr>
          <w:rFonts w:ascii="Times New Roman" w:hAnsi="Times New Roman" w:eastAsia="宋体" w:cs="Times New Roman"/>
          <w:color w:val="000000"/>
          <w:sz w:val="24"/>
          <w:szCs w:val="24"/>
        </w:rPr>
        <w:t>编制工作组</w:t>
      </w:r>
      <w:r>
        <w:rPr>
          <w:rFonts w:hint="eastAsia" w:ascii="Times New Roman" w:hAnsi="Times New Roman" w:eastAsia="宋体" w:cs="Times New Roman"/>
          <w:color w:val="000000"/>
          <w:sz w:val="24"/>
          <w:szCs w:val="24"/>
          <w:lang w:eastAsia="zh-CN"/>
        </w:rPr>
        <w:t>，</w:t>
      </w:r>
      <w:r>
        <w:rPr>
          <w:rFonts w:ascii="Times New Roman" w:hAnsi="Times New Roman" w:eastAsia="宋体" w:cs="Times New Roman"/>
          <w:color w:val="000000"/>
          <w:sz w:val="24"/>
          <w:szCs w:val="24"/>
        </w:rPr>
        <w:t>确认了各成员的工作任务和职责，制定了工作计划和进度安排，确定了制定原则</w:t>
      </w:r>
      <w:r>
        <w:rPr>
          <w:rFonts w:hint="eastAsia" w:ascii="Times New Roman" w:hAnsi="Times New Roman" w:cs="Times New Roman" w:eastAsiaTheme="minorEastAsia"/>
          <w:kern w:val="2"/>
          <w:sz w:val="24"/>
          <w:szCs w:val="22"/>
          <w:lang w:val="en-US" w:eastAsia="zh-CN" w:bidi="ar-SA"/>
        </w:rPr>
        <w:t>。</w:t>
      </w:r>
      <w:r>
        <w:rPr>
          <w:rFonts w:hint="eastAsia" w:ascii="Times New Roman" w:hAnsi="Times New Roman" w:cs="Times New Roman"/>
          <w:kern w:val="2"/>
          <w:sz w:val="24"/>
          <w:szCs w:val="22"/>
          <w:lang w:val="en-US" w:eastAsia="zh-CN" w:bidi="ar-SA"/>
        </w:rPr>
        <w:t>标准编制工作组</w:t>
      </w:r>
      <w:r>
        <w:rPr>
          <w:rFonts w:hint="eastAsia" w:ascii="Times New Roman" w:hAnsi="Times New Roman" w:cs="Times New Roman" w:eastAsiaTheme="minorEastAsia"/>
          <w:kern w:val="2"/>
          <w:sz w:val="24"/>
          <w:szCs w:val="22"/>
          <w:lang w:val="en-US" w:eastAsia="zh-CN" w:bidi="ar-SA"/>
        </w:rPr>
        <w:t>通过</w:t>
      </w:r>
      <w:r>
        <w:rPr>
          <w:rFonts w:hint="eastAsia" w:ascii="Times New Roman" w:hAnsi="Times New Roman" w:cs="Times New Roman"/>
          <w:kern w:val="2"/>
          <w:sz w:val="24"/>
          <w:szCs w:val="22"/>
          <w:lang w:val="en-US" w:eastAsia="zh-CN" w:bidi="ar-SA"/>
        </w:rPr>
        <w:t>查找、分析</w:t>
      </w:r>
      <w:r>
        <w:rPr>
          <w:rFonts w:ascii="Times New Roman" w:hAnsi="Times New Roman" w:eastAsia="宋体" w:cs="Times New Roman"/>
          <w:sz w:val="24"/>
          <w:szCs w:val="24"/>
        </w:rPr>
        <w:t>相关标准</w:t>
      </w:r>
      <w:r>
        <w:rPr>
          <w:rFonts w:hint="eastAsia" w:ascii="Times New Roman" w:hAnsi="Times New Roman" w:eastAsia="宋体" w:cs="Times New Roman"/>
          <w:sz w:val="24"/>
          <w:szCs w:val="24"/>
          <w:lang w:val="en-US" w:eastAsia="zh-CN"/>
        </w:rPr>
        <w:t>及</w:t>
      </w:r>
      <w:r>
        <w:rPr>
          <w:rFonts w:ascii="Times New Roman" w:hAnsi="Times New Roman" w:eastAsia="宋体" w:cs="Times New Roman"/>
          <w:sz w:val="24"/>
          <w:szCs w:val="24"/>
        </w:rPr>
        <w:t>文献</w:t>
      </w:r>
      <w:r>
        <w:rPr>
          <w:rFonts w:hint="eastAsia" w:ascii="Times New Roman" w:hAnsi="Times New Roman" w:eastAsia="宋体" w:cs="Times New Roman"/>
          <w:sz w:val="24"/>
          <w:szCs w:val="24"/>
          <w:lang w:eastAsia="zh-CN"/>
        </w:rPr>
        <w:t>，</w:t>
      </w:r>
      <w:r>
        <w:rPr>
          <w:rFonts w:hint="eastAsia" w:ascii="Times New Roman" w:hAnsi="Times New Roman" w:cs="Times New Roman" w:eastAsiaTheme="minorEastAsia"/>
          <w:kern w:val="2"/>
          <w:sz w:val="24"/>
          <w:szCs w:val="22"/>
          <w:lang w:val="en-US" w:eastAsia="zh-CN" w:bidi="ar-SA"/>
        </w:rPr>
        <w:t>对</w:t>
      </w:r>
      <w:r>
        <w:rPr>
          <w:rFonts w:hint="eastAsia" w:ascii="Times New Roman" w:hAnsi="Times New Roman" w:cs="Times New Roman"/>
          <w:kern w:val="2"/>
          <w:sz w:val="24"/>
          <w:szCs w:val="22"/>
          <w:lang w:val="en-US" w:eastAsia="zh-CN" w:bidi="ar-SA"/>
        </w:rPr>
        <w:t>球形氢氧化镍</w:t>
      </w:r>
      <w:r>
        <w:rPr>
          <w:rFonts w:hint="eastAsia" w:ascii="Times New Roman" w:hAnsi="Times New Roman" w:cs="Times New Roman" w:eastAsiaTheme="minorEastAsia"/>
          <w:kern w:val="2"/>
          <w:sz w:val="24"/>
          <w:szCs w:val="22"/>
          <w:lang w:val="en-US" w:eastAsia="zh-CN" w:bidi="ar-SA"/>
        </w:rPr>
        <w:t>生产</w:t>
      </w:r>
      <w:r>
        <w:rPr>
          <w:rFonts w:hint="eastAsia" w:ascii="Times New Roman" w:hAnsi="Times New Roman" w:cs="Times New Roman"/>
          <w:kern w:val="2"/>
          <w:sz w:val="24"/>
          <w:szCs w:val="22"/>
          <w:lang w:val="en-US" w:eastAsia="zh-CN" w:bidi="ar-SA"/>
        </w:rPr>
        <w:t>企业</w:t>
      </w:r>
      <w:r>
        <w:rPr>
          <w:rFonts w:hint="eastAsia" w:ascii="Times New Roman" w:hAnsi="Times New Roman" w:cs="Times New Roman" w:eastAsiaTheme="minorEastAsia"/>
          <w:kern w:val="2"/>
          <w:sz w:val="24"/>
          <w:szCs w:val="22"/>
          <w:lang w:val="en-US" w:eastAsia="zh-CN" w:bidi="ar-SA"/>
        </w:rPr>
        <w:t>的实际情况进行了大量调研，对国内水平进行了充分论证，于202</w:t>
      </w:r>
      <w:r>
        <w:rPr>
          <w:rFonts w:hint="eastAsia" w:ascii="Times New Roman" w:hAnsi="Times New Roman" w:cs="Times New Roman"/>
          <w:kern w:val="2"/>
          <w:sz w:val="24"/>
          <w:szCs w:val="22"/>
          <w:lang w:val="en-US" w:eastAsia="zh-CN" w:bidi="ar-SA"/>
        </w:rPr>
        <w:t>1</w:t>
      </w:r>
      <w:r>
        <w:rPr>
          <w:rFonts w:hint="eastAsia" w:ascii="Times New Roman" w:hAnsi="Times New Roman" w:cs="Times New Roman" w:eastAsiaTheme="minorEastAsia"/>
          <w:kern w:val="2"/>
          <w:sz w:val="24"/>
          <w:szCs w:val="22"/>
          <w:lang w:val="en-US" w:eastAsia="zh-CN" w:bidi="ar-SA"/>
        </w:rPr>
        <w:t>年</w:t>
      </w:r>
      <w:r>
        <w:rPr>
          <w:rFonts w:hint="eastAsia" w:ascii="Times New Roman" w:hAnsi="Times New Roman" w:cs="Times New Roman"/>
          <w:kern w:val="2"/>
          <w:sz w:val="24"/>
          <w:szCs w:val="22"/>
          <w:lang w:val="en-US" w:eastAsia="zh-CN" w:bidi="ar-SA"/>
        </w:rPr>
        <w:t>11</w:t>
      </w:r>
      <w:r>
        <w:rPr>
          <w:rFonts w:hint="eastAsia" w:ascii="Times New Roman" w:hAnsi="Times New Roman" w:cs="Times New Roman" w:eastAsiaTheme="minorEastAsia"/>
          <w:kern w:val="2"/>
          <w:sz w:val="24"/>
          <w:szCs w:val="22"/>
          <w:lang w:val="en-US" w:eastAsia="zh-CN" w:bidi="ar-SA"/>
        </w:rPr>
        <w:t xml:space="preserve">月形成了协会标准《绿色设计产品评价技术规范 </w:t>
      </w:r>
      <w:r>
        <w:rPr>
          <w:rFonts w:hint="eastAsia" w:ascii="Times New Roman" w:hAnsi="Times New Roman" w:cs="Times New Roman"/>
          <w:kern w:val="2"/>
          <w:sz w:val="24"/>
          <w:szCs w:val="22"/>
          <w:lang w:val="en-US" w:eastAsia="zh-CN" w:bidi="ar-SA"/>
        </w:rPr>
        <w:t>球形氢氧化镍</w:t>
      </w:r>
      <w:r>
        <w:rPr>
          <w:rFonts w:hint="eastAsia" w:ascii="Times New Roman" w:hAnsi="Times New Roman" w:cs="Times New Roman" w:eastAsiaTheme="minorEastAsia"/>
          <w:kern w:val="2"/>
          <w:sz w:val="24"/>
          <w:szCs w:val="22"/>
          <w:lang w:val="en-US" w:eastAsia="zh-CN" w:bidi="ar-SA"/>
        </w:rPr>
        <w:t>》（征求意见稿）和编制说明。</w:t>
      </w:r>
    </w:p>
    <w:p>
      <w:pPr>
        <w:pStyle w:val="4"/>
        <w:keepNext/>
        <w:keepLines w:val="0"/>
        <w:pageBreakBefore w:val="0"/>
        <w:widowControl/>
        <w:kinsoku/>
        <w:wordWrap/>
        <w:overflowPunct/>
        <w:topLinePunct w:val="0"/>
        <w:autoSpaceDE/>
        <w:autoSpaceDN/>
        <w:bidi w:val="0"/>
        <w:adjustRightInd/>
        <w:snapToGrid/>
        <w:spacing w:before="0" w:after="0"/>
        <w:ind w:firstLine="0" w:firstLineChars="0"/>
        <w:jc w:val="left"/>
        <w:textAlignment w:val="auto"/>
        <w:rPr>
          <w:rFonts w:hint="eastAsia" w:ascii="黑体" w:hAnsi="黑体" w:eastAsia="黑体" w:cs="黑体"/>
          <w:b w:val="0"/>
          <w:bCs w:val="0"/>
          <w:iCs/>
          <w:sz w:val="24"/>
          <w:szCs w:val="24"/>
          <w:lang w:val="en-US" w:eastAsia="zh-CN"/>
        </w:rPr>
      </w:pPr>
      <w:r>
        <w:rPr>
          <w:rFonts w:hint="eastAsia" w:ascii="黑体" w:hAnsi="黑体" w:eastAsia="黑体" w:cs="黑体"/>
          <w:b w:val="0"/>
          <w:bCs w:val="0"/>
          <w:iCs/>
          <w:sz w:val="24"/>
          <w:szCs w:val="24"/>
          <w:lang w:val="en-US" w:eastAsia="zh-CN"/>
        </w:rPr>
        <w:t>1.4.2 征求意见阶段</w:t>
      </w:r>
    </w:p>
    <w:p>
      <w:pPr>
        <w:spacing w:line="440" w:lineRule="exact"/>
        <w:ind w:firstLine="470" w:firstLineChars="196"/>
        <w:rPr>
          <w:rFonts w:hAnsi="宋体"/>
          <w:sz w:val="24"/>
        </w:rPr>
      </w:pPr>
      <w:r>
        <w:rPr>
          <w:sz w:val="24"/>
        </w:rPr>
        <w:t>20</w:t>
      </w:r>
      <w:r>
        <w:rPr>
          <w:rFonts w:hint="eastAsia"/>
          <w:sz w:val="24"/>
        </w:rPr>
        <w:t>2</w:t>
      </w:r>
      <w:r>
        <w:rPr>
          <w:rFonts w:hint="eastAsia"/>
          <w:sz w:val="24"/>
          <w:lang w:val="en-US" w:eastAsia="zh-CN"/>
        </w:rPr>
        <w:t>1</w:t>
      </w:r>
      <w:r>
        <w:rPr>
          <w:rFonts w:hAnsi="宋体"/>
          <w:sz w:val="24"/>
        </w:rPr>
        <w:t>年</w:t>
      </w:r>
      <w:r>
        <w:rPr>
          <w:rFonts w:hint="eastAsia"/>
          <w:sz w:val="24"/>
          <w:lang w:val="en-US" w:eastAsia="zh-CN"/>
        </w:rPr>
        <w:t>12</w:t>
      </w:r>
      <w:r>
        <w:rPr>
          <w:rFonts w:hAnsi="宋体"/>
          <w:sz w:val="24"/>
        </w:rPr>
        <w:t>月</w:t>
      </w:r>
      <w:r>
        <w:rPr>
          <w:rFonts w:hint="eastAsia"/>
          <w:sz w:val="24"/>
          <w:lang w:val="en-US" w:eastAsia="zh-CN"/>
        </w:rPr>
        <w:t>XX</w:t>
      </w:r>
      <w:r>
        <w:rPr>
          <w:rFonts w:hAnsi="宋体"/>
          <w:color w:val="000000"/>
          <w:sz w:val="24"/>
        </w:rPr>
        <w:t>日～</w:t>
      </w:r>
      <w:r>
        <w:rPr>
          <w:rFonts w:hint="eastAsia"/>
          <w:color w:val="000000"/>
          <w:sz w:val="24"/>
          <w:lang w:val="en-US" w:eastAsia="zh-CN"/>
        </w:rPr>
        <w:t>XX</w:t>
      </w:r>
      <w:r>
        <w:rPr>
          <w:rFonts w:hAnsi="宋体"/>
          <w:sz w:val="24"/>
        </w:rPr>
        <w:t>日，全国有色金属标准化技术委员会组织在</w:t>
      </w:r>
      <w:r>
        <w:rPr>
          <w:rFonts w:hint="eastAsia" w:hAnsi="宋体"/>
          <w:sz w:val="24"/>
          <w:lang w:val="en-US" w:eastAsia="zh-CN"/>
        </w:rPr>
        <w:t>云南省昆明</w:t>
      </w:r>
      <w:r>
        <w:rPr>
          <w:rFonts w:hAnsi="宋体"/>
          <w:sz w:val="24"/>
        </w:rPr>
        <w:t>召开本标准的讨论会。来自</w:t>
      </w:r>
      <w:r>
        <w:rPr>
          <w:rFonts w:hint="eastAsia" w:hAnsi="宋体"/>
          <w:sz w:val="24"/>
          <w:lang w:val="en-US" w:eastAsia="zh-CN"/>
        </w:rPr>
        <w:t>XXXX</w:t>
      </w:r>
      <w:r>
        <w:rPr>
          <w:sz w:val="24"/>
        </w:rPr>
        <w:t>等</w:t>
      </w:r>
      <w:r>
        <w:rPr>
          <w:rFonts w:hint="eastAsia"/>
          <w:sz w:val="24"/>
        </w:rPr>
        <w:t>XX</w:t>
      </w:r>
      <w:r>
        <w:rPr>
          <w:sz w:val="24"/>
        </w:rPr>
        <w:t>家单位的</w:t>
      </w:r>
      <w:r>
        <w:rPr>
          <w:rFonts w:hint="eastAsia"/>
          <w:sz w:val="24"/>
        </w:rPr>
        <w:t>XX</w:t>
      </w:r>
      <w:r>
        <w:rPr>
          <w:sz w:val="24"/>
        </w:rPr>
        <w:t>位专家</w:t>
      </w:r>
      <w:r>
        <w:rPr>
          <w:rFonts w:hAnsi="宋体"/>
          <w:sz w:val="24"/>
        </w:rPr>
        <w:t>代表参加了会议。与会代表对本标准的</w:t>
      </w:r>
      <w:r>
        <w:rPr>
          <w:rFonts w:hAnsi="宋体"/>
          <w:color w:val="000000"/>
          <w:sz w:val="24"/>
        </w:rPr>
        <w:t>征求意见稿和编制说明</w:t>
      </w:r>
      <w:r>
        <w:rPr>
          <w:rFonts w:hAnsi="宋体"/>
          <w:sz w:val="24"/>
        </w:rPr>
        <w:t>进行了认真、细致的讨论，提出了修改意见和建议。</w:t>
      </w:r>
      <w:r>
        <w:rPr>
          <w:rFonts w:hint="eastAsia" w:hAnsi="宋体"/>
          <w:sz w:val="24"/>
        </w:rPr>
        <w:t>编制</w:t>
      </w:r>
      <w:r>
        <w:rPr>
          <w:rFonts w:hAnsi="宋体"/>
          <w:sz w:val="24"/>
        </w:rPr>
        <w:t>组根据讨论的意见对标准进行修改，形成了标准预审稿。</w:t>
      </w:r>
    </w:p>
    <w:p>
      <w:pPr>
        <w:adjustRightInd w:val="0"/>
        <w:spacing w:line="440" w:lineRule="exact"/>
        <w:ind w:firstLine="480" w:firstLineChars="200"/>
        <w:rPr>
          <w:rFonts w:hint="eastAsia" w:hAnsi="宋体"/>
          <w:sz w:val="24"/>
        </w:rPr>
      </w:pPr>
      <w:r>
        <w:rPr>
          <w:rFonts w:hAnsi="宋体"/>
          <w:color w:val="000000"/>
          <w:sz w:val="24"/>
        </w:rPr>
        <w:t>同时，</w:t>
      </w:r>
      <w:r>
        <w:rPr>
          <w:rFonts w:hAnsi="宋体"/>
          <w:sz w:val="24"/>
        </w:rPr>
        <w:t>全国有色金属标准化技术委员会通过工作群、邮件向委员单位征求意见，并将征求意见资料在</w:t>
      </w:r>
      <w:r>
        <w:rPr>
          <w:sz w:val="24"/>
        </w:rPr>
        <w:fldChar w:fldCharType="begin"/>
      </w:r>
      <w:r>
        <w:rPr>
          <w:sz w:val="24"/>
        </w:rPr>
        <w:instrText xml:space="preserve"> HYPERLINK "http://www.cnsmq.com" </w:instrText>
      </w:r>
      <w:r>
        <w:rPr>
          <w:sz w:val="24"/>
        </w:rPr>
        <w:fldChar w:fldCharType="separate"/>
      </w:r>
      <w:r>
        <w:rPr>
          <w:rStyle w:val="10"/>
          <w:sz w:val="24"/>
        </w:rPr>
        <w:t>www.cnsmq.com</w:t>
      </w:r>
      <w:r>
        <w:rPr>
          <w:sz w:val="24"/>
        </w:rPr>
        <w:fldChar w:fldCharType="end"/>
      </w:r>
      <w:r>
        <w:rPr>
          <w:rFonts w:hAnsi="宋体"/>
          <w:sz w:val="24"/>
        </w:rPr>
        <w:t>网站上挂网。征求意见的单位包括主要生产、经销、使用、科研、检验等单位及大专院校，征求意见单位广泛且具有代表性，征求意见时间大于</w:t>
      </w:r>
      <w:r>
        <w:rPr>
          <w:sz w:val="24"/>
        </w:rPr>
        <w:t>2</w:t>
      </w:r>
      <w:r>
        <w:rPr>
          <w:rFonts w:hAnsi="宋体"/>
          <w:sz w:val="24"/>
        </w:rPr>
        <w:t>个月。</w:t>
      </w:r>
    </w:p>
    <w:p>
      <w:pPr>
        <w:adjustRightInd w:val="0"/>
        <w:spacing w:line="440" w:lineRule="exact"/>
        <w:ind w:firstLine="480" w:firstLineChars="200"/>
        <w:rPr>
          <w:rFonts w:hAnsi="宋体"/>
          <w:sz w:val="24"/>
        </w:rPr>
      </w:pPr>
      <w:r>
        <w:rPr>
          <w:rFonts w:hint="eastAsia" w:hAnsi="宋体"/>
          <w:sz w:val="24"/>
        </w:rPr>
        <w:t>202</w:t>
      </w:r>
      <w:r>
        <w:rPr>
          <w:rFonts w:hint="eastAsia" w:hAnsi="宋体"/>
          <w:sz w:val="24"/>
          <w:lang w:val="en-US" w:eastAsia="zh-CN"/>
        </w:rPr>
        <w:t>1</w:t>
      </w:r>
      <w:r>
        <w:rPr>
          <w:rFonts w:hint="eastAsia" w:hAnsi="宋体"/>
          <w:sz w:val="24"/>
        </w:rPr>
        <w:t>年X月，编制</w:t>
      </w:r>
      <w:r>
        <w:rPr>
          <w:rFonts w:hAnsi="宋体"/>
          <w:sz w:val="24"/>
        </w:rPr>
        <w:t>组</w:t>
      </w:r>
      <w:r>
        <w:rPr>
          <w:rFonts w:hint="eastAsia" w:hAnsi="宋体"/>
          <w:sz w:val="24"/>
        </w:rPr>
        <w:t>对收集到的意见进行整理，共收到XX条意见，形成了</w:t>
      </w:r>
      <w:r>
        <w:rPr>
          <w:rFonts w:hAnsi="宋体"/>
          <w:sz w:val="24"/>
        </w:rPr>
        <w:t>标准意见汇总处理表。</w:t>
      </w:r>
      <w:r>
        <w:rPr>
          <w:rFonts w:hint="eastAsia" w:hAnsi="宋体"/>
          <w:sz w:val="24"/>
        </w:rPr>
        <w:t>标准制定工作组</w:t>
      </w:r>
      <w:r>
        <w:rPr>
          <w:rFonts w:hAnsi="宋体"/>
          <w:sz w:val="24"/>
        </w:rPr>
        <w:t>根据意见对标准进行修改，形成了标准意见汇总处理表和</w:t>
      </w:r>
      <w:r>
        <w:rPr>
          <w:rFonts w:hint="eastAsia" w:hAnsi="宋体"/>
          <w:sz w:val="24"/>
        </w:rPr>
        <w:t>送</w:t>
      </w:r>
      <w:r>
        <w:rPr>
          <w:rFonts w:hAnsi="宋体"/>
          <w:sz w:val="24"/>
        </w:rPr>
        <w:t>审稿。</w:t>
      </w:r>
    </w:p>
    <w:p>
      <w:pPr>
        <w:pStyle w:val="4"/>
        <w:keepNext/>
        <w:keepLines w:val="0"/>
        <w:pageBreakBefore w:val="0"/>
        <w:widowControl/>
        <w:kinsoku/>
        <w:wordWrap/>
        <w:overflowPunct/>
        <w:topLinePunct w:val="0"/>
        <w:autoSpaceDE/>
        <w:autoSpaceDN/>
        <w:bidi w:val="0"/>
        <w:adjustRightInd/>
        <w:snapToGrid/>
        <w:spacing w:before="0" w:after="0"/>
        <w:ind w:firstLine="0" w:firstLineChars="0"/>
        <w:jc w:val="left"/>
        <w:textAlignment w:val="auto"/>
        <w:rPr>
          <w:rFonts w:hint="default" w:ascii="黑体" w:hAnsi="黑体" w:eastAsia="黑体" w:cs="黑体"/>
          <w:b w:val="0"/>
          <w:bCs w:val="0"/>
          <w:iCs/>
          <w:sz w:val="24"/>
          <w:szCs w:val="24"/>
        </w:rPr>
      </w:pPr>
      <w:r>
        <w:rPr>
          <w:rFonts w:hint="default" w:ascii="黑体" w:hAnsi="黑体" w:eastAsia="黑体" w:cs="黑体"/>
          <w:b w:val="0"/>
          <w:bCs w:val="0"/>
          <w:iCs/>
          <w:sz w:val="24"/>
          <w:szCs w:val="24"/>
        </w:rPr>
        <w:t>1.</w:t>
      </w:r>
      <w:r>
        <w:rPr>
          <w:rFonts w:hint="eastAsia" w:ascii="黑体" w:hAnsi="黑体" w:eastAsia="黑体" w:cs="黑体"/>
          <w:b w:val="0"/>
          <w:bCs w:val="0"/>
          <w:iCs/>
          <w:sz w:val="24"/>
          <w:szCs w:val="24"/>
          <w:lang w:val="en-US" w:eastAsia="zh-CN"/>
        </w:rPr>
        <w:t>4</w:t>
      </w:r>
      <w:r>
        <w:rPr>
          <w:rFonts w:hint="default" w:ascii="黑体" w:hAnsi="黑体" w:eastAsia="黑体" w:cs="黑体"/>
          <w:b w:val="0"/>
          <w:bCs w:val="0"/>
          <w:iCs/>
          <w:sz w:val="24"/>
          <w:szCs w:val="24"/>
        </w:rPr>
        <w:t>.</w:t>
      </w:r>
      <w:r>
        <w:rPr>
          <w:rFonts w:hint="default" w:ascii="黑体" w:hAnsi="黑体" w:eastAsia="黑体" w:cs="黑体"/>
          <w:b w:val="0"/>
          <w:bCs w:val="0"/>
          <w:iCs/>
          <w:sz w:val="24"/>
          <w:szCs w:val="24"/>
          <w:lang w:val="en-US" w:eastAsia="zh-CN"/>
        </w:rPr>
        <w:t>3</w:t>
      </w:r>
      <w:r>
        <w:rPr>
          <w:rFonts w:hint="default" w:ascii="黑体" w:hAnsi="黑体" w:eastAsia="黑体" w:cs="黑体"/>
          <w:b w:val="0"/>
          <w:bCs w:val="0"/>
          <w:iCs/>
          <w:sz w:val="24"/>
          <w:szCs w:val="24"/>
        </w:rPr>
        <w:t xml:space="preserve"> 审查阶段</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XXX。</w:t>
      </w:r>
    </w:p>
    <w:p>
      <w:pPr>
        <w:pStyle w:val="4"/>
        <w:keepNext/>
        <w:keepLines w:val="0"/>
        <w:pageBreakBefore w:val="0"/>
        <w:widowControl/>
        <w:kinsoku/>
        <w:wordWrap/>
        <w:overflowPunct/>
        <w:topLinePunct w:val="0"/>
        <w:autoSpaceDE/>
        <w:autoSpaceDN/>
        <w:bidi w:val="0"/>
        <w:adjustRightInd/>
        <w:snapToGrid/>
        <w:spacing w:before="0" w:after="0"/>
        <w:ind w:firstLine="0" w:firstLineChars="0"/>
        <w:jc w:val="left"/>
        <w:textAlignment w:val="auto"/>
        <w:rPr>
          <w:rFonts w:hint="default" w:ascii="黑体" w:hAnsi="黑体" w:eastAsia="黑体" w:cs="黑体"/>
          <w:b w:val="0"/>
          <w:bCs w:val="0"/>
          <w:iCs/>
          <w:sz w:val="24"/>
          <w:szCs w:val="24"/>
        </w:rPr>
      </w:pPr>
      <w:r>
        <w:rPr>
          <w:rFonts w:hint="default" w:ascii="黑体" w:hAnsi="黑体" w:eastAsia="黑体" w:cs="黑体"/>
          <w:b w:val="0"/>
          <w:bCs w:val="0"/>
          <w:iCs/>
          <w:sz w:val="24"/>
          <w:szCs w:val="24"/>
        </w:rPr>
        <w:t>1.</w:t>
      </w:r>
      <w:r>
        <w:rPr>
          <w:rFonts w:hint="eastAsia" w:ascii="黑体" w:hAnsi="黑体" w:eastAsia="黑体" w:cs="黑体"/>
          <w:b w:val="0"/>
          <w:bCs w:val="0"/>
          <w:iCs/>
          <w:sz w:val="24"/>
          <w:szCs w:val="24"/>
          <w:lang w:val="en-US" w:eastAsia="zh-CN"/>
        </w:rPr>
        <w:t>4</w:t>
      </w:r>
      <w:r>
        <w:rPr>
          <w:rFonts w:hint="default" w:ascii="黑体" w:hAnsi="黑体" w:eastAsia="黑体" w:cs="黑体"/>
          <w:b w:val="0"/>
          <w:bCs w:val="0"/>
          <w:iCs/>
          <w:sz w:val="24"/>
          <w:szCs w:val="24"/>
        </w:rPr>
        <w:t>.4 报批阶段</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default"/>
          <w:lang w:val="en-US" w:eastAsia="zh-CN"/>
        </w:rPr>
      </w:pPr>
      <w:r>
        <w:rPr>
          <w:rFonts w:hint="eastAsia" w:ascii="宋体" w:hAnsi="宋体" w:eastAsia="宋体" w:cs="宋体"/>
          <w:sz w:val="24"/>
          <w:lang w:val="en-US" w:eastAsia="zh-CN"/>
        </w:rPr>
        <w:t>XXX。</w:t>
      </w:r>
    </w:p>
    <w:p>
      <w:pPr>
        <w:numPr>
          <w:ilvl w:val="0"/>
          <w:numId w:val="1"/>
        </w:numPr>
        <w:spacing w:before="313" w:beforeLines="100" w:after="313" w:afterLines="100" w:line="240" w:lineRule="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标准编制原则</w:t>
      </w:r>
      <w:r>
        <w:rPr>
          <w:rFonts w:hint="eastAsia" w:ascii="Times New Roman" w:hAnsi="Times New Roman" w:eastAsia="黑体" w:cs="Times New Roman"/>
          <w:b w:val="0"/>
          <w:bCs w:val="0"/>
          <w:sz w:val="24"/>
          <w:szCs w:val="24"/>
          <w:lang w:val="en-US" w:eastAsia="zh-CN"/>
        </w:rPr>
        <w:t>及主要内容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sz w:val="24"/>
          <w:szCs w:val="24"/>
          <w:lang w:val="en-US" w:eastAsia="zh-CN"/>
        </w:rPr>
      </w:pPr>
      <w:r>
        <w:rPr>
          <w:rFonts w:hint="eastAsia" w:ascii="Times New Roman" w:hAnsi="Times New Roman" w:eastAsia="黑体" w:cs="Times New Roman"/>
          <w:b w:val="0"/>
          <w:bCs/>
          <w:sz w:val="24"/>
          <w:szCs w:val="24"/>
          <w:lang w:val="en-US" w:eastAsia="zh-CN"/>
        </w:rPr>
        <w:t>2.1  编制原则</w:t>
      </w:r>
    </w:p>
    <w:p>
      <w:pPr>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本标准的制定工作遵循“统一性、协调性、适用性、一致性、规范性”的原则，本着先进性、科学性、合理性和可操作性的原则，按</w:t>
      </w:r>
      <w:r>
        <w:rPr>
          <w:rFonts w:hint="default" w:ascii="Times New Roman" w:hAnsi="Times New Roman" w:eastAsia="宋体" w:cs="Times New Roman"/>
          <w:color w:val="000000"/>
          <w:sz w:val="24"/>
          <w:szCs w:val="24"/>
        </w:rPr>
        <w:t>照GB/T 1.1-20</w:t>
      </w:r>
      <w:r>
        <w:rPr>
          <w:rFonts w:hint="default" w:ascii="Times New Roman" w:hAnsi="Times New Roman" w:eastAsia="宋体" w:cs="Times New Roman"/>
          <w:color w:val="000000"/>
          <w:sz w:val="24"/>
          <w:szCs w:val="24"/>
          <w:lang w:val="en-US" w:eastAsia="zh-CN"/>
        </w:rPr>
        <w:t>20</w:t>
      </w:r>
      <w:r>
        <w:rPr>
          <w:rFonts w:hint="default" w:ascii="Times New Roman" w:hAnsi="Times New Roman" w:eastAsia="宋体" w:cs="Times New Roman"/>
          <w:color w:val="000000"/>
          <w:sz w:val="24"/>
          <w:szCs w:val="24"/>
        </w:rPr>
        <w:t>给</w:t>
      </w:r>
      <w:r>
        <w:rPr>
          <w:rFonts w:hint="eastAsia" w:ascii="宋体" w:hAnsi="宋体" w:eastAsia="宋体" w:cs="Times New Roman"/>
          <w:color w:val="000000"/>
          <w:sz w:val="24"/>
          <w:szCs w:val="24"/>
        </w:rPr>
        <w:t>出的规则编写。</w:t>
      </w:r>
    </w:p>
    <w:p>
      <w:pPr>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本标准的编制充分考虑生产企业的产品质量和相关单位的意见，同时要确保用户的需求，为</w:t>
      </w:r>
      <w:r>
        <w:rPr>
          <w:rFonts w:hint="eastAsia" w:ascii="宋体" w:hAnsi="宋体" w:eastAsia="宋体" w:cs="Times New Roman"/>
          <w:color w:val="000000"/>
          <w:sz w:val="24"/>
          <w:szCs w:val="24"/>
          <w:lang w:val="en-US" w:eastAsia="zh-CN"/>
        </w:rPr>
        <w:t>电池</w:t>
      </w:r>
      <w:r>
        <w:rPr>
          <w:rFonts w:hint="eastAsia" w:ascii="宋体" w:hAnsi="宋体" w:eastAsia="宋体" w:cs="Times New Roman"/>
          <w:color w:val="000000"/>
          <w:sz w:val="24"/>
          <w:szCs w:val="24"/>
        </w:rPr>
        <w:t>生产企业提供满意的使用原料。</w:t>
      </w:r>
    </w:p>
    <w:p>
      <w:pPr>
        <w:snapToGrid w:val="0"/>
        <w:spacing w:line="360" w:lineRule="auto"/>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本</w:t>
      </w:r>
      <w:r>
        <w:rPr>
          <w:rFonts w:hint="eastAsia" w:ascii="宋体" w:hAnsi="宋体" w:eastAsia="宋体" w:cs="Times New Roman"/>
          <w:color w:val="000000"/>
          <w:sz w:val="24"/>
          <w:szCs w:val="24"/>
        </w:rPr>
        <w:t>标准</w:t>
      </w:r>
      <w:r>
        <w:rPr>
          <w:rFonts w:hint="eastAsia" w:ascii="宋体" w:hAnsi="宋体" w:eastAsia="宋体" w:cs="Times New Roman"/>
          <w:color w:val="000000"/>
          <w:sz w:val="24"/>
          <w:szCs w:val="24"/>
          <w:lang w:val="en-US" w:eastAsia="zh-CN"/>
        </w:rPr>
        <w:t>的制定</w:t>
      </w:r>
      <w:r>
        <w:rPr>
          <w:rFonts w:hint="eastAsia" w:ascii="宋体" w:hAnsi="宋体" w:eastAsia="宋体" w:cs="Times New Roman"/>
          <w:color w:val="000000"/>
          <w:sz w:val="24"/>
          <w:szCs w:val="24"/>
        </w:rPr>
        <w:t>应科学合理、切实可行、具有可操作性，同时促进</w:t>
      </w:r>
      <w:r>
        <w:rPr>
          <w:rFonts w:hint="eastAsia" w:ascii="宋体" w:hAnsi="宋体" w:eastAsia="宋体" w:cs="Times New Roman"/>
          <w:color w:val="000000"/>
          <w:sz w:val="24"/>
          <w:szCs w:val="24"/>
          <w:lang w:val="en-US" w:eastAsia="zh-CN"/>
        </w:rPr>
        <w:t>球形氢氧化镍</w:t>
      </w:r>
      <w:r>
        <w:rPr>
          <w:rFonts w:hint="eastAsia" w:ascii="宋体" w:hAnsi="宋体" w:eastAsia="宋体" w:cs="Times New Roman"/>
          <w:color w:val="000000"/>
          <w:sz w:val="24"/>
          <w:szCs w:val="24"/>
        </w:rPr>
        <w:t>生产企业综合利用水平的提高。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b w:val="0"/>
          <w:bCs/>
          <w:sz w:val="24"/>
          <w:szCs w:val="24"/>
          <w:lang w:val="en-US" w:eastAsia="zh-CN"/>
        </w:rPr>
      </w:pPr>
      <w:r>
        <w:rPr>
          <w:rFonts w:hint="eastAsia" w:ascii="Times New Roman" w:hAnsi="Times New Roman" w:eastAsia="黑体" w:cs="Times New Roman"/>
          <w:b w:val="0"/>
          <w:bCs/>
          <w:sz w:val="24"/>
          <w:szCs w:val="24"/>
          <w:lang w:val="en-US" w:eastAsia="zh-CN"/>
        </w:rPr>
        <w:t>2.2  主要内容</w:t>
      </w:r>
    </w:p>
    <w:p>
      <w:pPr>
        <w:snapToGrid w:val="0"/>
        <w:spacing w:line="360" w:lineRule="auto"/>
        <w:ind w:firstLine="480" w:firstLineChars="20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本标准规定了球形氢氧化镍绿色设计产品评价原则和方法、对球形氢氧化镍生产企业的绿色生产要求、球形氢氧化镍绿色设计产品的评价指标及产品生命周期评价方法等内容。球形氢氧化镍的绿色设计产品评价。</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240" w:lineRule="auto"/>
        <w:ind w:left="0" w:leftChars="0" w:firstLine="0" w:firstLineChars="0"/>
        <w:textAlignment w:val="auto"/>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标准主要内容的论据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b w:val="0"/>
          <w:bCs/>
          <w:sz w:val="24"/>
          <w:szCs w:val="24"/>
          <w:lang w:val="en-US" w:eastAsia="zh-CN"/>
        </w:rPr>
      </w:pPr>
      <w:r>
        <w:rPr>
          <w:rFonts w:hint="eastAsia" w:ascii="Times New Roman" w:hAnsi="Times New Roman" w:eastAsia="黑体" w:cs="Times New Roman"/>
          <w:b w:val="0"/>
          <w:bCs/>
          <w:sz w:val="24"/>
          <w:szCs w:val="24"/>
          <w:lang w:val="en-US" w:eastAsia="zh-CN"/>
        </w:rPr>
        <w:t>3.1  球形氢氧化镍生产工艺流程</w:t>
      </w:r>
    </w:p>
    <w:p>
      <w:pPr>
        <w:ind w:firstLine="420" w:firstLineChars="200"/>
        <w:rPr>
          <w:rFonts w:hint="eastAsia"/>
        </w:rPr>
      </w:pPr>
      <w:r>
        <w:rPr>
          <w:rFonts w:hint="eastAsia"/>
          <w:lang w:val="en-US" w:eastAsia="zh-CN"/>
        </w:rPr>
        <w:t>球形氢氧化镍</w:t>
      </w:r>
      <w:r>
        <w:rPr>
          <w:rFonts w:hint="eastAsia"/>
        </w:rPr>
        <w:t>的生产工艺流程如图1所示。</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r>
        <mc:AlternateContent>
          <mc:Choice Requires="wpg">
            <w:drawing>
              <wp:anchor distT="0" distB="0" distL="114300" distR="114300" simplePos="0" relativeHeight="251661312" behindDoc="0" locked="0" layoutInCell="1" allowOverlap="1">
                <wp:simplePos x="0" y="0"/>
                <wp:positionH relativeFrom="character">
                  <wp:posOffset>469265</wp:posOffset>
                </wp:positionH>
                <wp:positionV relativeFrom="line">
                  <wp:posOffset>178435</wp:posOffset>
                </wp:positionV>
                <wp:extent cx="3757930" cy="3886835"/>
                <wp:effectExtent l="9525" t="9525" r="23495" b="8890"/>
                <wp:wrapNone/>
                <wp:docPr id="52" name="组合 52"/>
                <wp:cNvGraphicFramePr/>
                <a:graphic xmlns:a="http://schemas.openxmlformats.org/drawingml/2006/main">
                  <a:graphicData uri="http://schemas.microsoft.com/office/word/2010/wordprocessingGroup">
                    <wpg:wgp>
                      <wpg:cNvGrpSpPr/>
                      <wpg:grpSpPr>
                        <a:xfrm>
                          <a:off x="0" y="0"/>
                          <a:ext cx="3757930" cy="3886835"/>
                          <a:chOff x="697865" y="18944"/>
                          <a:chExt cx="4262120" cy="4448281"/>
                        </a:xfrm>
                      </wpg:grpSpPr>
                      <wps:wsp>
                        <wps:cNvPr id="27" name="矩形 27"/>
                        <wps:cNvSpPr/>
                        <wps:spPr>
                          <a:xfrm>
                            <a:off x="2383844" y="18944"/>
                            <a:ext cx="1224333" cy="436035"/>
                          </a:xfrm>
                          <a:prstGeom prst="rect">
                            <a:avLst/>
                          </a:prstGeom>
                          <a:noFill/>
                          <a:ln w="19050" cap="flat" cmpd="sng">
                            <a:solidFill>
                              <a:srgbClr val="000000"/>
                            </a:solidFill>
                            <a:prstDash val="solid"/>
                            <a:miter/>
                            <a:headEnd type="none" w="med" len="med"/>
                            <a:tailEnd type="none" w="med" len="med"/>
                          </a:ln>
                        </wps:spPr>
                        <wps:txbx>
                          <w:txbxContent>
                            <w:p>
                              <w:pPr>
                                <w:adjustRightInd w:val="0"/>
                                <w:snapToGrid w:val="0"/>
                                <w:jc w:val="center"/>
                                <w:rPr>
                                  <w:color w:val="000000"/>
                                  <w:sz w:val="15"/>
                                  <w:szCs w:val="15"/>
                                </w:rPr>
                              </w:pPr>
                              <w:r>
                                <w:rPr>
                                  <w:rFonts w:hint="eastAsia"/>
                                  <w:color w:val="000000"/>
                                  <w:sz w:val="15"/>
                                  <w:szCs w:val="15"/>
                                </w:rPr>
                                <w:t>镍</w:t>
                              </w:r>
                              <w:r>
                                <w:rPr>
                                  <w:rFonts w:hint="eastAsia"/>
                                  <w:color w:val="000000"/>
                                  <w:sz w:val="15"/>
                                  <w:szCs w:val="15"/>
                                  <w:lang w:eastAsia="zh-CN"/>
                                </w:rPr>
                                <w:t>、</w:t>
                              </w:r>
                              <w:r>
                                <w:rPr>
                                  <w:rFonts w:hint="eastAsia"/>
                                  <w:color w:val="000000"/>
                                  <w:sz w:val="15"/>
                                  <w:szCs w:val="15"/>
                                  <w:lang w:val="en-US" w:eastAsia="zh-CN"/>
                                </w:rPr>
                                <w:t>钴、锌</w:t>
                              </w:r>
                              <w:r>
                                <w:rPr>
                                  <w:rFonts w:hint="eastAsia"/>
                                  <w:color w:val="000000"/>
                                  <w:sz w:val="15"/>
                                  <w:szCs w:val="15"/>
                                </w:rPr>
                                <w:t>的硫酸盐或纯化液的预处理</w:t>
                              </w:r>
                            </w:p>
                          </w:txbxContent>
                        </wps:txbx>
                        <wps:bodyPr anchor="ctr" upright="1"/>
                      </wps:wsp>
                      <wps:wsp>
                        <wps:cNvPr id="28" name="直接箭头连接符 28"/>
                        <wps:cNvCnPr/>
                        <wps:spPr>
                          <a:xfrm flipH="1">
                            <a:off x="2993048" y="450215"/>
                            <a:ext cx="0" cy="215900"/>
                          </a:xfrm>
                          <a:prstGeom prst="straightConnector1">
                            <a:avLst/>
                          </a:prstGeom>
                          <a:ln w="12700" cap="flat" cmpd="sng">
                            <a:solidFill>
                              <a:srgbClr val="000000"/>
                            </a:solidFill>
                            <a:prstDash val="solid"/>
                            <a:headEnd type="none" w="med" len="med"/>
                            <a:tailEnd type="arrow" w="med" len="med"/>
                          </a:ln>
                        </wps:spPr>
                        <wps:bodyPr/>
                      </wps:wsp>
                      <wps:wsp>
                        <wps:cNvPr id="29" name="矩形 29"/>
                        <wps:cNvSpPr/>
                        <wps:spPr>
                          <a:xfrm>
                            <a:off x="2388618" y="674370"/>
                            <a:ext cx="1223463" cy="287655"/>
                          </a:xfrm>
                          <a:prstGeom prst="rect">
                            <a:avLst/>
                          </a:prstGeom>
                          <a:noFill/>
                          <a:ln w="19050" cap="flat" cmpd="sng">
                            <a:solidFill>
                              <a:srgbClr val="000000"/>
                            </a:solidFill>
                            <a:prstDash val="solid"/>
                            <a:miter/>
                            <a:headEnd type="none" w="med" len="med"/>
                            <a:tailEnd type="none" w="med" len="med"/>
                          </a:ln>
                        </wps:spPr>
                        <wps:txbx>
                          <w:txbxContent>
                            <w:p>
                              <w:pPr>
                                <w:spacing w:before="0" w:beforeAutospacing="0" w:after="0" w:afterAutospacing="0"/>
                                <w:jc w:val="center"/>
                              </w:pPr>
                              <w:r>
                                <w:rPr>
                                  <w:rFonts w:hint="eastAsia" w:ascii="Times New Roman"/>
                                  <w:color w:val="000000"/>
                                  <w:kern w:val="2"/>
                                  <w:sz w:val="15"/>
                                  <w:szCs w:val="15"/>
                                </w:rPr>
                                <w:t>配料</w:t>
                              </w:r>
                            </w:p>
                          </w:txbxContent>
                        </wps:txbx>
                        <wps:bodyPr anchor="ctr" upright="1"/>
                      </wps:wsp>
                      <wps:wsp>
                        <wps:cNvPr id="30" name="直接箭头连接符 30"/>
                        <wps:cNvCnPr/>
                        <wps:spPr>
                          <a:xfrm flipH="1">
                            <a:off x="3007651" y="962025"/>
                            <a:ext cx="0" cy="216535"/>
                          </a:xfrm>
                          <a:prstGeom prst="straightConnector1">
                            <a:avLst/>
                          </a:prstGeom>
                          <a:ln w="12700" cap="flat" cmpd="sng">
                            <a:solidFill>
                              <a:srgbClr val="000000"/>
                            </a:solidFill>
                            <a:prstDash val="solid"/>
                            <a:headEnd type="none" w="med" len="med"/>
                            <a:tailEnd type="arrow" w="med" len="med"/>
                          </a:ln>
                        </wps:spPr>
                        <wps:bodyPr/>
                      </wps:wsp>
                      <wps:wsp>
                        <wps:cNvPr id="31" name="矩形 31"/>
                        <wps:cNvSpPr/>
                        <wps:spPr>
                          <a:xfrm>
                            <a:off x="2402586" y="1193800"/>
                            <a:ext cx="1223463" cy="287655"/>
                          </a:xfrm>
                          <a:prstGeom prst="rect">
                            <a:avLst/>
                          </a:prstGeom>
                          <a:noFill/>
                          <a:ln w="19050" cap="flat" cmpd="sng">
                            <a:solidFill>
                              <a:srgbClr val="000000"/>
                            </a:solidFill>
                            <a:prstDash val="solid"/>
                            <a:miter/>
                            <a:headEnd type="none" w="med" len="med"/>
                            <a:tailEnd type="none" w="med" len="med"/>
                          </a:ln>
                        </wps:spPr>
                        <wps:txbx>
                          <w:txbxContent>
                            <w:p>
                              <w:pPr>
                                <w:spacing w:before="0" w:beforeAutospacing="0" w:after="0" w:afterAutospacing="0"/>
                                <w:jc w:val="center"/>
                              </w:pPr>
                              <w:r>
                                <w:rPr>
                                  <w:rFonts w:hint="eastAsia" w:ascii="Times New Roman"/>
                                  <w:color w:val="000000"/>
                                  <w:kern w:val="2"/>
                                  <w:sz w:val="15"/>
                                  <w:szCs w:val="15"/>
                                </w:rPr>
                                <w:t>合成、陈化</w:t>
                              </w:r>
                            </w:p>
                          </w:txbxContent>
                        </wps:txbx>
                        <wps:bodyPr anchor="ctr" upright="1"/>
                      </wps:wsp>
                      <wps:wsp>
                        <wps:cNvPr id="32" name="直接箭头连接符 32"/>
                        <wps:cNvCnPr/>
                        <wps:spPr>
                          <a:xfrm flipH="1">
                            <a:off x="3007651" y="1490980"/>
                            <a:ext cx="0" cy="215900"/>
                          </a:xfrm>
                          <a:prstGeom prst="straightConnector1">
                            <a:avLst/>
                          </a:prstGeom>
                          <a:ln w="12700" cap="flat" cmpd="sng">
                            <a:solidFill>
                              <a:srgbClr val="000000"/>
                            </a:solidFill>
                            <a:prstDash val="solid"/>
                            <a:headEnd type="none" w="med" len="med"/>
                            <a:tailEnd type="arrow" w="med" len="med"/>
                          </a:ln>
                        </wps:spPr>
                        <wps:bodyPr/>
                      </wps:wsp>
                      <wps:wsp>
                        <wps:cNvPr id="33" name="矩形 33"/>
                        <wps:cNvSpPr/>
                        <wps:spPr>
                          <a:xfrm>
                            <a:off x="2402586" y="1722755"/>
                            <a:ext cx="1223463" cy="287655"/>
                          </a:xfrm>
                          <a:prstGeom prst="rect">
                            <a:avLst/>
                          </a:prstGeom>
                          <a:noFill/>
                          <a:ln w="19050" cap="flat" cmpd="sng">
                            <a:solidFill>
                              <a:srgbClr val="000000"/>
                            </a:solidFill>
                            <a:prstDash val="solid"/>
                            <a:miter/>
                            <a:headEnd type="none" w="med" len="med"/>
                            <a:tailEnd type="none" w="med" len="med"/>
                          </a:ln>
                        </wps:spPr>
                        <wps:txbx>
                          <w:txbxContent>
                            <w:p>
                              <w:pPr>
                                <w:spacing w:before="0" w:beforeAutospacing="0" w:after="0" w:afterAutospacing="0"/>
                                <w:jc w:val="center"/>
                              </w:pPr>
                              <w:r>
                                <w:rPr>
                                  <w:rFonts w:hint="eastAsia" w:ascii="Times New Roman"/>
                                  <w:color w:val="000000"/>
                                  <w:kern w:val="2"/>
                                  <w:sz w:val="15"/>
                                  <w:szCs w:val="15"/>
                                </w:rPr>
                                <w:t>洗涤、分离</w:t>
                              </w:r>
                            </w:p>
                          </w:txbxContent>
                        </wps:txbx>
                        <wps:bodyPr anchor="ctr" upright="1"/>
                      </wps:wsp>
                      <wps:wsp>
                        <wps:cNvPr id="34" name="直接箭头连接符 34"/>
                        <wps:cNvCnPr/>
                        <wps:spPr>
                          <a:xfrm flipH="1">
                            <a:off x="3007651" y="2014855"/>
                            <a:ext cx="0" cy="215900"/>
                          </a:xfrm>
                          <a:prstGeom prst="straightConnector1">
                            <a:avLst/>
                          </a:prstGeom>
                          <a:ln w="12700" cap="flat" cmpd="sng">
                            <a:solidFill>
                              <a:srgbClr val="000000"/>
                            </a:solidFill>
                            <a:prstDash val="solid"/>
                            <a:headEnd type="none" w="med" len="med"/>
                            <a:tailEnd type="arrow" w="med" len="med"/>
                          </a:ln>
                        </wps:spPr>
                        <wps:bodyPr/>
                      </wps:wsp>
                      <wps:wsp>
                        <wps:cNvPr id="35" name="矩形 35"/>
                        <wps:cNvSpPr/>
                        <wps:spPr>
                          <a:xfrm>
                            <a:off x="2402586" y="2246630"/>
                            <a:ext cx="1223463" cy="287655"/>
                          </a:xfrm>
                          <a:prstGeom prst="rect">
                            <a:avLst/>
                          </a:prstGeom>
                          <a:noFill/>
                          <a:ln w="19050" cap="flat" cmpd="sng">
                            <a:solidFill>
                              <a:srgbClr val="000000"/>
                            </a:solidFill>
                            <a:prstDash val="solid"/>
                            <a:miter/>
                            <a:headEnd type="none" w="med" len="med"/>
                            <a:tailEnd type="none" w="med" len="med"/>
                          </a:ln>
                        </wps:spPr>
                        <wps:txbx>
                          <w:txbxContent>
                            <w:p>
                              <w:pPr>
                                <w:spacing w:before="0" w:beforeAutospacing="0" w:after="0" w:afterAutospacing="0"/>
                                <w:jc w:val="center"/>
                              </w:pPr>
                              <w:r>
                                <w:rPr>
                                  <w:rFonts w:hint="eastAsia" w:ascii="Times New Roman"/>
                                  <w:color w:val="000000"/>
                                  <w:kern w:val="2"/>
                                  <w:sz w:val="15"/>
                                  <w:szCs w:val="15"/>
                                </w:rPr>
                                <w:t>干燥</w:t>
                              </w:r>
                            </w:p>
                          </w:txbxContent>
                        </wps:txbx>
                        <wps:bodyPr anchor="ctr" upright="1"/>
                      </wps:wsp>
                      <wps:wsp>
                        <wps:cNvPr id="36" name="直接箭头连接符 36"/>
                        <wps:cNvCnPr/>
                        <wps:spPr>
                          <a:xfrm flipH="1">
                            <a:off x="3007651" y="2519680"/>
                            <a:ext cx="0" cy="215900"/>
                          </a:xfrm>
                          <a:prstGeom prst="straightConnector1">
                            <a:avLst/>
                          </a:prstGeom>
                          <a:ln w="12700" cap="flat" cmpd="sng">
                            <a:solidFill>
                              <a:srgbClr val="000000"/>
                            </a:solidFill>
                            <a:prstDash val="solid"/>
                            <a:headEnd type="none" w="med" len="med"/>
                            <a:tailEnd type="arrow" w="med" len="med"/>
                          </a:ln>
                        </wps:spPr>
                        <wps:bodyPr/>
                      </wps:wsp>
                      <wps:wsp>
                        <wps:cNvPr id="37" name="矩形 37"/>
                        <wps:cNvSpPr/>
                        <wps:spPr>
                          <a:xfrm>
                            <a:off x="2402586" y="2751455"/>
                            <a:ext cx="1223463" cy="287655"/>
                          </a:xfrm>
                          <a:prstGeom prst="rect">
                            <a:avLst/>
                          </a:prstGeom>
                          <a:noFill/>
                          <a:ln w="19050" cap="flat" cmpd="sng">
                            <a:solidFill>
                              <a:srgbClr val="000000"/>
                            </a:solidFill>
                            <a:prstDash val="solid"/>
                            <a:miter/>
                            <a:headEnd type="none" w="med" len="med"/>
                            <a:tailEnd type="none" w="med" len="med"/>
                          </a:ln>
                        </wps:spPr>
                        <wps:txbx>
                          <w:txbxContent>
                            <w:p>
                              <w:pPr>
                                <w:spacing w:before="0" w:beforeAutospacing="0" w:after="0" w:afterAutospacing="0"/>
                                <w:jc w:val="center"/>
                              </w:pPr>
                              <w:r>
                                <w:rPr>
                                  <w:rFonts w:hint="eastAsia" w:ascii="Times New Roman"/>
                                  <w:color w:val="000000"/>
                                  <w:kern w:val="2"/>
                                  <w:sz w:val="15"/>
                                  <w:szCs w:val="15"/>
                                </w:rPr>
                                <w:t>混合</w:t>
                              </w:r>
                            </w:p>
                          </w:txbxContent>
                        </wps:txbx>
                        <wps:bodyPr anchor="ctr" upright="1"/>
                      </wps:wsp>
                      <wps:wsp>
                        <wps:cNvPr id="38" name="直接箭头连接符 38"/>
                        <wps:cNvCnPr/>
                        <wps:spPr>
                          <a:xfrm flipH="1">
                            <a:off x="3007651" y="3043555"/>
                            <a:ext cx="0" cy="215900"/>
                          </a:xfrm>
                          <a:prstGeom prst="straightConnector1">
                            <a:avLst/>
                          </a:prstGeom>
                          <a:ln w="12700" cap="flat" cmpd="sng">
                            <a:solidFill>
                              <a:srgbClr val="000000"/>
                            </a:solidFill>
                            <a:prstDash val="solid"/>
                            <a:headEnd type="none" w="med" len="med"/>
                            <a:tailEnd type="arrow" w="med" len="med"/>
                          </a:ln>
                        </wps:spPr>
                        <wps:bodyPr/>
                      </wps:wsp>
                      <wps:wsp>
                        <wps:cNvPr id="39" name="矩形 39"/>
                        <wps:cNvSpPr/>
                        <wps:spPr>
                          <a:xfrm>
                            <a:off x="2402586" y="3275330"/>
                            <a:ext cx="1223463" cy="287655"/>
                          </a:xfrm>
                          <a:prstGeom prst="rect">
                            <a:avLst/>
                          </a:prstGeom>
                          <a:noFill/>
                          <a:ln w="19050" cap="flat" cmpd="sng">
                            <a:solidFill>
                              <a:srgbClr val="000000"/>
                            </a:solidFill>
                            <a:prstDash val="solid"/>
                            <a:miter/>
                            <a:headEnd type="none" w="med" len="med"/>
                            <a:tailEnd type="none" w="med" len="med"/>
                          </a:ln>
                        </wps:spPr>
                        <wps:txbx>
                          <w:txbxContent>
                            <w:p>
                              <w:pPr>
                                <w:spacing w:before="0" w:beforeAutospacing="0" w:after="0" w:afterAutospacing="0"/>
                                <w:jc w:val="center"/>
                              </w:pPr>
                              <w:r>
                                <w:rPr>
                                  <w:rFonts w:hint="eastAsia" w:ascii="Times New Roman"/>
                                  <w:color w:val="000000"/>
                                  <w:kern w:val="2"/>
                                  <w:sz w:val="15"/>
                                  <w:szCs w:val="15"/>
                                </w:rPr>
                                <w:t>筛分</w:t>
                              </w:r>
                            </w:p>
                          </w:txbxContent>
                        </wps:txbx>
                        <wps:bodyPr anchor="ctr" upright="1"/>
                      </wps:wsp>
                      <wps:wsp>
                        <wps:cNvPr id="40" name="直接箭头连接符 40"/>
                        <wps:cNvCnPr/>
                        <wps:spPr>
                          <a:xfrm flipH="1">
                            <a:off x="3007651" y="3557905"/>
                            <a:ext cx="0" cy="215900"/>
                          </a:xfrm>
                          <a:prstGeom prst="straightConnector1">
                            <a:avLst/>
                          </a:prstGeom>
                          <a:ln w="12700" cap="flat" cmpd="sng">
                            <a:solidFill>
                              <a:srgbClr val="000000"/>
                            </a:solidFill>
                            <a:prstDash val="solid"/>
                            <a:headEnd type="none" w="med" len="med"/>
                            <a:tailEnd type="arrow" w="med" len="med"/>
                          </a:ln>
                        </wps:spPr>
                        <wps:bodyPr/>
                      </wps:wsp>
                      <wps:wsp>
                        <wps:cNvPr id="41" name="矩形 41"/>
                        <wps:cNvSpPr/>
                        <wps:spPr>
                          <a:xfrm>
                            <a:off x="2402586" y="3789680"/>
                            <a:ext cx="1223463" cy="287655"/>
                          </a:xfrm>
                          <a:prstGeom prst="rect">
                            <a:avLst/>
                          </a:prstGeom>
                          <a:noFill/>
                          <a:ln w="19050" cap="flat" cmpd="sng">
                            <a:solidFill>
                              <a:srgbClr val="000000"/>
                            </a:solidFill>
                            <a:prstDash val="solid"/>
                            <a:miter/>
                            <a:headEnd type="none" w="med" len="med"/>
                            <a:tailEnd type="none" w="med" len="med"/>
                          </a:ln>
                        </wps:spPr>
                        <wps:txbx>
                          <w:txbxContent>
                            <w:p>
                              <w:pPr>
                                <w:spacing w:before="0" w:beforeAutospacing="0" w:after="0" w:afterAutospacing="0"/>
                                <w:jc w:val="center"/>
                              </w:pPr>
                              <w:r>
                                <w:rPr>
                                  <w:rFonts w:hint="eastAsia" w:ascii="Times New Roman"/>
                                  <w:color w:val="000000"/>
                                  <w:kern w:val="2"/>
                                  <w:sz w:val="15"/>
                                  <w:szCs w:val="15"/>
                                </w:rPr>
                                <w:t>除磁性异物</w:t>
                              </w:r>
                            </w:p>
                          </w:txbxContent>
                        </wps:txbx>
                        <wps:bodyPr anchor="ctr" upright="1"/>
                      </wps:wsp>
                      <wps:wsp>
                        <wps:cNvPr id="42" name="直接箭头连接符 42"/>
                        <wps:cNvCnPr/>
                        <wps:spPr>
                          <a:xfrm flipH="1">
                            <a:off x="3007651" y="4072255"/>
                            <a:ext cx="0" cy="215900"/>
                          </a:xfrm>
                          <a:prstGeom prst="straightConnector1">
                            <a:avLst/>
                          </a:prstGeom>
                          <a:ln w="12700" cap="flat" cmpd="sng">
                            <a:solidFill>
                              <a:srgbClr val="000000"/>
                            </a:solidFill>
                            <a:prstDash val="solid"/>
                            <a:headEnd type="none" w="med" len="med"/>
                            <a:tailEnd type="arrow" w="med" len="med"/>
                          </a:ln>
                        </wps:spPr>
                        <wps:bodyPr/>
                      </wps:wsp>
                      <wps:wsp>
                        <wps:cNvPr id="43" name="左大括号 43"/>
                        <wps:cNvSpPr/>
                        <wps:spPr>
                          <a:xfrm>
                            <a:off x="1774030" y="266700"/>
                            <a:ext cx="593636" cy="4200525"/>
                          </a:xfrm>
                          <a:prstGeom prst="leftBrace">
                            <a:avLst>
                              <a:gd name="adj1" fmla="val 8353"/>
                              <a:gd name="adj2" fmla="val 50000"/>
                            </a:avLst>
                          </a:prstGeom>
                          <a:noFill/>
                          <a:ln w="9525" cap="flat" cmpd="sng">
                            <a:solidFill>
                              <a:srgbClr val="000000"/>
                            </a:solidFill>
                            <a:prstDash val="solid"/>
                            <a:headEnd type="none" w="med" len="med"/>
                            <a:tailEnd type="none" w="med" len="med"/>
                          </a:ln>
                        </wps:spPr>
                        <wps:bodyPr anchor="ctr" upright="1"/>
                      </wps:wsp>
                      <wps:wsp>
                        <wps:cNvPr id="44" name="矩形 44"/>
                        <wps:cNvSpPr/>
                        <wps:spPr>
                          <a:xfrm>
                            <a:off x="697865" y="1066800"/>
                            <a:ext cx="719983" cy="287655"/>
                          </a:xfrm>
                          <a:prstGeom prst="rect">
                            <a:avLst/>
                          </a:prstGeom>
                          <a:noFill/>
                          <a:ln w="19050" cap="flat" cmpd="sng">
                            <a:solidFill>
                              <a:srgbClr val="000000"/>
                            </a:solidFill>
                            <a:prstDash val="solid"/>
                            <a:miter/>
                            <a:headEnd type="none" w="med" len="med"/>
                            <a:tailEnd type="none" w="med" len="med"/>
                          </a:ln>
                        </wps:spPr>
                        <wps:txbx>
                          <w:txbxContent>
                            <w:p>
                              <w:pPr>
                                <w:jc w:val="center"/>
                                <w:rPr>
                                  <w:color w:val="000000"/>
                                  <w:sz w:val="15"/>
                                  <w:szCs w:val="15"/>
                                </w:rPr>
                              </w:pPr>
                              <w:r>
                                <w:rPr>
                                  <w:rFonts w:hint="eastAsia"/>
                                  <w:color w:val="000000"/>
                                  <w:sz w:val="15"/>
                                  <w:szCs w:val="15"/>
                                </w:rPr>
                                <w:t>原辅料</w:t>
                              </w:r>
                            </w:p>
                          </w:txbxContent>
                        </wps:txbx>
                        <wps:bodyPr anchor="ctr" upright="1"/>
                      </wps:wsp>
                      <wps:wsp>
                        <wps:cNvPr id="45" name="矩形 45"/>
                        <wps:cNvSpPr/>
                        <wps:spPr>
                          <a:xfrm>
                            <a:off x="697865" y="2228850"/>
                            <a:ext cx="719983" cy="287655"/>
                          </a:xfrm>
                          <a:prstGeom prst="rect">
                            <a:avLst/>
                          </a:prstGeom>
                          <a:noFill/>
                          <a:ln w="19050" cap="flat" cmpd="sng">
                            <a:solidFill>
                              <a:srgbClr val="000000"/>
                            </a:solidFill>
                            <a:prstDash val="solid"/>
                            <a:miter/>
                            <a:headEnd type="none" w="med" len="med"/>
                            <a:tailEnd type="none" w="med" len="med"/>
                          </a:ln>
                        </wps:spPr>
                        <wps:txbx>
                          <w:txbxContent>
                            <w:p>
                              <w:pPr>
                                <w:jc w:val="center"/>
                                <w:rPr>
                                  <w:color w:val="000000"/>
                                  <w:sz w:val="15"/>
                                  <w:szCs w:val="15"/>
                                </w:rPr>
                              </w:pPr>
                              <w:r>
                                <w:rPr>
                                  <w:rFonts w:hint="eastAsia"/>
                                  <w:color w:val="000000"/>
                                  <w:sz w:val="15"/>
                                  <w:szCs w:val="15"/>
                                </w:rPr>
                                <w:t>能源</w:t>
                              </w:r>
                            </w:p>
                          </w:txbxContent>
                        </wps:txbx>
                        <wps:bodyPr anchor="ctr" upright="1"/>
                      </wps:wsp>
                      <wps:wsp>
                        <wps:cNvPr id="46" name="矩形 46"/>
                        <wps:cNvSpPr/>
                        <wps:spPr>
                          <a:xfrm>
                            <a:off x="697865" y="3391535"/>
                            <a:ext cx="719983" cy="288290"/>
                          </a:xfrm>
                          <a:prstGeom prst="rect">
                            <a:avLst/>
                          </a:prstGeom>
                          <a:noFill/>
                          <a:ln w="19050" cap="flat" cmpd="sng">
                            <a:solidFill>
                              <a:srgbClr val="000000"/>
                            </a:solidFill>
                            <a:prstDash val="solid"/>
                            <a:miter/>
                            <a:headEnd type="none" w="med" len="med"/>
                            <a:tailEnd type="none" w="med" len="med"/>
                          </a:ln>
                        </wps:spPr>
                        <wps:txbx>
                          <w:txbxContent>
                            <w:p>
                              <w:pPr>
                                <w:jc w:val="center"/>
                                <w:rPr>
                                  <w:color w:val="000000"/>
                                  <w:sz w:val="15"/>
                                  <w:szCs w:val="15"/>
                                </w:rPr>
                              </w:pPr>
                              <w:r>
                                <w:rPr>
                                  <w:rFonts w:hint="eastAsia"/>
                                  <w:color w:val="000000"/>
                                  <w:sz w:val="15"/>
                                  <w:szCs w:val="15"/>
                                </w:rPr>
                                <w:t>水</w:t>
                              </w:r>
                            </w:p>
                          </w:txbxContent>
                        </wps:txbx>
                        <wps:bodyPr anchor="ctr" upright="1"/>
                      </wps:wsp>
                      <wps:wsp>
                        <wps:cNvPr id="47" name="直接箭头连接符 47"/>
                        <wps:cNvCnPr/>
                        <wps:spPr>
                          <a:xfrm flipV="1">
                            <a:off x="1427381" y="1209675"/>
                            <a:ext cx="651422" cy="1270"/>
                          </a:xfrm>
                          <a:prstGeom prst="straightConnector1">
                            <a:avLst/>
                          </a:prstGeom>
                          <a:ln w="9525" cap="flat" cmpd="sng">
                            <a:solidFill>
                              <a:srgbClr val="000000"/>
                            </a:solidFill>
                            <a:prstDash val="solid"/>
                            <a:headEnd type="none" w="med" len="med"/>
                            <a:tailEnd type="arrow" w="med" len="med"/>
                          </a:ln>
                        </wps:spPr>
                        <wps:bodyPr/>
                      </wps:wsp>
                      <wps:wsp>
                        <wps:cNvPr id="48" name="直接箭头连接符 48"/>
                        <wps:cNvCnPr/>
                        <wps:spPr>
                          <a:xfrm flipV="1">
                            <a:off x="1427381" y="3529330"/>
                            <a:ext cx="659040" cy="6350"/>
                          </a:xfrm>
                          <a:prstGeom prst="straightConnector1">
                            <a:avLst/>
                          </a:prstGeom>
                          <a:ln w="9525" cap="flat" cmpd="sng">
                            <a:solidFill>
                              <a:srgbClr val="000000"/>
                            </a:solidFill>
                            <a:prstDash val="solid"/>
                            <a:headEnd type="none" w="med" len="med"/>
                            <a:tailEnd type="arrow" w="med" len="med"/>
                          </a:ln>
                        </wps:spPr>
                        <wps:bodyPr/>
                      </wps:wsp>
                      <wps:wsp>
                        <wps:cNvPr id="49" name="直接箭头连接符 49"/>
                        <wps:cNvCnPr/>
                        <wps:spPr>
                          <a:xfrm>
                            <a:off x="1415943" y="2367280"/>
                            <a:ext cx="358086" cy="0"/>
                          </a:xfrm>
                          <a:prstGeom prst="straightConnector1">
                            <a:avLst/>
                          </a:prstGeom>
                          <a:ln w="9525" cap="flat" cmpd="sng">
                            <a:solidFill>
                              <a:srgbClr val="000000"/>
                            </a:solidFill>
                            <a:prstDash val="solid"/>
                            <a:headEnd type="none" w="med" len="med"/>
                            <a:tailEnd type="arrow" w="med" len="med"/>
                          </a:ln>
                        </wps:spPr>
                        <wps:bodyPr/>
                      </wps:wsp>
                      <wps:wsp>
                        <wps:cNvPr id="50" name="右大括号 50"/>
                        <wps:cNvSpPr/>
                        <wps:spPr>
                          <a:xfrm>
                            <a:off x="3626049" y="266700"/>
                            <a:ext cx="594271" cy="4200525"/>
                          </a:xfrm>
                          <a:prstGeom prst="rightBrace">
                            <a:avLst>
                              <a:gd name="adj1" fmla="val 8344"/>
                              <a:gd name="adj2" fmla="val 50000"/>
                            </a:avLst>
                          </a:prstGeom>
                          <a:noFill/>
                          <a:ln w="9525" cap="flat" cmpd="sng">
                            <a:solidFill>
                              <a:srgbClr val="000000"/>
                            </a:solidFill>
                            <a:prstDash val="solid"/>
                            <a:headEnd type="none" w="med" len="med"/>
                            <a:tailEnd type="none" w="med" len="med"/>
                          </a:ln>
                        </wps:spPr>
                        <wps:bodyPr anchor="ctr" upright="1"/>
                      </wps:wsp>
                      <wps:wsp>
                        <wps:cNvPr id="51" name="矩形 51"/>
                        <wps:cNvSpPr/>
                        <wps:spPr>
                          <a:xfrm>
                            <a:off x="4240002" y="2227580"/>
                            <a:ext cx="719983" cy="288290"/>
                          </a:xfrm>
                          <a:prstGeom prst="rect">
                            <a:avLst/>
                          </a:prstGeom>
                          <a:noFill/>
                          <a:ln w="19050" cap="flat" cmpd="sng">
                            <a:solidFill>
                              <a:srgbClr val="000000"/>
                            </a:solidFill>
                            <a:prstDash val="solid"/>
                            <a:miter/>
                            <a:headEnd type="none" w="med" len="med"/>
                            <a:tailEnd type="none" w="med" len="med"/>
                          </a:ln>
                        </wps:spPr>
                        <wps:txbx>
                          <w:txbxContent>
                            <w:p>
                              <w:pPr>
                                <w:jc w:val="center"/>
                                <w:rPr>
                                  <w:color w:val="000000"/>
                                  <w:sz w:val="15"/>
                                  <w:szCs w:val="15"/>
                                </w:rPr>
                              </w:pPr>
                              <w:r>
                                <w:rPr>
                                  <w:rFonts w:hint="eastAsia"/>
                                  <w:color w:val="000000"/>
                                  <w:sz w:val="15"/>
                                  <w:szCs w:val="15"/>
                                </w:rPr>
                                <w:t>废物排放</w:t>
                              </w:r>
                            </w:p>
                          </w:txbxContent>
                        </wps:txbx>
                        <wps:bodyPr anchor="ctr" upright="1"/>
                      </wps:wsp>
                    </wpg:wgp>
                  </a:graphicData>
                </a:graphic>
              </wp:anchor>
            </w:drawing>
          </mc:Choice>
          <mc:Fallback>
            <w:pict>
              <v:group id="_x0000_s1026" o:spid="_x0000_s1026" o:spt="203" style="position:absolute;left:0pt;margin-left:36.95pt;margin-top:14.05pt;height:306.05pt;width:295.9pt;mso-position-horizontal-relative:char;mso-position-vertical-relative:line;z-index:251661312;mso-width-relative:page;mso-height-relative:page;" coordorigin="697865,18944" coordsize="4262120,4448281" o:gfxdata="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">
                <o:lock v:ext="edit" aspectratio="f"/>
                <v:rect id="_x0000_s1026" o:spid="_x0000_s1026" o:spt="1" style="position:absolute;left:2383844;top:18944;height:436035;width:1224333;v-text-anchor:middle;" filled="f" stroked="t" coordsize="21600,21600" o:gfxdata="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lNDevQAA&#10;ANsAAAAPAAAAAAAAAAEAIAAAACIAAABkcnMvZG93bnJldi54bWxQSwECFAAUAAAACACHTuJAMy8F&#10;njsAAAA5AAAAEAAAAAAAAAABACAAAAAMAQAAZHJzL3NoYXBleG1sLnhtbFBLBQYAAAAABgAGAFsB&#10;AAC2AwAAAAA=&#10;">
                  <v:fill on="f" focussize="0,0"/>
                  <v:stroke weight="1.5pt" color="#000000" joinstyle="miter"/>
                  <v:imagedata o:title=""/>
                  <o:lock v:ext="edit" aspectratio="f"/>
                  <v:textbox>
                    <w:txbxContent>
                      <w:p>
                        <w:pPr>
                          <w:adjustRightInd w:val="0"/>
                          <w:snapToGrid w:val="0"/>
                          <w:jc w:val="center"/>
                          <w:rPr>
                            <w:color w:val="000000"/>
                            <w:sz w:val="15"/>
                            <w:szCs w:val="15"/>
                          </w:rPr>
                        </w:pPr>
                        <w:r>
                          <w:rPr>
                            <w:rFonts w:hint="eastAsia"/>
                            <w:color w:val="000000"/>
                            <w:sz w:val="15"/>
                            <w:szCs w:val="15"/>
                          </w:rPr>
                          <w:t>镍</w:t>
                        </w:r>
                        <w:r>
                          <w:rPr>
                            <w:rFonts w:hint="eastAsia"/>
                            <w:color w:val="000000"/>
                            <w:sz w:val="15"/>
                            <w:szCs w:val="15"/>
                            <w:lang w:eastAsia="zh-CN"/>
                          </w:rPr>
                          <w:t>、</w:t>
                        </w:r>
                        <w:r>
                          <w:rPr>
                            <w:rFonts w:hint="eastAsia"/>
                            <w:color w:val="000000"/>
                            <w:sz w:val="15"/>
                            <w:szCs w:val="15"/>
                            <w:lang w:val="en-US" w:eastAsia="zh-CN"/>
                          </w:rPr>
                          <w:t>钴、锌</w:t>
                        </w:r>
                        <w:r>
                          <w:rPr>
                            <w:rFonts w:hint="eastAsia"/>
                            <w:color w:val="000000"/>
                            <w:sz w:val="15"/>
                            <w:szCs w:val="15"/>
                          </w:rPr>
                          <w:t>的硫酸盐或纯化液的预处理</w:t>
                        </w:r>
                      </w:p>
                    </w:txbxContent>
                  </v:textbox>
                </v:rect>
                <v:shape id="_x0000_s1026" o:spid="_x0000_s1026" o:spt="32" type="#_x0000_t32" style="position:absolute;left:2993048;top:450215;flip:x;height:215900;width:0;" filled="f" stroked="t" coordsize="21600,21600" o:gfxdata="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LU5ObsAAADb&#10;AAAADwAAAAAAAAABACAAAAAiAAAAZHJzL2Rvd25yZXYueG1sUEsBAhQAFAAAAAgAh07iQDMvBZ47&#10;AAAAOQAAABAAAAAAAAAAAQAgAAAACgEAAGRycy9zaGFwZXhtbC54bWxQSwUGAAAAAAYABgBbAQAA&#10;tAMAAAAA&#10;">
                  <v:fill on="f" focussize="0,0"/>
                  <v:stroke weight="1pt" color="#000000" joinstyle="round" endarrow="open"/>
                  <v:imagedata o:title=""/>
                  <o:lock v:ext="edit" aspectratio="f"/>
                </v:shape>
                <v:rect id="_x0000_s1026" o:spid="_x0000_s1026" o:spt="1" style="position:absolute;left:2388618;top:674370;height:287655;width:1223463;v-text-anchor:middle;" filled="f" stroked="t" coordsize="21600,21600" o:gfxdata="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R+E3vQAA&#10;ANsAAAAPAAAAAAAAAAEAIAAAACIAAABkcnMvZG93bnJldi54bWxQSwECFAAUAAAACACHTuJAMy8F&#10;njsAAAA5AAAAEAAAAAAAAAABACAAAAAMAQAAZHJzL3NoYXBleG1sLnhtbFBLBQYAAAAABgAGAFsB&#10;AAC2AwAAAAA=&#10;">
                  <v:fill on="f" focussize="0,0"/>
                  <v:stroke weight="1.5pt" color="#000000" joinstyle="miter"/>
                  <v:imagedata o:title=""/>
                  <o:lock v:ext="edit" aspectratio="f"/>
                  <v:textbox>
                    <w:txbxContent>
                      <w:p>
                        <w:pPr>
                          <w:spacing w:before="0" w:beforeAutospacing="0" w:after="0" w:afterAutospacing="0"/>
                          <w:jc w:val="center"/>
                        </w:pPr>
                        <w:r>
                          <w:rPr>
                            <w:rFonts w:hint="eastAsia" w:ascii="Times New Roman"/>
                            <w:color w:val="000000"/>
                            <w:kern w:val="2"/>
                            <w:sz w:val="15"/>
                            <w:szCs w:val="15"/>
                          </w:rPr>
                          <w:t>配料</w:t>
                        </w:r>
                      </w:p>
                    </w:txbxContent>
                  </v:textbox>
                </v:rect>
                <v:shape id="_x0000_s1026" o:spid="_x0000_s1026" o:spt="32" type="#_x0000_t32" style="position:absolute;left:3007651;top:962025;flip:x;height:216535;width:0;" filled="f" stroked="t" coordsize="21600,21600" o:gfxdata="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xqj4rsAAADb&#10;AAAADwAAAAAAAAABACAAAAAiAAAAZHJzL2Rvd25yZXYueG1sUEsBAhQAFAAAAAgAh07iQDMvBZ47&#10;AAAAOQAAABAAAAAAAAAAAQAgAAAACgEAAGRycy9zaGFwZXhtbC54bWxQSwUGAAAAAAYABgBbAQAA&#10;tAMAAAAA&#10;">
                  <v:fill on="f" focussize="0,0"/>
                  <v:stroke weight="1pt" color="#000000" joinstyle="round" endarrow="open"/>
                  <v:imagedata o:title=""/>
                  <o:lock v:ext="edit" aspectratio="f"/>
                </v:shape>
                <v:rect id="_x0000_s1026" o:spid="_x0000_s1026" o:spt="1" style="position:absolute;left:2402586;top:1193800;height:287655;width:1223463;v-text-anchor:middle;" filled="f" stroked="t" coordsize="21600,21600" o:gfxdata="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7oe+y/&#10;AAAA2wAAAA8AAAAAAAAAAQAgAAAAIgAAAGRycy9kb3ducmV2LnhtbFBLAQIUABQAAAAIAIdO4kAz&#10;LwWeOwAAADkAAAAQAAAAAAAAAAEAIAAAAA4BAABkcnMvc2hhcGV4bWwueG1sUEsFBgAAAAAGAAYA&#10;WwEAALgDAAAAAA==&#10;">
                  <v:fill on="f" focussize="0,0"/>
                  <v:stroke weight="1.5pt" color="#000000" joinstyle="miter"/>
                  <v:imagedata o:title=""/>
                  <o:lock v:ext="edit" aspectratio="f"/>
                  <v:textbox>
                    <w:txbxContent>
                      <w:p>
                        <w:pPr>
                          <w:spacing w:before="0" w:beforeAutospacing="0" w:after="0" w:afterAutospacing="0"/>
                          <w:jc w:val="center"/>
                        </w:pPr>
                        <w:r>
                          <w:rPr>
                            <w:rFonts w:hint="eastAsia" w:ascii="Times New Roman"/>
                            <w:color w:val="000000"/>
                            <w:kern w:val="2"/>
                            <w:sz w:val="15"/>
                            <w:szCs w:val="15"/>
                          </w:rPr>
                          <w:t>合成、陈化</w:t>
                        </w:r>
                      </w:p>
                    </w:txbxContent>
                  </v:textbox>
                </v:rect>
                <v:shape id="_x0000_s1026" o:spid="_x0000_s1026" o:spt="32" type="#_x0000_t32" style="position:absolute;left:3007651;top:1490980;flip:x;height:215900;width:0;" filled="f" stroked="t" coordsize="21600,21600" o:gfxdata="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ISYDr4A&#10;AADbAAAADwAAAAAAAAABACAAAAAiAAAAZHJzL2Rvd25yZXYueG1sUEsBAhQAFAAAAAgAh07iQDMv&#10;BZ47AAAAOQAAABAAAAAAAAAAAQAgAAAADQEAAGRycy9zaGFwZXhtbC54bWxQSwUGAAAAAAYABgBb&#10;AQAAtwMAAAAA&#10;">
                  <v:fill on="f" focussize="0,0"/>
                  <v:stroke weight="1pt" color="#000000" joinstyle="round" endarrow="open"/>
                  <v:imagedata o:title=""/>
                  <o:lock v:ext="edit" aspectratio="f"/>
                </v:shape>
                <v:rect id="_x0000_s1026" o:spid="_x0000_s1026" o:spt="1" style="position:absolute;left:2402586;top:1722755;height:287655;width:1223463;v-text-anchor:middle;" filled="f" stroked="t" coordsize="21600,21600" o:gfxdata="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F2QAC/&#10;AAAA2wAAAA8AAAAAAAAAAQAgAAAAIgAAAGRycy9kb3ducmV2LnhtbFBLAQIUABQAAAAIAIdO4kAz&#10;LwWeOwAAADkAAAAQAAAAAAAAAAEAIAAAAA4BAABkcnMvc2hhcGV4bWwueG1sUEsFBgAAAAAGAAYA&#10;WwEAALgDAAAAAA==&#10;">
                  <v:fill on="f" focussize="0,0"/>
                  <v:stroke weight="1.5pt" color="#000000" joinstyle="miter"/>
                  <v:imagedata o:title=""/>
                  <o:lock v:ext="edit" aspectratio="f"/>
                  <v:textbox>
                    <w:txbxContent>
                      <w:p>
                        <w:pPr>
                          <w:spacing w:before="0" w:beforeAutospacing="0" w:after="0" w:afterAutospacing="0"/>
                          <w:jc w:val="center"/>
                        </w:pPr>
                        <w:r>
                          <w:rPr>
                            <w:rFonts w:hint="eastAsia" w:ascii="Times New Roman"/>
                            <w:color w:val="000000"/>
                            <w:kern w:val="2"/>
                            <w:sz w:val="15"/>
                            <w:szCs w:val="15"/>
                          </w:rPr>
                          <w:t>洗涤、分离</w:t>
                        </w:r>
                      </w:p>
                    </w:txbxContent>
                  </v:textbox>
                </v:rect>
                <v:shape id="_x0000_s1026" o:spid="_x0000_s1026" o:spt="32" type="#_x0000_t32" style="position:absolute;left:3007651;top:2014855;flip:x;height:215900;width:0;" filled="f" stroked="t" coordsize="21600,21600" o:gfxdata="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IaXhvQAA&#10;ANsAAAAPAAAAAAAAAAEAIAAAACIAAABkcnMvZG93bnJldi54bWxQSwECFAAUAAAACACHTuJAMy8F&#10;njsAAAA5AAAAEAAAAAAAAAABACAAAAAMAQAAZHJzL3NoYXBleG1sLnhtbFBLBQYAAAAABgAGAFsB&#10;AAC2AwAAAAA=&#10;">
                  <v:fill on="f" focussize="0,0"/>
                  <v:stroke weight="1pt" color="#000000" joinstyle="round" endarrow="open"/>
                  <v:imagedata o:title=""/>
                  <o:lock v:ext="edit" aspectratio="f"/>
                </v:shape>
                <v:rect id="_x0000_s1026" o:spid="_x0000_s1026" o:spt="1" style="position:absolute;left:2402586;top:2246630;height:287655;width:1223463;v-text-anchor:middle;" filled="f" stroked="t" coordsize="21600,21600" o:gfxdata="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033vvQAA&#10;ANsAAAAPAAAAAAAAAAEAIAAAACIAAABkcnMvZG93bnJldi54bWxQSwECFAAUAAAACACHTuJAMy8F&#10;njsAAAA5AAAAEAAAAAAAAAABACAAAAAMAQAAZHJzL3NoYXBleG1sLnhtbFBLBQYAAAAABgAGAFsB&#10;AAC2AwAAAAA=&#10;">
                  <v:fill on="f" focussize="0,0"/>
                  <v:stroke weight="1.5pt" color="#000000" joinstyle="miter"/>
                  <v:imagedata o:title=""/>
                  <o:lock v:ext="edit" aspectratio="f"/>
                  <v:textbox>
                    <w:txbxContent>
                      <w:p>
                        <w:pPr>
                          <w:spacing w:before="0" w:beforeAutospacing="0" w:after="0" w:afterAutospacing="0"/>
                          <w:jc w:val="center"/>
                        </w:pPr>
                        <w:r>
                          <w:rPr>
                            <w:rFonts w:hint="eastAsia" w:ascii="Times New Roman"/>
                            <w:color w:val="000000"/>
                            <w:kern w:val="2"/>
                            <w:sz w:val="15"/>
                            <w:szCs w:val="15"/>
                          </w:rPr>
                          <w:t>干燥</w:t>
                        </w:r>
                      </w:p>
                    </w:txbxContent>
                  </v:textbox>
                </v:rect>
                <v:shape id="_x0000_s1026" o:spid="_x0000_s1026" o:spt="32" type="#_x0000_t32" style="position:absolute;left:3007651;top:2519680;flip:x;height:215900;width:0;" filled="f" stroked="t" coordsize="21600,21600" o:gfxdata="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g2/&#10;AAAA2wAAAA8AAAAAAAAAAQAgAAAAIgAAAGRycy9kb3ducmV2LnhtbFBLAQIUABQAAAAIAIdO4kAz&#10;LwWeOwAAADkAAAAQAAAAAAAAAAEAIAAAAA4BAABkcnMvc2hhcGV4bWwueG1sUEsFBgAAAAAGAAYA&#10;WwEAALgDAAAAAA==&#10;">
                  <v:fill on="f" focussize="0,0"/>
                  <v:stroke weight="1pt" color="#000000" joinstyle="round" endarrow="open"/>
                  <v:imagedata o:title=""/>
                  <o:lock v:ext="edit" aspectratio="f"/>
                </v:shape>
                <v:rect id="_x0000_s1026" o:spid="_x0000_s1026" o:spt="1" style="position:absolute;left:2402586;top:2751455;height:287655;width:1223463;v-text-anchor:middle;" filled="f" stroked="t" coordsize="21600,21600" o:gfxdata="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TUYDvQAA&#10;ANsAAAAPAAAAAAAAAAEAIAAAACIAAABkcnMvZG93bnJldi54bWxQSwECFAAUAAAACACHTuJAMy8F&#10;njsAAAA5AAAAEAAAAAAAAAABACAAAAAMAQAAZHJzL3NoYXBleG1sLnhtbFBLBQYAAAAABgAGAFsB&#10;AAC2AwAAAAA=&#10;">
                  <v:fill on="f" focussize="0,0"/>
                  <v:stroke weight="1.5pt" color="#000000" joinstyle="miter"/>
                  <v:imagedata o:title=""/>
                  <o:lock v:ext="edit" aspectratio="f"/>
                  <v:textbox>
                    <w:txbxContent>
                      <w:p>
                        <w:pPr>
                          <w:spacing w:before="0" w:beforeAutospacing="0" w:after="0" w:afterAutospacing="0"/>
                          <w:jc w:val="center"/>
                        </w:pPr>
                        <w:r>
                          <w:rPr>
                            <w:rFonts w:hint="eastAsia" w:ascii="Times New Roman"/>
                            <w:color w:val="000000"/>
                            <w:kern w:val="2"/>
                            <w:sz w:val="15"/>
                            <w:szCs w:val="15"/>
                          </w:rPr>
                          <w:t>混合</w:t>
                        </w:r>
                      </w:p>
                    </w:txbxContent>
                  </v:textbox>
                </v:rect>
                <v:shape id="_x0000_s1026" o:spid="_x0000_s1026" o:spt="32" type="#_x0000_t32" style="position:absolute;left:3007651;top:3043555;flip:x;height:215900;width:0;" filled="f" stroked="t" coordsize="21600,21600" o:gfxdata="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Wyv5LsAAADb&#10;AAAADwAAAAAAAAABACAAAAAiAAAAZHJzL2Rvd25yZXYueG1sUEsBAhQAFAAAAAgAh07iQDMvBZ47&#10;AAAAOQAAABAAAAAAAAAAAQAgAAAACgEAAGRycy9zaGFwZXhtbC54bWxQSwUGAAAAAAYABgBbAQAA&#10;tAMAAAAA&#10;">
                  <v:fill on="f" focussize="0,0"/>
                  <v:stroke weight="1pt" color="#000000" joinstyle="round" endarrow="open"/>
                  <v:imagedata o:title=""/>
                  <o:lock v:ext="edit" aspectratio="f"/>
                </v:shape>
                <v:rect id="_x0000_s1026" o:spid="_x0000_s1026" o:spt="1" style="position:absolute;left:2402586;top:3275330;height:287655;width:1223463;v-text-anchor:middle;" filled="f" stroked="t" coordsize="21600,21600" o:gfxdata="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nnfqvQAA&#10;ANsAAAAPAAAAAAAAAAEAIAAAACIAAABkcnMvZG93bnJldi54bWxQSwECFAAUAAAACACHTuJAMy8F&#10;njsAAAA5AAAAEAAAAAAAAAABACAAAAAMAQAAZHJzL3NoYXBleG1sLnhtbFBLBQYAAAAABgAGAFsB&#10;AAC2AwAAAAA=&#10;">
                  <v:fill on="f" focussize="0,0"/>
                  <v:stroke weight="1.5pt" color="#000000" joinstyle="miter"/>
                  <v:imagedata o:title=""/>
                  <o:lock v:ext="edit" aspectratio="f"/>
                  <v:textbox>
                    <w:txbxContent>
                      <w:p>
                        <w:pPr>
                          <w:spacing w:before="0" w:beforeAutospacing="0" w:after="0" w:afterAutospacing="0"/>
                          <w:jc w:val="center"/>
                        </w:pPr>
                        <w:r>
                          <w:rPr>
                            <w:rFonts w:hint="eastAsia" w:ascii="Times New Roman"/>
                            <w:color w:val="000000"/>
                            <w:kern w:val="2"/>
                            <w:sz w:val="15"/>
                            <w:szCs w:val="15"/>
                          </w:rPr>
                          <w:t>筛分</w:t>
                        </w:r>
                      </w:p>
                    </w:txbxContent>
                  </v:textbox>
                </v:rect>
                <v:shape id="_x0000_s1026" o:spid="_x0000_s1026" o:spt="32" type="#_x0000_t32" style="position:absolute;left:3007651;top:3557905;flip:x;height:215900;width:0;" filled="f" stroked="t" coordsize="21600,21600" o:gfxdata="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zQn7sAAADb&#10;AAAADwAAAAAAAAABACAAAAAiAAAAZHJzL2Rvd25yZXYueG1sUEsBAhQAFAAAAAgAh07iQDMvBZ47&#10;AAAAOQAAABAAAAAAAAAAAQAgAAAACgEAAGRycy9zaGFwZXhtbC54bWxQSwUGAAAAAAYABgBbAQAA&#10;tAMAAAAA&#10;">
                  <v:fill on="f" focussize="0,0"/>
                  <v:stroke weight="1pt" color="#000000" joinstyle="round" endarrow="open"/>
                  <v:imagedata o:title=""/>
                  <o:lock v:ext="edit" aspectratio="f"/>
                </v:shape>
                <v:rect id="_x0000_s1026" o:spid="_x0000_s1026" o:spt="1" style="position:absolute;left:2402586;top:3789680;height:287655;width:1223463;v-text-anchor:middle;" filled="f" stroked="t" coordsize="21600,21600" o:gfxdata="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u4Ikb4A&#10;AADbAAAADwAAAAAAAAABACAAAAAiAAAAZHJzL2Rvd25yZXYueG1sUEsBAhQAFAAAAAgAh07iQDMv&#10;BZ47AAAAOQAAABAAAAAAAAAAAQAgAAAADQEAAGRycy9zaGFwZXhtbC54bWxQSwUGAAAAAAYABgBb&#10;AQAAtwMAAAAA&#10;">
                  <v:fill on="f" focussize="0,0"/>
                  <v:stroke weight="1.5pt" color="#000000" joinstyle="miter"/>
                  <v:imagedata o:title=""/>
                  <o:lock v:ext="edit" aspectratio="f"/>
                  <v:textbox>
                    <w:txbxContent>
                      <w:p>
                        <w:pPr>
                          <w:spacing w:before="0" w:beforeAutospacing="0" w:after="0" w:afterAutospacing="0"/>
                          <w:jc w:val="center"/>
                        </w:pPr>
                        <w:r>
                          <w:rPr>
                            <w:rFonts w:hint="eastAsia" w:ascii="Times New Roman"/>
                            <w:color w:val="000000"/>
                            <w:kern w:val="2"/>
                            <w:sz w:val="15"/>
                            <w:szCs w:val="15"/>
                          </w:rPr>
                          <w:t>除磁性异物</w:t>
                        </w:r>
                      </w:p>
                    </w:txbxContent>
                  </v:textbox>
                </v:rect>
                <v:shape id="_x0000_s1026" o:spid="_x0000_s1026" o:spt="32" type="#_x0000_t32" style="position:absolute;left:3007651;top:4072255;flip:x;height:215900;width:0;" filled="f" stroked="t" coordsize="21600,21600" o:gfxdata="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iC63O/&#10;AAAA2wAAAA8AAAAAAAAAAQAgAAAAIgAAAGRycy9kb3ducmV2LnhtbFBLAQIUABQAAAAIAIdO4kAz&#10;LwWeOwAAADkAAAAQAAAAAAAAAAEAIAAAAA4BAABkcnMvc2hhcGV4bWwueG1sUEsFBgAAAAAGAAYA&#10;WwEAALgDAAAAAA==&#10;">
                  <v:fill on="f" focussize="0,0"/>
                  <v:stroke weight="1pt" color="#000000" joinstyle="round" endarrow="open"/>
                  <v:imagedata o:title=""/>
                  <o:lock v:ext="edit" aspectratio="f"/>
                </v:shape>
                <v:shape id="_x0000_s1026" o:spid="_x0000_s1026" o:spt="87" type="#_x0000_t87" style="position:absolute;left:1774030;top:266700;height:4200525;width:593636;v-text-anchor:middle;" filled="f" stroked="t" coordsize="21600,21600" o:gfxdata="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Jl+wu8AAAA&#10;2wAAAA8AAAAAAAAAAQAgAAAAIgAAAGRycy9kb3ducmV2LnhtbFBLAQIUABQAAAAIAIdO4kAzLwWe&#10;OwAAADkAAAAQAAAAAAAAAAEAIAAAAAsBAABkcnMvc2hhcGV4bWwueG1sUEsFBgAAAAAGAAYAWwEA&#10;ALUDAAAAAA==&#10;" adj="254,10800">
                  <v:fill on="f" focussize="0,0"/>
                  <v:stroke color="#000000" joinstyle="round"/>
                  <v:imagedata o:title=""/>
                  <o:lock v:ext="edit" aspectratio="f"/>
                </v:shape>
                <v:rect id="_x0000_s1026" o:spid="_x0000_s1026" o:spt="1" style="position:absolute;left:697865;top:1066800;height:287655;width:719983;v-text-anchor:middle;" filled="f" stroked="t" coordsize="21600,21600" o:gfxdata="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Zqwm/&#10;AAAA2wAAAA8AAAAAAAAAAQAgAAAAIgAAAGRycy9kb3ducmV2LnhtbFBLAQIUABQAAAAIAIdO4kAz&#10;LwWeOwAAADkAAAAQAAAAAAAAAAEAIAAAAA4BAABkcnMvc2hhcGV4bWwueG1sUEsFBgAAAAAGAAYA&#10;WwEAALgDAAAAAA==&#10;">
                  <v:fill on="f" focussize="0,0"/>
                  <v:stroke weight="1.5pt" color="#000000" joinstyle="miter"/>
                  <v:imagedata o:title=""/>
                  <o:lock v:ext="edit" aspectratio="f"/>
                  <v:textbox>
                    <w:txbxContent>
                      <w:p>
                        <w:pPr>
                          <w:jc w:val="center"/>
                          <w:rPr>
                            <w:color w:val="000000"/>
                            <w:sz w:val="15"/>
                            <w:szCs w:val="15"/>
                          </w:rPr>
                        </w:pPr>
                        <w:r>
                          <w:rPr>
                            <w:rFonts w:hint="eastAsia"/>
                            <w:color w:val="000000"/>
                            <w:sz w:val="15"/>
                            <w:szCs w:val="15"/>
                          </w:rPr>
                          <w:t>原辅料</w:t>
                        </w:r>
                      </w:p>
                    </w:txbxContent>
                  </v:textbox>
                </v:rect>
                <v:rect id="_x0000_s1026" o:spid="_x0000_s1026" o:spt="1" style="position:absolute;left:697865;top:2228850;height:287655;width:719983;v-text-anchor:middle;" filled="f" stroked="t" coordsize="21600,21600" o:gfxdata="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UOkr4A&#10;AADbAAAADwAAAAAAAAABACAAAAAiAAAAZHJzL2Rvd25yZXYueG1sUEsBAhQAFAAAAAgAh07iQDMv&#10;BZ47AAAAOQAAABAAAAAAAAAAAQAgAAAADQEAAGRycy9zaGFwZXhtbC54bWxQSwUGAAAAAAYABgBb&#10;AQAAtwMAAAAA&#10;">
                  <v:fill on="f" focussize="0,0"/>
                  <v:stroke weight="1.5pt" color="#000000" joinstyle="miter"/>
                  <v:imagedata o:title=""/>
                  <o:lock v:ext="edit" aspectratio="f"/>
                  <v:textbox>
                    <w:txbxContent>
                      <w:p>
                        <w:pPr>
                          <w:jc w:val="center"/>
                          <w:rPr>
                            <w:color w:val="000000"/>
                            <w:sz w:val="15"/>
                            <w:szCs w:val="15"/>
                          </w:rPr>
                        </w:pPr>
                        <w:r>
                          <w:rPr>
                            <w:rFonts w:hint="eastAsia"/>
                            <w:color w:val="000000"/>
                            <w:sz w:val="15"/>
                            <w:szCs w:val="15"/>
                          </w:rPr>
                          <w:t>能源</w:t>
                        </w:r>
                      </w:p>
                    </w:txbxContent>
                  </v:textbox>
                </v:rect>
                <v:rect id="_x0000_s1026" o:spid="_x0000_s1026" o:spt="1" style="position:absolute;left:697865;top:3391535;height:288290;width:719983;v-text-anchor:middle;" filled="f" stroked="t" coordsize="21600,21600" o:gfxdata="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B5Dl&#10;wAAAANsAAAAPAAAAAAAAAAEAIAAAACIAAABkcnMvZG93bnJldi54bWxQSwECFAAUAAAACACHTuJA&#10;My8FnjsAAAA5AAAAEAAAAAAAAAABACAAAAAPAQAAZHJzL3NoYXBleG1sLnhtbFBLBQYAAAAABgAG&#10;AFsBAAC5AwAAAAA=&#10;">
                  <v:fill on="f" focussize="0,0"/>
                  <v:stroke weight="1.5pt" color="#000000" joinstyle="miter"/>
                  <v:imagedata o:title=""/>
                  <o:lock v:ext="edit" aspectratio="f"/>
                  <v:textbox>
                    <w:txbxContent>
                      <w:p>
                        <w:pPr>
                          <w:jc w:val="center"/>
                          <w:rPr>
                            <w:color w:val="000000"/>
                            <w:sz w:val="15"/>
                            <w:szCs w:val="15"/>
                          </w:rPr>
                        </w:pPr>
                        <w:r>
                          <w:rPr>
                            <w:rFonts w:hint="eastAsia"/>
                            <w:color w:val="000000"/>
                            <w:sz w:val="15"/>
                            <w:szCs w:val="15"/>
                          </w:rPr>
                          <w:t>水</w:t>
                        </w:r>
                      </w:p>
                    </w:txbxContent>
                  </v:textbox>
                </v:rect>
                <v:shape id="_x0000_s1026" o:spid="_x0000_s1026" o:spt="32" type="#_x0000_t32" style="position:absolute;left:1427381;top:1209675;flip:y;height:1270;width:651422;" filled="f" stroked="t" coordsize="21600,21600" o:gfxdata="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6h4X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shape id="_x0000_s1026" o:spid="_x0000_s1026" o:spt="32" type="#_x0000_t32" style="position:absolute;left:1427381;top:3529330;flip:y;height:6350;width:659040;" filled="f" stroked="t" coordsize="21600,21600" o:gfxdata="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dYpl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shape>
                <v:shape id="_x0000_s1026" o:spid="_x0000_s1026" o:spt="32" type="#_x0000_t32" style="position:absolute;left:1415943;top:2367280;height:0;width:358086;" filled="f" stroked="t" coordsize="21600,21600" o:gfxdata="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7SLuG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shape id="_x0000_s1026" o:spid="_x0000_s1026" o:spt="88" type="#_x0000_t88" style="position:absolute;left:3626049;top:266700;height:4200525;width:594271;v-text-anchor:middle;" filled="f" stroked="t" coordsize="21600,21600" o:gfxdata="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3HuG8AAAA&#10;2wAAAA8AAAAAAAAAAQAgAAAAIgAAAGRycy9kb3ducmV2LnhtbFBLAQIUABQAAAAIAIdO4kAzLwWe&#10;OwAAADkAAAAQAAAAAAAAAAEAIAAAAAsBAABkcnMvc2hhcGV4bWwueG1sUEsFBgAAAAAGAAYAWwEA&#10;ALUDAAAAAA==&#10;" adj="254,10800">
                  <v:fill on="f" focussize="0,0"/>
                  <v:stroke color="#000000" joinstyle="round"/>
                  <v:imagedata o:title=""/>
                  <o:lock v:ext="edit" aspectratio="f"/>
                </v:shape>
                <v:rect id="_x0000_s1026" o:spid="_x0000_s1026" o:spt="1" style="position:absolute;left:4240002;top:2227580;height:288290;width:719983;v-text-anchor:middle;" filled="f" stroked="t" coordsize="21600,21600" o:gfxdata="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zeeTL4A&#10;AADbAAAADwAAAAAAAAABACAAAAAiAAAAZHJzL2Rvd25yZXYueG1sUEsBAhQAFAAAAAgAh07iQDMv&#10;BZ47AAAAOQAAABAAAAAAAAAAAQAgAAAADQEAAGRycy9zaGFwZXhtbC54bWxQSwUGAAAAAAYABgBb&#10;AQAAtwMAAAAA&#10;">
                  <v:fill on="f" focussize="0,0"/>
                  <v:stroke weight="1.5pt" color="#000000" joinstyle="miter"/>
                  <v:imagedata o:title=""/>
                  <o:lock v:ext="edit" aspectratio="f"/>
                  <v:textbox>
                    <w:txbxContent>
                      <w:p>
                        <w:pPr>
                          <w:jc w:val="center"/>
                          <w:rPr>
                            <w:color w:val="000000"/>
                            <w:sz w:val="15"/>
                            <w:szCs w:val="15"/>
                          </w:rPr>
                        </w:pPr>
                        <w:r>
                          <w:rPr>
                            <w:rFonts w:hint="eastAsia"/>
                            <w:color w:val="000000"/>
                            <w:sz w:val="15"/>
                            <w:szCs w:val="15"/>
                          </w:rPr>
                          <w:t>废物排放</w:t>
                        </w:r>
                      </w:p>
                    </w:txbxContent>
                  </v:textbox>
                </v:rect>
              </v:group>
            </w:pict>
          </mc:Fallback>
        </mc:AlternateConten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b w:val="0"/>
          <w:bCs/>
          <w:sz w:val="24"/>
          <w:szCs w:val="24"/>
          <w:lang w:val="en-US" w:eastAsia="zh-CN"/>
        </w:rPr>
      </w:pPr>
      <w:r>
        <mc:AlternateContent>
          <mc:Choice Requires="wps">
            <w:drawing>
              <wp:anchor distT="0" distB="0" distL="114300" distR="114300" simplePos="0" relativeHeight="251665408" behindDoc="0" locked="0" layoutInCell="1" allowOverlap="1">
                <wp:simplePos x="0" y="0"/>
                <wp:positionH relativeFrom="character">
                  <wp:posOffset>2448560</wp:posOffset>
                </wp:positionH>
                <wp:positionV relativeFrom="line">
                  <wp:posOffset>165735</wp:posOffset>
                </wp:positionV>
                <wp:extent cx="1061085" cy="250190"/>
                <wp:effectExtent l="9525" t="9525" r="15240" b="26035"/>
                <wp:wrapNone/>
                <wp:docPr id="53" name="矩形 53"/>
                <wp:cNvGraphicFramePr/>
                <a:graphic xmlns:a="http://schemas.openxmlformats.org/drawingml/2006/main">
                  <a:graphicData uri="http://schemas.microsoft.com/office/word/2010/wordprocessingShape">
                    <wps:wsp>
                      <wps:cNvSpPr/>
                      <wps:spPr>
                        <a:xfrm>
                          <a:off x="0" y="0"/>
                          <a:ext cx="1061085" cy="250190"/>
                        </a:xfrm>
                        <a:prstGeom prst="rect">
                          <a:avLst/>
                        </a:prstGeom>
                        <a:noFill/>
                        <a:ln w="19050" cap="flat" cmpd="sng">
                          <a:solidFill>
                            <a:srgbClr val="000000"/>
                          </a:solidFill>
                          <a:prstDash val="solid"/>
                          <a:miter/>
                          <a:headEnd type="none" w="med" len="med"/>
                          <a:tailEnd type="none" w="med" len="med"/>
                        </a:ln>
                      </wps:spPr>
                      <wps:txbx>
                        <w:txbxContent>
                          <w:p>
                            <w:pPr>
                              <w:pStyle w:val="6"/>
                              <w:spacing w:before="0" w:beforeAutospacing="0" w:after="0" w:afterAutospacing="0"/>
                              <w:jc w:val="center"/>
                            </w:pPr>
                            <w:r>
                              <w:rPr>
                                <w:rFonts w:hint="eastAsia" w:ascii="Times New Roman"/>
                                <w:color w:val="000000"/>
                                <w:kern w:val="2"/>
                                <w:sz w:val="15"/>
                                <w:szCs w:val="15"/>
                              </w:rPr>
                              <w:t>产品包装</w:t>
                            </w:r>
                          </w:p>
                        </w:txbxContent>
                      </wps:txbx>
                      <wps:bodyPr anchor="ctr" upright="1"/>
                    </wps:wsp>
                  </a:graphicData>
                </a:graphic>
              </wp:anchor>
            </w:drawing>
          </mc:Choice>
          <mc:Fallback>
            <w:pict>
              <v:rect id="_x0000_s1026" o:spid="_x0000_s1026" o:spt="1" style="position:absolute;left:0pt;margin-left:192.8pt;margin-top:13.05pt;height:19.7pt;width:83.55pt;mso-position-horizontal-relative:char;mso-position-vertical-relative:line;z-index:251665408;v-text-anchor:middle;mso-width-relative:page;mso-height-relative:page;" filled="f" stroked="t" coordsize="21600,21600" o:gfxdata="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I3ZRNoAAAAJAQAADwAAAAAAAAABACAAAAAiAAAAZHJzL2Rvd25yZXYueG1sUEsBAhQAFAAA&#10;AAgAh07iQOc6RajtAQAAwgMAAA4AAAAAAAAAAQAgAAAAKQEAAGRycy9lMm9Eb2MueG1sUEsFBgAA&#10;AAAGAAYAWQEAAIgFAAAAAA==&#10;">
                <v:fill on="f" focussize="0,0"/>
                <v:stroke weight="1.5pt" color="#000000" joinstyle="miter"/>
                <v:imagedata o:title=""/>
                <o:lock v:ext="edit" aspectratio="f"/>
                <v:textbox>
                  <w:txbxContent>
                    <w:p>
                      <w:pPr>
                        <w:pStyle w:val="6"/>
                        <w:spacing w:before="0" w:beforeAutospacing="0" w:after="0" w:afterAutospacing="0"/>
                        <w:jc w:val="center"/>
                      </w:pPr>
                      <w:r>
                        <w:rPr>
                          <w:rFonts w:hint="eastAsia" w:ascii="Times New Roman"/>
                          <w:color w:val="000000"/>
                          <w:kern w:val="2"/>
                          <w:sz w:val="15"/>
                          <w:szCs w:val="15"/>
                        </w:rPr>
                        <w:t>产品包装</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b w:val="0"/>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b w:val="0"/>
          <w:bCs/>
          <w:sz w:val="24"/>
          <w:szCs w:val="24"/>
          <w:lang w:val="en-US" w:eastAsia="zh-CN"/>
        </w:rPr>
      </w:pPr>
    </w:p>
    <w:p>
      <w:pPr>
        <w:pStyle w:val="14"/>
        <w:jc w:val="center"/>
        <w:rPr>
          <w:rFonts w:hint="eastAsia" w:ascii="Times New Roman" w:hAnsi="Times New Roman" w:eastAsia="黑体" w:cs="Times New Roman"/>
          <w:b w:val="0"/>
          <w:bCs/>
          <w:sz w:val="24"/>
          <w:szCs w:val="24"/>
          <w:lang w:val="en-US" w:eastAsia="zh-CN"/>
        </w:rPr>
      </w:pPr>
      <w:r>
        <w:rPr>
          <w:rFonts w:hint="eastAsia" w:ascii="黑体" w:hAnsi="黑体" w:eastAsia="黑体"/>
          <w:sz w:val="24"/>
          <w:szCs w:val="24"/>
        </w:rPr>
        <w:t xml:space="preserve">图1 </w:t>
      </w:r>
      <w:r>
        <w:rPr>
          <w:rFonts w:hint="eastAsia" w:ascii="黑体" w:hAnsi="黑体" w:eastAsia="黑体"/>
          <w:sz w:val="24"/>
          <w:szCs w:val="24"/>
          <w:lang w:val="en-US" w:eastAsia="zh-CN"/>
        </w:rPr>
        <w:t>球形氢氧化镍生产工艺流程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b w:val="0"/>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b w:val="0"/>
          <w:bCs/>
          <w:sz w:val="24"/>
          <w:szCs w:val="24"/>
          <w:lang w:val="en-US" w:eastAsia="zh-CN"/>
        </w:rPr>
      </w:pPr>
      <w:r>
        <w:rPr>
          <w:rFonts w:hint="eastAsia" w:ascii="Times New Roman" w:hAnsi="Times New Roman" w:eastAsia="黑体" w:cs="Times New Roman"/>
          <w:b w:val="0"/>
          <w:bCs/>
          <w:sz w:val="24"/>
          <w:szCs w:val="24"/>
          <w:lang w:val="en-US" w:eastAsia="zh-CN"/>
        </w:rPr>
        <w:t>3.2确定标准的主要技术内容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b w:val="0"/>
          <w:bCs/>
          <w:sz w:val="24"/>
          <w:szCs w:val="24"/>
          <w:lang w:val="en-US" w:eastAsia="zh-CN"/>
        </w:rPr>
      </w:pPr>
      <w:r>
        <w:rPr>
          <w:rFonts w:hint="eastAsia" w:ascii="Times New Roman" w:hAnsi="Times New Roman" w:eastAsia="黑体" w:cs="Times New Roman"/>
          <w:b w:val="0"/>
          <w:bCs/>
          <w:sz w:val="24"/>
          <w:szCs w:val="24"/>
          <w:lang w:val="en-US" w:eastAsia="zh-CN"/>
        </w:rPr>
        <w:t>3.2.1基本要求</w:t>
      </w:r>
    </w:p>
    <w:p>
      <w:pPr>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基本要求宜包括应满足的节能环保法律法规、工艺技术、管理体系及相关产品标准等方法的要求，生产企业应满足的绿色要求包括但不限于：</w:t>
      </w:r>
    </w:p>
    <w:p>
      <w:pPr>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—产品生产企业的污染物排放状况，应要求符合相关环境保护法律法规，达到国家或地方污染物排放标准的要求，近三年无重大安全事故和重大环境污染事件；</w:t>
      </w:r>
    </w:p>
    <w:p>
      <w:pPr>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—生产企业的污染物总量控制，应要求达到国家和地方污染物排放总量控制指标；</w:t>
      </w:r>
    </w:p>
    <w:p>
      <w:pPr>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—生产企业的管理，应要求按照GB/T 24001和GB/T 19001分别建立并运行环境管理体系和质量管理体系；</w:t>
      </w:r>
    </w:p>
    <w:p>
      <w:pPr>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—产品质量水平，应要求满足相关产品标准要求。</w:t>
      </w:r>
    </w:p>
    <w:p>
      <w:pPr>
        <w:snapToGrid w:val="0"/>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sz w:val="24"/>
          <w:szCs w:val="24"/>
        </w:rPr>
        <w:t>在这些内容的基础上，本标准参照已</w:t>
      </w:r>
      <w:r>
        <w:rPr>
          <w:rFonts w:hint="eastAsia" w:ascii="Times New Roman" w:hAnsi="Times New Roman" w:eastAsia="宋体" w:cs="Times New Roman"/>
          <w:sz w:val="24"/>
          <w:szCs w:val="24"/>
          <w:lang w:val="en-US" w:eastAsia="zh-CN"/>
        </w:rPr>
        <w:t>发布实施</w:t>
      </w:r>
      <w:r>
        <w:rPr>
          <w:rFonts w:hint="eastAsia" w:ascii="Times New Roman" w:hAnsi="Times New Roman" w:eastAsia="宋体" w:cs="Times New Roman"/>
          <w:sz w:val="24"/>
          <w:szCs w:val="24"/>
        </w:rPr>
        <w:t>的《绿色设计产品评价技术规范 镍钴锰氢氧化物》</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《绿色设计产品评价技术规范 镍钴锰酸锂》</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已经报批的</w:t>
      </w:r>
      <w:r>
        <w:rPr>
          <w:rFonts w:hint="eastAsia" w:ascii="Times New Roman" w:hAnsi="Times New Roman" w:eastAsia="宋体" w:cs="Times New Roman"/>
          <w:sz w:val="24"/>
          <w:szCs w:val="24"/>
        </w:rPr>
        <w:t>《绿色设计产品评价技术规范 镍钴</w:t>
      </w:r>
      <w:r>
        <w:rPr>
          <w:rFonts w:hint="eastAsia" w:ascii="Times New Roman" w:hAnsi="Times New Roman" w:eastAsia="宋体" w:cs="Times New Roman"/>
          <w:sz w:val="24"/>
          <w:szCs w:val="24"/>
          <w:lang w:val="en-US" w:eastAsia="zh-CN"/>
        </w:rPr>
        <w:t>铝</w:t>
      </w:r>
      <w:r>
        <w:rPr>
          <w:rFonts w:hint="eastAsia" w:ascii="Times New Roman" w:hAnsi="Times New Roman" w:eastAsia="宋体" w:cs="Times New Roman"/>
          <w:sz w:val="24"/>
          <w:szCs w:val="24"/>
        </w:rPr>
        <w:t>氢氧化物》</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《绿色设计产品评价技术规范 镍钴</w:t>
      </w:r>
      <w:r>
        <w:rPr>
          <w:rFonts w:hint="eastAsia" w:ascii="Times New Roman" w:hAnsi="Times New Roman" w:eastAsia="宋体" w:cs="Times New Roman"/>
          <w:sz w:val="24"/>
          <w:szCs w:val="24"/>
          <w:lang w:val="en-US" w:eastAsia="zh-CN"/>
        </w:rPr>
        <w:t>铝</w:t>
      </w:r>
      <w:r>
        <w:rPr>
          <w:rFonts w:hint="eastAsia" w:ascii="Times New Roman" w:hAnsi="Times New Roman" w:eastAsia="宋体" w:cs="Times New Roman"/>
          <w:sz w:val="24"/>
          <w:szCs w:val="24"/>
        </w:rPr>
        <w:t>酸锂》，</w:t>
      </w:r>
      <w:r>
        <w:rPr>
          <w:rFonts w:hint="eastAsia" w:ascii="Times New Roman" w:hAnsi="Times New Roman" w:eastAsia="宋体" w:cs="Times New Roman"/>
          <w:bCs/>
          <w:sz w:val="24"/>
          <w:szCs w:val="24"/>
        </w:rPr>
        <w:t>确定基本要求如下：</w:t>
      </w:r>
    </w:p>
    <w:p>
      <w:pPr>
        <w:snapToGrid w:val="0"/>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lang w:val="en-US" w:eastAsia="zh-CN"/>
        </w:rPr>
        <w:t>3</w:t>
      </w:r>
      <w:r>
        <w:rPr>
          <w:rFonts w:hint="eastAsia" w:ascii="Times New Roman" w:hAnsi="Times New Roman" w:eastAsia="宋体" w:cs="Times New Roman"/>
          <w:bCs/>
          <w:sz w:val="24"/>
          <w:szCs w:val="24"/>
        </w:rPr>
        <w:t>.1.1　企业应采用国家鼓励的先进技术和工艺，不应使用国家或有关部门发布的淘汰或禁止的技术、工艺、装备及相关物质。</w:t>
      </w:r>
    </w:p>
    <w:p>
      <w:pPr>
        <w:snapToGrid w:val="0"/>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lang w:val="en-US" w:eastAsia="zh-CN"/>
        </w:rPr>
        <w:t>3</w:t>
      </w:r>
      <w:r>
        <w:rPr>
          <w:rFonts w:hint="eastAsia" w:ascii="Times New Roman" w:hAnsi="Times New Roman" w:eastAsia="宋体" w:cs="Times New Roman"/>
          <w:bCs/>
          <w:sz w:val="24"/>
          <w:szCs w:val="24"/>
        </w:rPr>
        <w:t>.1.2　企业的污染物排放应达到国家和地方污染物排放标准的要求，污染物总量控制应达到国家和地方污染物排放总量控制指标；应严格执行节能环保相关国家标准并提供标准清单，截止评价日近三年无重大质量、安全和环境事故。</w:t>
      </w:r>
    </w:p>
    <w:p>
      <w:pPr>
        <w:snapToGrid w:val="0"/>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lang w:val="en-US" w:eastAsia="zh-CN"/>
        </w:rPr>
        <w:t>3</w:t>
      </w:r>
      <w:r>
        <w:rPr>
          <w:rFonts w:hint="eastAsia" w:ascii="Times New Roman" w:hAnsi="Times New Roman" w:eastAsia="宋体" w:cs="Times New Roman"/>
          <w:bCs/>
          <w:sz w:val="24"/>
          <w:szCs w:val="24"/>
        </w:rPr>
        <w:t>.1.3　企业的噪声排放应符合GB 12348。</w:t>
      </w:r>
    </w:p>
    <w:p>
      <w:pPr>
        <w:snapToGrid w:val="0"/>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lang w:val="en-US" w:eastAsia="zh-CN"/>
        </w:rPr>
        <w:t>3</w:t>
      </w:r>
      <w:r>
        <w:rPr>
          <w:rFonts w:hint="eastAsia" w:ascii="Times New Roman" w:hAnsi="Times New Roman" w:eastAsia="宋体" w:cs="Times New Roman"/>
          <w:bCs/>
          <w:sz w:val="24"/>
          <w:szCs w:val="24"/>
        </w:rPr>
        <w:t>.1.4　企业安全生产标准化水平应符合GB/T 33000的要求。</w:t>
      </w:r>
    </w:p>
    <w:p>
      <w:pPr>
        <w:snapToGrid w:val="0"/>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4.1.5　企业应按照GB 17167配备能源计量器具。</w:t>
      </w:r>
    </w:p>
    <w:p>
      <w:pPr>
        <w:snapToGrid w:val="0"/>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lang w:val="en-US" w:eastAsia="zh-CN"/>
        </w:rPr>
        <w:t>3</w:t>
      </w:r>
      <w:r>
        <w:rPr>
          <w:rFonts w:hint="eastAsia" w:ascii="Times New Roman" w:hAnsi="Times New Roman" w:eastAsia="宋体" w:cs="Times New Roman"/>
          <w:bCs/>
          <w:sz w:val="24"/>
          <w:szCs w:val="24"/>
        </w:rPr>
        <w:t>.1.6　企业的管理，生产企业应按照GB/T 19001、GB/T 24001 和 GB/T 28001分别建立、实施、保持并持续改进质量管理体系、环境管理体系和职业健康安全管理体系</w:t>
      </w:r>
      <w:r>
        <w:rPr>
          <w:rFonts w:hint="eastAsia" w:ascii="Times New Roman" w:hAnsi="Times New Roman" w:eastAsia="宋体" w:cs="Times New Roman"/>
          <w:bCs/>
          <w:sz w:val="24"/>
          <w:szCs w:val="24"/>
          <w:lang w:eastAsia="zh-CN"/>
        </w:rPr>
        <w:t>，</w:t>
      </w:r>
      <w:r>
        <w:rPr>
          <w:rFonts w:hint="eastAsia" w:ascii="Times New Roman" w:hAnsi="Times New Roman" w:eastAsia="宋体" w:cs="Times New Roman"/>
          <w:bCs/>
          <w:sz w:val="24"/>
          <w:szCs w:val="24"/>
          <w:lang w:val="en-US" w:eastAsia="zh-CN"/>
        </w:rPr>
        <w:t>宜建立IATF16949汽车行业质量管理体系</w:t>
      </w:r>
      <w:r>
        <w:rPr>
          <w:rFonts w:hint="eastAsia" w:ascii="Times New Roman" w:hAnsi="Times New Roman" w:eastAsia="宋体" w:cs="Times New Roman"/>
          <w:bCs/>
          <w:sz w:val="24"/>
          <w:szCs w:val="24"/>
        </w:rPr>
        <w:t>；开展能耗、物耗考核并建立考核制度，按照GB/T 23331建立并运行能源管理体系。</w:t>
      </w:r>
    </w:p>
    <w:p>
      <w:pPr>
        <w:snapToGrid w:val="0"/>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lang w:val="en-US" w:eastAsia="zh-CN"/>
        </w:rPr>
        <w:t>3</w:t>
      </w:r>
      <w:r>
        <w:rPr>
          <w:rFonts w:hint="eastAsia" w:ascii="Times New Roman" w:hAnsi="Times New Roman" w:eastAsia="宋体" w:cs="Times New Roman"/>
          <w:bCs/>
          <w:sz w:val="24"/>
          <w:szCs w:val="24"/>
        </w:rPr>
        <w:t>.1.7　企业对产品主要原料供应方、生产协作方、相关服务方等提出相关质量、环境、能源和安全等方面的管理要求，宜开展绿色供应链管理，并建立绿色供应链管理绩效评价机制、程序，确定评价指标和评价方法。</w:t>
      </w:r>
    </w:p>
    <w:p>
      <w:pPr>
        <w:snapToGrid w:val="0"/>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lang w:val="en-US" w:eastAsia="zh-CN"/>
        </w:rPr>
        <w:t>3</w:t>
      </w:r>
      <w:r>
        <w:rPr>
          <w:rFonts w:hint="eastAsia" w:ascii="Times New Roman" w:hAnsi="Times New Roman" w:eastAsia="宋体" w:cs="Times New Roman"/>
          <w:bCs/>
          <w:sz w:val="24"/>
          <w:szCs w:val="24"/>
        </w:rPr>
        <w:t>.1.8　企业对所产生含镍钴废料应进行无害化/资源化处理，产生的危险废物应有符合GB 18597要求的专门储存场所或交由有资质的第三方处置；产品包装材料应采用可再生利用或可降解材料。</w:t>
      </w:r>
    </w:p>
    <w:p>
      <w:pPr>
        <w:snapToGrid w:val="0"/>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lang w:val="en-US" w:eastAsia="zh-CN"/>
        </w:rPr>
        <w:t>3</w:t>
      </w:r>
      <w:r>
        <w:rPr>
          <w:rFonts w:hint="eastAsia" w:ascii="Times New Roman" w:hAnsi="Times New Roman" w:eastAsia="宋体" w:cs="Times New Roman"/>
          <w:bCs/>
          <w:sz w:val="24"/>
          <w:szCs w:val="24"/>
        </w:rPr>
        <w:t>.1.9　企业应对剩余产品及包装物进行回收或处置。</w:t>
      </w:r>
    </w:p>
    <w:p>
      <w:pPr>
        <w:snapToGrid w:val="0"/>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lang w:val="en-US" w:eastAsia="zh-CN"/>
        </w:rPr>
        <w:t>3</w:t>
      </w:r>
      <w:r>
        <w:rPr>
          <w:rFonts w:hint="eastAsia" w:ascii="Times New Roman" w:hAnsi="Times New Roman" w:eastAsia="宋体" w:cs="Times New Roman"/>
          <w:bCs/>
          <w:sz w:val="24"/>
          <w:szCs w:val="24"/>
        </w:rPr>
        <w:t>.1.10　企业应按照《国家危险废物名录》和《危险化学品安全管理条例》建立并运行危险化学品安全管理制度。应向使用方提供符合GB/T 16483要求的产品安全技术说明书。</w:t>
      </w:r>
    </w:p>
    <w:p>
      <w:pPr>
        <w:snapToGrid w:val="0"/>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lang w:val="en-US" w:eastAsia="zh-CN"/>
        </w:rPr>
        <w:t>3</w:t>
      </w:r>
      <w:r>
        <w:rPr>
          <w:rFonts w:hint="eastAsia" w:ascii="Times New Roman" w:hAnsi="Times New Roman" w:eastAsia="宋体" w:cs="Times New Roman"/>
          <w:bCs/>
          <w:sz w:val="24"/>
          <w:szCs w:val="24"/>
        </w:rPr>
        <w:t>.1.11　企业应按照《环境信息公开办法（试行）》第十九条公开环境信息。</w:t>
      </w:r>
    </w:p>
    <w:p>
      <w:pPr>
        <w:snapToGrid w:val="0"/>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lang w:val="en-US" w:eastAsia="zh-CN"/>
        </w:rPr>
        <w:t>3</w:t>
      </w:r>
      <w:r>
        <w:rPr>
          <w:rFonts w:hint="eastAsia" w:ascii="Times New Roman" w:hAnsi="Times New Roman" w:eastAsia="宋体" w:cs="Times New Roman"/>
          <w:bCs/>
          <w:sz w:val="24"/>
          <w:szCs w:val="24"/>
        </w:rPr>
        <w:t>.1.12　产品质量应符合相关产品标准的规定，产品执行企业标准的技术要求应不低于国家和行业标准的要求</w:t>
      </w:r>
      <w:r>
        <w:rPr>
          <w:rFonts w:ascii="Times New Roman" w:hAnsi="Times New Roman" w:eastAsia="宋体" w:cs="Times New Roman"/>
          <w:bCs/>
          <w:sz w:val="24"/>
          <w:szCs w:val="24"/>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b w:val="0"/>
          <w:bCs/>
          <w:sz w:val="24"/>
          <w:szCs w:val="24"/>
          <w:lang w:val="en-US" w:eastAsia="zh-CN"/>
        </w:rPr>
      </w:pPr>
      <w:r>
        <w:rPr>
          <w:rFonts w:hint="eastAsia" w:ascii="Times New Roman" w:hAnsi="Times New Roman" w:eastAsia="黑体" w:cs="Times New Roman"/>
          <w:b w:val="0"/>
          <w:bCs/>
          <w:sz w:val="24"/>
          <w:szCs w:val="24"/>
          <w:lang w:val="en-US" w:eastAsia="zh-CN"/>
        </w:rPr>
        <w:t>3.2.2评价指标</w:t>
      </w:r>
    </w:p>
    <w:p>
      <w:pPr>
        <w:widowControl/>
        <w:spacing w:line="360" w:lineRule="auto"/>
        <w:ind w:firstLine="480" w:firstLineChars="200"/>
        <w:jc w:val="left"/>
        <w:rPr>
          <w:rFonts w:ascii="Times New Roman" w:hAnsi="Times New Roman" w:eastAsia="宋体" w:cs="Times New Roman"/>
          <w:color w:val="000000"/>
          <w:sz w:val="24"/>
          <w:szCs w:val="24"/>
        </w:rPr>
      </w:pPr>
      <w:r>
        <w:rPr>
          <w:rFonts w:hint="eastAsia" w:ascii="Times New Roman" w:hAnsi="Times New Roman" w:eastAsia="宋体" w:cs="Times New Roman"/>
          <w:bCs/>
          <w:sz w:val="24"/>
          <w:szCs w:val="24"/>
        </w:rPr>
        <w:t>评价指标宜包括资源属性指标、能源属性指标、环境属性指标和品质属性指标等四类一级指标，在一级指标下设置可量化、可检测、可验证的二级指标，不同类别产品的一级指标可依据产品特点、对环境和人体健康影响程度、现有标准实施情况等因素选取。其中资源属性指标选择选取金属镍、金属钴</w:t>
      </w:r>
      <w:r>
        <w:rPr>
          <w:rFonts w:hint="eastAsia" w:ascii="Times New Roman" w:hAnsi="Times New Roman" w:eastAsia="宋体" w:cs="Times New Roman"/>
          <w:bCs/>
          <w:sz w:val="24"/>
          <w:szCs w:val="24"/>
          <w:lang w:eastAsia="zh-CN"/>
        </w:rPr>
        <w:t>、</w:t>
      </w:r>
      <w:r>
        <w:rPr>
          <w:rFonts w:hint="eastAsia" w:ascii="Times New Roman" w:hAnsi="Times New Roman" w:eastAsia="宋体" w:cs="Times New Roman"/>
          <w:bCs/>
          <w:sz w:val="24"/>
          <w:szCs w:val="24"/>
          <w:lang w:val="en-US" w:eastAsia="zh-CN"/>
        </w:rPr>
        <w:t>金属锌</w:t>
      </w:r>
      <w:r>
        <w:rPr>
          <w:rFonts w:hint="eastAsia" w:ascii="Times New Roman" w:hAnsi="Times New Roman" w:eastAsia="宋体" w:cs="Times New Roman"/>
          <w:bCs/>
          <w:sz w:val="24"/>
          <w:szCs w:val="24"/>
        </w:rPr>
        <w:t>的消耗量</w:t>
      </w:r>
      <w:r>
        <w:rPr>
          <w:rFonts w:hint="eastAsia" w:ascii="Times New Roman" w:hAnsi="Times New Roman" w:eastAsia="宋体" w:cs="Times New Roman"/>
          <w:bCs/>
          <w:sz w:val="24"/>
          <w:szCs w:val="24"/>
          <w:lang w:val="en-US" w:eastAsia="zh-CN"/>
        </w:rPr>
        <w:t>以及</w:t>
      </w:r>
      <w:r>
        <w:rPr>
          <w:rFonts w:hint="eastAsia" w:ascii="Times New Roman" w:hAnsi="Times New Roman" w:eastAsia="宋体" w:cs="Times New Roman"/>
          <w:bCs/>
          <w:sz w:val="24"/>
          <w:szCs w:val="24"/>
        </w:rPr>
        <w:t>包装材质作为二级评价指标</w:t>
      </w:r>
      <w:r>
        <w:rPr>
          <w:rFonts w:hint="eastAsia" w:ascii="Times New Roman" w:hAnsi="Times New Roman" w:eastAsia="宋体" w:cs="Times New Roman"/>
          <w:bCs/>
          <w:sz w:val="24"/>
          <w:szCs w:val="24"/>
          <w:lang w:eastAsia="zh-CN"/>
        </w:rPr>
        <w:t>；</w:t>
      </w:r>
      <w:r>
        <w:rPr>
          <w:rFonts w:ascii="Times New Roman" w:hAnsi="Times New Roman" w:eastAsia="宋体" w:cs="Times New Roman"/>
          <w:color w:val="000000"/>
          <w:sz w:val="24"/>
          <w:szCs w:val="24"/>
        </w:rPr>
        <w:t>能源属性选取单位产品综合能耗作为二级评价指标；环境属性根据网上公开的相关项目的环境影响评价文件以及企业反馈意见确定，选择共性和</w:t>
      </w:r>
      <w:r>
        <w:rPr>
          <w:rFonts w:hint="eastAsia" w:ascii="Times New Roman" w:hAnsi="Times New Roman" w:eastAsia="宋体" w:cs="Times New Roman"/>
          <w:color w:val="000000"/>
          <w:sz w:val="24"/>
          <w:szCs w:val="24"/>
          <w:lang w:eastAsia="zh-CN"/>
        </w:rPr>
        <w:t>球形氢氧化镍</w:t>
      </w:r>
      <w:r>
        <w:rPr>
          <w:rFonts w:ascii="Times New Roman" w:hAnsi="Times New Roman" w:eastAsia="宋体" w:cs="Times New Roman"/>
          <w:color w:val="000000"/>
          <w:sz w:val="24"/>
          <w:szCs w:val="24"/>
        </w:rPr>
        <w:t>生产行业特有的指标</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因</w:t>
      </w:r>
      <w:r>
        <w:rPr>
          <w:rFonts w:hint="eastAsia" w:ascii="Times New Roman" w:hAnsi="Times New Roman" w:eastAsia="宋体" w:cs="Times New Roman"/>
          <w:color w:val="000000"/>
          <w:sz w:val="24"/>
          <w:szCs w:val="24"/>
          <w:lang w:val="en-US" w:eastAsia="zh-CN"/>
        </w:rPr>
        <w:t>球形氢氧化镍</w:t>
      </w:r>
      <w:r>
        <w:rPr>
          <w:rFonts w:hint="eastAsia" w:ascii="Times New Roman" w:hAnsi="Times New Roman" w:eastAsia="宋体" w:cs="Times New Roman"/>
          <w:color w:val="000000"/>
          <w:sz w:val="24"/>
          <w:szCs w:val="24"/>
        </w:rPr>
        <w:t>生产过程中产品会使用水</w:t>
      </w:r>
      <w:r>
        <w:rPr>
          <w:rFonts w:hint="eastAsia" w:ascii="Times New Roman" w:hAnsi="Times New Roman" w:eastAsia="宋体" w:cs="Times New Roman"/>
          <w:color w:val="000000"/>
          <w:sz w:val="24"/>
          <w:szCs w:val="24"/>
          <w:lang w:val="en-US" w:eastAsia="zh-CN"/>
        </w:rPr>
        <w:t>进行合成及</w:t>
      </w:r>
      <w:r>
        <w:rPr>
          <w:rFonts w:hint="eastAsia" w:ascii="Times New Roman" w:hAnsi="Times New Roman" w:eastAsia="宋体" w:cs="Times New Roman"/>
          <w:color w:val="000000"/>
          <w:sz w:val="24"/>
          <w:szCs w:val="24"/>
        </w:rPr>
        <w:t>洗涤，因此选取了废水排放量这项指标，为保证产品质量，目前均不会采用重复用水，故不选择水的重复利用率作为指标，此外选择了</w:t>
      </w:r>
      <w:r>
        <w:rPr>
          <w:rFonts w:ascii="Times New Roman" w:hAnsi="Times New Roman" w:eastAsia="宋体" w:cs="Times New Roman"/>
          <w:color w:val="000000"/>
          <w:sz w:val="24"/>
          <w:szCs w:val="24"/>
        </w:rPr>
        <w:t>pH、悬浮物、废水中镍离子、钴离子和</w:t>
      </w:r>
      <w:r>
        <w:rPr>
          <w:rFonts w:hint="eastAsia" w:ascii="Times New Roman" w:hAnsi="Times New Roman" w:eastAsia="宋体" w:cs="Times New Roman"/>
          <w:color w:val="000000"/>
          <w:sz w:val="24"/>
          <w:szCs w:val="24"/>
          <w:lang w:val="en-US" w:eastAsia="zh-CN"/>
        </w:rPr>
        <w:t>锌</w:t>
      </w:r>
      <w:r>
        <w:rPr>
          <w:rFonts w:ascii="Times New Roman" w:hAnsi="Times New Roman" w:eastAsia="宋体" w:cs="Times New Roman"/>
          <w:color w:val="000000"/>
          <w:sz w:val="24"/>
          <w:szCs w:val="24"/>
        </w:rPr>
        <w:t>离子含量作为二级评价指标。</w:t>
      </w:r>
      <w:r>
        <w:rPr>
          <w:rFonts w:hint="eastAsia" w:ascii="Times New Roman" w:hAnsi="Times New Roman" w:eastAsia="宋体" w:cs="Times New Roman"/>
          <w:color w:val="000000"/>
          <w:sz w:val="24"/>
          <w:szCs w:val="24"/>
        </w:rPr>
        <w:t>品质属性</w:t>
      </w:r>
      <w:r>
        <w:rPr>
          <w:rFonts w:ascii="Times New Roman" w:hAnsi="Times New Roman" w:eastAsia="宋体" w:cs="Times New Roman"/>
          <w:color w:val="000000"/>
          <w:sz w:val="24"/>
          <w:szCs w:val="24"/>
        </w:rPr>
        <w:t>选取</w:t>
      </w:r>
      <w:r>
        <w:rPr>
          <w:rFonts w:hint="eastAsia" w:ascii="Times New Roman" w:hAnsi="Times New Roman" w:eastAsia="宋体" w:cs="Times New Roman"/>
          <w:color w:val="000000"/>
          <w:sz w:val="24"/>
          <w:szCs w:val="24"/>
          <w:lang w:val="en-US" w:eastAsia="zh-CN"/>
        </w:rPr>
        <w:t>振实密度</w:t>
      </w:r>
      <w:r>
        <w:rPr>
          <w:rFonts w:ascii="Times New Roman" w:hAnsi="Times New Roman" w:eastAsia="宋体" w:cs="Times New Roman"/>
          <w:color w:val="000000"/>
          <w:sz w:val="24"/>
          <w:szCs w:val="24"/>
        </w:rPr>
        <w:t>作为二级评价指标。</w:t>
      </w:r>
    </w:p>
    <w:p>
      <w:pPr>
        <w:widowControl/>
        <w:spacing w:line="360" w:lineRule="auto"/>
        <w:ind w:firstLine="480" w:firstLineChars="200"/>
        <w:jc w:val="left"/>
        <w:rPr>
          <w:rFonts w:ascii="Times New Roman" w:hAnsi="Times New Roman" w:cs="Times New Roman"/>
          <w:kern w:val="0"/>
          <w:szCs w:val="21"/>
        </w:rPr>
      </w:pPr>
      <w:r>
        <w:rPr>
          <w:rFonts w:hint="eastAsia" w:ascii="Times New Roman" w:hAnsi="Times New Roman" w:eastAsia="宋体" w:cs="Times New Roman"/>
          <w:sz w:val="24"/>
          <w:szCs w:val="24"/>
        </w:rPr>
        <w:t>本文绿色产品指标确定的依据为：选择所调研企业耗值最高的一家企业应不满足绿色产品的要求，但其指标不宜定的过于苛刻，通过适当工艺技术、管理等改进也能达到（其中部分指标由于各企业之间差距不大，本文选择全部满足）。</w:t>
      </w:r>
    </w:p>
    <w:p>
      <w:pPr>
        <w:snapToGrid w:val="0"/>
        <w:spacing w:line="360" w:lineRule="auto"/>
        <w:ind w:firstLine="480" w:firstLineChars="200"/>
        <w:rPr>
          <w:rFonts w:hint="default" w:ascii="Times New Roman" w:hAnsi="Times New Roman" w:cs="Times New Roman"/>
          <w:kern w:val="0"/>
          <w:sz w:val="24"/>
          <w:szCs w:val="24"/>
          <w:highlight w:val="yellow"/>
          <w:lang w:val="en-US"/>
        </w:rPr>
      </w:pPr>
      <w:r>
        <w:rPr>
          <w:rFonts w:hint="eastAsia" w:ascii="Times New Roman" w:hAnsi="Times New Roman" w:eastAsia="宋体" w:cs="Times New Roman"/>
          <w:color w:val="000000"/>
          <w:sz w:val="24"/>
          <w:szCs w:val="24"/>
        </w:rPr>
        <w:t>1、</w:t>
      </w:r>
      <w:r>
        <w:rPr>
          <w:rFonts w:hint="eastAsia" w:ascii="Times New Roman" w:hAnsi="Times New Roman" w:eastAsia="宋体" w:cs="Times New Roman"/>
          <w:color w:val="000000"/>
          <w:sz w:val="24"/>
          <w:szCs w:val="24"/>
          <w:lang w:val="en-US" w:eastAsia="zh-CN"/>
        </w:rPr>
        <w:t>球形氢氧化镍</w:t>
      </w:r>
      <w:r>
        <w:rPr>
          <w:rFonts w:hint="eastAsia" w:ascii="Times New Roman" w:hAnsi="Times New Roman" w:eastAsia="宋体" w:cs="Times New Roman"/>
          <w:color w:val="000000"/>
          <w:sz w:val="24"/>
          <w:szCs w:val="24"/>
        </w:rPr>
        <w:t>产品</w:t>
      </w:r>
      <w:r>
        <w:rPr>
          <w:rFonts w:hint="eastAsia" w:ascii="Times New Roman" w:hAnsi="Times New Roman" w:eastAsia="宋体" w:cs="Times New Roman"/>
          <w:color w:val="000000"/>
          <w:sz w:val="24"/>
          <w:szCs w:val="24"/>
          <w:lang w:val="en-US" w:eastAsia="zh-CN"/>
        </w:rPr>
        <w:t>常用为覆钴型球形氢氧化镍，金属消耗量调研数据如表1所示。</w:t>
      </w:r>
    </w:p>
    <w:p>
      <w:pPr>
        <w:wordWrap w:val="0"/>
        <w:snapToGrid w:val="0"/>
        <w:spacing w:line="360" w:lineRule="auto"/>
        <w:ind w:firstLine="420" w:firstLineChars="200"/>
        <w:jc w:val="right"/>
        <w:rPr>
          <w:rFonts w:hAnsi="宋体" w:cs="宋体"/>
          <w:kern w:val="0"/>
          <w:szCs w:val="21"/>
        </w:rPr>
      </w:pPr>
      <w:bookmarkStart w:id="0" w:name="OLE_LINK1"/>
      <w:r>
        <w:rPr>
          <w:rFonts w:hint="eastAsia" w:ascii="Times New Roman" w:hAnsi="Times New Roman" w:eastAsia="宋体" w:cs="Times New Roman"/>
          <w:szCs w:val="21"/>
        </w:rPr>
        <w:t>表</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 xml:space="preserve">  </w:t>
      </w:r>
      <w:r>
        <w:rPr>
          <w:rFonts w:hint="eastAsia" w:ascii="Times New Roman" w:hAnsi="Times New Roman" w:cs="Times New Roman"/>
          <w:color w:val="000000"/>
          <w:sz w:val="18"/>
          <w:szCs w:val="18"/>
          <w:lang w:val="en-US" w:eastAsia="zh-CN"/>
        </w:rPr>
        <w:t>覆钴型球形氢氧化镍</w:t>
      </w:r>
      <w:r>
        <w:rPr>
          <w:rFonts w:hint="eastAsia" w:ascii="Times New Roman" w:hAnsi="Times New Roman" w:cs="Times New Roman"/>
          <w:color w:val="000000"/>
          <w:sz w:val="18"/>
          <w:szCs w:val="18"/>
        </w:rPr>
        <w:t xml:space="preserve">产品的金属消耗量 </w:t>
      </w:r>
      <w:r>
        <w:rPr>
          <w:rFonts w:hint="eastAsia" w:ascii="Times New Roman" w:hAnsi="Times New Roman" w:eastAsia="宋体" w:cs="Times New Roman"/>
          <w:szCs w:val="21"/>
        </w:rPr>
        <w:t xml:space="preserve">        单位：kg/t产品</w:t>
      </w:r>
    </w:p>
    <w:bookmarkEnd w:id="0"/>
    <w:tbl>
      <w:tblPr>
        <w:tblStyle w:val="8"/>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823"/>
        <w:gridCol w:w="1819"/>
        <w:gridCol w:w="1815"/>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3"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消耗资源</w:t>
            </w:r>
          </w:p>
        </w:tc>
        <w:tc>
          <w:tcPr>
            <w:tcW w:w="1823" w:type="dxa"/>
            <w:vAlign w:val="center"/>
          </w:tcPr>
          <w:p>
            <w:pPr>
              <w:adjustRightInd w:val="0"/>
              <w:snapToGrid w:val="0"/>
              <w:jc w:val="center"/>
              <w:rPr>
                <w:rFonts w:ascii="Times New Roman" w:hAnsi="Times New Roman" w:cs="Times New Roman"/>
                <w:color w:val="000000"/>
                <w:sz w:val="18"/>
                <w:szCs w:val="18"/>
              </w:rPr>
            </w:pPr>
            <w:r>
              <w:rPr>
                <w:rFonts w:ascii="Times New Roman" w:hAnsi="Times New Roman" w:eastAsia="宋体" w:cs="Times New Roman"/>
                <w:kern w:val="0"/>
                <w:sz w:val="20"/>
                <w:szCs w:val="21"/>
                <w:lang w:bidi="mn-Mong-CN"/>
              </w:rPr>
              <w:t>企业A</w:t>
            </w:r>
          </w:p>
        </w:tc>
        <w:tc>
          <w:tcPr>
            <w:tcW w:w="1819" w:type="dxa"/>
            <w:vAlign w:val="center"/>
          </w:tcPr>
          <w:p>
            <w:pPr>
              <w:adjustRightInd w:val="0"/>
              <w:snapToGrid w:val="0"/>
              <w:jc w:val="center"/>
              <w:rPr>
                <w:rFonts w:hint="eastAsia" w:ascii="Times New Roman" w:hAnsi="Times New Roman" w:cs="Times New Roman"/>
                <w:color w:val="000000"/>
                <w:sz w:val="18"/>
                <w:szCs w:val="18"/>
                <w:lang w:val="en-US" w:eastAsia="zh-CN"/>
              </w:rPr>
            </w:pPr>
            <w:r>
              <w:rPr>
                <w:rFonts w:ascii="Times New Roman" w:hAnsi="Times New Roman" w:eastAsia="宋体" w:cs="Times New Roman"/>
                <w:kern w:val="0"/>
                <w:sz w:val="20"/>
                <w:szCs w:val="21"/>
                <w:lang w:bidi="mn-Mong-CN"/>
              </w:rPr>
              <w:t>企业B</w:t>
            </w:r>
          </w:p>
        </w:tc>
        <w:tc>
          <w:tcPr>
            <w:tcW w:w="1815" w:type="dxa"/>
            <w:vAlign w:val="center"/>
          </w:tcPr>
          <w:p>
            <w:pPr>
              <w:adjustRightInd w:val="0"/>
              <w:snapToGrid w:val="0"/>
              <w:jc w:val="center"/>
              <w:rPr>
                <w:rFonts w:hint="eastAsia" w:ascii="Times New Roman" w:hAnsi="Times New Roman" w:cs="Times New Roman"/>
                <w:color w:val="000000"/>
                <w:sz w:val="18"/>
                <w:szCs w:val="18"/>
                <w:lang w:val="en-US" w:eastAsia="zh-CN"/>
              </w:rPr>
            </w:pPr>
            <w:r>
              <w:rPr>
                <w:rFonts w:ascii="Times New Roman" w:hAnsi="Times New Roman" w:eastAsia="宋体" w:cs="Times New Roman"/>
                <w:kern w:val="0"/>
                <w:sz w:val="20"/>
                <w:szCs w:val="21"/>
                <w:lang w:bidi="mn-Mong-CN"/>
              </w:rPr>
              <w:t>企业C</w:t>
            </w:r>
          </w:p>
        </w:tc>
        <w:tc>
          <w:tcPr>
            <w:tcW w:w="1811" w:type="dxa"/>
            <w:vAlign w:val="center"/>
          </w:tcPr>
          <w:p>
            <w:pPr>
              <w:adjustRightInd w:val="0"/>
              <w:snapToGrid w:val="0"/>
              <w:jc w:val="center"/>
              <w:rPr>
                <w:rFonts w:hint="eastAsia" w:ascii="Times New Roman" w:hAnsi="Times New Roman" w:eastAsia="宋体" w:cs="Times New Roman"/>
                <w:kern w:val="0"/>
                <w:sz w:val="20"/>
                <w:szCs w:val="21"/>
                <w:lang w:eastAsia="zh-CN" w:bidi="mn-Mong-CN"/>
              </w:rPr>
            </w:pPr>
            <w:r>
              <w:rPr>
                <w:rFonts w:ascii="Times New Roman" w:hAnsi="Times New Roman" w:eastAsia="宋体" w:cs="Times New Roman"/>
                <w:kern w:val="0"/>
                <w:sz w:val="20"/>
                <w:szCs w:val="21"/>
                <w:lang w:bidi="mn-Mong-CN"/>
              </w:rPr>
              <w:t>企业</w:t>
            </w:r>
            <w:r>
              <w:rPr>
                <w:rFonts w:hint="eastAsia" w:ascii="Times New Roman" w:hAnsi="Times New Roman" w:eastAsia="宋体" w:cs="Times New Roman"/>
                <w:kern w:val="0"/>
                <w:sz w:val="20"/>
                <w:szCs w:val="21"/>
                <w:lang w:val="en-US" w:eastAsia="zh-CN" w:bidi="mn-Mong-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3"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Ni</w:t>
            </w:r>
          </w:p>
        </w:tc>
        <w:tc>
          <w:tcPr>
            <w:tcW w:w="1823" w:type="dxa"/>
            <w:vAlign w:val="bottom"/>
          </w:tcPr>
          <w:p>
            <w:pPr>
              <w:keepNext w:val="0"/>
              <w:keepLines w:val="0"/>
              <w:widowControl/>
              <w:suppressLineNumbers w:val="0"/>
              <w:jc w:val="center"/>
              <w:textAlignment w:val="bottom"/>
              <w:rPr>
                <w:rFonts w:ascii="Times New Roman" w:hAnsi="Times New Roman" w:cs="Times New Roman"/>
                <w:sz w:val="18"/>
                <w:szCs w:val="18"/>
              </w:rPr>
            </w:pPr>
            <w:r>
              <w:rPr>
                <w:rFonts w:hint="default" w:ascii="Times New Roman" w:hAnsi="Times New Roman" w:eastAsia="宋体" w:cs="Times New Roman"/>
                <w:i w:val="0"/>
                <w:color w:val="000000"/>
                <w:kern w:val="0"/>
                <w:sz w:val="22"/>
                <w:szCs w:val="22"/>
                <w:u w:val="none"/>
                <w:lang w:val="en-US" w:eastAsia="zh-CN" w:bidi="ar"/>
              </w:rPr>
              <w:t>550</w:t>
            </w:r>
          </w:p>
        </w:tc>
        <w:tc>
          <w:tcPr>
            <w:tcW w:w="1819" w:type="dxa"/>
            <w:vAlign w:val="center"/>
          </w:tcPr>
          <w:p>
            <w:pPr>
              <w:jc w:val="center"/>
              <w:rPr>
                <w:rFonts w:ascii="Times New Roman" w:hAnsi="Times New Roman" w:cs="Times New Roman"/>
                <w:sz w:val="18"/>
                <w:szCs w:val="18"/>
              </w:rPr>
            </w:pPr>
            <w:r>
              <w:rPr>
                <w:rFonts w:hint="eastAsia" w:ascii="Times New Roman" w:hAnsi="Times New Roman" w:eastAsia="宋体" w:cs="Times New Roman"/>
                <w:kern w:val="0"/>
                <w:sz w:val="20"/>
                <w:szCs w:val="20"/>
                <w:lang w:val="en-US" w:eastAsia="zh-CN" w:bidi="mn-Mong-CN"/>
              </w:rPr>
              <w:t>/</w:t>
            </w:r>
          </w:p>
        </w:tc>
        <w:tc>
          <w:tcPr>
            <w:tcW w:w="1815" w:type="dxa"/>
            <w:vAlign w:val="center"/>
          </w:tcPr>
          <w:p>
            <w:pPr>
              <w:jc w:val="center"/>
              <w:rPr>
                <w:rFonts w:ascii="Times New Roman" w:hAnsi="Times New Roman" w:cs="Times New Roman"/>
                <w:sz w:val="18"/>
                <w:szCs w:val="18"/>
              </w:rPr>
            </w:pPr>
            <w:r>
              <w:rPr>
                <w:rFonts w:hint="eastAsia" w:ascii="Times New Roman" w:hAnsi="Times New Roman" w:eastAsia="宋体" w:cs="Times New Roman"/>
                <w:kern w:val="0"/>
                <w:sz w:val="20"/>
                <w:szCs w:val="20"/>
                <w:lang w:val="en-US" w:eastAsia="zh-CN" w:bidi="mn-Mong-CN"/>
              </w:rPr>
              <w:t>/</w:t>
            </w:r>
          </w:p>
        </w:tc>
        <w:tc>
          <w:tcPr>
            <w:tcW w:w="1811" w:type="dxa"/>
            <w:vAlign w:val="center"/>
          </w:tcPr>
          <w:p>
            <w:pPr>
              <w:jc w:val="center"/>
              <w:rPr>
                <w:rFonts w:ascii="Times New Roman" w:hAnsi="Times New Roman" w:cs="Times New Roman"/>
                <w:sz w:val="18"/>
                <w:szCs w:val="18"/>
              </w:rPr>
            </w:pPr>
            <w:r>
              <w:rPr>
                <w:rFonts w:hint="eastAsia" w:ascii="Times New Roman" w:hAnsi="Times New Roman" w:eastAsia="宋体" w:cs="Times New Roman"/>
                <w:kern w:val="0"/>
                <w:sz w:val="20"/>
                <w:szCs w:val="20"/>
                <w:lang w:val="en-US" w:eastAsia="zh-CN" w:bidi="mn-Mong-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3"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Co</w:t>
            </w:r>
          </w:p>
        </w:tc>
        <w:tc>
          <w:tcPr>
            <w:tcW w:w="1823" w:type="dxa"/>
            <w:vAlign w:val="bottom"/>
          </w:tcPr>
          <w:p>
            <w:pPr>
              <w:keepNext w:val="0"/>
              <w:keepLines w:val="0"/>
              <w:widowControl/>
              <w:suppressLineNumbers w:val="0"/>
              <w:jc w:val="center"/>
              <w:textAlignment w:val="bottom"/>
              <w:rPr>
                <w:rFonts w:ascii="Times New Roman" w:hAnsi="Times New Roman" w:cs="Times New Roman"/>
                <w:sz w:val="18"/>
                <w:szCs w:val="18"/>
              </w:rPr>
            </w:pPr>
            <w:r>
              <w:rPr>
                <w:rFonts w:hint="default" w:ascii="Times New Roman" w:hAnsi="Times New Roman" w:eastAsia="宋体" w:cs="Times New Roman"/>
                <w:i w:val="0"/>
                <w:color w:val="000000"/>
                <w:kern w:val="0"/>
                <w:sz w:val="22"/>
                <w:szCs w:val="22"/>
                <w:u w:val="none"/>
                <w:lang w:val="en-US" w:eastAsia="zh-CN" w:bidi="ar"/>
              </w:rPr>
              <w:t>48.93</w:t>
            </w:r>
          </w:p>
        </w:tc>
        <w:tc>
          <w:tcPr>
            <w:tcW w:w="1819" w:type="dxa"/>
            <w:vAlign w:val="center"/>
          </w:tcPr>
          <w:p>
            <w:pPr>
              <w:jc w:val="center"/>
              <w:rPr>
                <w:rFonts w:ascii="Times New Roman" w:hAnsi="Times New Roman" w:cs="Times New Roman"/>
                <w:sz w:val="18"/>
                <w:szCs w:val="18"/>
              </w:rPr>
            </w:pPr>
            <w:r>
              <w:rPr>
                <w:rFonts w:hint="eastAsia" w:ascii="Times New Roman" w:hAnsi="Times New Roman" w:eastAsia="宋体" w:cs="Times New Roman"/>
                <w:kern w:val="0"/>
                <w:sz w:val="20"/>
                <w:szCs w:val="20"/>
                <w:lang w:val="en-US" w:eastAsia="zh-CN" w:bidi="mn-Mong-CN"/>
              </w:rPr>
              <w:t>/</w:t>
            </w:r>
          </w:p>
        </w:tc>
        <w:tc>
          <w:tcPr>
            <w:tcW w:w="1815" w:type="dxa"/>
            <w:vAlign w:val="center"/>
          </w:tcPr>
          <w:p>
            <w:pPr>
              <w:jc w:val="center"/>
              <w:rPr>
                <w:rFonts w:ascii="Times New Roman" w:hAnsi="Times New Roman" w:cs="Times New Roman"/>
                <w:sz w:val="18"/>
                <w:szCs w:val="18"/>
              </w:rPr>
            </w:pPr>
            <w:r>
              <w:rPr>
                <w:rFonts w:hint="eastAsia" w:ascii="Times New Roman" w:hAnsi="Times New Roman" w:eastAsia="宋体" w:cs="Times New Roman"/>
                <w:kern w:val="0"/>
                <w:sz w:val="20"/>
                <w:szCs w:val="20"/>
                <w:lang w:val="en-US" w:eastAsia="zh-CN" w:bidi="mn-Mong-CN"/>
              </w:rPr>
              <w:t>/</w:t>
            </w:r>
          </w:p>
        </w:tc>
        <w:tc>
          <w:tcPr>
            <w:tcW w:w="1811" w:type="dxa"/>
            <w:vAlign w:val="center"/>
          </w:tcPr>
          <w:p>
            <w:pPr>
              <w:jc w:val="center"/>
              <w:rPr>
                <w:rFonts w:ascii="Times New Roman" w:hAnsi="Times New Roman" w:cs="Times New Roman"/>
                <w:sz w:val="18"/>
                <w:szCs w:val="18"/>
              </w:rPr>
            </w:pPr>
            <w:r>
              <w:rPr>
                <w:rFonts w:hint="eastAsia" w:ascii="Times New Roman" w:hAnsi="Times New Roman" w:eastAsia="宋体" w:cs="Times New Roman"/>
                <w:kern w:val="0"/>
                <w:sz w:val="20"/>
                <w:szCs w:val="20"/>
                <w:lang w:val="en-US" w:eastAsia="zh-CN" w:bidi="mn-Mong-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3" w:type="dxa"/>
            <w:vAlign w:val="center"/>
          </w:tcPr>
          <w:p>
            <w:pPr>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Zn</w:t>
            </w:r>
          </w:p>
        </w:tc>
        <w:tc>
          <w:tcPr>
            <w:tcW w:w="1823" w:type="dxa"/>
            <w:vAlign w:val="bottom"/>
          </w:tcPr>
          <w:p>
            <w:pPr>
              <w:keepNext w:val="0"/>
              <w:keepLines w:val="0"/>
              <w:widowControl/>
              <w:suppressLineNumbers w:val="0"/>
              <w:jc w:val="center"/>
              <w:textAlignment w:val="bottom"/>
              <w:rPr>
                <w:rFonts w:hint="eastAsia" w:ascii="Times New Roman" w:hAnsi="Times New Roman" w:cs="Times New Roman"/>
                <w:color w:val="000000"/>
                <w:sz w:val="18"/>
                <w:szCs w:val="18"/>
              </w:rPr>
            </w:pPr>
            <w:r>
              <w:rPr>
                <w:rFonts w:hint="default" w:ascii="Times New Roman" w:hAnsi="Times New Roman" w:eastAsia="宋体" w:cs="Times New Roman"/>
                <w:i w:val="0"/>
                <w:color w:val="000000"/>
                <w:kern w:val="0"/>
                <w:sz w:val="22"/>
                <w:szCs w:val="22"/>
                <w:u w:val="none"/>
                <w:lang w:val="en-US" w:eastAsia="zh-CN" w:bidi="ar"/>
              </w:rPr>
              <w:t>28.06</w:t>
            </w:r>
          </w:p>
        </w:tc>
        <w:tc>
          <w:tcPr>
            <w:tcW w:w="1819" w:type="dxa"/>
            <w:vAlign w:val="center"/>
          </w:tcPr>
          <w:p>
            <w:pPr>
              <w:jc w:val="center"/>
              <w:rPr>
                <w:rFonts w:hint="eastAsia" w:ascii="Times New Roman" w:hAnsi="Times New Roman" w:cs="Times New Roman"/>
                <w:color w:val="000000"/>
                <w:sz w:val="18"/>
                <w:szCs w:val="18"/>
              </w:rPr>
            </w:pPr>
            <w:r>
              <w:rPr>
                <w:rFonts w:hint="eastAsia" w:ascii="Times New Roman" w:hAnsi="Times New Roman" w:eastAsia="宋体" w:cs="Times New Roman"/>
                <w:kern w:val="0"/>
                <w:sz w:val="20"/>
                <w:szCs w:val="20"/>
                <w:lang w:val="en-US" w:eastAsia="zh-CN" w:bidi="mn-Mong-CN"/>
              </w:rPr>
              <w:t>/</w:t>
            </w:r>
          </w:p>
        </w:tc>
        <w:tc>
          <w:tcPr>
            <w:tcW w:w="1815" w:type="dxa"/>
            <w:vAlign w:val="center"/>
          </w:tcPr>
          <w:p>
            <w:pPr>
              <w:jc w:val="center"/>
              <w:rPr>
                <w:rFonts w:hint="eastAsia" w:ascii="Times New Roman" w:hAnsi="Times New Roman" w:cs="Times New Roman"/>
                <w:color w:val="000000"/>
                <w:sz w:val="18"/>
                <w:szCs w:val="18"/>
              </w:rPr>
            </w:pPr>
            <w:r>
              <w:rPr>
                <w:rFonts w:hint="eastAsia" w:ascii="Times New Roman" w:hAnsi="Times New Roman" w:eastAsia="宋体" w:cs="Times New Roman"/>
                <w:kern w:val="0"/>
                <w:sz w:val="20"/>
                <w:szCs w:val="20"/>
                <w:lang w:val="en-US" w:eastAsia="zh-CN" w:bidi="mn-Mong-CN"/>
              </w:rPr>
              <w:t>/</w:t>
            </w:r>
          </w:p>
        </w:tc>
        <w:tc>
          <w:tcPr>
            <w:tcW w:w="1811" w:type="dxa"/>
            <w:vAlign w:val="center"/>
          </w:tcPr>
          <w:p>
            <w:pPr>
              <w:jc w:val="center"/>
              <w:rPr>
                <w:rFonts w:hint="eastAsia" w:ascii="Times New Roman" w:hAnsi="Times New Roman" w:cs="Times New Roman"/>
                <w:color w:val="000000"/>
                <w:sz w:val="18"/>
                <w:szCs w:val="18"/>
              </w:rPr>
            </w:pPr>
            <w:r>
              <w:rPr>
                <w:rFonts w:hint="eastAsia" w:ascii="Times New Roman" w:hAnsi="Times New Roman" w:eastAsia="宋体" w:cs="Times New Roman"/>
                <w:kern w:val="0"/>
                <w:sz w:val="20"/>
                <w:szCs w:val="20"/>
                <w:lang w:val="en-US" w:eastAsia="zh-CN" w:bidi="mn-Mong-CN"/>
              </w:rPr>
              <w:t>/</w:t>
            </w:r>
          </w:p>
        </w:tc>
      </w:tr>
    </w:tbl>
    <w:p>
      <w:pPr>
        <w:snapToGrid w:val="0"/>
        <w:spacing w:line="360" w:lineRule="auto"/>
        <w:ind w:firstLine="480" w:firstLineChars="200"/>
        <w:rPr>
          <w:rFonts w:hint="eastAsia" w:ascii="Times New Roman" w:hAnsi="Times New Roman" w:eastAsia="宋体" w:cs="Times New Roman"/>
          <w:color w:val="000000"/>
          <w:sz w:val="24"/>
          <w:szCs w:val="24"/>
          <w:lang w:val="en-US" w:eastAsia="zh-CN"/>
        </w:rPr>
      </w:pPr>
    </w:p>
    <w:p>
      <w:pPr>
        <w:numPr>
          <w:ilvl w:val="0"/>
          <w:numId w:val="2"/>
        </w:numPr>
        <w:snapToGrid w:val="0"/>
        <w:spacing w:line="360" w:lineRule="auto"/>
        <w:ind w:firstLine="480" w:firstLineChars="20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球形氢氧化镍</w:t>
      </w:r>
      <w:r>
        <w:rPr>
          <w:rFonts w:hint="eastAsia" w:ascii="Times New Roman" w:hAnsi="Times New Roman" w:eastAsia="宋体" w:cs="Times New Roman"/>
          <w:color w:val="000000"/>
          <w:sz w:val="24"/>
          <w:szCs w:val="24"/>
        </w:rPr>
        <w:t>产</w:t>
      </w:r>
      <w:r>
        <w:rPr>
          <w:rFonts w:hint="eastAsia" w:ascii="Times New Roman" w:hAnsi="Times New Roman" w:eastAsia="宋体" w:cs="Times New Roman"/>
          <w:color w:val="000000"/>
          <w:sz w:val="24"/>
          <w:szCs w:val="24"/>
          <w:lang w:val="en-US" w:eastAsia="zh-CN"/>
        </w:rPr>
        <w:t>品的新鲜水消耗量调研数据如表2所示。</w:t>
      </w:r>
    </w:p>
    <w:p>
      <w:pPr>
        <w:wordWrap w:val="0"/>
        <w:snapToGrid w:val="0"/>
        <w:spacing w:line="360" w:lineRule="auto"/>
        <w:ind w:firstLine="420" w:firstLineChars="200"/>
        <w:jc w:val="center"/>
        <w:rPr>
          <w:rFonts w:hint="default"/>
          <w:lang w:val="en-US"/>
        </w:rPr>
      </w:pPr>
      <w:r>
        <w:rPr>
          <w:rFonts w:hint="eastAsia" w:ascii="Times New Roman" w:hAnsi="Times New Roman" w:eastAsia="宋体" w:cs="Times New Roman"/>
          <w:szCs w:val="21"/>
        </w:rPr>
        <w:t>表</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 xml:space="preserve">  </w:t>
      </w:r>
      <w:r>
        <w:rPr>
          <w:rFonts w:hint="eastAsia" w:ascii="Times New Roman" w:hAnsi="Times New Roman" w:cs="Times New Roman"/>
          <w:color w:val="000000"/>
          <w:sz w:val="18"/>
          <w:szCs w:val="18"/>
          <w:lang w:val="en-US" w:eastAsia="zh-CN"/>
        </w:rPr>
        <w:t>覆钴型球形氢氧化镍</w:t>
      </w:r>
      <w:r>
        <w:rPr>
          <w:rFonts w:hint="eastAsia" w:ascii="Times New Roman" w:hAnsi="Times New Roman" w:cs="Times New Roman"/>
          <w:color w:val="000000"/>
          <w:sz w:val="18"/>
          <w:szCs w:val="18"/>
        </w:rPr>
        <w:t>产品的</w:t>
      </w:r>
      <w:r>
        <w:rPr>
          <w:rFonts w:hint="eastAsia" w:ascii="Times New Roman" w:hAnsi="Times New Roman" w:cs="Times New Roman"/>
          <w:color w:val="000000"/>
          <w:sz w:val="18"/>
          <w:szCs w:val="18"/>
          <w:lang w:val="en-US" w:eastAsia="zh-CN"/>
        </w:rPr>
        <w:t>新鲜水</w:t>
      </w:r>
      <w:r>
        <w:rPr>
          <w:rFonts w:hint="eastAsia" w:ascii="Times New Roman" w:hAnsi="Times New Roman" w:cs="Times New Roman"/>
          <w:color w:val="000000"/>
          <w:sz w:val="18"/>
          <w:szCs w:val="18"/>
        </w:rPr>
        <w:t xml:space="preserve">消耗量 </w:t>
      </w:r>
      <w:r>
        <w:rPr>
          <w:rFonts w:hint="eastAsia" w:ascii="Times New Roman" w:hAnsi="Times New Roman" w:eastAsia="宋体" w:cs="Times New Roman"/>
          <w:szCs w:val="21"/>
        </w:rPr>
        <w:t xml:space="preserve">        单位：</w:t>
      </w:r>
      <w:r>
        <w:rPr>
          <w:rFonts w:hint="eastAsia" w:ascii="Times New Roman" w:hAnsi="Times New Roman" w:eastAsia="宋体" w:cs="Times New Roman"/>
          <w:szCs w:val="21"/>
          <w:lang w:val="en-US" w:eastAsia="zh-CN"/>
        </w:rPr>
        <w:t>t</w:t>
      </w:r>
      <w:r>
        <w:rPr>
          <w:rFonts w:hint="eastAsia" w:ascii="Times New Roman" w:hAnsi="Times New Roman" w:eastAsia="宋体" w:cs="Times New Roman"/>
          <w:szCs w:val="21"/>
        </w:rPr>
        <w:t>/t产品</w:t>
      </w:r>
    </w:p>
    <w:tbl>
      <w:tblPr>
        <w:tblStyle w:val="8"/>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823"/>
        <w:gridCol w:w="1819"/>
        <w:gridCol w:w="1815"/>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3"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消耗资源</w:t>
            </w:r>
          </w:p>
        </w:tc>
        <w:tc>
          <w:tcPr>
            <w:tcW w:w="1823" w:type="dxa"/>
            <w:vAlign w:val="center"/>
          </w:tcPr>
          <w:p>
            <w:pPr>
              <w:adjustRightInd w:val="0"/>
              <w:snapToGrid w:val="0"/>
              <w:jc w:val="center"/>
              <w:rPr>
                <w:rFonts w:ascii="Times New Roman" w:hAnsi="Times New Roman" w:cs="Times New Roman"/>
                <w:color w:val="000000"/>
                <w:sz w:val="18"/>
                <w:szCs w:val="18"/>
              </w:rPr>
            </w:pPr>
            <w:r>
              <w:rPr>
                <w:rFonts w:ascii="Times New Roman" w:hAnsi="Times New Roman" w:eastAsia="宋体" w:cs="Times New Roman"/>
                <w:kern w:val="0"/>
                <w:sz w:val="20"/>
                <w:szCs w:val="21"/>
                <w:lang w:bidi="mn-Mong-CN"/>
              </w:rPr>
              <w:t>企业A</w:t>
            </w:r>
          </w:p>
        </w:tc>
        <w:tc>
          <w:tcPr>
            <w:tcW w:w="1819" w:type="dxa"/>
            <w:vAlign w:val="center"/>
          </w:tcPr>
          <w:p>
            <w:pPr>
              <w:adjustRightInd w:val="0"/>
              <w:snapToGrid w:val="0"/>
              <w:jc w:val="center"/>
              <w:rPr>
                <w:rFonts w:hint="eastAsia" w:ascii="Times New Roman" w:hAnsi="Times New Roman" w:cs="Times New Roman"/>
                <w:color w:val="000000"/>
                <w:sz w:val="18"/>
                <w:szCs w:val="18"/>
                <w:lang w:val="en-US" w:eastAsia="zh-CN"/>
              </w:rPr>
            </w:pPr>
            <w:r>
              <w:rPr>
                <w:rFonts w:ascii="Times New Roman" w:hAnsi="Times New Roman" w:eastAsia="宋体" w:cs="Times New Roman"/>
                <w:kern w:val="0"/>
                <w:sz w:val="20"/>
                <w:szCs w:val="21"/>
                <w:lang w:bidi="mn-Mong-CN"/>
              </w:rPr>
              <w:t>企业B</w:t>
            </w:r>
          </w:p>
        </w:tc>
        <w:tc>
          <w:tcPr>
            <w:tcW w:w="1815" w:type="dxa"/>
            <w:vAlign w:val="center"/>
          </w:tcPr>
          <w:p>
            <w:pPr>
              <w:adjustRightInd w:val="0"/>
              <w:snapToGrid w:val="0"/>
              <w:jc w:val="center"/>
              <w:rPr>
                <w:rFonts w:hint="eastAsia" w:ascii="Times New Roman" w:hAnsi="Times New Roman" w:cs="Times New Roman"/>
                <w:color w:val="000000"/>
                <w:sz w:val="18"/>
                <w:szCs w:val="18"/>
                <w:lang w:val="en-US" w:eastAsia="zh-CN"/>
              </w:rPr>
            </w:pPr>
            <w:r>
              <w:rPr>
                <w:rFonts w:ascii="Times New Roman" w:hAnsi="Times New Roman" w:eastAsia="宋体" w:cs="Times New Roman"/>
                <w:kern w:val="0"/>
                <w:sz w:val="20"/>
                <w:szCs w:val="21"/>
                <w:lang w:bidi="mn-Mong-CN"/>
              </w:rPr>
              <w:t>企业C</w:t>
            </w:r>
          </w:p>
        </w:tc>
        <w:tc>
          <w:tcPr>
            <w:tcW w:w="1811" w:type="dxa"/>
            <w:vAlign w:val="center"/>
          </w:tcPr>
          <w:p>
            <w:pPr>
              <w:adjustRightInd w:val="0"/>
              <w:snapToGrid w:val="0"/>
              <w:jc w:val="center"/>
              <w:rPr>
                <w:rFonts w:hint="eastAsia" w:ascii="Times New Roman" w:hAnsi="Times New Roman" w:eastAsia="宋体" w:cs="Times New Roman"/>
                <w:kern w:val="0"/>
                <w:sz w:val="20"/>
                <w:szCs w:val="21"/>
                <w:lang w:eastAsia="zh-CN" w:bidi="mn-Mong-CN"/>
              </w:rPr>
            </w:pPr>
            <w:r>
              <w:rPr>
                <w:rFonts w:ascii="Times New Roman" w:hAnsi="Times New Roman" w:eastAsia="宋体" w:cs="Times New Roman"/>
                <w:kern w:val="0"/>
                <w:sz w:val="20"/>
                <w:szCs w:val="21"/>
                <w:lang w:bidi="mn-Mong-CN"/>
              </w:rPr>
              <w:t>企业</w:t>
            </w:r>
            <w:r>
              <w:rPr>
                <w:rFonts w:hint="eastAsia" w:ascii="Times New Roman" w:hAnsi="Times New Roman" w:eastAsia="宋体" w:cs="Times New Roman"/>
                <w:kern w:val="0"/>
                <w:sz w:val="20"/>
                <w:szCs w:val="21"/>
                <w:lang w:val="en-US" w:eastAsia="zh-CN" w:bidi="mn-Mong-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3" w:type="dxa"/>
            <w:vAlign w:val="center"/>
          </w:tcPr>
          <w:p>
            <w:pPr>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新鲜水</w:t>
            </w:r>
          </w:p>
        </w:tc>
        <w:tc>
          <w:tcPr>
            <w:tcW w:w="1823" w:type="dxa"/>
            <w:vAlign w:val="bottom"/>
          </w:tcPr>
          <w:p>
            <w:pPr>
              <w:keepNext w:val="0"/>
              <w:keepLines w:val="0"/>
              <w:widowControl/>
              <w:suppressLineNumbers w:val="0"/>
              <w:jc w:val="center"/>
              <w:textAlignment w:val="bottom"/>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17</w:t>
            </w:r>
          </w:p>
        </w:tc>
        <w:tc>
          <w:tcPr>
            <w:tcW w:w="1819" w:type="dxa"/>
            <w:vAlign w:val="center"/>
          </w:tcPr>
          <w:p>
            <w:pPr>
              <w:jc w:val="center"/>
              <w:rPr>
                <w:rFonts w:ascii="Times New Roman" w:hAnsi="Times New Roman" w:cs="Times New Roman"/>
                <w:sz w:val="18"/>
                <w:szCs w:val="18"/>
              </w:rPr>
            </w:pPr>
            <w:r>
              <w:rPr>
                <w:rFonts w:hint="eastAsia" w:ascii="Times New Roman" w:hAnsi="Times New Roman" w:eastAsia="宋体" w:cs="Times New Roman"/>
                <w:kern w:val="0"/>
                <w:sz w:val="20"/>
                <w:szCs w:val="20"/>
                <w:lang w:val="en-US" w:eastAsia="zh-CN" w:bidi="mn-Mong-CN"/>
              </w:rPr>
              <w:t>/</w:t>
            </w:r>
          </w:p>
        </w:tc>
        <w:tc>
          <w:tcPr>
            <w:tcW w:w="1815" w:type="dxa"/>
            <w:vAlign w:val="center"/>
          </w:tcPr>
          <w:p>
            <w:pPr>
              <w:jc w:val="center"/>
              <w:rPr>
                <w:rFonts w:ascii="Times New Roman" w:hAnsi="Times New Roman" w:cs="Times New Roman"/>
                <w:sz w:val="18"/>
                <w:szCs w:val="18"/>
              </w:rPr>
            </w:pPr>
            <w:r>
              <w:rPr>
                <w:rFonts w:hint="eastAsia" w:ascii="Times New Roman" w:hAnsi="Times New Roman" w:eastAsia="宋体" w:cs="Times New Roman"/>
                <w:kern w:val="0"/>
                <w:sz w:val="20"/>
                <w:szCs w:val="20"/>
                <w:lang w:val="en-US" w:eastAsia="zh-CN" w:bidi="mn-Mong-CN"/>
              </w:rPr>
              <w:t>/</w:t>
            </w:r>
          </w:p>
        </w:tc>
        <w:tc>
          <w:tcPr>
            <w:tcW w:w="1811" w:type="dxa"/>
            <w:vAlign w:val="center"/>
          </w:tcPr>
          <w:p>
            <w:pPr>
              <w:jc w:val="center"/>
              <w:rPr>
                <w:rFonts w:ascii="Times New Roman" w:hAnsi="Times New Roman" w:cs="Times New Roman"/>
                <w:sz w:val="18"/>
                <w:szCs w:val="18"/>
              </w:rPr>
            </w:pPr>
            <w:r>
              <w:rPr>
                <w:rFonts w:hint="eastAsia" w:ascii="Times New Roman" w:hAnsi="Times New Roman" w:eastAsia="宋体" w:cs="Times New Roman"/>
                <w:kern w:val="0"/>
                <w:sz w:val="20"/>
                <w:szCs w:val="20"/>
                <w:lang w:val="en-US" w:eastAsia="zh-CN" w:bidi="mn-Mong-CN"/>
              </w:rPr>
              <w:t>/</w:t>
            </w:r>
          </w:p>
        </w:tc>
      </w:tr>
    </w:tbl>
    <w:p>
      <w:pPr>
        <w:snapToGrid w:val="0"/>
        <w:spacing w:line="360" w:lineRule="auto"/>
        <w:ind w:firstLine="420" w:firstLineChars="200"/>
        <w:rPr>
          <w:rFonts w:hAnsi="宋体" w:cs="宋体"/>
          <w:kern w:val="0"/>
          <w:szCs w:val="21"/>
        </w:rPr>
      </w:pPr>
    </w:p>
    <w:p>
      <w:pPr>
        <w:snapToGrid w:val="0"/>
        <w:spacing w:line="360" w:lineRule="auto"/>
        <w:ind w:firstLine="480" w:firstLineChars="200"/>
        <w:rPr>
          <w:rFonts w:hint="default" w:ascii="Times New Roman" w:hAnsi="Times New Roman" w:cs="Times New Roman"/>
          <w:kern w:val="0"/>
          <w:sz w:val="24"/>
          <w:szCs w:val="24"/>
          <w:highlight w:val="yellow"/>
          <w:lang w:val="en-US"/>
        </w:rPr>
      </w:pPr>
      <w:r>
        <w:rPr>
          <w:rFonts w:hint="eastAsia" w:ascii="Times New Roman" w:hAnsi="Times New Roman" w:eastAsia="宋体" w:cs="Times New Roman"/>
          <w:color w:val="000000"/>
          <w:sz w:val="24"/>
          <w:szCs w:val="24"/>
          <w:lang w:val="en-US" w:eastAsia="zh-CN"/>
        </w:rPr>
        <w:t>3</w:t>
      </w:r>
      <w:r>
        <w:rPr>
          <w:rFonts w:hint="eastAsia"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lang w:val="en-US" w:eastAsia="zh-CN"/>
        </w:rPr>
        <w:t>球形氢氧化镍</w:t>
      </w:r>
      <w:r>
        <w:rPr>
          <w:rFonts w:hint="eastAsia" w:ascii="Times New Roman" w:hAnsi="Times New Roman" w:eastAsia="宋体" w:cs="Times New Roman"/>
          <w:color w:val="000000"/>
          <w:sz w:val="24"/>
          <w:szCs w:val="24"/>
        </w:rPr>
        <w:t>产</w:t>
      </w:r>
      <w:r>
        <w:rPr>
          <w:rFonts w:hint="eastAsia" w:ascii="Times New Roman" w:hAnsi="Times New Roman" w:eastAsia="宋体" w:cs="Times New Roman"/>
          <w:color w:val="000000"/>
          <w:sz w:val="24"/>
          <w:szCs w:val="24"/>
          <w:lang w:val="en-US" w:eastAsia="zh-CN"/>
        </w:rPr>
        <w:t>品的水的重复利用率以及废水中氨的回收利用率调研数据如表3所示。</w:t>
      </w:r>
    </w:p>
    <w:p>
      <w:pPr>
        <w:wordWrap w:val="0"/>
        <w:snapToGrid w:val="0"/>
        <w:spacing w:line="360" w:lineRule="auto"/>
        <w:ind w:firstLine="420" w:firstLineChars="200"/>
        <w:jc w:val="center"/>
        <w:rPr>
          <w:rFonts w:hint="eastAsia" w:hAnsi="宋体" w:eastAsia="宋体" w:cs="宋体"/>
          <w:kern w:val="0"/>
          <w:szCs w:val="21"/>
          <w:lang w:eastAsia="zh-CN"/>
        </w:rPr>
      </w:pPr>
      <w:r>
        <w:rPr>
          <w:rFonts w:hint="eastAsia" w:ascii="Times New Roman" w:hAnsi="Times New Roman" w:eastAsia="宋体" w:cs="Times New Roman"/>
          <w:szCs w:val="21"/>
        </w:rPr>
        <w:t>表</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 xml:space="preserve">  </w:t>
      </w:r>
      <w:r>
        <w:rPr>
          <w:rFonts w:hint="eastAsia" w:ascii="Times New Roman" w:hAnsi="Times New Roman" w:cs="Times New Roman"/>
          <w:color w:val="000000"/>
          <w:sz w:val="18"/>
          <w:szCs w:val="18"/>
          <w:lang w:val="en-US" w:eastAsia="zh-CN"/>
        </w:rPr>
        <w:t>覆钴型球形氢氧化镍</w:t>
      </w:r>
      <w:r>
        <w:rPr>
          <w:rFonts w:hint="eastAsia" w:ascii="Times New Roman" w:hAnsi="Times New Roman" w:cs="Times New Roman"/>
          <w:color w:val="000000"/>
          <w:sz w:val="18"/>
          <w:szCs w:val="18"/>
        </w:rPr>
        <w:t>产品</w:t>
      </w:r>
      <w:r>
        <w:rPr>
          <w:rFonts w:hint="eastAsia" w:ascii="Times New Roman" w:hAnsi="Times New Roman" w:cs="Times New Roman"/>
          <w:color w:val="000000"/>
          <w:sz w:val="18"/>
          <w:szCs w:val="18"/>
          <w:lang w:val="en-US" w:eastAsia="zh-CN"/>
        </w:rPr>
        <w:t>水的重复利用率及</w:t>
      </w:r>
      <w:bookmarkStart w:id="1" w:name="OLE_LINK2"/>
      <w:r>
        <w:rPr>
          <w:rFonts w:hint="eastAsia" w:ascii="Times New Roman" w:hAnsi="Times New Roman" w:cs="Times New Roman"/>
          <w:color w:val="000000"/>
          <w:sz w:val="18"/>
          <w:szCs w:val="18"/>
          <w:lang w:val="en-US" w:eastAsia="zh-CN"/>
        </w:rPr>
        <w:t>废水中氨的回收利用率</w:t>
      </w:r>
      <w:bookmarkEnd w:id="1"/>
      <w:r>
        <w:rPr>
          <w:rFonts w:hint="eastAsia" w:ascii="Times New Roman" w:hAnsi="Times New Roman" w:cs="Times New Roman"/>
          <w:color w:val="000000"/>
          <w:sz w:val="18"/>
          <w:szCs w:val="18"/>
        </w:rPr>
        <w:t xml:space="preserve"> </w:t>
      </w:r>
      <w:r>
        <w:rPr>
          <w:rFonts w:hint="eastAsia" w:ascii="Times New Roman" w:hAnsi="Times New Roman" w:eastAsia="宋体" w:cs="Times New Roman"/>
          <w:szCs w:val="21"/>
        </w:rPr>
        <w:t xml:space="preserve">        单位：</w:t>
      </w:r>
      <w:r>
        <w:rPr>
          <w:rFonts w:hint="eastAsia" w:ascii="Times New Roman" w:hAnsi="Times New Roman" w:eastAsia="宋体" w:cs="Times New Roman"/>
          <w:szCs w:val="21"/>
          <w:lang w:val="en-US" w:eastAsia="zh-CN"/>
        </w:rPr>
        <w:t>%</w:t>
      </w:r>
    </w:p>
    <w:tbl>
      <w:tblPr>
        <w:tblStyle w:val="8"/>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823"/>
        <w:gridCol w:w="1819"/>
        <w:gridCol w:w="1815"/>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3"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消耗资源</w:t>
            </w:r>
          </w:p>
        </w:tc>
        <w:tc>
          <w:tcPr>
            <w:tcW w:w="1823" w:type="dxa"/>
            <w:vAlign w:val="center"/>
          </w:tcPr>
          <w:p>
            <w:pPr>
              <w:adjustRightInd w:val="0"/>
              <w:snapToGrid w:val="0"/>
              <w:jc w:val="center"/>
              <w:rPr>
                <w:rFonts w:ascii="Times New Roman" w:hAnsi="Times New Roman" w:cs="Times New Roman"/>
                <w:color w:val="000000"/>
                <w:sz w:val="18"/>
                <w:szCs w:val="18"/>
              </w:rPr>
            </w:pPr>
            <w:r>
              <w:rPr>
                <w:rFonts w:ascii="Times New Roman" w:hAnsi="Times New Roman" w:eastAsia="宋体" w:cs="Times New Roman"/>
                <w:kern w:val="0"/>
                <w:sz w:val="20"/>
                <w:szCs w:val="21"/>
                <w:lang w:bidi="mn-Mong-CN"/>
              </w:rPr>
              <w:t>企业A</w:t>
            </w:r>
          </w:p>
        </w:tc>
        <w:tc>
          <w:tcPr>
            <w:tcW w:w="1819" w:type="dxa"/>
            <w:vAlign w:val="center"/>
          </w:tcPr>
          <w:p>
            <w:pPr>
              <w:adjustRightInd w:val="0"/>
              <w:snapToGrid w:val="0"/>
              <w:jc w:val="center"/>
              <w:rPr>
                <w:rFonts w:hint="eastAsia" w:ascii="Times New Roman" w:hAnsi="Times New Roman" w:cs="Times New Roman"/>
                <w:color w:val="000000"/>
                <w:sz w:val="18"/>
                <w:szCs w:val="18"/>
                <w:lang w:val="en-US" w:eastAsia="zh-CN"/>
              </w:rPr>
            </w:pPr>
            <w:r>
              <w:rPr>
                <w:rFonts w:ascii="Times New Roman" w:hAnsi="Times New Roman" w:eastAsia="宋体" w:cs="Times New Roman"/>
                <w:kern w:val="0"/>
                <w:sz w:val="20"/>
                <w:szCs w:val="21"/>
                <w:lang w:bidi="mn-Mong-CN"/>
              </w:rPr>
              <w:t>企业B</w:t>
            </w:r>
          </w:p>
        </w:tc>
        <w:tc>
          <w:tcPr>
            <w:tcW w:w="1815" w:type="dxa"/>
            <w:vAlign w:val="center"/>
          </w:tcPr>
          <w:p>
            <w:pPr>
              <w:adjustRightInd w:val="0"/>
              <w:snapToGrid w:val="0"/>
              <w:jc w:val="center"/>
              <w:rPr>
                <w:rFonts w:hint="eastAsia" w:ascii="Times New Roman" w:hAnsi="Times New Roman" w:cs="Times New Roman"/>
                <w:color w:val="000000"/>
                <w:sz w:val="18"/>
                <w:szCs w:val="18"/>
                <w:lang w:val="en-US" w:eastAsia="zh-CN"/>
              </w:rPr>
            </w:pPr>
            <w:r>
              <w:rPr>
                <w:rFonts w:ascii="Times New Roman" w:hAnsi="Times New Roman" w:eastAsia="宋体" w:cs="Times New Roman"/>
                <w:kern w:val="0"/>
                <w:sz w:val="20"/>
                <w:szCs w:val="21"/>
                <w:lang w:bidi="mn-Mong-CN"/>
              </w:rPr>
              <w:t>企业C</w:t>
            </w:r>
          </w:p>
        </w:tc>
        <w:tc>
          <w:tcPr>
            <w:tcW w:w="1811" w:type="dxa"/>
            <w:vAlign w:val="center"/>
          </w:tcPr>
          <w:p>
            <w:pPr>
              <w:adjustRightInd w:val="0"/>
              <w:snapToGrid w:val="0"/>
              <w:jc w:val="center"/>
              <w:rPr>
                <w:rFonts w:hint="eastAsia" w:ascii="Times New Roman" w:hAnsi="Times New Roman" w:eastAsia="宋体" w:cs="Times New Roman"/>
                <w:kern w:val="0"/>
                <w:sz w:val="20"/>
                <w:szCs w:val="21"/>
                <w:lang w:eastAsia="zh-CN" w:bidi="mn-Mong-CN"/>
              </w:rPr>
            </w:pPr>
            <w:r>
              <w:rPr>
                <w:rFonts w:ascii="Times New Roman" w:hAnsi="Times New Roman" w:eastAsia="宋体" w:cs="Times New Roman"/>
                <w:kern w:val="0"/>
                <w:sz w:val="20"/>
                <w:szCs w:val="21"/>
                <w:lang w:bidi="mn-Mong-CN"/>
              </w:rPr>
              <w:t>企业</w:t>
            </w:r>
            <w:r>
              <w:rPr>
                <w:rFonts w:hint="eastAsia" w:ascii="Times New Roman" w:hAnsi="Times New Roman" w:eastAsia="宋体" w:cs="Times New Roman"/>
                <w:kern w:val="0"/>
                <w:sz w:val="20"/>
                <w:szCs w:val="21"/>
                <w:lang w:val="en-US" w:eastAsia="zh-CN" w:bidi="mn-Mong-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3" w:type="dxa"/>
            <w:vAlign w:val="center"/>
          </w:tcPr>
          <w:p>
            <w:pPr>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水的重复利用率</w:t>
            </w:r>
          </w:p>
        </w:tc>
        <w:tc>
          <w:tcPr>
            <w:tcW w:w="1823" w:type="dxa"/>
            <w:vAlign w:val="center"/>
          </w:tcPr>
          <w:p>
            <w:pPr>
              <w:keepNext w:val="0"/>
              <w:keepLines w:val="0"/>
              <w:widowControl/>
              <w:suppressLineNumbers w:val="0"/>
              <w:jc w:val="center"/>
              <w:textAlignment w:val="bottom"/>
              <w:rPr>
                <w:rFonts w:ascii="Times New Roman" w:hAnsi="Times New Roman" w:cs="Times New Roman"/>
                <w:sz w:val="18"/>
                <w:szCs w:val="18"/>
              </w:rPr>
            </w:pPr>
            <w:r>
              <w:rPr>
                <w:rFonts w:hint="eastAsia" w:ascii="Times New Roman" w:hAnsi="Times New Roman" w:eastAsia="宋体" w:cs="Times New Roman"/>
                <w:i w:val="0"/>
                <w:color w:val="000000"/>
                <w:kern w:val="0"/>
                <w:sz w:val="22"/>
                <w:szCs w:val="22"/>
                <w:u w:val="none"/>
                <w:lang w:val="en-US" w:eastAsia="zh-CN" w:bidi="ar"/>
              </w:rPr>
              <w:t>0</w:t>
            </w:r>
          </w:p>
        </w:tc>
        <w:tc>
          <w:tcPr>
            <w:tcW w:w="1819" w:type="dxa"/>
            <w:vAlign w:val="center"/>
          </w:tcPr>
          <w:p>
            <w:pPr>
              <w:jc w:val="center"/>
              <w:rPr>
                <w:rFonts w:ascii="Times New Roman" w:hAnsi="Times New Roman" w:cs="Times New Roman"/>
                <w:sz w:val="18"/>
                <w:szCs w:val="18"/>
              </w:rPr>
            </w:pPr>
            <w:r>
              <w:rPr>
                <w:rFonts w:hint="eastAsia" w:ascii="Times New Roman" w:hAnsi="Times New Roman" w:eastAsia="宋体" w:cs="Times New Roman"/>
                <w:kern w:val="0"/>
                <w:sz w:val="20"/>
                <w:szCs w:val="20"/>
                <w:lang w:val="en-US" w:eastAsia="zh-CN" w:bidi="mn-Mong-CN"/>
              </w:rPr>
              <w:t>/</w:t>
            </w:r>
          </w:p>
        </w:tc>
        <w:tc>
          <w:tcPr>
            <w:tcW w:w="1815" w:type="dxa"/>
            <w:vAlign w:val="center"/>
          </w:tcPr>
          <w:p>
            <w:pPr>
              <w:jc w:val="center"/>
              <w:rPr>
                <w:rFonts w:ascii="Times New Roman" w:hAnsi="Times New Roman" w:cs="Times New Roman"/>
                <w:sz w:val="18"/>
                <w:szCs w:val="18"/>
              </w:rPr>
            </w:pPr>
            <w:r>
              <w:rPr>
                <w:rFonts w:hint="eastAsia" w:ascii="Times New Roman" w:hAnsi="Times New Roman" w:eastAsia="宋体" w:cs="Times New Roman"/>
                <w:kern w:val="0"/>
                <w:sz w:val="20"/>
                <w:szCs w:val="20"/>
                <w:lang w:val="en-US" w:eastAsia="zh-CN" w:bidi="mn-Mong-CN"/>
              </w:rPr>
              <w:t>/</w:t>
            </w:r>
          </w:p>
        </w:tc>
        <w:tc>
          <w:tcPr>
            <w:tcW w:w="1811" w:type="dxa"/>
            <w:vAlign w:val="center"/>
          </w:tcPr>
          <w:p>
            <w:pPr>
              <w:jc w:val="center"/>
              <w:rPr>
                <w:rFonts w:ascii="Times New Roman" w:hAnsi="Times New Roman" w:cs="Times New Roman"/>
                <w:sz w:val="18"/>
                <w:szCs w:val="18"/>
              </w:rPr>
            </w:pPr>
            <w:r>
              <w:rPr>
                <w:rFonts w:hint="eastAsia" w:ascii="Times New Roman" w:hAnsi="Times New Roman" w:eastAsia="宋体" w:cs="Times New Roman"/>
                <w:kern w:val="0"/>
                <w:sz w:val="20"/>
                <w:szCs w:val="20"/>
                <w:lang w:val="en-US" w:eastAsia="zh-CN" w:bidi="mn-Mong-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3" w:type="dxa"/>
            <w:vAlign w:val="center"/>
          </w:tcPr>
          <w:p>
            <w:pPr>
              <w:jc w:val="center"/>
              <w:rPr>
                <w:rFonts w:hint="eastAsia" w:ascii="Times New Roman" w:hAnsi="Times New Roman" w:cs="Times New Roman"/>
                <w:color w:val="000000"/>
                <w:sz w:val="18"/>
                <w:szCs w:val="18"/>
                <w:lang w:val="en-US" w:eastAsia="zh-CN"/>
              </w:rPr>
            </w:pPr>
            <w:bookmarkStart w:id="2" w:name="_GoBack" w:colFirst="2" w:colLast="4"/>
            <w:r>
              <w:rPr>
                <w:rFonts w:hint="eastAsia" w:ascii="Times New Roman" w:hAnsi="Times New Roman" w:cs="Times New Roman"/>
                <w:color w:val="000000"/>
                <w:sz w:val="18"/>
                <w:szCs w:val="18"/>
                <w:lang w:val="en-US" w:eastAsia="zh-CN"/>
              </w:rPr>
              <w:t>废水中氨的回收利用率</w:t>
            </w:r>
          </w:p>
        </w:tc>
        <w:tc>
          <w:tcPr>
            <w:tcW w:w="1823" w:type="dxa"/>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0</w:t>
            </w:r>
          </w:p>
        </w:tc>
        <w:tc>
          <w:tcPr>
            <w:tcW w:w="1819" w:type="dxa"/>
            <w:vAlign w:val="center"/>
          </w:tcPr>
          <w:p>
            <w:pPr>
              <w:jc w:val="center"/>
              <w:rPr>
                <w:rFonts w:hint="eastAsia" w:ascii="Times New Roman" w:hAnsi="Times New Roman" w:eastAsia="宋体" w:cs="Times New Roman"/>
                <w:kern w:val="0"/>
                <w:sz w:val="20"/>
                <w:szCs w:val="20"/>
                <w:lang w:val="en-US" w:eastAsia="zh-CN" w:bidi="mn-Mong-CN"/>
              </w:rPr>
            </w:pPr>
            <w:r>
              <w:rPr>
                <w:rFonts w:hint="eastAsia" w:ascii="Times New Roman" w:hAnsi="Times New Roman" w:eastAsia="宋体" w:cs="Times New Roman"/>
                <w:kern w:val="0"/>
                <w:sz w:val="20"/>
                <w:szCs w:val="20"/>
                <w:lang w:val="en-US" w:eastAsia="zh-CN" w:bidi="mn-Mong-CN"/>
              </w:rPr>
              <w:t>/</w:t>
            </w:r>
          </w:p>
        </w:tc>
        <w:tc>
          <w:tcPr>
            <w:tcW w:w="1815" w:type="dxa"/>
            <w:vAlign w:val="center"/>
          </w:tcPr>
          <w:p>
            <w:pPr>
              <w:jc w:val="center"/>
              <w:rPr>
                <w:rFonts w:hint="eastAsia" w:ascii="Times New Roman" w:hAnsi="Times New Roman" w:eastAsia="宋体" w:cs="Times New Roman"/>
                <w:kern w:val="0"/>
                <w:sz w:val="20"/>
                <w:szCs w:val="20"/>
                <w:lang w:val="en-US" w:eastAsia="zh-CN" w:bidi="mn-Mong-CN"/>
              </w:rPr>
            </w:pPr>
            <w:r>
              <w:rPr>
                <w:rFonts w:hint="eastAsia" w:ascii="Times New Roman" w:hAnsi="Times New Roman" w:eastAsia="宋体" w:cs="Times New Roman"/>
                <w:kern w:val="0"/>
                <w:sz w:val="20"/>
                <w:szCs w:val="20"/>
                <w:lang w:val="en-US" w:eastAsia="zh-CN" w:bidi="mn-Mong-CN"/>
              </w:rPr>
              <w:t>/</w:t>
            </w:r>
          </w:p>
        </w:tc>
        <w:tc>
          <w:tcPr>
            <w:tcW w:w="1811" w:type="dxa"/>
            <w:vAlign w:val="center"/>
          </w:tcPr>
          <w:p>
            <w:pPr>
              <w:jc w:val="center"/>
              <w:rPr>
                <w:rFonts w:hint="eastAsia" w:ascii="Times New Roman" w:hAnsi="Times New Roman" w:eastAsia="宋体" w:cs="Times New Roman"/>
                <w:kern w:val="0"/>
                <w:sz w:val="20"/>
                <w:szCs w:val="20"/>
                <w:lang w:val="en-US" w:eastAsia="zh-CN" w:bidi="mn-Mong-CN"/>
              </w:rPr>
            </w:pPr>
            <w:r>
              <w:rPr>
                <w:rFonts w:hint="eastAsia" w:ascii="Times New Roman" w:hAnsi="Times New Roman" w:eastAsia="宋体" w:cs="Times New Roman"/>
                <w:kern w:val="0"/>
                <w:sz w:val="20"/>
                <w:szCs w:val="20"/>
                <w:lang w:val="en-US" w:eastAsia="zh-CN" w:bidi="mn-Mong-CN"/>
              </w:rPr>
              <w:t>/</w:t>
            </w:r>
          </w:p>
        </w:tc>
      </w:tr>
      <w:bookmarkEnd w:id="2"/>
    </w:tbl>
    <w:p>
      <w:pPr>
        <w:snapToGrid w:val="0"/>
        <w:spacing w:line="360" w:lineRule="auto"/>
        <w:ind w:firstLine="480" w:firstLineChars="200"/>
        <w:rPr>
          <w:rFonts w:hint="eastAsia" w:ascii="Times New Roman" w:hAnsi="Times New Roman" w:eastAsia="宋体" w:cs="Times New Roman"/>
          <w:sz w:val="24"/>
          <w:szCs w:val="21"/>
        </w:rPr>
      </w:pPr>
    </w:p>
    <w:p>
      <w:pPr>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lang w:val="en-US" w:eastAsia="zh-CN"/>
        </w:rPr>
        <w:t>4</w:t>
      </w:r>
      <w:r>
        <w:rPr>
          <w:rFonts w:ascii="Times New Roman" w:hAnsi="Times New Roman" w:eastAsia="宋体" w:cs="Times New Roman"/>
          <w:sz w:val="24"/>
          <w:szCs w:val="21"/>
        </w:rPr>
        <w:t>、单位产品综合能耗：产品单位产量直接综合能耗与产品单位产量间接综合能耗之和。根据企业反馈资料，将</w:t>
      </w:r>
      <w:r>
        <w:rPr>
          <w:rFonts w:hint="eastAsia" w:ascii="Times New Roman" w:hAnsi="Times New Roman" w:eastAsia="宋体" w:cs="Times New Roman"/>
          <w:sz w:val="24"/>
          <w:szCs w:val="21"/>
          <w:lang w:val="en-US" w:eastAsia="zh-CN"/>
        </w:rPr>
        <w:t>覆钴型球形氢氧化镍产品</w:t>
      </w:r>
      <w:r>
        <w:rPr>
          <w:rFonts w:ascii="Times New Roman" w:hAnsi="Times New Roman" w:eastAsia="宋体" w:cs="Times New Roman"/>
          <w:sz w:val="24"/>
          <w:szCs w:val="21"/>
        </w:rPr>
        <w:t>综合能耗指标的基准值定为不超过</w:t>
      </w:r>
      <w:r>
        <w:rPr>
          <w:rFonts w:hint="eastAsia" w:ascii="Times New Roman" w:hAnsi="Times New Roman" w:eastAsia="宋体" w:cs="Times New Roman"/>
          <w:sz w:val="24"/>
          <w:szCs w:val="21"/>
          <w:lang w:val="en-US" w:eastAsia="zh-CN"/>
        </w:rPr>
        <w:t>XXXX</w:t>
      </w:r>
      <w:r>
        <w:rPr>
          <w:rFonts w:ascii="Times New Roman" w:hAnsi="Times New Roman" w:eastAsia="宋体" w:cs="Times New Roman"/>
          <w:sz w:val="24"/>
          <w:szCs w:val="21"/>
        </w:rPr>
        <w:t>产品。</w:t>
      </w:r>
    </w:p>
    <w:p>
      <w:pPr>
        <w:snapToGrid w:val="0"/>
        <w:spacing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 xml:space="preserve">表4  </w:t>
      </w:r>
      <w:r>
        <w:rPr>
          <w:rFonts w:hint="eastAsia" w:ascii="Times New Roman" w:hAnsi="Times New Roman" w:cs="Times New Roman"/>
          <w:color w:val="000000"/>
          <w:sz w:val="18"/>
          <w:szCs w:val="18"/>
          <w:lang w:val="en-US" w:eastAsia="zh-CN"/>
        </w:rPr>
        <w:t>覆钴型球形氢氧化镍</w:t>
      </w:r>
      <w:r>
        <w:rPr>
          <w:rFonts w:ascii="Times New Roman" w:hAnsi="Times New Roman" w:eastAsia="宋体" w:cs="Times New Roman"/>
          <w:szCs w:val="21"/>
        </w:rPr>
        <w:t>的单位产品综合能耗调研结果</w:t>
      </w:r>
      <w:r>
        <w:rPr>
          <w:rFonts w:hint="eastAsia" w:ascii="Times New Roman" w:hAnsi="Times New Roman" w:eastAsia="宋体" w:cs="Times New Roman"/>
          <w:szCs w:val="21"/>
        </w:rPr>
        <w:t xml:space="preserve">  单位：</w:t>
      </w:r>
      <w:r>
        <w:rPr>
          <w:rFonts w:ascii="Times New Roman" w:hAnsi="Times New Roman" w:eastAsia="宋体" w:cs="Times New Roman"/>
          <w:szCs w:val="21"/>
        </w:rPr>
        <w:t>kgce</w:t>
      </w:r>
      <w:r>
        <w:rPr>
          <w:rFonts w:hint="eastAsia" w:ascii="Times New Roman" w:hAnsi="Times New Roman" w:eastAsia="宋体" w:cs="Times New Roman"/>
          <w:szCs w:val="21"/>
        </w:rPr>
        <w:t>/t产品</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1730"/>
        <w:gridCol w:w="1732"/>
        <w:gridCol w:w="1732"/>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5" w:type="dxa"/>
            <w:vAlign w:val="center"/>
          </w:tcPr>
          <w:p>
            <w:pPr>
              <w:adjustRightInd w:val="0"/>
              <w:snapToGrid w:val="0"/>
              <w:jc w:val="center"/>
              <w:rPr>
                <w:rFonts w:ascii="Times New Roman" w:hAnsi="Times New Roman" w:eastAsia="宋体" w:cs="Times New Roman"/>
                <w:kern w:val="0"/>
                <w:sz w:val="20"/>
                <w:szCs w:val="21"/>
                <w:lang w:bidi="mn-Mong-CN"/>
              </w:rPr>
            </w:pPr>
            <w:r>
              <w:rPr>
                <w:rFonts w:ascii="Times New Roman" w:hAnsi="Times New Roman" w:eastAsia="宋体" w:cs="Times New Roman"/>
                <w:kern w:val="0"/>
                <w:sz w:val="20"/>
                <w:szCs w:val="21"/>
                <w:lang w:bidi="mn-Mong-CN"/>
              </w:rPr>
              <w:t>项目</w:t>
            </w:r>
          </w:p>
        </w:tc>
        <w:tc>
          <w:tcPr>
            <w:tcW w:w="6927" w:type="dxa"/>
            <w:gridSpan w:val="4"/>
          </w:tcPr>
          <w:p>
            <w:pPr>
              <w:adjustRightInd w:val="0"/>
              <w:snapToGrid w:val="0"/>
              <w:jc w:val="center"/>
              <w:rPr>
                <w:rFonts w:ascii="Times New Roman" w:hAnsi="Times New Roman" w:eastAsia="宋体" w:cs="Times New Roman"/>
                <w:kern w:val="0"/>
                <w:sz w:val="20"/>
                <w:szCs w:val="21"/>
                <w:lang w:bidi="mn-Mong-CN"/>
              </w:rPr>
            </w:pPr>
            <w:r>
              <w:rPr>
                <w:rFonts w:hint="eastAsia" w:ascii="Times New Roman" w:hAnsi="Times New Roman" w:eastAsia="宋体" w:cs="Times New Roman"/>
                <w:kern w:val="0"/>
                <w:sz w:val="20"/>
                <w:szCs w:val="21"/>
                <w:lang w:bidi="mn-Mong-CN"/>
              </w:rPr>
              <w:t>单位产品综合能耗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5" w:type="dxa"/>
            <w:vAlign w:val="center"/>
          </w:tcPr>
          <w:p>
            <w:pPr>
              <w:adjustRightInd w:val="0"/>
              <w:snapToGrid w:val="0"/>
              <w:jc w:val="center"/>
              <w:rPr>
                <w:rFonts w:ascii="Times New Roman" w:hAnsi="Times New Roman" w:eastAsia="宋体" w:cs="Times New Roman"/>
                <w:kern w:val="0"/>
                <w:sz w:val="20"/>
                <w:szCs w:val="21"/>
                <w:lang w:bidi="mn-Mong-CN"/>
              </w:rPr>
            </w:pPr>
            <w:r>
              <w:rPr>
                <w:rFonts w:hint="eastAsia" w:ascii="Times New Roman" w:hAnsi="Times New Roman" w:eastAsia="宋体" w:cs="Times New Roman"/>
                <w:kern w:val="0"/>
                <w:sz w:val="20"/>
                <w:szCs w:val="21"/>
                <w:lang w:bidi="mn-Mong-CN"/>
              </w:rPr>
              <w:t>企业</w:t>
            </w:r>
          </w:p>
        </w:tc>
        <w:tc>
          <w:tcPr>
            <w:tcW w:w="1730" w:type="dxa"/>
            <w:vAlign w:val="center"/>
          </w:tcPr>
          <w:p>
            <w:pPr>
              <w:adjustRightInd w:val="0"/>
              <w:snapToGrid w:val="0"/>
              <w:jc w:val="center"/>
              <w:rPr>
                <w:rFonts w:ascii="Times New Roman" w:hAnsi="Times New Roman" w:eastAsia="宋体" w:cs="Times New Roman"/>
                <w:kern w:val="0"/>
                <w:sz w:val="20"/>
                <w:szCs w:val="21"/>
                <w:lang w:bidi="mn-Mong-CN"/>
              </w:rPr>
            </w:pPr>
            <w:r>
              <w:rPr>
                <w:rFonts w:ascii="Times New Roman" w:hAnsi="Times New Roman" w:eastAsia="宋体" w:cs="Times New Roman"/>
                <w:kern w:val="0"/>
                <w:sz w:val="20"/>
                <w:szCs w:val="21"/>
                <w:lang w:bidi="mn-Mong-CN"/>
              </w:rPr>
              <w:t>企业A</w:t>
            </w:r>
          </w:p>
        </w:tc>
        <w:tc>
          <w:tcPr>
            <w:tcW w:w="1732" w:type="dxa"/>
            <w:vAlign w:val="center"/>
          </w:tcPr>
          <w:p>
            <w:pPr>
              <w:adjustRightInd w:val="0"/>
              <w:snapToGrid w:val="0"/>
              <w:jc w:val="center"/>
              <w:rPr>
                <w:rFonts w:ascii="Times New Roman" w:hAnsi="Times New Roman" w:eastAsia="宋体" w:cs="Times New Roman"/>
                <w:kern w:val="0"/>
                <w:sz w:val="20"/>
                <w:szCs w:val="21"/>
                <w:lang w:bidi="mn-Mong-CN"/>
              </w:rPr>
            </w:pPr>
            <w:r>
              <w:rPr>
                <w:rFonts w:ascii="Times New Roman" w:hAnsi="Times New Roman" w:eastAsia="宋体" w:cs="Times New Roman"/>
                <w:kern w:val="0"/>
                <w:sz w:val="20"/>
                <w:szCs w:val="21"/>
                <w:lang w:bidi="mn-Mong-CN"/>
              </w:rPr>
              <w:t>企业B</w:t>
            </w:r>
          </w:p>
        </w:tc>
        <w:tc>
          <w:tcPr>
            <w:tcW w:w="1732" w:type="dxa"/>
            <w:vAlign w:val="center"/>
          </w:tcPr>
          <w:p>
            <w:pPr>
              <w:adjustRightInd w:val="0"/>
              <w:snapToGrid w:val="0"/>
              <w:jc w:val="center"/>
              <w:rPr>
                <w:rFonts w:ascii="Times New Roman" w:hAnsi="Times New Roman" w:eastAsia="宋体" w:cs="Times New Roman"/>
                <w:kern w:val="0"/>
                <w:sz w:val="20"/>
                <w:szCs w:val="21"/>
                <w:lang w:bidi="mn-Mong-CN"/>
              </w:rPr>
            </w:pPr>
            <w:r>
              <w:rPr>
                <w:rFonts w:ascii="Times New Roman" w:hAnsi="Times New Roman" w:eastAsia="宋体" w:cs="Times New Roman"/>
                <w:kern w:val="0"/>
                <w:sz w:val="20"/>
                <w:szCs w:val="21"/>
                <w:lang w:bidi="mn-Mong-CN"/>
              </w:rPr>
              <w:t>企业C</w:t>
            </w:r>
          </w:p>
        </w:tc>
        <w:tc>
          <w:tcPr>
            <w:tcW w:w="1733" w:type="dxa"/>
            <w:vAlign w:val="center"/>
          </w:tcPr>
          <w:p>
            <w:pPr>
              <w:adjustRightInd w:val="0"/>
              <w:snapToGrid w:val="0"/>
              <w:jc w:val="center"/>
              <w:rPr>
                <w:rFonts w:ascii="Times New Roman" w:hAnsi="Times New Roman" w:eastAsia="宋体" w:cs="Times New Roman"/>
                <w:kern w:val="0"/>
                <w:sz w:val="20"/>
                <w:szCs w:val="21"/>
                <w:lang w:bidi="mn-Mong-CN"/>
              </w:rPr>
            </w:pPr>
            <w:r>
              <w:rPr>
                <w:rFonts w:ascii="Times New Roman" w:hAnsi="Times New Roman" w:eastAsia="宋体" w:cs="Times New Roman"/>
                <w:kern w:val="0"/>
                <w:sz w:val="20"/>
                <w:szCs w:val="21"/>
                <w:lang w:bidi="mn-Mong-CN"/>
              </w:rPr>
              <w:t>企业D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5" w:type="dxa"/>
            <w:vAlign w:val="center"/>
          </w:tcPr>
          <w:p>
            <w:pPr>
              <w:jc w:val="center"/>
              <w:rPr>
                <w:rFonts w:ascii="Times New Roman" w:hAnsi="Times New Roman" w:eastAsia="宋体" w:cs="Times New Roman"/>
                <w:color w:val="000000"/>
                <w:kern w:val="0"/>
                <w:sz w:val="20"/>
                <w:szCs w:val="21"/>
                <w:lang w:bidi="mn-Mong-CN"/>
              </w:rPr>
            </w:pPr>
            <w:r>
              <w:rPr>
                <w:rFonts w:hint="eastAsia" w:ascii="Times New Roman" w:hAnsi="Times New Roman" w:cs="Times New Roman"/>
                <w:color w:val="000000"/>
                <w:sz w:val="18"/>
                <w:szCs w:val="18"/>
                <w:lang w:val="en-US" w:eastAsia="zh-CN"/>
              </w:rPr>
              <w:t>覆钴型球形氢氧化镍</w:t>
            </w:r>
          </w:p>
        </w:tc>
        <w:tc>
          <w:tcPr>
            <w:tcW w:w="1730" w:type="dxa"/>
            <w:vAlign w:val="center"/>
          </w:tcPr>
          <w:p>
            <w:pPr>
              <w:adjustRightInd w:val="0"/>
              <w:snapToGrid w:val="0"/>
              <w:jc w:val="center"/>
              <w:rPr>
                <w:rFonts w:hint="default" w:ascii="Times New Roman" w:hAnsi="Times New Roman" w:eastAsia="宋体" w:cs="Times New Roman"/>
                <w:kern w:val="0"/>
                <w:sz w:val="20"/>
                <w:szCs w:val="20"/>
                <w:lang w:val="en-US" w:eastAsia="zh-CN" w:bidi="mn-Mong-CN"/>
              </w:rPr>
            </w:pPr>
            <w:r>
              <w:rPr>
                <w:rFonts w:hint="eastAsia" w:ascii="Times New Roman" w:hAnsi="Times New Roman" w:eastAsia="宋体" w:cs="Times New Roman"/>
                <w:kern w:val="0"/>
                <w:sz w:val="20"/>
                <w:szCs w:val="20"/>
                <w:lang w:val="en-US" w:eastAsia="zh-CN" w:bidi="mn-Mong-CN"/>
              </w:rPr>
              <w:t>201.85</w:t>
            </w:r>
          </w:p>
        </w:tc>
        <w:tc>
          <w:tcPr>
            <w:tcW w:w="1732" w:type="dxa"/>
            <w:vAlign w:val="center"/>
          </w:tcPr>
          <w:p>
            <w:pPr>
              <w:adjustRightInd w:val="0"/>
              <w:snapToGrid w:val="0"/>
              <w:jc w:val="center"/>
              <w:rPr>
                <w:rFonts w:hint="eastAsia" w:ascii="Times New Roman" w:hAnsi="Times New Roman" w:eastAsia="宋体" w:cs="Times New Roman"/>
                <w:kern w:val="0"/>
                <w:sz w:val="20"/>
                <w:szCs w:val="20"/>
                <w:lang w:val="en-US" w:eastAsia="zh-CN" w:bidi="mn-Mong-CN"/>
              </w:rPr>
            </w:pPr>
            <w:r>
              <w:rPr>
                <w:rFonts w:hint="eastAsia" w:ascii="Times New Roman" w:hAnsi="Times New Roman" w:eastAsia="宋体" w:cs="Times New Roman"/>
                <w:kern w:val="0"/>
                <w:sz w:val="20"/>
                <w:szCs w:val="20"/>
                <w:lang w:val="en-US" w:eastAsia="zh-CN" w:bidi="mn-Mong-CN"/>
              </w:rPr>
              <w:t>/</w:t>
            </w:r>
          </w:p>
        </w:tc>
        <w:tc>
          <w:tcPr>
            <w:tcW w:w="1732" w:type="dxa"/>
            <w:vAlign w:val="center"/>
          </w:tcPr>
          <w:p>
            <w:pPr>
              <w:adjustRightInd w:val="0"/>
              <w:snapToGrid w:val="0"/>
              <w:jc w:val="center"/>
              <w:rPr>
                <w:rFonts w:hint="eastAsia" w:ascii="Times New Roman" w:hAnsi="Times New Roman" w:eastAsia="宋体" w:cs="Times New Roman"/>
                <w:kern w:val="0"/>
                <w:sz w:val="20"/>
                <w:szCs w:val="21"/>
                <w:lang w:val="en-US" w:eastAsia="zh-CN" w:bidi="mn-Mong-CN"/>
              </w:rPr>
            </w:pPr>
            <w:r>
              <w:rPr>
                <w:rFonts w:hint="eastAsia" w:ascii="Times New Roman" w:hAnsi="Times New Roman" w:eastAsia="宋体" w:cs="Times New Roman"/>
                <w:kern w:val="0"/>
                <w:sz w:val="20"/>
                <w:szCs w:val="21"/>
                <w:lang w:val="en-US" w:eastAsia="zh-CN" w:bidi="mn-Mong-CN"/>
              </w:rPr>
              <w:t>/</w:t>
            </w:r>
          </w:p>
        </w:tc>
        <w:tc>
          <w:tcPr>
            <w:tcW w:w="1733" w:type="dxa"/>
            <w:vAlign w:val="center"/>
          </w:tcPr>
          <w:p>
            <w:pPr>
              <w:adjustRightInd w:val="0"/>
              <w:snapToGrid w:val="0"/>
              <w:jc w:val="center"/>
              <w:rPr>
                <w:rFonts w:hint="eastAsia" w:ascii="Times New Roman" w:hAnsi="Times New Roman" w:eastAsia="宋体" w:cs="Times New Roman"/>
                <w:kern w:val="0"/>
                <w:sz w:val="20"/>
                <w:szCs w:val="21"/>
                <w:lang w:val="en-US" w:eastAsia="zh-CN" w:bidi="mn-Mong-CN"/>
              </w:rPr>
            </w:pPr>
            <w:r>
              <w:rPr>
                <w:rFonts w:hint="eastAsia" w:ascii="Times New Roman" w:hAnsi="Times New Roman" w:eastAsia="宋体" w:cs="Times New Roman"/>
                <w:kern w:val="0"/>
                <w:sz w:val="20"/>
                <w:szCs w:val="21"/>
                <w:lang w:val="en-US" w:eastAsia="zh-CN" w:bidi="mn-Mong-CN"/>
              </w:rPr>
              <w:t>/</w:t>
            </w:r>
          </w:p>
        </w:tc>
      </w:tr>
    </w:tbl>
    <w:p>
      <w:pPr>
        <w:snapToGrid w:val="0"/>
        <w:spacing w:line="360" w:lineRule="auto"/>
        <w:ind w:firstLine="480" w:firstLineChars="200"/>
        <w:rPr>
          <w:rFonts w:ascii="Times New Roman" w:hAnsi="Times New Roman" w:eastAsia="宋体" w:cs="Times New Roman"/>
          <w:sz w:val="24"/>
          <w:szCs w:val="24"/>
        </w:rPr>
      </w:pPr>
    </w:p>
    <w:p>
      <w:pPr>
        <w:snapToGrid w:val="0"/>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sz w:val="24"/>
          <w:szCs w:val="24"/>
          <w:lang w:val="en-US" w:eastAsia="zh-CN"/>
        </w:rPr>
        <w:t>5</w:t>
      </w: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振实密度</w:t>
      </w: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lang w:val="en-US" w:eastAsia="zh-CN"/>
        </w:rPr>
        <w:t>依据</w:t>
      </w:r>
      <w:r>
        <w:rPr>
          <w:rFonts w:ascii="Times New Roman" w:hAnsi="Times New Roman" w:eastAsia="宋体" w:cs="Times New Roman"/>
          <w:color w:val="000000"/>
          <w:sz w:val="24"/>
          <w:szCs w:val="24"/>
        </w:rPr>
        <w:t>现行的</w:t>
      </w:r>
      <w:r>
        <w:rPr>
          <w:rFonts w:hint="eastAsia" w:ascii="Times New Roman" w:hAnsi="Times New Roman" w:eastAsia="宋体" w:cs="Times New Roman"/>
          <w:color w:val="000000"/>
          <w:sz w:val="24"/>
          <w:szCs w:val="24"/>
          <w:lang w:val="en-US" w:eastAsia="zh-CN"/>
        </w:rPr>
        <w:t>球形氢氧化镍</w:t>
      </w:r>
      <w:r>
        <w:rPr>
          <w:rFonts w:ascii="Times New Roman" w:hAnsi="Times New Roman" w:eastAsia="宋体" w:cs="Times New Roman"/>
          <w:color w:val="000000"/>
          <w:sz w:val="24"/>
          <w:szCs w:val="24"/>
        </w:rPr>
        <w:t>产品标准</w:t>
      </w:r>
      <w:r>
        <w:rPr>
          <w:rFonts w:hint="eastAsia" w:ascii="Times New Roman" w:hAnsi="Times New Roman" w:eastAsia="宋体" w:cs="Times New Roman"/>
          <w:color w:val="000000"/>
          <w:sz w:val="24"/>
          <w:szCs w:val="24"/>
          <w:lang w:val="en-US" w:eastAsia="zh-CN"/>
        </w:rPr>
        <w:t>GB</w:t>
      </w:r>
      <w:r>
        <w:rPr>
          <w:rFonts w:ascii="Times New Roman" w:hAnsi="Times New Roman" w:eastAsia="宋体" w:cs="Times New Roman"/>
          <w:color w:val="000000"/>
          <w:sz w:val="24"/>
          <w:szCs w:val="24"/>
        </w:rPr>
        <w:t xml:space="preserve">/T </w:t>
      </w:r>
      <w:r>
        <w:rPr>
          <w:rFonts w:hint="eastAsia" w:ascii="Times New Roman" w:hAnsi="Times New Roman" w:eastAsia="宋体" w:cs="Times New Roman"/>
          <w:color w:val="000000"/>
          <w:sz w:val="24"/>
          <w:szCs w:val="24"/>
          <w:lang w:val="en-US" w:eastAsia="zh-CN"/>
        </w:rPr>
        <w:t>20257</w:t>
      </w: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lang w:val="en-US" w:eastAsia="zh-CN"/>
        </w:rPr>
        <w:t>球形氢氧化镍</w:t>
      </w:r>
      <w:r>
        <w:rPr>
          <w:rFonts w:ascii="Times New Roman" w:hAnsi="Times New Roman" w:eastAsia="宋体" w:cs="Times New Roman"/>
          <w:color w:val="000000"/>
          <w:sz w:val="24"/>
          <w:szCs w:val="24"/>
        </w:rPr>
        <w:t>》规定，</w:t>
      </w:r>
      <w:r>
        <w:rPr>
          <w:rFonts w:hint="eastAsia" w:ascii="Times New Roman" w:hAnsi="Times New Roman" w:eastAsia="宋体" w:cs="Times New Roman"/>
          <w:sz w:val="24"/>
          <w:szCs w:val="24"/>
        </w:rPr>
        <w:t>本标准规定</w:t>
      </w:r>
      <w:r>
        <w:rPr>
          <w:rFonts w:hint="eastAsia" w:ascii="Times New Roman" w:hAnsi="Times New Roman" w:eastAsia="宋体" w:cs="Times New Roman"/>
          <w:color w:val="000000"/>
          <w:sz w:val="24"/>
          <w:szCs w:val="24"/>
          <w:lang w:val="en-US" w:eastAsia="zh-CN"/>
        </w:rPr>
        <w:t>振实密度</w:t>
      </w:r>
      <w:r>
        <w:rPr>
          <w:rFonts w:hint="eastAsia" w:ascii="Times New Roman" w:hAnsi="Times New Roman" w:eastAsia="宋体" w:cs="Times New Roman"/>
          <w:color w:val="000000"/>
          <w:sz w:val="24"/>
          <w:szCs w:val="24"/>
        </w:rPr>
        <w:t>应大于</w:t>
      </w:r>
      <w:r>
        <w:rPr>
          <w:rFonts w:hint="eastAsia" w:ascii="Times New Roman" w:hAnsi="Times New Roman" w:eastAsia="宋体" w:cs="Times New Roman"/>
          <w:color w:val="000000"/>
          <w:sz w:val="24"/>
          <w:szCs w:val="24"/>
          <w:lang w:val="en-US" w:eastAsia="zh-CN"/>
        </w:rPr>
        <w:t>2.0 g/cm</w:t>
      </w:r>
      <w:r>
        <w:rPr>
          <w:rFonts w:hint="eastAsia" w:ascii="Times New Roman" w:hAnsi="Times New Roman" w:eastAsia="宋体" w:cs="Times New Roman"/>
          <w:color w:val="000000"/>
          <w:sz w:val="24"/>
          <w:szCs w:val="24"/>
          <w:vertAlign w:val="superscript"/>
          <w:lang w:val="en-US" w:eastAsia="zh-CN"/>
        </w:rPr>
        <w:t>3</w:t>
      </w:r>
      <w:r>
        <w:rPr>
          <w:rFonts w:ascii="Times New Roman" w:hAnsi="Times New Roman" w:eastAsia="宋体" w:cs="Times New Roman"/>
          <w:color w:val="000000"/>
          <w:sz w:val="24"/>
          <w:szCs w:val="24"/>
        </w:rPr>
        <w:t>。</w:t>
      </w:r>
    </w:p>
    <w:p>
      <w:pPr>
        <w:snapToGrid w:val="0"/>
        <w:spacing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表</w:t>
      </w:r>
      <w:r>
        <w:rPr>
          <w:rFonts w:hint="eastAsia" w:ascii="Times New Roman" w:hAnsi="Times New Roman" w:eastAsia="宋体" w:cs="Times New Roman"/>
          <w:szCs w:val="21"/>
        </w:rPr>
        <w:t>6</w:t>
      </w:r>
      <w:r>
        <w:rPr>
          <w:rFonts w:ascii="Times New Roman" w:hAnsi="Times New Roman" w:eastAsia="宋体" w:cs="Times New Roman"/>
          <w:szCs w:val="21"/>
        </w:rPr>
        <w:t xml:space="preserve">  </w:t>
      </w:r>
      <w:r>
        <w:rPr>
          <w:rFonts w:hint="eastAsia" w:ascii="Times New Roman" w:hAnsi="Times New Roman" w:eastAsia="宋体" w:cs="Times New Roman"/>
          <w:color w:val="000000"/>
          <w:sz w:val="24"/>
          <w:szCs w:val="24"/>
          <w:lang w:val="en-US" w:eastAsia="zh-CN"/>
        </w:rPr>
        <w:t>覆钴型球形氢氧化镍产</w:t>
      </w:r>
      <w:r>
        <w:rPr>
          <w:rFonts w:ascii="Times New Roman" w:hAnsi="Times New Roman" w:eastAsia="宋体" w:cs="Times New Roman"/>
          <w:szCs w:val="21"/>
        </w:rPr>
        <w:t>品的</w:t>
      </w:r>
      <w:r>
        <w:rPr>
          <w:rFonts w:hint="eastAsia" w:ascii="Times New Roman" w:hAnsi="Times New Roman" w:eastAsia="宋体" w:cs="Times New Roman"/>
          <w:szCs w:val="21"/>
          <w:lang w:val="en-US" w:eastAsia="zh-CN"/>
        </w:rPr>
        <w:t>振实密度</w:t>
      </w:r>
      <w:r>
        <w:rPr>
          <w:rFonts w:ascii="Times New Roman" w:hAnsi="Times New Roman" w:eastAsia="宋体" w:cs="Times New Roman"/>
          <w:szCs w:val="21"/>
        </w:rPr>
        <w:t>调研结果</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1730"/>
        <w:gridCol w:w="1732"/>
        <w:gridCol w:w="1732"/>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5" w:type="dxa"/>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6927" w:type="dxa"/>
            <w:gridSpan w:val="4"/>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振实密度</w:t>
            </w:r>
            <w:r>
              <w:rPr>
                <w:rFonts w:ascii="Times New Roman" w:hAnsi="Times New Roman" w:eastAsia="宋体" w:cs="Times New Roman"/>
                <w:sz w:val="18"/>
                <w:szCs w:val="18"/>
              </w:rPr>
              <w:t>（</w:t>
            </w:r>
            <w:r>
              <w:rPr>
                <w:rFonts w:hint="eastAsia" w:ascii="Times New Roman" w:hAnsi="Times New Roman" w:eastAsia="宋体" w:cs="Times New Roman"/>
                <w:sz w:val="18"/>
                <w:szCs w:val="18"/>
                <w:lang w:val="en-US" w:eastAsia="zh-CN"/>
              </w:rPr>
              <w:t xml:space="preserve"> g/cm3</w:t>
            </w:r>
            <w:r>
              <w:rPr>
                <w:rFonts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5" w:type="dxa"/>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产品</w:t>
            </w:r>
          </w:p>
        </w:tc>
        <w:tc>
          <w:tcPr>
            <w:tcW w:w="1730" w:type="dxa"/>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企业A</w:t>
            </w:r>
          </w:p>
        </w:tc>
        <w:tc>
          <w:tcPr>
            <w:tcW w:w="1732" w:type="dxa"/>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企业B</w:t>
            </w:r>
          </w:p>
        </w:tc>
        <w:tc>
          <w:tcPr>
            <w:tcW w:w="1732" w:type="dxa"/>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企业C</w:t>
            </w:r>
          </w:p>
        </w:tc>
        <w:tc>
          <w:tcPr>
            <w:tcW w:w="1733" w:type="dxa"/>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企业D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595" w:type="dxa"/>
            <w:vAlign w:val="center"/>
          </w:tcPr>
          <w:p>
            <w:pPr>
              <w:adjustRightInd w:val="0"/>
              <w:snapToGrid w:val="0"/>
              <w:jc w:val="center"/>
              <w:rPr>
                <w:rFonts w:ascii="Times New Roman" w:hAnsi="Times New Roman" w:eastAsia="宋体" w:cs="Times New Roman"/>
                <w:sz w:val="18"/>
                <w:szCs w:val="18"/>
                <w:highlight w:val="yellow"/>
              </w:rPr>
            </w:pPr>
            <w:r>
              <w:rPr>
                <w:rFonts w:ascii="Times New Roman" w:hAnsi="Times New Roman" w:eastAsia="宋体" w:cs="Times New Roman"/>
                <w:szCs w:val="21"/>
              </w:rPr>
              <w:t xml:space="preserve"> </w:t>
            </w:r>
            <w:r>
              <w:rPr>
                <w:rFonts w:hint="eastAsia" w:ascii="Times New Roman" w:hAnsi="Times New Roman" w:eastAsia="宋体" w:cs="Times New Roman"/>
                <w:color w:val="000000"/>
                <w:sz w:val="18"/>
                <w:szCs w:val="18"/>
                <w:lang w:val="en-US" w:eastAsia="zh-CN"/>
              </w:rPr>
              <w:t>覆钴型球形氢氧化镍</w:t>
            </w:r>
          </w:p>
        </w:tc>
        <w:tc>
          <w:tcPr>
            <w:tcW w:w="1730" w:type="dxa"/>
            <w:vAlign w:val="center"/>
          </w:tcPr>
          <w:p>
            <w:pPr>
              <w:adjustRightInd w:val="0"/>
              <w:snapToGrid w:val="0"/>
              <w:jc w:val="center"/>
              <w:rPr>
                <w:rFonts w:hint="default" w:ascii="Times New Roman" w:hAnsi="Times New Roman" w:eastAsia="宋体" w:cs="Times New Roman"/>
                <w:sz w:val="18"/>
                <w:szCs w:val="18"/>
                <w:highlight w:val="yellow"/>
                <w:lang w:val="en-US" w:eastAsia="zh-CN"/>
              </w:rPr>
            </w:pPr>
            <w:r>
              <w:rPr>
                <w:rFonts w:hint="eastAsia" w:ascii="Times New Roman" w:hAnsi="Times New Roman" w:eastAsia="宋体" w:cs="Times New Roman"/>
                <w:color w:val="000000"/>
                <w:sz w:val="21"/>
                <w:szCs w:val="21"/>
                <w:lang w:val="en-US" w:eastAsia="zh-CN"/>
              </w:rPr>
              <w:t>2.1-2.5</w:t>
            </w:r>
          </w:p>
        </w:tc>
        <w:tc>
          <w:tcPr>
            <w:tcW w:w="1732" w:type="dxa"/>
            <w:vAlign w:val="center"/>
          </w:tcPr>
          <w:p>
            <w:pPr>
              <w:adjustRightInd w:val="0"/>
              <w:snapToGrid w:val="0"/>
              <w:jc w:val="center"/>
              <w:rPr>
                <w:rFonts w:ascii="Times New Roman" w:hAnsi="Times New Roman" w:eastAsia="宋体" w:cs="Times New Roman"/>
                <w:sz w:val="18"/>
                <w:szCs w:val="18"/>
                <w:highlight w:val="yellow"/>
              </w:rPr>
            </w:pPr>
            <w:r>
              <w:rPr>
                <w:rFonts w:hint="eastAsia" w:ascii="Times New Roman" w:hAnsi="Times New Roman" w:eastAsia="宋体" w:cs="Times New Roman"/>
                <w:kern w:val="0"/>
                <w:sz w:val="20"/>
                <w:szCs w:val="20"/>
                <w:lang w:val="en-US" w:eastAsia="zh-CN" w:bidi="mn-Mong-CN"/>
              </w:rPr>
              <w:t>/</w:t>
            </w:r>
          </w:p>
        </w:tc>
        <w:tc>
          <w:tcPr>
            <w:tcW w:w="1732" w:type="dxa"/>
            <w:vAlign w:val="center"/>
          </w:tcPr>
          <w:p>
            <w:pPr>
              <w:adjustRightInd w:val="0"/>
              <w:snapToGrid w:val="0"/>
              <w:jc w:val="center"/>
              <w:rPr>
                <w:rFonts w:hint="eastAsia" w:ascii="Times New Roman" w:hAnsi="Times New Roman" w:eastAsia="宋体" w:cs="Times New Roman"/>
                <w:kern w:val="0"/>
                <w:sz w:val="20"/>
                <w:szCs w:val="20"/>
                <w:lang w:val="en-US" w:eastAsia="zh-CN" w:bidi="mn-Mong-CN"/>
              </w:rPr>
            </w:pPr>
            <w:r>
              <w:rPr>
                <w:rFonts w:hint="eastAsia" w:ascii="Times New Roman" w:hAnsi="Times New Roman" w:eastAsia="宋体" w:cs="Times New Roman"/>
                <w:kern w:val="0"/>
                <w:sz w:val="20"/>
                <w:szCs w:val="20"/>
                <w:lang w:val="en-US" w:eastAsia="zh-CN" w:bidi="mn-Mong-CN"/>
              </w:rPr>
              <w:t>/</w:t>
            </w:r>
          </w:p>
        </w:tc>
        <w:tc>
          <w:tcPr>
            <w:tcW w:w="1733" w:type="dxa"/>
            <w:vAlign w:val="center"/>
          </w:tcPr>
          <w:p>
            <w:pPr>
              <w:adjustRightInd w:val="0"/>
              <w:snapToGrid w:val="0"/>
              <w:jc w:val="center"/>
              <w:rPr>
                <w:rFonts w:hint="eastAsia" w:ascii="Times New Roman" w:hAnsi="Times New Roman" w:eastAsia="宋体" w:cs="Times New Roman"/>
                <w:kern w:val="0"/>
                <w:sz w:val="20"/>
                <w:szCs w:val="20"/>
                <w:lang w:val="en-US" w:eastAsia="zh-CN" w:bidi="mn-Mong-CN"/>
              </w:rPr>
            </w:pPr>
            <w:r>
              <w:rPr>
                <w:rFonts w:hint="eastAsia" w:ascii="Times New Roman" w:hAnsi="Times New Roman" w:eastAsia="宋体" w:cs="Times New Roman"/>
                <w:kern w:val="0"/>
                <w:sz w:val="20"/>
                <w:szCs w:val="20"/>
                <w:lang w:val="en-US" w:eastAsia="zh-CN" w:bidi="mn-Mong-CN"/>
              </w:rPr>
              <w:t>/</w:t>
            </w:r>
          </w:p>
        </w:tc>
      </w:tr>
    </w:tbl>
    <w:p>
      <w:pPr>
        <w:snapToGrid w:val="0"/>
        <w:spacing w:before="156" w:beforeLines="50" w:line="360" w:lineRule="auto"/>
        <w:ind w:firstLine="480" w:firstLineChars="200"/>
        <w:rPr>
          <w:rFonts w:hint="default" w:ascii="Times New Roman" w:hAnsi="Times New Roman" w:eastAsia="黑体" w:cs="Times New Roman"/>
          <w:b w:val="0"/>
          <w:bCs/>
          <w:sz w:val="24"/>
          <w:szCs w:val="24"/>
        </w:rPr>
      </w:pPr>
      <w:r>
        <w:rPr>
          <w:rFonts w:ascii="Times New Roman" w:hAnsi="Times New Roman" w:eastAsia="宋体" w:cs="Times New Roman"/>
          <w:color w:val="000000"/>
          <w:sz w:val="24"/>
          <w:szCs w:val="24"/>
        </w:rPr>
        <w:t>标准中其他部分的内容主要参照已</w:t>
      </w:r>
      <w:r>
        <w:rPr>
          <w:rFonts w:hint="eastAsia" w:ascii="Times New Roman" w:hAnsi="Times New Roman" w:eastAsia="宋体" w:cs="Times New Roman"/>
          <w:color w:val="000000"/>
          <w:sz w:val="24"/>
          <w:szCs w:val="24"/>
          <w:lang w:val="en-US" w:eastAsia="zh-CN"/>
        </w:rPr>
        <w:t>发布实施</w:t>
      </w:r>
      <w:r>
        <w:rPr>
          <w:rFonts w:ascii="Times New Roman" w:hAnsi="Times New Roman" w:eastAsia="宋体" w:cs="Times New Roman"/>
          <w:color w:val="000000"/>
          <w:sz w:val="24"/>
          <w:szCs w:val="24"/>
        </w:rPr>
        <w:t>的中国有色金属工业协会团体标准</w:t>
      </w:r>
      <w:r>
        <w:rPr>
          <w:rFonts w:hint="eastAsia" w:ascii="Times New Roman" w:hAnsi="Times New Roman" w:eastAsia="宋体" w:cs="Times New Roman"/>
          <w:color w:val="000000"/>
          <w:sz w:val="24"/>
          <w:szCs w:val="24"/>
        </w:rPr>
        <w:t>《绿色设计产品评价技术规范 镍钴锰酸锂》、《绿色设计产品评价技术规范 镍钴锰氢氧化物》，</w:t>
      </w:r>
      <w:r>
        <w:rPr>
          <w:rFonts w:hint="eastAsia" w:ascii="Times New Roman" w:hAnsi="Times New Roman" w:eastAsia="宋体" w:cs="Times New Roman"/>
          <w:color w:val="000000"/>
          <w:sz w:val="24"/>
          <w:szCs w:val="24"/>
          <w:lang w:val="en-US" w:eastAsia="zh-CN"/>
        </w:rPr>
        <w:t>以及报批的</w:t>
      </w:r>
      <w:r>
        <w:rPr>
          <w:rFonts w:ascii="Times New Roman" w:hAnsi="Times New Roman" w:eastAsia="宋体" w:cs="Times New Roman"/>
          <w:color w:val="000000"/>
          <w:sz w:val="24"/>
          <w:szCs w:val="24"/>
        </w:rPr>
        <w:t>中国有色金属工业协会团体标准</w:t>
      </w:r>
      <w:r>
        <w:rPr>
          <w:rFonts w:hint="eastAsia" w:ascii="Times New Roman" w:hAnsi="Times New Roman" w:eastAsia="宋体" w:cs="Times New Roman"/>
          <w:color w:val="000000"/>
          <w:sz w:val="24"/>
          <w:szCs w:val="24"/>
        </w:rPr>
        <w:t>《绿色设计产品评价技术规范 镍钴</w:t>
      </w:r>
      <w:r>
        <w:rPr>
          <w:rFonts w:hint="eastAsia" w:ascii="Times New Roman" w:hAnsi="Times New Roman" w:eastAsia="宋体" w:cs="Times New Roman"/>
          <w:color w:val="000000"/>
          <w:sz w:val="24"/>
          <w:szCs w:val="24"/>
          <w:lang w:val="en-US" w:eastAsia="zh-CN"/>
        </w:rPr>
        <w:t>铝</w:t>
      </w:r>
      <w:r>
        <w:rPr>
          <w:rFonts w:hint="eastAsia" w:ascii="Times New Roman" w:hAnsi="Times New Roman" w:eastAsia="宋体" w:cs="Times New Roman"/>
          <w:color w:val="000000"/>
          <w:sz w:val="24"/>
          <w:szCs w:val="24"/>
        </w:rPr>
        <w:t>酸锂》、《绿色设计产品评价技术规范 镍钴</w:t>
      </w:r>
      <w:r>
        <w:rPr>
          <w:rFonts w:hint="eastAsia" w:ascii="Times New Roman" w:hAnsi="Times New Roman" w:eastAsia="宋体" w:cs="Times New Roman"/>
          <w:color w:val="000000"/>
          <w:sz w:val="24"/>
          <w:szCs w:val="24"/>
          <w:lang w:val="en-US" w:eastAsia="zh-CN"/>
        </w:rPr>
        <w:t>铝</w:t>
      </w:r>
      <w:r>
        <w:rPr>
          <w:rFonts w:hint="eastAsia" w:ascii="Times New Roman" w:hAnsi="Times New Roman" w:eastAsia="宋体" w:cs="Times New Roman"/>
          <w:color w:val="000000"/>
          <w:sz w:val="24"/>
          <w:szCs w:val="24"/>
        </w:rPr>
        <w:t>氢氧化物》</w:t>
      </w:r>
      <w:r>
        <w:rPr>
          <w:rFonts w:hint="eastAsia" w:ascii="Times New Roman" w:hAnsi="Times New Roman" w:eastAsia="宋体" w:cs="Times New Roman"/>
          <w:color w:val="000000"/>
          <w:sz w:val="24"/>
          <w:szCs w:val="24"/>
          <w:lang w:eastAsia="zh-CN"/>
        </w:rPr>
        <w:t>，</w:t>
      </w:r>
      <w:r>
        <w:rPr>
          <w:rFonts w:ascii="Times New Roman" w:hAnsi="Times New Roman" w:eastAsia="宋体" w:cs="Times New Roman"/>
          <w:color w:val="000000"/>
          <w:sz w:val="24"/>
          <w:szCs w:val="24"/>
        </w:rPr>
        <w:t>根据镍钴酸锂</w:t>
      </w:r>
      <w:r>
        <w:rPr>
          <w:rFonts w:hint="eastAsia" w:ascii="Times New Roman" w:hAnsi="Times New Roman" w:eastAsia="宋体" w:cs="Times New Roman"/>
          <w:color w:val="000000"/>
          <w:sz w:val="24"/>
          <w:szCs w:val="24"/>
        </w:rPr>
        <w:t>产品和</w:t>
      </w:r>
      <w:r>
        <w:rPr>
          <w:rFonts w:ascii="Times New Roman" w:hAnsi="Times New Roman" w:eastAsia="宋体" w:cs="Times New Roman"/>
          <w:color w:val="000000"/>
          <w:sz w:val="24"/>
          <w:szCs w:val="24"/>
        </w:rPr>
        <w:t>生产工艺的特点进行相应修改。</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default" w:ascii="Times New Roman" w:hAnsi="Times New Roman" w:eastAsia="黑体" w:cs="Times New Roman"/>
          <w:b w:val="0"/>
          <w:bCs w:val="0"/>
          <w:sz w:val="24"/>
          <w:szCs w:val="28"/>
        </w:rPr>
      </w:pPr>
      <w:r>
        <w:rPr>
          <w:rFonts w:hint="default" w:ascii="Times New Roman" w:hAnsi="Times New Roman" w:eastAsia="黑体" w:cs="Times New Roman"/>
          <w:b w:val="0"/>
          <w:bCs/>
          <w:sz w:val="24"/>
          <w:szCs w:val="28"/>
        </w:rPr>
        <w:t>四、</w:t>
      </w:r>
      <w:r>
        <w:rPr>
          <w:rFonts w:hint="default" w:ascii="Times New Roman" w:hAnsi="Times New Roman" w:eastAsia="黑体" w:cs="Times New Roman"/>
          <w:b w:val="0"/>
          <w:bCs w:val="0"/>
          <w:sz w:val="24"/>
          <w:szCs w:val="28"/>
        </w:rPr>
        <w:t>采用国际标准和国外先进标准的程度</w:t>
      </w:r>
    </w:p>
    <w:p>
      <w:pPr>
        <w:snapToGrid w:val="0"/>
        <w:spacing w:line="360" w:lineRule="auto"/>
        <w:ind w:firstLine="480" w:firstLineChars="200"/>
        <w:rPr>
          <w:rFonts w:ascii="Times New Roman" w:hAnsi="Times New Roman" w:eastAsia="宋体" w:cs="Times New Roman"/>
          <w:color w:val="000000"/>
          <w:sz w:val="24"/>
          <w:szCs w:val="24"/>
        </w:rPr>
      </w:pPr>
      <w:r>
        <w:rPr>
          <w:rFonts w:hint="default" w:ascii="Times New Roman" w:hAnsi="Times New Roman" w:eastAsia="宋体" w:cs="Times New Roman"/>
          <w:sz w:val="24"/>
          <w:szCs w:val="24"/>
        </w:rPr>
        <w:t>没有查找到国内外</w:t>
      </w:r>
      <w:r>
        <w:rPr>
          <w:rFonts w:hint="eastAsia" w:ascii="Times New Roman" w:hAnsi="Times New Roman" w:cs="Times New Roman"/>
          <w:kern w:val="2"/>
          <w:sz w:val="24"/>
          <w:szCs w:val="22"/>
          <w:lang w:val="en-US" w:eastAsia="zh-CN" w:bidi="ar-SA"/>
        </w:rPr>
        <w:t>球形氢氧化镍</w:t>
      </w:r>
      <w:r>
        <w:rPr>
          <w:rFonts w:hint="eastAsia" w:ascii="Times New Roman" w:hAnsi="Times New Roman" w:cs="Times New Roman" w:eastAsiaTheme="minorEastAsia"/>
          <w:kern w:val="2"/>
          <w:sz w:val="24"/>
          <w:szCs w:val="22"/>
          <w:lang w:val="en-US" w:eastAsia="zh-CN" w:bidi="ar-SA"/>
        </w:rPr>
        <w:t>绿色设计产品评价技术规范</w:t>
      </w:r>
      <w:r>
        <w:rPr>
          <w:rFonts w:hint="default" w:ascii="Times New Roman" w:hAnsi="Times New Roman" w:eastAsia="宋体" w:cs="Times New Roman"/>
          <w:sz w:val="24"/>
          <w:szCs w:val="24"/>
        </w:rPr>
        <w:t>的相关标准，故没有相应的国内外标准可采用。</w:t>
      </w:r>
    </w:p>
    <w:p>
      <w:pPr>
        <w:autoSpaceDE w:val="0"/>
        <w:autoSpaceDN w:val="0"/>
        <w:snapToGrid w:val="0"/>
        <w:spacing w:line="360" w:lineRule="auto"/>
        <w:ind w:firstLine="480" w:firstLineChars="200"/>
        <w:jc w:val="left"/>
        <w:rPr>
          <w:rFonts w:hint="default" w:ascii="Times New Roman" w:hAnsi="Times New Roman" w:eastAsia="宋体" w:cs="Times New Roman"/>
          <w:sz w:val="24"/>
          <w:szCs w:val="24"/>
        </w:rPr>
      </w:pPr>
      <w:r>
        <w:rPr>
          <w:rFonts w:ascii="Times New Roman" w:hAnsi="Times New Roman" w:eastAsia="宋体" w:cs="Times New Roman"/>
          <w:color w:val="000000"/>
          <w:sz w:val="24"/>
          <w:szCs w:val="24"/>
        </w:rPr>
        <w:t>本标准主要参考了</w:t>
      </w:r>
      <w:r>
        <w:rPr>
          <w:rFonts w:hint="eastAsia" w:ascii="Times New Roman" w:hAnsi="Times New Roman" w:eastAsia="宋体" w:cs="Times New Roman"/>
          <w:color w:val="000000"/>
          <w:sz w:val="24"/>
          <w:szCs w:val="24"/>
        </w:rPr>
        <w:t>《绿色设计产品评价技术规范 镍钴锰酸锂》、《绿色设计产品评价技术规范 镍钴锰氢氧化物》、《绿色设计产品评价技术规范 镍钴</w:t>
      </w:r>
      <w:r>
        <w:rPr>
          <w:rFonts w:hint="eastAsia" w:ascii="Times New Roman" w:hAnsi="Times New Roman" w:eastAsia="宋体" w:cs="Times New Roman"/>
          <w:color w:val="000000"/>
          <w:sz w:val="24"/>
          <w:szCs w:val="24"/>
          <w:lang w:val="en-US" w:eastAsia="zh-CN"/>
        </w:rPr>
        <w:t>铝</w:t>
      </w:r>
      <w:r>
        <w:rPr>
          <w:rFonts w:hint="eastAsia" w:ascii="Times New Roman" w:hAnsi="Times New Roman" w:eastAsia="宋体" w:cs="Times New Roman"/>
          <w:color w:val="000000"/>
          <w:sz w:val="24"/>
          <w:szCs w:val="24"/>
        </w:rPr>
        <w:t>酸锂》、《绿色设计产品评价技术规范 镍钴</w:t>
      </w:r>
      <w:r>
        <w:rPr>
          <w:rFonts w:hint="eastAsia" w:ascii="Times New Roman" w:hAnsi="Times New Roman" w:eastAsia="宋体" w:cs="Times New Roman"/>
          <w:color w:val="000000"/>
          <w:sz w:val="24"/>
          <w:szCs w:val="24"/>
          <w:lang w:val="en-US" w:eastAsia="zh-CN"/>
        </w:rPr>
        <w:t>铝</w:t>
      </w:r>
      <w:r>
        <w:rPr>
          <w:rFonts w:hint="eastAsia" w:ascii="Times New Roman" w:hAnsi="Times New Roman" w:eastAsia="宋体" w:cs="Times New Roman"/>
          <w:color w:val="000000"/>
          <w:sz w:val="24"/>
          <w:szCs w:val="24"/>
        </w:rPr>
        <w:t>氢氧化物》、GB/T 32161《生态设计产品评价通则》、</w:t>
      </w:r>
      <w:r>
        <w:rPr>
          <w:rFonts w:ascii="Times New Roman" w:hAnsi="Times New Roman" w:eastAsia="宋体" w:cs="Times New Roman"/>
          <w:color w:val="000000"/>
          <w:sz w:val="24"/>
          <w:szCs w:val="24"/>
        </w:rPr>
        <w:t>GB/T 12348《工业企业厂界环境噪声排放标准》、GB/T 17167《用能单位能源计量器具配备和管理通则》、GB 18597《危险废物贮存污染控制标准》、GB/T 19001《质量管理体系 要求》、GB/T 23331《能源管理体系 要求》、GB/T 24001《环境管理体系 要求及使用指南》、GB/T 24040《环境管理 生命周期评价 原则与框架》、GB/T 24044《环境管理 生命周期评价 要求与指南》、、GB/T 28001《职业健康安全管理体系 规范》、GB/T 33000《企业安全生产标准化基本规范》。编制内容以GB/T 33761-2017《绿色产品评价通则》为基本框架，参照已发布的绿色产品评价相关的国家、行业及团体标准。</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default" w:ascii="Times New Roman" w:hAnsi="Times New Roman" w:eastAsia="宋体" w:cs="Times New Roman"/>
          <w:b/>
          <w:sz w:val="24"/>
          <w:szCs w:val="28"/>
        </w:rPr>
      </w:pPr>
      <w:r>
        <w:rPr>
          <w:rFonts w:hint="default" w:ascii="Times New Roman" w:hAnsi="Times New Roman" w:eastAsia="黑体" w:cs="Times New Roman"/>
          <w:b w:val="0"/>
          <w:bCs/>
          <w:sz w:val="24"/>
          <w:szCs w:val="28"/>
        </w:rPr>
        <w:t>五、与有关的现行法律、法规和强制性国家标准及相关标准协调配套情况</w:t>
      </w:r>
    </w:p>
    <w:p>
      <w:pPr>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本标准与相关法律、法规、规章及相关标准协调一致，没有冲突。</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default" w:ascii="Times New Roman" w:hAnsi="Times New Roman" w:eastAsia="黑体" w:cs="Times New Roman"/>
          <w:b w:val="0"/>
          <w:bCs/>
          <w:sz w:val="24"/>
          <w:szCs w:val="28"/>
        </w:rPr>
      </w:pPr>
      <w:r>
        <w:rPr>
          <w:rFonts w:hint="default" w:ascii="Times New Roman" w:hAnsi="Times New Roman" w:eastAsia="黑体" w:cs="Times New Roman"/>
          <w:b w:val="0"/>
          <w:bCs/>
          <w:sz w:val="24"/>
          <w:szCs w:val="28"/>
        </w:rPr>
        <w:t>六、重大分歧意见的出来经过和依据</w:t>
      </w:r>
    </w:p>
    <w:p>
      <w:pPr>
        <w:spacing w:line="360" w:lineRule="auto"/>
        <w:ind w:firstLine="48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无</w:t>
      </w:r>
      <w:r>
        <w:rPr>
          <w:rFonts w:hint="default" w:ascii="Times New Roman" w:hAnsi="Times New Roman" w:eastAsia="宋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default" w:ascii="Times New Roman" w:hAnsi="Times New Roman" w:eastAsia="黑体" w:cs="Times New Roman"/>
          <w:b w:val="0"/>
          <w:bCs/>
          <w:sz w:val="24"/>
          <w:szCs w:val="28"/>
        </w:rPr>
      </w:pPr>
      <w:r>
        <w:rPr>
          <w:rFonts w:hint="default" w:ascii="Times New Roman" w:hAnsi="Times New Roman" w:eastAsia="黑体" w:cs="Times New Roman"/>
          <w:b w:val="0"/>
          <w:bCs/>
          <w:sz w:val="24"/>
          <w:szCs w:val="28"/>
        </w:rPr>
        <w:t>七、标准作为强制性或推荐性标准的建议</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建议该标准作为</w:t>
      </w:r>
      <w:r>
        <w:rPr>
          <w:rFonts w:hint="eastAsia" w:ascii="Times New Roman" w:hAnsi="Times New Roman" w:eastAsia="宋体" w:cs="Times New Roman"/>
          <w:sz w:val="24"/>
          <w:szCs w:val="24"/>
          <w:lang w:val="en-US" w:eastAsia="zh-CN"/>
        </w:rPr>
        <w:t>团体标准发布实施</w:t>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default" w:ascii="Times New Roman" w:hAnsi="Times New Roman" w:eastAsia="黑体" w:cs="Times New Roman"/>
          <w:b w:val="0"/>
          <w:bCs/>
          <w:sz w:val="24"/>
          <w:szCs w:val="28"/>
        </w:rPr>
      </w:pPr>
      <w:r>
        <w:rPr>
          <w:rFonts w:hint="default" w:ascii="Times New Roman" w:hAnsi="Times New Roman" w:eastAsia="黑体" w:cs="Times New Roman"/>
          <w:b w:val="0"/>
          <w:bCs/>
          <w:sz w:val="24"/>
          <w:szCs w:val="28"/>
        </w:rPr>
        <w:t>八、贯彻标准的要求和措施建议，包括（组织措施、技术措施、过渡办法）</w:t>
      </w:r>
    </w:p>
    <w:p>
      <w:pPr>
        <w:spacing w:line="360" w:lineRule="auto"/>
        <w:ind w:firstLine="480"/>
        <w:rPr>
          <w:rFonts w:hint="default" w:ascii="Times New Roman" w:hAnsi="Times New Roman" w:eastAsia="宋体" w:cs="Times New Roman"/>
          <w:sz w:val="22"/>
          <w:szCs w:val="28"/>
        </w:rPr>
      </w:pPr>
      <w:r>
        <w:rPr>
          <w:rFonts w:hint="default" w:ascii="Times New Roman" w:hAnsi="Times New Roman" w:eastAsia="宋体" w:cs="Times New Roman"/>
          <w:sz w:val="24"/>
          <w:szCs w:val="24"/>
        </w:rPr>
        <w:t>由于本标准首次制定，没有特殊要求。</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default" w:ascii="Times New Roman" w:hAnsi="Times New Roman" w:eastAsia="黑体" w:cs="Times New Roman"/>
          <w:b w:val="0"/>
          <w:bCs/>
          <w:sz w:val="24"/>
          <w:szCs w:val="28"/>
        </w:rPr>
      </w:pPr>
      <w:r>
        <w:rPr>
          <w:rFonts w:hint="default" w:ascii="Times New Roman" w:hAnsi="Times New Roman" w:eastAsia="黑体" w:cs="Times New Roman"/>
          <w:b w:val="0"/>
          <w:bCs/>
          <w:sz w:val="24"/>
          <w:szCs w:val="28"/>
        </w:rPr>
        <w:t>九、废止现有有关标准的建议</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default" w:ascii="Times New Roman" w:hAnsi="Times New Roman" w:eastAsia="黑体" w:cs="Times New Roman"/>
          <w:b w:val="0"/>
          <w:bCs/>
          <w:sz w:val="24"/>
          <w:szCs w:val="28"/>
        </w:rPr>
      </w:pPr>
      <w:r>
        <w:rPr>
          <w:rFonts w:hint="default" w:ascii="Times New Roman" w:hAnsi="Times New Roman" w:eastAsia="黑体" w:cs="Times New Roman"/>
          <w:b w:val="0"/>
          <w:bCs/>
          <w:sz w:val="24"/>
          <w:szCs w:val="28"/>
        </w:rPr>
        <w:t>十、其他应予说明的事项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eastAsia="宋体" w:cs="Times New Roman"/>
          <w:sz w:val="24"/>
          <w:szCs w:val="28"/>
        </w:rPr>
      </w:pPr>
    </w:p>
    <w:p>
      <w:pPr>
        <w:spacing w:line="360" w:lineRule="auto"/>
        <w:ind w:firstLine="2160" w:firstLineChars="900"/>
        <w:rPr>
          <w:rFonts w:hint="default" w:ascii="Times New Roman" w:hAnsi="Times New Roman" w:eastAsia="宋体" w:cs="Times New Roman"/>
          <w:sz w:val="24"/>
          <w:szCs w:val="28"/>
        </w:rPr>
      </w:pPr>
      <w:r>
        <w:rPr>
          <w:rFonts w:hint="default" w:ascii="Times New Roman" w:hAnsi="Times New Roman" w:eastAsia="宋体" w:cs="Times New Roman"/>
          <w:sz w:val="24"/>
          <w:szCs w:val="28"/>
        </w:rPr>
        <w:t>《</w:t>
      </w:r>
      <w:r>
        <w:rPr>
          <w:rFonts w:hint="eastAsia" w:ascii="Times New Roman" w:hAnsi="Times New Roman" w:cs="Times New Roman"/>
          <w:color w:val="000000"/>
          <w:sz w:val="24"/>
          <w:szCs w:val="24"/>
        </w:rPr>
        <w:t xml:space="preserve">绿色设计产品评价技术规范 </w:t>
      </w:r>
      <w:r>
        <w:rPr>
          <w:rFonts w:hint="eastAsia" w:ascii="Times New Roman" w:hAnsi="Times New Roman" w:cs="Times New Roman"/>
          <w:color w:val="000000"/>
          <w:sz w:val="24"/>
          <w:szCs w:val="24"/>
          <w:lang w:val="en-US" w:eastAsia="zh-CN"/>
        </w:rPr>
        <w:t>球形氢氧化镍</w:t>
      </w:r>
      <w:r>
        <w:rPr>
          <w:rFonts w:hint="default" w:ascii="Times New Roman" w:hAnsi="Times New Roman" w:eastAsia="宋体" w:cs="Times New Roman"/>
          <w:sz w:val="24"/>
          <w:szCs w:val="28"/>
        </w:rPr>
        <w:t>》标准编制组</w:t>
      </w:r>
    </w:p>
    <w:p>
      <w:pPr>
        <w:spacing w:line="360" w:lineRule="auto"/>
        <w:ind w:firstLine="480"/>
        <w:rPr>
          <w:rFonts w:hint="default" w:ascii="Times New Roman" w:hAnsi="Times New Roman" w:cs="Times New Roman" w:eastAsiaTheme="minorEastAsia"/>
          <w:b w:val="0"/>
          <w:color w:val="000000"/>
          <w:kern w:val="0"/>
          <w:sz w:val="24"/>
          <w:szCs w:val="24"/>
          <w:lang w:val="en-US" w:eastAsia="zh-CN" w:bidi="ar"/>
        </w:rPr>
      </w:pPr>
      <w:r>
        <w:rPr>
          <w:rFonts w:hint="default" w:ascii="Times New Roman" w:hAnsi="Times New Roman" w:eastAsia="宋体" w:cs="Times New Roman"/>
          <w:sz w:val="24"/>
          <w:szCs w:val="28"/>
        </w:rPr>
        <w:t xml:space="preserve">                                  20</w:t>
      </w:r>
      <w:r>
        <w:rPr>
          <w:rFonts w:hint="default" w:ascii="Times New Roman" w:hAnsi="Times New Roman" w:eastAsia="宋体" w:cs="Times New Roman"/>
          <w:sz w:val="24"/>
          <w:szCs w:val="28"/>
          <w:lang w:val="en-US" w:eastAsia="zh-CN"/>
        </w:rPr>
        <w:t>2</w:t>
      </w:r>
      <w:r>
        <w:rPr>
          <w:rFonts w:hint="eastAsia" w:ascii="Times New Roman" w:hAnsi="Times New Roman" w:eastAsia="宋体" w:cs="Times New Roman"/>
          <w:sz w:val="24"/>
          <w:szCs w:val="28"/>
          <w:lang w:val="en-US" w:eastAsia="zh-CN"/>
        </w:rPr>
        <w:t>1</w:t>
      </w:r>
      <w:r>
        <w:rPr>
          <w:rFonts w:hint="default" w:ascii="Times New Roman" w:hAnsi="Times New Roman" w:eastAsia="宋体" w:cs="Times New Roman"/>
          <w:sz w:val="24"/>
          <w:szCs w:val="28"/>
        </w:rPr>
        <w:t>年</w:t>
      </w:r>
      <w:r>
        <w:rPr>
          <w:rFonts w:hint="eastAsia" w:ascii="Times New Roman" w:hAnsi="Times New Roman" w:eastAsia="宋体" w:cs="Times New Roman"/>
          <w:sz w:val="24"/>
          <w:szCs w:val="28"/>
          <w:lang w:val="en-US" w:eastAsia="zh-CN"/>
        </w:rPr>
        <w:t>11</w:t>
      </w:r>
      <w:r>
        <w:rPr>
          <w:rFonts w:hint="default" w:ascii="Times New Roman" w:hAnsi="Times New Roman" w:eastAsia="宋体" w:cs="Times New Roman"/>
          <w:sz w:val="24"/>
          <w:szCs w:val="28"/>
        </w:rPr>
        <w:t>月</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Times New Roman" w:hAnsi="Times New Roman" w:eastAsia="黑体" w:cs="Times New Roman"/>
          <w:b w:val="0"/>
          <w:bCs/>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Times New Roman" w:hAnsi="Times New Roman" w:eastAsia="黑体" w:cs="Times New Roman"/>
          <w:b w:val="0"/>
          <w:bCs/>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BD0E28"/>
    <w:multiLevelType w:val="singleLevel"/>
    <w:tmpl w:val="E0BD0E28"/>
    <w:lvl w:ilvl="0" w:tentative="0">
      <w:start w:val="2"/>
      <w:numFmt w:val="decimal"/>
      <w:suff w:val="nothing"/>
      <w:lvlText w:val="%1、"/>
      <w:lvlJc w:val="left"/>
    </w:lvl>
  </w:abstractNum>
  <w:abstractNum w:abstractNumId="1">
    <w:nsid w:val="F88C495B"/>
    <w:multiLevelType w:val="singleLevel"/>
    <w:tmpl w:val="F88C495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010DC"/>
    <w:rsid w:val="00725F6B"/>
    <w:rsid w:val="016553F1"/>
    <w:rsid w:val="02487153"/>
    <w:rsid w:val="02513953"/>
    <w:rsid w:val="03D97811"/>
    <w:rsid w:val="03F81B19"/>
    <w:rsid w:val="04A844D6"/>
    <w:rsid w:val="0531346A"/>
    <w:rsid w:val="05535CDF"/>
    <w:rsid w:val="05A60FBD"/>
    <w:rsid w:val="07B03640"/>
    <w:rsid w:val="07C25D83"/>
    <w:rsid w:val="084E5D81"/>
    <w:rsid w:val="084E69C0"/>
    <w:rsid w:val="0B0F3292"/>
    <w:rsid w:val="0B7A42A4"/>
    <w:rsid w:val="0C2E66DE"/>
    <w:rsid w:val="0CC21911"/>
    <w:rsid w:val="0CF77A0F"/>
    <w:rsid w:val="0DC33AD5"/>
    <w:rsid w:val="0DD14A50"/>
    <w:rsid w:val="0E8F01B6"/>
    <w:rsid w:val="0F0771CD"/>
    <w:rsid w:val="0F0A6BBB"/>
    <w:rsid w:val="11AB77EB"/>
    <w:rsid w:val="12B65F19"/>
    <w:rsid w:val="12EC49FF"/>
    <w:rsid w:val="155D53AA"/>
    <w:rsid w:val="169E277C"/>
    <w:rsid w:val="16BD4BE4"/>
    <w:rsid w:val="16C2435B"/>
    <w:rsid w:val="17687F33"/>
    <w:rsid w:val="178657DC"/>
    <w:rsid w:val="181164BE"/>
    <w:rsid w:val="182826B5"/>
    <w:rsid w:val="185B7197"/>
    <w:rsid w:val="19B549F6"/>
    <w:rsid w:val="19C41B39"/>
    <w:rsid w:val="1A030D20"/>
    <w:rsid w:val="1B6B5589"/>
    <w:rsid w:val="1DC37E53"/>
    <w:rsid w:val="1EAF0341"/>
    <w:rsid w:val="1F6F0F0C"/>
    <w:rsid w:val="1FA077BD"/>
    <w:rsid w:val="1FEC2A59"/>
    <w:rsid w:val="20B010DC"/>
    <w:rsid w:val="21783CA2"/>
    <w:rsid w:val="21F52690"/>
    <w:rsid w:val="228A2FF1"/>
    <w:rsid w:val="22B82CA2"/>
    <w:rsid w:val="249A7208"/>
    <w:rsid w:val="252B56E6"/>
    <w:rsid w:val="255260AB"/>
    <w:rsid w:val="28481A53"/>
    <w:rsid w:val="28FA733A"/>
    <w:rsid w:val="298E6EC6"/>
    <w:rsid w:val="29CE7FE0"/>
    <w:rsid w:val="2A633C13"/>
    <w:rsid w:val="2AD0334A"/>
    <w:rsid w:val="2B293AC3"/>
    <w:rsid w:val="2BE279F8"/>
    <w:rsid w:val="2BED00B4"/>
    <w:rsid w:val="2D016548"/>
    <w:rsid w:val="2D033BC1"/>
    <w:rsid w:val="2D5215E6"/>
    <w:rsid w:val="313C3AF8"/>
    <w:rsid w:val="325751D2"/>
    <w:rsid w:val="32B3539F"/>
    <w:rsid w:val="32CA777D"/>
    <w:rsid w:val="33446FC8"/>
    <w:rsid w:val="33624860"/>
    <w:rsid w:val="33B71BCC"/>
    <w:rsid w:val="33D46911"/>
    <w:rsid w:val="3500371F"/>
    <w:rsid w:val="35D239D4"/>
    <w:rsid w:val="37BE29ED"/>
    <w:rsid w:val="393037BB"/>
    <w:rsid w:val="394317C8"/>
    <w:rsid w:val="3AE31B4A"/>
    <w:rsid w:val="3AFB704D"/>
    <w:rsid w:val="3B2A40ED"/>
    <w:rsid w:val="3BDC7BD4"/>
    <w:rsid w:val="3BF407F9"/>
    <w:rsid w:val="3D100C69"/>
    <w:rsid w:val="3D1351CD"/>
    <w:rsid w:val="3D414333"/>
    <w:rsid w:val="3E9073C6"/>
    <w:rsid w:val="3EDD273E"/>
    <w:rsid w:val="423952F2"/>
    <w:rsid w:val="44AF154F"/>
    <w:rsid w:val="44B90A36"/>
    <w:rsid w:val="46905E4C"/>
    <w:rsid w:val="46D723D9"/>
    <w:rsid w:val="474D355C"/>
    <w:rsid w:val="48181AF6"/>
    <w:rsid w:val="498E3F4D"/>
    <w:rsid w:val="4B124F17"/>
    <w:rsid w:val="4C1C116E"/>
    <w:rsid w:val="4F4A0745"/>
    <w:rsid w:val="4F7E4E13"/>
    <w:rsid w:val="50B659BC"/>
    <w:rsid w:val="51662F13"/>
    <w:rsid w:val="52DA4DB5"/>
    <w:rsid w:val="53923522"/>
    <w:rsid w:val="53CA1F43"/>
    <w:rsid w:val="543619FF"/>
    <w:rsid w:val="54663D18"/>
    <w:rsid w:val="54F26A01"/>
    <w:rsid w:val="556C06CE"/>
    <w:rsid w:val="571D70AC"/>
    <w:rsid w:val="57D41C42"/>
    <w:rsid w:val="5926186C"/>
    <w:rsid w:val="594D2F8B"/>
    <w:rsid w:val="5996412E"/>
    <w:rsid w:val="5B1F6EA4"/>
    <w:rsid w:val="5BAB4D77"/>
    <w:rsid w:val="5C907979"/>
    <w:rsid w:val="5CE12A4F"/>
    <w:rsid w:val="5DBC7659"/>
    <w:rsid w:val="601453B1"/>
    <w:rsid w:val="60D3735E"/>
    <w:rsid w:val="614C0E7E"/>
    <w:rsid w:val="61F2556D"/>
    <w:rsid w:val="62CF7536"/>
    <w:rsid w:val="63E15835"/>
    <w:rsid w:val="6504693A"/>
    <w:rsid w:val="65CF1A61"/>
    <w:rsid w:val="6629303A"/>
    <w:rsid w:val="66355A52"/>
    <w:rsid w:val="66405C56"/>
    <w:rsid w:val="672F73F0"/>
    <w:rsid w:val="67B35415"/>
    <w:rsid w:val="68E3614A"/>
    <w:rsid w:val="696673E0"/>
    <w:rsid w:val="6A8746C9"/>
    <w:rsid w:val="6B6A10B4"/>
    <w:rsid w:val="6CD77C0E"/>
    <w:rsid w:val="6CDC6D09"/>
    <w:rsid w:val="6CED7893"/>
    <w:rsid w:val="6D2670FD"/>
    <w:rsid w:val="72FD5643"/>
    <w:rsid w:val="741853B5"/>
    <w:rsid w:val="741D1082"/>
    <w:rsid w:val="754420DB"/>
    <w:rsid w:val="769C38B0"/>
    <w:rsid w:val="76B25988"/>
    <w:rsid w:val="77FC7476"/>
    <w:rsid w:val="79932ACB"/>
    <w:rsid w:val="7A337A03"/>
    <w:rsid w:val="7A360237"/>
    <w:rsid w:val="7ADE7514"/>
    <w:rsid w:val="7B0E3519"/>
    <w:rsid w:val="7B7237EF"/>
    <w:rsid w:val="7B870BD5"/>
    <w:rsid w:val="7BFD5DC2"/>
    <w:rsid w:val="7CA45C2C"/>
    <w:rsid w:val="7D3B2EF8"/>
    <w:rsid w:val="7F5C2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List Paragraph"/>
    <w:basedOn w:val="1"/>
    <w:qFormat/>
    <w:uiPriority w:val="34"/>
    <w:pPr>
      <w:ind w:left="720"/>
      <w:contextualSpacing/>
    </w:pPr>
  </w:style>
  <w:style w:type="paragraph" w:styleId="5">
    <w:name w:val="annotation text"/>
    <w:basedOn w:val="1"/>
    <w:semiHidden/>
    <w:unhideWhenUsed/>
    <w:qFormat/>
    <w:uiPriority w:val="99"/>
    <w:pPr>
      <w:jc w:val="left"/>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Hyperlink"/>
    <w:unhideWhenUsed/>
    <w:qFormat/>
    <w:uiPriority w:val="99"/>
    <w:rPr>
      <w:color w:val="0000FF"/>
      <w:u w:val="single"/>
    </w:rPr>
  </w:style>
  <w:style w:type="paragraph" w:customStyle="1" w:styleId="11">
    <w:name w:val="正文格式"/>
    <w:basedOn w:val="1"/>
    <w:qFormat/>
    <w:uiPriority w:val="0"/>
    <w:pPr>
      <w:spacing w:line="360" w:lineRule="auto"/>
      <w:ind w:firstLine="485" w:firstLineChars="202"/>
    </w:pPr>
    <w:rPr>
      <w:rFonts w:ascii="宋体" w:hAnsi="宋体" w:eastAsia="宋体" w:cs="Times New Roman"/>
      <w:sz w:val="24"/>
      <w:szCs w:val="24"/>
    </w:rPr>
  </w:style>
  <w:style w:type="table" w:customStyle="1" w:styleId="12">
    <w:name w:val="网格型1"/>
    <w:basedOn w:val="7"/>
    <w:qFormat/>
    <w:uiPriority w:val="59"/>
    <w:rPr>
      <w:rFonts w:ascii="Times New Roman" w:hAnsi="Times New Roman" w:eastAsia="宋体" w:cs="Times New Roman"/>
      <w:kern w:val="0"/>
      <w:sz w:val="20"/>
      <w:szCs w:val="20"/>
      <w:lang w:bidi="mn-Mong-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
    <w:name w:val="网格型2"/>
    <w:basedOn w:val="7"/>
    <w:qFormat/>
    <w:uiPriority w:val="59"/>
    <w:rPr>
      <w:rFonts w:ascii="Times New Roman" w:hAnsi="Times New Roman" w:eastAsia="宋体" w:cs="Times New Roman"/>
      <w:kern w:val="0"/>
      <w:sz w:val="20"/>
      <w:szCs w:val="20"/>
      <w:lang w:bidi="mn-Mong-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段"/>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2020-01-04T01:28:00Z</dcterms:created>
  <dc:creator>刘玮</dc:creator>
  <cp:lastModifiedBy>刘玮</cp:lastModifiedBy>
  <dcterms:modified xsi:type="dcterms:W3CDTF">2021-12-01T06:26:14Z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