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5"/>
      </w:pPr>
      <w:bookmarkStart w:id="4" w:name="_GoBack"/>
      <w:bookmarkEnd w:id="4"/>
      <w:bookmarkStart w:id="0" w:name="SectionMark0"/>
      <w: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8890000</wp:posOffset>
                </wp:positionV>
                <wp:extent cx="6121400" cy="0"/>
                <wp:effectExtent l="0" t="0" r="0" b="0"/>
                <wp:wrapNone/>
                <wp:docPr id="10" name="直线 11"/>
                <wp:cNvGraphicFramePr/>
                <a:graphic xmlns:a="http://schemas.openxmlformats.org/drawingml/2006/main">
                  <a:graphicData uri="http://schemas.microsoft.com/office/word/2010/wordprocessingShape">
                    <wps:wsp>
                      <wps:cNvSpPr/>
                      <wps:spPr>
                        <a:xfrm>
                          <a:off x="0" y="0"/>
                          <a:ext cx="6121400" cy="0"/>
                        </a:xfrm>
                        <a:prstGeom prst="line">
                          <a:avLst/>
                        </a:prstGeom>
                        <a:ln w="12700" cap="flat" cmpd="sng">
                          <a:solidFill>
                            <a:srgbClr val="FFFFFF"/>
                          </a:solidFill>
                          <a:prstDash val="solid"/>
                          <a:headEnd type="none" w="med" len="med"/>
                          <a:tailEnd type="none" w="med" len="med"/>
                        </a:ln>
                      </wps:spPr>
                      <wps:bodyPr upright="1"/>
                    </wps:wsp>
                  </a:graphicData>
                </a:graphic>
              </wp:anchor>
            </w:drawing>
          </mc:Choice>
          <mc:Fallback>
            <w:pict>
              <v:line id="直线 11" o:spid="_x0000_s1026" o:spt="20" style="position:absolute;left:0pt;margin-left:0pt;margin-top:700pt;height:0pt;width:482pt;z-index:251668480;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GrA71AAAAAoB&#10;AAAPAAAAAAAAAAEAIAAAACIAAABkcnMvZG93bnJldi54bWxQSwECFAAUAAAACACHTuJA925Ih+YB&#10;AADeAwAADgAAAAAAAAABACAAAAAjAQAAZHJzL2Uyb0RvYy54bWxQSwUGAAAAAAYABgBZAQAAewUA&#10;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2273300</wp:posOffset>
                </wp:positionV>
                <wp:extent cx="6121400" cy="0"/>
                <wp:effectExtent l="0" t="0" r="0" b="0"/>
                <wp:wrapNone/>
                <wp:docPr id="9" name="直线 10"/>
                <wp:cNvGraphicFramePr/>
                <a:graphic xmlns:a="http://schemas.openxmlformats.org/drawingml/2006/main">
                  <a:graphicData uri="http://schemas.microsoft.com/office/word/2010/wordprocessingShape">
                    <wps:wsp>
                      <wps:cNvSpPr/>
                      <wps:spPr>
                        <a:xfrm>
                          <a:off x="0" y="0"/>
                          <a:ext cx="6121400" cy="0"/>
                        </a:xfrm>
                        <a:prstGeom prst="line">
                          <a:avLst/>
                        </a:prstGeom>
                        <a:ln w="12700" cap="flat" cmpd="sng">
                          <a:solidFill>
                            <a:srgbClr val="FFFFFF"/>
                          </a:solidFill>
                          <a:prstDash val="solid"/>
                          <a:headEnd type="none" w="med" len="med"/>
                          <a:tailEnd type="none" w="med" len="med"/>
                        </a:ln>
                      </wps:spPr>
                      <wps:bodyPr upright="1"/>
                    </wps:wsp>
                  </a:graphicData>
                </a:graphic>
              </wp:anchor>
            </w:drawing>
          </mc:Choice>
          <mc:Fallback>
            <w:pict>
              <v:line id="直线 10" o:spid="_x0000_s1026" o:spt="20" style="position:absolute;left:0pt;margin-left:0pt;margin-top:179pt;height:0pt;width:482pt;z-index:251667456;mso-width-relative:page;mso-height-relative:page;" filled="f" stroked="t" coordsize="21600,21600" o:gfxdata="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yLtAXWAAAA&#10;CAEAAA8AAAAAAAAAAQAgAAAAIgAAAGRycy9kb3ducmV2LnhtbFBLAQIUABQAAAAIAIdO4kA17JUx&#10;5gEAAN0DAAAOAAAAAAAAAAEAIAAAACUBAABkcnMvZTJvRG9jLnhtbFBLBQYAAAAABgAGAFkBAAB9&#10;BQA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66432" behindDoc="0" locked="1" layoutInCell="1" allowOverlap="1">
                <wp:simplePos x="0" y="0"/>
                <wp:positionH relativeFrom="margin">
                  <wp:posOffset>0</wp:posOffset>
                </wp:positionH>
                <wp:positionV relativeFrom="margin">
                  <wp:posOffset>9108440</wp:posOffset>
                </wp:positionV>
                <wp:extent cx="6120130" cy="363220"/>
                <wp:effectExtent l="0" t="0" r="6350" b="2540"/>
                <wp:wrapNone/>
                <wp:docPr id="8"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pPr>
                              <w:pStyle w:val="92"/>
                            </w:pPr>
                            <w:r>
                              <w:rPr>
                                <w:rFonts w:hint="eastAsia"/>
                              </w:rPr>
                              <w:t xml:space="preserve">中华人民共和国工业和信息化部 </w:t>
                            </w:r>
                            <w:r>
                              <w:rPr>
                                <w:rStyle w:val="64"/>
                                <w:rFonts w:hint="eastAsia"/>
                              </w:rPr>
                              <w:t>发布</w:t>
                            </w:r>
                          </w:p>
                        </w:txbxContent>
                      </wps:txbx>
                      <wps:bodyPr lIns="0" tIns="0" rIns="0" bIns="0" upright="1"/>
                    </wps:wsp>
                  </a:graphicData>
                </a:graphic>
              </wp:anchor>
            </w:drawing>
          </mc:Choice>
          <mc:Fallback>
            <w:pict>
              <v:shape id="fmFrame7" o:spid="_x0000_s1026" o:spt="202" type="#_x0000_t202" style="position:absolute;left:0pt;margin-left:0pt;margin-top:717.2pt;height:28.6pt;width:481.9pt;mso-position-horizontal-relative:margin;mso-position-vertical-relative:margin;z-index:251666432;mso-width-relative:page;mso-height-relative:page;" fillcolor="#FFFFFF" filled="t" stroked="f" coordsize="21600,21600"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JVgbr2AAAAAoBAAAPAAAAAAAAAAEAIAAAACIAAABkcnMvZG93bnJldi54bWxQ&#10;SwECFAAUAAAACACHTuJAnVehdr4BAACYAwAADgAAAAAAAAABACAAAAAnAQAAZHJzL2Uyb0RvYy54&#10;bWxQSwUGAAAAAAYABgBZAQAAVwUAAAAA&#10;">
                <v:fill on="t" focussize="0,0"/>
                <v:stroke on="f"/>
                <v:imagedata o:title=""/>
                <o:lock v:ext="edit" aspectratio="f"/>
                <v:textbox inset="0mm,0mm,0mm,0mm">
                  <w:txbxContent>
                    <w:p>
                      <w:pPr>
                        <w:pStyle w:val="92"/>
                      </w:pPr>
                      <w:r>
                        <w:rPr>
                          <w:rFonts w:hint="eastAsia"/>
                        </w:rPr>
                        <w:t xml:space="preserve">中华人民共和国工业和信息化部 </w:t>
                      </w:r>
                      <w:r>
                        <w:rPr>
                          <w:rStyle w:val="64"/>
                          <w:rFonts w:hint="eastAsia"/>
                        </w:rPr>
                        <w:t>发布</w:t>
                      </w:r>
                    </w:p>
                  </w:txbxContent>
                </v:textbox>
                <w10:anchorlock/>
              </v:shape>
            </w:pict>
          </mc:Fallback>
        </mc:AlternateContent>
      </w:r>
      <w:r>
        <mc:AlternateContent>
          <mc:Choice Requires="wps">
            <w:drawing>
              <wp:anchor distT="0" distB="0" distL="114300" distR="114300" simplePos="0" relativeHeight="251665408" behindDoc="0" locked="1" layoutInCell="1" allowOverlap="1">
                <wp:simplePos x="0" y="0"/>
                <wp:positionH relativeFrom="margin">
                  <wp:posOffset>4100830</wp:posOffset>
                </wp:positionH>
                <wp:positionV relativeFrom="margin">
                  <wp:posOffset>8563610</wp:posOffset>
                </wp:positionV>
                <wp:extent cx="2019300" cy="312420"/>
                <wp:effectExtent l="0" t="0" r="7620" b="7620"/>
                <wp:wrapNone/>
                <wp:docPr id="7"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95"/>
                            </w:pPr>
                            <w:r>
                              <w:rPr>
                                <w:rFonts w:hint="eastAsia"/>
                              </w:rPr>
                              <w:t>××××-××-××实施</w:t>
                            </w:r>
                          </w:p>
                        </w:txbxContent>
                      </wps:txbx>
                      <wps:bodyPr lIns="0" tIns="0" rIns="0" bIns="0" upright="1"/>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5408;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L9qtfaAAAADQEAAA8AAAAAAAAAAQAgAAAAIgAAAGRycy9kb3ducmV2Lnht&#10;bFBLAQIUABQAAAAIAIdO4kCRSp5FvgEAAJgDAAAOAAAAAAAAAAEAIAAAACkBAABkcnMvZTJvRG9j&#10;LnhtbFBLBQYAAAAABgAGAFkBAABZBQAAAAA=&#10;">
                <v:fill on="t" focussize="0,0"/>
                <v:stroke on="f"/>
                <v:imagedata o:title=""/>
                <o:lock v:ext="edit" aspectratio="f"/>
                <v:textbox inset="0mm,0mm,0mm,0mm">
                  <w:txbxContent>
                    <w:p>
                      <w:pPr>
                        <w:pStyle w:val="95"/>
                      </w:pPr>
                      <w:r>
                        <w:rPr>
                          <w:rFonts w:hint="eastAsia"/>
                        </w:rPr>
                        <w:t>××××-××-××实施</w:t>
                      </w: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0" r="7620" b="7620"/>
                <wp:wrapNone/>
                <wp:docPr id="6"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66"/>
                            </w:pPr>
                            <w:r>
                              <w:rPr>
                                <w:rFonts w:hint="eastAsia"/>
                              </w:rPr>
                              <w:t>××××-××-××发布</w:t>
                            </w:r>
                          </w:p>
                        </w:txbxContent>
                      </wps:txbx>
                      <wps:bodyPr lIns="0" tIns="0" rIns="0" bIns="0" upright="1"/>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fNsqI2AAAAAoBAAAPAAAAAAAAAAEAIAAAACIAAABkcnMvZG93bnJldi54bWxQ&#10;SwECFAAUAAAACACHTuJAOJHVWL4BAACYAwAADgAAAAAAAAABACAAAAAnAQAAZHJzL2Uyb0RvYy54&#10;bWxQSwUGAAAAAAYABgBZAQAAVwUAAAAA&#10;">
                <v:fill on="t" focussize="0,0"/>
                <v:stroke on="f"/>
                <v:imagedata o:title=""/>
                <o:lock v:ext="edit" aspectratio="f"/>
                <v:textbox inset="0mm,0mm,0mm,0mm">
                  <w:txbxContent>
                    <w:p>
                      <w:pPr>
                        <w:pStyle w:val="66"/>
                      </w:pPr>
                      <w:r>
                        <w:rPr>
                          <w:rFonts w:hint="eastAsia"/>
                        </w:rPr>
                        <w:t>××××-××-××发布</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66675</wp:posOffset>
                </wp:positionH>
                <wp:positionV relativeFrom="margin">
                  <wp:posOffset>2971800</wp:posOffset>
                </wp:positionV>
                <wp:extent cx="6000750" cy="4853940"/>
                <wp:effectExtent l="0" t="0" r="3810" b="7620"/>
                <wp:wrapNone/>
                <wp:docPr id="5" name="fmFrame4"/>
                <wp:cNvGraphicFramePr/>
                <a:graphic xmlns:a="http://schemas.openxmlformats.org/drawingml/2006/main">
                  <a:graphicData uri="http://schemas.microsoft.com/office/word/2010/wordprocessingShape">
                    <wps:wsp>
                      <wps:cNvSpPr txBox="1"/>
                      <wps:spPr>
                        <a:xfrm>
                          <a:off x="0" y="0"/>
                          <a:ext cx="6000750" cy="4853940"/>
                        </a:xfrm>
                        <a:prstGeom prst="rect">
                          <a:avLst/>
                        </a:prstGeom>
                        <a:solidFill>
                          <a:srgbClr val="FFFFFF"/>
                        </a:solidFill>
                        <a:ln>
                          <a:noFill/>
                        </a:ln>
                      </wps:spPr>
                      <wps:txbx>
                        <w:txbxContent>
                          <w:p>
                            <w:pPr>
                              <w:pStyle w:val="89"/>
                              <w:rPr>
                                <w:sz w:val="52"/>
                                <w:szCs w:val="52"/>
                              </w:rPr>
                            </w:pPr>
                            <w:r>
                              <w:rPr>
                                <w:rFonts w:hint="eastAsia"/>
                                <w:sz w:val="52"/>
                                <w:szCs w:val="52"/>
                              </w:rPr>
                              <w:t>铌铝合金</w:t>
                            </w:r>
                          </w:p>
                          <w:p>
                            <w:pPr>
                              <w:pStyle w:val="89"/>
                              <w:rPr>
                                <w:rFonts w:hAnsi="宋体"/>
                                <w:sz w:val="28"/>
                                <w:szCs w:val="28"/>
                              </w:rPr>
                            </w:pPr>
                            <w:r>
                              <w:rPr>
                                <w:rFonts w:hAnsi="宋体"/>
                                <w:sz w:val="28"/>
                                <w:szCs w:val="28"/>
                              </w:rPr>
                              <w:t>Niobium-aluminum Alloy</w:t>
                            </w:r>
                          </w:p>
                          <w:p>
                            <w:pPr>
                              <w:pStyle w:val="59"/>
                              <w:ind w:firstLine="420"/>
                            </w:pPr>
                          </w:p>
                          <w:p>
                            <w:pPr>
                              <w:pStyle w:val="71"/>
                            </w:pPr>
                            <w:r>
                              <w:rPr>
                                <w:rFonts w:hint="eastAsia"/>
                              </w:rPr>
                              <w:t>（送审稿）</w:t>
                            </w:r>
                          </w:p>
                        </w:txbxContent>
                      </wps:txbx>
                      <wps:bodyPr lIns="0" tIns="0" rIns="0" bIns="0" upright="1"/>
                    </wps:wsp>
                  </a:graphicData>
                </a:graphic>
              </wp:anchor>
            </w:drawing>
          </mc:Choice>
          <mc:Fallback>
            <w:pict>
              <v:shape id="fmFrame4" o:spid="_x0000_s1026" o:spt="202" type="#_x0000_t202" style="position:absolute;left:0pt;margin-left:5.25pt;margin-top:234pt;height:382.2pt;width:472.5pt;mso-position-horizontal-relative:margin;mso-position-vertical-relative:margin;z-index:251663360;mso-width-relative:page;mso-height-relative:page;" fillcolor="#FFFFFF" filled="t" stroked="f" coordsize="21600,21600" o:gfxdata="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jF7TKNkAAAALAQAADwAAAAAAAAABACAAAAAiAAAAZHJzL2Rvd25yZXYu&#10;eG1sUEsBAhQAFAAAAAgAh07iQK678SvBAQAAmQMAAA4AAAAAAAAAAQAgAAAAKAEAAGRycy9lMm9E&#10;b2MueG1sUEsFBgAAAAAGAAYAWQEAAFsFAAAAAA==&#10;">
                <v:fill on="t" focussize="0,0"/>
                <v:stroke on="f"/>
                <v:imagedata o:title=""/>
                <o:lock v:ext="edit" aspectratio="f"/>
                <v:textbox inset="0mm,0mm,0mm,0mm">
                  <w:txbxContent>
                    <w:p>
                      <w:pPr>
                        <w:pStyle w:val="89"/>
                        <w:rPr>
                          <w:sz w:val="52"/>
                          <w:szCs w:val="52"/>
                        </w:rPr>
                      </w:pPr>
                      <w:r>
                        <w:rPr>
                          <w:rFonts w:hint="eastAsia"/>
                          <w:sz w:val="52"/>
                          <w:szCs w:val="52"/>
                        </w:rPr>
                        <w:t>铌铝合金</w:t>
                      </w:r>
                    </w:p>
                    <w:p>
                      <w:pPr>
                        <w:pStyle w:val="89"/>
                        <w:rPr>
                          <w:rFonts w:hAnsi="宋体"/>
                          <w:sz w:val="28"/>
                          <w:szCs w:val="28"/>
                        </w:rPr>
                      </w:pPr>
                      <w:r>
                        <w:rPr>
                          <w:rFonts w:hAnsi="宋体"/>
                          <w:sz w:val="28"/>
                          <w:szCs w:val="28"/>
                        </w:rPr>
                        <w:t>Niobium-aluminum Alloy</w:t>
                      </w:r>
                    </w:p>
                    <w:p>
                      <w:pPr>
                        <w:pStyle w:val="59"/>
                        <w:ind w:firstLine="420"/>
                      </w:pPr>
                    </w:p>
                    <w:p>
                      <w:pPr>
                        <w:pStyle w:val="71"/>
                      </w:pPr>
                      <w:r>
                        <w:rPr>
                          <w:rFonts w:hint="eastAsia"/>
                        </w:rPr>
                        <w:t>（送审稿）</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1401445</wp:posOffset>
                </wp:positionV>
                <wp:extent cx="6134100" cy="860425"/>
                <wp:effectExtent l="0" t="0" r="7620" b="8255"/>
                <wp:wrapNone/>
                <wp:docPr id="4" name="fmFrame3"/>
                <wp:cNvGraphicFramePr/>
                <a:graphic xmlns:a="http://schemas.openxmlformats.org/drawingml/2006/main">
                  <a:graphicData uri="http://schemas.microsoft.com/office/word/2010/wordprocessingShape">
                    <wps:wsp>
                      <wps:cNvSpPr txBox="1"/>
                      <wps:spPr>
                        <a:xfrm>
                          <a:off x="0" y="0"/>
                          <a:ext cx="6134100" cy="860425"/>
                        </a:xfrm>
                        <a:prstGeom prst="rect">
                          <a:avLst/>
                        </a:prstGeom>
                        <a:solidFill>
                          <a:srgbClr val="FFFFFF"/>
                        </a:solidFill>
                        <a:ln>
                          <a:noFill/>
                        </a:ln>
                      </wps:spPr>
                      <wps:txbx>
                        <w:txbxContent>
                          <w:p>
                            <w:pPr>
                              <w:pStyle w:val="68"/>
                            </w:pPr>
                            <w:r>
                              <w:rPr>
                                <w:rFonts w:hint="eastAsia"/>
                              </w:rPr>
                              <w:t>YS</w:t>
                            </w:r>
                            <w:r>
                              <w:t xml:space="preserve">/T </w:t>
                            </w:r>
                            <w:r>
                              <w:rPr>
                                <w:rFonts w:hint="eastAsia"/>
                              </w:rPr>
                              <w:t>XXX</w:t>
                            </w:r>
                            <w:r>
                              <w:t>—</w:t>
                            </w:r>
                            <w:r>
                              <w:rPr>
                                <w:rFonts w:hint="eastAsia"/>
                              </w:rPr>
                              <w:t>202X</w:t>
                            </w:r>
                          </w:p>
                          <w:p>
                            <w:pPr>
                              <w:pStyle w:val="67"/>
                            </w:pPr>
                          </w:p>
                        </w:txbxContent>
                      </wps:txbx>
                      <wps:bodyPr lIns="0" tIns="0" rIns="0" bIns="0" upright="1"/>
                    </wps:wsp>
                  </a:graphicData>
                </a:graphic>
              </wp:anchor>
            </w:drawing>
          </mc:Choice>
          <mc:Fallback>
            <w:pict>
              <v:shape id="fmFrame3" o:spid="_x0000_s1026" o:spt="202" type="#_x0000_t202" style="position:absolute;left:0pt;margin-left:0pt;margin-top:110.35pt;height:67.75pt;width:483pt;mso-position-horizontal-relative:margin;mso-position-vertical-relative:margin;z-index:251662336;mso-width-relative:page;mso-height-relative:page;" fillcolor="#FFFFFF" filled="t" stroked="f" coordsize="21600,21600" o:gfxdata="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PtAd9cAAAAIAQAADwAAAAAAAAABACAAAAAiAAAAZHJzL2Rvd25yZXYueG1sUEsB&#10;AhQAFAAAAAgAh07iQElxuJO9AQAAmAMAAA4AAAAAAAAAAQAgAAAAJgEAAGRycy9lMm9Eb2MueG1s&#10;UEsFBgAAAAAGAAYAWQEAAFUFAAAAAA==&#10;">
                <v:fill on="t" focussize="0,0"/>
                <v:stroke on="f"/>
                <v:imagedata o:title=""/>
                <o:lock v:ext="edit" aspectratio="f"/>
                <v:textbox inset="0mm,0mm,0mm,0mm">
                  <w:txbxContent>
                    <w:p>
                      <w:pPr>
                        <w:pStyle w:val="68"/>
                      </w:pPr>
                      <w:r>
                        <w:rPr>
                          <w:rFonts w:hint="eastAsia"/>
                        </w:rPr>
                        <w:t>YS</w:t>
                      </w:r>
                      <w:r>
                        <w:t xml:space="preserve">/T </w:t>
                      </w:r>
                      <w:r>
                        <w:rPr>
                          <w:rFonts w:hint="eastAsia"/>
                        </w:rPr>
                        <w:t>XXX</w:t>
                      </w:r>
                      <w:r>
                        <w:t>—</w:t>
                      </w:r>
                      <w:r>
                        <w:rPr>
                          <w:rFonts w:hint="eastAsia"/>
                        </w:rPr>
                        <w:t>202X</w:t>
                      </w:r>
                    </w:p>
                    <w:p>
                      <w:pPr>
                        <w:pStyle w:val="67"/>
                      </w:pP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2549525</wp:posOffset>
                </wp:positionH>
                <wp:positionV relativeFrom="margin">
                  <wp:posOffset>107315</wp:posOffset>
                </wp:positionV>
                <wp:extent cx="3175000" cy="720090"/>
                <wp:effectExtent l="0" t="0" r="10160" b="11430"/>
                <wp:wrapNone/>
                <wp:docPr id="3" name="fmFrame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a:noFill/>
                        </a:ln>
                      </wps:spPr>
                      <wps:txbx>
                        <w:txbxContent>
                          <w:p>
                            <w:pPr>
                              <w:pStyle w:val="50"/>
                            </w:pPr>
                            <w:r>
                              <w:t>YS</w:t>
                            </w:r>
                          </w:p>
                        </w:txbxContent>
                      </wps:txbx>
                      <wps:bodyPr lIns="0" tIns="0" rIns="0" bIns="0" upright="1"/>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61312;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Vk7PNgAAAAKAQAADwAAAAAAAAABACAAAAAiAAAAZHJzL2Rvd25yZXYueG1s&#10;UEsBAhQAFAAAAAgAh07iQLaMr7m/AQAAmAMAAA4AAAAAAAAAAQAgAAAAJwEAAGRycy9lMm9Eb2Mu&#10;eG1sUEsFBgAAAAAGAAYAWQEAAFgFAAAAAA==&#10;">
                <v:fill on="t" focussize="0,0"/>
                <v:stroke on="f"/>
                <v:imagedata o:title=""/>
                <o:lock v:ext="edit" aspectratio="f"/>
                <v:textbox inset="0mm,0mm,0mm,0mm">
                  <w:txbxContent>
                    <w:p>
                      <w:pPr>
                        <w:pStyle w:val="50"/>
                      </w:pPr>
                      <w:r>
                        <w:t>YS</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6350" b="5080"/>
                <wp:wrapNone/>
                <wp:docPr id="2"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pPr>
                              <w:pStyle w:val="91"/>
                            </w:pPr>
                            <w:r>
                              <w:rPr>
                                <w:rFonts w:hint="eastAsia"/>
                              </w:rPr>
                              <w:t>中华人民共和国有色金属行业标准</w:t>
                            </w:r>
                          </w:p>
                        </w:txbxContent>
                      </wps:txbx>
                      <wps:bodyPr lIns="0" tIns="0" rIns="0" bIns="0" upright="1"/>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g5HBdcAAAAIAQAADwAAAAAAAAABACAAAAAiAAAAZHJzL2Rvd25yZXYueG1sUEsB&#10;AhQAFAAAAAgAh07iQMxxI/O9AQAAmAMAAA4AAAAAAAAAAQAgAAAAJgEAAGRycy9lMm9Eb2MueG1s&#10;UEsFBgAAAAAGAAYAWQEAAFUFAAAAAA==&#10;">
                <v:fill on="t" focussize="0,0"/>
                <v:stroke on="f"/>
                <v:imagedata o:title=""/>
                <o:lock v:ext="edit" aspectratio="f"/>
                <v:textbox inset="0mm,0mm,0mm,0mm">
                  <w:txbxContent>
                    <w:p>
                      <w:pPr>
                        <w:pStyle w:val="91"/>
                      </w:pPr>
                      <w:r>
                        <w:rPr>
                          <w:rFonts w:hint="eastAsia"/>
                        </w:rPr>
                        <w:t>中华人民共和国有色金属行业标准</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5080" b="12700"/>
                <wp:wrapNone/>
                <wp:docPr id="1"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pPr>
                              <w:rPr>
                                <w:rFonts w:ascii="黑体" w:hAnsi="宋体" w:eastAsia="黑体"/>
                              </w:rPr>
                            </w:pPr>
                            <w:r>
                              <w:rPr>
                                <w:rFonts w:hint="eastAsia" w:ascii="黑体" w:eastAsia="黑体"/>
                              </w:rPr>
                              <w:t xml:space="preserve"> ICS 77.150.99</w:t>
                            </w:r>
                          </w:p>
                          <w:p>
                            <w:pPr>
                              <w:pStyle w:val="102"/>
                              <w:rPr>
                                <w:rFonts w:ascii="黑体"/>
                              </w:rPr>
                            </w:pPr>
                            <w:r>
                              <w:rPr>
                                <w:rFonts w:hint="eastAsia" w:ascii="黑体"/>
                              </w:rPr>
                              <w:t xml:space="preserve"> H 63</w:t>
                            </w:r>
                          </w:p>
                          <w:p>
                            <w:pPr>
                              <w:pStyle w:val="102"/>
                            </w:pPr>
                          </w:p>
                        </w:txbxContent>
                      </wps:txbx>
                      <wps:bodyPr lIns="0" tIns="0" rIns="0" bIns="0" upright="1"/>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xezL4NMAAAAFAQAADwAAAAAAAAABACAAAAAiAAAAZHJzL2Rvd25yZXYueG1sUEsBAhQA&#10;FAAAAAgAh07iQE61g1O+AQAAmAMAAA4AAAAAAAAAAQAgAAAAIgEAAGRycy9lMm9Eb2MueG1sUEsF&#10;BgAAAAAGAAYAWQEAAFIFAAAAAA==&#10;">
                <v:fill on="t" focussize="0,0"/>
                <v:stroke on="f"/>
                <v:imagedata o:title=""/>
                <o:lock v:ext="edit" aspectratio="f"/>
                <v:textbox inset="0mm,0mm,0mm,0mm">
                  <w:txbxContent>
                    <w:p>
                      <w:pPr>
                        <w:rPr>
                          <w:rFonts w:ascii="黑体" w:hAnsi="宋体" w:eastAsia="黑体"/>
                        </w:rPr>
                      </w:pPr>
                      <w:r>
                        <w:rPr>
                          <w:rFonts w:hint="eastAsia" w:ascii="黑体" w:eastAsia="黑体"/>
                        </w:rPr>
                        <w:t xml:space="preserve"> ICS 77.150.99</w:t>
                      </w:r>
                    </w:p>
                    <w:p>
                      <w:pPr>
                        <w:pStyle w:val="102"/>
                        <w:rPr>
                          <w:rFonts w:ascii="黑体"/>
                        </w:rPr>
                      </w:pPr>
                      <w:r>
                        <w:rPr>
                          <w:rFonts w:hint="eastAsia" w:ascii="黑体"/>
                        </w:rPr>
                        <w:t xml:space="preserve"> H 63</w:t>
                      </w:r>
                    </w:p>
                    <w:p>
                      <w:pPr>
                        <w:pStyle w:val="102"/>
                      </w:pPr>
                    </w:p>
                  </w:txbxContent>
                </v:textbox>
                <w10:anchorlock/>
              </v:shape>
            </w:pict>
          </mc:Fallback>
        </mc:AlternateContent>
      </w:r>
      <w:r>
        <w:t>、</w:t>
      </w:r>
    </w:p>
    <w:p/>
    <w:p/>
    <w:p/>
    <w:p/>
    <w:p/>
    <w:p/>
    <w:p/>
    <w:p/>
    <w:p>
      <w:r>
        <mc:AlternateContent>
          <mc:Choice Requires="wps">
            <w:drawing>
              <wp:anchor distT="0" distB="0" distL="114300" distR="114300" simplePos="0" relativeHeight="251669504" behindDoc="0" locked="0" layoutInCell="1" allowOverlap="1">
                <wp:simplePos x="0" y="0"/>
                <wp:positionH relativeFrom="column">
                  <wp:posOffset>87630</wp:posOffset>
                </wp:positionH>
                <wp:positionV relativeFrom="paragraph">
                  <wp:posOffset>142875</wp:posOffset>
                </wp:positionV>
                <wp:extent cx="6000750" cy="0"/>
                <wp:effectExtent l="0" t="7620" r="3810" b="15240"/>
                <wp:wrapNone/>
                <wp:docPr id="11" name="自选图形 13"/>
                <wp:cNvGraphicFramePr/>
                <a:graphic xmlns:a="http://schemas.openxmlformats.org/drawingml/2006/main">
                  <a:graphicData uri="http://schemas.microsoft.com/office/word/2010/wordprocessingShape">
                    <wps:wsp>
                      <wps:cNvCnPr/>
                      <wps:spPr>
                        <a:xfrm>
                          <a:off x="0" y="0"/>
                          <a:ext cx="6000750" cy="0"/>
                        </a:xfrm>
                        <a:prstGeom prst="straightConnector1">
                          <a:avLst/>
                        </a:prstGeom>
                        <a:ln w="15875" cap="flat" cmpd="sng">
                          <a:solidFill>
                            <a:srgbClr val="000000"/>
                          </a:solidFill>
                          <a:prstDash val="solid"/>
                          <a:headEnd type="none" w="med" len="med"/>
                          <a:tailEnd type="none" w="med" len="med"/>
                        </a:ln>
                      </wps:spPr>
                      <wps:bodyPr/>
                    </wps:wsp>
                  </a:graphicData>
                </a:graphic>
              </wp:anchor>
            </w:drawing>
          </mc:Choice>
          <mc:Fallback>
            <w:pict>
              <v:shape id="自选图形 13" o:spid="_x0000_s1026" o:spt="32" type="#_x0000_t32" style="position:absolute;left:0pt;margin-left:6.9pt;margin-top:11.25pt;height:0pt;width:472.5pt;z-index:251669504;mso-width-relative:page;mso-height-relative:page;" filled="f" stroked="t" coordsize="21600,21600" o:gfxdata="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XZyIX1QAAAAgBAAAPAAAAAAAAAAEAIAAAACIAAABkcnMvZG93bnJldi54bWxQSwEC&#10;FAAUAAAACACHTuJAEm9Ru/cBAADmAwAADgAAAAAAAAABACAAAAAkAQAAZHJzL2Uyb0RvYy54bWxQ&#10;SwUGAAAAAAYABgBZAQAAjQUAAAAA&#10;">
                <v:fill on="f" focussize="0,0"/>
                <v:stroke weight="1.25pt" color="#000000" joinstyle="round"/>
                <v:imagedata o:title=""/>
                <o:lock v:ext="edit" aspectratio="f"/>
              </v:shape>
            </w:pict>
          </mc:Fallback>
        </mc:AlternateContent>
      </w:r>
    </w:p>
    <w:p/>
    <w:p/>
    <w:p/>
    <w:p/>
    <w:p/>
    <w:p/>
    <w:p>
      <w:pPr>
        <w:tabs>
          <w:tab w:val="left" w:pos="3945"/>
        </w:tabs>
      </w:pPr>
      <w:r>
        <w:tab/>
      </w:r>
    </w:p>
    <w:p>
      <w:r>
        <mc:AlternateContent>
          <mc:Choice Requires="wps">
            <w:drawing>
              <wp:anchor distT="0" distB="0" distL="114300" distR="114300" simplePos="0" relativeHeight="251670528" behindDoc="0" locked="0" layoutInCell="1" allowOverlap="1">
                <wp:simplePos x="0" y="0"/>
                <wp:positionH relativeFrom="column">
                  <wp:posOffset>68580</wp:posOffset>
                </wp:positionH>
                <wp:positionV relativeFrom="paragraph">
                  <wp:posOffset>5654040</wp:posOffset>
                </wp:positionV>
                <wp:extent cx="6000750" cy="0"/>
                <wp:effectExtent l="0" t="7620" r="3810" b="15240"/>
                <wp:wrapNone/>
                <wp:docPr id="12" name="自选图形 14"/>
                <wp:cNvGraphicFramePr/>
                <a:graphic xmlns:a="http://schemas.openxmlformats.org/drawingml/2006/main">
                  <a:graphicData uri="http://schemas.microsoft.com/office/word/2010/wordprocessingShape">
                    <wps:wsp>
                      <wps:cNvCnPr/>
                      <wps:spPr>
                        <a:xfrm>
                          <a:off x="0" y="0"/>
                          <a:ext cx="6000750" cy="0"/>
                        </a:xfrm>
                        <a:prstGeom prst="straightConnector1">
                          <a:avLst/>
                        </a:prstGeom>
                        <a:ln w="15875" cap="flat" cmpd="sng">
                          <a:solidFill>
                            <a:srgbClr val="000000"/>
                          </a:solidFill>
                          <a:prstDash val="solid"/>
                          <a:headEnd type="none" w="med" len="med"/>
                          <a:tailEnd type="none" w="med" len="med"/>
                        </a:ln>
                      </wps:spPr>
                      <wps:bodyPr/>
                    </wps:wsp>
                  </a:graphicData>
                </a:graphic>
              </wp:anchor>
            </w:drawing>
          </mc:Choice>
          <mc:Fallback>
            <w:pict>
              <v:shape id="自选图形 14" o:spid="_x0000_s1026" o:spt="32" type="#_x0000_t32" style="position:absolute;left:0pt;margin-left:5.4pt;margin-top:445.2pt;height:0pt;width:472.5pt;z-index:251670528;mso-width-relative:page;mso-height-relative:page;" filled="f" stroked="t" coordsize="21600,21600" o:gfxdata="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Hx87dYAAAAKAQAADwAAAAAAAAABACAAAAAiAAAAZHJzL2Rvd25yZXYueG1sUEsB&#10;AhQAFAAAAAgAh07iQIQYD/L3AQAA5gMAAA4AAAAAAAAAAQAgAAAAJQEAAGRycy9lMm9Eb2MueG1s&#10;UEsFBgAAAAAGAAYAWQEAAI4FAAAAAA==&#10;">
                <v:fill on="f" focussize="0,0"/>
                <v:stroke weight="1.25pt" color="#000000" joinstyle="round"/>
                <v:imagedata o:title=""/>
                <o:lock v:ext="edit" aspectratio="f"/>
              </v:shape>
            </w:pict>
          </mc:Fallback>
        </mc:AlternateContent>
      </w:r>
    </w:p>
    <w:p>
      <w:pPr>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425" w:num="1"/>
          <w:titlePg/>
          <w:docGrid w:type="lines" w:linePitch="312" w:charSpace="0"/>
        </w:sectPr>
      </w:pPr>
    </w:p>
    <w:bookmarkEnd w:id="0"/>
    <w:p>
      <w:pPr>
        <w:pStyle w:val="57"/>
        <w:rPr>
          <w:rFonts w:ascii="Times New Roman"/>
        </w:rPr>
      </w:pPr>
      <w:bookmarkStart w:id="1" w:name="SectionMark2"/>
      <w:r>
        <w:rPr>
          <w:rFonts w:ascii="Times New Roman"/>
        </w:rPr>
        <w:t>前    言</w:t>
      </w:r>
    </w:p>
    <w:p>
      <w:pPr>
        <w:ind w:firstLine="420"/>
        <w:rPr>
          <w:color w:val="000000"/>
        </w:rPr>
      </w:pPr>
      <w:r>
        <w:rPr>
          <w:color w:val="000000"/>
        </w:rPr>
        <w:t>本文件按照GB/T 1.1-2020《标准化工作导则  第1部分：标准化文件的结构和起草规则》的规定起草。</w:t>
      </w:r>
    </w:p>
    <w:p>
      <w:pPr>
        <w:ind w:firstLine="420"/>
        <w:rPr>
          <w:color w:val="000000"/>
        </w:rPr>
      </w:pPr>
      <w:r>
        <w:rPr>
          <w:color w:val="000000"/>
        </w:rPr>
        <w:t>请注意本文件的某些内容可能涉及专利。本文件的发布机构不承担识别专利的责任。</w:t>
      </w:r>
    </w:p>
    <w:p>
      <w:pPr>
        <w:ind w:firstLine="420"/>
        <w:rPr>
          <w:color w:val="000000"/>
        </w:rPr>
      </w:pPr>
      <w:r>
        <w:rPr>
          <w:color w:val="000000"/>
        </w:rPr>
        <w:t>本文件由全国有色金属标准化技术委员会（SAC/TC243）提出并归口。</w:t>
      </w:r>
    </w:p>
    <w:p>
      <w:pPr>
        <w:ind w:firstLine="420"/>
        <w:rPr>
          <w:color w:val="000000"/>
        </w:rPr>
      </w:pPr>
      <w:r>
        <w:rPr>
          <w:color w:val="000000"/>
        </w:rPr>
        <w:t>本文件起草单位：大连融德特种材料有限公司、承德天大钒业有限责任公司、宝钛集团有限公司、西部钛业有限责任公司、新疆湘润新材料科技有限公司、宁夏东方钽业股份有限公司、宁夏中色金航钛业有限公司、广东广晟稀有金属光电新材料有限公司、稀美资源（广东）有限公司。</w:t>
      </w:r>
    </w:p>
    <w:p>
      <w:pPr>
        <w:pStyle w:val="59"/>
        <w:ind w:firstLine="420"/>
        <w:rPr>
          <w:rFonts w:ascii="Times New Roman"/>
        </w:rPr>
      </w:pPr>
      <w:r>
        <w:rPr>
          <w:rFonts w:ascii="Times New Roman"/>
        </w:rPr>
        <w:t>本文件主要起草人：</w:t>
      </w:r>
    </w:p>
    <w:p>
      <w:pPr>
        <w:pStyle w:val="59"/>
        <w:ind w:firstLine="420"/>
        <w:rPr>
          <w:rFonts w:ascii="Times New Roman"/>
        </w:rPr>
      </w:pPr>
    </w:p>
    <w:p>
      <w:pPr>
        <w:pStyle w:val="59"/>
        <w:ind w:firstLine="420"/>
        <w:rPr>
          <w:rFonts w:ascii="Times New Roman"/>
        </w:rPr>
      </w:pPr>
    </w:p>
    <w:p>
      <w:pPr>
        <w:pStyle w:val="59"/>
        <w:ind w:firstLine="420"/>
        <w:rPr>
          <w:rFonts w:ascii="Times New Roman"/>
        </w:rPr>
        <w:sectPr>
          <w:headerReference r:id="rId8" w:type="default"/>
          <w:footerReference r:id="rId10" w:type="default"/>
          <w:headerReference r:id="rId9" w:type="even"/>
          <w:footerReference r:id="rId11" w:type="even"/>
          <w:pgSz w:w="11907" w:h="16839"/>
          <w:pgMar w:top="1418" w:right="1134" w:bottom="1134" w:left="1418" w:header="1418" w:footer="851" w:gutter="0"/>
          <w:pgNumType w:fmt="upperRoman" w:start="1"/>
          <w:cols w:space="425" w:num="1"/>
          <w:docGrid w:type="lines" w:linePitch="312" w:charSpace="0"/>
        </w:sectPr>
      </w:pPr>
    </w:p>
    <w:bookmarkEnd w:id="1"/>
    <w:p>
      <w:pPr>
        <w:pStyle w:val="89"/>
        <w:rPr>
          <w:rFonts w:ascii="Times New Roman"/>
        </w:rPr>
      </w:pPr>
      <w:bookmarkStart w:id="2" w:name="SectionMark4"/>
      <w:r>
        <w:rPr>
          <w:rFonts w:ascii="Times New Roman"/>
        </w:rPr>
        <w:t>铌铝合金</w:t>
      </w:r>
    </w:p>
    <w:p>
      <w:pPr>
        <w:pStyle w:val="60"/>
        <w:spacing w:before="156" w:after="156"/>
        <w:ind w:left="0"/>
        <w:rPr>
          <w:rFonts w:ascii="Times New Roman"/>
        </w:rPr>
      </w:pPr>
      <w:r>
        <w:rPr>
          <w:rFonts w:ascii="Times New Roman"/>
        </w:rPr>
        <w:t>范围</w:t>
      </w:r>
    </w:p>
    <w:p>
      <w:pPr>
        <w:pStyle w:val="59"/>
        <w:spacing w:line="300" w:lineRule="auto"/>
        <w:ind w:firstLine="420"/>
        <w:rPr>
          <w:rFonts w:ascii="Times New Roman"/>
        </w:rPr>
      </w:pPr>
      <w:r>
        <w:rPr>
          <w:rFonts w:ascii="Times New Roman"/>
        </w:rPr>
        <w:t>本文件规定了铌铝合金的分类、技术要求、试验方法、检验规则、标志、包装、运输、贮存及随行文件和订货单内容。</w:t>
      </w:r>
    </w:p>
    <w:p>
      <w:pPr>
        <w:pStyle w:val="59"/>
        <w:spacing w:line="300" w:lineRule="auto"/>
        <w:ind w:firstLine="420"/>
        <w:rPr>
          <w:rFonts w:ascii="Times New Roman"/>
        </w:rPr>
      </w:pPr>
      <w:r>
        <w:rPr>
          <w:rFonts w:ascii="Times New Roman"/>
        </w:rPr>
        <w:t>本文件适用于采用金属热还原法生产的铌铝合金。该合金可作为钛合金、高温合金和其他特殊合金熔炼过程的中间合金添加剂。</w:t>
      </w:r>
    </w:p>
    <w:p>
      <w:pPr>
        <w:pStyle w:val="60"/>
        <w:spacing w:before="156" w:after="156"/>
        <w:ind w:left="0"/>
        <w:rPr>
          <w:rFonts w:ascii="Times New Roman"/>
        </w:rPr>
      </w:pPr>
      <w:r>
        <w:rPr>
          <w:rFonts w:ascii="Times New Roman"/>
        </w:rPr>
        <w:t>规范性引用文件</w:t>
      </w:r>
    </w:p>
    <w:p>
      <w:pPr>
        <w:pStyle w:val="59"/>
        <w:spacing w:line="300" w:lineRule="auto"/>
        <w:ind w:firstLine="42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59"/>
        <w:spacing w:line="300" w:lineRule="auto"/>
        <w:ind w:firstLine="420"/>
        <w:rPr>
          <w:rFonts w:ascii="Times New Roman"/>
        </w:rPr>
      </w:pPr>
      <w:r>
        <w:rPr>
          <w:rFonts w:ascii="Times New Roman"/>
        </w:rPr>
        <w:t>GB/T 8170      数值修约规则及极限数值的表示和判定</w:t>
      </w:r>
    </w:p>
    <w:p>
      <w:pPr>
        <w:pStyle w:val="59"/>
        <w:spacing w:line="300" w:lineRule="auto"/>
        <w:ind w:firstLine="420"/>
        <w:rPr>
          <w:rFonts w:ascii="Times New Roman"/>
        </w:rPr>
      </w:pPr>
      <w:r>
        <w:rPr>
          <w:rFonts w:ascii="Times New Roman"/>
        </w:rPr>
        <w:t>GB/T 20975.37  铝及铝合金化学分析方法 第37部分：铌含量的测定</w:t>
      </w:r>
    </w:p>
    <w:p>
      <w:pPr>
        <w:pStyle w:val="60"/>
        <w:spacing w:before="156" w:after="156"/>
        <w:ind w:left="0"/>
        <w:rPr>
          <w:rFonts w:ascii="Times New Roman"/>
        </w:rPr>
      </w:pPr>
      <w:r>
        <w:rPr>
          <w:rFonts w:ascii="Times New Roman"/>
        </w:rPr>
        <w:t>术语和定义</w:t>
      </w:r>
    </w:p>
    <w:p>
      <w:pPr>
        <w:pStyle w:val="59"/>
        <w:spacing w:line="300" w:lineRule="auto"/>
        <w:ind w:firstLine="420"/>
        <w:rPr>
          <w:rFonts w:ascii="Times New Roman"/>
        </w:rPr>
      </w:pPr>
      <w:r>
        <w:rPr>
          <w:rFonts w:ascii="Times New Roman"/>
        </w:rPr>
        <w:t>本文件没有需要界定的术语和定义。</w:t>
      </w:r>
    </w:p>
    <w:p>
      <w:pPr>
        <w:pStyle w:val="60"/>
        <w:spacing w:before="156" w:after="156"/>
        <w:ind w:left="0"/>
        <w:rPr>
          <w:rFonts w:ascii="Times New Roman"/>
        </w:rPr>
      </w:pPr>
      <w:r>
        <w:rPr>
          <w:rFonts w:ascii="Times New Roman"/>
        </w:rPr>
        <w:t>分类</w:t>
      </w:r>
    </w:p>
    <w:p>
      <w:pPr>
        <w:pStyle w:val="59"/>
        <w:spacing w:line="300" w:lineRule="auto"/>
        <w:ind w:firstLine="420"/>
        <w:rPr>
          <w:rFonts w:ascii="Times New Roman"/>
        </w:rPr>
      </w:pPr>
      <w:r>
        <w:rPr>
          <w:rFonts w:ascii="Times New Roman"/>
        </w:rPr>
        <w:t>产品按化学成分分为三个牌号，分别是：Nb50Al50、Nb60Al40和Nb70Al30。</w:t>
      </w:r>
    </w:p>
    <w:p>
      <w:pPr>
        <w:pStyle w:val="60"/>
        <w:spacing w:before="156" w:after="156"/>
        <w:ind w:left="0"/>
        <w:rPr>
          <w:rFonts w:ascii="Times New Roman"/>
        </w:rPr>
      </w:pPr>
      <w:r>
        <w:rPr>
          <w:rFonts w:ascii="Times New Roman"/>
        </w:rPr>
        <w:t>技术要求</w:t>
      </w:r>
    </w:p>
    <w:p>
      <w:pPr>
        <w:pStyle w:val="61"/>
        <w:spacing w:before="156" w:beforeLines="50" w:after="156" w:afterLines="50"/>
        <w:ind w:left="0"/>
        <w:rPr>
          <w:rFonts w:ascii="Times New Roman"/>
        </w:rPr>
      </w:pPr>
      <w:bookmarkStart w:id="3" w:name="SectionMark5"/>
      <w:r>
        <w:rPr>
          <w:rFonts w:ascii="Times New Roman"/>
        </w:rPr>
        <w:t>化学成分</w:t>
      </w:r>
    </w:p>
    <w:p>
      <w:pPr>
        <w:pStyle w:val="59"/>
        <w:spacing w:line="300" w:lineRule="auto"/>
        <w:ind w:firstLine="420"/>
        <w:rPr>
          <w:rFonts w:ascii="Times New Roman"/>
        </w:rPr>
      </w:pPr>
      <w:r>
        <w:rPr>
          <w:rFonts w:ascii="Times New Roman"/>
        </w:rPr>
        <w:t>产品的化学成分应符合表1的规定，需方如对产品的化学成分有特殊要求，可由供需双方商定。</w:t>
      </w:r>
    </w:p>
    <w:p>
      <w:pPr>
        <w:pStyle w:val="59"/>
        <w:spacing w:line="300" w:lineRule="auto"/>
        <w:ind w:firstLine="0" w:firstLineChars="0"/>
        <w:jc w:val="center"/>
        <w:rPr>
          <w:rFonts w:ascii="Times New Roman" w:eastAsiaTheme="minorEastAsia"/>
        </w:rPr>
      </w:pPr>
      <w:r>
        <w:rPr>
          <w:rFonts w:ascii="Times New Roman" w:eastAsiaTheme="minorEastAsia"/>
        </w:rPr>
        <w:t>表1 铌铝合金的化学成分</w:t>
      </w:r>
    </w:p>
    <w:tbl>
      <w:tblPr>
        <w:tblStyle w:val="34"/>
        <w:tblpPr w:leftFromText="180" w:rightFromText="180" w:vertAnchor="text" w:horzAnchor="margin" w:tblpX="108" w:tblpY="10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276"/>
        <w:gridCol w:w="850"/>
        <w:gridCol w:w="757"/>
        <w:gridCol w:w="758"/>
        <w:gridCol w:w="757"/>
        <w:gridCol w:w="758"/>
        <w:gridCol w:w="758"/>
        <w:gridCol w:w="757"/>
        <w:gridCol w:w="758"/>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vAlign w:val="center"/>
          </w:tcPr>
          <w:p>
            <w:pPr>
              <w:pStyle w:val="59"/>
              <w:widowControl w:val="0"/>
              <w:ind w:firstLine="0" w:firstLineChars="0"/>
              <w:jc w:val="center"/>
              <w:rPr>
                <w:rFonts w:ascii="Times New Roman"/>
                <w:sz w:val="18"/>
                <w:szCs w:val="18"/>
              </w:rPr>
            </w:pPr>
            <w:r>
              <w:rPr>
                <w:rFonts w:ascii="Times New Roman"/>
                <w:sz w:val="18"/>
                <w:szCs w:val="18"/>
              </w:rPr>
              <w:t>牌号</w:t>
            </w:r>
          </w:p>
        </w:tc>
        <w:tc>
          <w:tcPr>
            <w:tcW w:w="8187" w:type="dxa"/>
            <w:gridSpan w:val="10"/>
            <w:vAlign w:val="center"/>
          </w:tcPr>
          <w:p>
            <w:pPr>
              <w:pStyle w:val="59"/>
              <w:widowControl w:val="0"/>
              <w:ind w:firstLine="0" w:firstLineChars="0"/>
              <w:jc w:val="center"/>
              <w:rPr>
                <w:rFonts w:ascii="Times New Roman"/>
                <w:sz w:val="18"/>
                <w:szCs w:val="18"/>
              </w:rPr>
            </w:pPr>
            <w:r>
              <w:rPr>
                <w:rFonts w:ascii="Times New Roman"/>
                <w:sz w:val="18"/>
                <w:szCs w:val="18"/>
              </w:rPr>
              <w:t>质量分数</w:t>
            </w:r>
          </w:p>
          <w:p>
            <w:pPr>
              <w:pStyle w:val="59"/>
              <w:widowControl w:val="0"/>
              <w:ind w:firstLine="0" w:firstLineChars="0"/>
              <w:jc w:val="center"/>
              <w:rPr>
                <w:rFonts w:ascii="Times New Roman"/>
                <w:sz w:val="18"/>
                <w:szCs w:val="18"/>
              </w:rPr>
            </w:pPr>
            <w:r>
              <w:rPr>
                <w:rFonts w:asci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pStyle w:val="59"/>
              <w:widowControl w:val="0"/>
              <w:ind w:firstLine="0" w:firstLineChars="0"/>
              <w:rPr>
                <w:rFonts w:ascii="Times New Roman"/>
                <w:sz w:val="18"/>
                <w:szCs w:val="18"/>
              </w:rPr>
            </w:pPr>
          </w:p>
        </w:tc>
        <w:tc>
          <w:tcPr>
            <w:tcW w:w="2126" w:type="dxa"/>
            <w:gridSpan w:val="2"/>
            <w:vAlign w:val="center"/>
          </w:tcPr>
          <w:p>
            <w:pPr>
              <w:pStyle w:val="59"/>
              <w:widowControl w:val="0"/>
              <w:ind w:firstLine="0" w:firstLineChars="0"/>
              <w:jc w:val="center"/>
              <w:rPr>
                <w:rFonts w:ascii="Times New Roman"/>
                <w:sz w:val="18"/>
                <w:szCs w:val="18"/>
              </w:rPr>
            </w:pPr>
            <w:r>
              <w:rPr>
                <w:rFonts w:ascii="Times New Roman"/>
                <w:sz w:val="18"/>
                <w:szCs w:val="18"/>
              </w:rPr>
              <w:t>主要成分</w:t>
            </w:r>
          </w:p>
        </w:tc>
        <w:tc>
          <w:tcPr>
            <w:tcW w:w="6061" w:type="dxa"/>
            <w:gridSpan w:val="8"/>
            <w:vAlign w:val="center"/>
          </w:tcPr>
          <w:p>
            <w:pPr>
              <w:pStyle w:val="59"/>
              <w:widowControl w:val="0"/>
              <w:ind w:firstLine="0" w:firstLineChars="0"/>
              <w:jc w:val="center"/>
              <w:rPr>
                <w:rFonts w:ascii="Times New Roman"/>
                <w:sz w:val="18"/>
                <w:szCs w:val="18"/>
              </w:rPr>
            </w:pPr>
            <w:r>
              <w:rPr>
                <w:rFonts w:ascii="Times New Roman"/>
                <w:sz w:val="18"/>
                <w:szCs w:val="18"/>
              </w:rPr>
              <w:t>杂质，不大于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384" w:type="dxa"/>
            <w:vMerge w:val="continue"/>
            <w:vAlign w:val="center"/>
          </w:tcPr>
          <w:p>
            <w:pPr>
              <w:pStyle w:val="59"/>
              <w:widowControl w:val="0"/>
              <w:ind w:firstLine="0" w:firstLineChars="0"/>
              <w:rPr>
                <w:rFonts w:ascii="Times New Roman"/>
                <w:sz w:val="18"/>
                <w:szCs w:val="18"/>
              </w:rPr>
            </w:pPr>
          </w:p>
        </w:tc>
        <w:tc>
          <w:tcPr>
            <w:tcW w:w="1276" w:type="dxa"/>
            <w:vMerge w:val="restart"/>
            <w:vAlign w:val="center"/>
          </w:tcPr>
          <w:p>
            <w:pPr>
              <w:pStyle w:val="59"/>
              <w:widowControl w:val="0"/>
              <w:ind w:firstLine="0" w:firstLineChars="0"/>
              <w:jc w:val="center"/>
              <w:rPr>
                <w:rFonts w:ascii="Times New Roman"/>
                <w:sz w:val="18"/>
                <w:szCs w:val="18"/>
              </w:rPr>
            </w:pPr>
            <w:r>
              <w:rPr>
                <w:rFonts w:ascii="Times New Roman"/>
                <w:sz w:val="18"/>
                <w:szCs w:val="18"/>
              </w:rPr>
              <w:t>Nb</w:t>
            </w:r>
          </w:p>
        </w:tc>
        <w:tc>
          <w:tcPr>
            <w:tcW w:w="850" w:type="dxa"/>
            <w:vMerge w:val="restart"/>
            <w:vAlign w:val="center"/>
          </w:tcPr>
          <w:p>
            <w:pPr>
              <w:pStyle w:val="59"/>
              <w:widowControl w:val="0"/>
              <w:ind w:firstLine="0" w:firstLineChars="0"/>
              <w:jc w:val="center"/>
              <w:rPr>
                <w:rFonts w:ascii="Times New Roman"/>
                <w:sz w:val="18"/>
                <w:szCs w:val="18"/>
              </w:rPr>
            </w:pPr>
            <w:r>
              <w:rPr>
                <w:rFonts w:ascii="Times New Roman"/>
                <w:sz w:val="18"/>
                <w:szCs w:val="18"/>
              </w:rPr>
              <w:t>Al</w:t>
            </w:r>
          </w:p>
        </w:tc>
        <w:tc>
          <w:tcPr>
            <w:tcW w:w="757" w:type="dxa"/>
            <w:vMerge w:val="restart"/>
            <w:vAlign w:val="center"/>
          </w:tcPr>
          <w:p>
            <w:pPr>
              <w:pStyle w:val="59"/>
              <w:widowControl w:val="0"/>
              <w:ind w:firstLine="0" w:firstLineChars="0"/>
              <w:jc w:val="center"/>
              <w:rPr>
                <w:rFonts w:ascii="Times New Roman"/>
                <w:sz w:val="18"/>
                <w:szCs w:val="18"/>
              </w:rPr>
            </w:pPr>
            <w:r>
              <w:rPr>
                <w:rFonts w:ascii="Times New Roman"/>
                <w:sz w:val="18"/>
                <w:szCs w:val="18"/>
              </w:rPr>
              <w:t>Fe</w:t>
            </w:r>
          </w:p>
        </w:tc>
        <w:tc>
          <w:tcPr>
            <w:tcW w:w="758" w:type="dxa"/>
            <w:vMerge w:val="restart"/>
            <w:vAlign w:val="center"/>
          </w:tcPr>
          <w:p>
            <w:pPr>
              <w:pStyle w:val="59"/>
              <w:widowControl w:val="0"/>
              <w:ind w:firstLine="0" w:firstLineChars="0"/>
              <w:jc w:val="center"/>
              <w:rPr>
                <w:rFonts w:ascii="Times New Roman"/>
                <w:sz w:val="18"/>
                <w:szCs w:val="18"/>
              </w:rPr>
            </w:pPr>
            <w:r>
              <w:rPr>
                <w:rFonts w:ascii="Times New Roman"/>
                <w:sz w:val="18"/>
                <w:szCs w:val="18"/>
              </w:rPr>
              <w:t>Si</w:t>
            </w:r>
          </w:p>
        </w:tc>
        <w:tc>
          <w:tcPr>
            <w:tcW w:w="757" w:type="dxa"/>
            <w:vMerge w:val="restart"/>
            <w:vAlign w:val="center"/>
          </w:tcPr>
          <w:p>
            <w:pPr>
              <w:pStyle w:val="59"/>
              <w:widowControl w:val="0"/>
              <w:ind w:firstLine="0" w:firstLineChars="0"/>
              <w:jc w:val="center"/>
              <w:rPr>
                <w:rFonts w:ascii="Times New Roman"/>
                <w:sz w:val="18"/>
                <w:szCs w:val="18"/>
              </w:rPr>
            </w:pPr>
            <w:r>
              <w:rPr>
                <w:rFonts w:ascii="Times New Roman"/>
                <w:sz w:val="18"/>
                <w:szCs w:val="18"/>
              </w:rPr>
              <w:t>C</w:t>
            </w:r>
          </w:p>
        </w:tc>
        <w:tc>
          <w:tcPr>
            <w:tcW w:w="758" w:type="dxa"/>
            <w:vMerge w:val="restart"/>
            <w:vAlign w:val="center"/>
          </w:tcPr>
          <w:p>
            <w:pPr>
              <w:pStyle w:val="59"/>
              <w:widowControl w:val="0"/>
              <w:ind w:firstLine="0" w:firstLineChars="0"/>
              <w:jc w:val="center"/>
              <w:rPr>
                <w:rFonts w:ascii="Times New Roman"/>
                <w:sz w:val="18"/>
                <w:szCs w:val="18"/>
              </w:rPr>
            </w:pPr>
            <w:r>
              <w:rPr>
                <w:rFonts w:ascii="Times New Roman"/>
                <w:sz w:val="18"/>
                <w:szCs w:val="18"/>
              </w:rPr>
              <w:t>O</w:t>
            </w:r>
          </w:p>
        </w:tc>
        <w:tc>
          <w:tcPr>
            <w:tcW w:w="758" w:type="dxa"/>
            <w:vMerge w:val="restart"/>
            <w:vAlign w:val="center"/>
          </w:tcPr>
          <w:p>
            <w:pPr>
              <w:pStyle w:val="59"/>
              <w:widowControl w:val="0"/>
              <w:ind w:firstLine="0" w:firstLineChars="0"/>
              <w:jc w:val="center"/>
              <w:rPr>
                <w:rFonts w:ascii="Times New Roman"/>
                <w:sz w:val="18"/>
                <w:szCs w:val="18"/>
              </w:rPr>
            </w:pPr>
            <w:r>
              <w:rPr>
                <w:rFonts w:ascii="Times New Roman"/>
                <w:sz w:val="18"/>
                <w:szCs w:val="18"/>
              </w:rPr>
              <w:t>N</w:t>
            </w:r>
          </w:p>
        </w:tc>
        <w:tc>
          <w:tcPr>
            <w:tcW w:w="757" w:type="dxa"/>
            <w:vMerge w:val="restart"/>
            <w:vAlign w:val="center"/>
          </w:tcPr>
          <w:p>
            <w:pPr>
              <w:pStyle w:val="59"/>
              <w:widowControl w:val="0"/>
              <w:ind w:firstLine="0" w:firstLineChars="0"/>
              <w:jc w:val="center"/>
              <w:rPr>
                <w:rFonts w:ascii="Times New Roman"/>
                <w:sz w:val="18"/>
                <w:szCs w:val="18"/>
              </w:rPr>
            </w:pPr>
            <w:r>
              <w:rPr>
                <w:rFonts w:ascii="Times New Roman"/>
                <w:sz w:val="18"/>
                <w:szCs w:val="18"/>
              </w:rPr>
              <w:t>Ta</w:t>
            </w:r>
          </w:p>
        </w:tc>
        <w:tc>
          <w:tcPr>
            <w:tcW w:w="1516" w:type="dxa"/>
            <w:gridSpan w:val="2"/>
          </w:tcPr>
          <w:p>
            <w:pPr>
              <w:pStyle w:val="59"/>
              <w:widowControl w:val="0"/>
              <w:ind w:firstLine="0" w:firstLineChars="0"/>
              <w:jc w:val="center"/>
              <w:rPr>
                <w:rFonts w:ascii="Times New Roman"/>
                <w:sz w:val="18"/>
                <w:szCs w:val="18"/>
              </w:rPr>
            </w:pPr>
            <w:r>
              <w:rPr>
                <w:rFonts w:ascii="Times New Roman"/>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384" w:type="dxa"/>
            <w:vMerge w:val="continue"/>
            <w:vAlign w:val="center"/>
          </w:tcPr>
          <w:p>
            <w:pPr>
              <w:pStyle w:val="59"/>
              <w:widowControl w:val="0"/>
              <w:ind w:firstLine="0" w:firstLineChars="0"/>
              <w:rPr>
                <w:rFonts w:ascii="Times New Roman"/>
                <w:sz w:val="18"/>
                <w:szCs w:val="18"/>
              </w:rPr>
            </w:pPr>
          </w:p>
        </w:tc>
        <w:tc>
          <w:tcPr>
            <w:tcW w:w="1276" w:type="dxa"/>
            <w:vMerge w:val="continue"/>
            <w:vAlign w:val="center"/>
          </w:tcPr>
          <w:p>
            <w:pPr>
              <w:pStyle w:val="59"/>
              <w:widowControl w:val="0"/>
              <w:ind w:firstLine="0" w:firstLineChars="0"/>
              <w:jc w:val="center"/>
              <w:rPr>
                <w:rFonts w:ascii="Times New Roman"/>
                <w:sz w:val="18"/>
                <w:szCs w:val="18"/>
              </w:rPr>
            </w:pPr>
          </w:p>
        </w:tc>
        <w:tc>
          <w:tcPr>
            <w:tcW w:w="850" w:type="dxa"/>
            <w:vMerge w:val="continue"/>
            <w:vAlign w:val="center"/>
          </w:tcPr>
          <w:p>
            <w:pPr>
              <w:pStyle w:val="59"/>
              <w:widowControl w:val="0"/>
              <w:ind w:firstLine="0" w:firstLineChars="0"/>
              <w:jc w:val="center"/>
              <w:rPr>
                <w:rFonts w:ascii="Times New Roman"/>
                <w:sz w:val="18"/>
                <w:szCs w:val="18"/>
              </w:rPr>
            </w:pPr>
          </w:p>
        </w:tc>
        <w:tc>
          <w:tcPr>
            <w:tcW w:w="757" w:type="dxa"/>
            <w:vMerge w:val="continue"/>
            <w:vAlign w:val="center"/>
          </w:tcPr>
          <w:p>
            <w:pPr>
              <w:pStyle w:val="59"/>
              <w:widowControl w:val="0"/>
              <w:ind w:firstLine="0" w:firstLineChars="0"/>
              <w:jc w:val="center"/>
              <w:rPr>
                <w:rFonts w:ascii="Times New Roman"/>
                <w:sz w:val="18"/>
                <w:szCs w:val="18"/>
              </w:rPr>
            </w:pPr>
          </w:p>
        </w:tc>
        <w:tc>
          <w:tcPr>
            <w:tcW w:w="758" w:type="dxa"/>
            <w:vMerge w:val="continue"/>
            <w:vAlign w:val="center"/>
          </w:tcPr>
          <w:p>
            <w:pPr>
              <w:pStyle w:val="59"/>
              <w:widowControl w:val="0"/>
              <w:ind w:firstLine="0" w:firstLineChars="0"/>
              <w:jc w:val="center"/>
              <w:rPr>
                <w:rFonts w:ascii="Times New Roman"/>
                <w:sz w:val="18"/>
                <w:szCs w:val="18"/>
              </w:rPr>
            </w:pPr>
          </w:p>
        </w:tc>
        <w:tc>
          <w:tcPr>
            <w:tcW w:w="757" w:type="dxa"/>
            <w:vMerge w:val="continue"/>
            <w:vAlign w:val="center"/>
          </w:tcPr>
          <w:p>
            <w:pPr>
              <w:pStyle w:val="59"/>
              <w:widowControl w:val="0"/>
              <w:ind w:firstLine="0" w:firstLineChars="0"/>
              <w:jc w:val="center"/>
              <w:rPr>
                <w:rFonts w:ascii="Times New Roman"/>
                <w:sz w:val="18"/>
                <w:szCs w:val="18"/>
              </w:rPr>
            </w:pPr>
          </w:p>
        </w:tc>
        <w:tc>
          <w:tcPr>
            <w:tcW w:w="758" w:type="dxa"/>
            <w:vMerge w:val="continue"/>
            <w:vAlign w:val="center"/>
          </w:tcPr>
          <w:p>
            <w:pPr>
              <w:pStyle w:val="59"/>
              <w:widowControl w:val="0"/>
              <w:ind w:firstLine="0" w:firstLineChars="0"/>
              <w:jc w:val="center"/>
              <w:rPr>
                <w:rFonts w:ascii="Times New Roman"/>
                <w:sz w:val="18"/>
                <w:szCs w:val="18"/>
              </w:rPr>
            </w:pPr>
          </w:p>
        </w:tc>
        <w:tc>
          <w:tcPr>
            <w:tcW w:w="758" w:type="dxa"/>
            <w:vMerge w:val="continue"/>
            <w:vAlign w:val="center"/>
          </w:tcPr>
          <w:p>
            <w:pPr>
              <w:pStyle w:val="59"/>
              <w:widowControl w:val="0"/>
              <w:ind w:firstLine="0" w:firstLineChars="0"/>
              <w:jc w:val="center"/>
              <w:rPr>
                <w:rFonts w:ascii="Times New Roman"/>
                <w:sz w:val="18"/>
                <w:szCs w:val="18"/>
              </w:rPr>
            </w:pPr>
          </w:p>
        </w:tc>
        <w:tc>
          <w:tcPr>
            <w:tcW w:w="757" w:type="dxa"/>
            <w:vMerge w:val="continue"/>
            <w:vAlign w:val="center"/>
          </w:tcPr>
          <w:p>
            <w:pPr>
              <w:pStyle w:val="59"/>
              <w:widowControl w:val="0"/>
              <w:ind w:firstLine="0" w:firstLineChars="0"/>
              <w:jc w:val="center"/>
              <w:rPr>
                <w:rFonts w:ascii="Times New Roman"/>
                <w:sz w:val="18"/>
                <w:szCs w:val="18"/>
              </w:rPr>
            </w:pPr>
          </w:p>
        </w:tc>
        <w:tc>
          <w:tcPr>
            <w:tcW w:w="758" w:type="dxa"/>
          </w:tcPr>
          <w:p>
            <w:pPr>
              <w:pStyle w:val="59"/>
              <w:widowControl w:val="0"/>
              <w:ind w:firstLine="0" w:firstLineChars="0"/>
              <w:jc w:val="center"/>
              <w:rPr>
                <w:rFonts w:ascii="Times New Roman"/>
                <w:sz w:val="18"/>
                <w:szCs w:val="18"/>
              </w:rPr>
            </w:pPr>
            <w:r>
              <w:rPr>
                <w:rFonts w:ascii="Times New Roman"/>
                <w:sz w:val="18"/>
                <w:szCs w:val="18"/>
              </w:rPr>
              <w:t>单一</w:t>
            </w:r>
          </w:p>
        </w:tc>
        <w:tc>
          <w:tcPr>
            <w:tcW w:w="758" w:type="dxa"/>
          </w:tcPr>
          <w:p>
            <w:pPr>
              <w:pStyle w:val="59"/>
              <w:widowControl w:val="0"/>
              <w:ind w:firstLine="0" w:firstLineChars="0"/>
              <w:jc w:val="center"/>
              <w:rPr>
                <w:rFonts w:ascii="Times New Roman"/>
                <w:sz w:val="18"/>
                <w:szCs w:val="18"/>
              </w:rPr>
            </w:pPr>
            <w:r>
              <w:rPr>
                <w:rFonts w:ascii="Times New Roman"/>
                <w:sz w:val="18"/>
                <w:szCs w:val="18"/>
              </w:rPr>
              <w:t>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pStyle w:val="59"/>
              <w:widowControl w:val="0"/>
              <w:ind w:firstLine="0" w:firstLineChars="0"/>
              <w:jc w:val="center"/>
              <w:rPr>
                <w:rFonts w:ascii="Times New Roman"/>
                <w:sz w:val="18"/>
                <w:szCs w:val="18"/>
              </w:rPr>
            </w:pPr>
            <w:r>
              <w:rPr>
                <w:rFonts w:ascii="Times New Roman"/>
                <w:sz w:val="18"/>
                <w:szCs w:val="18"/>
              </w:rPr>
              <w:t>Nb50Al50</w:t>
            </w:r>
          </w:p>
        </w:tc>
        <w:tc>
          <w:tcPr>
            <w:tcW w:w="1276" w:type="dxa"/>
            <w:vAlign w:val="center"/>
          </w:tcPr>
          <w:p>
            <w:pPr>
              <w:pStyle w:val="59"/>
              <w:widowControl w:val="0"/>
              <w:ind w:firstLine="0" w:firstLineChars="0"/>
              <w:jc w:val="center"/>
              <w:rPr>
                <w:rFonts w:ascii="Times New Roman"/>
                <w:sz w:val="18"/>
                <w:szCs w:val="18"/>
              </w:rPr>
            </w:pPr>
            <w:r>
              <w:rPr>
                <w:rFonts w:ascii="Times New Roman"/>
                <w:sz w:val="18"/>
                <w:szCs w:val="18"/>
              </w:rPr>
              <w:t>48.0~58.0</w:t>
            </w:r>
          </w:p>
        </w:tc>
        <w:tc>
          <w:tcPr>
            <w:tcW w:w="850" w:type="dxa"/>
            <w:vAlign w:val="center"/>
          </w:tcPr>
          <w:p>
            <w:pPr>
              <w:pStyle w:val="59"/>
              <w:widowControl w:val="0"/>
              <w:ind w:firstLine="0" w:firstLineChars="0"/>
              <w:jc w:val="center"/>
              <w:rPr>
                <w:rFonts w:ascii="Times New Roman"/>
                <w:sz w:val="18"/>
                <w:szCs w:val="18"/>
              </w:rPr>
            </w:pPr>
            <w:r>
              <w:rPr>
                <w:rFonts w:ascii="Times New Roman"/>
                <w:sz w:val="18"/>
                <w:szCs w:val="18"/>
              </w:rPr>
              <w:t>余量</w:t>
            </w:r>
          </w:p>
        </w:tc>
        <w:tc>
          <w:tcPr>
            <w:tcW w:w="757" w:type="dxa"/>
          </w:tcPr>
          <w:p>
            <w:pPr>
              <w:pStyle w:val="59"/>
              <w:widowControl w:val="0"/>
              <w:ind w:firstLine="0" w:firstLineChars="0"/>
              <w:jc w:val="center"/>
              <w:rPr>
                <w:rFonts w:ascii="Times New Roman"/>
                <w:sz w:val="18"/>
                <w:szCs w:val="18"/>
              </w:rPr>
            </w:pPr>
            <w:r>
              <w:rPr>
                <w:rFonts w:ascii="Times New Roman"/>
                <w:sz w:val="18"/>
                <w:szCs w:val="18"/>
              </w:rPr>
              <w:t>0.25</w:t>
            </w:r>
          </w:p>
        </w:tc>
        <w:tc>
          <w:tcPr>
            <w:tcW w:w="758" w:type="dxa"/>
          </w:tcPr>
          <w:p>
            <w:pPr>
              <w:pStyle w:val="59"/>
              <w:widowControl w:val="0"/>
              <w:ind w:firstLine="0" w:firstLineChars="0"/>
              <w:jc w:val="center"/>
              <w:rPr>
                <w:rFonts w:ascii="Times New Roman"/>
                <w:sz w:val="18"/>
                <w:szCs w:val="18"/>
              </w:rPr>
            </w:pPr>
            <w:r>
              <w:rPr>
                <w:rFonts w:ascii="Times New Roman"/>
                <w:sz w:val="18"/>
                <w:szCs w:val="18"/>
              </w:rPr>
              <w:t>0.20</w:t>
            </w:r>
          </w:p>
        </w:tc>
        <w:tc>
          <w:tcPr>
            <w:tcW w:w="757" w:type="dxa"/>
            <w:vAlign w:val="center"/>
          </w:tcPr>
          <w:p>
            <w:pPr>
              <w:pStyle w:val="59"/>
              <w:widowControl w:val="0"/>
              <w:ind w:firstLine="0" w:firstLineChars="0"/>
              <w:jc w:val="center"/>
              <w:rPr>
                <w:rFonts w:ascii="Times New Roman"/>
                <w:sz w:val="18"/>
                <w:szCs w:val="18"/>
              </w:rPr>
            </w:pPr>
            <w:r>
              <w:rPr>
                <w:rFonts w:ascii="Times New Roman"/>
                <w:sz w:val="18"/>
                <w:szCs w:val="18"/>
              </w:rPr>
              <w:t>0.10</w:t>
            </w:r>
          </w:p>
        </w:tc>
        <w:tc>
          <w:tcPr>
            <w:tcW w:w="758" w:type="dxa"/>
            <w:vAlign w:val="center"/>
          </w:tcPr>
          <w:p>
            <w:pPr>
              <w:pStyle w:val="59"/>
              <w:widowControl w:val="0"/>
              <w:ind w:firstLine="0" w:firstLineChars="0"/>
              <w:jc w:val="center"/>
              <w:rPr>
                <w:rFonts w:ascii="Times New Roman"/>
                <w:sz w:val="18"/>
                <w:szCs w:val="18"/>
              </w:rPr>
            </w:pPr>
            <w:r>
              <w:rPr>
                <w:rFonts w:ascii="Times New Roman"/>
                <w:sz w:val="18"/>
                <w:szCs w:val="18"/>
              </w:rPr>
              <w:t>0.10</w:t>
            </w:r>
          </w:p>
        </w:tc>
        <w:tc>
          <w:tcPr>
            <w:tcW w:w="758" w:type="dxa"/>
            <w:vAlign w:val="center"/>
          </w:tcPr>
          <w:p>
            <w:pPr>
              <w:pStyle w:val="59"/>
              <w:widowControl w:val="0"/>
              <w:ind w:firstLine="0" w:firstLineChars="0"/>
              <w:jc w:val="center"/>
              <w:rPr>
                <w:rFonts w:ascii="Times New Roman"/>
                <w:sz w:val="18"/>
                <w:szCs w:val="18"/>
              </w:rPr>
            </w:pPr>
            <w:r>
              <w:rPr>
                <w:rFonts w:ascii="Times New Roman"/>
                <w:sz w:val="18"/>
                <w:szCs w:val="18"/>
              </w:rPr>
              <w:t>0.05</w:t>
            </w:r>
          </w:p>
        </w:tc>
        <w:tc>
          <w:tcPr>
            <w:tcW w:w="757" w:type="dxa"/>
            <w:vAlign w:val="center"/>
          </w:tcPr>
          <w:p>
            <w:pPr>
              <w:pStyle w:val="59"/>
              <w:widowControl w:val="0"/>
              <w:ind w:firstLine="0" w:firstLineChars="0"/>
              <w:jc w:val="center"/>
              <w:rPr>
                <w:rFonts w:ascii="Times New Roman"/>
                <w:sz w:val="18"/>
                <w:szCs w:val="18"/>
              </w:rPr>
            </w:pPr>
            <w:r>
              <w:rPr>
                <w:rFonts w:ascii="Times New Roman"/>
                <w:sz w:val="18"/>
                <w:szCs w:val="18"/>
              </w:rPr>
              <w:t>0.30</w:t>
            </w:r>
          </w:p>
        </w:tc>
        <w:tc>
          <w:tcPr>
            <w:tcW w:w="758" w:type="dxa"/>
          </w:tcPr>
          <w:p>
            <w:pPr>
              <w:pStyle w:val="59"/>
              <w:widowControl w:val="0"/>
              <w:ind w:firstLine="0" w:firstLineChars="0"/>
              <w:jc w:val="center"/>
              <w:rPr>
                <w:rFonts w:ascii="Times New Roman"/>
                <w:sz w:val="18"/>
                <w:szCs w:val="18"/>
              </w:rPr>
            </w:pPr>
            <w:r>
              <w:rPr>
                <w:rFonts w:ascii="Times New Roman"/>
                <w:sz w:val="18"/>
                <w:szCs w:val="18"/>
              </w:rPr>
              <w:t>0.10</w:t>
            </w:r>
          </w:p>
        </w:tc>
        <w:tc>
          <w:tcPr>
            <w:tcW w:w="758" w:type="dxa"/>
          </w:tcPr>
          <w:p>
            <w:pPr>
              <w:pStyle w:val="59"/>
              <w:widowControl w:val="0"/>
              <w:ind w:firstLine="0" w:firstLineChars="0"/>
              <w:jc w:val="center"/>
              <w:rPr>
                <w:rFonts w:ascii="Times New Roman"/>
                <w:sz w:val="18"/>
                <w:szCs w:val="18"/>
              </w:rPr>
            </w:pPr>
            <w:r>
              <w:rPr>
                <w:rFonts w:ascii="Times New Roman"/>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pStyle w:val="59"/>
              <w:widowControl w:val="0"/>
              <w:ind w:firstLine="0" w:firstLineChars="0"/>
              <w:jc w:val="center"/>
              <w:rPr>
                <w:rFonts w:ascii="Times New Roman"/>
                <w:sz w:val="18"/>
                <w:szCs w:val="18"/>
              </w:rPr>
            </w:pPr>
            <w:r>
              <w:rPr>
                <w:rFonts w:ascii="Times New Roman"/>
                <w:sz w:val="18"/>
                <w:szCs w:val="18"/>
              </w:rPr>
              <w:t>Nb60Al40</w:t>
            </w:r>
          </w:p>
        </w:tc>
        <w:tc>
          <w:tcPr>
            <w:tcW w:w="1276" w:type="dxa"/>
            <w:vAlign w:val="center"/>
          </w:tcPr>
          <w:p>
            <w:pPr>
              <w:pStyle w:val="59"/>
              <w:widowControl w:val="0"/>
              <w:ind w:firstLine="0" w:firstLineChars="0"/>
              <w:jc w:val="center"/>
              <w:rPr>
                <w:rFonts w:ascii="Times New Roman"/>
                <w:sz w:val="18"/>
                <w:szCs w:val="18"/>
              </w:rPr>
            </w:pPr>
            <w:r>
              <w:rPr>
                <w:rFonts w:ascii="Times New Roman"/>
                <w:sz w:val="18"/>
                <w:szCs w:val="18"/>
              </w:rPr>
              <w:t>58.0~68.0</w:t>
            </w:r>
          </w:p>
        </w:tc>
        <w:tc>
          <w:tcPr>
            <w:tcW w:w="850" w:type="dxa"/>
            <w:vAlign w:val="center"/>
          </w:tcPr>
          <w:p>
            <w:pPr>
              <w:pStyle w:val="59"/>
              <w:widowControl w:val="0"/>
              <w:ind w:firstLine="0" w:firstLineChars="0"/>
              <w:jc w:val="center"/>
              <w:rPr>
                <w:rFonts w:ascii="Times New Roman"/>
                <w:sz w:val="18"/>
                <w:szCs w:val="18"/>
              </w:rPr>
            </w:pPr>
            <w:r>
              <w:rPr>
                <w:rFonts w:ascii="Times New Roman"/>
                <w:sz w:val="18"/>
                <w:szCs w:val="18"/>
              </w:rPr>
              <w:t>余量</w:t>
            </w:r>
          </w:p>
        </w:tc>
        <w:tc>
          <w:tcPr>
            <w:tcW w:w="757" w:type="dxa"/>
          </w:tcPr>
          <w:p>
            <w:pPr>
              <w:pStyle w:val="59"/>
              <w:widowControl w:val="0"/>
              <w:ind w:firstLine="0" w:firstLineChars="0"/>
              <w:jc w:val="center"/>
              <w:rPr>
                <w:rFonts w:ascii="Times New Roman"/>
                <w:sz w:val="18"/>
                <w:szCs w:val="18"/>
              </w:rPr>
            </w:pPr>
            <w:r>
              <w:rPr>
                <w:rFonts w:ascii="Times New Roman"/>
                <w:sz w:val="18"/>
                <w:szCs w:val="18"/>
              </w:rPr>
              <w:t>0.25</w:t>
            </w:r>
          </w:p>
        </w:tc>
        <w:tc>
          <w:tcPr>
            <w:tcW w:w="758" w:type="dxa"/>
          </w:tcPr>
          <w:p>
            <w:pPr>
              <w:pStyle w:val="59"/>
              <w:widowControl w:val="0"/>
              <w:ind w:firstLine="0" w:firstLineChars="0"/>
              <w:jc w:val="center"/>
              <w:rPr>
                <w:rFonts w:ascii="Times New Roman"/>
                <w:sz w:val="18"/>
                <w:szCs w:val="18"/>
              </w:rPr>
            </w:pPr>
            <w:r>
              <w:rPr>
                <w:rFonts w:ascii="Times New Roman"/>
                <w:sz w:val="18"/>
                <w:szCs w:val="18"/>
              </w:rPr>
              <w:t>0.20</w:t>
            </w:r>
          </w:p>
        </w:tc>
        <w:tc>
          <w:tcPr>
            <w:tcW w:w="757" w:type="dxa"/>
            <w:vAlign w:val="center"/>
          </w:tcPr>
          <w:p>
            <w:pPr>
              <w:pStyle w:val="59"/>
              <w:widowControl w:val="0"/>
              <w:ind w:firstLine="0" w:firstLineChars="0"/>
              <w:jc w:val="center"/>
              <w:rPr>
                <w:rFonts w:ascii="Times New Roman"/>
                <w:sz w:val="18"/>
                <w:szCs w:val="18"/>
              </w:rPr>
            </w:pPr>
            <w:r>
              <w:rPr>
                <w:rFonts w:ascii="Times New Roman"/>
                <w:sz w:val="18"/>
                <w:szCs w:val="18"/>
              </w:rPr>
              <w:t>0.10</w:t>
            </w:r>
          </w:p>
        </w:tc>
        <w:tc>
          <w:tcPr>
            <w:tcW w:w="758" w:type="dxa"/>
            <w:vAlign w:val="center"/>
          </w:tcPr>
          <w:p>
            <w:pPr>
              <w:pStyle w:val="59"/>
              <w:widowControl w:val="0"/>
              <w:ind w:firstLine="0" w:firstLineChars="0"/>
              <w:jc w:val="center"/>
              <w:rPr>
                <w:rFonts w:ascii="Times New Roman"/>
                <w:sz w:val="18"/>
                <w:szCs w:val="18"/>
              </w:rPr>
            </w:pPr>
            <w:r>
              <w:rPr>
                <w:rFonts w:ascii="Times New Roman"/>
                <w:sz w:val="18"/>
                <w:szCs w:val="18"/>
              </w:rPr>
              <w:t>0.10</w:t>
            </w:r>
          </w:p>
        </w:tc>
        <w:tc>
          <w:tcPr>
            <w:tcW w:w="758" w:type="dxa"/>
            <w:vAlign w:val="center"/>
          </w:tcPr>
          <w:p>
            <w:pPr>
              <w:pStyle w:val="59"/>
              <w:widowControl w:val="0"/>
              <w:ind w:firstLine="0" w:firstLineChars="0"/>
              <w:jc w:val="center"/>
              <w:rPr>
                <w:rFonts w:ascii="Times New Roman"/>
                <w:sz w:val="18"/>
                <w:szCs w:val="18"/>
              </w:rPr>
            </w:pPr>
            <w:r>
              <w:rPr>
                <w:rFonts w:ascii="Times New Roman"/>
                <w:sz w:val="18"/>
                <w:szCs w:val="18"/>
              </w:rPr>
              <w:t>0.05</w:t>
            </w:r>
          </w:p>
        </w:tc>
        <w:tc>
          <w:tcPr>
            <w:tcW w:w="757" w:type="dxa"/>
            <w:vAlign w:val="center"/>
          </w:tcPr>
          <w:p>
            <w:pPr>
              <w:pStyle w:val="59"/>
              <w:widowControl w:val="0"/>
              <w:ind w:firstLine="0" w:firstLineChars="0"/>
              <w:jc w:val="center"/>
              <w:rPr>
                <w:rFonts w:ascii="Times New Roman"/>
                <w:sz w:val="18"/>
                <w:szCs w:val="18"/>
              </w:rPr>
            </w:pPr>
            <w:r>
              <w:rPr>
                <w:rFonts w:ascii="Times New Roman"/>
                <w:sz w:val="18"/>
                <w:szCs w:val="18"/>
              </w:rPr>
              <w:t>0.30</w:t>
            </w:r>
          </w:p>
        </w:tc>
        <w:tc>
          <w:tcPr>
            <w:tcW w:w="758" w:type="dxa"/>
          </w:tcPr>
          <w:p>
            <w:pPr>
              <w:pStyle w:val="59"/>
              <w:widowControl w:val="0"/>
              <w:ind w:firstLine="0" w:firstLineChars="0"/>
              <w:jc w:val="center"/>
              <w:rPr>
                <w:rFonts w:ascii="Times New Roman"/>
                <w:sz w:val="18"/>
                <w:szCs w:val="18"/>
              </w:rPr>
            </w:pPr>
            <w:r>
              <w:rPr>
                <w:rFonts w:ascii="Times New Roman"/>
                <w:sz w:val="18"/>
                <w:szCs w:val="18"/>
              </w:rPr>
              <w:t>0.10</w:t>
            </w:r>
          </w:p>
        </w:tc>
        <w:tc>
          <w:tcPr>
            <w:tcW w:w="758" w:type="dxa"/>
          </w:tcPr>
          <w:p>
            <w:pPr>
              <w:pStyle w:val="59"/>
              <w:widowControl w:val="0"/>
              <w:ind w:firstLine="0" w:firstLineChars="0"/>
              <w:jc w:val="center"/>
              <w:rPr>
                <w:rFonts w:ascii="Times New Roman"/>
                <w:sz w:val="18"/>
                <w:szCs w:val="18"/>
              </w:rPr>
            </w:pPr>
            <w:r>
              <w:rPr>
                <w:rFonts w:ascii="Times New Roman"/>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pStyle w:val="59"/>
              <w:widowControl w:val="0"/>
              <w:ind w:firstLine="0" w:firstLineChars="0"/>
              <w:jc w:val="center"/>
              <w:rPr>
                <w:rFonts w:ascii="Times New Roman"/>
                <w:sz w:val="18"/>
                <w:szCs w:val="18"/>
              </w:rPr>
            </w:pPr>
            <w:r>
              <w:rPr>
                <w:rFonts w:ascii="Times New Roman"/>
                <w:sz w:val="18"/>
                <w:szCs w:val="18"/>
              </w:rPr>
              <w:t>Nb70Al30</w:t>
            </w:r>
          </w:p>
        </w:tc>
        <w:tc>
          <w:tcPr>
            <w:tcW w:w="1276" w:type="dxa"/>
            <w:vAlign w:val="center"/>
          </w:tcPr>
          <w:p>
            <w:pPr>
              <w:pStyle w:val="59"/>
              <w:widowControl w:val="0"/>
              <w:ind w:firstLine="0" w:firstLineChars="0"/>
              <w:jc w:val="center"/>
              <w:rPr>
                <w:rFonts w:ascii="Times New Roman"/>
                <w:sz w:val="18"/>
                <w:szCs w:val="18"/>
              </w:rPr>
            </w:pPr>
            <w:r>
              <w:rPr>
                <w:rFonts w:ascii="Times New Roman"/>
                <w:sz w:val="18"/>
                <w:szCs w:val="18"/>
              </w:rPr>
              <w:t>68.0~78.0</w:t>
            </w:r>
          </w:p>
        </w:tc>
        <w:tc>
          <w:tcPr>
            <w:tcW w:w="850" w:type="dxa"/>
            <w:vAlign w:val="center"/>
          </w:tcPr>
          <w:p>
            <w:pPr>
              <w:pStyle w:val="59"/>
              <w:widowControl w:val="0"/>
              <w:ind w:firstLine="0" w:firstLineChars="0"/>
              <w:jc w:val="center"/>
              <w:rPr>
                <w:rFonts w:ascii="Times New Roman"/>
                <w:sz w:val="18"/>
                <w:szCs w:val="18"/>
              </w:rPr>
            </w:pPr>
            <w:r>
              <w:rPr>
                <w:rFonts w:ascii="Times New Roman"/>
                <w:sz w:val="18"/>
                <w:szCs w:val="18"/>
              </w:rPr>
              <w:t>余量</w:t>
            </w:r>
          </w:p>
        </w:tc>
        <w:tc>
          <w:tcPr>
            <w:tcW w:w="757" w:type="dxa"/>
          </w:tcPr>
          <w:p>
            <w:pPr>
              <w:pStyle w:val="59"/>
              <w:widowControl w:val="0"/>
              <w:ind w:firstLine="0" w:firstLineChars="0"/>
              <w:jc w:val="center"/>
              <w:rPr>
                <w:rFonts w:ascii="Times New Roman"/>
                <w:sz w:val="18"/>
                <w:szCs w:val="18"/>
              </w:rPr>
            </w:pPr>
            <w:r>
              <w:rPr>
                <w:rFonts w:ascii="Times New Roman"/>
                <w:sz w:val="18"/>
                <w:szCs w:val="18"/>
              </w:rPr>
              <w:t>0.25</w:t>
            </w:r>
          </w:p>
        </w:tc>
        <w:tc>
          <w:tcPr>
            <w:tcW w:w="758" w:type="dxa"/>
          </w:tcPr>
          <w:p>
            <w:pPr>
              <w:pStyle w:val="59"/>
              <w:widowControl w:val="0"/>
              <w:ind w:firstLine="0" w:firstLineChars="0"/>
              <w:jc w:val="center"/>
              <w:rPr>
                <w:rFonts w:ascii="Times New Roman"/>
                <w:sz w:val="18"/>
                <w:szCs w:val="18"/>
              </w:rPr>
            </w:pPr>
            <w:r>
              <w:rPr>
                <w:rFonts w:ascii="Times New Roman"/>
                <w:sz w:val="18"/>
                <w:szCs w:val="18"/>
              </w:rPr>
              <w:t>0.20</w:t>
            </w:r>
          </w:p>
        </w:tc>
        <w:tc>
          <w:tcPr>
            <w:tcW w:w="757" w:type="dxa"/>
            <w:vAlign w:val="center"/>
          </w:tcPr>
          <w:p>
            <w:pPr>
              <w:pStyle w:val="59"/>
              <w:widowControl w:val="0"/>
              <w:ind w:firstLine="0" w:firstLineChars="0"/>
              <w:jc w:val="center"/>
              <w:rPr>
                <w:rFonts w:ascii="Times New Roman"/>
                <w:sz w:val="18"/>
                <w:szCs w:val="18"/>
              </w:rPr>
            </w:pPr>
            <w:r>
              <w:rPr>
                <w:rFonts w:ascii="Times New Roman"/>
                <w:sz w:val="18"/>
                <w:szCs w:val="18"/>
              </w:rPr>
              <w:t>0.10</w:t>
            </w:r>
          </w:p>
        </w:tc>
        <w:tc>
          <w:tcPr>
            <w:tcW w:w="758" w:type="dxa"/>
            <w:vAlign w:val="center"/>
          </w:tcPr>
          <w:p>
            <w:pPr>
              <w:pStyle w:val="59"/>
              <w:widowControl w:val="0"/>
              <w:ind w:firstLine="0" w:firstLineChars="0"/>
              <w:jc w:val="center"/>
              <w:rPr>
                <w:rFonts w:ascii="Times New Roman"/>
                <w:sz w:val="18"/>
                <w:szCs w:val="18"/>
              </w:rPr>
            </w:pPr>
            <w:r>
              <w:rPr>
                <w:rFonts w:ascii="Times New Roman"/>
                <w:sz w:val="18"/>
                <w:szCs w:val="18"/>
              </w:rPr>
              <w:t>0.10</w:t>
            </w:r>
          </w:p>
        </w:tc>
        <w:tc>
          <w:tcPr>
            <w:tcW w:w="758" w:type="dxa"/>
            <w:vAlign w:val="center"/>
          </w:tcPr>
          <w:p>
            <w:pPr>
              <w:pStyle w:val="59"/>
              <w:widowControl w:val="0"/>
              <w:ind w:firstLine="0" w:firstLineChars="0"/>
              <w:jc w:val="center"/>
              <w:rPr>
                <w:rFonts w:ascii="Times New Roman"/>
                <w:sz w:val="18"/>
                <w:szCs w:val="18"/>
              </w:rPr>
            </w:pPr>
            <w:r>
              <w:rPr>
                <w:rFonts w:ascii="Times New Roman"/>
                <w:sz w:val="18"/>
                <w:szCs w:val="18"/>
              </w:rPr>
              <w:t>0.05</w:t>
            </w:r>
          </w:p>
        </w:tc>
        <w:tc>
          <w:tcPr>
            <w:tcW w:w="757" w:type="dxa"/>
            <w:vAlign w:val="center"/>
          </w:tcPr>
          <w:p>
            <w:pPr>
              <w:pStyle w:val="59"/>
              <w:widowControl w:val="0"/>
              <w:ind w:firstLine="0" w:firstLineChars="0"/>
              <w:jc w:val="center"/>
              <w:rPr>
                <w:rFonts w:ascii="Times New Roman"/>
                <w:sz w:val="18"/>
                <w:szCs w:val="18"/>
              </w:rPr>
            </w:pPr>
            <w:r>
              <w:rPr>
                <w:rFonts w:ascii="Times New Roman"/>
                <w:sz w:val="18"/>
                <w:szCs w:val="18"/>
              </w:rPr>
              <w:t>0.30</w:t>
            </w:r>
          </w:p>
        </w:tc>
        <w:tc>
          <w:tcPr>
            <w:tcW w:w="758" w:type="dxa"/>
          </w:tcPr>
          <w:p>
            <w:pPr>
              <w:pStyle w:val="59"/>
              <w:widowControl w:val="0"/>
              <w:ind w:firstLine="0" w:firstLineChars="0"/>
              <w:jc w:val="center"/>
              <w:rPr>
                <w:rFonts w:ascii="Times New Roman"/>
                <w:sz w:val="18"/>
                <w:szCs w:val="18"/>
              </w:rPr>
            </w:pPr>
            <w:r>
              <w:rPr>
                <w:rFonts w:ascii="Times New Roman"/>
                <w:sz w:val="18"/>
                <w:szCs w:val="18"/>
              </w:rPr>
              <w:t>0.10</w:t>
            </w:r>
          </w:p>
        </w:tc>
        <w:tc>
          <w:tcPr>
            <w:tcW w:w="758" w:type="dxa"/>
          </w:tcPr>
          <w:p>
            <w:pPr>
              <w:pStyle w:val="59"/>
              <w:widowControl w:val="0"/>
              <w:ind w:firstLine="0" w:firstLineChars="0"/>
              <w:jc w:val="center"/>
              <w:rPr>
                <w:rFonts w:ascii="Times New Roman"/>
                <w:sz w:val="18"/>
                <w:szCs w:val="18"/>
              </w:rPr>
            </w:pPr>
            <w:r>
              <w:rPr>
                <w:rFonts w:ascii="Times New Roman"/>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11"/>
            <w:vAlign w:val="center"/>
          </w:tcPr>
          <w:p>
            <w:pPr>
              <w:pStyle w:val="59"/>
              <w:widowControl w:val="0"/>
              <w:ind w:firstLine="0" w:firstLineChars="0"/>
              <w:rPr>
                <w:rFonts w:ascii="Times New Roman"/>
                <w:sz w:val="18"/>
                <w:szCs w:val="18"/>
              </w:rPr>
            </w:pPr>
            <w:r>
              <w:rPr>
                <w:rFonts w:ascii="Times New Roman"/>
                <w:sz w:val="18"/>
                <w:szCs w:val="18"/>
              </w:rPr>
              <w:t>*注：其他杂质指B、Cr、Cu、Mo、Mn、V、Ni、W元素</w:t>
            </w:r>
          </w:p>
        </w:tc>
      </w:tr>
    </w:tbl>
    <w:p>
      <w:pPr>
        <w:pStyle w:val="61"/>
        <w:numPr>
          <w:ilvl w:val="0"/>
          <w:numId w:val="0"/>
        </w:numPr>
        <w:spacing w:before="156" w:beforeLines="50" w:after="156" w:afterLines="50"/>
        <w:rPr>
          <w:rFonts w:hint="eastAsia" w:ascii="Times New Roman"/>
        </w:rPr>
      </w:pPr>
    </w:p>
    <w:p>
      <w:pPr>
        <w:pStyle w:val="61"/>
        <w:spacing w:before="156" w:beforeLines="50" w:after="156" w:afterLines="50"/>
        <w:ind w:left="0"/>
        <w:rPr>
          <w:rFonts w:ascii="Times New Roman"/>
        </w:rPr>
      </w:pPr>
      <w:r>
        <w:rPr>
          <w:rFonts w:ascii="Times New Roman"/>
        </w:rPr>
        <w:t>粒度及允许偏差</w:t>
      </w:r>
    </w:p>
    <w:p>
      <w:pPr>
        <w:pStyle w:val="62"/>
        <w:spacing w:line="300" w:lineRule="auto"/>
        <w:rPr>
          <w:rFonts w:ascii="Times New Roman" w:eastAsiaTheme="minorEastAsia"/>
        </w:rPr>
      </w:pPr>
      <w:r>
        <w:rPr>
          <w:rFonts w:ascii="Times New Roman" w:eastAsiaTheme="minorEastAsia"/>
        </w:rPr>
        <w:t>产品为颗粒状和粉状的混合物，粒度不大于3mm。允许有少量超出粒度范围的产品，但其数量应不超过交付批重的4%。最大粒度不大于5mm。</w:t>
      </w:r>
    </w:p>
    <w:p>
      <w:pPr>
        <w:pStyle w:val="62"/>
        <w:spacing w:line="300" w:lineRule="auto"/>
        <w:rPr>
          <w:rFonts w:ascii="Times New Roman" w:eastAsia="宋体"/>
        </w:rPr>
      </w:pPr>
      <w:r>
        <w:rPr>
          <w:rFonts w:ascii="Times New Roman" w:eastAsia="宋体"/>
        </w:rPr>
        <w:t>需方如对产品的粒度有特殊要求时，可由供需双方商定。</w:t>
      </w:r>
    </w:p>
    <w:p>
      <w:pPr>
        <w:pStyle w:val="61"/>
        <w:spacing w:before="156" w:beforeLines="50" w:after="156" w:afterLines="50"/>
        <w:ind w:left="0"/>
        <w:rPr>
          <w:rFonts w:ascii="Times New Roman"/>
        </w:rPr>
      </w:pPr>
      <w:r>
        <w:rPr>
          <w:rFonts w:ascii="Times New Roman"/>
        </w:rPr>
        <w:t>外观质量</w:t>
      </w:r>
    </w:p>
    <w:p>
      <w:pPr>
        <w:pStyle w:val="61"/>
        <w:numPr>
          <w:ilvl w:val="0"/>
          <w:numId w:val="0"/>
        </w:numPr>
        <w:ind w:firstLine="420" w:firstLineChars="200"/>
        <w:rPr>
          <w:rFonts w:ascii="Times New Roman" w:eastAsia="宋体"/>
        </w:rPr>
      </w:pPr>
      <w:r>
        <w:rPr>
          <w:rFonts w:ascii="Times New Roman" w:eastAsia="宋体"/>
        </w:rPr>
        <w:t>产品表面应洁净，不允许有目视可见的氧化变色、夹杂物和其他外来物。</w:t>
      </w:r>
    </w:p>
    <w:p>
      <w:pPr>
        <w:pStyle w:val="60"/>
        <w:spacing w:before="156" w:after="156"/>
        <w:ind w:left="0"/>
        <w:rPr>
          <w:rFonts w:ascii="Times New Roman"/>
        </w:rPr>
      </w:pPr>
      <w:r>
        <w:rPr>
          <w:rFonts w:ascii="Times New Roman"/>
        </w:rPr>
        <w:t>试验方法</w:t>
      </w:r>
    </w:p>
    <w:p>
      <w:pPr>
        <w:pStyle w:val="61"/>
        <w:spacing w:line="300" w:lineRule="auto"/>
        <w:ind w:left="0"/>
        <w:rPr>
          <w:rFonts w:ascii="Times New Roman" w:eastAsia="宋体"/>
        </w:rPr>
      </w:pPr>
      <w:r>
        <w:rPr>
          <w:rFonts w:ascii="Times New Roman" w:eastAsia="宋体"/>
        </w:rPr>
        <w:t>产品的化学成分分析推荐使用</w:t>
      </w:r>
      <w:r>
        <w:rPr>
          <w:rFonts w:ascii="Times New Roman" w:eastAsiaTheme="minorEastAsia"/>
        </w:rPr>
        <w:t>GB/T 20975.37</w:t>
      </w:r>
      <w:r>
        <w:rPr>
          <w:rFonts w:hint="eastAsia" w:ascii="Times New Roman" w:eastAsiaTheme="minorEastAsia"/>
        </w:rPr>
        <w:t>《</w:t>
      </w:r>
      <w:r>
        <w:rPr>
          <w:rFonts w:ascii="Times New Roman" w:eastAsiaTheme="minorEastAsia"/>
        </w:rPr>
        <w:t>铝及铝合金化学分析方法 第37部分：铌含量的测定</w:t>
      </w:r>
      <w:r>
        <w:rPr>
          <w:rFonts w:hint="eastAsia" w:ascii="Times New Roman" w:eastAsiaTheme="minorEastAsia"/>
        </w:rPr>
        <w:t>》中规定</w:t>
      </w:r>
      <w:r>
        <w:rPr>
          <w:rFonts w:ascii="Times New Roman" w:eastAsiaTheme="minorEastAsia"/>
        </w:rPr>
        <w:t>的纸上</w:t>
      </w:r>
      <w:r>
        <w:rPr>
          <w:rFonts w:hint="eastAsia" w:ascii="Times New Roman" w:eastAsiaTheme="minorEastAsia"/>
        </w:rPr>
        <w:t>色层分离</w:t>
      </w:r>
      <w:r>
        <w:rPr>
          <w:rFonts w:ascii="Times New Roman" w:eastAsiaTheme="minorEastAsia"/>
        </w:rPr>
        <w:t>重量法</w:t>
      </w:r>
      <w:r>
        <w:rPr>
          <w:rFonts w:ascii="Times New Roman" w:eastAsia="宋体"/>
        </w:rPr>
        <w:t>进行，仲裁时，按供需双方商定方法进行。</w:t>
      </w:r>
    </w:p>
    <w:p>
      <w:pPr>
        <w:pStyle w:val="61"/>
        <w:spacing w:line="300" w:lineRule="auto"/>
        <w:ind w:left="0"/>
        <w:rPr>
          <w:rFonts w:ascii="Times New Roman" w:eastAsia="宋体"/>
        </w:rPr>
      </w:pPr>
      <w:r>
        <w:rPr>
          <w:rFonts w:ascii="Times New Roman" w:eastAsia="宋体"/>
        </w:rPr>
        <w:t>产品的粒度采用过筛法进行</w:t>
      </w:r>
      <w:r>
        <w:rPr>
          <w:rFonts w:hint="eastAsia" w:ascii="Times New Roman" w:eastAsia="宋体"/>
        </w:rPr>
        <w:t>，</w:t>
      </w:r>
      <w:r>
        <w:rPr>
          <w:rFonts w:ascii="Times New Roman" w:eastAsia="宋体"/>
        </w:rPr>
        <w:t>筛网使用</w:t>
      </w:r>
      <w:r>
        <w:rPr>
          <w:rFonts w:hint="eastAsia" w:ascii="Times New Roman" w:eastAsia="宋体"/>
        </w:rPr>
        <w:t>校准过</w:t>
      </w:r>
      <w:r>
        <w:rPr>
          <w:rFonts w:ascii="Times New Roman" w:eastAsia="宋体"/>
        </w:rPr>
        <w:t>的方孔</w:t>
      </w:r>
      <w:r>
        <w:rPr>
          <w:rFonts w:hint="eastAsia" w:ascii="Times New Roman" w:eastAsia="宋体"/>
        </w:rPr>
        <w:t>编织</w:t>
      </w:r>
      <w:r>
        <w:rPr>
          <w:rFonts w:ascii="Times New Roman" w:eastAsia="宋体"/>
        </w:rPr>
        <w:t>筛网。</w:t>
      </w:r>
      <w:r>
        <w:rPr>
          <w:rFonts w:hint="eastAsia" w:ascii="Times New Roman" w:eastAsia="宋体"/>
        </w:rPr>
        <w:t>具体筛分方法</w:t>
      </w:r>
      <w:r>
        <w:rPr>
          <w:rFonts w:ascii="Times New Roman" w:eastAsia="宋体"/>
        </w:rPr>
        <w:t>可参考</w:t>
      </w:r>
      <w:r>
        <w:rPr>
          <w:rFonts w:hint="eastAsia" w:ascii="Times New Roman" w:eastAsia="宋体"/>
        </w:rPr>
        <w:t>GB/T 1480《金属粉末 干</w:t>
      </w:r>
      <w:r>
        <w:rPr>
          <w:rFonts w:ascii="Times New Roman" w:eastAsia="宋体"/>
        </w:rPr>
        <w:t>筛分法测定粒度</w:t>
      </w:r>
      <w:r>
        <w:rPr>
          <w:rFonts w:hint="eastAsia" w:ascii="Times New Roman" w:eastAsia="宋体"/>
        </w:rPr>
        <w:t>》</w:t>
      </w:r>
    </w:p>
    <w:p>
      <w:pPr>
        <w:pStyle w:val="61"/>
        <w:spacing w:line="300" w:lineRule="auto"/>
        <w:ind w:left="0"/>
        <w:rPr>
          <w:rFonts w:ascii="Times New Roman" w:eastAsia="宋体"/>
        </w:rPr>
      </w:pPr>
      <w:r>
        <w:rPr>
          <w:rFonts w:ascii="Times New Roman" w:eastAsia="宋体"/>
        </w:rPr>
        <w:t>产品的外观质量采用目视或相应精度仪器设备进行检查。</w:t>
      </w:r>
    </w:p>
    <w:p>
      <w:pPr>
        <w:pStyle w:val="60"/>
        <w:spacing w:before="156" w:after="156"/>
        <w:ind w:left="0"/>
        <w:rPr>
          <w:rFonts w:ascii="Times New Roman"/>
        </w:rPr>
      </w:pPr>
      <w:r>
        <w:rPr>
          <w:rFonts w:ascii="Times New Roman"/>
        </w:rPr>
        <w:t>检验规则</w:t>
      </w:r>
    </w:p>
    <w:p>
      <w:pPr>
        <w:pStyle w:val="61"/>
        <w:spacing w:before="156" w:beforeLines="50" w:after="156" w:afterLines="50"/>
        <w:ind w:left="0"/>
        <w:rPr>
          <w:rFonts w:ascii="Times New Roman"/>
        </w:rPr>
      </w:pPr>
      <w:r>
        <w:rPr>
          <w:rFonts w:ascii="Times New Roman"/>
        </w:rPr>
        <w:t>检查和验收</w:t>
      </w:r>
    </w:p>
    <w:p>
      <w:pPr>
        <w:pStyle w:val="62"/>
        <w:spacing w:line="300" w:lineRule="auto"/>
        <w:rPr>
          <w:rFonts w:ascii="Times New Roman" w:eastAsia="宋体"/>
        </w:rPr>
      </w:pPr>
      <w:r>
        <w:rPr>
          <w:rFonts w:ascii="Times New Roman" w:eastAsia="宋体"/>
        </w:rPr>
        <w:t>产品由供方或第三方进行检验，保证产品质量符合本文件及订货单的规定。</w:t>
      </w:r>
    </w:p>
    <w:p>
      <w:pPr>
        <w:pStyle w:val="62"/>
        <w:spacing w:line="300" w:lineRule="auto"/>
        <w:rPr>
          <w:rFonts w:ascii="Times New Roman" w:eastAsia="宋体"/>
        </w:rPr>
      </w:pPr>
      <w:r>
        <w:rPr>
          <w:rFonts w:ascii="Times New Roman" w:eastAsia="宋体"/>
        </w:rPr>
        <w:t>需方可对收到的产品按本文件的规定进行检验，如检验结果与本文件或订货单的规定不符时，应以书面形式在收到产品之日起30日内向供方提出，由供需双方协商解决。如需仲裁，应由供需双方在需方共同取样或协商确定。</w:t>
      </w:r>
    </w:p>
    <w:p>
      <w:pPr>
        <w:pStyle w:val="61"/>
        <w:spacing w:before="156" w:beforeLines="50" w:after="156" w:afterLines="50"/>
        <w:ind w:left="0"/>
        <w:rPr>
          <w:rFonts w:ascii="Times New Roman"/>
        </w:rPr>
      </w:pPr>
      <w:r>
        <w:rPr>
          <w:rFonts w:ascii="Times New Roman"/>
        </w:rPr>
        <w:t>组批</w:t>
      </w:r>
    </w:p>
    <w:p>
      <w:pPr>
        <w:pStyle w:val="18"/>
        <w:spacing w:line="300" w:lineRule="auto"/>
        <w:rPr>
          <w:szCs w:val="21"/>
        </w:rPr>
      </w:pPr>
      <w:r>
        <w:t>产品应成批提交验收，每批应由同一生产工艺连续生产、经同一批次连续混合的，同一牌号的产品组成，单批次重量应不大于</w:t>
      </w:r>
      <w:r>
        <w:rPr>
          <w:color w:val="000000" w:themeColor="text1"/>
        </w:rPr>
        <w:t>1000kg</w:t>
      </w:r>
      <w:r>
        <w:t>。用户要求并在合同（或订货单）中注明时，可提供其他单批次重量的产品。</w:t>
      </w:r>
    </w:p>
    <w:p>
      <w:pPr>
        <w:pStyle w:val="61"/>
        <w:spacing w:before="156" w:beforeLines="50" w:after="156" w:afterLines="50"/>
        <w:ind w:left="0"/>
        <w:rPr>
          <w:rFonts w:ascii="Times New Roman"/>
        </w:rPr>
      </w:pPr>
      <w:r>
        <w:rPr>
          <w:rFonts w:ascii="Times New Roman"/>
        </w:rPr>
        <w:t>检验项目</w:t>
      </w:r>
    </w:p>
    <w:p>
      <w:pPr>
        <w:pStyle w:val="18"/>
        <w:spacing w:line="300" w:lineRule="auto"/>
        <w:rPr>
          <w:rFonts w:eastAsiaTheme="minorEastAsia"/>
        </w:rPr>
      </w:pPr>
      <w:r>
        <w:rPr>
          <w:szCs w:val="21"/>
        </w:rPr>
        <w:t>产品检验项目及取样应符合表2的规定</w:t>
      </w:r>
      <w:r>
        <w:t>。</w:t>
      </w:r>
    </w:p>
    <w:p>
      <w:pPr>
        <w:pStyle w:val="62"/>
        <w:numPr>
          <w:ilvl w:val="0"/>
          <w:numId w:val="0"/>
        </w:numPr>
        <w:spacing w:line="300" w:lineRule="auto"/>
        <w:jc w:val="center"/>
        <w:rPr>
          <w:rFonts w:ascii="Times New Roman" w:eastAsiaTheme="minorEastAsia"/>
        </w:rPr>
      </w:pPr>
      <w:r>
        <w:rPr>
          <w:rFonts w:ascii="Times New Roman" w:eastAsiaTheme="minorEastAsia"/>
        </w:rPr>
        <w:t>表2 检验项目及取样</w:t>
      </w:r>
    </w:p>
    <w:tbl>
      <w:tblPr>
        <w:tblStyle w:val="33"/>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819"/>
        <w:gridCol w:w="2268"/>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shd w:val="clear" w:color="auto" w:fill="auto"/>
            <w:vAlign w:val="center"/>
          </w:tcPr>
          <w:p>
            <w:pPr>
              <w:pStyle w:val="59"/>
              <w:widowControl w:val="0"/>
              <w:ind w:firstLine="0" w:firstLineChars="0"/>
              <w:jc w:val="center"/>
              <w:rPr>
                <w:rFonts w:ascii="Times New Roman"/>
                <w:sz w:val="18"/>
                <w:szCs w:val="18"/>
              </w:rPr>
            </w:pPr>
            <w:r>
              <w:rPr>
                <w:rFonts w:ascii="Times New Roman"/>
                <w:sz w:val="18"/>
                <w:szCs w:val="18"/>
              </w:rPr>
              <w:t>检验项目</w:t>
            </w:r>
          </w:p>
        </w:tc>
        <w:tc>
          <w:tcPr>
            <w:tcW w:w="2819" w:type="dxa"/>
            <w:shd w:val="clear" w:color="auto" w:fill="auto"/>
          </w:tcPr>
          <w:p>
            <w:pPr>
              <w:pStyle w:val="59"/>
              <w:widowControl w:val="0"/>
              <w:ind w:firstLine="0" w:firstLineChars="0"/>
              <w:jc w:val="center"/>
              <w:rPr>
                <w:rFonts w:ascii="Times New Roman"/>
                <w:sz w:val="18"/>
                <w:szCs w:val="18"/>
              </w:rPr>
            </w:pPr>
            <w:r>
              <w:rPr>
                <w:rFonts w:ascii="Times New Roman"/>
                <w:sz w:val="18"/>
                <w:szCs w:val="18"/>
              </w:rPr>
              <w:t>取样规定</w:t>
            </w:r>
          </w:p>
        </w:tc>
        <w:tc>
          <w:tcPr>
            <w:tcW w:w="2268" w:type="dxa"/>
            <w:shd w:val="clear" w:color="auto" w:fill="auto"/>
            <w:vAlign w:val="center"/>
          </w:tcPr>
          <w:p>
            <w:pPr>
              <w:pStyle w:val="59"/>
              <w:widowControl w:val="0"/>
              <w:ind w:firstLine="0" w:firstLineChars="0"/>
              <w:jc w:val="center"/>
              <w:rPr>
                <w:rFonts w:ascii="Times New Roman"/>
                <w:sz w:val="18"/>
                <w:szCs w:val="18"/>
              </w:rPr>
            </w:pPr>
            <w:r>
              <w:rPr>
                <w:rFonts w:ascii="Times New Roman"/>
                <w:sz w:val="18"/>
                <w:szCs w:val="18"/>
              </w:rPr>
              <w:t>技术要求的章条号</w:t>
            </w:r>
          </w:p>
        </w:tc>
        <w:tc>
          <w:tcPr>
            <w:tcW w:w="2092" w:type="dxa"/>
            <w:shd w:val="clear" w:color="auto" w:fill="auto"/>
            <w:vAlign w:val="center"/>
          </w:tcPr>
          <w:p>
            <w:pPr>
              <w:pStyle w:val="59"/>
              <w:widowControl w:val="0"/>
              <w:ind w:firstLine="0" w:firstLineChars="0"/>
              <w:jc w:val="center"/>
              <w:rPr>
                <w:rFonts w:ascii="Times New Roman"/>
                <w:sz w:val="18"/>
                <w:szCs w:val="18"/>
              </w:rPr>
            </w:pPr>
            <w:r>
              <w:rPr>
                <w:rFonts w:ascii="Times New Roman"/>
                <w:sz w:val="18"/>
                <w:szCs w:val="18"/>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shd w:val="clear" w:color="auto" w:fill="auto"/>
            <w:vAlign w:val="center"/>
          </w:tcPr>
          <w:p>
            <w:pPr>
              <w:pStyle w:val="59"/>
              <w:widowControl w:val="0"/>
              <w:ind w:firstLine="0" w:firstLineChars="0"/>
              <w:jc w:val="center"/>
              <w:rPr>
                <w:rFonts w:ascii="Times New Roman"/>
                <w:sz w:val="18"/>
                <w:szCs w:val="18"/>
              </w:rPr>
            </w:pPr>
            <w:r>
              <w:rPr>
                <w:rFonts w:ascii="Times New Roman"/>
                <w:sz w:val="18"/>
                <w:szCs w:val="18"/>
              </w:rPr>
              <w:t>化学成分</w:t>
            </w:r>
          </w:p>
        </w:tc>
        <w:tc>
          <w:tcPr>
            <w:tcW w:w="2819" w:type="dxa"/>
            <w:shd w:val="clear" w:color="auto" w:fill="auto"/>
          </w:tcPr>
          <w:p>
            <w:pPr>
              <w:pStyle w:val="59"/>
              <w:widowControl w:val="0"/>
              <w:ind w:firstLine="0" w:firstLineChars="0"/>
              <w:jc w:val="center"/>
              <w:rPr>
                <w:rFonts w:ascii="Times New Roman"/>
                <w:sz w:val="18"/>
                <w:szCs w:val="18"/>
              </w:rPr>
            </w:pPr>
            <w:r>
              <w:rPr>
                <w:rFonts w:ascii="Times New Roman"/>
                <w:sz w:val="18"/>
                <w:szCs w:val="18"/>
              </w:rPr>
              <w:t>7.4</w:t>
            </w:r>
          </w:p>
        </w:tc>
        <w:tc>
          <w:tcPr>
            <w:tcW w:w="2268" w:type="dxa"/>
            <w:shd w:val="clear" w:color="auto" w:fill="auto"/>
            <w:vAlign w:val="center"/>
          </w:tcPr>
          <w:p>
            <w:pPr>
              <w:pStyle w:val="59"/>
              <w:widowControl w:val="0"/>
              <w:ind w:firstLine="0" w:firstLineChars="0"/>
              <w:jc w:val="center"/>
              <w:rPr>
                <w:rFonts w:ascii="Times New Roman"/>
                <w:sz w:val="18"/>
                <w:szCs w:val="18"/>
              </w:rPr>
            </w:pPr>
            <w:r>
              <w:rPr>
                <w:rFonts w:ascii="Times New Roman"/>
                <w:sz w:val="18"/>
                <w:szCs w:val="18"/>
              </w:rPr>
              <w:t>5.1</w:t>
            </w:r>
          </w:p>
        </w:tc>
        <w:tc>
          <w:tcPr>
            <w:tcW w:w="2092" w:type="dxa"/>
            <w:shd w:val="clear" w:color="auto" w:fill="auto"/>
            <w:vAlign w:val="center"/>
          </w:tcPr>
          <w:p>
            <w:pPr>
              <w:pStyle w:val="59"/>
              <w:widowControl w:val="0"/>
              <w:ind w:firstLine="0" w:firstLineChars="0"/>
              <w:jc w:val="center"/>
              <w:rPr>
                <w:rFonts w:ascii="Times New Roman"/>
                <w:sz w:val="18"/>
                <w:szCs w:val="18"/>
              </w:rPr>
            </w:pPr>
            <w:r>
              <w:rPr>
                <w:rFonts w:ascii="Times New Roman"/>
                <w:sz w:val="18"/>
                <w:szCs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shd w:val="clear" w:color="auto" w:fill="auto"/>
            <w:vAlign w:val="center"/>
          </w:tcPr>
          <w:p>
            <w:pPr>
              <w:pStyle w:val="59"/>
              <w:widowControl w:val="0"/>
              <w:ind w:firstLine="0" w:firstLineChars="0"/>
              <w:jc w:val="center"/>
              <w:rPr>
                <w:rFonts w:ascii="Times New Roman"/>
                <w:sz w:val="18"/>
                <w:szCs w:val="18"/>
              </w:rPr>
            </w:pPr>
            <w:r>
              <w:rPr>
                <w:rFonts w:ascii="Times New Roman"/>
                <w:sz w:val="18"/>
                <w:szCs w:val="18"/>
              </w:rPr>
              <w:t>粒度</w:t>
            </w:r>
          </w:p>
        </w:tc>
        <w:tc>
          <w:tcPr>
            <w:tcW w:w="2819" w:type="dxa"/>
            <w:shd w:val="clear" w:color="auto" w:fill="auto"/>
          </w:tcPr>
          <w:p>
            <w:pPr>
              <w:pStyle w:val="59"/>
              <w:widowControl w:val="0"/>
              <w:ind w:firstLine="0" w:firstLineChars="0"/>
              <w:jc w:val="center"/>
              <w:rPr>
                <w:rFonts w:hint="eastAsia" w:ascii="Times New Roman"/>
                <w:sz w:val="18"/>
                <w:szCs w:val="18"/>
              </w:rPr>
            </w:pPr>
            <w:r>
              <w:rPr>
                <w:rFonts w:hint="eastAsia" w:ascii="Times New Roman"/>
                <w:sz w:val="18"/>
                <w:szCs w:val="18"/>
              </w:rPr>
              <w:t>使用</w:t>
            </w:r>
            <w:r>
              <w:rPr>
                <w:rFonts w:ascii="Times New Roman"/>
                <w:sz w:val="18"/>
                <w:szCs w:val="18"/>
              </w:rPr>
              <w:t>化学成分取样桶的试样</w:t>
            </w:r>
          </w:p>
        </w:tc>
        <w:tc>
          <w:tcPr>
            <w:tcW w:w="2268" w:type="dxa"/>
            <w:shd w:val="clear" w:color="auto" w:fill="auto"/>
            <w:vAlign w:val="center"/>
          </w:tcPr>
          <w:p>
            <w:pPr>
              <w:pStyle w:val="59"/>
              <w:widowControl w:val="0"/>
              <w:ind w:firstLine="0" w:firstLineChars="0"/>
              <w:jc w:val="center"/>
              <w:rPr>
                <w:rFonts w:ascii="Times New Roman"/>
                <w:sz w:val="18"/>
                <w:szCs w:val="18"/>
              </w:rPr>
            </w:pPr>
            <w:r>
              <w:rPr>
                <w:rFonts w:ascii="Times New Roman"/>
                <w:sz w:val="18"/>
                <w:szCs w:val="18"/>
              </w:rPr>
              <w:t>5.2</w:t>
            </w:r>
          </w:p>
        </w:tc>
        <w:tc>
          <w:tcPr>
            <w:tcW w:w="2092" w:type="dxa"/>
            <w:shd w:val="clear" w:color="auto" w:fill="auto"/>
            <w:vAlign w:val="center"/>
          </w:tcPr>
          <w:p>
            <w:pPr>
              <w:pStyle w:val="59"/>
              <w:widowControl w:val="0"/>
              <w:ind w:firstLine="0" w:firstLineChars="0"/>
              <w:jc w:val="center"/>
              <w:rPr>
                <w:rFonts w:ascii="Times New Roman"/>
                <w:sz w:val="18"/>
                <w:szCs w:val="18"/>
              </w:rPr>
            </w:pPr>
            <w:r>
              <w:rPr>
                <w:rFonts w:ascii="Times New Roman"/>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shd w:val="clear" w:color="auto" w:fill="auto"/>
            <w:vAlign w:val="center"/>
          </w:tcPr>
          <w:p>
            <w:pPr>
              <w:pStyle w:val="59"/>
              <w:widowControl w:val="0"/>
              <w:ind w:firstLine="0" w:firstLineChars="0"/>
              <w:jc w:val="center"/>
              <w:rPr>
                <w:rFonts w:ascii="Times New Roman"/>
                <w:sz w:val="18"/>
                <w:szCs w:val="18"/>
              </w:rPr>
            </w:pPr>
            <w:r>
              <w:rPr>
                <w:rFonts w:ascii="Times New Roman"/>
                <w:sz w:val="18"/>
                <w:szCs w:val="18"/>
              </w:rPr>
              <w:t>外观质量</w:t>
            </w:r>
          </w:p>
        </w:tc>
        <w:tc>
          <w:tcPr>
            <w:tcW w:w="2819" w:type="dxa"/>
            <w:shd w:val="clear" w:color="auto" w:fill="auto"/>
          </w:tcPr>
          <w:p>
            <w:pPr>
              <w:pStyle w:val="59"/>
              <w:widowControl w:val="0"/>
              <w:ind w:firstLine="0" w:firstLineChars="0"/>
              <w:jc w:val="center"/>
              <w:rPr>
                <w:rFonts w:hint="eastAsia" w:ascii="Times New Roman"/>
                <w:sz w:val="18"/>
                <w:szCs w:val="18"/>
              </w:rPr>
            </w:pPr>
            <w:r>
              <w:rPr>
                <w:rFonts w:hint="eastAsia" w:ascii="Times New Roman"/>
                <w:sz w:val="18"/>
                <w:szCs w:val="18"/>
              </w:rPr>
              <w:t>逐件</w:t>
            </w:r>
          </w:p>
        </w:tc>
        <w:tc>
          <w:tcPr>
            <w:tcW w:w="2268" w:type="dxa"/>
            <w:shd w:val="clear" w:color="auto" w:fill="auto"/>
            <w:vAlign w:val="center"/>
          </w:tcPr>
          <w:p>
            <w:pPr>
              <w:pStyle w:val="59"/>
              <w:widowControl w:val="0"/>
              <w:ind w:firstLine="0" w:firstLineChars="0"/>
              <w:jc w:val="center"/>
              <w:rPr>
                <w:rFonts w:ascii="Times New Roman"/>
                <w:sz w:val="18"/>
                <w:szCs w:val="18"/>
              </w:rPr>
            </w:pPr>
            <w:r>
              <w:rPr>
                <w:rFonts w:ascii="Times New Roman"/>
                <w:sz w:val="18"/>
                <w:szCs w:val="18"/>
              </w:rPr>
              <w:t>5.3</w:t>
            </w:r>
          </w:p>
        </w:tc>
        <w:tc>
          <w:tcPr>
            <w:tcW w:w="2092" w:type="dxa"/>
            <w:shd w:val="clear" w:color="auto" w:fill="auto"/>
            <w:vAlign w:val="center"/>
          </w:tcPr>
          <w:p>
            <w:pPr>
              <w:pStyle w:val="59"/>
              <w:widowControl w:val="0"/>
              <w:ind w:firstLine="0" w:firstLineChars="0"/>
              <w:jc w:val="center"/>
              <w:rPr>
                <w:rFonts w:ascii="Times New Roman"/>
                <w:sz w:val="18"/>
                <w:szCs w:val="18"/>
              </w:rPr>
            </w:pPr>
            <w:r>
              <w:rPr>
                <w:rFonts w:ascii="Times New Roman"/>
                <w:sz w:val="18"/>
                <w:szCs w:val="18"/>
              </w:rPr>
              <w:t>6.3</w:t>
            </w:r>
          </w:p>
        </w:tc>
      </w:tr>
    </w:tbl>
    <w:p>
      <w:pPr>
        <w:pStyle w:val="59"/>
        <w:ind w:firstLine="0" w:firstLineChars="0"/>
        <w:rPr>
          <w:rFonts w:ascii="Times New Roman"/>
        </w:rPr>
      </w:pPr>
    </w:p>
    <w:p>
      <w:pPr>
        <w:pStyle w:val="61"/>
        <w:spacing w:before="156" w:beforeLines="50" w:after="156" w:afterLines="50"/>
        <w:ind w:left="0"/>
        <w:rPr>
          <w:rFonts w:ascii="Times New Roman"/>
        </w:rPr>
      </w:pPr>
      <w:r>
        <w:rPr>
          <w:rFonts w:ascii="Times New Roman"/>
        </w:rPr>
        <w:t>取样位置及取样数量</w:t>
      </w:r>
    </w:p>
    <w:p>
      <w:pPr>
        <w:pStyle w:val="18"/>
        <w:spacing w:line="300" w:lineRule="auto"/>
        <w:rPr>
          <w:rFonts w:hint="eastAsia"/>
          <w:szCs w:val="21"/>
        </w:rPr>
      </w:pPr>
      <w:r>
        <w:rPr>
          <w:rFonts w:hint="eastAsia"/>
          <w:szCs w:val="21"/>
        </w:rPr>
        <w:t>每批</w:t>
      </w:r>
      <w:r>
        <w:rPr>
          <w:szCs w:val="21"/>
        </w:rPr>
        <w:t>产品入厂检验</w:t>
      </w:r>
      <w:r>
        <w:rPr>
          <w:rFonts w:hint="eastAsia"/>
          <w:szCs w:val="21"/>
        </w:rPr>
        <w:t>随机</w:t>
      </w:r>
      <w:r>
        <w:rPr>
          <w:szCs w:val="21"/>
        </w:rPr>
        <w:t>抽取</w:t>
      </w:r>
      <w:r>
        <w:rPr>
          <w:rFonts w:hint="eastAsia"/>
          <w:szCs w:val="21"/>
        </w:rPr>
        <w:t>取样桶</w:t>
      </w:r>
      <w:r>
        <w:rPr>
          <w:szCs w:val="21"/>
        </w:rPr>
        <w:t>，取样桶</w:t>
      </w:r>
      <w:r>
        <w:rPr>
          <w:rFonts w:hint="eastAsia"/>
          <w:szCs w:val="21"/>
        </w:rPr>
        <w:t>数量</w:t>
      </w:r>
      <w:r>
        <w:rPr>
          <w:szCs w:val="21"/>
        </w:rPr>
        <w:t>不小于该批总桶数的20%（</w:t>
      </w:r>
      <w:r>
        <w:rPr>
          <w:rFonts w:hint="eastAsia"/>
          <w:szCs w:val="21"/>
        </w:rPr>
        <w:t>或</w:t>
      </w:r>
      <w:r>
        <w:rPr>
          <w:szCs w:val="21"/>
        </w:rPr>
        <w:t>至少两桶）。从抽取的每桶产品中心及周围约2/3</w:t>
      </w:r>
      <w:r>
        <w:rPr>
          <w:rFonts w:hint="eastAsia"/>
          <w:szCs w:val="21"/>
        </w:rPr>
        <w:t>半径</w:t>
      </w:r>
      <w:r>
        <w:rPr>
          <w:szCs w:val="21"/>
        </w:rPr>
        <w:t>处均匀分布的</w:t>
      </w:r>
      <w:r>
        <w:rPr>
          <w:rFonts w:hint="eastAsia"/>
          <w:szCs w:val="21"/>
        </w:rPr>
        <w:t>3</w:t>
      </w:r>
      <w:r>
        <w:rPr>
          <w:szCs w:val="21"/>
        </w:rPr>
        <w:t>个点</w:t>
      </w:r>
      <w:r>
        <w:rPr>
          <w:rFonts w:hint="eastAsia"/>
          <w:szCs w:val="21"/>
        </w:rPr>
        <w:t>上</w:t>
      </w:r>
      <w:r>
        <w:rPr>
          <w:szCs w:val="21"/>
        </w:rPr>
        <w:t>取四个</w:t>
      </w:r>
      <w:r>
        <w:rPr>
          <w:rFonts w:hint="eastAsia"/>
          <w:szCs w:val="21"/>
        </w:rPr>
        <w:t>等量</w:t>
      </w:r>
      <w:r>
        <w:rPr>
          <w:szCs w:val="21"/>
        </w:rPr>
        <w:t>的试样，其总量应不少于1600g</w:t>
      </w:r>
      <w:r>
        <w:rPr>
          <w:rFonts w:hint="eastAsia"/>
          <w:szCs w:val="21"/>
        </w:rPr>
        <w:t>。</w:t>
      </w:r>
      <w:r>
        <w:rPr>
          <w:rFonts w:ascii="宋体" w:hAnsi="宋体"/>
        </w:rPr>
        <w:t>将每桶所取的试样混合均匀并捣碎，用筛孔</w:t>
      </w:r>
      <w:r>
        <w:t>147μm（100目</w:t>
      </w:r>
      <w:r>
        <w:rPr>
          <w:rFonts w:ascii="宋体" w:hAnsi="宋体"/>
        </w:rPr>
        <w:t>）的泰勒标准筛过筛，筛下物用四分法缩分至不少于100g，作为该批产品的化学成分分析用</w:t>
      </w:r>
      <w:r>
        <w:rPr>
          <w:rFonts w:hint="eastAsia" w:ascii="宋体" w:hAnsi="宋体"/>
        </w:rPr>
        <w:t>试样</w:t>
      </w:r>
      <w:r>
        <w:rPr>
          <w:rFonts w:ascii="宋体" w:hAnsi="宋体"/>
        </w:rPr>
        <w:t>。用于气体元素</w:t>
      </w:r>
      <w:r>
        <w:t>O、N</w:t>
      </w:r>
      <w:r>
        <w:rPr>
          <w:rFonts w:ascii="宋体" w:hAnsi="宋体"/>
        </w:rPr>
        <w:t>分析的</w:t>
      </w:r>
      <w:r>
        <w:rPr>
          <w:rFonts w:hint="eastAsia" w:ascii="宋体" w:hAnsi="宋体"/>
        </w:rPr>
        <w:t>试样应</w:t>
      </w:r>
      <w:r>
        <w:rPr>
          <w:rFonts w:ascii="宋体" w:hAnsi="宋体"/>
        </w:rPr>
        <w:t>为</w:t>
      </w:r>
      <w:r>
        <w:rPr>
          <w:rFonts w:hint="eastAsia" w:ascii="宋体" w:hAnsi="宋体"/>
        </w:rPr>
        <w:t>未</w:t>
      </w:r>
      <w:r>
        <w:rPr>
          <w:rFonts w:ascii="宋体" w:hAnsi="宋体"/>
        </w:rPr>
        <w:t>捣碎的原始样品，粒度应不大于</w:t>
      </w:r>
      <w:r>
        <w:t>500μm</w:t>
      </w:r>
      <w:r>
        <w:rPr>
          <w:rFonts w:ascii="宋体" w:hAnsi="宋体"/>
        </w:rPr>
        <w:t>。</w:t>
      </w:r>
    </w:p>
    <w:p>
      <w:pPr>
        <w:pStyle w:val="61"/>
        <w:spacing w:before="156" w:beforeLines="50" w:after="156" w:afterLines="50"/>
        <w:ind w:left="0"/>
        <w:rPr>
          <w:rFonts w:ascii="Times New Roman"/>
        </w:rPr>
      </w:pPr>
      <w:r>
        <w:rPr>
          <w:rFonts w:ascii="Times New Roman"/>
        </w:rPr>
        <w:t>检验结果的判定</w:t>
      </w:r>
    </w:p>
    <w:p>
      <w:pPr>
        <w:pStyle w:val="62"/>
        <w:spacing w:line="300" w:lineRule="auto"/>
        <w:rPr>
          <w:rFonts w:ascii="Times New Roman" w:eastAsia="宋体"/>
        </w:rPr>
      </w:pPr>
      <w:r>
        <w:rPr>
          <w:rFonts w:ascii="Times New Roman" w:eastAsia="宋体"/>
        </w:rPr>
        <w:t>产品的化学成分检测结果如有一项不合格的，应从该批产品中加倍取样对该不合格项进行重复试验，若重复试验结果仍不合格的，判该批产品不合格。</w:t>
      </w:r>
    </w:p>
    <w:p>
      <w:pPr>
        <w:pStyle w:val="62"/>
        <w:spacing w:line="300" w:lineRule="auto"/>
        <w:rPr>
          <w:rFonts w:ascii="Times New Roman" w:eastAsia="宋体"/>
        </w:rPr>
      </w:pPr>
      <w:r>
        <w:rPr>
          <w:rFonts w:ascii="Times New Roman" w:eastAsia="宋体"/>
        </w:rPr>
        <w:t>粒度检验不合格时，应从该批产品中加倍取样对该不合格项进行重复试验，若重复试验结果仍不合格的，判该批产品不合格。</w:t>
      </w:r>
    </w:p>
    <w:p>
      <w:pPr>
        <w:pStyle w:val="62"/>
        <w:spacing w:line="300" w:lineRule="auto"/>
        <w:rPr>
          <w:rFonts w:ascii="Times New Roman" w:eastAsia="宋体"/>
        </w:rPr>
      </w:pPr>
      <w:r>
        <w:rPr>
          <w:rFonts w:ascii="Times New Roman" w:eastAsia="宋体"/>
        </w:rPr>
        <w:t>外观质量检验不合格时，判该批产品不合格。</w:t>
      </w:r>
    </w:p>
    <w:p>
      <w:pPr>
        <w:pStyle w:val="62"/>
        <w:spacing w:line="300" w:lineRule="auto"/>
        <w:rPr>
          <w:rFonts w:ascii="Times New Roman" w:eastAsia="宋体"/>
        </w:rPr>
      </w:pPr>
      <w:r>
        <w:rPr>
          <w:rFonts w:ascii="Times New Roman" w:eastAsia="宋体"/>
        </w:rPr>
        <w:t>高密度夹杂检验不合格时，判该批产品不合格。</w:t>
      </w:r>
    </w:p>
    <w:p>
      <w:pPr>
        <w:pStyle w:val="60"/>
        <w:spacing w:before="156" w:after="156"/>
        <w:ind w:left="0"/>
        <w:rPr>
          <w:rFonts w:ascii="Times New Roman"/>
        </w:rPr>
      </w:pPr>
      <w:r>
        <w:rPr>
          <w:rFonts w:ascii="Times New Roman"/>
        </w:rPr>
        <w:t>标志、包装、运输、贮存及随行文件</w:t>
      </w:r>
    </w:p>
    <w:p>
      <w:pPr>
        <w:pStyle w:val="61"/>
        <w:spacing w:before="156" w:beforeLines="50" w:after="156" w:afterLines="50"/>
        <w:ind w:left="0"/>
        <w:rPr>
          <w:rFonts w:ascii="Times New Roman"/>
        </w:rPr>
      </w:pPr>
      <w:r>
        <w:rPr>
          <w:rFonts w:ascii="Times New Roman"/>
        </w:rPr>
        <w:t>标志</w:t>
      </w:r>
    </w:p>
    <w:p>
      <w:pPr>
        <w:pStyle w:val="62"/>
        <w:numPr>
          <w:ilvl w:val="0"/>
          <w:numId w:val="0"/>
        </w:numPr>
        <w:spacing w:line="300" w:lineRule="auto"/>
        <w:ind w:firstLine="420" w:firstLineChars="200"/>
        <w:rPr>
          <w:rFonts w:ascii="Times New Roman" w:eastAsia="宋体"/>
        </w:rPr>
      </w:pPr>
      <w:r>
        <w:rPr>
          <w:rFonts w:ascii="Times New Roman" w:eastAsia="宋体"/>
        </w:rPr>
        <w:t>每批产品的包装外应注明：</w:t>
      </w:r>
    </w:p>
    <w:p>
      <w:pPr>
        <w:pStyle w:val="32"/>
        <w:numPr>
          <w:ilvl w:val="1"/>
          <w:numId w:val="9"/>
        </w:numPr>
        <w:tabs>
          <w:tab w:val="left" w:pos="780"/>
          <w:tab w:val="clear" w:pos="840"/>
        </w:tabs>
        <w:spacing w:after="0" w:line="300" w:lineRule="auto"/>
        <w:ind w:left="780" w:hanging="360"/>
      </w:pPr>
      <w:r>
        <w:t>供方名称；</w:t>
      </w:r>
    </w:p>
    <w:p>
      <w:pPr>
        <w:pStyle w:val="32"/>
        <w:numPr>
          <w:ilvl w:val="1"/>
          <w:numId w:val="9"/>
        </w:numPr>
        <w:tabs>
          <w:tab w:val="left" w:pos="780"/>
          <w:tab w:val="clear" w:pos="840"/>
        </w:tabs>
        <w:spacing w:after="0" w:line="300" w:lineRule="auto"/>
        <w:ind w:left="780" w:hanging="360"/>
      </w:pPr>
      <w:r>
        <w:t>产品名称和牌号；</w:t>
      </w:r>
    </w:p>
    <w:p>
      <w:pPr>
        <w:pStyle w:val="32"/>
        <w:numPr>
          <w:ilvl w:val="1"/>
          <w:numId w:val="9"/>
        </w:numPr>
        <w:tabs>
          <w:tab w:val="left" w:pos="780"/>
          <w:tab w:val="clear" w:pos="840"/>
        </w:tabs>
        <w:spacing w:after="0" w:line="300" w:lineRule="auto"/>
        <w:ind w:left="780" w:hanging="360"/>
      </w:pPr>
      <w:r>
        <w:t>批号；</w:t>
      </w:r>
    </w:p>
    <w:p>
      <w:pPr>
        <w:pStyle w:val="32"/>
        <w:numPr>
          <w:ilvl w:val="1"/>
          <w:numId w:val="9"/>
        </w:numPr>
        <w:tabs>
          <w:tab w:val="left" w:pos="780"/>
          <w:tab w:val="clear" w:pos="840"/>
        </w:tabs>
        <w:spacing w:after="0" w:line="300" w:lineRule="auto"/>
        <w:ind w:left="780" w:hanging="360"/>
      </w:pPr>
      <w:r>
        <w:rPr>
          <w:rFonts w:hint="eastAsia"/>
        </w:rPr>
        <w:t>毛重和</w:t>
      </w:r>
      <w:r>
        <w:t>净重。</w:t>
      </w:r>
    </w:p>
    <w:p>
      <w:pPr>
        <w:pStyle w:val="61"/>
        <w:numPr>
          <w:ilvl w:val="2"/>
          <w:numId w:val="1"/>
        </w:numPr>
        <w:spacing w:before="156" w:beforeLines="50" w:after="156" w:afterLines="50"/>
        <w:ind w:left="0"/>
        <w:rPr>
          <w:rFonts w:ascii="Times New Roman"/>
        </w:rPr>
      </w:pPr>
      <w:r>
        <w:rPr>
          <w:rFonts w:ascii="Times New Roman"/>
        </w:rPr>
        <w:t>包装、运输、贮存</w:t>
      </w:r>
    </w:p>
    <w:p>
      <w:pPr>
        <w:pStyle w:val="62"/>
        <w:numPr>
          <w:ilvl w:val="0"/>
          <w:numId w:val="0"/>
        </w:numPr>
        <w:spacing w:line="300" w:lineRule="auto"/>
        <w:ind w:firstLine="420" w:firstLineChars="200"/>
        <w:rPr>
          <w:rFonts w:ascii="Times New Roman" w:eastAsia="宋体"/>
        </w:rPr>
      </w:pPr>
      <w:r>
        <w:rPr>
          <w:rFonts w:ascii="Times New Roman" w:eastAsia="宋体"/>
        </w:rPr>
        <w:t>产品应使用镀锌钢桶包装，内衬塑料袋，每桶净重25kg~200kg，也可根据客户要求采用其他的适宜包装形式。</w:t>
      </w:r>
    </w:p>
    <w:p>
      <w:pPr>
        <w:pStyle w:val="59"/>
        <w:spacing w:line="300" w:lineRule="auto"/>
        <w:ind w:firstLine="420"/>
        <w:rPr>
          <w:rFonts w:ascii="Times New Roman"/>
        </w:rPr>
      </w:pPr>
      <w:r>
        <w:rPr>
          <w:rFonts w:ascii="Times New Roman"/>
        </w:rPr>
        <w:t>产品在运输时应防止潮湿，避免剧烈振动、碰撞，应与其他物体分开堆放。</w:t>
      </w:r>
    </w:p>
    <w:p>
      <w:pPr>
        <w:pStyle w:val="59"/>
        <w:spacing w:line="300" w:lineRule="auto"/>
        <w:ind w:firstLine="420"/>
        <w:rPr>
          <w:rFonts w:ascii="Times New Roman"/>
        </w:rPr>
      </w:pPr>
      <w:r>
        <w:rPr>
          <w:rFonts w:ascii="Times New Roman"/>
        </w:rPr>
        <w:t>产品应贮存于通风、干燥的仓库内，不得与酸、碱性介质混放。</w:t>
      </w:r>
    </w:p>
    <w:p>
      <w:pPr>
        <w:pStyle w:val="61"/>
        <w:spacing w:before="156" w:beforeLines="50" w:after="156" w:afterLines="50"/>
        <w:ind w:left="0"/>
        <w:rPr>
          <w:rFonts w:ascii="Times New Roman"/>
        </w:rPr>
      </w:pPr>
      <w:r>
        <w:rPr>
          <w:rFonts w:ascii="Times New Roman"/>
        </w:rPr>
        <w:t>随行文件</w:t>
      </w:r>
    </w:p>
    <w:p>
      <w:pPr>
        <w:pStyle w:val="62"/>
        <w:numPr>
          <w:ilvl w:val="0"/>
          <w:numId w:val="0"/>
        </w:numPr>
        <w:spacing w:line="300" w:lineRule="auto"/>
        <w:ind w:firstLine="420" w:firstLineChars="200"/>
        <w:rPr>
          <w:rFonts w:ascii="Times New Roman" w:eastAsia="宋体"/>
        </w:rPr>
      </w:pPr>
      <w:r>
        <w:rPr>
          <w:rFonts w:ascii="Times New Roman" w:eastAsia="宋体"/>
        </w:rPr>
        <w:t>每批产品应附有产品质量证明书，其上注明：</w:t>
      </w:r>
    </w:p>
    <w:p>
      <w:pPr>
        <w:pStyle w:val="59"/>
        <w:numPr>
          <w:ilvl w:val="0"/>
          <w:numId w:val="11"/>
        </w:numPr>
        <w:spacing w:line="300" w:lineRule="auto"/>
        <w:ind w:firstLineChars="0"/>
        <w:rPr>
          <w:rFonts w:ascii="Times New Roman"/>
        </w:rPr>
      </w:pPr>
      <w:r>
        <w:rPr>
          <w:rFonts w:ascii="Times New Roman"/>
        </w:rPr>
        <w:t>供方名称；</w:t>
      </w:r>
    </w:p>
    <w:p>
      <w:pPr>
        <w:pStyle w:val="59"/>
        <w:numPr>
          <w:ilvl w:val="0"/>
          <w:numId w:val="11"/>
        </w:numPr>
        <w:spacing w:line="300" w:lineRule="auto"/>
        <w:ind w:firstLineChars="0"/>
        <w:rPr>
          <w:rFonts w:ascii="Times New Roman"/>
        </w:rPr>
      </w:pPr>
      <w:r>
        <w:rPr>
          <w:rFonts w:ascii="Times New Roman"/>
        </w:rPr>
        <w:t>产品名称</w:t>
      </w:r>
      <w:r>
        <w:rPr>
          <w:rFonts w:hint="eastAsia" w:ascii="Times New Roman"/>
        </w:rPr>
        <w:t>、</w:t>
      </w:r>
      <w:r>
        <w:rPr>
          <w:rFonts w:ascii="Times New Roman"/>
        </w:rPr>
        <w:t>牌号和粒度；</w:t>
      </w:r>
    </w:p>
    <w:p>
      <w:pPr>
        <w:pStyle w:val="59"/>
        <w:numPr>
          <w:ilvl w:val="0"/>
          <w:numId w:val="11"/>
        </w:numPr>
        <w:spacing w:line="300" w:lineRule="auto"/>
        <w:ind w:firstLineChars="0"/>
        <w:rPr>
          <w:rFonts w:ascii="Times New Roman"/>
        </w:rPr>
      </w:pPr>
      <w:r>
        <w:rPr>
          <w:rFonts w:hint="eastAsia" w:ascii="Times New Roman"/>
        </w:rPr>
        <w:t>产品</w:t>
      </w:r>
      <w:r>
        <w:rPr>
          <w:rFonts w:ascii="Times New Roman"/>
        </w:rPr>
        <w:t>批号</w:t>
      </w:r>
      <w:r>
        <w:rPr>
          <w:rFonts w:hint="eastAsia" w:ascii="Times New Roman"/>
        </w:rPr>
        <w:t>、</w:t>
      </w:r>
      <w:r>
        <w:rPr>
          <w:rFonts w:ascii="Times New Roman"/>
        </w:rPr>
        <w:t>净重和件数；</w:t>
      </w:r>
    </w:p>
    <w:p>
      <w:pPr>
        <w:pStyle w:val="59"/>
        <w:numPr>
          <w:ilvl w:val="0"/>
          <w:numId w:val="11"/>
        </w:numPr>
        <w:spacing w:line="300" w:lineRule="auto"/>
        <w:ind w:firstLineChars="0"/>
        <w:rPr>
          <w:rFonts w:ascii="Times New Roman"/>
        </w:rPr>
      </w:pPr>
      <w:r>
        <w:rPr>
          <w:rFonts w:ascii="Times New Roman"/>
        </w:rPr>
        <w:t>各项分析检验结果和技术监督部门印记；</w:t>
      </w:r>
    </w:p>
    <w:p>
      <w:pPr>
        <w:pStyle w:val="59"/>
        <w:numPr>
          <w:ilvl w:val="0"/>
          <w:numId w:val="11"/>
        </w:numPr>
        <w:spacing w:line="300" w:lineRule="auto"/>
        <w:ind w:firstLineChars="0"/>
        <w:rPr>
          <w:rFonts w:ascii="Times New Roman"/>
        </w:rPr>
      </w:pPr>
      <w:r>
        <w:rPr>
          <w:rFonts w:ascii="Times New Roman"/>
        </w:rPr>
        <w:t>生产日期或包装日期；</w:t>
      </w:r>
    </w:p>
    <w:p>
      <w:pPr>
        <w:pStyle w:val="59"/>
        <w:numPr>
          <w:ilvl w:val="0"/>
          <w:numId w:val="11"/>
        </w:numPr>
        <w:spacing w:line="300" w:lineRule="auto"/>
        <w:ind w:firstLineChars="0"/>
        <w:rPr>
          <w:rFonts w:ascii="Times New Roman"/>
        </w:rPr>
      </w:pPr>
      <w:r>
        <w:rPr>
          <w:rFonts w:hint="eastAsia" w:ascii="Times New Roman"/>
        </w:rPr>
        <w:t>本文件编号</w:t>
      </w:r>
    </w:p>
    <w:p>
      <w:pPr>
        <w:pStyle w:val="60"/>
        <w:spacing w:before="156" w:after="156"/>
        <w:ind w:left="0"/>
        <w:rPr>
          <w:rFonts w:ascii="Times New Roman" w:eastAsia="宋体"/>
        </w:rPr>
      </w:pPr>
      <w:r>
        <w:rPr>
          <w:rFonts w:ascii="Times New Roman"/>
        </w:rPr>
        <w:t>订货单内容</w:t>
      </w:r>
    </w:p>
    <w:bookmarkEnd w:id="2"/>
    <w:bookmarkEnd w:id="3"/>
    <w:p>
      <w:pPr>
        <w:pStyle w:val="62"/>
        <w:numPr>
          <w:ilvl w:val="0"/>
          <w:numId w:val="0"/>
        </w:numPr>
        <w:spacing w:line="300" w:lineRule="auto"/>
        <w:ind w:firstLine="420" w:firstLineChars="200"/>
        <w:rPr>
          <w:rFonts w:ascii="Times New Roman" w:eastAsia="宋体"/>
        </w:rPr>
      </w:pPr>
      <w:r>
        <w:rPr>
          <w:rFonts w:ascii="Times New Roman" w:eastAsia="宋体"/>
        </w:rPr>
        <w:t>需方可根据自身的需要，在订购本文件所列产品的订货单内，列出如下内容：</w:t>
      </w:r>
    </w:p>
    <w:p>
      <w:pPr>
        <w:pStyle w:val="62"/>
        <w:numPr>
          <w:ilvl w:val="0"/>
          <w:numId w:val="12"/>
        </w:numPr>
        <w:spacing w:line="300" w:lineRule="auto"/>
        <w:rPr>
          <w:rFonts w:ascii="Times New Roman" w:eastAsia="宋体"/>
        </w:rPr>
      </w:pPr>
      <w:r>
        <w:rPr>
          <w:rFonts w:ascii="Times New Roman" w:eastAsia="宋体"/>
        </w:rPr>
        <w:t>产品名称；</w:t>
      </w:r>
    </w:p>
    <w:p>
      <w:pPr>
        <w:pStyle w:val="62"/>
        <w:numPr>
          <w:ilvl w:val="0"/>
          <w:numId w:val="12"/>
        </w:numPr>
        <w:spacing w:line="300" w:lineRule="auto"/>
        <w:rPr>
          <w:rFonts w:ascii="Times New Roman" w:eastAsia="宋体"/>
        </w:rPr>
      </w:pPr>
      <w:r>
        <w:rPr>
          <w:rFonts w:ascii="Times New Roman" w:eastAsia="宋体"/>
        </w:rPr>
        <w:t>牌号；</w:t>
      </w:r>
    </w:p>
    <w:p>
      <w:pPr>
        <w:pStyle w:val="62"/>
        <w:numPr>
          <w:ilvl w:val="0"/>
          <w:numId w:val="12"/>
        </w:numPr>
        <w:spacing w:line="300" w:lineRule="auto"/>
        <w:rPr>
          <w:rFonts w:ascii="Times New Roman" w:eastAsia="宋体"/>
        </w:rPr>
      </w:pPr>
      <w:r>
        <w:rPr>
          <w:rFonts w:hint="eastAsia" w:ascii="Times New Roman" w:eastAsia="宋体"/>
        </w:rPr>
        <w:t>粒度</w:t>
      </w:r>
      <w:r>
        <w:rPr>
          <w:rFonts w:ascii="Times New Roman" w:eastAsia="宋体"/>
        </w:rPr>
        <w:t>；</w:t>
      </w:r>
    </w:p>
    <w:p>
      <w:pPr>
        <w:pStyle w:val="62"/>
        <w:numPr>
          <w:ilvl w:val="0"/>
          <w:numId w:val="12"/>
        </w:numPr>
        <w:spacing w:line="300" w:lineRule="auto"/>
        <w:rPr>
          <w:rFonts w:ascii="Times New Roman" w:eastAsia="宋体"/>
        </w:rPr>
      </w:pPr>
      <w:r>
        <w:rPr>
          <w:rFonts w:ascii="Times New Roman" w:eastAsia="宋体"/>
        </w:rPr>
        <w:t>净重和件数；</w:t>
      </w:r>
    </w:p>
    <w:p>
      <w:pPr>
        <w:pStyle w:val="62"/>
        <w:numPr>
          <w:ilvl w:val="0"/>
          <w:numId w:val="12"/>
        </w:numPr>
        <w:spacing w:line="300" w:lineRule="auto"/>
        <w:rPr>
          <w:rFonts w:ascii="Times New Roman" w:eastAsia="宋体"/>
        </w:rPr>
      </w:pPr>
      <w:r>
        <w:rPr>
          <w:rFonts w:ascii="Times New Roman" w:eastAsia="宋体"/>
        </w:rPr>
        <w:t>本文件编号；</w:t>
      </w:r>
    </w:p>
    <w:p>
      <w:pPr>
        <w:pStyle w:val="62"/>
        <w:numPr>
          <w:ilvl w:val="0"/>
          <w:numId w:val="12"/>
        </w:numPr>
        <w:spacing w:line="300" w:lineRule="auto"/>
        <w:rPr>
          <w:rFonts w:ascii="Times New Roman" w:eastAsia="宋体"/>
        </w:rPr>
      </w:pPr>
      <w:r>
        <w:rPr>
          <w:rFonts w:ascii="Times New Roman" w:eastAsia="宋体"/>
        </w:rPr>
        <w:t>其他。</w:t>
      </w:r>
    </w:p>
    <w:p>
      <w:pPr>
        <w:pStyle w:val="62"/>
        <w:numPr>
          <w:ilvl w:val="0"/>
          <w:numId w:val="0"/>
        </w:numPr>
        <w:spacing w:line="300" w:lineRule="auto"/>
        <w:jc w:val="center"/>
        <w:rPr>
          <w:rFonts w:ascii="Times New Roman"/>
        </w:rPr>
      </w:pPr>
    </w:p>
    <w:p>
      <w:pPr>
        <w:pStyle w:val="62"/>
        <w:numPr>
          <w:ilvl w:val="0"/>
          <w:numId w:val="0"/>
        </w:numPr>
        <w:spacing w:line="300" w:lineRule="auto"/>
        <w:jc w:val="center"/>
        <w:rPr>
          <w:rFonts w:ascii="Times New Roman"/>
        </w:rPr>
      </w:pPr>
    </w:p>
    <w:p>
      <w:pPr>
        <w:pStyle w:val="62"/>
        <w:numPr>
          <w:ilvl w:val="0"/>
          <w:numId w:val="0"/>
        </w:numPr>
        <w:spacing w:line="300" w:lineRule="auto"/>
        <w:jc w:val="center"/>
        <w:rPr>
          <w:rFonts w:ascii="Times New Roman"/>
        </w:rPr>
      </w:pPr>
      <w:r>
        <w:rPr>
          <w:rFonts w:ascii="Times New Roman"/>
        </w:rPr>
        <w:t>────────────</w:t>
      </w:r>
    </w:p>
    <w:sectPr>
      <w:footerReference r:id="rId12" w:type="default"/>
      <w:footerReference r:id="rId13" w:type="even"/>
      <w:type w:val="nextColumn"/>
      <w:pgSz w:w="11907" w:h="16839"/>
      <w:pgMar w:top="1418" w:right="1134" w:bottom="1134" w:left="1418" w:header="1418" w:footer="851"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38"/>
      </w:rPr>
    </w:pPr>
    <w:r>
      <w:rPr>
        <w:rStyle w:val="38"/>
      </w:rPr>
      <w:fldChar w:fldCharType="begin"/>
    </w:r>
    <w:r>
      <w:rPr>
        <w:rStyle w:val="38"/>
      </w:rPr>
      <w:instrText xml:space="preserve">PAGE  </w:instrText>
    </w:r>
    <w:r>
      <w:rPr>
        <w:rStyle w:val="38"/>
      </w:rPr>
      <w:fldChar w:fldCharType="separate"/>
    </w:r>
    <w:r>
      <w:rPr>
        <w:rStyle w:val="38"/>
      </w:rPr>
      <w:t>1</w:t>
    </w:r>
    <w:r>
      <w:rPr>
        <w:rStyle w:val="3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rPr>
        <w:rStyle w:val="38"/>
      </w:rPr>
    </w:pPr>
    <w:r>
      <w:rPr>
        <w:rStyle w:val="38"/>
      </w:rPr>
      <w:fldChar w:fldCharType="begin"/>
    </w:r>
    <w:r>
      <w:rPr>
        <w:rStyle w:val="38"/>
      </w:rPr>
      <w:instrText xml:space="preserve">PAGE  </w:instrText>
    </w:r>
    <w:r>
      <w:rPr>
        <w:rStyle w:val="3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38"/>
      </w:rPr>
    </w:pPr>
    <w:r>
      <w:rPr>
        <w:rStyle w:val="38"/>
      </w:rPr>
      <w:fldChar w:fldCharType="begin"/>
    </w:r>
    <w:r>
      <w:rPr>
        <w:rStyle w:val="38"/>
      </w:rPr>
      <w:instrText xml:space="preserve">PAGE  </w:instrText>
    </w:r>
    <w:r>
      <w:rPr>
        <w:rStyle w:val="38"/>
      </w:rPr>
      <w:fldChar w:fldCharType="separate"/>
    </w:r>
    <w:r>
      <w:rPr>
        <w:rStyle w:val="38"/>
      </w:rPr>
      <w:t>I</w:t>
    </w:r>
    <w:r>
      <w:rPr>
        <w:rStyle w:val="3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rPr>
        <w:rStyle w:val="38"/>
      </w:rPr>
    </w:pPr>
    <w:r>
      <w:rPr>
        <w:rStyle w:val="38"/>
      </w:rPr>
      <w:fldChar w:fldCharType="begin"/>
    </w:r>
    <w:r>
      <w:rPr>
        <w:rStyle w:val="38"/>
      </w:rPr>
      <w:instrText xml:space="preserve">PAGE  </w:instrText>
    </w:r>
    <w:r>
      <w:rPr>
        <w:rStyle w:val="38"/>
      </w:rPr>
      <w:fldChar w:fldCharType="separate"/>
    </w:r>
    <w:r>
      <w:rPr>
        <w:rStyle w:val="38"/>
      </w:rPr>
      <w:t>II</w:t>
    </w:r>
    <w:r>
      <w:rPr>
        <w:rStyle w:val="3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38"/>
      </w:rPr>
    </w:pPr>
    <w:r>
      <w:rPr>
        <w:rStyle w:val="38"/>
      </w:rPr>
      <w:fldChar w:fldCharType="begin"/>
    </w:r>
    <w:r>
      <w:rPr>
        <w:rStyle w:val="38"/>
      </w:rPr>
      <w:instrText xml:space="preserve">PAGE  </w:instrText>
    </w:r>
    <w:r>
      <w:rPr>
        <w:rStyle w:val="38"/>
      </w:rPr>
      <w:fldChar w:fldCharType="separate"/>
    </w:r>
    <w:r>
      <w:rPr>
        <w:rStyle w:val="38"/>
      </w:rPr>
      <w:t>3</w:t>
    </w:r>
    <w:r>
      <w:rPr>
        <w:rStyle w:val="3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rPr>
        <w:rStyle w:val="38"/>
      </w:rPr>
    </w:pPr>
    <w:r>
      <w:rPr>
        <w:rStyle w:val="38"/>
      </w:rPr>
      <w:fldChar w:fldCharType="begin"/>
    </w:r>
    <w:r>
      <w:rPr>
        <w:rStyle w:val="38"/>
      </w:rPr>
      <w:instrText xml:space="preserve">PAGE  </w:instrText>
    </w:r>
    <w:r>
      <w:rPr>
        <w:rStyle w:val="38"/>
      </w:rPr>
      <w:fldChar w:fldCharType="separate"/>
    </w:r>
    <w:r>
      <w:rPr>
        <w:rStyle w:val="38"/>
      </w:rPr>
      <w:t>4</w:t>
    </w:r>
    <w:r>
      <w:rPr>
        <w:rStyle w:val="3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t>YS/T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t>YS/T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Fonts w:ascii="黑体" w:eastAsia="黑体"/>
      </w:rPr>
    </w:pPr>
    <w:r>
      <w:rPr>
        <w:rFonts w:hint="eastAsia" w:ascii="黑体" w:eastAsia="黑体"/>
      </w:rPr>
      <w:t>YS/T XXX—202X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ascii="黑体" w:eastAsia="黑体"/>
      </w:rPr>
    </w:pPr>
    <w:r>
      <w:rPr>
        <w:rFonts w:hint="eastAsia" w:ascii="黑体" w:eastAsia="黑体"/>
      </w:rPr>
      <w:t>YS/T XXX—202×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6"/>
      <w:suff w:val="nothing"/>
      <w:lvlText w:val="%1%2.%3　"/>
      <w:lvlJc w:val="left"/>
      <w:pPr>
        <w:ind w:left="0" w:firstLine="0"/>
      </w:pPr>
      <w:rPr>
        <w:rFonts w:hint="eastAsia" w:ascii="黑体" w:hAnsi="Times New Roman" w:eastAsia="黑体"/>
        <w:b w:val="0"/>
        <w:i w:val="0"/>
        <w:sz w:val="21"/>
      </w:rPr>
    </w:lvl>
    <w:lvl w:ilvl="3" w:tentative="0">
      <w:start w:val="1"/>
      <w:numFmt w:val="decimal"/>
      <w:pStyle w:val="63"/>
      <w:suff w:val="nothing"/>
      <w:lvlText w:val="%1%2.%3.%4　"/>
      <w:lvlJc w:val="left"/>
      <w:pPr>
        <w:ind w:left="0" w:firstLine="0"/>
      </w:pPr>
      <w:rPr>
        <w:rFonts w:hint="eastAsia" w:ascii="黑体" w:hAnsi="Times New Roman" w:eastAsia="黑体"/>
        <w:b w:val="0"/>
        <w:i w:val="0"/>
        <w:sz w:val="21"/>
      </w:rPr>
    </w:lvl>
    <w:lvl w:ilvl="4" w:tentative="0">
      <w:start w:val="1"/>
      <w:numFmt w:val="decimal"/>
      <w:pStyle w:val="94"/>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10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9AE79AF"/>
    <w:multiLevelType w:val="multilevel"/>
    <w:tmpl w:val="09AE79AF"/>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AE367E9"/>
    <w:multiLevelType w:val="multilevel"/>
    <w:tmpl w:val="0AE367E9"/>
    <w:lvl w:ilvl="0" w:tentative="0">
      <w:start w:val="1"/>
      <w:numFmt w:val="none"/>
      <w:pStyle w:val="96"/>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B463E4E"/>
    <w:multiLevelType w:val="multilevel"/>
    <w:tmpl w:val="3B463E4E"/>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407E65F9"/>
    <w:multiLevelType w:val="multilevel"/>
    <w:tmpl w:val="407E65F9"/>
    <w:lvl w:ilvl="0" w:tentative="0">
      <w:start w:val="1"/>
      <w:numFmt w:val="none"/>
      <w:pStyle w:val="88"/>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496E4D7B"/>
    <w:multiLevelType w:val="multilevel"/>
    <w:tmpl w:val="496E4D7B"/>
    <w:lvl w:ilvl="0" w:tentative="0">
      <w:start w:val="1"/>
      <w:numFmt w:val="none"/>
      <w:pStyle w:val="11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57C2AF5"/>
    <w:multiLevelType w:val="multilevel"/>
    <w:tmpl w:val="557C2AF5"/>
    <w:lvl w:ilvl="0" w:tentative="0">
      <w:start w:val="1"/>
      <w:numFmt w:val="decimal"/>
      <w:pStyle w:val="10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646260FA"/>
    <w:multiLevelType w:val="multilevel"/>
    <w:tmpl w:val="646260FA"/>
    <w:lvl w:ilvl="0" w:tentative="0">
      <w:start w:val="1"/>
      <w:numFmt w:val="decimal"/>
      <w:pStyle w:val="107"/>
      <w:suff w:val="nothing"/>
      <w:lvlText w:val="表%1　"/>
      <w:lvlJc w:val="left"/>
      <w:pPr>
        <w:ind w:left="4095" w:firstLine="0"/>
      </w:pPr>
      <w:rPr>
        <w:rFonts w:hint="eastAsia" w:ascii="黑体" w:hAnsi="Times New Roman" w:eastAsia="黑体"/>
        <w:b w:val="0"/>
        <w:i w:val="0"/>
        <w:color w:val="auto"/>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tentative="0">
      <w:start w:val="1"/>
      <w:numFmt w:val="upperLetter"/>
      <w:pStyle w:val="76"/>
      <w:suff w:val="nothing"/>
      <w:lvlText w:val="附　录　%1"/>
      <w:lvlJc w:val="left"/>
      <w:pPr>
        <w:ind w:left="0" w:firstLine="0"/>
      </w:pPr>
      <w:rPr>
        <w:rFonts w:hint="eastAsia" w:ascii="黑体" w:hAnsi="Times New Roman" w:eastAsia="黑体"/>
        <w:b w:val="0"/>
        <w:i w:val="0"/>
        <w:sz w:val="21"/>
      </w:rPr>
    </w:lvl>
    <w:lvl w:ilvl="1" w:tentative="0">
      <w:start w:val="1"/>
      <w:numFmt w:val="decimal"/>
      <w:pStyle w:val="7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9"/>
      <w:suff w:val="nothing"/>
      <w:lvlText w:val="%1.%2.%3　"/>
      <w:lvlJc w:val="left"/>
      <w:pPr>
        <w:ind w:left="0" w:firstLine="0"/>
      </w:pPr>
      <w:rPr>
        <w:rFonts w:hint="eastAsia" w:ascii="黑体" w:hAnsi="Times New Roman" w:eastAsia="黑体"/>
        <w:b w:val="0"/>
        <w:i w:val="0"/>
        <w:sz w:val="21"/>
      </w:rPr>
    </w:lvl>
    <w:lvl w:ilvl="3" w:tentative="0">
      <w:start w:val="1"/>
      <w:numFmt w:val="decimal"/>
      <w:pStyle w:val="80"/>
      <w:suff w:val="nothing"/>
      <w:lvlText w:val="%1.%2.%3.%4　"/>
      <w:lvlJc w:val="left"/>
      <w:pPr>
        <w:ind w:left="0" w:firstLine="0"/>
      </w:pPr>
      <w:rPr>
        <w:rFonts w:hint="eastAsia" w:ascii="黑体" w:hAnsi="Times New Roman" w:eastAsia="黑体"/>
        <w:b w:val="0"/>
        <w:i w:val="0"/>
        <w:sz w:val="21"/>
      </w:rPr>
    </w:lvl>
    <w:lvl w:ilvl="4" w:tentative="0">
      <w:start w:val="1"/>
      <w:numFmt w:val="decimal"/>
      <w:pStyle w:val="81"/>
      <w:suff w:val="nothing"/>
      <w:lvlText w:val="%1.%2.%3.%4.%5　"/>
      <w:lvlJc w:val="left"/>
      <w:pPr>
        <w:ind w:left="0" w:firstLine="0"/>
      </w:pPr>
      <w:rPr>
        <w:rFonts w:hint="eastAsia" w:ascii="黑体" w:hAnsi="Times New Roman" w:eastAsia="黑体"/>
        <w:b w:val="0"/>
        <w:i w:val="0"/>
        <w:sz w:val="21"/>
      </w:rPr>
    </w:lvl>
    <w:lvl w:ilvl="5" w:tentative="0">
      <w:start w:val="1"/>
      <w:numFmt w:val="decimal"/>
      <w:pStyle w:val="82"/>
      <w:suff w:val="nothing"/>
      <w:lvlText w:val="%1.%2.%3.%4.%5.%6　"/>
      <w:lvlJc w:val="left"/>
      <w:pPr>
        <w:ind w:left="0" w:firstLine="0"/>
      </w:pPr>
      <w:rPr>
        <w:rFonts w:hint="eastAsia" w:ascii="黑体" w:hAnsi="Times New Roman" w:eastAsia="黑体"/>
        <w:b w:val="0"/>
        <w:i w:val="0"/>
        <w:sz w:val="21"/>
      </w:rPr>
    </w:lvl>
    <w:lvl w:ilvl="6" w:tentative="0">
      <w:start w:val="1"/>
      <w:numFmt w:val="decimal"/>
      <w:pStyle w:val="8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tentative="0">
      <w:start w:val="1"/>
      <w:numFmt w:val="none"/>
      <w:pStyle w:val="57"/>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426" w:firstLine="0"/>
      </w:pPr>
      <w:rPr>
        <w:rFonts w:hint="eastAsia" w:ascii="黑体" w:hAnsi="Times New Roman" w:eastAsia="黑体"/>
        <w:b w:val="0"/>
        <w:i w:val="0"/>
        <w:sz w:val="21"/>
      </w:rPr>
    </w:lvl>
    <w:lvl w:ilvl="2" w:tentative="0">
      <w:start w:val="1"/>
      <w:numFmt w:val="decimal"/>
      <w:pStyle w:val="61"/>
      <w:suff w:val="nothing"/>
      <w:lvlText w:val="%1%2.%3　"/>
      <w:lvlJc w:val="left"/>
      <w:pPr>
        <w:ind w:left="420" w:firstLine="0"/>
      </w:pPr>
      <w:rPr>
        <w:rFonts w:hint="eastAsia" w:ascii="黑体" w:hAnsi="Times New Roman" w:eastAsia="黑体"/>
        <w:b w:val="0"/>
        <w:i w:val="0"/>
        <w:sz w:val="21"/>
      </w:rPr>
    </w:lvl>
    <w:lvl w:ilvl="3" w:tentative="0">
      <w:start w:val="1"/>
      <w:numFmt w:val="decimal"/>
      <w:pStyle w:val="62"/>
      <w:suff w:val="nothing"/>
      <w:lvlText w:val="%1%2.%3.%4　"/>
      <w:lvlJc w:val="left"/>
      <w:pPr>
        <w:ind w:left="0" w:firstLine="0"/>
      </w:pPr>
      <w:rPr>
        <w:rFonts w:hint="eastAsia" w:ascii="黑体" w:hAnsi="宋体" w:eastAsia="黑体"/>
        <w:b w:val="0"/>
        <w:i w:val="0"/>
        <w:color w:val="auto"/>
        <w:sz w:val="21"/>
      </w:rPr>
    </w:lvl>
    <w:lvl w:ilvl="4" w:tentative="0">
      <w:start w:val="1"/>
      <w:numFmt w:val="decimal"/>
      <w:pStyle w:val="93"/>
      <w:suff w:val="nothing"/>
      <w:lvlText w:val="%1%2.%3.%4.%5　"/>
      <w:lvlJc w:val="left"/>
      <w:pPr>
        <w:ind w:left="1575" w:firstLine="0"/>
      </w:pPr>
      <w:rPr>
        <w:rFonts w:hint="eastAsia" w:ascii="黑体" w:hAnsi="Times New Roman" w:eastAsia="黑体"/>
        <w:b w:val="0"/>
        <w:i w:val="0"/>
        <w:color w:val="auto"/>
        <w:sz w:val="21"/>
      </w:rPr>
    </w:lvl>
    <w:lvl w:ilvl="5" w:tentative="0">
      <w:start w:val="1"/>
      <w:numFmt w:val="decimal"/>
      <w:pStyle w:val="98"/>
      <w:suff w:val="nothing"/>
      <w:lvlText w:val="%1%2.%3.%4.%5.%6　"/>
      <w:lvlJc w:val="left"/>
      <w:pPr>
        <w:ind w:left="0" w:firstLine="0"/>
      </w:pPr>
      <w:rPr>
        <w:rFonts w:hint="eastAsia" w:ascii="黑体" w:hAnsi="Times New Roman" w:eastAsia="黑体"/>
        <w:b w:val="0"/>
        <w:i w:val="0"/>
        <w:sz w:val="21"/>
      </w:rPr>
    </w:lvl>
    <w:lvl w:ilvl="6" w:tentative="0">
      <w:start w:val="1"/>
      <w:numFmt w:val="decimal"/>
      <w:pStyle w:val="10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tentative="0">
      <w:start w:val="1"/>
      <w:numFmt w:val="none"/>
      <w:pStyle w:val="109"/>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2"/>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6933334"/>
    <w:multiLevelType w:val="multilevel"/>
    <w:tmpl w:val="76933334"/>
    <w:lvl w:ilvl="0" w:tentative="0">
      <w:start w:val="1"/>
      <w:numFmt w:val="none"/>
      <w:pStyle w:val="87"/>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0"/>
  </w:num>
  <w:num w:numId="3">
    <w:abstractNumId w:val="8"/>
  </w:num>
  <w:num w:numId="4">
    <w:abstractNumId w:val="11"/>
  </w:num>
  <w:num w:numId="5">
    <w:abstractNumId w:val="4"/>
  </w:num>
  <w:num w:numId="6">
    <w:abstractNumId w:val="2"/>
  </w:num>
  <w:num w:numId="7">
    <w:abstractNumId w:val="7"/>
  </w:num>
  <w:num w:numId="8">
    <w:abstractNumId w:val="6"/>
  </w:num>
  <w:num w:numId="9">
    <w:abstractNumId w:val="10"/>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1BC"/>
    <w:rsid w:val="0000055D"/>
    <w:rsid w:val="000009F1"/>
    <w:rsid w:val="00000FC6"/>
    <w:rsid w:val="00001186"/>
    <w:rsid w:val="0000162B"/>
    <w:rsid w:val="000017DE"/>
    <w:rsid w:val="0000243C"/>
    <w:rsid w:val="00003171"/>
    <w:rsid w:val="000035B3"/>
    <w:rsid w:val="0000417D"/>
    <w:rsid w:val="0000454A"/>
    <w:rsid w:val="0000465D"/>
    <w:rsid w:val="000056BF"/>
    <w:rsid w:val="000066C0"/>
    <w:rsid w:val="00007302"/>
    <w:rsid w:val="0000768A"/>
    <w:rsid w:val="00010E75"/>
    <w:rsid w:val="00011AFA"/>
    <w:rsid w:val="00012A85"/>
    <w:rsid w:val="000134B9"/>
    <w:rsid w:val="00014819"/>
    <w:rsid w:val="00015492"/>
    <w:rsid w:val="0001678A"/>
    <w:rsid w:val="0002049E"/>
    <w:rsid w:val="0002182A"/>
    <w:rsid w:val="000242B4"/>
    <w:rsid w:val="0002503C"/>
    <w:rsid w:val="00025ED0"/>
    <w:rsid w:val="00026F4D"/>
    <w:rsid w:val="00026FDD"/>
    <w:rsid w:val="000311B5"/>
    <w:rsid w:val="00032601"/>
    <w:rsid w:val="000341A3"/>
    <w:rsid w:val="0003461A"/>
    <w:rsid w:val="00035BD1"/>
    <w:rsid w:val="00035DDB"/>
    <w:rsid w:val="000360E2"/>
    <w:rsid w:val="0003772D"/>
    <w:rsid w:val="00037810"/>
    <w:rsid w:val="00037B52"/>
    <w:rsid w:val="0004007A"/>
    <w:rsid w:val="000409E1"/>
    <w:rsid w:val="000412E3"/>
    <w:rsid w:val="00043F3D"/>
    <w:rsid w:val="000458C2"/>
    <w:rsid w:val="0004593E"/>
    <w:rsid w:val="00045FC1"/>
    <w:rsid w:val="00046BAC"/>
    <w:rsid w:val="00047119"/>
    <w:rsid w:val="0005298A"/>
    <w:rsid w:val="000530FA"/>
    <w:rsid w:val="0005346F"/>
    <w:rsid w:val="0005410B"/>
    <w:rsid w:val="00055821"/>
    <w:rsid w:val="00055E56"/>
    <w:rsid w:val="000567E9"/>
    <w:rsid w:val="00056941"/>
    <w:rsid w:val="00061A6C"/>
    <w:rsid w:val="00062106"/>
    <w:rsid w:val="00062B30"/>
    <w:rsid w:val="000632AE"/>
    <w:rsid w:val="00063D4B"/>
    <w:rsid w:val="0006502D"/>
    <w:rsid w:val="000650AE"/>
    <w:rsid w:val="000667FE"/>
    <w:rsid w:val="000678DC"/>
    <w:rsid w:val="0007133C"/>
    <w:rsid w:val="00071726"/>
    <w:rsid w:val="0007268A"/>
    <w:rsid w:val="00072A67"/>
    <w:rsid w:val="00073823"/>
    <w:rsid w:val="000749EF"/>
    <w:rsid w:val="00074D17"/>
    <w:rsid w:val="000754CB"/>
    <w:rsid w:val="00075AE1"/>
    <w:rsid w:val="00076A50"/>
    <w:rsid w:val="00076C3B"/>
    <w:rsid w:val="00076F9E"/>
    <w:rsid w:val="00080EBA"/>
    <w:rsid w:val="00081494"/>
    <w:rsid w:val="00081678"/>
    <w:rsid w:val="00082C6B"/>
    <w:rsid w:val="000844C2"/>
    <w:rsid w:val="00084686"/>
    <w:rsid w:val="000850AF"/>
    <w:rsid w:val="000856AA"/>
    <w:rsid w:val="00087313"/>
    <w:rsid w:val="00087328"/>
    <w:rsid w:val="000879AC"/>
    <w:rsid w:val="00087EC7"/>
    <w:rsid w:val="00090324"/>
    <w:rsid w:val="0009060D"/>
    <w:rsid w:val="0009117F"/>
    <w:rsid w:val="00091E9C"/>
    <w:rsid w:val="0009353D"/>
    <w:rsid w:val="00093DF7"/>
    <w:rsid w:val="00094B33"/>
    <w:rsid w:val="00094C48"/>
    <w:rsid w:val="000951E2"/>
    <w:rsid w:val="000958E5"/>
    <w:rsid w:val="00096568"/>
    <w:rsid w:val="000967ED"/>
    <w:rsid w:val="0009720E"/>
    <w:rsid w:val="00097DC4"/>
    <w:rsid w:val="000A019F"/>
    <w:rsid w:val="000A02E4"/>
    <w:rsid w:val="000A2B6C"/>
    <w:rsid w:val="000A5617"/>
    <w:rsid w:val="000A59C6"/>
    <w:rsid w:val="000A6AD9"/>
    <w:rsid w:val="000A7DEC"/>
    <w:rsid w:val="000B00BE"/>
    <w:rsid w:val="000B048F"/>
    <w:rsid w:val="000B1E7E"/>
    <w:rsid w:val="000B32CE"/>
    <w:rsid w:val="000B47E3"/>
    <w:rsid w:val="000B57CE"/>
    <w:rsid w:val="000B73B9"/>
    <w:rsid w:val="000C1B10"/>
    <w:rsid w:val="000C671A"/>
    <w:rsid w:val="000C679B"/>
    <w:rsid w:val="000D0BFC"/>
    <w:rsid w:val="000D45A3"/>
    <w:rsid w:val="000D6019"/>
    <w:rsid w:val="000D6AA3"/>
    <w:rsid w:val="000D6D43"/>
    <w:rsid w:val="000D76DF"/>
    <w:rsid w:val="000D7DA8"/>
    <w:rsid w:val="000E20ED"/>
    <w:rsid w:val="000E2A1E"/>
    <w:rsid w:val="000E2AC4"/>
    <w:rsid w:val="000E324F"/>
    <w:rsid w:val="000E400F"/>
    <w:rsid w:val="000E5367"/>
    <w:rsid w:val="000E7260"/>
    <w:rsid w:val="000F0B2E"/>
    <w:rsid w:val="000F3B18"/>
    <w:rsid w:val="000F44B2"/>
    <w:rsid w:val="000F61C2"/>
    <w:rsid w:val="000F6FDC"/>
    <w:rsid w:val="0010108E"/>
    <w:rsid w:val="001035D9"/>
    <w:rsid w:val="0010380E"/>
    <w:rsid w:val="00105275"/>
    <w:rsid w:val="001069C9"/>
    <w:rsid w:val="001073AD"/>
    <w:rsid w:val="0010773F"/>
    <w:rsid w:val="00107A82"/>
    <w:rsid w:val="00110370"/>
    <w:rsid w:val="00111732"/>
    <w:rsid w:val="00115007"/>
    <w:rsid w:val="0011661C"/>
    <w:rsid w:val="00116BC7"/>
    <w:rsid w:val="00117E9E"/>
    <w:rsid w:val="001203AB"/>
    <w:rsid w:val="001203DC"/>
    <w:rsid w:val="00120755"/>
    <w:rsid w:val="00120B57"/>
    <w:rsid w:val="00125902"/>
    <w:rsid w:val="00127035"/>
    <w:rsid w:val="001307C8"/>
    <w:rsid w:val="00130EC4"/>
    <w:rsid w:val="00131625"/>
    <w:rsid w:val="00131939"/>
    <w:rsid w:val="00133690"/>
    <w:rsid w:val="00133A62"/>
    <w:rsid w:val="00136EB5"/>
    <w:rsid w:val="0014212B"/>
    <w:rsid w:val="001443A4"/>
    <w:rsid w:val="00144607"/>
    <w:rsid w:val="0014709B"/>
    <w:rsid w:val="00151D12"/>
    <w:rsid w:val="00151F79"/>
    <w:rsid w:val="0015225A"/>
    <w:rsid w:val="00154B57"/>
    <w:rsid w:val="00154D12"/>
    <w:rsid w:val="00155F9D"/>
    <w:rsid w:val="00157FA4"/>
    <w:rsid w:val="001616B5"/>
    <w:rsid w:val="001618AE"/>
    <w:rsid w:val="00161F37"/>
    <w:rsid w:val="0016477F"/>
    <w:rsid w:val="00164BC2"/>
    <w:rsid w:val="00166291"/>
    <w:rsid w:val="00166C2A"/>
    <w:rsid w:val="00167DAF"/>
    <w:rsid w:val="001703D4"/>
    <w:rsid w:val="00170C02"/>
    <w:rsid w:val="001739FD"/>
    <w:rsid w:val="001747ED"/>
    <w:rsid w:val="001748F2"/>
    <w:rsid w:val="001753F1"/>
    <w:rsid w:val="0017576C"/>
    <w:rsid w:val="00176AED"/>
    <w:rsid w:val="00177E94"/>
    <w:rsid w:val="00180901"/>
    <w:rsid w:val="00184266"/>
    <w:rsid w:val="001867F1"/>
    <w:rsid w:val="00186B33"/>
    <w:rsid w:val="00191DC9"/>
    <w:rsid w:val="00191F6D"/>
    <w:rsid w:val="0019231F"/>
    <w:rsid w:val="00192466"/>
    <w:rsid w:val="00192E81"/>
    <w:rsid w:val="001932C3"/>
    <w:rsid w:val="00193761"/>
    <w:rsid w:val="00193C98"/>
    <w:rsid w:val="001950E8"/>
    <w:rsid w:val="0019587A"/>
    <w:rsid w:val="00196A11"/>
    <w:rsid w:val="00196BC0"/>
    <w:rsid w:val="00196E2E"/>
    <w:rsid w:val="00197F2C"/>
    <w:rsid w:val="001A0601"/>
    <w:rsid w:val="001A0711"/>
    <w:rsid w:val="001A178C"/>
    <w:rsid w:val="001A1940"/>
    <w:rsid w:val="001A289F"/>
    <w:rsid w:val="001A3BC9"/>
    <w:rsid w:val="001A62D2"/>
    <w:rsid w:val="001A679C"/>
    <w:rsid w:val="001A7B1B"/>
    <w:rsid w:val="001B020F"/>
    <w:rsid w:val="001B1618"/>
    <w:rsid w:val="001B16AF"/>
    <w:rsid w:val="001B1931"/>
    <w:rsid w:val="001B32A9"/>
    <w:rsid w:val="001B3780"/>
    <w:rsid w:val="001B64ED"/>
    <w:rsid w:val="001B7A89"/>
    <w:rsid w:val="001C00B8"/>
    <w:rsid w:val="001C179A"/>
    <w:rsid w:val="001C3104"/>
    <w:rsid w:val="001C51DA"/>
    <w:rsid w:val="001C5C5B"/>
    <w:rsid w:val="001C76F0"/>
    <w:rsid w:val="001C7AB5"/>
    <w:rsid w:val="001D0030"/>
    <w:rsid w:val="001D0A39"/>
    <w:rsid w:val="001D0AED"/>
    <w:rsid w:val="001D1869"/>
    <w:rsid w:val="001D23C6"/>
    <w:rsid w:val="001D2DAF"/>
    <w:rsid w:val="001D4E57"/>
    <w:rsid w:val="001E0753"/>
    <w:rsid w:val="001E0B9E"/>
    <w:rsid w:val="001E0ECF"/>
    <w:rsid w:val="001E22A2"/>
    <w:rsid w:val="001E2420"/>
    <w:rsid w:val="001E2492"/>
    <w:rsid w:val="001E3EBF"/>
    <w:rsid w:val="001E4B12"/>
    <w:rsid w:val="001E4BAE"/>
    <w:rsid w:val="001E559B"/>
    <w:rsid w:val="001E5F92"/>
    <w:rsid w:val="001E6BB0"/>
    <w:rsid w:val="001E7398"/>
    <w:rsid w:val="001E7703"/>
    <w:rsid w:val="001E7790"/>
    <w:rsid w:val="001F03E1"/>
    <w:rsid w:val="001F141D"/>
    <w:rsid w:val="001F1CB7"/>
    <w:rsid w:val="001F2018"/>
    <w:rsid w:val="001F20E9"/>
    <w:rsid w:val="001F2B04"/>
    <w:rsid w:val="001F42D0"/>
    <w:rsid w:val="001F477A"/>
    <w:rsid w:val="001F51C0"/>
    <w:rsid w:val="001F643B"/>
    <w:rsid w:val="001F7B58"/>
    <w:rsid w:val="00200571"/>
    <w:rsid w:val="0020115B"/>
    <w:rsid w:val="00201619"/>
    <w:rsid w:val="00201C62"/>
    <w:rsid w:val="0020371B"/>
    <w:rsid w:val="00205C34"/>
    <w:rsid w:val="00207429"/>
    <w:rsid w:val="00210456"/>
    <w:rsid w:val="00210783"/>
    <w:rsid w:val="0021253B"/>
    <w:rsid w:val="00212CBB"/>
    <w:rsid w:val="00216784"/>
    <w:rsid w:val="00216D55"/>
    <w:rsid w:val="002171C5"/>
    <w:rsid w:val="002176B2"/>
    <w:rsid w:val="002205F6"/>
    <w:rsid w:val="00220906"/>
    <w:rsid w:val="002215DF"/>
    <w:rsid w:val="002261B6"/>
    <w:rsid w:val="002263E3"/>
    <w:rsid w:val="00226F55"/>
    <w:rsid w:val="0023382A"/>
    <w:rsid w:val="00237D37"/>
    <w:rsid w:val="002405A2"/>
    <w:rsid w:val="00243E89"/>
    <w:rsid w:val="00243EE6"/>
    <w:rsid w:val="0024428B"/>
    <w:rsid w:val="0024460A"/>
    <w:rsid w:val="00245B65"/>
    <w:rsid w:val="00247797"/>
    <w:rsid w:val="0025002D"/>
    <w:rsid w:val="0025259D"/>
    <w:rsid w:val="002528BC"/>
    <w:rsid w:val="00255C84"/>
    <w:rsid w:val="00256D99"/>
    <w:rsid w:val="00257B14"/>
    <w:rsid w:val="00262E00"/>
    <w:rsid w:val="00262F7A"/>
    <w:rsid w:val="0026466E"/>
    <w:rsid w:val="00264882"/>
    <w:rsid w:val="00265174"/>
    <w:rsid w:val="002705D6"/>
    <w:rsid w:val="00271C1E"/>
    <w:rsid w:val="002727E3"/>
    <w:rsid w:val="00273867"/>
    <w:rsid w:val="00273C36"/>
    <w:rsid w:val="00275F06"/>
    <w:rsid w:val="002835BA"/>
    <w:rsid w:val="0028384C"/>
    <w:rsid w:val="00283D6A"/>
    <w:rsid w:val="00286210"/>
    <w:rsid w:val="00286D3F"/>
    <w:rsid w:val="00290347"/>
    <w:rsid w:val="00292F46"/>
    <w:rsid w:val="00294DD6"/>
    <w:rsid w:val="002A0856"/>
    <w:rsid w:val="002A31FF"/>
    <w:rsid w:val="002A5049"/>
    <w:rsid w:val="002A529F"/>
    <w:rsid w:val="002A53D9"/>
    <w:rsid w:val="002A5839"/>
    <w:rsid w:val="002A58B8"/>
    <w:rsid w:val="002A59CA"/>
    <w:rsid w:val="002A66F2"/>
    <w:rsid w:val="002A69CB"/>
    <w:rsid w:val="002A7C12"/>
    <w:rsid w:val="002B1444"/>
    <w:rsid w:val="002B22B2"/>
    <w:rsid w:val="002B330A"/>
    <w:rsid w:val="002B3480"/>
    <w:rsid w:val="002B398E"/>
    <w:rsid w:val="002B3CB0"/>
    <w:rsid w:val="002B593E"/>
    <w:rsid w:val="002B68FF"/>
    <w:rsid w:val="002B6F0E"/>
    <w:rsid w:val="002B79B3"/>
    <w:rsid w:val="002B7BAB"/>
    <w:rsid w:val="002C09D6"/>
    <w:rsid w:val="002C1366"/>
    <w:rsid w:val="002C1CB7"/>
    <w:rsid w:val="002C1F43"/>
    <w:rsid w:val="002C20E3"/>
    <w:rsid w:val="002C31EA"/>
    <w:rsid w:val="002C405A"/>
    <w:rsid w:val="002C43BA"/>
    <w:rsid w:val="002C43C4"/>
    <w:rsid w:val="002C6408"/>
    <w:rsid w:val="002C736F"/>
    <w:rsid w:val="002C78F7"/>
    <w:rsid w:val="002D09C4"/>
    <w:rsid w:val="002D1B29"/>
    <w:rsid w:val="002D2313"/>
    <w:rsid w:val="002D2BEA"/>
    <w:rsid w:val="002D3D45"/>
    <w:rsid w:val="002D5B48"/>
    <w:rsid w:val="002D5B9F"/>
    <w:rsid w:val="002D605D"/>
    <w:rsid w:val="002D777A"/>
    <w:rsid w:val="002D7BE4"/>
    <w:rsid w:val="002D7E53"/>
    <w:rsid w:val="002D7EB3"/>
    <w:rsid w:val="002E0507"/>
    <w:rsid w:val="002E0B98"/>
    <w:rsid w:val="002E1566"/>
    <w:rsid w:val="002E2536"/>
    <w:rsid w:val="002E3665"/>
    <w:rsid w:val="002E3F85"/>
    <w:rsid w:val="002E446F"/>
    <w:rsid w:val="002E59C8"/>
    <w:rsid w:val="002E5AB1"/>
    <w:rsid w:val="002E6B39"/>
    <w:rsid w:val="002E74AB"/>
    <w:rsid w:val="002E7B94"/>
    <w:rsid w:val="002E7E7F"/>
    <w:rsid w:val="002F0B02"/>
    <w:rsid w:val="002F0EA0"/>
    <w:rsid w:val="002F14B5"/>
    <w:rsid w:val="002F14B9"/>
    <w:rsid w:val="002F3ABD"/>
    <w:rsid w:val="002F43DA"/>
    <w:rsid w:val="002F54A2"/>
    <w:rsid w:val="002F76A8"/>
    <w:rsid w:val="003012D8"/>
    <w:rsid w:val="0030302A"/>
    <w:rsid w:val="003067EA"/>
    <w:rsid w:val="00306DB4"/>
    <w:rsid w:val="0030780E"/>
    <w:rsid w:val="00312138"/>
    <w:rsid w:val="003128A0"/>
    <w:rsid w:val="00312F3F"/>
    <w:rsid w:val="00313541"/>
    <w:rsid w:val="003150F8"/>
    <w:rsid w:val="00315F27"/>
    <w:rsid w:val="00315FC0"/>
    <w:rsid w:val="00316B5E"/>
    <w:rsid w:val="00316D8F"/>
    <w:rsid w:val="00317BE8"/>
    <w:rsid w:val="00321DDC"/>
    <w:rsid w:val="003252A3"/>
    <w:rsid w:val="003253FE"/>
    <w:rsid w:val="003272C7"/>
    <w:rsid w:val="00327F9C"/>
    <w:rsid w:val="003304BE"/>
    <w:rsid w:val="00331148"/>
    <w:rsid w:val="003337CB"/>
    <w:rsid w:val="0033643B"/>
    <w:rsid w:val="00336D1F"/>
    <w:rsid w:val="003407CE"/>
    <w:rsid w:val="00340FBB"/>
    <w:rsid w:val="00341871"/>
    <w:rsid w:val="00342318"/>
    <w:rsid w:val="00342A0D"/>
    <w:rsid w:val="00343305"/>
    <w:rsid w:val="0034423A"/>
    <w:rsid w:val="00346F4F"/>
    <w:rsid w:val="00346FC7"/>
    <w:rsid w:val="00351C32"/>
    <w:rsid w:val="00352B16"/>
    <w:rsid w:val="00353AB3"/>
    <w:rsid w:val="00353EFA"/>
    <w:rsid w:val="00355918"/>
    <w:rsid w:val="00357309"/>
    <w:rsid w:val="00361D14"/>
    <w:rsid w:val="0036501F"/>
    <w:rsid w:val="0036515B"/>
    <w:rsid w:val="003654FB"/>
    <w:rsid w:val="003666BF"/>
    <w:rsid w:val="003700B1"/>
    <w:rsid w:val="00370685"/>
    <w:rsid w:val="00371332"/>
    <w:rsid w:val="00371632"/>
    <w:rsid w:val="00372706"/>
    <w:rsid w:val="00374823"/>
    <w:rsid w:val="003748CA"/>
    <w:rsid w:val="00374FF7"/>
    <w:rsid w:val="003763A7"/>
    <w:rsid w:val="003817A4"/>
    <w:rsid w:val="00382E06"/>
    <w:rsid w:val="0038393E"/>
    <w:rsid w:val="00385558"/>
    <w:rsid w:val="00386865"/>
    <w:rsid w:val="003877CE"/>
    <w:rsid w:val="00387A47"/>
    <w:rsid w:val="00393649"/>
    <w:rsid w:val="00393E07"/>
    <w:rsid w:val="0039450F"/>
    <w:rsid w:val="00394C15"/>
    <w:rsid w:val="003950D9"/>
    <w:rsid w:val="003957C3"/>
    <w:rsid w:val="00395AA0"/>
    <w:rsid w:val="00395E18"/>
    <w:rsid w:val="003A0321"/>
    <w:rsid w:val="003A03F5"/>
    <w:rsid w:val="003A0A5C"/>
    <w:rsid w:val="003A0AE2"/>
    <w:rsid w:val="003A1C4D"/>
    <w:rsid w:val="003A42C4"/>
    <w:rsid w:val="003A4302"/>
    <w:rsid w:val="003A58A5"/>
    <w:rsid w:val="003A6AE4"/>
    <w:rsid w:val="003A7354"/>
    <w:rsid w:val="003B1A64"/>
    <w:rsid w:val="003B235A"/>
    <w:rsid w:val="003B26FF"/>
    <w:rsid w:val="003B29E3"/>
    <w:rsid w:val="003B29E4"/>
    <w:rsid w:val="003B450D"/>
    <w:rsid w:val="003B6647"/>
    <w:rsid w:val="003C25D0"/>
    <w:rsid w:val="003C3389"/>
    <w:rsid w:val="003C38BC"/>
    <w:rsid w:val="003C695D"/>
    <w:rsid w:val="003C6B66"/>
    <w:rsid w:val="003C7265"/>
    <w:rsid w:val="003D353C"/>
    <w:rsid w:val="003D392A"/>
    <w:rsid w:val="003D3EA1"/>
    <w:rsid w:val="003D6753"/>
    <w:rsid w:val="003E0423"/>
    <w:rsid w:val="003E0747"/>
    <w:rsid w:val="003E0F20"/>
    <w:rsid w:val="003E1306"/>
    <w:rsid w:val="003E19EB"/>
    <w:rsid w:val="003E241B"/>
    <w:rsid w:val="003E2838"/>
    <w:rsid w:val="003E42E7"/>
    <w:rsid w:val="003E4C4F"/>
    <w:rsid w:val="003E4CAA"/>
    <w:rsid w:val="003E505F"/>
    <w:rsid w:val="003E59EC"/>
    <w:rsid w:val="003E5B85"/>
    <w:rsid w:val="003E5E01"/>
    <w:rsid w:val="003E6FBA"/>
    <w:rsid w:val="003E7213"/>
    <w:rsid w:val="003F00EF"/>
    <w:rsid w:val="003F05FE"/>
    <w:rsid w:val="003F0EAE"/>
    <w:rsid w:val="003F2043"/>
    <w:rsid w:val="003F3326"/>
    <w:rsid w:val="003F5855"/>
    <w:rsid w:val="0040014B"/>
    <w:rsid w:val="00400515"/>
    <w:rsid w:val="004011A4"/>
    <w:rsid w:val="00401D0C"/>
    <w:rsid w:val="00403F24"/>
    <w:rsid w:val="00405A5D"/>
    <w:rsid w:val="00406427"/>
    <w:rsid w:val="004110B0"/>
    <w:rsid w:val="00413DBB"/>
    <w:rsid w:val="00414BD6"/>
    <w:rsid w:val="00415B32"/>
    <w:rsid w:val="0041627A"/>
    <w:rsid w:val="004162FA"/>
    <w:rsid w:val="00417489"/>
    <w:rsid w:val="00417B44"/>
    <w:rsid w:val="00420D0C"/>
    <w:rsid w:val="00424507"/>
    <w:rsid w:val="00425634"/>
    <w:rsid w:val="00426CF9"/>
    <w:rsid w:val="00427045"/>
    <w:rsid w:val="00431416"/>
    <w:rsid w:val="004315C1"/>
    <w:rsid w:val="0043263A"/>
    <w:rsid w:val="00434177"/>
    <w:rsid w:val="004341CA"/>
    <w:rsid w:val="004362AF"/>
    <w:rsid w:val="00436360"/>
    <w:rsid w:val="00436399"/>
    <w:rsid w:val="00437A16"/>
    <w:rsid w:val="00441011"/>
    <w:rsid w:val="004410C3"/>
    <w:rsid w:val="00445350"/>
    <w:rsid w:val="004463C6"/>
    <w:rsid w:val="004463CF"/>
    <w:rsid w:val="004470FE"/>
    <w:rsid w:val="004528CB"/>
    <w:rsid w:val="004535C2"/>
    <w:rsid w:val="004537D7"/>
    <w:rsid w:val="0045583C"/>
    <w:rsid w:val="00455CC5"/>
    <w:rsid w:val="00456431"/>
    <w:rsid w:val="004606EF"/>
    <w:rsid w:val="004620CE"/>
    <w:rsid w:val="0046287E"/>
    <w:rsid w:val="00463045"/>
    <w:rsid w:val="004635CC"/>
    <w:rsid w:val="00463764"/>
    <w:rsid w:val="00463B93"/>
    <w:rsid w:val="00463C0D"/>
    <w:rsid w:val="004643FC"/>
    <w:rsid w:val="00464896"/>
    <w:rsid w:val="0046633F"/>
    <w:rsid w:val="004679BF"/>
    <w:rsid w:val="00467A6C"/>
    <w:rsid w:val="00467C3F"/>
    <w:rsid w:val="004709A2"/>
    <w:rsid w:val="00472002"/>
    <w:rsid w:val="004731CA"/>
    <w:rsid w:val="00473E2E"/>
    <w:rsid w:val="004772B1"/>
    <w:rsid w:val="0048124B"/>
    <w:rsid w:val="00481308"/>
    <w:rsid w:val="0048149D"/>
    <w:rsid w:val="004855B5"/>
    <w:rsid w:val="004867C5"/>
    <w:rsid w:val="004876BE"/>
    <w:rsid w:val="00491E6C"/>
    <w:rsid w:val="004924BB"/>
    <w:rsid w:val="00493005"/>
    <w:rsid w:val="00493038"/>
    <w:rsid w:val="004931DE"/>
    <w:rsid w:val="004939E6"/>
    <w:rsid w:val="00495D55"/>
    <w:rsid w:val="00495FA1"/>
    <w:rsid w:val="00496638"/>
    <w:rsid w:val="00496755"/>
    <w:rsid w:val="00497941"/>
    <w:rsid w:val="00497D38"/>
    <w:rsid w:val="00497E6C"/>
    <w:rsid w:val="004A1F0A"/>
    <w:rsid w:val="004A278A"/>
    <w:rsid w:val="004A3F38"/>
    <w:rsid w:val="004A6676"/>
    <w:rsid w:val="004B041D"/>
    <w:rsid w:val="004B1C54"/>
    <w:rsid w:val="004B1EA5"/>
    <w:rsid w:val="004B22B6"/>
    <w:rsid w:val="004B2C24"/>
    <w:rsid w:val="004B2F85"/>
    <w:rsid w:val="004B384E"/>
    <w:rsid w:val="004B3BED"/>
    <w:rsid w:val="004B6096"/>
    <w:rsid w:val="004B6D13"/>
    <w:rsid w:val="004B7A2A"/>
    <w:rsid w:val="004C04DC"/>
    <w:rsid w:val="004C19C8"/>
    <w:rsid w:val="004C3874"/>
    <w:rsid w:val="004C3923"/>
    <w:rsid w:val="004C3F80"/>
    <w:rsid w:val="004C632B"/>
    <w:rsid w:val="004C6DCF"/>
    <w:rsid w:val="004D247C"/>
    <w:rsid w:val="004D2C20"/>
    <w:rsid w:val="004D475D"/>
    <w:rsid w:val="004D4D89"/>
    <w:rsid w:val="004D56C2"/>
    <w:rsid w:val="004D5DC2"/>
    <w:rsid w:val="004D739A"/>
    <w:rsid w:val="004D7B68"/>
    <w:rsid w:val="004D7C2B"/>
    <w:rsid w:val="004D7D1D"/>
    <w:rsid w:val="004E0165"/>
    <w:rsid w:val="004E065E"/>
    <w:rsid w:val="004E1096"/>
    <w:rsid w:val="004E37E1"/>
    <w:rsid w:val="004E408A"/>
    <w:rsid w:val="004E4BB9"/>
    <w:rsid w:val="004E6081"/>
    <w:rsid w:val="004E6A57"/>
    <w:rsid w:val="004E73DF"/>
    <w:rsid w:val="004E75D2"/>
    <w:rsid w:val="004E7DD7"/>
    <w:rsid w:val="004F1142"/>
    <w:rsid w:val="004F18DB"/>
    <w:rsid w:val="004F1D9D"/>
    <w:rsid w:val="004F1FD8"/>
    <w:rsid w:val="004F20F6"/>
    <w:rsid w:val="004F52C2"/>
    <w:rsid w:val="004F7B69"/>
    <w:rsid w:val="00501CA3"/>
    <w:rsid w:val="005045FB"/>
    <w:rsid w:val="005050CC"/>
    <w:rsid w:val="00506853"/>
    <w:rsid w:val="00507FCD"/>
    <w:rsid w:val="005124F2"/>
    <w:rsid w:val="00512B68"/>
    <w:rsid w:val="00513F15"/>
    <w:rsid w:val="0051468E"/>
    <w:rsid w:val="0051481B"/>
    <w:rsid w:val="00514FB1"/>
    <w:rsid w:val="00515F78"/>
    <w:rsid w:val="00516BEC"/>
    <w:rsid w:val="00516E4E"/>
    <w:rsid w:val="00517203"/>
    <w:rsid w:val="005173A2"/>
    <w:rsid w:val="00520981"/>
    <w:rsid w:val="00520E9E"/>
    <w:rsid w:val="005226C7"/>
    <w:rsid w:val="005241E3"/>
    <w:rsid w:val="005266AC"/>
    <w:rsid w:val="00530283"/>
    <w:rsid w:val="00530377"/>
    <w:rsid w:val="00530843"/>
    <w:rsid w:val="005313D2"/>
    <w:rsid w:val="005340D7"/>
    <w:rsid w:val="0053498C"/>
    <w:rsid w:val="005372E3"/>
    <w:rsid w:val="005378A6"/>
    <w:rsid w:val="00537ECB"/>
    <w:rsid w:val="00540870"/>
    <w:rsid w:val="00541445"/>
    <w:rsid w:val="00542556"/>
    <w:rsid w:val="00542F21"/>
    <w:rsid w:val="00543BD6"/>
    <w:rsid w:val="005447A7"/>
    <w:rsid w:val="005450D3"/>
    <w:rsid w:val="005458E3"/>
    <w:rsid w:val="00545A8A"/>
    <w:rsid w:val="00545E09"/>
    <w:rsid w:val="00547848"/>
    <w:rsid w:val="00547FE6"/>
    <w:rsid w:val="00550BAF"/>
    <w:rsid w:val="00552364"/>
    <w:rsid w:val="005530F8"/>
    <w:rsid w:val="00556146"/>
    <w:rsid w:val="00556270"/>
    <w:rsid w:val="00556395"/>
    <w:rsid w:val="00556B6E"/>
    <w:rsid w:val="0056153F"/>
    <w:rsid w:val="00561791"/>
    <w:rsid w:val="00561ECB"/>
    <w:rsid w:val="005621E2"/>
    <w:rsid w:val="005625B4"/>
    <w:rsid w:val="00562B61"/>
    <w:rsid w:val="00562CBA"/>
    <w:rsid w:val="0056456D"/>
    <w:rsid w:val="00565A5F"/>
    <w:rsid w:val="00566AF5"/>
    <w:rsid w:val="00567641"/>
    <w:rsid w:val="005676E1"/>
    <w:rsid w:val="00570AD9"/>
    <w:rsid w:val="005715FC"/>
    <w:rsid w:val="005741BE"/>
    <w:rsid w:val="00574253"/>
    <w:rsid w:val="00577906"/>
    <w:rsid w:val="005803C9"/>
    <w:rsid w:val="00580EAD"/>
    <w:rsid w:val="005813FC"/>
    <w:rsid w:val="00582072"/>
    <w:rsid w:val="00582A15"/>
    <w:rsid w:val="00582FE5"/>
    <w:rsid w:val="005849F6"/>
    <w:rsid w:val="0058565C"/>
    <w:rsid w:val="0058588B"/>
    <w:rsid w:val="00585AA5"/>
    <w:rsid w:val="00586471"/>
    <w:rsid w:val="00586F04"/>
    <w:rsid w:val="00592B7E"/>
    <w:rsid w:val="00593DE0"/>
    <w:rsid w:val="005948D9"/>
    <w:rsid w:val="00595216"/>
    <w:rsid w:val="005953B5"/>
    <w:rsid w:val="005955A0"/>
    <w:rsid w:val="005957D8"/>
    <w:rsid w:val="005959A4"/>
    <w:rsid w:val="00595A39"/>
    <w:rsid w:val="00595BDB"/>
    <w:rsid w:val="00596671"/>
    <w:rsid w:val="005A20C7"/>
    <w:rsid w:val="005A3F5A"/>
    <w:rsid w:val="005A54F9"/>
    <w:rsid w:val="005B0045"/>
    <w:rsid w:val="005B0A3F"/>
    <w:rsid w:val="005B169E"/>
    <w:rsid w:val="005B1E33"/>
    <w:rsid w:val="005B279F"/>
    <w:rsid w:val="005B2906"/>
    <w:rsid w:val="005B29BB"/>
    <w:rsid w:val="005B2D47"/>
    <w:rsid w:val="005B3619"/>
    <w:rsid w:val="005B415C"/>
    <w:rsid w:val="005B6E49"/>
    <w:rsid w:val="005C038A"/>
    <w:rsid w:val="005C1D3A"/>
    <w:rsid w:val="005C1D67"/>
    <w:rsid w:val="005C4382"/>
    <w:rsid w:val="005C4873"/>
    <w:rsid w:val="005C547D"/>
    <w:rsid w:val="005C70A5"/>
    <w:rsid w:val="005D1510"/>
    <w:rsid w:val="005D1524"/>
    <w:rsid w:val="005D1D66"/>
    <w:rsid w:val="005D628C"/>
    <w:rsid w:val="005D62E9"/>
    <w:rsid w:val="005D7437"/>
    <w:rsid w:val="005D7AF4"/>
    <w:rsid w:val="005E0672"/>
    <w:rsid w:val="005E2417"/>
    <w:rsid w:val="005E2589"/>
    <w:rsid w:val="005E27B9"/>
    <w:rsid w:val="005E2949"/>
    <w:rsid w:val="005E4091"/>
    <w:rsid w:val="005E4A99"/>
    <w:rsid w:val="005E54B8"/>
    <w:rsid w:val="005E7B60"/>
    <w:rsid w:val="005E7B77"/>
    <w:rsid w:val="005F1754"/>
    <w:rsid w:val="005F1CCD"/>
    <w:rsid w:val="005F24DE"/>
    <w:rsid w:val="005F2CFA"/>
    <w:rsid w:val="005F3346"/>
    <w:rsid w:val="005F37F8"/>
    <w:rsid w:val="005F484D"/>
    <w:rsid w:val="005F4C7E"/>
    <w:rsid w:val="005F50DA"/>
    <w:rsid w:val="005F55A7"/>
    <w:rsid w:val="005F6BFC"/>
    <w:rsid w:val="00600A3A"/>
    <w:rsid w:val="00601057"/>
    <w:rsid w:val="00601D5F"/>
    <w:rsid w:val="00604416"/>
    <w:rsid w:val="006070D6"/>
    <w:rsid w:val="00607DA3"/>
    <w:rsid w:val="006155EC"/>
    <w:rsid w:val="00615B25"/>
    <w:rsid w:val="006167DB"/>
    <w:rsid w:val="006171F4"/>
    <w:rsid w:val="0061749D"/>
    <w:rsid w:val="00623D32"/>
    <w:rsid w:val="00626637"/>
    <w:rsid w:val="00627229"/>
    <w:rsid w:val="0062723F"/>
    <w:rsid w:val="006272F4"/>
    <w:rsid w:val="00630183"/>
    <w:rsid w:val="0063047E"/>
    <w:rsid w:val="00630C52"/>
    <w:rsid w:val="006312AF"/>
    <w:rsid w:val="0063132C"/>
    <w:rsid w:val="00631F5D"/>
    <w:rsid w:val="0063258F"/>
    <w:rsid w:val="00632F1A"/>
    <w:rsid w:val="00633B38"/>
    <w:rsid w:val="00633B69"/>
    <w:rsid w:val="006351F4"/>
    <w:rsid w:val="00635DD6"/>
    <w:rsid w:val="00636377"/>
    <w:rsid w:val="00636EFC"/>
    <w:rsid w:val="0063719A"/>
    <w:rsid w:val="006377D3"/>
    <w:rsid w:val="00640426"/>
    <w:rsid w:val="00641310"/>
    <w:rsid w:val="0064199B"/>
    <w:rsid w:val="00642A9C"/>
    <w:rsid w:val="00643589"/>
    <w:rsid w:val="00644152"/>
    <w:rsid w:val="00645EAA"/>
    <w:rsid w:val="00645F4D"/>
    <w:rsid w:val="00646386"/>
    <w:rsid w:val="00646AFD"/>
    <w:rsid w:val="00646BFD"/>
    <w:rsid w:val="00646EBF"/>
    <w:rsid w:val="006473CB"/>
    <w:rsid w:val="00647CF2"/>
    <w:rsid w:val="006519D9"/>
    <w:rsid w:val="00652FBE"/>
    <w:rsid w:val="00653FEF"/>
    <w:rsid w:val="0065441F"/>
    <w:rsid w:val="0065474E"/>
    <w:rsid w:val="006547B5"/>
    <w:rsid w:val="00654F3C"/>
    <w:rsid w:val="00655063"/>
    <w:rsid w:val="006565AC"/>
    <w:rsid w:val="0065684C"/>
    <w:rsid w:val="00657C8C"/>
    <w:rsid w:val="00662035"/>
    <w:rsid w:val="00662247"/>
    <w:rsid w:val="0066462D"/>
    <w:rsid w:val="00664B40"/>
    <w:rsid w:val="006671EA"/>
    <w:rsid w:val="006678AF"/>
    <w:rsid w:val="00667C9E"/>
    <w:rsid w:val="0067027F"/>
    <w:rsid w:val="00670887"/>
    <w:rsid w:val="00671107"/>
    <w:rsid w:val="006718CF"/>
    <w:rsid w:val="00671AF0"/>
    <w:rsid w:val="006729B9"/>
    <w:rsid w:val="00674392"/>
    <w:rsid w:val="00675876"/>
    <w:rsid w:val="00675902"/>
    <w:rsid w:val="00675DDA"/>
    <w:rsid w:val="00676E1B"/>
    <w:rsid w:val="00677D34"/>
    <w:rsid w:val="00680947"/>
    <w:rsid w:val="00680AE4"/>
    <w:rsid w:val="00681768"/>
    <w:rsid w:val="0068221D"/>
    <w:rsid w:val="0068240A"/>
    <w:rsid w:val="006842E3"/>
    <w:rsid w:val="00686776"/>
    <w:rsid w:val="00687068"/>
    <w:rsid w:val="00687C0D"/>
    <w:rsid w:val="0069062E"/>
    <w:rsid w:val="006911B1"/>
    <w:rsid w:val="006927C0"/>
    <w:rsid w:val="0069298D"/>
    <w:rsid w:val="00692A1D"/>
    <w:rsid w:val="00693118"/>
    <w:rsid w:val="00694013"/>
    <w:rsid w:val="00694B73"/>
    <w:rsid w:val="006969AB"/>
    <w:rsid w:val="0069788B"/>
    <w:rsid w:val="006A00B7"/>
    <w:rsid w:val="006A0285"/>
    <w:rsid w:val="006A03B2"/>
    <w:rsid w:val="006A0455"/>
    <w:rsid w:val="006A1CE1"/>
    <w:rsid w:val="006A2F79"/>
    <w:rsid w:val="006A390D"/>
    <w:rsid w:val="006A437B"/>
    <w:rsid w:val="006A5EDE"/>
    <w:rsid w:val="006A6E86"/>
    <w:rsid w:val="006A7245"/>
    <w:rsid w:val="006A79C9"/>
    <w:rsid w:val="006A7E00"/>
    <w:rsid w:val="006B0925"/>
    <w:rsid w:val="006B0EEA"/>
    <w:rsid w:val="006B168D"/>
    <w:rsid w:val="006B39C5"/>
    <w:rsid w:val="006B4956"/>
    <w:rsid w:val="006B58DD"/>
    <w:rsid w:val="006B68A0"/>
    <w:rsid w:val="006C2047"/>
    <w:rsid w:val="006C243D"/>
    <w:rsid w:val="006C2C4A"/>
    <w:rsid w:val="006C3B7A"/>
    <w:rsid w:val="006D00E0"/>
    <w:rsid w:val="006D0236"/>
    <w:rsid w:val="006D19B3"/>
    <w:rsid w:val="006D1D75"/>
    <w:rsid w:val="006D43C1"/>
    <w:rsid w:val="006D477F"/>
    <w:rsid w:val="006D48B1"/>
    <w:rsid w:val="006D4AFC"/>
    <w:rsid w:val="006D654C"/>
    <w:rsid w:val="006E0487"/>
    <w:rsid w:val="006E1253"/>
    <w:rsid w:val="006E12E9"/>
    <w:rsid w:val="006E45ED"/>
    <w:rsid w:val="006E4D42"/>
    <w:rsid w:val="006E5AE0"/>
    <w:rsid w:val="006E79A6"/>
    <w:rsid w:val="006F03DE"/>
    <w:rsid w:val="006F0463"/>
    <w:rsid w:val="006F0B9D"/>
    <w:rsid w:val="006F5699"/>
    <w:rsid w:val="006F577B"/>
    <w:rsid w:val="006F7D8F"/>
    <w:rsid w:val="007009B3"/>
    <w:rsid w:val="0070179F"/>
    <w:rsid w:val="00701B1C"/>
    <w:rsid w:val="00703FAD"/>
    <w:rsid w:val="00704396"/>
    <w:rsid w:val="0070594C"/>
    <w:rsid w:val="0070734C"/>
    <w:rsid w:val="0070757E"/>
    <w:rsid w:val="00710111"/>
    <w:rsid w:val="0071018C"/>
    <w:rsid w:val="0071247A"/>
    <w:rsid w:val="007132F3"/>
    <w:rsid w:val="00713346"/>
    <w:rsid w:val="00713EDA"/>
    <w:rsid w:val="00714B75"/>
    <w:rsid w:val="00715602"/>
    <w:rsid w:val="0071607C"/>
    <w:rsid w:val="00717240"/>
    <w:rsid w:val="007178AA"/>
    <w:rsid w:val="007207A2"/>
    <w:rsid w:val="007212A1"/>
    <w:rsid w:val="0072153E"/>
    <w:rsid w:val="00721BFF"/>
    <w:rsid w:val="007227AF"/>
    <w:rsid w:val="007227D4"/>
    <w:rsid w:val="00722F16"/>
    <w:rsid w:val="0072426F"/>
    <w:rsid w:val="00724C6A"/>
    <w:rsid w:val="00726436"/>
    <w:rsid w:val="00727136"/>
    <w:rsid w:val="00727A8C"/>
    <w:rsid w:val="0073167D"/>
    <w:rsid w:val="007318CB"/>
    <w:rsid w:val="00731A70"/>
    <w:rsid w:val="007323DE"/>
    <w:rsid w:val="0073292C"/>
    <w:rsid w:val="007339DE"/>
    <w:rsid w:val="0073454C"/>
    <w:rsid w:val="00734E2C"/>
    <w:rsid w:val="0073615C"/>
    <w:rsid w:val="0074005E"/>
    <w:rsid w:val="0074120F"/>
    <w:rsid w:val="007420DC"/>
    <w:rsid w:val="00742A37"/>
    <w:rsid w:val="007434DA"/>
    <w:rsid w:val="007438A8"/>
    <w:rsid w:val="00743920"/>
    <w:rsid w:val="00744DD3"/>
    <w:rsid w:val="007451DC"/>
    <w:rsid w:val="00745A27"/>
    <w:rsid w:val="00746251"/>
    <w:rsid w:val="00746C39"/>
    <w:rsid w:val="00747A71"/>
    <w:rsid w:val="007530B5"/>
    <w:rsid w:val="007552D5"/>
    <w:rsid w:val="0075584B"/>
    <w:rsid w:val="00755F06"/>
    <w:rsid w:val="007570E1"/>
    <w:rsid w:val="007604BE"/>
    <w:rsid w:val="00762A97"/>
    <w:rsid w:val="007632CC"/>
    <w:rsid w:val="007636C1"/>
    <w:rsid w:val="00763C5F"/>
    <w:rsid w:val="00763E8D"/>
    <w:rsid w:val="00764E74"/>
    <w:rsid w:val="007657B1"/>
    <w:rsid w:val="007671D9"/>
    <w:rsid w:val="00770C68"/>
    <w:rsid w:val="0077132B"/>
    <w:rsid w:val="00771F6F"/>
    <w:rsid w:val="00772551"/>
    <w:rsid w:val="0077418B"/>
    <w:rsid w:val="00775D57"/>
    <w:rsid w:val="00776DD1"/>
    <w:rsid w:val="00776FF3"/>
    <w:rsid w:val="007802E6"/>
    <w:rsid w:val="00781125"/>
    <w:rsid w:val="00781166"/>
    <w:rsid w:val="007824DD"/>
    <w:rsid w:val="007846AD"/>
    <w:rsid w:val="007855CE"/>
    <w:rsid w:val="0078790A"/>
    <w:rsid w:val="007915A5"/>
    <w:rsid w:val="00793553"/>
    <w:rsid w:val="0079562E"/>
    <w:rsid w:val="00796484"/>
    <w:rsid w:val="00796720"/>
    <w:rsid w:val="00796970"/>
    <w:rsid w:val="00797286"/>
    <w:rsid w:val="007978C5"/>
    <w:rsid w:val="00797DB8"/>
    <w:rsid w:val="007A037E"/>
    <w:rsid w:val="007A05E4"/>
    <w:rsid w:val="007A097C"/>
    <w:rsid w:val="007A0EDB"/>
    <w:rsid w:val="007A2F8F"/>
    <w:rsid w:val="007A3138"/>
    <w:rsid w:val="007A4716"/>
    <w:rsid w:val="007A50CD"/>
    <w:rsid w:val="007A5B88"/>
    <w:rsid w:val="007A6817"/>
    <w:rsid w:val="007B0F04"/>
    <w:rsid w:val="007B1D21"/>
    <w:rsid w:val="007B1E04"/>
    <w:rsid w:val="007B35DC"/>
    <w:rsid w:val="007B4E47"/>
    <w:rsid w:val="007B603E"/>
    <w:rsid w:val="007B6868"/>
    <w:rsid w:val="007B7B60"/>
    <w:rsid w:val="007C065A"/>
    <w:rsid w:val="007C1741"/>
    <w:rsid w:val="007C1963"/>
    <w:rsid w:val="007C22D3"/>
    <w:rsid w:val="007C22D4"/>
    <w:rsid w:val="007C481E"/>
    <w:rsid w:val="007C51AF"/>
    <w:rsid w:val="007C528F"/>
    <w:rsid w:val="007C59E5"/>
    <w:rsid w:val="007C5C96"/>
    <w:rsid w:val="007C6011"/>
    <w:rsid w:val="007D1C45"/>
    <w:rsid w:val="007D3B3F"/>
    <w:rsid w:val="007D4A6F"/>
    <w:rsid w:val="007D4F20"/>
    <w:rsid w:val="007D7DA7"/>
    <w:rsid w:val="007D7E1A"/>
    <w:rsid w:val="007E026A"/>
    <w:rsid w:val="007E06FF"/>
    <w:rsid w:val="007E08BD"/>
    <w:rsid w:val="007E0F0C"/>
    <w:rsid w:val="007E1022"/>
    <w:rsid w:val="007E136D"/>
    <w:rsid w:val="007E16FA"/>
    <w:rsid w:val="007E26FC"/>
    <w:rsid w:val="007E5006"/>
    <w:rsid w:val="007E58B2"/>
    <w:rsid w:val="007E6A82"/>
    <w:rsid w:val="007E6F72"/>
    <w:rsid w:val="007F0CB1"/>
    <w:rsid w:val="007F0F14"/>
    <w:rsid w:val="007F224B"/>
    <w:rsid w:val="007F2255"/>
    <w:rsid w:val="007F232D"/>
    <w:rsid w:val="007F2C36"/>
    <w:rsid w:val="007F2DB7"/>
    <w:rsid w:val="007F3AD4"/>
    <w:rsid w:val="007F5F84"/>
    <w:rsid w:val="007F78C8"/>
    <w:rsid w:val="00801AC2"/>
    <w:rsid w:val="008021F9"/>
    <w:rsid w:val="00803237"/>
    <w:rsid w:val="00803D16"/>
    <w:rsid w:val="008061BC"/>
    <w:rsid w:val="00806D3D"/>
    <w:rsid w:val="00807A79"/>
    <w:rsid w:val="00810194"/>
    <w:rsid w:val="0081089B"/>
    <w:rsid w:val="00810B36"/>
    <w:rsid w:val="00811220"/>
    <w:rsid w:val="00811637"/>
    <w:rsid w:val="008126C1"/>
    <w:rsid w:val="008137CC"/>
    <w:rsid w:val="00813D6A"/>
    <w:rsid w:val="00815835"/>
    <w:rsid w:val="00820D9A"/>
    <w:rsid w:val="008210EF"/>
    <w:rsid w:val="0082193F"/>
    <w:rsid w:val="00821A5D"/>
    <w:rsid w:val="008232D3"/>
    <w:rsid w:val="008239E6"/>
    <w:rsid w:val="0082493F"/>
    <w:rsid w:val="00826E78"/>
    <w:rsid w:val="008304DB"/>
    <w:rsid w:val="008307B9"/>
    <w:rsid w:val="00831266"/>
    <w:rsid w:val="0083239A"/>
    <w:rsid w:val="00834C9B"/>
    <w:rsid w:val="00836C34"/>
    <w:rsid w:val="008371BC"/>
    <w:rsid w:val="0083720A"/>
    <w:rsid w:val="008400EA"/>
    <w:rsid w:val="00842607"/>
    <w:rsid w:val="00842E6C"/>
    <w:rsid w:val="00843283"/>
    <w:rsid w:val="00843332"/>
    <w:rsid w:val="00843EEE"/>
    <w:rsid w:val="00843FD8"/>
    <w:rsid w:val="00843FF9"/>
    <w:rsid w:val="00844131"/>
    <w:rsid w:val="008444BC"/>
    <w:rsid w:val="00845176"/>
    <w:rsid w:val="008451EA"/>
    <w:rsid w:val="00846E54"/>
    <w:rsid w:val="00847458"/>
    <w:rsid w:val="00850DBE"/>
    <w:rsid w:val="00851690"/>
    <w:rsid w:val="00851D5F"/>
    <w:rsid w:val="00851ED1"/>
    <w:rsid w:val="008531E6"/>
    <w:rsid w:val="0085391F"/>
    <w:rsid w:val="00854599"/>
    <w:rsid w:val="00860F17"/>
    <w:rsid w:val="008639D2"/>
    <w:rsid w:val="00863E73"/>
    <w:rsid w:val="00866C10"/>
    <w:rsid w:val="008671FF"/>
    <w:rsid w:val="00871A7D"/>
    <w:rsid w:val="00871D4E"/>
    <w:rsid w:val="008725FF"/>
    <w:rsid w:val="00872825"/>
    <w:rsid w:val="00873471"/>
    <w:rsid w:val="00873711"/>
    <w:rsid w:val="00873CBB"/>
    <w:rsid w:val="0087537C"/>
    <w:rsid w:val="00875473"/>
    <w:rsid w:val="00877244"/>
    <w:rsid w:val="0087746C"/>
    <w:rsid w:val="0087754F"/>
    <w:rsid w:val="0088079E"/>
    <w:rsid w:val="00880BF2"/>
    <w:rsid w:val="00881E2A"/>
    <w:rsid w:val="00883029"/>
    <w:rsid w:val="00883AF0"/>
    <w:rsid w:val="008841A9"/>
    <w:rsid w:val="0088420A"/>
    <w:rsid w:val="008868AE"/>
    <w:rsid w:val="00890C97"/>
    <w:rsid w:val="0089195D"/>
    <w:rsid w:val="008936B0"/>
    <w:rsid w:val="00894021"/>
    <w:rsid w:val="00894C8A"/>
    <w:rsid w:val="008967C8"/>
    <w:rsid w:val="00897FA2"/>
    <w:rsid w:val="008A0556"/>
    <w:rsid w:val="008A074E"/>
    <w:rsid w:val="008A113C"/>
    <w:rsid w:val="008A1CCA"/>
    <w:rsid w:val="008A1FC3"/>
    <w:rsid w:val="008A2786"/>
    <w:rsid w:val="008A288B"/>
    <w:rsid w:val="008A2915"/>
    <w:rsid w:val="008A2F21"/>
    <w:rsid w:val="008A395D"/>
    <w:rsid w:val="008A65B0"/>
    <w:rsid w:val="008A7CAC"/>
    <w:rsid w:val="008A7E34"/>
    <w:rsid w:val="008B330C"/>
    <w:rsid w:val="008B4FB6"/>
    <w:rsid w:val="008B5AC6"/>
    <w:rsid w:val="008B7AA5"/>
    <w:rsid w:val="008B7EF9"/>
    <w:rsid w:val="008C1CE7"/>
    <w:rsid w:val="008C2721"/>
    <w:rsid w:val="008C29C7"/>
    <w:rsid w:val="008C31CE"/>
    <w:rsid w:val="008C3581"/>
    <w:rsid w:val="008C3E80"/>
    <w:rsid w:val="008C4F2C"/>
    <w:rsid w:val="008C551E"/>
    <w:rsid w:val="008D00F4"/>
    <w:rsid w:val="008D018A"/>
    <w:rsid w:val="008D0DDE"/>
    <w:rsid w:val="008D1686"/>
    <w:rsid w:val="008D4895"/>
    <w:rsid w:val="008D49D5"/>
    <w:rsid w:val="008D5864"/>
    <w:rsid w:val="008D6E87"/>
    <w:rsid w:val="008D78B3"/>
    <w:rsid w:val="008E04F5"/>
    <w:rsid w:val="008E0BA7"/>
    <w:rsid w:val="008E0BC4"/>
    <w:rsid w:val="008E0BFB"/>
    <w:rsid w:val="008E1624"/>
    <w:rsid w:val="008E178C"/>
    <w:rsid w:val="008E2F8C"/>
    <w:rsid w:val="008E4214"/>
    <w:rsid w:val="008E6C0A"/>
    <w:rsid w:val="008E6FE6"/>
    <w:rsid w:val="008F07DC"/>
    <w:rsid w:val="008F0A6D"/>
    <w:rsid w:val="008F10E8"/>
    <w:rsid w:val="008F1A33"/>
    <w:rsid w:val="008F1F03"/>
    <w:rsid w:val="008F20FE"/>
    <w:rsid w:val="008F2F34"/>
    <w:rsid w:val="008F32EE"/>
    <w:rsid w:val="008F56C5"/>
    <w:rsid w:val="008F5E21"/>
    <w:rsid w:val="008F66F2"/>
    <w:rsid w:val="008F6FCC"/>
    <w:rsid w:val="00901B23"/>
    <w:rsid w:val="00903535"/>
    <w:rsid w:val="00903EDD"/>
    <w:rsid w:val="00911FC9"/>
    <w:rsid w:val="0091405C"/>
    <w:rsid w:val="00914099"/>
    <w:rsid w:val="00914AA0"/>
    <w:rsid w:val="0091513B"/>
    <w:rsid w:val="009162E6"/>
    <w:rsid w:val="0091799F"/>
    <w:rsid w:val="00917A9F"/>
    <w:rsid w:val="00920BE2"/>
    <w:rsid w:val="009210A2"/>
    <w:rsid w:val="00921F41"/>
    <w:rsid w:val="009221D5"/>
    <w:rsid w:val="00922503"/>
    <w:rsid w:val="00923204"/>
    <w:rsid w:val="00924A1F"/>
    <w:rsid w:val="0092534A"/>
    <w:rsid w:val="009301BE"/>
    <w:rsid w:val="0093351D"/>
    <w:rsid w:val="009357B8"/>
    <w:rsid w:val="00935A41"/>
    <w:rsid w:val="00935E7B"/>
    <w:rsid w:val="00936A04"/>
    <w:rsid w:val="00942746"/>
    <w:rsid w:val="0094339F"/>
    <w:rsid w:val="00944349"/>
    <w:rsid w:val="00944847"/>
    <w:rsid w:val="00944BC1"/>
    <w:rsid w:val="00945CBE"/>
    <w:rsid w:val="00946B1F"/>
    <w:rsid w:val="00947198"/>
    <w:rsid w:val="009476DF"/>
    <w:rsid w:val="00951430"/>
    <w:rsid w:val="00951689"/>
    <w:rsid w:val="00951CDC"/>
    <w:rsid w:val="00952572"/>
    <w:rsid w:val="0095314C"/>
    <w:rsid w:val="0095385A"/>
    <w:rsid w:val="00953D6F"/>
    <w:rsid w:val="009545AF"/>
    <w:rsid w:val="009552CE"/>
    <w:rsid w:val="00955D06"/>
    <w:rsid w:val="00957F31"/>
    <w:rsid w:val="00962DF0"/>
    <w:rsid w:val="00963643"/>
    <w:rsid w:val="009637FE"/>
    <w:rsid w:val="00965C99"/>
    <w:rsid w:val="0097115E"/>
    <w:rsid w:val="0097314B"/>
    <w:rsid w:val="0097387E"/>
    <w:rsid w:val="00974C80"/>
    <w:rsid w:val="009755C5"/>
    <w:rsid w:val="00976CD1"/>
    <w:rsid w:val="009773C9"/>
    <w:rsid w:val="0097761F"/>
    <w:rsid w:val="00977B14"/>
    <w:rsid w:val="00982BE0"/>
    <w:rsid w:val="00985161"/>
    <w:rsid w:val="00985162"/>
    <w:rsid w:val="00985A61"/>
    <w:rsid w:val="0099051B"/>
    <w:rsid w:val="00991406"/>
    <w:rsid w:val="009917D9"/>
    <w:rsid w:val="00993586"/>
    <w:rsid w:val="00993AD8"/>
    <w:rsid w:val="00997146"/>
    <w:rsid w:val="00997221"/>
    <w:rsid w:val="00997629"/>
    <w:rsid w:val="009A1C91"/>
    <w:rsid w:val="009A24D2"/>
    <w:rsid w:val="009A6AB9"/>
    <w:rsid w:val="009A6B50"/>
    <w:rsid w:val="009B148A"/>
    <w:rsid w:val="009B26D5"/>
    <w:rsid w:val="009B310E"/>
    <w:rsid w:val="009B383B"/>
    <w:rsid w:val="009B3AE7"/>
    <w:rsid w:val="009B44FD"/>
    <w:rsid w:val="009B4BB3"/>
    <w:rsid w:val="009B51F4"/>
    <w:rsid w:val="009B521A"/>
    <w:rsid w:val="009B541B"/>
    <w:rsid w:val="009B54A9"/>
    <w:rsid w:val="009B5A5E"/>
    <w:rsid w:val="009B64FE"/>
    <w:rsid w:val="009B6516"/>
    <w:rsid w:val="009B703D"/>
    <w:rsid w:val="009C07AC"/>
    <w:rsid w:val="009C09A3"/>
    <w:rsid w:val="009C0AFB"/>
    <w:rsid w:val="009C0BFB"/>
    <w:rsid w:val="009C13BF"/>
    <w:rsid w:val="009C24E6"/>
    <w:rsid w:val="009C2CD8"/>
    <w:rsid w:val="009C35E3"/>
    <w:rsid w:val="009C45FA"/>
    <w:rsid w:val="009C481D"/>
    <w:rsid w:val="009C586D"/>
    <w:rsid w:val="009C6C5A"/>
    <w:rsid w:val="009D0F04"/>
    <w:rsid w:val="009D1414"/>
    <w:rsid w:val="009D1545"/>
    <w:rsid w:val="009D2B4C"/>
    <w:rsid w:val="009D378D"/>
    <w:rsid w:val="009D3B0E"/>
    <w:rsid w:val="009D3DDC"/>
    <w:rsid w:val="009D481B"/>
    <w:rsid w:val="009D5889"/>
    <w:rsid w:val="009D737F"/>
    <w:rsid w:val="009D7AD5"/>
    <w:rsid w:val="009D7B41"/>
    <w:rsid w:val="009E157D"/>
    <w:rsid w:val="009E1D1B"/>
    <w:rsid w:val="009E5CC7"/>
    <w:rsid w:val="009E637E"/>
    <w:rsid w:val="009E6A51"/>
    <w:rsid w:val="009E761C"/>
    <w:rsid w:val="009F29A1"/>
    <w:rsid w:val="009F6A7C"/>
    <w:rsid w:val="009F6C4B"/>
    <w:rsid w:val="009F6FEE"/>
    <w:rsid w:val="009F7824"/>
    <w:rsid w:val="00A00B9E"/>
    <w:rsid w:val="00A01732"/>
    <w:rsid w:val="00A0394E"/>
    <w:rsid w:val="00A03A71"/>
    <w:rsid w:val="00A03B88"/>
    <w:rsid w:val="00A03E4D"/>
    <w:rsid w:val="00A0497E"/>
    <w:rsid w:val="00A0625C"/>
    <w:rsid w:val="00A0631E"/>
    <w:rsid w:val="00A06720"/>
    <w:rsid w:val="00A076AB"/>
    <w:rsid w:val="00A1103B"/>
    <w:rsid w:val="00A11A42"/>
    <w:rsid w:val="00A11C04"/>
    <w:rsid w:val="00A12944"/>
    <w:rsid w:val="00A16AAA"/>
    <w:rsid w:val="00A16D03"/>
    <w:rsid w:val="00A21EC3"/>
    <w:rsid w:val="00A22415"/>
    <w:rsid w:val="00A226B0"/>
    <w:rsid w:val="00A25FC0"/>
    <w:rsid w:val="00A275D0"/>
    <w:rsid w:val="00A27A5F"/>
    <w:rsid w:val="00A27B24"/>
    <w:rsid w:val="00A27DE1"/>
    <w:rsid w:val="00A30E94"/>
    <w:rsid w:val="00A31F9F"/>
    <w:rsid w:val="00A33AC4"/>
    <w:rsid w:val="00A33CF0"/>
    <w:rsid w:val="00A34DDE"/>
    <w:rsid w:val="00A36A71"/>
    <w:rsid w:val="00A4044C"/>
    <w:rsid w:val="00A40D1A"/>
    <w:rsid w:val="00A41461"/>
    <w:rsid w:val="00A423C9"/>
    <w:rsid w:val="00A429EA"/>
    <w:rsid w:val="00A460D9"/>
    <w:rsid w:val="00A47E5D"/>
    <w:rsid w:val="00A51259"/>
    <w:rsid w:val="00A51B42"/>
    <w:rsid w:val="00A51CA5"/>
    <w:rsid w:val="00A5211B"/>
    <w:rsid w:val="00A53D3F"/>
    <w:rsid w:val="00A553C7"/>
    <w:rsid w:val="00A55D9B"/>
    <w:rsid w:val="00A56658"/>
    <w:rsid w:val="00A570F1"/>
    <w:rsid w:val="00A57721"/>
    <w:rsid w:val="00A60904"/>
    <w:rsid w:val="00A60E66"/>
    <w:rsid w:val="00A627D9"/>
    <w:rsid w:val="00A62817"/>
    <w:rsid w:val="00A63596"/>
    <w:rsid w:val="00A63D6A"/>
    <w:rsid w:val="00A63EC2"/>
    <w:rsid w:val="00A64AB3"/>
    <w:rsid w:val="00A66FB9"/>
    <w:rsid w:val="00A67839"/>
    <w:rsid w:val="00A70FE9"/>
    <w:rsid w:val="00A71232"/>
    <w:rsid w:val="00A73AA6"/>
    <w:rsid w:val="00A7485D"/>
    <w:rsid w:val="00A76542"/>
    <w:rsid w:val="00A77295"/>
    <w:rsid w:val="00A82816"/>
    <w:rsid w:val="00A83AE3"/>
    <w:rsid w:val="00A84B96"/>
    <w:rsid w:val="00A8560C"/>
    <w:rsid w:val="00A85A1D"/>
    <w:rsid w:val="00A869BF"/>
    <w:rsid w:val="00A869C4"/>
    <w:rsid w:val="00A91EB5"/>
    <w:rsid w:val="00A9375C"/>
    <w:rsid w:val="00A941CE"/>
    <w:rsid w:val="00A94280"/>
    <w:rsid w:val="00A95A95"/>
    <w:rsid w:val="00A96017"/>
    <w:rsid w:val="00A96D71"/>
    <w:rsid w:val="00A971BD"/>
    <w:rsid w:val="00A9743B"/>
    <w:rsid w:val="00A97D27"/>
    <w:rsid w:val="00AA1886"/>
    <w:rsid w:val="00AA4E7C"/>
    <w:rsid w:val="00AB1A4D"/>
    <w:rsid w:val="00AB1AAA"/>
    <w:rsid w:val="00AB1DDB"/>
    <w:rsid w:val="00AB25FE"/>
    <w:rsid w:val="00AB344B"/>
    <w:rsid w:val="00AB39B6"/>
    <w:rsid w:val="00AB4C37"/>
    <w:rsid w:val="00AB5946"/>
    <w:rsid w:val="00AB5960"/>
    <w:rsid w:val="00AB5DF5"/>
    <w:rsid w:val="00AB6437"/>
    <w:rsid w:val="00AB67F0"/>
    <w:rsid w:val="00AB7879"/>
    <w:rsid w:val="00AB7F15"/>
    <w:rsid w:val="00AC102E"/>
    <w:rsid w:val="00AC20FF"/>
    <w:rsid w:val="00AC22BF"/>
    <w:rsid w:val="00AC3145"/>
    <w:rsid w:val="00AC3D64"/>
    <w:rsid w:val="00AC42F2"/>
    <w:rsid w:val="00AC5B19"/>
    <w:rsid w:val="00AD0C3E"/>
    <w:rsid w:val="00AD2974"/>
    <w:rsid w:val="00AD6179"/>
    <w:rsid w:val="00AD6A36"/>
    <w:rsid w:val="00AD6CF5"/>
    <w:rsid w:val="00AE0994"/>
    <w:rsid w:val="00AE20FA"/>
    <w:rsid w:val="00AE3DCD"/>
    <w:rsid w:val="00AE3E30"/>
    <w:rsid w:val="00AE5094"/>
    <w:rsid w:val="00AE5198"/>
    <w:rsid w:val="00AF00B5"/>
    <w:rsid w:val="00AF06FA"/>
    <w:rsid w:val="00AF0A2D"/>
    <w:rsid w:val="00AF0AFD"/>
    <w:rsid w:val="00AF1143"/>
    <w:rsid w:val="00AF1A39"/>
    <w:rsid w:val="00AF1B55"/>
    <w:rsid w:val="00AF1CED"/>
    <w:rsid w:val="00AF26C2"/>
    <w:rsid w:val="00AF46CA"/>
    <w:rsid w:val="00AF5D2C"/>
    <w:rsid w:val="00AF606F"/>
    <w:rsid w:val="00AF6D97"/>
    <w:rsid w:val="00AF6F11"/>
    <w:rsid w:val="00AF7DB4"/>
    <w:rsid w:val="00B032F2"/>
    <w:rsid w:val="00B03EDC"/>
    <w:rsid w:val="00B043A0"/>
    <w:rsid w:val="00B0506D"/>
    <w:rsid w:val="00B06BE7"/>
    <w:rsid w:val="00B06E29"/>
    <w:rsid w:val="00B112DC"/>
    <w:rsid w:val="00B125A7"/>
    <w:rsid w:val="00B13578"/>
    <w:rsid w:val="00B13F76"/>
    <w:rsid w:val="00B149E2"/>
    <w:rsid w:val="00B14B2E"/>
    <w:rsid w:val="00B14B5D"/>
    <w:rsid w:val="00B15369"/>
    <w:rsid w:val="00B15FE8"/>
    <w:rsid w:val="00B16A37"/>
    <w:rsid w:val="00B16D58"/>
    <w:rsid w:val="00B21214"/>
    <w:rsid w:val="00B22D04"/>
    <w:rsid w:val="00B22E0B"/>
    <w:rsid w:val="00B22EE4"/>
    <w:rsid w:val="00B2365A"/>
    <w:rsid w:val="00B249C5"/>
    <w:rsid w:val="00B25627"/>
    <w:rsid w:val="00B26213"/>
    <w:rsid w:val="00B3141D"/>
    <w:rsid w:val="00B31814"/>
    <w:rsid w:val="00B31A2B"/>
    <w:rsid w:val="00B32F65"/>
    <w:rsid w:val="00B33585"/>
    <w:rsid w:val="00B34247"/>
    <w:rsid w:val="00B34D54"/>
    <w:rsid w:val="00B3541F"/>
    <w:rsid w:val="00B36327"/>
    <w:rsid w:val="00B4034B"/>
    <w:rsid w:val="00B410C5"/>
    <w:rsid w:val="00B421EF"/>
    <w:rsid w:val="00B441F7"/>
    <w:rsid w:val="00B443A2"/>
    <w:rsid w:val="00B44D86"/>
    <w:rsid w:val="00B45BB9"/>
    <w:rsid w:val="00B46A4B"/>
    <w:rsid w:val="00B50009"/>
    <w:rsid w:val="00B50170"/>
    <w:rsid w:val="00B517C2"/>
    <w:rsid w:val="00B51DDE"/>
    <w:rsid w:val="00B529BF"/>
    <w:rsid w:val="00B54316"/>
    <w:rsid w:val="00B557CD"/>
    <w:rsid w:val="00B57228"/>
    <w:rsid w:val="00B57DBB"/>
    <w:rsid w:val="00B62146"/>
    <w:rsid w:val="00B62C53"/>
    <w:rsid w:val="00B633B5"/>
    <w:rsid w:val="00B65483"/>
    <w:rsid w:val="00B65E5A"/>
    <w:rsid w:val="00B66305"/>
    <w:rsid w:val="00B66E95"/>
    <w:rsid w:val="00B6719A"/>
    <w:rsid w:val="00B671F2"/>
    <w:rsid w:val="00B70112"/>
    <w:rsid w:val="00B71803"/>
    <w:rsid w:val="00B71CC5"/>
    <w:rsid w:val="00B71EEA"/>
    <w:rsid w:val="00B7271B"/>
    <w:rsid w:val="00B72807"/>
    <w:rsid w:val="00B72B11"/>
    <w:rsid w:val="00B733FF"/>
    <w:rsid w:val="00B73B3B"/>
    <w:rsid w:val="00B75642"/>
    <w:rsid w:val="00B75A9D"/>
    <w:rsid w:val="00B7691E"/>
    <w:rsid w:val="00B779BB"/>
    <w:rsid w:val="00B77CC8"/>
    <w:rsid w:val="00B80F1E"/>
    <w:rsid w:val="00B8248D"/>
    <w:rsid w:val="00B836D4"/>
    <w:rsid w:val="00B83C6C"/>
    <w:rsid w:val="00B9007C"/>
    <w:rsid w:val="00B90BC7"/>
    <w:rsid w:val="00B931C3"/>
    <w:rsid w:val="00B96572"/>
    <w:rsid w:val="00B9750D"/>
    <w:rsid w:val="00B97D2D"/>
    <w:rsid w:val="00B97DFC"/>
    <w:rsid w:val="00BA2773"/>
    <w:rsid w:val="00BA4E91"/>
    <w:rsid w:val="00BA6BA1"/>
    <w:rsid w:val="00BB0020"/>
    <w:rsid w:val="00BB0C23"/>
    <w:rsid w:val="00BB0E08"/>
    <w:rsid w:val="00BB205D"/>
    <w:rsid w:val="00BB2A2F"/>
    <w:rsid w:val="00BB4DB3"/>
    <w:rsid w:val="00BB53E4"/>
    <w:rsid w:val="00BB6DDA"/>
    <w:rsid w:val="00BB6EEA"/>
    <w:rsid w:val="00BB7B98"/>
    <w:rsid w:val="00BB7F8D"/>
    <w:rsid w:val="00BC029D"/>
    <w:rsid w:val="00BC0C62"/>
    <w:rsid w:val="00BC1542"/>
    <w:rsid w:val="00BC2803"/>
    <w:rsid w:val="00BC40FD"/>
    <w:rsid w:val="00BC52BB"/>
    <w:rsid w:val="00BD1778"/>
    <w:rsid w:val="00BD3EC1"/>
    <w:rsid w:val="00BD67AA"/>
    <w:rsid w:val="00BE24E3"/>
    <w:rsid w:val="00BE3C7D"/>
    <w:rsid w:val="00BE6090"/>
    <w:rsid w:val="00BE6451"/>
    <w:rsid w:val="00BE7141"/>
    <w:rsid w:val="00BE79A6"/>
    <w:rsid w:val="00BF05AC"/>
    <w:rsid w:val="00BF0A59"/>
    <w:rsid w:val="00BF2FA2"/>
    <w:rsid w:val="00BF4240"/>
    <w:rsid w:val="00BF51AE"/>
    <w:rsid w:val="00BF788E"/>
    <w:rsid w:val="00C0297C"/>
    <w:rsid w:val="00C02E90"/>
    <w:rsid w:val="00C0312F"/>
    <w:rsid w:val="00C041DB"/>
    <w:rsid w:val="00C0464E"/>
    <w:rsid w:val="00C06476"/>
    <w:rsid w:val="00C0657B"/>
    <w:rsid w:val="00C0751B"/>
    <w:rsid w:val="00C12114"/>
    <w:rsid w:val="00C135F0"/>
    <w:rsid w:val="00C149AB"/>
    <w:rsid w:val="00C15C8F"/>
    <w:rsid w:val="00C16D3E"/>
    <w:rsid w:val="00C1722E"/>
    <w:rsid w:val="00C22CDC"/>
    <w:rsid w:val="00C230A4"/>
    <w:rsid w:val="00C241A7"/>
    <w:rsid w:val="00C25457"/>
    <w:rsid w:val="00C257EC"/>
    <w:rsid w:val="00C30438"/>
    <w:rsid w:val="00C3072E"/>
    <w:rsid w:val="00C318DA"/>
    <w:rsid w:val="00C325FB"/>
    <w:rsid w:val="00C326CF"/>
    <w:rsid w:val="00C33C6F"/>
    <w:rsid w:val="00C34499"/>
    <w:rsid w:val="00C354B7"/>
    <w:rsid w:val="00C355DB"/>
    <w:rsid w:val="00C3754A"/>
    <w:rsid w:val="00C4385A"/>
    <w:rsid w:val="00C44883"/>
    <w:rsid w:val="00C46270"/>
    <w:rsid w:val="00C46FB7"/>
    <w:rsid w:val="00C50FAB"/>
    <w:rsid w:val="00C51121"/>
    <w:rsid w:val="00C52887"/>
    <w:rsid w:val="00C53BB6"/>
    <w:rsid w:val="00C55C2A"/>
    <w:rsid w:val="00C55F28"/>
    <w:rsid w:val="00C56A34"/>
    <w:rsid w:val="00C56F63"/>
    <w:rsid w:val="00C60121"/>
    <w:rsid w:val="00C60991"/>
    <w:rsid w:val="00C60B66"/>
    <w:rsid w:val="00C61BD3"/>
    <w:rsid w:val="00C6247B"/>
    <w:rsid w:val="00C631F3"/>
    <w:rsid w:val="00C65D20"/>
    <w:rsid w:val="00C66EAE"/>
    <w:rsid w:val="00C67748"/>
    <w:rsid w:val="00C71C8F"/>
    <w:rsid w:val="00C7361D"/>
    <w:rsid w:val="00C752FA"/>
    <w:rsid w:val="00C756B7"/>
    <w:rsid w:val="00C75800"/>
    <w:rsid w:val="00C7587F"/>
    <w:rsid w:val="00C75E65"/>
    <w:rsid w:val="00C75F11"/>
    <w:rsid w:val="00C76108"/>
    <w:rsid w:val="00C7635A"/>
    <w:rsid w:val="00C76E46"/>
    <w:rsid w:val="00C77ACA"/>
    <w:rsid w:val="00C80163"/>
    <w:rsid w:val="00C80753"/>
    <w:rsid w:val="00C809C3"/>
    <w:rsid w:val="00C81C6E"/>
    <w:rsid w:val="00C81F6F"/>
    <w:rsid w:val="00C822A6"/>
    <w:rsid w:val="00C826D0"/>
    <w:rsid w:val="00C829E9"/>
    <w:rsid w:val="00C83444"/>
    <w:rsid w:val="00C90015"/>
    <w:rsid w:val="00C90C76"/>
    <w:rsid w:val="00C9141C"/>
    <w:rsid w:val="00C9275B"/>
    <w:rsid w:val="00C93841"/>
    <w:rsid w:val="00C939E3"/>
    <w:rsid w:val="00C9514C"/>
    <w:rsid w:val="00C9612A"/>
    <w:rsid w:val="00C9647D"/>
    <w:rsid w:val="00C96595"/>
    <w:rsid w:val="00C973D2"/>
    <w:rsid w:val="00C9778D"/>
    <w:rsid w:val="00CA1331"/>
    <w:rsid w:val="00CA34ED"/>
    <w:rsid w:val="00CA364E"/>
    <w:rsid w:val="00CA39EB"/>
    <w:rsid w:val="00CA43B7"/>
    <w:rsid w:val="00CA4B38"/>
    <w:rsid w:val="00CA4C14"/>
    <w:rsid w:val="00CA5449"/>
    <w:rsid w:val="00CA5D9B"/>
    <w:rsid w:val="00CA6DAB"/>
    <w:rsid w:val="00CA6EE5"/>
    <w:rsid w:val="00CB1FFE"/>
    <w:rsid w:val="00CB26C9"/>
    <w:rsid w:val="00CB2F53"/>
    <w:rsid w:val="00CB6628"/>
    <w:rsid w:val="00CB6C82"/>
    <w:rsid w:val="00CB77C7"/>
    <w:rsid w:val="00CC03E6"/>
    <w:rsid w:val="00CC0736"/>
    <w:rsid w:val="00CC1D5E"/>
    <w:rsid w:val="00CC2A79"/>
    <w:rsid w:val="00CC2CBF"/>
    <w:rsid w:val="00CC30E2"/>
    <w:rsid w:val="00CC3E9E"/>
    <w:rsid w:val="00CC4264"/>
    <w:rsid w:val="00CC5BDD"/>
    <w:rsid w:val="00CD03AB"/>
    <w:rsid w:val="00CD24AC"/>
    <w:rsid w:val="00CD33A7"/>
    <w:rsid w:val="00CD37D1"/>
    <w:rsid w:val="00CD5C21"/>
    <w:rsid w:val="00CD66A0"/>
    <w:rsid w:val="00CD67B5"/>
    <w:rsid w:val="00CD6A50"/>
    <w:rsid w:val="00CD7151"/>
    <w:rsid w:val="00CD7234"/>
    <w:rsid w:val="00CE001D"/>
    <w:rsid w:val="00CE156A"/>
    <w:rsid w:val="00CE286D"/>
    <w:rsid w:val="00CE4B6B"/>
    <w:rsid w:val="00CE55EF"/>
    <w:rsid w:val="00CE5815"/>
    <w:rsid w:val="00CE5ABB"/>
    <w:rsid w:val="00CE6138"/>
    <w:rsid w:val="00CE66FD"/>
    <w:rsid w:val="00CE67E5"/>
    <w:rsid w:val="00CF091A"/>
    <w:rsid w:val="00CF0C0E"/>
    <w:rsid w:val="00CF10B5"/>
    <w:rsid w:val="00CF1E0C"/>
    <w:rsid w:val="00CF23B1"/>
    <w:rsid w:val="00CF2FDE"/>
    <w:rsid w:val="00CF3A44"/>
    <w:rsid w:val="00CF4151"/>
    <w:rsid w:val="00CF4E23"/>
    <w:rsid w:val="00CF55D8"/>
    <w:rsid w:val="00CF583D"/>
    <w:rsid w:val="00CF5A7B"/>
    <w:rsid w:val="00CF6BD5"/>
    <w:rsid w:val="00D0260D"/>
    <w:rsid w:val="00D03477"/>
    <w:rsid w:val="00D0488E"/>
    <w:rsid w:val="00D058D4"/>
    <w:rsid w:val="00D05B18"/>
    <w:rsid w:val="00D063D9"/>
    <w:rsid w:val="00D143C4"/>
    <w:rsid w:val="00D14FC1"/>
    <w:rsid w:val="00D162E5"/>
    <w:rsid w:val="00D16979"/>
    <w:rsid w:val="00D16D6B"/>
    <w:rsid w:val="00D178D4"/>
    <w:rsid w:val="00D20B7B"/>
    <w:rsid w:val="00D212DB"/>
    <w:rsid w:val="00D221A4"/>
    <w:rsid w:val="00D24047"/>
    <w:rsid w:val="00D2404D"/>
    <w:rsid w:val="00D2437E"/>
    <w:rsid w:val="00D25620"/>
    <w:rsid w:val="00D262A0"/>
    <w:rsid w:val="00D2741B"/>
    <w:rsid w:val="00D274F2"/>
    <w:rsid w:val="00D27BE7"/>
    <w:rsid w:val="00D30692"/>
    <w:rsid w:val="00D315AA"/>
    <w:rsid w:val="00D31C72"/>
    <w:rsid w:val="00D32539"/>
    <w:rsid w:val="00D34151"/>
    <w:rsid w:val="00D343EE"/>
    <w:rsid w:val="00D3546F"/>
    <w:rsid w:val="00D35788"/>
    <w:rsid w:val="00D35E02"/>
    <w:rsid w:val="00D36FB5"/>
    <w:rsid w:val="00D372ED"/>
    <w:rsid w:val="00D411AF"/>
    <w:rsid w:val="00D42787"/>
    <w:rsid w:val="00D42989"/>
    <w:rsid w:val="00D436B8"/>
    <w:rsid w:val="00D45B5E"/>
    <w:rsid w:val="00D46667"/>
    <w:rsid w:val="00D46C24"/>
    <w:rsid w:val="00D47AFD"/>
    <w:rsid w:val="00D53EA7"/>
    <w:rsid w:val="00D54423"/>
    <w:rsid w:val="00D54D15"/>
    <w:rsid w:val="00D55C1D"/>
    <w:rsid w:val="00D60377"/>
    <w:rsid w:val="00D6118C"/>
    <w:rsid w:val="00D614B5"/>
    <w:rsid w:val="00D61C24"/>
    <w:rsid w:val="00D628EB"/>
    <w:rsid w:val="00D62ED3"/>
    <w:rsid w:val="00D6373E"/>
    <w:rsid w:val="00D63A95"/>
    <w:rsid w:val="00D63EDD"/>
    <w:rsid w:val="00D6522C"/>
    <w:rsid w:val="00D700F5"/>
    <w:rsid w:val="00D70E34"/>
    <w:rsid w:val="00D71AF8"/>
    <w:rsid w:val="00D75023"/>
    <w:rsid w:val="00D777AF"/>
    <w:rsid w:val="00D77C90"/>
    <w:rsid w:val="00D85B69"/>
    <w:rsid w:val="00D87C11"/>
    <w:rsid w:val="00D87D31"/>
    <w:rsid w:val="00D9035E"/>
    <w:rsid w:val="00D91FDE"/>
    <w:rsid w:val="00D928DF"/>
    <w:rsid w:val="00D95631"/>
    <w:rsid w:val="00D970DF"/>
    <w:rsid w:val="00D97738"/>
    <w:rsid w:val="00D97799"/>
    <w:rsid w:val="00D97DB3"/>
    <w:rsid w:val="00DA056C"/>
    <w:rsid w:val="00DA074E"/>
    <w:rsid w:val="00DA0E5D"/>
    <w:rsid w:val="00DA2A97"/>
    <w:rsid w:val="00DA2AA9"/>
    <w:rsid w:val="00DB02A6"/>
    <w:rsid w:val="00DB065F"/>
    <w:rsid w:val="00DB0C93"/>
    <w:rsid w:val="00DB0CB2"/>
    <w:rsid w:val="00DB0D2A"/>
    <w:rsid w:val="00DB12DA"/>
    <w:rsid w:val="00DB1685"/>
    <w:rsid w:val="00DB2AD1"/>
    <w:rsid w:val="00DB37FD"/>
    <w:rsid w:val="00DB38AF"/>
    <w:rsid w:val="00DB5BCC"/>
    <w:rsid w:val="00DB6277"/>
    <w:rsid w:val="00DB6BEE"/>
    <w:rsid w:val="00DB6FBF"/>
    <w:rsid w:val="00DC0C90"/>
    <w:rsid w:val="00DC37E7"/>
    <w:rsid w:val="00DC3C88"/>
    <w:rsid w:val="00DC3EBD"/>
    <w:rsid w:val="00DC65F0"/>
    <w:rsid w:val="00DC7849"/>
    <w:rsid w:val="00DD0EB5"/>
    <w:rsid w:val="00DD4530"/>
    <w:rsid w:val="00DD5FB6"/>
    <w:rsid w:val="00DD6F5A"/>
    <w:rsid w:val="00DD7A11"/>
    <w:rsid w:val="00DD7DFB"/>
    <w:rsid w:val="00DE1E02"/>
    <w:rsid w:val="00DE1E23"/>
    <w:rsid w:val="00DE250E"/>
    <w:rsid w:val="00DE2CAA"/>
    <w:rsid w:val="00DE4177"/>
    <w:rsid w:val="00DE4CDE"/>
    <w:rsid w:val="00DE5B79"/>
    <w:rsid w:val="00DE74C8"/>
    <w:rsid w:val="00DF1515"/>
    <w:rsid w:val="00DF160F"/>
    <w:rsid w:val="00DF2048"/>
    <w:rsid w:val="00DF20D6"/>
    <w:rsid w:val="00DF2137"/>
    <w:rsid w:val="00DF2BA2"/>
    <w:rsid w:val="00DF4615"/>
    <w:rsid w:val="00DF4BE4"/>
    <w:rsid w:val="00DF5158"/>
    <w:rsid w:val="00DF60D1"/>
    <w:rsid w:val="00DF6B7D"/>
    <w:rsid w:val="00DF76A7"/>
    <w:rsid w:val="00E01178"/>
    <w:rsid w:val="00E013A5"/>
    <w:rsid w:val="00E014AF"/>
    <w:rsid w:val="00E0450D"/>
    <w:rsid w:val="00E0571B"/>
    <w:rsid w:val="00E07678"/>
    <w:rsid w:val="00E10BDD"/>
    <w:rsid w:val="00E11495"/>
    <w:rsid w:val="00E11ABF"/>
    <w:rsid w:val="00E120F6"/>
    <w:rsid w:val="00E130D2"/>
    <w:rsid w:val="00E13A11"/>
    <w:rsid w:val="00E147B6"/>
    <w:rsid w:val="00E14A2B"/>
    <w:rsid w:val="00E15653"/>
    <w:rsid w:val="00E15743"/>
    <w:rsid w:val="00E15CE1"/>
    <w:rsid w:val="00E1637C"/>
    <w:rsid w:val="00E166DD"/>
    <w:rsid w:val="00E20B16"/>
    <w:rsid w:val="00E215F1"/>
    <w:rsid w:val="00E24C20"/>
    <w:rsid w:val="00E24FC6"/>
    <w:rsid w:val="00E2589A"/>
    <w:rsid w:val="00E26B33"/>
    <w:rsid w:val="00E2723F"/>
    <w:rsid w:val="00E273EE"/>
    <w:rsid w:val="00E3132C"/>
    <w:rsid w:val="00E31553"/>
    <w:rsid w:val="00E31788"/>
    <w:rsid w:val="00E33789"/>
    <w:rsid w:val="00E33DEF"/>
    <w:rsid w:val="00E356B8"/>
    <w:rsid w:val="00E35814"/>
    <w:rsid w:val="00E35B76"/>
    <w:rsid w:val="00E36CF4"/>
    <w:rsid w:val="00E36FBC"/>
    <w:rsid w:val="00E3714C"/>
    <w:rsid w:val="00E37173"/>
    <w:rsid w:val="00E37BDF"/>
    <w:rsid w:val="00E400DC"/>
    <w:rsid w:val="00E40CDB"/>
    <w:rsid w:val="00E4287A"/>
    <w:rsid w:val="00E45E30"/>
    <w:rsid w:val="00E46574"/>
    <w:rsid w:val="00E50673"/>
    <w:rsid w:val="00E508BD"/>
    <w:rsid w:val="00E50992"/>
    <w:rsid w:val="00E51300"/>
    <w:rsid w:val="00E51B85"/>
    <w:rsid w:val="00E531D0"/>
    <w:rsid w:val="00E54633"/>
    <w:rsid w:val="00E55DED"/>
    <w:rsid w:val="00E57DCB"/>
    <w:rsid w:val="00E60BBC"/>
    <w:rsid w:val="00E6255A"/>
    <w:rsid w:val="00E62C1D"/>
    <w:rsid w:val="00E62F8F"/>
    <w:rsid w:val="00E633D1"/>
    <w:rsid w:val="00E63D1E"/>
    <w:rsid w:val="00E63DFA"/>
    <w:rsid w:val="00E65586"/>
    <w:rsid w:val="00E658E5"/>
    <w:rsid w:val="00E65C94"/>
    <w:rsid w:val="00E65CA8"/>
    <w:rsid w:val="00E70F93"/>
    <w:rsid w:val="00E71372"/>
    <w:rsid w:val="00E73C57"/>
    <w:rsid w:val="00E74508"/>
    <w:rsid w:val="00E753B3"/>
    <w:rsid w:val="00E7576D"/>
    <w:rsid w:val="00E769D6"/>
    <w:rsid w:val="00E77B69"/>
    <w:rsid w:val="00E77FCF"/>
    <w:rsid w:val="00E800F0"/>
    <w:rsid w:val="00E801BD"/>
    <w:rsid w:val="00E8084D"/>
    <w:rsid w:val="00E81666"/>
    <w:rsid w:val="00E81A35"/>
    <w:rsid w:val="00E830F1"/>
    <w:rsid w:val="00E8550A"/>
    <w:rsid w:val="00E85788"/>
    <w:rsid w:val="00E869B6"/>
    <w:rsid w:val="00E900F1"/>
    <w:rsid w:val="00E9160F"/>
    <w:rsid w:val="00E92BE2"/>
    <w:rsid w:val="00E941C0"/>
    <w:rsid w:val="00E95B57"/>
    <w:rsid w:val="00E95C15"/>
    <w:rsid w:val="00EA0F26"/>
    <w:rsid w:val="00EA20E6"/>
    <w:rsid w:val="00EA2AC6"/>
    <w:rsid w:val="00EA49F8"/>
    <w:rsid w:val="00EA5031"/>
    <w:rsid w:val="00EA51DC"/>
    <w:rsid w:val="00EA692C"/>
    <w:rsid w:val="00EA7970"/>
    <w:rsid w:val="00EB0DCB"/>
    <w:rsid w:val="00EB23B2"/>
    <w:rsid w:val="00EB25B3"/>
    <w:rsid w:val="00EB4A6A"/>
    <w:rsid w:val="00EB594F"/>
    <w:rsid w:val="00EB7633"/>
    <w:rsid w:val="00EC168F"/>
    <w:rsid w:val="00EC18DB"/>
    <w:rsid w:val="00EC1C66"/>
    <w:rsid w:val="00EC2C8E"/>
    <w:rsid w:val="00EC3391"/>
    <w:rsid w:val="00EC36E1"/>
    <w:rsid w:val="00EC4FC6"/>
    <w:rsid w:val="00EC5649"/>
    <w:rsid w:val="00EC7C4B"/>
    <w:rsid w:val="00EC7DDE"/>
    <w:rsid w:val="00EC7F11"/>
    <w:rsid w:val="00EC7FDB"/>
    <w:rsid w:val="00ED093C"/>
    <w:rsid w:val="00ED1C13"/>
    <w:rsid w:val="00ED3C12"/>
    <w:rsid w:val="00ED6195"/>
    <w:rsid w:val="00ED6946"/>
    <w:rsid w:val="00ED7D47"/>
    <w:rsid w:val="00EE2EC5"/>
    <w:rsid w:val="00EE3309"/>
    <w:rsid w:val="00EE3A63"/>
    <w:rsid w:val="00EE481E"/>
    <w:rsid w:val="00EE703A"/>
    <w:rsid w:val="00EF0747"/>
    <w:rsid w:val="00EF0E1F"/>
    <w:rsid w:val="00EF409B"/>
    <w:rsid w:val="00EF5173"/>
    <w:rsid w:val="00EF66C9"/>
    <w:rsid w:val="00EF6895"/>
    <w:rsid w:val="00EF717E"/>
    <w:rsid w:val="00EF7569"/>
    <w:rsid w:val="00F009D5"/>
    <w:rsid w:val="00F00D6F"/>
    <w:rsid w:val="00F0225E"/>
    <w:rsid w:val="00F0302C"/>
    <w:rsid w:val="00F03D79"/>
    <w:rsid w:val="00F04475"/>
    <w:rsid w:val="00F04997"/>
    <w:rsid w:val="00F063CB"/>
    <w:rsid w:val="00F06E61"/>
    <w:rsid w:val="00F071F4"/>
    <w:rsid w:val="00F11EAC"/>
    <w:rsid w:val="00F12425"/>
    <w:rsid w:val="00F129B7"/>
    <w:rsid w:val="00F13C5F"/>
    <w:rsid w:val="00F15D47"/>
    <w:rsid w:val="00F16393"/>
    <w:rsid w:val="00F17F8E"/>
    <w:rsid w:val="00F20BFB"/>
    <w:rsid w:val="00F21113"/>
    <w:rsid w:val="00F21404"/>
    <w:rsid w:val="00F21CEF"/>
    <w:rsid w:val="00F22CD9"/>
    <w:rsid w:val="00F23C5A"/>
    <w:rsid w:val="00F26765"/>
    <w:rsid w:val="00F2685B"/>
    <w:rsid w:val="00F3024B"/>
    <w:rsid w:val="00F303CE"/>
    <w:rsid w:val="00F32AB4"/>
    <w:rsid w:val="00F33610"/>
    <w:rsid w:val="00F3446E"/>
    <w:rsid w:val="00F351B7"/>
    <w:rsid w:val="00F361BE"/>
    <w:rsid w:val="00F3621E"/>
    <w:rsid w:val="00F375FC"/>
    <w:rsid w:val="00F37CC1"/>
    <w:rsid w:val="00F37DA7"/>
    <w:rsid w:val="00F37F89"/>
    <w:rsid w:val="00F407DA"/>
    <w:rsid w:val="00F40D50"/>
    <w:rsid w:val="00F41396"/>
    <w:rsid w:val="00F42682"/>
    <w:rsid w:val="00F431F0"/>
    <w:rsid w:val="00F4408E"/>
    <w:rsid w:val="00F442CB"/>
    <w:rsid w:val="00F44392"/>
    <w:rsid w:val="00F44461"/>
    <w:rsid w:val="00F44CE8"/>
    <w:rsid w:val="00F4513B"/>
    <w:rsid w:val="00F451EA"/>
    <w:rsid w:val="00F4695A"/>
    <w:rsid w:val="00F506C4"/>
    <w:rsid w:val="00F507CB"/>
    <w:rsid w:val="00F523E8"/>
    <w:rsid w:val="00F53CEC"/>
    <w:rsid w:val="00F5529E"/>
    <w:rsid w:val="00F55F3B"/>
    <w:rsid w:val="00F56EBA"/>
    <w:rsid w:val="00F61B05"/>
    <w:rsid w:val="00F62E74"/>
    <w:rsid w:val="00F630D6"/>
    <w:rsid w:val="00F678A5"/>
    <w:rsid w:val="00F67D26"/>
    <w:rsid w:val="00F733DF"/>
    <w:rsid w:val="00F73494"/>
    <w:rsid w:val="00F7393F"/>
    <w:rsid w:val="00F740D9"/>
    <w:rsid w:val="00F74C7A"/>
    <w:rsid w:val="00F764BF"/>
    <w:rsid w:val="00F82DBC"/>
    <w:rsid w:val="00F83708"/>
    <w:rsid w:val="00F84B76"/>
    <w:rsid w:val="00F85760"/>
    <w:rsid w:val="00F8655B"/>
    <w:rsid w:val="00F86627"/>
    <w:rsid w:val="00F87A93"/>
    <w:rsid w:val="00F90E43"/>
    <w:rsid w:val="00F90FBD"/>
    <w:rsid w:val="00F9172D"/>
    <w:rsid w:val="00F9187A"/>
    <w:rsid w:val="00F91C62"/>
    <w:rsid w:val="00F93A37"/>
    <w:rsid w:val="00F94C78"/>
    <w:rsid w:val="00F95EB7"/>
    <w:rsid w:val="00F96104"/>
    <w:rsid w:val="00F97397"/>
    <w:rsid w:val="00F97ADB"/>
    <w:rsid w:val="00F97E7F"/>
    <w:rsid w:val="00F97FE4"/>
    <w:rsid w:val="00FA01EE"/>
    <w:rsid w:val="00FA2C77"/>
    <w:rsid w:val="00FA2D73"/>
    <w:rsid w:val="00FA3555"/>
    <w:rsid w:val="00FA5408"/>
    <w:rsid w:val="00FA599A"/>
    <w:rsid w:val="00FA6B8D"/>
    <w:rsid w:val="00FA6D25"/>
    <w:rsid w:val="00FA73F9"/>
    <w:rsid w:val="00FA7D3D"/>
    <w:rsid w:val="00FB0671"/>
    <w:rsid w:val="00FB0FAC"/>
    <w:rsid w:val="00FB2488"/>
    <w:rsid w:val="00FB3FD7"/>
    <w:rsid w:val="00FB5432"/>
    <w:rsid w:val="00FB5757"/>
    <w:rsid w:val="00FB5B29"/>
    <w:rsid w:val="00FB5E6F"/>
    <w:rsid w:val="00FB6BA2"/>
    <w:rsid w:val="00FB7545"/>
    <w:rsid w:val="00FB7962"/>
    <w:rsid w:val="00FC0884"/>
    <w:rsid w:val="00FC0DF4"/>
    <w:rsid w:val="00FC1531"/>
    <w:rsid w:val="00FC3D46"/>
    <w:rsid w:val="00FC528F"/>
    <w:rsid w:val="00FC544F"/>
    <w:rsid w:val="00FC7151"/>
    <w:rsid w:val="00FD21E2"/>
    <w:rsid w:val="00FD5BB2"/>
    <w:rsid w:val="00FD5F66"/>
    <w:rsid w:val="00FD735B"/>
    <w:rsid w:val="00FE27ED"/>
    <w:rsid w:val="00FE34D1"/>
    <w:rsid w:val="00FE3BCF"/>
    <w:rsid w:val="00FE4D79"/>
    <w:rsid w:val="00FE4D92"/>
    <w:rsid w:val="00FE56D5"/>
    <w:rsid w:val="00FE57F1"/>
    <w:rsid w:val="00FE7293"/>
    <w:rsid w:val="00FF04F3"/>
    <w:rsid w:val="00FF12DB"/>
    <w:rsid w:val="00FF3C45"/>
    <w:rsid w:val="00FF597D"/>
    <w:rsid w:val="00FF67B4"/>
    <w:rsid w:val="00FF6C47"/>
    <w:rsid w:val="0EF97BEC"/>
    <w:rsid w:val="37AD4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qFormat="1" w:unhideWhenUsed="0" w:uiPriority="0" w:name="toc 2"/>
    <w:lsdException w:unhideWhenUsed="0" w:uiPriority="0" w:name="toc 3"/>
    <w:lsdException w:unhideWhenUsed="0" w:uiPriority="0" w:name="toc 4"/>
    <w:lsdException w:qFormat="1" w:unhideWhenUsed="0" w:uiPriority="0" w:name="toc 5"/>
    <w:lsdException w:unhideWhenUsed="0" w:uiPriority="0" w:name="toc 6"/>
    <w:lsdException w:unhideWhenUsed="0" w:uiPriority="0" w:name="toc 7"/>
    <w:lsdException w:qFormat="1" w:unhideWhenUsed="0" w:uiPriority="0" w:name="toc 8"/>
    <w:lsdException w:unhideWhenUsed="0" w:uiPriority="0" w:name="toc 9"/>
    <w:lsdException w:qFormat="1" w:unhideWhenUsed="0" w:uiPriority="99" w:semiHidden="0" w:name="Normal Indent"/>
    <w:lsdException w:unhideWhenUsed="0" w:uiPriority="0" w:name="footnote text"/>
    <w:lsdException w:qFormat="1" w:unhideWhenUsed="0" w:uiPriority="0" w:name="annotation text"/>
    <w:lsdException w:unhideWhenUsed="0" w:uiPriority="0" w:semiHidden="0" w:name="header"/>
    <w:lsdException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59"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6">
    <w:name w:val="Default Paragraph Font"/>
    <w:semiHidden/>
    <w:unhideWhenUsed/>
    <w:qFormat/>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uiPriority w:val="0"/>
  </w:style>
  <w:style w:type="paragraph" w:styleId="12">
    <w:name w:val="toc 6"/>
    <w:basedOn w:val="13"/>
    <w:next w:val="1"/>
    <w:semiHidden/>
    <w:uiPriority w:val="0"/>
  </w:style>
  <w:style w:type="paragraph" w:styleId="13">
    <w:name w:val="toc 5"/>
    <w:basedOn w:val="14"/>
    <w:next w:val="1"/>
    <w:semiHidden/>
    <w:qFormat/>
    <w:uiPriority w:val="0"/>
  </w:style>
  <w:style w:type="paragraph" w:styleId="14">
    <w:name w:val="toc 4"/>
    <w:basedOn w:val="15"/>
    <w:next w:val="1"/>
    <w:semiHidden/>
    <w:uiPriority w:val="0"/>
  </w:style>
  <w:style w:type="paragraph" w:styleId="15">
    <w:name w:val="toc 3"/>
    <w:basedOn w:val="16"/>
    <w:next w:val="1"/>
    <w:semiHidden/>
    <w:uiPriority w:val="0"/>
  </w:style>
  <w:style w:type="paragraph" w:styleId="16">
    <w:name w:val="toc 2"/>
    <w:basedOn w:val="17"/>
    <w:next w:val="1"/>
    <w:semiHidden/>
    <w:qFormat/>
    <w:uiPriority w:val="0"/>
  </w:style>
  <w:style w:type="paragraph" w:styleId="17">
    <w:name w:val="toc 1"/>
    <w:next w:val="1"/>
    <w:semiHidden/>
    <w:uiPriority w:val="0"/>
    <w:pPr>
      <w:jc w:val="both"/>
    </w:pPr>
    <w:rPr>
      <w:rFonts w:ascii="宋体" w:hAnsi="Times New Roman" w:eastAsia="宋体" w:cs="Times New Roman"/>
      <w:sz w:val="21"/>
      <w:lang w:val="en-US" w:eastAsia="zh-CN" w:bidi="ar-SA"/>
    </w:rPr>
  </w:style>
  <w:style w:type="paragraph" w:styleId="18">
    <w:name w:val="Normal Indent"/>
    <w:basedOn w:val="1"/>
    <w:qFormat/>
    <w:uiPriority w:val="99"/>
    <w:pPr>
      <w:ind w:firstLine="420"/>
    </w:pPr>
    <w:rPr>
      <w:szCs w:val="20"/>
    </w:rPr>
  </w:style>
  <w:style w:type="paragraph" w:styleId="19">
    <w:name w:val="caption"/>
    <w:basedOn w:val="1"/>
    <w:next w:val="1"/>
    <w:qFormat/>
    <w:uiPriority w:val="0"/>
    <w:pPr>
      <w:adjustRightInd w:val="0"/>
      <w:spacing w:before="152" w:after="160" w:line="360" w:lineRule="atLeast"/>
      <w:jc w:val="left"/>
      <w:textAlignment w:val="baseline"/>
    </w:pPr>
    <w:rPr>
      <w:rFonts w:ascii="Arial" w:hAnsi="Arial" w:eastAsia="黑体"/>
      <w:kern w:val="0"/>
      <w:sz w:val="24"/>
      <w:szCs w:val="20"/>
    </w:rPr>
  </w:style>
  <w:style w:type="paragraph" w:styleId="20">
    <w:name w:val="annotation text"/>
    <w:basedOn w:val="1"/>
    <w:semiHidden/>
    <w:qFormat/>
    <w:uiPriority w:val="0"/>
    <w:pPr>
      <w:jc w:val="left"/>
    </w:pPr>
  </w:style>
  <w:style w:type="paragraph" w:styleId="21">
    <w:name w:val="Body Text"/>
    <w:basedOn w:val="1"/>
    <w:uiPriority w:val="0"/>
    <w:pPr>
      <w:spacing w:after="120"/>
    </w:pPr>
  </w:style>
  <w:style w:type="paragraph" w:styleId="22">
    <w:name w:val="Body Text Indent"/>
    <w:basedOn w:val="1"/>
    <w:uiPriority w:val="0"/>
    <w:pPr>
      <w:spacing w:after="120"/>
      <w:ind w:left="420" w:leftChars="200"/>
    </w:pPr>
  </w:style>
  <w:style w:type="paragraph" w:styleId="23">
    <w:name w:val="HTML Address"/>
    <w:basedOn w:val="1"/>
    <w:qFormat/>
    <w:uiPriority w:val="0"/>
    <w:rPr>
      <w:i/>
      <w:iCs/>
    </w:rPr>
  </w:style>
  <w:style w:type="paragraph" w:styleId="24">
    <w:name w:val="toc 8"/>
    <w:basedOn w:val="11"/>
    <w:next w:val="1"/>
    <w:semiHidden/>
    <w:qFormat/>
    <w:uiPriority w:val="0"/>
  </w:style>
  <w:style w:type="paragraph" w:styleId="25">
    <w:name w:val="Balloon Text"/>
    <w:basedOn w:val="1"/>
    <w:semiHidden/>
    <w:uiPriority w:val="0"/>
    <w:rPr>
      <w:sz w:val="18"/>
      <w:szCs w:val="18"/>
    </w:rPr>
  </w:style>
  <w:style w:type="paragraph" w:styleId="26">
    <w:name w:val="footer"/>
    <w:basedOn w:val="1"/>
    <w:uiPriority w:val="0"/>
    <w:pPr>
      <w:tabs>
        <w:tab w:val="center" w:pos="4153"/>
        <w:tab w:val="right" w:pos="8306"/>
      </w:tabs>
      <w:snapToGrid w:val="0"/>
      <w:ind w:right="210" w:rightChars="100"/>
      <w:jc w:val="right"/>
    </w:pPr>
    <w:rPr>
      <w:sz w:val="18"/>
      <w:szCs w:val="18"/>
    </w:rPr>
  </w:style>
  <w:style w:type="paragraph" w:styleId="2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28">
    <w:name w:val="footnote text"/>
    <w:basedOn w:val="1"/>
    <w:semiHidden/>
    <w:uiPriority w:val="0"/>
    <w:pPr>
      <w:snapToGrid w:val="0"/>
      <w:jc w:val="left"/>
    </w:pPr>
    <w:rPr>
      <w:sz w:val="18"/>
      <w:szCs w:val="18"/>
    </w:rPr>
  </w:style>
  <w:style w:type="paragraph" w:styleId="29">
    <w:name w:val="toc 9"/>
    <w:basedOn w:val="24"/>
    <w:next w:val="1"/>
    <w:semiHidden/>
    <w:uiPriority w:val="0"/>
  </w:style>
  <w:style w:type="paragraph" w:styleId="30">
    <w:name w:val="HTML Preformatted"/>
    <w:basedOn w:val="1"/>
    <w:uiPriority w:val="0"/>
    <w:rPr>
      <w:rFonts w:ascii="Courier New" w:hAnsi="Courier New" w:cs="Courier New"/>
      <w:sz w:val="20"/>
      <w:szCs w:val="20"/>
    </w:rPr>
  </w:style>
  <w:style w:type="paragraph" w:styleId="31">
    <w:name w:val="Title"/>
    <w:basedOn w:val="1"/>
    <w:qFormat/>
    <w:uiPriority w:val="0"/>
    <w:pPr>
      <w:spacing w:before="240" w:after="60"/>
      <w:jc w:val="center"/>
      <w:outlineLvl w:val="0"/>
    </w:pPr>
    <w:rPr>
      <w:rFonts w:ascii="Arial" w:hAnsi="Arial" w:cs="Arial"/>
      <w:b/>
      <w:bCs/>
      <w:sz w:val="32"/>
      <w:szCs w:val="32"/>
    </w:rPr>
  </w:style>
  <w:style w:type="paragraph" w:styleId="32">
    <w:name w:val="Body Text First Indent"/>
    <w:basedOn w:val="21"/>
    <w:uiPriority w:val="0"/>
    <w:pPr>
      <w:ind w:firstLine="420"/>
    </w:pPr>
    <w:rPr>
      <w:szCs w:val="20"/>
    </w:r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5">
    <w:name w:val="Table Grid 5"/>
    <w:basedOn w:val="3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character" w:styleId="37">
    <w:name w:val="Strong"/>
    <w:basedOn w:val="36"/>
    <w:qFormat/>
    <w:uiPriority w:val="0"/>
    <w:rPr>
      <w:b/>
      <w:bCs/>
    </w:rPr>
  </w:style>
  <w:style w:type="character" w:styleId="38">
    <w:name w:val="page number"/>
    <w:basedOn w:val="36"/>
    <w:qFormat/>
    <w:uiPriority w:val="0"/>
    <w:rPr>
      <w:rFonts w:ascii="Times New Roman" w:hAnsi="Times New Roman" w:eastAsia="宋体"/>
      <w:sz w:val="18"/>
    </w:rPr>
  </w:style>
  <w:style w:type="character" w:styleId="39">
    <w:name w:val="HTML Definition"/>
    <w:basedOn w:val="36"/>
    <w:uiPriority w:val="0"/>
    <w:rPr>
      <w:i/>
      <w:iCs/>
    </w:rPr>
  </w:style>
  <w:style w:type="character" w:styleId="40">
    <w:name w:val="HTML Typewriter"/>
    <w:basedOn w:val="36"/>
    <w:qFormat/>
    <w:uiPriority w:val="0"/>
    <w:rPr>
      <w:rFonts w:ascii="Courier New" w:hAnsi="Courier New"/>
      <w:sz w:val="20"/>
      <w:szCs w:val="20"/>
    </w:rPr>
  </w:style>
  <w:style w:type="character" w:styleId="41">
    <w:name w:val="HTML Acronym"/>
    <w:basedOn w:val="36"/>
    <w:uiPriority w:val="0"/>
  </w:style>
  <w:style w:type="character" w:styleId="42">
    <w:name w:val="HTML Variable"/>
    <w:basedOn w:val="36"/>
    <w:uiPriority w:val="0"/>
    <w:rPr>
      <w:i/>
      <w:iCs/>
    </w:rPr>
  </w:style>
  <w:style w:type="character" w:styleId="43">
    <w:name w:val="Hyperlink"/>
    <w:uiPriority w:val="0"/>
    <w:rPr>
      <w:rFonts w:ascii="Times New Roman" w:hAnsi="Times New Roman" w:eastAsia="宋体"/>
      <w:color w:val="auto"/>
      <w:spacing w:val="0"/>
      <w:w w:val="100"/>
      <w:position w:val="0"/>
      <w:sz w:val="21"/>
      <w:u w:val="none"/>
      <w:vertAlign w:val="baseline"/>
    </w:rPr>
  </w:style>
  <w:style w:type="character" w:styleId="44">
    <w:name w:val="HTML Code"/>
    <w:basedOn w:val="36"/>
    <w:qFormat/>
    <w:uiPriority w:val="0"/>
    <w:rPr>
      <w:rFonts w:ascii="Courier New" w:hAnsi="Courier New"/>
      <w:sz w:val="20"/>
      <w:szCs w:val="20"/>
    </w:rPr>
  </w:style>
  <w:style w:type="character" w:styleId="45">
    <w:name w:val="annotation reference"/>
    <w:basedOn w:val="36"/>
    <w:semiHidden/>
    <w:uiPriority w:val="0"/>
    <w:rPr>
      <w:sz w:val="21"/>
      <w:szCs w:val="21"/>
    </w:rPr>
  </w:style>
  <w:style w:type="character" w:styleId="46">
    <w:name w:val="HTML Cite"/>
    <w:basedOn w:val="36"/>
    <w:uiPriority w:val="0"/>
    <w:rPr>
      <w:i/>
      <w:iCs/>
    </w:rPr>
  </w:style>
  <w:style w:type="character" w:styleId="47">
    <w:name w:val="footnote reference"/>
    <w:basedOn w:val="36"/>
    <w:semiHidden/>
    <w:uiPriority w:val="0"/>
    <w:rPr>
      <w:vertAlign w:val="superscript"/>
    </w:rPr>
  </w:style>
  <w:style w:type="character" w:styleId="48">
    <w:name w:val="HTML Keyboard"/>
    <w:basedOn w:val="36"/>
    <w:uiPriority w:val="0"/>
    <w:rPr>
      <w:rFonts w:ascii="Courier New" w:hAnsi="Courier New"/>
      <w:sz w:val="20"/>
      <w:szCs w:val="20"/>
    </w:rPr>
  </w:style>
  <w:style w:type="character" w:styleId="49">
    <w:name w:val="HTML Sample"/>
    <w:basedOn w:val="36"/>
    <w:uiPriority w:val="0"/>
    <w:rPr>
      <w:rFonts w:ascii="Courier New" w:hAnsi="Courier New"/>
    </w:rPr>
  </w:style>
  <w:style w:type="paragraph" w:customStyle="1" w:styleId="50">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uiPriority w:val="9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2">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53">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5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5">
    <w:name w:val="标准书眉_偶数页"/>
    <w:basedOn w:val="54"/>
    <w:next w:val="1"/>
    <w:uiPriority w:val="0"/>
    <w:pPr>
      <w:jc w:val="left"/>
    </w:p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8">
    <w:name w:val="参考文献、索引标题"/>
    <w:basedOn w:val="57"/>
    <w:next w:val="1"/>
    <w:uiPriority w:val="0"/>
    <w:pPr>
      <w:numPr>
        <w:numId w:val="0"/>
      </w:numPr>
      <w:spacing w:after="200"/>
    </w:pPr>
    <w:rPr>
      <w:sz w:val="21"/>
    </w:rPr>
  </w:style>
  <w:style w:type="paragraph" w:customStyle="1" w:styleId="59">
    <w:name w:val="段"/>
    <w:link w:val="116"/>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章标题"/>
    <w:next w:val="59"/>
    <w:link w:val="117"/>
    <w:qFormat/>
    <w:uiPriority w:val="99"/>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1">
    <w:name w:val="一级条标题"/>
    <w:basedOn w:val="60"/>
    <w:next w:val="59"/>
    <w:link w:val="119"/>
    <w:qFormat/>
    <w:uiPriority w:val="99"/>
    <w:pPr>
      <w:numPr>
        <w:ilvl w:val="2"/>
      </w:numPr>
      <w:spacing w:beforeLines="0" w:afterLines="0"/>
      <w:outlineLvl w:val="2"/>
    </w:pPr>
  </w:style>
  <w:style w:type="paragraph" w:customStyle="1" w:styleId="62">
    <w:name w:val="二级条标题"/>
    <w:basedOn w:val="61"/>
    <w:next w:val="59"/>
    <w:qFormat/>
    <w:uiPriority w:val="99"/>
    <w:pPr>
      <w:numPr>
        <w:ilvl w:val="3"/>
      </w:numPr>
      <w:outlineLvl w:val="3"/>
    </w:pPr>
  </w:style>
  <w:style w:type="paragraph" w:customStyle="1" w:styleId="63">
    <w:name w:val="二级无标题条"/>
    <w:basedOn w:val="1"/>
    <w:uiPriority w:val="0"/>
    <w:pPr>
      <w:numPr>
        <w:ilvl w:val="3"/>
        <w:numId w:val="2"/>
      </w:numPr>
    </w:pPr>
  </w:style>
  <w:style w:type="character" w:customStyle="1" w:styleId="64">
    <w:name w:val="发布"/>
    <w:basedOn w:val="36"/>
    <w:uiPriority w:val="0"/>
    <w:rPr>
      <w:rFonts w:ascii="黑体" w:eastAsia="黑体"/>
      <w:spacing w:val="22"/>
      <w:w w:val="100"/>
      <w:position w:val="3"/>
      <w:sz w:val="28"/>
    </w:rPr>
  </w:style>
  <w:style w:type="paragraph" w:customStyle="1" w:styleId="65">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6">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7">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8">
    <w:name w:val="封面标准号2"/>
    <w:basedOn w:val="67"/>
    <w:uiPriority w:val="0"/>
    <w:pPr>
      <w:framePr w:w="9138" w:h="1244" w:hRule="exact" w:wrap="auto" w:vAnchor="page" w:hAnchor="margin" w:y="2908"/>
      <w:adjustRightInd w:val="0"/>
      <w:spacing w:before="357" w:line="280" w:lineRule="exact"/>
    </w:pPr>
  </w:style>
  <w:style w:type="paragraph" w:customStyle="1" w:styleId="69">
    <w:name w:val="封面标准代替信息"/>
    <w:basedOn w:val="68"/>
    <w:uiPriority w:val="0"/>
    <w:pPr>
      <w:framePr/>
      <w:spacing w:before="57"/>
    </w:pPr>
    <w:rPr>
      <w:rFonts w:ascii="宋体"/>
      <w:sz w:val="21"/>
    </w:rPr>
  </w:style>
  <w:style w:type="paragraph" w:customStyle="1" w:styleId="70">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1">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72">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7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4">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5">
    <w:name w:val="封面正文"/>
    <w:uiPriority w:val="0"/>
    <w:pPr>
      <w:jc w:val="both"/>
    </w:pPr>
    <w:rPr>
      <w:rFonts w:ascii="Times New Roman" w:hAnsi="Times New Roman" w:eastAsia="宋体" w:cs="Times New Roman"/>
      <w:lang w:val="en-US" w:eastAsia="zh-CN" w:bidi="ar-SA"/>
    </w:rPr>
  </w:style>
  <w:style w:type="paragraph" w:customStyle="1" w:styleId="76">
    <w:name w:val="附录标识"/>
    <w:basedOn w:val="57"/>
    <w:uiPriority w:val="0"/>
    <w:pPr>
      <w:numPr>
        <w:ilvl w:val="0"/>
        <w:numId w:val="3"/>
      </w:numPr>
      <w:tabs>
        <w:tab w:val="left" w:pos="6405"/>
      </w:tabs>
      <w:spacing w:after="200"/>
    </w:pPr>
    <w:rPr>
      <w:sz w:val="21"/>
    </w:rPr>
  </w:style>
  <w:style w:type="paragraph" w:customStyle="1" w:styleId="77">
    <w:name w:val="附录表标题"/>
    <w:next w:val="59"/>
    <w:uiPriority w:val="0"/>
    <w:pPr>
      <w:jc w:val="center"/>
      <w:textAlignment w:val="baseline"/>
    </w:pPr>
    <w:rPr>
      <w:rFonts w:ascii="黑体" w:hAnsi="Times New Roman" w:eastAsia="黑体" w:cs="Times New Roman"/>
      <w:kern w:val="21"/>
      <w:sz w:val="21"/>
      <w:lang w:val="en-US" w:eastAsia="zh-CN" w:bidi="ar-SA"/>
    </w:rPr>
  </w:style>
  <w:style w:type="paragraph" w:customStyle="1" w:styleId="78">
    <w:name w:val="附录章标题"/>
    <w:next w:val="59"/>
    <w:qFormat/>
    <w:uiPriority w:val="0"/>
    <w:pPr>
      <w:numPr>
        <w:ilvl w:val="1"/>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附录一级条标题"/>
    <w:basedOn w:val="78"/>
    <w:next w:val="59"/>
    <w:uiPriority w:val="0"/>
    <w:pPr>
      <w:numPr>
        <w:ilvl w:val="2"/>
        <w:numId w:val="3"/>
      </w:numPr>
      <w:autoSpaceDN w:val="0"/>
      <w:spacing w:beforeLines="0" w:afterLines="0"/>
      <w:outlineLvl w:val="2"/>
    </w:pPr>
  </w:style>
  <w:style w:type="paragraph" w:customStyle="1" w:styleId="80">
    <w:name w:val="附录二级条标题"/>
    <w:basedOn w:val="79"/>
    <w:next w:val="59"/>
    <w:uiPriority w:val="0"/>
    <w:pPr>
      <w:numPr>
        <w:ilvl w:val="3"/>
        <w:numId w:val="3"/>
      </w:numPr>
      <w:outlineLvl w:val="3"/>
    </w:pPr>
  </w:style>
  <w:style w:type="paragraph" w:customStyle="1" w:styleId="81">
    <w:name w:val="附录三级条标题"/>
    <w:basedOn w:val="80"/>
    <w:next w:val="59"/>
    <w:qFormat/>
    <w:uiPriority w:val="0"/>
    <w:pPr>
      <w:numPr>
        <w:ilvl w:val="4"/>
        <w:numId w:val="3"/>
      </w:numPr>
      <w:outlineLvl w:val="4"/>
    </w:pPr>
  </w:style>
  <w:style w:type="paragraph" w:customStyle="1" w:styleId="82">
    <w:name w:val="附录四级条标题"/>
    <w:basedOn w:val="81"/>
    <w:next w:val="59"/>
    <w:qFormat/>
    <w:uiPriority w:val="0"/>
    <w:pPr>
      <w:numPr>
        <w:ilvl w:val="5"/>
        <w:numId w:val="3"/>
      </w:numPr>
      <w:outlineLvl w:val="5"/>
    </w:pPr>
  </w:style>
  <w:style w:type="paragraph" w:customStyle="1" w:styleId="83">
    <w:name w:val="附录图标题"/>
    <w:next w:val="59"/>
    <w:uiPriority w:val="0"/>
    <w:pPr>
      <w:jc w:val="center"/>
    </w:pPr>
    <w:rPr>
      <w:rFonts w:ascii="黑体" w:hAnsi="Times New Roman" w:eastAsia="黑体" w:cs="Times New Roman"/>
      <w:sz w:val="21"/>
      <w:lang w:val="en-US" w:eastAsia="zh-CN" w:bidi="ar-SA"/>
    </w:rPr>
  </w:style>
  <w:style w:type="paragraph" w:customStyle="1" w:styleId="84">
    <w:name w:val="附录五级条标题"/>
    <w:basedOn w:val="82"/>
    <w:next w:val="59"/>
    <w:qFormat/>
    <w:uiPriority w:val="0"/>
    <w:pPr>
      <w:numPr>
        <w:ilvl w:val="6"/>
        <w:numId w:val="3"/>
      </w:numPr>
      <w:outlineLvl w:val="6"/>
    </w:pPr>
  </w:style>
  <w:style w:type="character" w:customStyle="1" w:styleId="85">
    <w:name w:val="EmailStyle62"/>
    <w:basedOn w:val="36"/>
    <w:qFormat/>
    <w:uiPriority w:val="0"/>
    <w:rPr>
      <w:rFonts w:ascii="Arial" w:hAnsi="Arial" w:eastAsia="宋体" w:cs="Arial"/>
      <w:color w:val="auto"/>
      <w:sz w:val="20"/>
    </w:rPr>
  </w:style>
  <w:style w:type="character" w:customStyle="1" w:styleId="86">
    <w:name w:val="EmailStyle63"/>
    <w:basedOn w:val="36"/>
    <w:uiPriority w:val="0"/>
    <w:rPr>
      <w:rFonts w:ascii="Arial" w:hAnsi="Arial" w:eastAsia="宋体" w:cs="Arial"/>
      <w:color w:val="auto"/>
      <w:sz w:val="20"/>
    </w:rPr>
  </w:style>
  <w:style w:type="paragraph" w:customStyle="1" w:styleId="87">
    <w:name w:val="列项——"/>
    <w:uiPriority w:val="0"/>
    <w:pPr>
      <w:widowControl w:val="0"/>
      <w:numPr>
        <w:ilvl w:val="0"/>
        <w:numId w:val="4"/>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8">
    <w:name w:val="列项·"/>
    <w:uiPriority w:val="0"/>
    <w:pPr>
      <w:numPr>
        <w:ilvl w:val="0"/>
        <w:numId w:val="5"/>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89">
    <w:name w:val="目次、标准名称标题"/>
    <w:basedOn w:val="57"/>
    <w:next w:val="59"/>
    <w:uiPriority w:val="0"/>
    <w:pPr>
      <w:numPr>
        <w:numId w:val="0"/>
      </w:numPr>
      <w:spacing w:line="460" w:lineRule="exact"/>
    </w:pPr>
  </w:style>
  <w:style w:type="paragraph" w:customStyle="1" w:styleId="9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1">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92">
    <w:name w:val="其他发布部门"/>
    <w:basedOn w:val="65"/>
    <w:qFormat/>
    <w:uiPriority w:val="0"/>
    <w:pPr>
      <w:framePr w:wrap="around"/>
      <w:spacing w:line="0" w:lineRule="atLeast"/>
    </w:pPr>
    <w:rPr>
      <w:rFonts w:ascii="黑体" w:eastAsia="黑体"/>
      <w:b w:val="0"/>
    </w:rPr>
  </w:style>
  <w:style w:type="paragraph" w:customStyle="1" w:styleId="93">
    <w:name w:val="三级条标题"/>
    <w:basedOn w:val="62"/>
    <w:next w:val="59"/>
    <w:link w:val="118"/>
    <w:qFormat/>
    <w:uiPriority w:val="99"/>
    <w:pPr>
      <w:numPr>
        <w:ilvl w:val="4"/>
      </w:numPr>
      <w:outlineLvl w:val="4"/>
    </w:pPr>
  </w:style>
  <w:style w:type="paragraph" w:customStyle="1" w:styleId="94">
    <w:name w:val="三级无标题条"/>
    <w:basedOn w:val="1"/>
    <w:uiPriority w:val="0"/>
    <w:pPr>
      <w:numPr>
        <w:ilvl w:val="4"/>
        <w:numId w:val="2"/>
      </w:numPr>
    </w:pPr>
  </w:style>
  <w:style w:type="paragraph" w:customStyle="1" w:styleId="95">
    <w:name w:val="实施日期"/>
    <w:basedOn w:val="66"/>
    <w:qFormat/>
    <w:uiPriority w:val="0"/>
    <w:pPr>
      <w:framePr w:hSpace="0" w:wrap="around" w:xAlign="right"/>
      <w:jc w:val="right"/>
    </w:pPr>
  </w:style>
  <w:style w:type="paragraph" w:customStyle="1" w:styleId="96">
    <w:name w:val="示例"/>
    <w:next w:val="59"/>
    <w:uiPriority w:val="0"/>
    <w:pPr>
      <w:numPr>
        <w:ilvl w:val="0"/>
        <w:numId w:val="6"/>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7">
    <w:name w:val="数字编号列项（二级）"/>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8">
    <w:name w:val="四级条标题"/>
    <w:basedOn w:val="93"/>
    <w:next w:val="59"/>
    <w:qFormat/>
    <w:uiPriority w:val="99"/>
    <w:pPr>
      <w:numPr>
        <w:ilvl w:val="5"/>
      </w:numPr>
      <w:outlineLvl w:val="5"/>
    </w:pPr>
  </w:style>
  <w:style w:type="paragraph" w:customStyle="1" w:styleId="99">
    <w:name w:val="四级无标题条"/>
    <w:basedOn w:val="1"/>
    <w:uiPriority w:val="0"/>
    <w:pPr>
      <w:numPr>
        <w:ilvl w:val="5"/>
        <w:numId w:val="2"/>
      </w:numPr>
    </w:pPr>
  </w:style>
  <w:style w:type="paragraph" w:customStyle="1" w:styleId="100">
    <w:name w:val="条文脚注"/>
    <w:basedOn w:val="28"/>
    <w:uiPriority w:val="0"/>
    <w:pPr>
      <w:ind w:left="780" w:leftChars="200" w:hanging="360" w:hangingChars="200"/>
      <w:jc w:val="both"/>
    </w:pPr>
    <w:rPr>
      <w:rFonts w:ascii="宋体"/>
    </w:rPr>
  </w:style>
  <w:style w:type="paragraph" w:customStyle="1" w:styleId="101">
    <w:name w:val="图表脚注"/>
    <w:next w:val="59"/>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2">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3">
    <w:name w:val="无标题条"/>
    <w:next w:val="59"/>
    <w:uiPriority w:val="0"/>
    <w:pPr>
      <w:jc w:val="both"/>
    </w:pPr>
    <w:rPr>
      <w:rFonts w:ascii="Times New Roman" w:hAnsi="Times New Roman" w:eastAsia="宋体" w:cs="Times New Roman"/>
      <w:sz w:val="21"/>
      <w:lang w:val="en-US" w:eastAsia="zh-CN" w:bidi="ar-SA"/>
    </w:rPr>
  </w:style>
  <w:style w:type="paragraph" w:customStyle="1" w:styleId="104">
    <w:name w:val="五级条标题"/>
    <w:basedOn w:val="98"/>
    <w:next w:val="59"/>
    <w:qFormat/>
    <w:uiPriority w:val="99"/>
    <w:pPr>
      <w:numPr>
        <w:ilvl w:val="6"/>
      </w:numPr>
      <w:outlineLvl w:val="6"/>
    </w:pPr>
  </w:style>
  <w:style w:type="paragraph" w:customStyle="1" w:styleId="105">
    <w:name w:val="五级无标题条"/>
    <w:basedOn w:val="1"/>
    <w:qFormat/>
    <w:uiPriority w:val="0"/>
    <w:pPr>
      <w:numPr>
        <w:ilvl w:val="6"/>
        <w:numId w:val="2"/>
      </w:numPr>
    </w:pPr>
  </w:style>
  <w:style w:type="paragraph" w:customStyle="1" w:styleId="106">
    <w:name w:val="一级无标题条"/>
    <w:basedOn w:val="1"/>
    <w:uiPriority w:val="0"/>
    <w:pPr>
      <w:numPr>
        <w:ilvl w:val="2"/>
        <w:numId w:val="2"/>
      </w:numPr>
    </w:pPr>
  </w:style>
  <w:style w:type="paragraph" w:customStyle="1" w:styleId="107">
    <w:name w:val="正文表标题"/>
    <w:next w:val="59"/>
    <w:uiPriority w:val="0"/>
    <w:pPr>
      <w:numPr>
        <w:ilvl w:val="0"/>
        <w:numId w:val="7"/>
      </w:numPr>
      <w:jc w:val="center"/>
    </w:pPr>
    <w:rPr>
      <w:rFonts w:ascii="黑体" w:hAnsi="Times New Roman" w:eastAsia="黑体" w:cs="Times New Roman"/>
      <w:sz w:val="21"/>
      <w:lang w:val="en-US" w:eastAsia="zh-CN" w:bidi="ar-SA"/>
    </w:rPr>
  </w:style>
  <w:style w:type="paragraph" w:customStyle="1" w:styleId="108">
    <w:name w:val="正文图标题"/>
    <w:next w:val="59"/>
    <w:uiPriority w:val="0"/>
    <w:pPr>
      <w:numPr>
        <w:ilvl w:val="0"/>
        <w:numId w:val="8"/>
      </w:numPr>
      <w:jc w:val="center"/>
    </w:pPr>
    <w:rPr>
      <w:rFonts w:ascii="黑体" w:hAnsi="Times New Roman" w:eastAsia="黑体" w:cs="Times New Roman"/>
      <w:sz w:val="21"/>
      <w:lang w:val="en-US" w:eastAsia="zh-CN" w:bidi="ar-SA"/>
    </w:rPr>
  </w:style>
  <w:style w:type="paragraph" w:customStyle="1" w:styleId="109">
    <w:name w:val="注："/>
    <w:next w:val="59"/>
    <w:uiPriority w:val="0"/>
    <w:pPr>
      <w:widowControl w:val="0"/>
      <w:numPr>
        <w:ilvl w:val="0"/>
        <w:numId w:val="9"/>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10">
    <w:name w:val="注×："/>
    <w:uiPriority w:val="0"/>
    <w:pPr>
      <w:widowControl w:val="0"/>
      <w:numPr>
        <w:ilvl w:val="0"/>
        <w:numId w:val="10"/>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11">
    <w:name w:val="字母编号列项（一级）"/>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12">
    <w:name w:val="附录性质"/>
    <w:basedOn w:val="1"/>
    <w:uiPriority w:val="0"/>
    <w:pPr>
      <w:jc w:val="center"/>
    </w:pPr>
    <w:rPr>
      <w:rFonts w:ascii="黑体" w:eastAsia="黑体"/>
    </w:rPr>
  </w:style>
  <w:style w:type="paragraph" w:customStyle="1" w:styleId="113">
    <w:name w:val="标准正文"/>
    <w:basedOn w:val="1"/>
    <w:uiPriority w:val="0"/>
    <w:pPr>
      <w:adjustRightInd w:val="0"/>
      <w:spacing w:line="360" w:lineRule="atLeast"/>
      <w:ind w:firstLine="425"/>
      <w:jc w:val="left"/>
      <w:textAlignment w:val="baseline"/>
    </w:pPr>
    <w:rPr>
      <w:spacing w:val="-4"/>
      <w:kern w:val="21"/>
      <w:szCs w:val="20"/>
    </w:rPr>
  </w:style>
  <w:style w:type="paragraph" w:customStyle="1" w:styleId="114">
    <w:name w:val="Char"/>
    <w:basedOn w:val="1"/>
    <w:uiPriority w:val="0"/>
    <w:pPr>
      <w:widowControl/>
      <w:spacing w:after="160" w:line="240" w:lineRule="exact"/>
      <w:jc w:val="left"/>
    </w:pPr>
    <w:rPr>
      <w:rFonts w:ascii="Verdana" w:hAnsi="Verdana"/>
      <w:kern w:val="0"/>
      <w:sz w:val="20"/>
      <w:szCs w:val="20"/>
      <w:lang w:eastAsia="en-US"/>
    </w:rPr>
  </w:style>
  <w:style w:type="paragraph" w:customStyle="1" w:styleId="115">
    <w:name w:val="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116">
    <w:name w:val="段 Char"/>
    <w:basedOn w:val="36"/>
    <w:link w:val="59"/>
    <w:qFormat/>
    <w:uiPriority w:val="99"/>
    <w:rPr>
      <w:rFonts w:ascii="宋体"/>
      <w:sz w:val="21"/>
      <w:lang w:val="en-US" w:eastAsia="zh-CN" w:bidi="ar-SA"/>
    </w:rPr>
  </w:style>
  <w:style w:type="character" w:customStyle="1" w:styleId="117">
    <w:name w:val="章标题 Char"/>
    <w:basedOn w:val="36"/>
    <w:link w:val="60"/>
    <w:uiPriority w:val="99"/>
    <w:rPr>
      <w:rFonts w:ascii="黑体" w:eastAsia="黑体"/>
      <w:sz w:val="21"/>
    </w:rPr>
  </w:style>
  <w:style w:type="character" w:customStyle="1" w:styleId="118">
    <w:name w:val="三级条标题 Char"/>
    <w:basedOn w:val="36"/>
    <w:link w:val="93"/>
    <w:uiPriority w:val="99"/>
    <w:rPr>
      <w:rFonts w:ascii="黑体" w:eastAsia="黑体"/>
      <w:sz w:val="21"/>
    </w:rPr>
  </w:style>
  <w:style w:type="character" w:customStyle="1" w:styleId="119">
    <w:name w:val="一级条标题 Char"/>
    <w:basedOn w:val="117"/>
    <w:link w:val="61"/>
    <w:uiPriority w:val="99"/>
    <w:rPr>
      <w:rFonts w:ascii="黑体" w:eastAsia="黑体"/>
      <w:sz w:val="21"/>
    </w:rPr>
  </w:style>
  <w:style w:type="paragraph" w:customStyle="1" w:styleId="120">
    <w:name w:val="c封面标准名称"/>
    <w:basedOn w:val="1"/>
    <w:uiPriority w:val="0"/>
    <w:pPr>
      <w:adjustRightInd w:val="0"/>
      <w:jc w:val="center"/>
    </w:pPr>
    <w:rPr>
      <w:rFonts w:eastAsia="黑体"/>
      <w:kern w:val="0"/>
      <w:sz w:val="52"/>
      <w:szCs w:val="20"/>
    </w:rPr>
  </w:style>
  <w:style w:type="paragraph" w:customStyle="1" w:styleId="121">
    <w:name w:val="Char2"/>
    <w:basedOn w:val="1"/>
    <w:qFormat/>
    <w:uiPriority w:val="0"/>
    <w:pPr>
      <w:widowControl/>
      <w:spacing w:after="160" w:line="240" w:lineRule="exact"/>
      <w:jc w:val="left"/>
    </w:pPr>
    <w:rPr>
      <w:rFonts w:ascii="Verdana" w:hAnsi="Verdana"/>
      <w:kern w:val="0"/>
      <w:sz w:val="20"/>
      <w:szCs w:val="20"/>
      <w:lang w:eastAsia="en-US"/>
    </w:rPr>
  </w:style>
  <w:style w:type="character" w:customStyle="1" w:styleId="122">
    <w:name w:val="段 Char Char"/>
    <w:basedOn w:val="36"/>
    <w:uiPriority w:val="0"/>
    <w:rPr>
      <w:rFonts w:ascii="宋体"/>
      <w:sz w:val="21"/>
      <w:lang w:val="en-US" w:eastAsia="zh-CN" w:bidi="ar-SA"/>
    </w:rPr>
  </w:style>
  <w:style w:type="character" w:styleId="123">
    <w:name w:val="Placeholder Text"/>
    <w:basedOn w:val="36"/>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7A5EBB-880C-4B52-80F1-8AC699CA136F}">
  <ds:schemaRefs/>
</ds:datastoreItem>
</file>

<file path=docProps/app.xml><?xml version="1.0" encoding="utf-8"?>
<Properties xmlns="http://schemas.openxmlformats.org/officeDocument/2006/extended-properties" xmlns:vt="http://schemas.openxmlformats.org/officeDocument/2006/docPropsVTypes">
  <Template>Tds</Template>
  <Company>中国标准研究中心</Company>
  <Pages>8</Pages>
  <Words>367</Words>
  <Characters>2097</Characters>
  <Lines>17</Lines>
  <Paragraphs>4</Paragraphs>
  <TotalTime>11586</TotalTime>
  <ScaleCrop>false</ScaleCrop>
  <LinksUpToDate>false</LinksUpToDate>
  <CharactersWithSpaces>2460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2020-07-13T01:35:00Z</dcterms:created>
  <dc:creator>标准李瑞山9585</dc:creator>
  <cp:lastModifiedBy>CathayMok</cp:lastModifiedBy>
  <cp:lastPrinted>2020-07-21T07:01:00Z</cp:lastPrinted>
  <dcterms:modified xsi:type="dcterms:W3CDTF">2021-12-02T06:19:26Z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287ABA7CE59142FA8622D72DB7153A44</vt:lpwstr>
  </property>
</Properties>
</file>