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2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>
      <w:pPr>
        <w:spacing w:line="0" w:lineRule="atLeast"/>
        <w:jc w:val="center"/>
        <w:rPr>
          <w:rFonts w:ascii="黑体" w:eastAsia="黑体"/>
          <w:sz w:val="28"/>
          <w:szCs w:val="28"/>
        </w:rPr>
      </w:pPr>
      <w:bookmarkStart w:id="0" w:name="_Hlk56684798"/>
      <w:r>
        <w:rPr>
          <w:rFonts w:hint="eastAsia" w:ascii="黑体" w:eastAsia="黑体"/>
          <w:sz w:val="28"/>
          <w:szCs w:val="28"/>
        </w:rPr>
        <w:t>会议拟提交论证的校准规范计划项目（截至11月1</w:t>
      </w:r>
      <w:r>
        <w:rPr>
          <w:rFonts w:ascii="黑体" w:eastAsia="黑体"/>
          <w:sz w:val="28"/>
          <w:szCs w:val="28"/>
        </w:rPr>
        <w:t>6</w:t>
      </w:r>
      <w:r>
        <w:rPr>
          <w:rFonts w:hint="eastAsia" w:ascii="黑体" w:eastAsia="黑体"/>
          <w:sz w:val="28"/>
          <w:szCs w:val="28"/>
        </w:rPr>
        <w:t>日）</w:t>
      </w:r>
      <w:bookmarkEnd w:id="0"/>
    </w:p>
    <w:p>
      <w:pPr>
        <w:spacing w:line="400" w:lineRule="exact"/>
        <w:ind w:left="-160" w:leftChars="-76" w:firstLine="159" w:firstLineChars="57"/>
        <w:jc w:val="center"/>
        <w:rPr>
          <w:rFonts w:ascii="黑体" w:hAnsi="黑体" w:eastAsia="黑体"/>
          <w:sz w:val="28"/>
        </w:rPr>
      </w:pPr>
    </w:p>
    <w:tbl>
      <w:tblPr>
        <w:tblStyle w:val="3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3849"/>
        <w:gridCol w:w="37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tblHeader/>
        </w:trPr>
        <w:tc>
          <w:tcPr>
            <w:tcW w:w="548" w:type="pct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序号</w:t>
            </w:r>
          </w:p>
        </w:tc>
        <w:tc>
          <w:tcPr>
            <w:tcW w:w="2258" w:type="pct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校准规范项目名称</w:t>
            </w:r>
          </w:p>
        </w:tc>
        <w:tc>
          <w:tcPr>
            <w:tcW w:w="2194" w:type="pct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8" w:type="pct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258" w:type="pct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</w:rPr>
              <w:t>落球冲击试验机校准规范</w:t>
            </w:r>
          </w:p>
        </w:tc>
        <w:tc>
          <w:tcPr>
            <w:tcW w:w="2194" w:type="pct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国标（北京）检验认证有限公司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258" w:type="pc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摩擦、磨损和磨耗试验机校准规范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国标（北京）检验认证有限公司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258" w:type="pc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裂纹对比试块校准规范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东北轻合金有限责任公司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258" w:type="pc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叉式热电偶校准规范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</w:rPr>
              <w:t>西南铝业（集团）有限责任公司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258" w:type="pc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铝板带在线测厚仪现场校准规范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</w:rPr>
              <w:t>西南铝业（集团）有限责任公司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258" w:type="pc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油膜测厚仪校准规范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</w:rPr>
              <w:t>西南铝业（集团）有限责任公司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258" w:type="pc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支辊式弯曲试验机校准规范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西南铝业（集团）有限责任公司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258" w:type="pc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磁粉提升力试块校准规范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西安汉唐分析检测有限公司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258" w:type="pc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电能质量测试分析仪校准规范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西安汉唐分析检测有限公司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258" w:type="pc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光学显微镜畸变校准规范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西安汉唐分析检测有限公司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258" w:type="pc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激光标线仪校准规范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西安汉唐分析检测有限公司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258" w:type="pc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交直流电焊机焊接电源校准规范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西安汉唐分析检测有限公司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258" w:type="pc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金属线材反复弯曲试验机校准规范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西安汉唐分析检测有限公司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258" w:type="pc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空气热老化试验箱温度参数校准规范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西安汉唐分析检测有限公司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258" w:type="pc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热变形、维卡软化点温度测定仪校准规范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西安汉唐分析检测有限公司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258" w:type="pc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蠕变试验用光栅引伸计校准规范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西安汉唐分析检测有限公司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258" w:type="pc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水（油）浴锅校准规范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西安汉唐分析检测有限公司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258" w:type="pc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塑料容量瓶校准规范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西安汉唐分析检测有限公司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258" w:type="pc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弯曲试验机校准规范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西安汉唐分析检测有限公司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258" w:type="pc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微波消解仪温度参数校准规范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西安汉唐分析检测有限公司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258" w:type="pc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相控阵超声试块校准规范</w:t>
            </w:r>
          </w:p>
        </w:tc>
        <w:tc>
          <w:tcPr>
            <w:tcW w:w="2194" w:type="pc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西安汉唐分析检测有限公司</w:t>
            </w:r>
          </w:p>
        </w:tc>
      </w:tr>
    </w:tbl>
    <w:p>
      <w:pPr>
        <w:adjustRightInd w:val="0"/>
        <w:snapToGrid w:val="0"/>
        <w:spacing w:line="280" w:lineRule="exact"/>
        <w:jc w:val="left"/>
        <w:rPr>
          <w:rFonts w:ascii="宋体" w:hAnsi="宋体" w:eastAsia="宋体" w:cs="宋体"/>
          <w:color w:val="000000"/>
          <w:sz w:val="24"/>
          <w:szCs w:val="24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D075E"/>
    <w:multiLevelType w:val="singleLevel"/>
    <w:tmpl w:val="59AD075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72A69"/>
    <w:rsid w:val="45C7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2021-11-26T08:48:00Z</dcterms:created>
  <dc:creator>CathayMok</dc:creator>
  <cp:lastModifiedBy>CathayMok</cp:lastModifiedBy>
  <dcterms:modified xsi:type="dcterms:W3CDTF">2021-11-26T08:48:08Z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5E61683FE1B748F990BA258971F552F5</vt:lpwstr>
  </property>
</Properties>
</file>