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rPr>
          <w:b/>
          <w:color w:val="000000"/>
        </w:rPr>
      </w:pPr>
      <w:bookmarkStart w:id="2" w:name="_GoBack"/>
      <w:bookmarkEnd w:id="2"/>
      <w:bookmarkStart w:id="0" w:name="SectionMark0"/>
    </w:p>
    <w:p>
      <w:pPr>
        <w:pStyle w:val="39"/>
        <w:ind w:firstLine="422"/>
        <w:rPr>
          <w:b/>
        </w:rPr>
      </w:pPr>
    </w:p>
    <w:p>
      <w:pPr>
        <w:pStyle w:val="50"/>
        <w:framePr w:w="9230" w:h="1175" w:hRule="exact" w:wrap="around" w:vAnchor="page" w:hAnchor="page" w:x="1407" w:y="14262"/>
        <w:spacing w:before="156" w:after="156" w:line="340" w:lineRule="exact"/>
        <w:ind w:firstLine="880" w:firstLineChars="200"/>
        <w:jc w:val="both"/>
        <w:rPr>
          <w:rFonts w:ascii="Calibri" w:hAnsi="Calibri"/>
          <w:spacing w:val="17"/>
          <w:sz w:val="30"/>
          <w:szCs w:val="30"/>
        </w:rPr>
      </w:pPr>
      <w:bookmarkStart w:id="1" w:name="_Hlk35417231"/>
      <w:r>
        <w:rPr>
          <w:rFonts w:ascii="Calibri" w:hAnsi="Calibri"/>
          <w:spacing w:val="17"/>
          <w:sz w:val="30"/>
          <w:szCs w:val="30"/>
        </w:rPr>
        <w:t>国</w:t>
      </w:r>
      <w:r>
        <w:rPr>
          <w:rFonts w:hint="eastAsia" w:ascii="Calibri" w:hAnsi="Calibri"/>
          <w:spacing w:val="17"/>
          <w:sz w:val="30"/>
          <w:szCs w:val="30"/>
        </w:rPr>
        <w:t xml:space="preserve"> </w:t>
      </w:r>
      <w:r>
        <w:rPr>
          <w:rFonts w:ascii="Calibri" w:hAnsi="Calibri"/>
          <w:spacing w:val="17"/>
          <w:sz w:val="30"/>
          <w:szCs w:val="30"/>
        </w:rPr>
        <w:t>家</w:t>
      </w:r>
      <w:r>
        <w:rPr>
          <w:rFonts w:hint="eastAsia" w:ascii="Calibri" w:hAnsi="Calibri"/>
          <w:spacing w:val="17"/>
          <w:sz w:val="30"/>
          <w:szCs w:val="30"/>
        </w:rPr>
        <w:t xml:space="preserve"> </w:t>
      </w:r>
      <w:r>
        <w:rPr>
          <w:rFonts w:ascii="Calibri" w:hAnsi="Calibri"/>
          <w:spacing w:val="17"/>
          <w:sz w:val="30"/>
          <w:szCs w:val="30"/>
        </w:rPr>
        <w:t>市</w:t>
      </w:r>
      <w:r>
        <w:rPr>
          <w:rFonts w:hint="eastAsia" w:ascii="Calibri" w:hAnsi="Calibri"/>
          <w:spacing w:val="17"/>
          <w:sz w:val="30"/>
          <w:szCs w:val="30"/>
        </w:rPr>
        <w:t xml:space="preserve"> </w:t>
      </w:r>
      <w:r>
        <w:rPr>
          <w:rFonts w:ascii="Calibri" w:hAnsi="Calibri"/>
          <w:spacing w:val="17"/>
          <w:sz w:val="30"/>
          <w:szCs w:val="30"/>
        </w:rPr>
        <w:t>场</w:t>
      </w:r>
      <w:r>
        <w:rPr>
          <w:rFonts w:hint="eastAsia" w:ascii="Calibri" w:hAnsi="Calibri"/>
          <w:spacing w:val="17"/>
          <w:sz w:val="30"/>
          <w:szCs w:val="30"/>
        </w:rPr>
        <w:t xml:space="preserve"> </w:t>
      </w:r>
      <w:r>
        <w:rPr>
          <w:rFonts w:ascii="Calibri" w:hAnsi="Calibri"/>
          <w:spacing w:val="17"/>
          <w:sz w:val="30"/>
          <w:szCs w:val="30"/>
        </w:rPr>
        <w:t>监</w:t>
      </w:r>
      <w:r>
        <w:rPr>
          <w:rFonts w:hint="eastAsia" w:ascii="Calibri" w:hAnsi="Calibri"/>
          <w:spacing w:val="17"/>
          <w:sz w:val="30"/>
          <w:szCs w:val="30"/>
        </w:rPr>
        <w:t xml:space="preserve"> </w:t>
      </w:r>
      <w:r>
        <w:rPr>
          <w:rFonts w:ascii="Calibri" w:hAnsi="Calibri"/>
          <w:spacing w:val="17"/>
          <w:sz w:val="30"/>
          <w:szCs w:val="30"/>
        </w:rPr>
        <w:t>督</w:t>
      </w:r>
      <w:r>
        <w:rPr>
          <w:rFonts w:hint="eastAsia" w:ascii="Calibri" w:hAnsi="Calibri"/>
          <w:spacing w:val="17"/>
          <w:sz w:val="30"/>
          <w:szCs w:val="30"/>
        </w:rPr>
        <w:t xml:space="preserve"> </w:t>
      </w:r>
      <w:r>
        <w:rPr>
          <w:rFonts w:ascii="Calibri" w:hAnsi="Calibri"/>
          <w:spacing w:val="17"/>
          <w:sz w:val="30"/>
          <w:szCs w:val="30"/>
        </w:rPr>
        <w:t>管</w:t>
      </w:r>
      <w:r>
        <w:rPr>
          <w:rFonts w:hint="eastAsia" w:ascii="Calibri" w:hAnsi="Calibri"/>
          <w:spacing w:val="17"/>
          <w:sz w:val="30"/>
          <w:szCs w:val="30"/>
        </w:rPr>
        <w:t xml:space="preserve"> </w:t>
      </w:r>
      <w:r>
        <w:rPr>
          <w:rFonts w:ascii="Calibri" w:hAnsi="Calibri"/>
          <w:spacing w:val="17"/>
          <w:sz w:val="30"/>
          <w:szCs w:val="30"/>
        </w:rPr>
        <w:t>理</w:t>
      </w:r>
      <w:r>
        <w:rPr>
          <w:rFonts w:hint="eastAsia" w:ascii="Calibri" w:hAnsi="Calibri"/>
          <w:spacing w:val="17"/>
          <w:sz w:val="30"/>
          <w:szCs w:val="30"/>
        </w:rPr>
        <w:t xml:space="preserve"> </w:t>
      </w:r>
      <w:r>
        <w:rPr>
          <w:rFonts w:ascii="Calibri" w:hAnsi="Calibri"/>
          <w:spacing w:val="17"/>
          <w:sz w:val="30"/>
          <w:szCs w:val="30"/>
        </w:rPr>
        <w:t>总</w:t>
      </w:r>
      <w:r>
        <w:rPr>
          <w:rFonts w:hint="eastAsia" w:ascii="Calibri" w:hAnsi="Calibri"/>
          <w:spacing w:val="17"/>
          <w:sz w:val="30"/>
          <w:szCs w:val="30"/>
        </w:rPr>
        <w:t xml:space="preserve"> </w:t>
      </w:r>
      <w:r>
        <w:rPr>
          <w:rFonts w:ascii="Calibri" w:hAnsi="Calibri"/>
          <w:spacing w:val="17"/>
          <w:sz w:val="30"/>
          <w:szCs w:val="30"/>
        </w:rPr>
        <w:t>局</w:t>
      </w:r>
    </w:p>
    <w:p>
      <w:pPr>
        <w:pStyle w:val="50"/>
        <w:framePr w:w="9230" w:h="1175" w:hRule="exact" w:wrap="around" w:vAnchor="page" w:hAnchor="page" w:x="1407" w:y="14262"/>
        <w:rPr>
          <w:rFonts w:ascii="Calibri" w:hAnsi="Calibri"/>
        </w:rPr>
      </w:pPr>
      <w:r>
        <w:rPr>
          <w:rFonts w:ascii="Calibri" w:hAnsi="Calibri"/>
          <w:spacing w:val="136"/>
          <w:sz w:val="30"/>
          <w:szCs w:val="30"/>
        </w:rPr>
        <w:t>国家标准化管理委员会</w:t>
      </w:r>
      <w:r>
        <w:rPr>
          <w:rStyle w:val="20"/>
          <w:rFonts w:ascii="Calibri" w:hAnsi="Calibri" w:eastAsia="宋体"/>
        </w:rPr>
        <w:t>发布</w:t>
      </w:r>
    </w:p>
    <w:bookmarkEnd w:id="1"/>
    <w:p>
      <w:pPr>
        <w:pStyle w:val="42"/>
        <w:rPr>
          <w:b/>
          <w:color w:val="000000"/>
        </w:rPr>
        <w:sectPr>
          <w:headerReference r:id="rId5" w:type="first"/>
          <w:headerReference r:id="rId3" w:type="default"/>
          <w:footerReference r:id="rId6" w:type="default"/>
          <w:headerReference r:id="rId4" w:type="even"/>
          <w:footerReference r:id="rId7" w:type="even"/>
          <w:pgSz w:w="11907" w:h="16839"/>
          <w:pgMar w:top="1418" w:right="1418" w:bottom="1418" w:left="1418" w:header="0" w:footer="0" w:gutter="0"/>
          <w:pgNumType w:start="1"/>
          <w:cols w:space="720" w:num="1"/>
          <w:titlePg/>
          <w:docGrid w:type="lines" w:linePitch="312" w:charSpace="0"/>
        </w:sectPr>
      </w:pPr>
      <w:r>
        <w:rPr>
          <w:b/>
          <w:color w:val="000000"/>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6645910</wp:posOffset>
                </wp:positionV>
                <wp:extent cx="5600700" cy="0"/>
                <wp:effectExtent l="9525" t="6985" r="9525" b="12065"/>
                <wp:wrapNone/>
                <wp:docPr id="9" name="Line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cmpd="sng">
                          <a:solidFill>
                            <a:srgbClr val="000000"/>
                          </a:solidFill>
                          <a:round/>
                        </a:ln>
                      </wps:spPr>
                      <wps:bodyPr/>
                    </wps:wsp>
                  </a:graphicData>
                </a:graphic>
              </wp:anchor>
            </w:drawing>
          </mc:Choice>
          <mc:Fallback>
            <w:pict>
              <v:line id="Line 3" o:spid="_x0000_s1026" o:spt="20" style="position:absolute;left:0pt;margin-left:-1.5pt;margin-top:523.3pt;height:0pt;width:441pt;z-index:251667456;mso-width-relative:page;mso-height-relative:page;" filled="f" stroked="t" coordsize="21600,21600" o:gfxdata="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&#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0MQTx2AAAAAwBAAAPAAAAAAAAAAEAIAAAACIAAABk&#10;cnMvZG93bnJldi54bWxQSwECFAAUAAAACACHTuJASPZNdc0BAACrAwAADgAAAAAAAAABACAAAAAn&#10;AQAAZHJzL2Uyb0RvYy54bWxQSwUGAAAAAAYABgBZAQAAZgUAAAAA&#10;">
                <v:fill on="f" focussize="0,0"/>
                <v:stroke weight="1pt" color="#000000" joinstyle="round"/>
                <v:imagedata o:title=""/>
                <o:lock v:ext="edit" aspectratio="f"/>
              </v:line>
            </w:pict>
          </mc:Fallback>
        </mc:AlternateContent>
      </w:r>
      <w:r>
        <w:rPr>
          <w:b/>
          <w:color w:val="000000"/>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1125220</wp:posOffset>
                </wp:positionV>
                <wp:extent cx="5943600" cy="0"/>
                <wp:effectExtent l="9525" t="10795" r="9525" b="8255"/>
                <wp:wrapNone/>
                <wp:docPr id="8" name="Line 2"/>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cmpd="sng">
                          <a:solidFill>
                            <a:srgbClr val="000000"/>
                          </a:solidFill>
                          <a:round/>
                        </a:ln>
                      </wps:spPr>
                      <wps:bodyPr/>
                    </wps:wsp>
                  </a:graphicData>
                </a:graphic>
              </wp:anchor>
            </w:drawing>
          </mc:Choice>
          <mc:Fallback>
            <w:pict>
              <v:line id="Line 2" o:spid="_x0000_s1026" o:spt="20" style="position:absolute;left:0pt;margin-left:-9pt;margin-top:88.6pt;height:0pt;width:468pt;z-index:251666432;mso-width-relative:page;mso-height-relative:page;" filled="f" stroked="t" coordsize="21600,21600" o:gfxdata="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&#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vT4l7WAAAACwEAAA8AAAAAAAAAAQAgAAAAIgAAAGRy&#10;cy9kb3ducmV2LnhtbFBLAQIUABQAAAAIAIdO4kBcp5GozgEAAKsDAAAOAAAAAAAAAAEAIAAAACUB&#10;AABkcnMvZTJvRG9jLnhtbFBLBQYAAAAABgAGAFkBAABlBQAAAAA=&#10;">
                <v:fill on="f" focussize="0,0"/>
                <v:stroke weight="1pt" color="#000000" joinstyle="round"/>
                <v:imagedata o:title=""/>
                <o:lock v:ext="edit" aspectratio="f"/>
              </v:line>
            </w:pict>
          </mc:Fallback>
        </mc:AlternateContent>
      </w:r>
      <w:r>
        <w:rPr>
          <w:b/>
          <w:color w:val="000000"/>
        </w:rPr>
        <mc:AlternateContent>
          <mc:Choice Requires="wps">
            <w:drawing>
              <wp:anchor distT="0" distB="0" distL="114300" distR="114300" simplePos="0" relativeHeight="251665408" behindDoc="0" locked="1" layoutInCell="1" allowOverlap="1">
                <wp:simplePos x="0" y="0"/>
                <wp:positionH relativeFrom="margin">
                  <wp:posOffset>3663950</wp:posOffset>
                </wp:positionH>
                <wp:positionV relativeFrom="margin">
                  <wp:posOffset>7542530</wp:posOffset>
                </wp:positionV>
                <wp:extent cx="2019300" cy="312420"/>
                <wp:effectExtent l="0" t="0" r="3175" b="3175"/>
                <wp:wrapNone/>
                <wp:docPr id="7"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26"/>
                            </w:pP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288.5pt;margin-top:593.9pt;height:24.6pt;width:159pt;mso-position-horizontal-relative:margin;mso-position-vertical-relative:margin;z-index:251665408;mso-width-relative:page;mso-height-relative:page;" fillcolor="#FFFFFF" filled="t" stroked="f" coordsize="21600,21600" o:gfxdata="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aD+BtoAAAANAQAADwAAAAAAAAAB&#10;ACAAAAAiAAAAZHJzL2Rvd25yZXYueG1sUEsBAhQAFAAAAAgAh07iQPyYHwYOAgAAKwQAAA4AAAAA&#10;AAAAAQAgAAAAKQEAAGRycy9lMm9Eb2MueG1sUEsFBgAAAAAGAAYAWQEAAKkFAAAAAA==&#10;">
                <v:fill on="t" focussize="0,0"/>
                <v:stroke on="f"/>
                <v:imagedata o:title=""/>
                <o:lock v:ext="edit" aspectratio="f"/>
                <v:textbox inset="0mm,0mm,0mm,0mm">
                  <w:txbxContent>
                    <w:p>
                      <w:pPr>
                        <w:pStyle w:val="26"/>
                      </w:pPr>
                      <w:r>
                        <w:rPr>
                          <w:rFonts w:hint="eastAsia"/>
                        </w:rPr>
                        <w:t>××××-××-××实施</w:t>
                      </w:r>
                    </w:p>
                  </w:txbxContent>
                </v:textbox>
                <w10:anchorlock/>
              </v:shape>
            </w:pict>
          </mc:Fallback>
        </mc:AlternateContent>
      </w:r>
      <w:r>
        <w:rPr>
          <w:b/>
          <w:color w:val="000000"/>
        </w:rPr>
        <mc:AlternateContent>
          <mc:Choice Requires="wps">
            <w:drawing>
              <wp:anchor distT="0" distB="0" distL="114300" distR="114300" simplePos="0" relativeHeight="251664384" behindDoc="0" locked="1" layoutInCell="1" allowOverlap="1">
                <wp:simplePos x="0" y="0"/>
                <wp:positionH relativeFrom="margin">
                  <wp:posOffset>-95250</wp:posOffset>
                </wp:positionH>
                <wp:positionV relativeFrom="margin">
                  <wp:posOffset>7529830</wp:posOffset>
                </wp:positionV>
                <wp:extent cx="2019300" cy="312420"/>
                <wp:effectExtent l="0" t="0" r="0" b="0"/>
                <wp:wrapNone/>
                <wp:docPr id="6"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27"/>
                            </w:pP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7.5pt;margin-top:592.9pt;height:24.6pt;width:159pt;mso-position-horizontal-relative:margin;mso-position-vertical-relative:margin;z-index:251664384;mso-width-relative:page;mso-height-relative:page;" fillcolor="#FFFFFF" filled="t" stroked="f" coordsize="21600,21600" o:gfxdata="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8m4AS2QAAAA0BAAAPAAAAAAAAAAEA&#10;IAAAACIAAABkcnMvZG93bnJldi54bWxQSwECFAAUAAAACACHTuJAAnpYwQ4CAAArBAAADgAAAAAA&#10;AAABACAAAAAoAQAAZHJzL2Uyb0RvYy54bWxQSwUGAAAAAAYABgBZAQAAqAUAAAAA&#10;">
                <v:fill on="t" focussize="0,0"/>
                <v:stroke on="f"/>
                <v:imagedata o:title=""/>
                <o:lock v:ext="edit" aspectratio="f"/>
                <v:textbox inset="0mm,0mm,0mm,0mm">
                  <w:txbxContent>
                    <w:p>
                      <w:pPr>
                        <w:pStyle w:val="27"/>
                      </w:pPr>
                      <w:r>
                        <w:rPr>
                          <w:rFonts w:hint="eastAsia"/>
                        </w:rPr>
                        <w:t>××××-××-××发布</w:t>
                      </w:r>
                    </w:p>
                  </w:txbxContent>
                </v:textbox>
                <w10:anchorlock/>
              </v:shape>
            </w:pict>
          </mc:Fallback>
        </mc:AlternateContent>
      </w:r>
      <w:r>
        <w:rPr>
          <w:b/>
          <w:color w:val="000000"/>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3893185"/>
                <wp:effectExtent l="0" t="0" r="3175" b="0"/>
                <wp:wrapNone/>
                <wp:docPr id="5"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3893185"/>
                        </a:xfrm>
                        <a:prstGeom prst="rect">
                          <a:avLst/>
                        </a:prstGeom>
                        <a:solidFill>
                          <a:srgbClr val="FFFFFF"/>
                        </a:solidFill>
                        <a:ln>
                          <a:noFill/>
                        </a:ln>
                      </wps:spPr>
                      <wps:txbx>
                        <w:txbxContent>
                          <w:p>
                            <w:pPr>
                              <w:pStyle w:val="40"/>
                              <w:rPr>
                                <w:color w:val="0070C0"/>
                              </w:rPr>
                            </w:pPr>
                            <w:r>
                              <w:rPr>
                                <w:rFonts w:hint="eastAsia" w:ascii="黑体" w:hAnsi="黑体" w:eastAsia="黑体" w:cs="黑体"/>
                                <w:kern w:val="2"/>
                                <w:sz w:val="52"/>
                                <w:szCs w:val="52"/>
                                <w:lang w:bidi="ar"/>
                              </w:rPr>
                              <w:t>电力机车接触材料用铜及铜合金线坯</w:t>
                            </w:r>
                            <w:r>
                              <w:rPr>
                                <w:rFonts w:hint="eastAsia" w:ascii="黑体" w:hAnsi="黑体" w:eastAsia="黑体" w:cs="黑体"/>
                                <w:kern w:val="2"/>
                                <w:sz w:val="52"/>
                                <w:szCs w:val="52"/>
                                <w:lang w:bidi="ar"/>
                              </w:rPr>
                              <w:br w:type="textWrapping"/>
                            </w:r>
                            <w:r>
                              <w:rPr>
                                <w:rFonts w:hint="eastAsia" w:ascii="黑体" w:hAnsi="黑体" w:eastAsia="黑体" w:cs="黑体"/>
                                <w:kern w:val="2"/>
                                <w:sz w:val="30"/>
                                <w:szCs w:val="30"/>
                                <w:lang w:bidi="ar"/>
                              </w:rPr>
                              <w:t>Copper and copper alloys drawing for contacting materials</w:t>
                            </w:r>
                            <w:r>
                              <w:rPr>
                                <w:rFonts w:hint="eastAsia" w:ascii="黑体" w:hAnsi="黑体" w:eastAsia="黑体" w:cs="黑体"/>
                                <w:kern w:val="2"/>
                                <w:sz w:val="30"/>
                                <w:szCs w:val="30"/>
                                <w:lang w:bidi="ar"/>
                              </w:rPr>
                              <w:br w:type="textWrapping"/>
                            </w:r>
                            <w:r>
                              <w:rPr>
                                <w:rFonts w:hint="eastAsia" w:ascii="黑体" w:hAnsi="黑体" w:eastAsia="黑体" w:cs="黑体"/>
                                <w:kern w:val="2"/>
                                <w:sz w:val="30"/>
                                <w:szCs w:val="30"/>
                                <w:lang w:bidi="ar"/>
                              </w:rPr>
                              <w:t>of electric locomotives</w:t>
                            </w:r>
                            <w:r>
                              <w:rPr>
                                <w:rFonts w:hint="eastAsia" w:ascii="黑体" w:hAnsi="黑体" w:eastAsia="黑体" w:cs="黑体"/>
                                <w:kern w:val="2"/>
                                <w:sz w:val="30"/>
                                <w:szCs w:val="30"/>
                                <w:lang w:bidi="ar"/>
                              </w:rPr>
                              <w:br w:type="textWrapping"/>
                            </w:r>
                          </w:p>
                          <w:p>
                            <w:pPr>
                              <w:pStyle w:val="51"/>
                            </w:pPr>
                            <w:r>
                              <w:rPr>
                                <w:rFonts w:hint="eastAsia"/>
                              </w:rPr>
                              <w:t>草案</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06.55pt;width:470pt;mso-position-horizontal-relative:margin;mso-position-vertical-relative:margin;z-index:251663360;mso-width-relative:page;mso-height-relative:page;" fillcolor="#FFFFFF" filled="t" stroked="f" coordsize="21600,21600" o:gfxdata="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Eq6X7YAAAACQEAAA8AAAAAAAAA&#10;AQAgAAAAIgAAAGRycy9kb3ducmV2LnhtbFBLAQIUABQAAAAIAIdO4kBbaNI1EQIAACwEAAAOAAAA&#10;AAAAAAEAIAAAACcBAABkcnMvZTJvRG9jLnhtbFBLBQYAAAAABgAGAFkBAACqBQAAAAA=&#10;">
                <v:fill on="t" focussize="0,0"/>
                <v:stroke on="f"/>
                <v:imagedata o:title=""/>
                <o:lock v:ext="edit" aspectratio="f"/>
                <v:textbox inset="0mm,0mm,0mm,0mm">
                  <w:txbxContent>
                    <w:p>
                      <w:pPr>
                        <w:pStyle w:val="40"/>
                        <w:rPr>
                          <w:color w:val="0070C0"/>
                        </w:rPr>
                      </w:pPr>
                      <w:r>
                        <w:rPr>
                          <w:rFonts w:hint="eastAsia" w:ascii="黑体" w:hAnsi="黑体" w:eastAsia="黑体" w:cs="黑体"/>
                          <w:kern w:val="2"/>
                          <w:sz w:val="52"/>
                          <w:szCs w:val="52"/>
                          <w:lang w:bidi="ar"/>
                        </w:rPr>
                        <w:t>电力机车接触材料用铜及铜合金线坯</w:t>
                      </w:r>
                      <w:r>
                        <w:rPr>
                          <w:rFonts w:hint="eastAsia" w:ascii="黑体" w:hAnsi="黑体" w:eastAsia="黑体" w:cs="黑体"/>
                          <w:kern w:val="2"/>
                          <w:sz w:val="52"/>
                          <w:szCs w:val="52"/>
                          <w:lang w:bidi="ar"/>
                        </w:rPr>
                        <w:br w:type="textWrapping"/>
                      </w:r>
                      <w:r>
                        <w:rPr>
                          <w:rFonts w:hint="eastAsia" w:ascii="黑体" w:hAnsi="黑体" w:eastAsia="黑体" w:cs="黑体"/>
                          <w:kern w:val="2"/>
                          <w:sz w:val="30"/>
                          <w:szCs w:val="30"/>
                          <w:lang w:bidi="ar"/>
                        </w:rPr>
                        <w:t>Copper and copper alloys drawing for contacting materials</w:t>
                      </w:r>
                      <w:r>
                        <w:rPr>
                          <w:rFonts w:hint="eastAsia" w:ascii="黑体" w:hAnsi="黑体" w:eastAsia="黑体" w:cs="黑体"/>
                          <w:kern w:val="2"/>
                          <w:sz w:val="30"/>
                          <w:szCs w:val="30"/>
                          <w:lang w:bidi="ar"/>
                        </w:rPr>
                        <w:br w:type="textWrapping"/>
                      </w:r>
                      <w:r>
                        <w:rPr>
                          <w:rFonts w:hint="eastAsia" w:ascii="黑体" w:hAnsi="黑体" w:eastAsia="黑体" w:cs="黑体"/>
                          <w:kern w:val="2"/>
                          <w:sz w:val="30"/>
                          <w:szCs w:val="30"/>
                          <w:lang w:bidi="ar"/>
                        </w:rPr>
                        <w:t>of electric locomotives</w:t>
                      </w:r>
                      <w:r>
                        <w:rPr>
                          <w:rFonts w:hint="eastAsia" w:ascii="黑体" w:hAnsi="黑体" w:eastAsia="黑体" w:cs="黑体"/>
                          <w:kern w:val="2"/>
                          <w:sz w:val="30"/>
                          <w:szCs w:val="30"/>
                          <w:lang w:bidi="ar"/>
                        </w:rPr>
                        <w:br w:type="textWrapping"/>
                      </w:r>
                    </w:p>
                    <w:p>
                      <w:pPr>
                        <w:pStyle w:val="51"/>
                      </w:pPr>
                      <w:r>
                        <w:rPr>
                          <w:rFonts w:hint="eastAsia"/>
                        </w:rPr>
                        <w:t>草案</w:t>
                      </w:r>
                    </w:p>
                  </w:txbxContent>
                </v:textbox>
                <w10:anchorlock/>
              </v:shape>
            </w:pict>
          </mc:Fallback>
        </mc:AlternateContent>
      </w:r>
      <w:r>
        <w:rPr>
          <w:b/>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1401445</wp:posOffset>
                </wp:positionV>
                <wp:extent cx="5802630" cy="860425"/>
                <wp:effectExtent l="0" t="1270" r="0" b="0"/>
                <wp:wrapNone/>
                <wp:docPr id="4"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pPr>
                              <w:pStyle w:val="29"/>
                            </w:pPr>
                            <w:r>
                              <w:t xml:space="preserve">GB/T </w:t>
                            </w:r>
                            <w:r>
                              <w:rPr>
                                <w:rFonts w:hint="eastAsia"/>
                              </w:rPr>
                              <w:t>20509</w:t>
                            </w:r>
                            <w:r>
                              <w:t>—</w:t>
                            </w:r>
                            <w:r>
                              <w:rPr>
                                <w:rFonts w:hint="eastAsia"/>
                              </w:rPr>
                              <w:t>XXXX</w:t>
                            </w:r>
                          </w:p>
                          <w:p>
                            <w:pPr>
                              <w:pStyle w:val="28"/>
                            </w:pPr>
                            <w:r>
                              <w:rPr>
                                <w:rFonts w:hint="eastAsia"/>
                              </w:rPr>
                              <w:t>代替GB/T</w:t>
                            </w:r>
                            <w:r>
                              <w:rPr>
                                <w:rFonts w:hint="eastAsia" w:hAnsi="宋体"/>
                                <w:kern w:val="2"/>
                                <w:sz w:val="18"/>
                                <w:szCs w:val="18"/>
                                <w:lang w:bidi="ar"/>
                              </w:rPr>
                              <w:t>20509-2006</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2336;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QGk+9gAAAAIAQAADwAAAAAAAAAB&#10;ACAAAAAiAAAAZHJzL2Rvd25yZXYueG1sUEsBAhQAFAAAAAgAh07iQFD7lBUQAgAAKwQAAA4AAAAA&#10;AAAAAQAgAAAAJwEAAGRycy9lMm9Eb2MueG1sUEsFBgAAAAAGAAYAWQEAAKkFAAAAAA==&#10;">
                <v:fill on="t" focussize="0,0"/>
                <v:stroke on="f"/>
                <v:imagedata o:title=""/>
                <o:lock v:ext="edit" aspectratio="f"/>
                <v:textbox inset="0mm,0mm,0mm,0mm">
                  <w:txbxContent>
                    <w:p>
                      <w:pPr>
                        <w:pStyle w:val="29"/>
                      </w:pPr>
                      <w:r>
                        <w:t xml:space="preserve">GB/T </w:t>
                      </w:r>
                      <w:r>
                        <w:rPr>
                          <w:rFonts w:hint="eastAsia"/>
                        </w:rPr>
                        <w:t>20509</w:t>
                      </w:r>
                      <w:r>
                        <w:t>—</w:t>
                      </w:r>
                      <w:r>
                        <w:rPr>
                          <w:rFonts w:hint="eastAsia"/>
                        </w:rPr>
                        <w:t>XXXX</w:t>
                      </w:r>
                    </w:p>
                    <w:p>
                      <w:pPr>
                        <w:pStyle w:val="28"/>
                      </w:pPr>
                      <w:r>
                        <w:rPr>
                          <w:rFonts w:hint="eastAsia"/>
                        </w:rPr>
                        <w:t>代替GB/T</w:t>
                      </w:r>
                      <w:r>
                        <w:rPr>
                          <w:rFonts w:hint="eastAsia" w:hAnsi="宋体"/>
                          <w:kern w:val="2"/>
                          <w:sz w:val="18"/>
                          <w:szCs w:val="18"/>
                          <w:lang w:bidi="ar"/>
                        </w:rPr>
                        <w:t>20509-2006</w:t>
                      </w:r>
                    </w:p>
                  </w:txbxContent>
                </v:textbox>
                <w10:anchorlock/>
              </v:shape>
            </w:pict>
          </mc:Fallback>
        </mc:AlternateContent>
      </w:r>
      <w:r>
        <w:rPr>
          <w:b/>
          <w:color w:val="000000"/>
        </w:rPr>
        <w:drawing>
          <wp:anchor distT="0" distB="0" distL="114300" distR="114300" simplePos="0" relativeHeight="251661312" behindDoc="0" locked="1" layoutInCell="1" allowOverlap="1">
            <wp:simplePos x="0" y="0"/>
            <wp:positionH relativeFrom="margin">
              <wp:posOffset>4274820</wp:posOffset>
            </wp:positionH>
            <wp:positionV relativeFrom="margin">
              <wp:posOffset>116840</wp:posOffset>
            </wp:positionV>
            <wp:extent cx="1403350" cy="720090"/>
            <wp:effectExtent l="0" t="0" r="6350" b="3810"/>
            <wp:wrapNone/>
            <wp:docPr id="10" name="HBPicture" descr="GB"/>
            <wp:cNvGraphicFramePr/>
            <a:graphic xmlns:a="http://schemas.openxmlformats.org/drawingml/2006/main">
              <a:graphicData uri="http://schemas.openxmlformats.org/drawingml/2006/picture">
                <pic:pic xmlns:pic="http://schemas.openxmlformats.org/drawingml/2006/picture">
                  <pic:nvPicPr>
                    <pic:cNvPr id="10" name="HBPicture" descr="GB"/>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b/>
          <w:color w:val="000000"/>
        </w:rPr>
        <mc:AlternateContent>
          <mc:Choice Requires="wps">
            <w:drawing>
              <wp:anchor distT="0" distB="0" distL="114300" distR="114300" simplePos="0" relativeHeight="251660288" behindDoc="0" locked="1" layoutInCell="1" allowOverlap="1">
                <wp:simplePos x="0" y="0"/>
                <wp:positionH relativeFrom="margin">
                  <wp:posOffset>-228600</wp:posOffset>
                </wp:positionH>
                <wp:positionV relativeFrom="margin">
                  <wp:posOffset>990600</wp:posOffset>
                </wp:positionV>
                <wp:extent cx="6120130" cy="391160"/>
                <wp:effectExtent l="0" t="0" r="4445" b="0"/>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48"/>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18pt;margin-top:78pt;height:30.8pt;width:481.9pt;mso-position-horizontal-relative:margin;mso-position-vertical-relative:margin;z-index:251660288;mso-width-relative:page;mso-height-relative:page;" fillcolor="#FFFFFF" filled="t" stroked="f" coordsize="21600,21600" o:gfxdata="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Zzpq2QAAAAsBAAAPAAAAAAAAAAEA&#10;IAAAACIAAABkcnMvZG93bnJldi54bWxQSwECFAAUAAAACACHTuJAvVqMuw4CAAArBAAADgAAAAAA&#10;AAABACAAAAAoAQAAZHJzL2Uyb0RvYy54bWxQSwUGAAAAAAYABgBZAQAAqAUAAAAA&#10;">
                <v:fill on="t" focussize="0,0"/>
                <v:stroke on="f"/>
                <v:imagedata o:title=""/>
                <o:lock v:ext="edit" aspectratio="f"/>
                <v:textbox inset="0mm,0mm,0mm,0mm">
                  <w:txbxContent>
                    <w:p>
                      <w:pPr>
                        <w:pStyle w:val="48"/>
                      </w:pPr>
                      <w:r>
                        <w:rPr>
                          <w:rFonts w:hint="eastAsia"/>
                        </w:rPr>
                        <w:t>中华人民共和国国家标准</w:t>
                      </w:r>
                    </w:p>
                  </w:txbxContent>
                </v:textbox>
                <w10:anchorlock/>
              </v:shape>
            </w:pict>
          </mc:Fallback>
        </mc:AlternateContent>
      </w:r>
      <w:r>
        <w:rPr>
          <w:b/>
          <w:color w:val="000000"/>
        </w:rPr>
        <mc:AlternateContent>
          <mc:Choice Requires="wps">
            <w:drawing>
              <wp:anchor distT="0" distB="0" distL="114300" distR="114300" simplePos="0" relativeHeight="251659264" behindDoc="0" locked="1" layoutInCell="1" allowOverlap="1">
                <wp:simplePos x="0" y="0"/>
                <wp:positionH relativeFrom="margin">
                  <wp:posOffset>-114300</wp:posOffset>
                </wp:positionH>
                <wp:positionV relativeFrom="margin">
                  <wp:posOffset>28575</wp:posOffset>
                </wp:positionV>
                <wp:extent cx="2935605" cy="657860"/>
                <wp:effectExtent l="0" t="0" r="0" b="0"/>
                <wp:wrapNone/>
                <wp:docPr id="2" name="fmFrame1"/>
                <wp:cNvGraphicFramePr/>
                <a:graphic xmlns:a="http://schemas.openxmlformats.org/drawingml/2006/main">
                  <a:graphicData uri="http://schemas.microsoft.com/office/word/2010/wordprocessingShape">
                    <wps:wsp>
                      <wps:cNvSpPr txBox="1">
                        <a:spLocks noChangeArrowheads="1"/>
                      </wps:cNvSpPr>
                      <wps:spPr bwMode="auto">
                        <a:xfrm>
                          <a:off x="0" y="0"/>
                          <a:ext cx="2935605" cy="657860"/>
                        </a:xfrm>
                        <a:prstGeom prst="rect">
                          <a:avLst/>
                        </a:prstGeom>
                        <a:solidFill>
                          <a:srgbClr val="FFFFFF"/>
                        </a:solidFill>
                        <a:ln>
                          <a:noFill/>
                        </a:ln>
                      </wps:spPr>
                      <wps:txbx>
                        <w:txbxContent>
                          <w:p>
                            <w:pPr>
                              <w:pStyle w:val="45"/>
                              <w:rPr>
                                <w:rFonts w:ascii="宋体" w:hAnsi="宋体" w:eastAsia="宋体"/>
                                <w:szCs w:val="21"/>
                              </w:rPr>
                            </w:pPr>
                            <w:r>
                              <w:rPr>
                                <w:rFonts w:ascii="宋体" w:hAnsi="宋体" w:eastAsia="宋体"/>
                                <w:szCs w:val="21"/>
                              </w:rPr>
                              <w:t>ICSH</w:t>
                            </w:r>
                          </w:p>
                          <w:p>
                            <w:pPr>
                              <w:rPr>
                                <w:szCs w:val="21"/>
                              </w:rPr>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9pt;margin-top:2.25pt;height:51.8pt;width:231.15pt;mso-position-horizontal-relative:margin;mso-position-vertical-relative:margin;z-index:251659264;mso-width-relative:page;mso-height-relative:page;" fillcolor="#FFFFFF" filled="t" stroked="f" coordsize="21600,21600" o:gfxdata="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qFk43YAAAACQEAAA8AAAAAAAAA&#10;AQAgAAAAIgAAAGRycy9kb3ducmV2LnhtbFBLAQIUABQAAAAIAIdO4kDv7RvVEQIAACsEAAAOAAAA&#10;AAAAAAEAIAAAACcBAABkcnMvZTJvRG9jLnhtbFBLBQYAAAAABgAGAFkBAACqBQAAAAA=&#10;">
                <v:fill on="t" focussize="0,0"/>
                <v:stroke on="f"/>
                <v:imagedata o:title=""/>
                <o:lock v:ext="edit" aspectratio="f"/>
                <v:textbox inset="0mm,0mm,0mm,0mm">
                  <w:txbxContent>
                    <w:p>
                      <w:pPr>
                        <w:pStyle w:val="45"/>
                        <w:rPr>
                          <w:rFonts w:ascii="宋体" w:hAnsi="宋体" w:eastAsia="宋体"/>
                          <w:szCs w:val="21"/>
                        </w:rPr>
                      </w:pPr>
                      <w:r>
                        <w:rPr>
                          <w:rFonts w:ascii="宋体" w:hAnsi="宋体" w:eastAsia="宋体"/>
                          <w:szCs w:val="21"/>
                        </w:rPr>
                        <w:t>ICSH</w:t>
                      </w:r>
                    </w:p>
                    <w:p>
                      <w:pPr>
                        <w:rPr>
                          <w:szCs w:val="21"/>
                        </w:rPr>
                      </w:pPr>
                    </w:p>
                  </w:txbxContent>
                </v:textbox>
                <w10:anchorlock/>
              </v:shape>
            </w:pict>
          </mc:Fallback>
        </mc:AlternateContent>
      </w:r>
    </w:p>
    <w:bookmarkEnd w:id="0"/>
    <w:p>
      <w:pPr>
        <w:jc w:val="center"/>
        <w:rPr>
          <w:rFonts w:ascii="黑体" w:eastAsia="黑体"/>
          <w:b/>
          <w:color w:val="000000"/>
          <w:spacing w:val="124"/>
          <w:sz w:val="32"/>
          <w:szCs w:val="32"/>
        </w:rPr>
      </w:pPr>
    </w:p>
    <w:p>
      <w:pPr>
        <w:tabs>
          <w:tab w:val="left" w:pos="720"/>
        </w:tabs>
        <w:autoSpaceDE w:val="0"/>
        <w:autoSpaceDN w:val="0"/>
        <w:adjustRightInd w:val="0"/>
        <w:ind w:left="277" w:right="18"/>
        <w:jc w:val="left"/>
        <w:rPr>
          <w:rFonts w:ascii="宋体" w:hAnsi="宋体"/>
          <w:sz w:val="18"/>
        </w:rPr>
      </w:pPr>
      <w:r>
        <w:rPr>
          <w:lang w:bidi="ar"/>
        </w:rPr>
        <w:t xml:space="preserve">  </w:t>
      </w:r>
      <w:r>
        <w:rPr>
          <w:rFonts w:hint="eastAsia"/>
          <w:lang w:bidi="ar"/>
        </w:rPr>
        <w:t xml:space="preserve">                                 </w:t>
      </w:r>
      <w:r>
        <w:rPr>
          <w:lang w:bidi="ar"/>
        </w:rPr>
        <w:t xml:space="preserve"> </w:t>
      </w:r>
      <w:r>
        <w:rPr>
          <w:rFonts w:hint="eastAsia"/>
          <w:lang w:bidi="ar"/>
        </w:rPr>
        <w:t>前</w:t>
      </w:r>
      <w:r>
        <w:rPr>
          <w:lang w:bidi="ar"/>
        </w:rPr>
        <w:t xml:space="preserve">   </w:t>
      </w:r>
      <w:r>
        <w:rPr>
          <w:rFonts w:hint="eastAsia"/>
          <w:lang w:bidi="ar"/>
        </w:rPr>
        <w:t>言</w:t>
      </w:r>
      <w:r>
        <w:rPr>
          <w:lang w:bidi="ar"/>
        </w:rPr>
        <w:br w:type="textWrapping"/>
      </w:r>
      <w:r>
        <w:rPr>
          <w:rFonts w:ascii="宋体" w:hAnsi="宋体"/>
          <w:sz w:val="18"/>
          <w:szCs w:val="18"/>
          <w:lang w:bidi="ar"/>
        </w:rPr>
        <w:br w:type="textWrapping"/>
      </w:r>
      <w:r>
        <w:rPr>
          <w:rFonts w:hint="eastAsia" w:ascii="宋体" w:hAnsi="宋体"/>
          <w:sz w:val="18"/>
          <w:szCs w:val="18"/>
          <w:lang w:bidi="ar"/>
        </w:rPr>
        <w:t xml:space="preserve">    本标准按照GB/T 1.1-2009给出规则起草。   </w:t>
      </w:r>
      <w:r>
        <w:rPr>
          <w:rFonts w:hint="eastAsia" w:ascii="宋体" w:hAnsi="宋体"/>
          <w:sz w:val="18"/>
          <w:szCs w:val="18"/>
          <w:lang w:bidi="ar"/>
        </w:rPr>
        <w:br w:type="textWrapping"/>
      </w:r>
      <w:r>
        <w:rPr>
          <w:rFonts w:hint="eastAsia" w:ascii="宋体" w:hAnsi="宋体"/>
          <w:sz w:val="18"/>
          <w:szCs w:val="18"/>
          <w:lang w:bidi="ar"/>
        </w:rPr>
        <w:t xml:space="preserve">    本标准代替GB/T 20509-2006《电力机车接触材料用铜及铜合金线坯》，与标准GB/T 20509-2006相比，本标准主要变化如下：</w:t>
      </w:r>
      <w:r>
        <w:rPr>
          <w:rFonts w:hint="eastAsia" w:ascii="宋体" w:hAnsi="宋体"/>
          <w:sz w:val="18"/>
          <w:szCs w:val="18"/>
          <w:lang w:bidi="ar"/>
        </w:rPr>
        <w:br w:type="textWrapping"/>
      </w:r>
      <w:r>
        <w:rPr>
          <w:rFonts w:hint="eastAsia" w:ascii="宋体" w:hAnsi="宋体"/>
          <w:sz w:val="18"/>
          <w:szCs w:val="18"/>
          <w:lang w:bidi="ar"/>
        </w:rPr>
        <w:t xml:space="preserve">    ---本标准中“3.1.1产品牌号、状态、规格”条款基于</w:t>
      </w:r>
      <w:r>
        <w:rPr>
          <w:rFonts w:hint="eastAsia" w:ascii="宋体" w:hAnsi="宋体"/>
          <w:sz w:val="18"/>
        </w:rPr>
        <w:t>原标准中“3.1.1</w:t>
      </w:r>
      <w:r>
        <w:rPr>
          <w:rFonts w:hint="eastAsia" w:ascii="宋体" w:hAnsi="宋体"/>
          <w:sz w:val="18"/>
          <w:szCs w:val="18"/>
          <w:lang w:bidi="ar"/>
        </w:rPr>
        <w:t>产品牌号、状态、规格</w:t>
      </w:r>
      <w:r>
        <w:rPr>
          <w:rFonts w:hint="eastAsia" w:ascii="宋体" w:hAnsi="宋体"/>
          <w:sz w:val="18"/>
        </w:rPr>
        <w:t>”条款中表1进行了修改，增加了</w:t>
      </w:r>
      <w:r>
        <w:rPr>
          <w:rFonts w:hint="eastAsia" w:ascii="宋体" w:hAnsi="宋体"/>
          <w:sz w:val="18"/>
          <w:szCs w:val="18"/>
          <w:lang w:bidi="ar"/>
        </w:rPr>
        <w:t>TSn0.15、TSn0.3、TSn0.5</w:t>
      </w:r>
      <w:r>
        <w:rPr>
          <w:rFonts w:hint="eastAsia" w:ascii="宋体" w:hAnsi="宋体"/>
          <w:sz w:val="18"/>
        </w:rPr>
        <w:t>、TMg0.4、TMg0.25、TMg0.35、TMg0.45、TCr0.6-0.1七个牌号，删除原标准QSn0.4一个牌号。另外，表1中增加一列“采用的工艺”说明每个牌号产品采用生产工艺（见表1）；</w:t>
      </w:r>
      <w:r>
        <w:rPr>
          <w:rFonts w:hint="eastAsia" w:ascii="宋体" w:hAnsi="宋体"/>
          <w:sz w:val="18"/>
        </w:rPr>
        <w:br w:type="textWrapping"/>
      </w:r>
      <w:r>
        <w:rPr>
          <w:rFonts w:hint="eastAsia" w:ascii="宋体" w:hAnsi="宋体"/>
          <w:sz w:val="18"/>
        </w:rPr>
        <w:t xml:space="preserve">    </w:t>
      </w:r>
      <w:r>
        <w:rPr>
          <w:rFonts w:hint="eastAsia" w:ascii="宋体" w:hAnsi="宋体"/>
          <w:sz w:val="18"/>
          <w:szCs w:val="18"/>
          <w:lang w:bidi="ar"/>
        </w:rPr>
        <w:t>---</w:t>
      </w:r>
      <w:r>
        <w:rPr>
          <w:rFonts w:hint="eastAsia" w:ascii="宋体" w:hAnsi="宋体"/>
          <w:sz w:val="18"/>
        </w:rPr>
        <w:t>增加了7个</w:t>
      </w:r>
      <w:r>
        <w:rPr>
          <w:rFonts w:hint="eastAsia" w:ascii="宋体" w:hAnsi="宋体"/>
          <w:bCs/>
          <w:sz w:val="18"/>
          <w:szCs w:val="18"/>
        </w:rPr>
        <w:t>牌号相应的</w:t>
      </w:r>
      <w:r>
        <w:rPr>
          <w:rFonts w:hint="eastAsia" w:ascii="宋体" w:hAnsi="宋体"/>
          <w:sz w:val="18"/>
        </w:rPr>
        <w:t>化学成分</w:t>
      </w:r>
      <w:r>
        <w:rPr>
          <w:rFonts w:hint="eastAsia" w:ascii="宋体" w:hAnsi="宋体"/>
          <w:bCs/>
          <w:sz w:val="18"/>
          <w:szCs w:val="18"/>
        </w:rPr>
        <w:t>（</w:t>
      </w:r>
      <w:r>
        <w:rPr>
          <w:rFonts w:hint="eastAsia" w:ascii="宋体" w:hAnsi="宋体"/>
          <w:sz w:val="18"/>
        </w:rPr>
        <w:t>见表2</w:t>
      </w:r>
      <w:r>
        <w:rPr>
          <w:rFonts w:hint="eastAsia" w:ascii="宋体" w:hAnsi="宋体"/>
          <w:bCs/>
          <w:sz w:val="18"/>
          <w:szCs w:val="18"/>
        </w:rPr>
        <w:t>）；</w:t>
      </w:r>
      <w:r>
        <w:rPr>
          <w:rFonts w:hint="eastAsia" w:ascii="宋体" w:hAnsi="宋体"/>
          <w:sz w:val="18"/>
        </w:rPr>
        <w:br w:type="textWrapping"/>
      </w:r>
      <w:r>
        <w:rPr>
          <w:rFonts w:hint="eastAsia" w:ascii="宋体" w:hAnsi="宋体"/>
          <w:sz w:val="18"/>
        </w:rPr>
        <w:t xml:space="preserve">    </w:t>
      </w:r>
      <w:r>
        <w:rPr>
          <w:rFonts w:hint="eastAsia" w:ascii="宋体" w:hAnsi="宋体"/>
          <w:sz w:val="18"/>
          <w:szCs w:val="18"/>
          <w:lang w:bidi="ar"/>
        </w:rPr>
        <w:t>---</w:t>
      </w:r>
      <w:r>
        <w:rPr>
          <w:rFonts w:hint="eastAsia" w:ascii="宋体" w:hAnsi="宋体"/>
          <w:sz w:val="18"/>
        </w:rPr>
        <w:t>增加了7个</w:t>
      </w:r>
      <w:r>
        <w:rPr>
          <w:rFonts w:hint="eastAsia" w:ascii="宋体" w:hAnsi="宋体"/>
          <w:bCs/>
          <w:sz w:val="18"/>
          <w:szCs w:val="18"/>
        </w:rPr>
        <w:t>牌号相应的力学性能（</w:t>
      </w:r>
      <w:r>
        <w:rPr>
          <w:rFonts w:hint="eastAsia" w:ascii="宋体" w:hAnsi="宋体"/>
          <w:sz w:val="18"/>
        </w:rPr>
        <w:t>见表3</w:t>
      </w:r>
      <w:r>
        <w:rPr>
          <w:rFonts w:hint="eastAsia" w:ascii="宋体" w:hAnsi="宋体"/>
          <w:bCs/>
          <w:sz w:val="18"/>
          <w:szCs w:val="18"/>
        </w:rPr>
        <w:t>）</w:t>
      </w:r>
      <w:r>
        <w:rPr>
          <w:rFonts w:hint="eastAsia" w:ascii="宋体" w:hAnsi="宋体"/>
          <w:sz w:val="18"/>
        </w:rPr>
        <w:t>；</w:t>
      </w:r>
      <w:r>
        <w:rPr>
          <w:rFonts w:hint="eastAsia" w:ascii="宋体" w:hAnsi="宋体"/>
          <w:sz w:val="18"/>
        </w:rPr>
        <w:br w:type="textWrapping"/>
      </w:r>
      <w:r>
        <w:rPr>
          <w:rFonts w:hint="eastAsia" w:ascii="宋体" w:hAnsi="宋体"/>
          <w:sz w:val="18"/>
        </w:rPr>
        <w:t xml:space="preserve">    </w:t>
      </w:r>
      <w:r>
        <w:rPr>
          <w:rFonts w:hint="eastAsia" w:ascii="宋体" w:hAnsi="宋体"/>
          <w:sz w:val="18"/>
          <w:szCs w:val="18"/>
          <w:lang w:bidi="ar"/>
        </w:rPr>
        <w:t>---</w:t>
      </w:r>
      <w:r>
        <w:rPr>
          <w:rFonts w:hint="eastAsia" w:ascii="宋体" w:hAnsi="宋体"/>
          <w:sz w:val="18"/>
        </w:rPr>
        <w:t>增加了7个</w:t>
      </w:r>
      <w:r>
        <w:rPr>
          <w:rFonts w:hint="eastAsia" w:ascii="宋体" w:hAnsi="宋体"/>
          <w:bCs/>
          <w:sz w:val="18"/>
          <w:szCs w:val="18"/>
        </w:rPr>
        <w:t>牌号相应的</w:t>
      </w:r>
      <w:r>
        <w:rPr>
          <w:rFonts w:hint="eastAsia" w:ascii="宋体" w:hAnsi="宋体"/>
          <w:sz w:val="18"/>
        </w:rPr>
        <w:t>电性能</w:t>
      </w:r>
      <w:r>
        <w:rPr>
          <w:rFonts w:hint="eastAsia" w:ascii="宋体" w:hAnsi="宋体"/>
          <w:bCs/>
          <w:sz w:val="18"/>
          <w:szCs w:val="18"/>
        </w:rPr>
        <w:t>（</w:t>
      </w:r>
      <w:r>
        <w:rPr>
          <w:rFonts w:hint="eastAsia" w:ascii="宋体" w:hAnsi="宋体"/>
          <w:sz w:val="18"/>
        </w:rPr>
        <w:t>见表4</w:t>
      </w:r>
      <w:r>
        <w:rPr>
          <w:rFonts w:hint="eastAsia" w:ascii="宋体" w:hAnsi="宋体"/>
          <w:bCs/>
          <w:sz w:val="18"/>
          <w:szCs w:val="18"/>
        </w:rPr>
        <w:t>）</w:t>
      </w:r>
      <w:r>
        <w:rPr>
          <w:rFonts w:hint="eastAsia" w:ascii="宋体" w:hAnsi="宋体"/>
          <w:sz w:val="18"/>
        </w:rPr>
        <w:t>。</w:t>
      </w:r>
    </w:p>
    <w:p>
      <w:pPr>
        <w:tabs>
          <w:tab w:val="left" w:pos="720"/>
        </w:tabs>
        <w:autoSpaceDE w:val="0"/>
        <w:autoSpaceDN w:val="0"/>
        <w:adjustRightInd w:val="0"/>
        <w:ind w:left="277" w:right="18" w:firstLine="360" w:firstLineChars="200"/>
        <w:jc w:val="left"/>
        <w:rPr>
          <w:rFonts w:ascii="宋体" w:hAnsi="宋体"/>
          <w:sz w:val="18"/>
        </w:rPr>
      </w:pPr>
      <w:r>
        <w:rPr>
          <w:rFonts w:hint="eastAsia" w:ascii="宋体" w:hAnsi="宋体"/>
          <w:sz w:val="18"/>
          <w:szCs w:val="18"/>
          <w:lang w:bidi="ar"/>
        </w:rPr>
        <w:t>---</w:t>
      </w:r>
      <w:r>
        <w:rPr>
          <w:rFonts w:hint="eastAsia" w:ascii="宋体" w:hAnsi="宋体"/>
          <w:sz w:val="18"/>
        </w:rPr>
        <w:t>本标准中“3.4力学性能”条款基于原标准中“3.4力学性能”条款表2产品的化学成分进行修改完善，对新增加的牌号产品的化学成分进行相应的规定，根据新的化学成分和新的生产工艺，增加相应的力学性能，并增加生产工艺说明列。</w:t>
      </w:r>
      <w:r>
        <w:rPr>
          <w:rFonts w:hint="eastAsia" w:ascii="宋体" w:hAnsi="宋体"/>
          <w:sz w:val="18"/>
        </w:rPr>
        <w:br w:type="textWrapping"/>
      </w:r>
      <w:r>
        <w:rPr>
          <w:rFonts w:hint="eastAsia" w:ascii="宋体" w:hAnsi="宋体"/>
          <w:sz w:val="18"/>
        </w:rPr>
        <w:t xml:space="preserve">      </w:t>
      </w:r>
      <w:r>
        <w:rPr>
          <w:rFonts w:hint="eastAsia" w:ascii="宋体" w:hAnsi="宋体"/>
          <w:sz w:val="18"/>
          <w:szCs w:val="18"/>
          <w:lang w:bidi="ar"/>
        </w:rPr>
        <w:t>---</w:t>
      </w:r>
      <w:r>
        <w:rPr>
          <w:rFonts w:hint="eastAsia" w:ascii="宋体" w:hAnsi="宋体"/>
          <w:sz w:val="18"/>
        </w:rPr>
        <w:t>本标准中“3.5电性能”条款基于原标准中“3.6电性能”条款表4作调整，产品的电阻率指标根据新增的化学成分和新增的工艺进行了增加相应的规定。</w:t>
      </w:r>
    </w:p>
    <w:p>
      <w:pPr>
        <w:ind w:firstLine="540" w:firstLineChars="300"/>
        <w:rPr>
          <w:rFonts w:ascii="宋体" w:hAnsi="宋体"/>
          <w:sz w:val="18"/>
        </w:rPr>
      </w:pPr>
      <w:r>
        <w:rPr>
          <w:rFonts w:hint="eastAsia" w:ascii="宋体" w:hAnsi="宋体"/>
          <w:sz w:val="18"/>
        </w:rPr>
        <w:t xml:space="preserve"> </w:t>
      </w:r>
      <w:r>
        <w:rPr>
          <w:rFonts w:hint="eastAsia" w:ascii="宋体" w:hAnsi="宋体"/>
          <w:sz w:val="18"/>
          <w:szCs w:val="18"/>
          <w:lang w:bidi="ar"/>
        </w:rPr>
        <w:t>---</w:t>
      </w:r>
      <w:r>
        <w:rPr>
          <w:rFonts w:hint="eastAsia" w:ascii="宋体" w:hAnsi="宋体"/>
          <w:sz w:val="18"/>
        </w:rPr>
        <w:t>本标准中“3.6表面晶粒度”基于原标准中“3.7表面晶粒度”条款表5横向晶粒尺寸做调整，产品的表面晶粒度根据新增的牌号及新增的工艺进行了相应的规定。</w:t>
      </w:r>
    </w:p>
    <w:p>
      <w:pPr>
        <w:tabs>
          <w:tab w:val="left" w:pos="720"/>
        </w:tabs>
        <w:autoSpaceDE w:val="0"/>
        <w:autoSpaceDN w:val="0"/>
        <w:adjustRightInd w:val="0"/>
        <w:ind w:right="18" w:firstLine="540" w:firstLineChars="300"/>
        <w:jc w:val="left"/>
        <w:rPr>
          <w:rFonts w:ascii="宋体" w:hAnsi="宋体"/>
          <w:sz w:val="18"/>
        </w:rPr>
      </w:pPr>
      <w:r>
        <w:rPr>
          <w:rFonts w:hint="eastAsia" w:ascii="宋体" w:hAnsi="宋体"/>
          <w:sz w:val="18"/>
        </w:rPr>
        <w:t xml:space="preserve"> ---本标准中“3.7表面质量”基于原标准中“3.8表面质量”条款4产品的表面质量根据需方需求，新增人工长缺陷标准及人工短缺陷标准。</w:t>
      </w:r>
    </w:p>
    <w:p>
      <w:pPr>
        <w:tabs>
          <w:tab w:val="left" w:pos="720"/>
        </w:tabs>
        <w:autoSpaceDE w:val="0"/>
        <w:autoSpaceDN w:val="0"/>
        <w:adjustRightInd w:val="0"/>
        <w:ind w:right="18" w:firstLine="540" w:firstLineChars="300"/>
        <w:jc w:val="left"/>
        <w:rPr>
          <w:rFonts w:ascii="宋体" w:hAnsi="宋体"/>
          <w:sz w:val="18"/>
        </w:rPr>
      </w:pPr>
      <w:r>
        <w:rPr>
          <w:rFonts w:hint="eastAsia" w:ascii="宋体" w:hAnsi="宋体"/>
          <w:sz w:val="18"/>
        </w:rPr>
        <w:t xml:space="preserve"> ---删除原标准中“4.4扭转实验方法”。</w:t>
      </w:r>
    </w:p>
    <w:p>
      <w:pPr>
        <w:ind w:firstLine="540" w:firstLineChars="300"/>
        <w:rPr>
          <w:rFonts w:ascii="宋体" w:hAnsi="宋体"/>
          <w:sz w:val="18"/>
        </w:rPr>
      </w:pPr>
      <w:r>
        <w:rPr>
          <w:rFonts w:hint="eastAsia" w:ascii="宋体" w:hAnsi="宋体"/>
          <w:sz w:val="18"/>
        </w:rPr>
        <w:t xml:space="preserve"> ---本标准中“5.4取样”基于原标准中“5.4取样”条款表6对晶粒度取样对顶进行调整。</w:t>
      </w:r>
    </w:p>
    <w:p>
      <w:pPr>
        <w:tabs>
          <w:tab w:val="left" w:pos="720"/>
        </w:tabs>
        <w:autoSpaceDE w:val="0"/>
        <w:autoSpaceDN w:val="0"/>
        <w:adjustRightInd w:val="0"/>
        <w:ind w:left="277" w:right="18"/>
        <w:jc w:val="left"/>
        <w:rPr>
          <w:rFonts w:ascii="宋体" w:hAnsi="宋体"/>
          <w:sz w:val="18"/>
          <w:szCs w:val="18"/>
          <w:lang w:bidi="ar"/>
        </w:rPr>
      </w:pPr>
      <w:r>
        <w:rPr>
          <w:rFonts w:hint="eastAsia" w:ascii="宋体" w:hAnsi="宋体"/>
          <w:sz w:val="18"/>
        </w:rPr>
        <w:t xml:space="preserve">    </w:t>
      </w:r>
      <w:r>
        <w:rPr>
          <w:rFonts w:hint="eastAsia" w:ascii="宋体" w:hAnsi="宋体"/>
          <w:sz w:val="18"/>
          <w:szCs w:val="18"/>
          <w:lang w:bidi="ar"/>
        </w:rPr>
        <w:t>本标准针对高速电气化铁路接触材料用铜及铜合金的要求而制定，是生产接触网导线的原料标准。</w:t>
      </w:r>
      <w:r>
        <w:rPr>
          <w:rFonts w:hint="eastAsia" w:ascii="宋体" w:hAnsi="宋体"/>
          <w:sz w:val="18"/>
          <w:szCs w:val="18"/>
          <w:lang w:bidi="ar"/>
        </w:rPr>
        <w:br w:type="textWrapping"/>
      </w:r>
      <w:r>
        <w:rPr>
          <w:rFonts w:hint="eastAsia" w:ascii="宋体" w:hAnsi="宋体"/>
          <w:sz w:val="18"/>
          <w:szCs w:val="18"/>
          <w:lang w:bidi="ar"/>
        </w:rPr>
        <w:t xml:space="preserve">    本标准参考了EN 50149-2001《铁路设备 固定装备 电力牵引 铜及铜合金有槽接触导线》及TB/T 2809-2017《电气化铁路用铜及铜合金接触线》中的有关内容进行制定。</w:t>
      </w:r>
      <w:r>
        <w:rPr>
          <w:rFonts w:hint="eastAsia" w:ascii="宋体" w:hAnsi="宋体"/>
          <w:sz w:val="18"/>
          <w:szCs w:val="18"/>
          <w:lang w:bidi="ar"/>
        </w:rPr>
        <w:br w:type="textWrapping"/>
      </w:r>
      <w:r>
        <w:rPr>
          <w:rFonts w:hint="eastAsia" w:ascii="宋体" w:hAnsi="宋体"/>
          <w:sz w:val="18"/>
          <w:szCs w:val="18"/>
          <w:lang w:bidi="ar"/>
        </w:rPr>
        <w:t xml:space="preserve">    本标准由中国有色金属工业协会提出。</w:t>
      </w:r>
      <w:r>
        <w:rPr>
          <w:rFonts w:hint="eastAsia" w:ascii="宋体" w:hAnsi="宋体"/>
          <w:sz w:val="18"/>
          <w:szCs w:val="18"/>
          <w:lang w:bidi="ar"/>
        </w:rPr>
        <w:br w:type="textWrapping"/>
      </w:r>
      <w:r>
        <w:rPr>
          <w:rFonts w:hint="eastAsia" w:ascii="宋体" w:hAnsi="宋体"/>
          <w:sz w:val="18"/>
          <w:szCs w:val="18"/>
          <w:lang w:bidi="ar"/>
        </w:rPr>
        <w:t xml:space="preserve">    本标准由全国有色金属标准化技术委员会</w:t>
      </w:r>
      <w:r>
        <w:rPr>
          <w:rFonts w:hint="eastAsia" w:ascii="宋体" w:hAnsi="宋体"/>
          <w:color w:val="000000"/>
        </w:rPr>
        <w:t>（SAC/TC 243</w:t>
      </w:r>
      <w:r>
        <w:rPr>
          <w:rFonts w:ascii="宋体" w:hAnsi="宋体"/>
          <w:color w:val="000000"/>
        </w:rPr>
        <w:t>）</w:t>
      </w:r>
      <w:r>
        <w:rPr>
          <w:rFonts w:hint="eastAsia" w:ascii="宋体" w:hAnsi="宋体"/>
          <w:sz w:val="18"/>
          <w:szCs w:val="18"/>
          <w:lang w:bidi="ar"/>
        </w:rPr>
        <w:t>归口。</w:t>
      </w:r>
      <w:r>
        <w:rPr>
          <w:rFonts w:hint="eastAsia" w:ascii="宋体" w:hAnsi="宋体"/>
          <w:sz w:val="18"/>
          <w:szCs w:val="18"/>
          <w:lang w:bidi="ar"/>
        </w:rPr>
        <w:br w:type="textWrapping"/>
      </w:r>
      <w:r>
        <w:rPr>
          <w:rFonts w:hint="eastAsia" w:ascii="宋体" w:hAnsi="宋体"/>
          <w:sz w:val="18"/>
          <w:szCs w:val="18"/>
          <w:lang w:bidi="ar"/>
        </w:rPr>
        <w:t xml:space="preserve">    本标准负责起草单位：中铜（昆明）铜业有限公司</w:t>
      </w:r>
      <w:r>
        <w:rPr>
          <w:rFonts w:hint="eastAsia" w:ascii="宋体" w:hAnsi="宋体"/>
          <w:sz w:val="18"/>
          <w:szCs w:val="18"/>
          <w:lang w:bidi="ar"/>
        </w:rPr>
        <w:br w:type="textWrapping"/>
      </w:r>
      <w:r>
        <w:rPr>
          <w:rFonts w:hint="eastAsia" w:ascii="宋体" w:hAnsi="宋体"/>
          <w:sz w:val="18"/>
          <w:szCs w:val="18"/>
          <w:lang w:bidi="ar"/>
        </w:rPr>
        <w:t xml:space="preserve">    本标准参加起草单位：</w:t>
      </w:r>
      <w:r>
        <w:rPr>
          <w:rFonts w:ascii="宋体" w:hAnsi="宋体"/>
          <w:sz w:val="18"/>
          <w:szCs w:val="18"/>
          <w:lang w:bidi="ar"/>
        </w:rPr>
        <w:t>信承瑞技术有限公司</w:t>
      </w:r>
      <w:r>
        <w:rPr>
          <w:rFonts w:hint="eastAsia" w:ascii="宋体" w:hAnsi="宋体"/>
          <w:sz w:val="18"/>
          <w:szCs w:val="18"/>
          <w:lang w:bidi="ar"/>
        </w:rPr>
        <w:t>、宁波金田铜业（集团）有限公司、有研工程技术研究院有限公司</w:t>
      </w:r>
      <w:r>
        <w:rPr>
          <w:rFonts w:hint="eastAsia" w:ascii="宋体" w:hAnsi="宋体"/>
          <w:sz w:val="18"/>
          <w:szCs w:val="18"/>
          <w:lang w:bidi="ar"/>
        </w:rPr>
        <w:br w:type="textWrapping"/>
      </w:r>
      <w:r>
        <w:rPr>
          <w:rFonts w:hint="eastAsia" w:ascii="宋体" w:hAnsi="宋体"/>
          <w:sz w:val="18"/>
          <w:szCs w:val="18"/>
          <w:lang w:bidi="ar"/>
        </w:rPr>
        <w:t xml:space="preserve">    本标准主要起草人：</w:t>
      </w:r>
    </w:p>
    <w:p>
      <w:pPr>
        <w:tabs>
          <w:tab w:val="left" w:pos="720"/>
        </w:tabs>
        <w:autoSpaceDE w:val="0"/>
        <w:autoSpaceDN w:val="0"/>
        <w:adjustRightInd w:val="0"/>
        <w:ind w:left="277" w:right="18" w:firstLine="360"/>
        <w:jc w:val="left"/>
        <w:rPr>
          <w:rFonts w:ascii="宋体" w:hAnsi="宋体"/>
          <w:sz w:val="18"/>
          <w:szCs w:val="18"/>
          <w:lang w:bidi="ar"/>
        </w:rPr>
      </w:pPr>
      <w:r>
        <w:rPr>
          <w:rFonts w:hint="eastAsia" w:ascii="宋体" w:hAnsi="宋体"/>
          <w:sz w:val="18"/>
          <w:szCs w:val="18"/>
          <w:lang w:bidi="ar"/>
        </w:rPr>
        <w:t>本标准所代替标准的版本发布情况：</w:t>
      </w:r>
      <w:r>
        <w:rPr>
          <w:rFonts w:hint="eastAsia" w:ascii="宋体" w:hAnsi="宋体"/>
          <w:sz w:val="18"/>
          <w:szCs w:val="18"/>
          <w:lang w:bidi="ar"/>
        </w:rPr>
        <w:br w:type="textWrapping"/>
      </w:r>
      <w:r>
        <w:rPr>
          <w:rFonts w:hint="eastAsia" w:ascii="宋体" w:hAnsi="宋体"/>
          <w:sz w:val="18"/>
          <w:szCs w:val="18"/>
          <w:lang w:bidi="ar"/>
        </w:rPr>
        <w:t xml:space="preserve">    《电力机车接触材料用铜及铜合金线坯》-GB/T 20509-2006</w:t>
      </w:r>
      <w:r>
        <w:rPr>
          <w:rFonts w:hint="eastAsia" w:ascii="宋体" w:hAnsi="宋体"/>
          <w:sz w:val="18"/>
          <w:szCs w:val="18"/>
          <w:lang w:bidi="ar"/>
        </w:rPr>
        <w:br w:type="textWrapping"/>
      </w:r>
      <w:r>
        <w:rPr>
          <w:rFonts w:hint="eastAsia"/>
          <w:b/>
          <w:color w:val="000000"/>
          <w:spacing w:val="40"/>
          <w:sz w:val="32"/>
          <w:szCs w:val="32"/>
        </w:rPr>
        <w:t xml:space="preserve"> </w:t>
      </w:r>
    </w:p>
    <w:p>
      <w:pPr>
        <w:jc w:val="center"/>
        <w:rPr>
          <w:rFonts w:ascii="宋体" w:hAnsi="宋体" w:cs="宋体"/>
          <w:b/>
          <w:color w:val="000000"/>
          <w:sz w:val="32"/>
          <w:szCs w:val="32"/>
        </w:rPr>
      </w:pPr>
      <w:r>
        <w:rPr>
          <w:b/>
          <w:color w:val="000000"/>
          <w:spacing w:val="40"/>
          <w:sz w:val="32"/>
          <w:szCs w:val="32"/>
        </w:rPr>
        <w:br w:type="page"/>
      </w:r>
      <w:r>
        <w:rPr>
          <w:rFonts w:hint="eastAsia" w:ascii="宋体" w:hAnsi="宋体" w:cs="宋体"/>
          <w:sz w:val="32"/>
          <w:szCs w:val="32"/>
          <w:lang w:bidi="ar"/>
        </w:rPr>
        <w:t>电力机车接触材料用铜及铜合金线坯</w:t>
      </w:r>
    </w:p>
    <w:p>
      <w:pPr>
        <w:jc w:val="center"/>
        <w:rPr>
          <w:b/>
          <w:color w:val="000000"/>
          <w:sz w:val="24"/>
        </w:rPr>
      </w:pPr>
    </w:p>
    <w:p>
      <w:pPr>
        <w:ind w:firstLine="422" w:firstLineChars="200"/>
        <w:rPr>
          <w:rFonts w:ascii="宋体" w:hAnsi="宋体"/>
          <w:b/>
          <w:color w:val="000000"/>
          <w:szCs w:val="21"/>
        </w:rPr>
      </w:pPr>
    </w:p>
    <w:p>
      <w:pPr>
        <w:widowControl/>
        <w:spacing w:line="340" w:lineRule="exact"/>
        <w:jc w:val="left"/>
        <w:rPr>
          <w:rFonts w:ascii="黑体" w:hAnsi="宋体" w:eastAsia="黑体" w:cs="宋体"/>
          <w:bCs/>
          <w:kern w:val="0"/>
          <w:szCs w:val="21"/>
        </w:rPr>
      </w:pPr>
      <w:r>
        <w:rPr>
          <w:rFonts w:hint="eastAsia" w:ascii="黑体" w:hAnsi="宋体" w:eastAsia="黑体"/>
          <w:szCs w:val="21"/>
        </w:rPr>
        <w:t xml:space="preserve">1 </w:t>
      </w:r>
      <w:r>
        <w:rPr>
          <w:rFonts w:hint="eastAsia" w:ascii="黑体" w:hAnsi="宋体" w:eastAsia="黑体" w:cs="宋体"/>
          <w:bCs/>
          <w:kern w:val="0"/>
          <w:szCs w:val="21"/>
        </w:rPr>
        <w:t>范围</w:t>
      </w:r>
    </w:p>
    <w:p>
      <w:pPr>
        <w:spacing w:line="340" w:lineRule="exact"/>
        <w:ind w:firstLine="420" w:firstLineChars="200"/>
        <w:rPr>
          <w:rFonts w:ascii="宋体" w:hAnsi="宋体"/>
          <w:bCs/>
          <w:szCs w:val="21"/>
        </w:rPr>
      </w:pPr>
      <w:r>
        <w:rPr>
          <w:rFonts w:hint="eastAsia" w:ascii="宋体" w:hAnsi="宋体"/>
          <w:bCs/>
          <w:szCs w:val="21"/>
        </w:rPr>
        <w:t>本标准规定了电力机车接触线用铜及铜合金线坯的产品分类、技术要求、实验方法、检验规则、标志、包装、运输和贮存。</w:t>
      </w:r>
      <w:r>
        <w:rPr>
          <w:rFonts w:hint="eastAsia" w:ascii="宋体" w:hAnsi="宋体"/>
          <w:bCs/>
          <w:szCs w:val="21"/>
        </w:rPr>
        <w:br w:type="textWrapping"/>
      </w:r>
      <w:r>
        <w:rPr>
          <w:rFonts w:hint="eastAsia" w:ascii="宋体" w:hAnsi="宋体"/>
          <w:bCs/>
          <w:szCs w:val="21"/>
        </w:rPr>
        <w:t xml:space="preserve">    本标准适用于直径</w:t>
      </w:r>
      <w:r>
        <w:rPr>
          <w:rFonts w:ascii="宋体" w:hAnsi="宋体"/>
          <w:bCs/>
          <w:szCs w:val="21"/>
        </w:rPr>
        <w:t>为</w:t>
      </w:r>
      <w:r>
        <w:rPr>
          <w:rFonts w:hint="eastAsia" w:ascii="宋体" w:hAnsi="宋体"/>
          <w:bCs/>
          <w:szCs w:val="21"/>
        </w:rPr>
        <w:t>18</w:t>
      </w:r>
      <w:r>
        <w:rPr>
          <w:rFonts w:ascii="宋体" w:hAnsi="宋体"/>
          <w:bCs/>
          <w:szCs w:val="21"/>
        </w:rPr>
        <w:t>mm～</w:t>
      </w:r>
      <w:r>
        <w:rPr>
          <w:rFonts w:hint="eastAsia" w:ascii="宋体" w:hAnsi="宋体"/>
          <w:bCs/>
          <w:szCs w:val="21"/>
        </w:rPr>
        <w:t>3</w:t>
      </w:r>
      <w:r>
        <w:rPr>
          <w:rFonts w:ascii="宋体" w:hAnsi="宋体"/>
          <w:bCs/>
          <w:szCs w:val="21"/>
        </w:rPr>
        <w:t>2mm</w:t>
      </w:r>
      <w:r>
        <w:rPr>
          <w:rFonts w:hint="eastAsia" w:ascii="宋体" w:hAnsi="宋体"/>
          <w:bCs/>
          <w:szCs w:val="21"/>
        </w:rPr>
        <w:t>，供电气化铁路接触材料用铜及铜合金线坯。</w:t>
      </w:r>
    </w:p>
    <w:p>
      <w:pPr>
        <w:ind w:firstLine="420" w:firstLineChars="200"/>
        <w:rPr>
          <w:rFonts w:ascii="宋体" w:hAnsi="宋体"/>
          <w:bCs/>
          <w:szCs w:val="21"/>
        </w:rPr>
      </w:pPr>
    </w:p>
    <w:p>
      <w:pPr>
        <w:widowControl/>
        <w:spacing w:line="360" w:lineRule="exact"/>
        <w:jc w:val="left"/>
        <w:rPr>
          <w:rFonts w:ascii="黑体" w:hAnsi="宋体" w:eastAsia="黑体" w:cs="宋体"/>
          <w:bCs/>
          <w:kern w:val="0"/>
          <w:szCs w:val="21"/>
        </w:rPr>
      </w:pPr>
      <w:r>
        <w:rPr>
          <w:rFonts w:hint="eastAsia" w:ascii="黑体" w:hAnsi="宋体" w:eastAsia="黑体"/>
          <w:szCs w:val="21"/>
        </w:rPr>
        <w:t xml:space="preserve">2 </w:t>
      </w:r>
      <w:r>
        <w:rPr>
          <w:rFonts w:hint="eastAsia" w:ascii="黑体" w:hAnsi="宋体" w:eastAsia="黑体" w:cs="宋体"/>
          <w:bCs/>
          <w:kern w:val="0"/>
          <w:szCs w:val="21"/>
        </w:rPr>
        <w:t>规范性引用文件</w:t>
      </w:r>
    </w:p>
    <w:p>
      <w:pPr>
        <w:tabs>
          <w:tab w:val="left" w:pos="3060"/>
        </w:tabs>
        <w:spacing w:line="360" w:lineRule="exact"/>
        <w:ind w:firstLine="482" w:firstLineChars="230"/>
      </w:pPr>
      <w:r>
        <w:rPr>
          <w:rFonts w:hint="eastAsia"/>
        </w:rPr>
        <w:t>下列文件对于本文件的应用是必不可少的。凡是注日期的引用文件，仅注日期的版本适用于本文件。凡是不注日期的引用文件，其最新版本（包括所有的修改单）适用于本文件。</w:t>
      </w:r>
    </w:p>
    <w:p>
      <w:pPr>
        <w:spacing w:line="340" w:lineRule="exact"/>
        <w:ind w:firstLine="420" w:firstLineChars="200"/>
        <w:rPr>
          <w:rFonts w:ascii="宋体" w:hAnsi="宋体"/>
          <w:bCs/>
          <w:szCs w:val="21"/>
        </w:rPr>
      </w:pPr>
      <w:r>
        <w:rPr>
          <w:rFonts w:hint="eastAsia" w:ascii="宋体" w:hAnsi="宋体"/>
          <w:bCs/>
          <w:szCs w:val="21"/>
        </w:rPr>
        <w:t>GB/T 3048.2  电线电缆电性能试验方法  金属材料电阻率试验</w:t>
      </w:r>
    </w:p>
    <w:p>
      <w:pPr>
        <w:spacing w:line="340" w:lineRule="exact"/>
        <w:ind w:firstLine="420" w:firstLineChars="200"/>
        <w:rPr>
          <w:rFonts w:ascii="宋体" w:hAnsi="宋体"/>
          <w:bCs/>
          <w:szCs w:val="21"/>
        </w:rPr>
      </w:pPr>
      <w:r>
        <w:rPr>
          <w:rFonts w:hint="eastAsia" w:ascii="宋体" w:hAnsi="宋体"/>
          <w:bCs/>
          <w:szCs w:val="21"/>
        </w:rPr>
        <w:t>GB/T 4909.2  裸电线试验方法  尺寸测量</w:t>
      </w:r>
    </w:p>
    <w:p>
      <w:pPr>
        <w:spacing w:line="340" w:lineRule="exact"/>
        <w:ind w:firstLine="420" w:firstLineChars="200"/>
        <w:rPr>
          <w:rFonts w:ascii="宋体" w:hAnsi="宋体"/>
          <w:bCs/>
          <w:szCs w:val="21"/>
        </w:rPr>
      </w:pPr>
      <w:r>
        <w:rPr>
          <w:rFonts w:hint="eastAsia" w:ascii="宋体" w:hAnsi="宋体"/>
          <w:bCs/>
          <w:szCs w:val="21"/>
        </w:rPr>
        <w:t>GB/T 4909.3  裸电线试验方法  拉力试验</w:t>
      </w:r>
    </w:p>
    <w:p>
      <w:pPr>
        <w:spacing w:line="340" w:lineRule="exact"/>
        <w:ind w:firstLine="420" w:firstLineChars="200"/>
        <w:rPr>
          <w:rFonts w:ascii="宋体" w:hAnsi="宋体"/>
          <w:bCs/>
          <w:szCs w:val="21"/>
        </w:rPr>
      </w:pPr>
      <w:r>
        <w:rPr>
          <w:rFonts w:hint="eastAsia" w:ascii="宋体" w:hAnsi="宋体"/>
          <w:bCs/>
          <w:szCs w:val="21"/>
        </w:rPr>
        <w:t>GB/T 4909.4  裸电线试验方法  扭转试验</w:t>
      </w:r>
    </w:p>
    <w:p>
      <w:pPr>
        <w:spacing w:line="340" w:lineRule="exact"/>
        <w:ind w:firstLine="420" w:firstLineChars="200"/>
        <w:rPr>
          <w:rFonts w:ascii="宋体" w:hAnsi="宋体"/>
          <w:bCs/>
          <w:szCs w:val="21"/>
        </w:rPr>
      </w:pPr>
      <w:r>
        <w:rPr>
          <w:rFonts w:hint="eastAsia" w:ascii="宋体" w:hAnsi="宋体"/>
          <w:bCs/>
          <w:szCs w:val="21"/>
        </w:rPr>
        <w:t>GB/T 5121（所有部分）铜及铜合金化学分析方法</w:t>
      </w:r>
    </w:p>
    <w:p>
      <w:pPr>
        <w:spacing w:line="340" w:lineRule="exact"/>
        <w:ind w:firstLine="420" w:firstLineChars="200"/>
        <w:rPr>
          <w:rFonts w:ascii="宋体" w:hAnsi="宋体"/>
          <w:bCs/>
          <w:szCs w:val="21"/>
        </w:rPr>
      </w:pPr>
      <w:r>
        <w:rPr>
          <w:rFonts w:hint="eastAsia" w:ascii="宋体" w:hAnsi="宋体"/>
          <w:bCs/>
          <w:szCs w:val="21"/>
        </w:rPr>
        <w:t>GB/T 5231  加工铜及铜合金牌号和化学成分</w:t>
      </w:r>
    </w:p>
    <w:p>
      <w:pPr>
        <w:spacing w:line="340" w:lineRule="exact"/>
        <w:ind w:firstLine="420" w:firstLineChars="200"/>
        <w:rPr>
          <w:rFonts w:ascii="宋体" w:hAnsi="宋体"/>
          <w:bCs/>
          <w:szCs w:val="21"/>
        </w:rPr>
      </w:pPr>
      <w:r>
        <w:rPr>
          <w:rFonts w:hint="eastAsia" w:ascii="宋体" w:hAnsi="宋体"/>
          <w:bCs/>
          <w:szCs w:val="21"/>
        </w:rPr>
        <w:t>GB/T 5248   铜及铜合金无缝管涡流探伤方法</w:t>
      </w:r>
    </w:p>
    <w:p>
      <w:pPr>
        <w:spacing w:line="340" w:lineRule="exact"/>
        <w:ind w:firstLine="420" w:firstLineChars="200"/>
        <w:rPr>
          <w:rFonts w:ascii="宋体" w:hAnsi="宋体"/>
          <w:bCs/>
          <w:szCs w:val="21"/>
        </w:rPr>
      </w:pPr>
      <w:r>
        <w:rPr>
          <w:rFonts w:hint="eastAsia" w:ascii="宋体" w:hAnsi="宋体"/>
          <w:bCs/>
          <w:szCs w:val="21"/>
        </w:rPr>
        <w:t>GB/T 29094  铜及铜合金状态表示方法</w:t>
      </w:r>
    </w:p>
    <w:p>
      <w:pPr>
        <w:spacing w:line="340" w:lineRule="exact"/>
        <w:ind w:firstLine="420" w:firstLineChars="200"/>
        <w:rPr>
          <w:rFonts w:ascii="宋体" w:hAnsi="宋体"/>
          <w:bCs/>
          <w:szCs w:val="21"/>
        </w:rPr>
      </w:pPr>
      <w:r>
        <w:rPr>
          <w:rFonts w:hint="eastAsia" w:ascii="宋体" w:hAnsi="宋体"/>
          <w:bCs/>
          <w:szCs w:val="21"/>
        </w:rPr>
        <w:t>GB/T 29997  铜及铜合金棒线材涡流探伤方法</w:t>
      </w:r>
    </w:p>
    <w:p>
      <w:pPr>
        <w:spacing w:line="340" w:lineRule="exact"/>
        <w:ind w:firstLine="420" w:firstLineChars="200"/>
        <w:rPr>
          <w:rFonts w:ascii="宋体" w:hAnsi="宋体"/>
          <w:bCs/>
          <w:szCs w:val="21"/>
        </w:rPr>
      </w:pPr>
      <w:r>
        <w:rPr>
          <w:rFonts w:hint="eastAsia" w:ascii="宋体" w:hAnsi="宋体"/>
          <w:bCs/>
          <w:szCs w:val="21"/>
        </w:rPr>
        <w:t>TB/T 2809-2017 电气化铁路用铜及铜合金接触线</w:t>
      </w:r>
    </w:p>
    <w:p>
      <w:pPr>
        <w:spacing w:line="340" w:lineRule="exact"/>
        <w:ind w:firstLine="420" w:firstLineChars="200"/>
        <w:rPr>
          <w:rFonts w:ascii="宋体" w:hAnsi="宋体"/>
          <w:bCs/>
          <w:szCs w:val="21"/>
        </w:rPr>
      </w:pPr>
      <w:r>
        <w:rPr>
          <w:rFonts w:hint="eastAsia" w:ascii="宋体" w:hAnsi="宋体"/>
          <w:bCs/>
          <w:szCs w:val="21"/>
        </w:rPr>
        <w:t>YS/T 347 铜及铜合金平均晶粒度测定方法电气</w:t>
      </w:r>
    </w:p>
    <w:p>
      <w:pPr>
        <w:tabs>
          <w:tab w:val="left" w:pos="3060"/>
        </w:tabs>
        <w:ind w:left="420" w:leftChars="200"/>
        <w:rPr>
          <w:rFonts w:ascii="宋体" w:hAnsi="宋体"/>
          <w:bCs/>
          <w:color w:val="FF0000"/>
          <w:szCs w:val="21"/>
        </w:rPr>
      </w:pPr>
    </w:p>
    <w:p>
      <w:pPr>
        <w:widowControl/>
        <w:jc w:val="left"/>
        <w:rPr>
          <w:rFonts w:ascii="黑体" w:hAnsi="宋体" w:eastAsia="黑体"/>
          <w:szCs w:val="21"/>
        </w:rPr>
      </w:pPr>
      <w:r>
        <w:rPr>
          <w:rFonts w:hint="eastAsia" w:ascii="黑体" w:hAnsi="宋体" w:eastAsia="黑体"/>
          <w:szCs w:val="21"/>
        </w:rPr>
        <w:t>3 要求</w:t>
      </w:r>
    </w:p>
    <w:p>
      <w:pPr>
        <w:widowControl/>
        <w:spacing w:line="360" w:lineRule="exact"/>
        <w:jc w:val="left"/>
        <w:rPr>
          <w:rFonts w:ascii="黑体" w:hAnsi="宋体" w:eastAsia="黑体"/>
          <w:szCs w:val="21"/>
        </w:rPr>
      </w:pPr>
    </w:p>
    <w:p>
      <w:pPr>
        <w:spacing w:line="360" w:lineRule="exact"/>
        <w:rPr>
          <w:rFonts w:ascii="黑体" w:hAnsi="宋体" w:eastAsia="黑体"/>
          <w:bCs/>
          <w:szCs w:val="21"/>
        </w:rPr>
      </w:pPr>
      <w:r>
        <w:rPr>
          <w:rFonts w:hint="eastAsia" w:ascii="黑体" w:hAnsi="宋体" w:eastAsia="黑体"/>
          <w:bCs/>
          <w:szCs w:val="21"/>
        </w:rPr>
        <w:t>3.1产品分类</w:t>
      </w:r>
    </w:p>
    <w:p>
      <w:pPr>
        <w:spacing w:line="360" w:lineRule="exact"/>
        <w:rPr>
          <w:rFonts w:ascii="宋体" w:hAnsi="宋体"/>
          <w:bCs/>
          <w:szCs w:val="21"/>
        </w:rPr>
      </w:pPr>
      <w:r>
        <w:rPr>
          <w:rFonts w:hint="eastAsia" w:ascii="宋体" w:hAnsi="宋体"/>
          <w:bCs/>
          <w:szCs w:val="21"/>
        </w:rPr>
        <w:t>3.1.1分类、牌号、状态、规格</w:t>
      </w:r>
    </w:p>
    <w:p>
      <w:pPr>
        <w:widowControl/>
        <w:spacing w:line="360" w:lineRule="exact"/>
        <w:jc w:val="left"/>
        <w:rPr>
          <w:rFonts w:ascii="宋体" w:hAnsi="宋体"/>
          <w:bCs/>
          <w:szCs w:val="21"/>
        </w:rPr>
      </w:pPr>
      <w:r>
        <w:rPr>
          <w:rFonts w:hint="eastAsia" w:ascii="宋体" w:hAnsi="宋体"/>
          <w:bCs/>
          <w:szCs w:val="21"/>
        </w:rPr>
        <w:t xml:space="preserve">   铜线坯的分类、牌号、状态、规格、工艺应符合表1的规定。</w:t>
      </w:r>
    </w:p>
    <w:p>
      <w:pPr>
        <w:spacing w:line="400" w:lineRule="atLeast"/>
        <w:jc w:val="center"/>
        <w:rPr>
          <w:rFonts w:asciiTheme="minorEastAsia" w:hAnsiTheme="minorEastAsia" w:eastAsiaTheme="minorEastAsia"/>
          <w:bCs/>
          <w:szCs w:val="21"/>
        </w:rPr>
      </w:pPr>
      <w:r>
        <w:rPr>
          <w:rFonts w:hint="eastAsia" w:ascii="黑体" w:hAnsi="黑体" w:eastAsia="黑体"/>
          <w:bCs/>
          <w:szCs w:val="21"/>
        </w:rPr>
        <w:t xml:space="preserve">表1  </w:t>
      </w:r>
      <w:r>
        <w:rPr>
          <w:rFonts w:hint="eastAsia" w:asciiTheme="minorEastAsia" w:hAnsiTheme="minorEastAsia" w:eastAsiaTheme="minorEastAsia"/>
          <w:bCs/>
          <w:szCs w:val="21"/>
        </w:rPr>
        <w:t>产品的牌号、状态、规格及工艺</w:t>
      </w:r>
    </w:p>
    <w:tbl>
      <w:tblPr>
        <w:tblStyle w:val="11"/>
        <w:tblpPr w:leftFromText="180" w:rightFromText="180" w:vertAnchor="text" w:horzAnchor="page" w:tblpX="1814" w:tblpY="415"/>
        <w:tblOverlap w:val="never"/>
        <w:tblW w:w="4529" w:type="pct"/>
        <w:tblInd w:w="0" w:type="dxa"/>
        <w:tblLayout w:type="autofit"/>
        <w:tblCellMar>
          <w:top w:w="0" w:type="dxa"/>
          <w:left w:w="0" w:type="dxa"/>
          <w:bottom w:w="0" w:type="dxa"/>
          <w:right w:w="0" w:type="dxa"/>
        </w:tblCellMar>
      </w:tblPr>
      <w:tblGrid>
        <w:gridCol w:w="620"/>
        <w:gridCol w:w="1475"/>
        <w:gridCol w:w="780"/>
        <w:gridCol w:w="1320"/>
        <w:gridCol w:w="4048"/>
      </w:tblGrid>
      <w:tr>
        <w:tblPrEx>
          <w:tblCellMar>
            <w:top w:w="0" w:type="dxa"/>
            <w:left w:w="0" w:type="dxa"/>
            <w:bottom w:w="0" w:type="dxa"/>
            <w:right w:w="0" w:type="dxa"/>
          </w:tblCellMar>
        </w:tblPrEx>
        <w:trPr>
          <w:trHeight w:val="397" w:hRule="atLeast"/>
        </w:trPr>
        <w:tc>
          <w:tcPr>
            <w:tcW w:w="376"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b/>
                <w:color w:val="000000"/>
                <w:sz w:val="18"/>
                <w:szCs w:val="18"/>
              </w:rPr>
            </w:pPr>
            <w:r>
              <w:rPr>
                <w:rFonts w:hint="eastAsia" w:ascii="宋体" w:hAnsi="宋体" w:cs="宋体"/>
                <w:b/>
                <w:color w:val="000000"/>
                <w:kern w:val="0"/>
                <w:sz w:val="18"/>
                <w:szCs w:val="18"/>
                <w:lang w:bidi="ar"/>
              </w:rPr>
              <w:t>分类</w:t>
            </w:r>
          </w:p>
        </w:tc>
        <w:tc>
          <w:tcPr>
            <w:tcW w:w="894"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b/>
                <w:color w:val="000000"/>
                <w:sz w:val="18"/>
                <w:szCs w:val="18"/>
              </w:rPr>
            </w:pPr>
            <w:r>
              <w:rPr>
                <w:rFonts w:hint="eastAsia" w:ascii="宋体" w:hAnsi="宋体" w:cs="宋体"/>
                <w:b/>
                <w:color w:val="000000"/>
                <w:kern w:val="0"/>
                <w:sz w:val="18"/>
                <w:szCs w:val="18"/>
                <w:lang w:bidi="ar"/>
              </w:rPr>
              <w:t>牌号</w:t>
            </w:r>
          </w:p>
        </w:tc>
        <w:tc>
          <w:tcPr>
            <w:tcW w:w="473"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b/>
                <w:color w:val="000000"/>
                <w:sz w:val="18"/>
                <w:szCs w:val="18"/>
              </w:rPr>
            </w:pPr>
            <w:r>
              <w:rPr>
                <w:rFonts w:hint="eastAsia" w:ascii="宋体" w:hAnsi="宋体" w:cs="宋体"/>
                <w:b/>
                <w:color w:val="000000"/>
                <w:kern w:val="0"/>
                <w:sz w:val="18"/>
                <w:szCs w:val="18"/>
                <w:lang w:bidi="ar"/>
              </w:rPr>
              <w:t>状态</w:t>
            </w:r>
          </w:p>
        </w:tc>
        <w:tc>
          <w:tcPr>
            <w:tcW w:w="800"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b/>
                <w:color w:val="000000"/>
                <w:sz w:val="18"/>
                <w:szCs w:val="18"/>
              </w:rPr>
            </w:pPr>
            <w:r>
              <w:rPr>
                <w:rFonts w:hint="eastAsia" w:ascii="宋体" w:hAnsi="宋体" w:cs="宋体"/>
                <w:b/>
                <w:color w:val="000000"/>
                <w:kern w:val="0"/>
                <w:sz w:val="18"/>
                <w:szCs w:val="18"/>
                <w:lang w:bidi="ar"/>
              </w:rPr>
              <w:t>规格（mm）</w:t>
            </w:r>
          </w:p>
        </w:tc>
        <w:tc>
          <w:tcPr>
            <w:tcW w:w="2454"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b/>
                <w:color w:val="000000"/>
                <w:sz w:val="18"/>
                <w:szCs w:val="18"/>
              </w:rPr>
            </w:pPr>
            <w:r>
              <w:rPr>
                <w:rFonts w:hint="eastAsia" w:ascii="宋体" w:hAnsi="宋体" w:cs="宋体"/>
                <w:b/>
                <w:color w:val="000000"/>
                <w:kern w:val="0"/>
                <w:sz w:val="18"/>
                <w:szCs w:val="18"/>
                <w:lang w:bidi="ar"/>
              </w:rPr>
              <w:t>采用的工艺</w:t>
            </w:r>
          </w:p>
        </w:tc>
      </w:tr>
      <w:tr>
        <w:tblPrEx>
          <w:tblCellMar>
            <w:top w:w="0" w:type="dxa"/>
            <w:left w:w="0" w:type="dxa"/>
            <w:bottom w:w="0" w:type="dxa"/>
            <w:right w:w="0" w:type="dxa"/>
          </w:tblCellMar>
        </w:tblPrEx>
        <w:trPr>
          <w:trHeight w:val="397" w:hRule="atLeast"/>
        </w:trPr>
        <w:tc>
          <w:tcPr>
            <w:tcW w:w="376" w:type="pct"/>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纯铜</w:t>
            </w:r>
          </w:p>
        </w:tc>
        <w:tc>
          <w:tcPr>
            <w:tcW w:w="894"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T2</w:t>
            </w: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M30</w:t>
            </w:r>
          </w:p>
        </w:tc>
        <w:tc>
          <w:tcPr>
            <w:tcW w:w="800"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18～32</w:t>
            </w: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连续挤压</w:t>
            </w:r>
          </w:p>
        </w:tc>
      </w:tr>
      <w:tr>
        <w:tblPrEx>
          <w:tblCellMar>
            <w:top w:w="0" w:type="dxa"/>
            <w:left w:w="0" w:type="dxa"/>
            <w:bottom w:w="0" w:type="dxa"/>
            <w:right w:w="0" w:type="dxa"/>
          </w:tblCellMar>
        </w:tblPrEx>
        <w:trPr>
          <w:trHeight w:val="397" w:hRule="atLeast"/>
        </w:trPr>
        <w:tc>
          <w:tcPr>
            <w:tcW w:w="37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894"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H02</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冷轧或拉拔</w:t>
            </w:r>
          </w:p>
        </w:tc>
      </w:tr>
      <w:tr>
        <w:tblPrEx>
          <w:tblCellMar>
            <w:top w:w="0" w:type="dxa"/>
            <w:left w:w="0" w:type="dxa"/>
            <w:bottom w:w="0" w:type="dxa"/>
            <w:right w:w="0" w:type="dxa"/>
          </w:tblCellMar>
        </w:tblPrEx>
        <w:trPr>
          <w:trHeight w:val="397" w:hRule="atLeast"/>
        </w:trPr>
        <w:tc>
          <w:tcPr>
            <w:tcW w:w="376" w:type="pct"/>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银铜</w:t>
            </w:r>
          </w:p>
        </w:tc>
        <w:tc>
          <w:tcPr>
            <w:tcW w:w="894"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TAg0.1</w:t>
            </w: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H0</w:t>
            </w:r>
            <w:r>
              <w:rPr>
                <w:rStyle w:val="17"/>
                <w:rFonts w:hint="default"/>
                <w:lang w:bidi="ar"/>
              </w:rPr>
              <w:t>2</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冷轧或拉拔</w:t>
            </w:r>
          </w:p>
        </w:tc>
      </w:tr>
      <w:tr>
        <w:tblPrEx>
          <w:tblCellMar>
            <w:top w:w="0" w:type="dxa"/>
            <w:left w:w="0" w:type="dxa"/>
            <w:bottom w:w="0" w:type="dxa"/>
            <w:right w:w="0" w:type="dxa"/>
          </w:tblCellMar>
        </w:tblPrEx>
        <w:trPr>
          <w:trHeight w:val="397" w:hRule="atLeast"/>
        </w:trPr>
        <w:tc>
          <w:tcPr>
            <w:tcW w:w="37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894"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M20</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连铸连轧</w:t>
            </w:r>
          </w:p>
        </w:tc>
      </w:tr>
      <w:tr>
        <w:tblPrEx>
          <w:tblCellMar>
            <w:top w:w="0" w:type="dxa"/>
            <w:left w:w="0" w:type="dxa"/>
            <w:bottom w:w="0" w:type="dxa"/>
            <w:right w:w="0" w:type="dxa"/>
          </w:tblCellMar>
        </w:tblPrEx>
        <w:trPr>
          <w:trHeight w:val="397" w:hRule="atLeast"/>
        </w:trPr>
        <w:tc>
          <w:tcPr>
            <w:tcW w:w="37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894"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M30</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连续挤压</w:t>
            </w:r>
          </w:p>
        </w:tc>
      </w:tr>
      <w:tr>
        <w:tblPrEx>
          <w:tblCellMar>
            <w:top w:w="0" w:type="dxa"/>
            <w:left w:w="0" w:type="dxa"/>
            <w:bottom w:w="0" w:type="dxa"/>
            <w:right w:w="0" w:type="dxa"/>
          </w:tblCellMar>
        </w:tblPrEx>
        <w:trPr>
          <w:trHeight w:val="397" w:hRule="atLeast"/>
        </w:trPr>
        <w:tc>
          <w:tcPr>
            <w:tcW w:w="376" w:type="pct"/>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锡铜</w:t>
            </w:r>
          </w:p>
        </w:tc>
        <w:tc>
          <w:tcPr>
            <w:tcW w:w="894"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TSn0.15</w:t>
            </w: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M30</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连续挤压</w:t>
            </w:r>
          </w:p>
        </w:tc>
      </w:tr>
      <w:tr>
        <w:tblPrEx>
          <w:tblCellMar>
            <w:top w:w="0" w:type="dxa"/>
            <w:left w:w="0" w:type="dxa"/>
            <w:bottom w:w="0" w:type="dxa"/>
            <w:right w:w="0" w:type="dxa"/>
          </w:tblCellMar>
        </w:tblPrEx>
        <w:trPr>
          <w:trHeight w:val="397" w:hRule="atLeast"/>
        </w:trPr>
        <w:tc>
          <w:tcPr>
            <w:tcW w:w="37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894"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H02</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冷轧或拉拔</w:t>
            </w:r>
          </w:p>
        </w:tc>
      </w:tr>
      <w:tr>
        <w:tblPrEx>
          <w:tblCellMar>
            <w:top w:w="0" w:type="dxa"/>
            <w:left w:w="0" w:type="dxa"/>
            <w:bottom w:w="0" w:type="dxa"/>
            <w:right w:w="0" w:type="dxa"/>
          </w:tblCellMar>
        </w:tblPrEx>
        <w:trPr>
          <w:trHeight w:val="397" w:hRule="atLeast"/>
        </w:trPr>
        <w:tc>
          <w:tcPr>
            <w:tcW w:w="37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894"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TSn0.3</w:t>
            </w: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M30</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连续挤压</w:t>
            </w:r>
          </w:p>
        </w:tc>
      </w:tr>
      <w:tr>
        <w:tblPrEx>
          <w:tblCellMar>
            <w:top w:w="0" w:type="dxa"/>
            <w:left w:w="0" w:type="dxa"/>
            <w:bottom w:w="0" w:type="dxa"/>
            <w:right w:w="0" w:type="dxa"/>
          </w:tblCellMar>
        </w:tblPrEx>
        <w:trPr>
          <w:trHeight w:val="397" w:hRule="atLeast"/>
        </w:trPr>
        <w:tc>
          <w:tcPr>
            <w:tcW w:w="37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894"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H02</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冷轧或拉拔</w:t>
            </w:r>
          </w:p>
        </w:tc>
      </w:tr>
      <w:tr>
        <w:tblPrEx>
          <w:tblCellMar>
            <w:top w:w="0" w:type="dxa"/>
            <w:left w:w="0" w:type="dxa"/>
            <w:bottom w:w="0" w:type="dxa"/>
            <w:right w:w="0" w:type="dxa"/>
          </w:tblCellMar>
        </w:tblPrEx>
        <w:trPr>
          <w:trHeight w:val="397" w:hRule="atLeast"/>
        </w:trPr>
        <w:tc>
          <w:tcPr>
            <w:tcW w:w="37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894"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TSn0.5</w:t>
            </w: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M20</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连铸连轧</w:t>
            </w:r>
          </w:p>
        </w:tc>
      </w:tr>
      <w:tr>
        <w:tblPrEx>
          <w:tblCellMar>
            <w:top w:w="0" w:type="dxa"/>
            <w:left w:w="0" w:type="dxa"/>
            <w:bottom w:w="0" w:type="dxa"/>
            <w:right w:w="0" w:type="dxa"/>
          </w:tblCellMar>
        </w:tblPrEx>
        <w:trPr>
          <w:trHeight w:val="397" w:hRule="atLeast"/>
        </w:trPr>
        <w:tc>
          <w:tcPr>
            <w:tcW w:w="37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894"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M30</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连续挤压</w:t>
            </w:r>
          </w:p>
        </w:tc>
      </w:tr>
      <w:tr>
        <w:tblPrEx>
          <w:tblCellMar>
            <w:top w:w="0" w:type="dxa"/>
            <w:left w:w="0" w:type="dxa"/>
            <w:bottom w:w="0" w:type="dxa"/>
            <w:right w:w="0" w:type="dxa"/>
          </w:tblCellMar>
        </w:tblPrEx>
        <w:trPr>
          <w:trHeight w:val="397" w:hRule="atLeast"/>
        </w:trPr>
        <w:tc>
          <w:tcPr>
            <w:tcW w:w="37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894"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H02</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冷轧或拉拔</w:t>
            </w:r>
          </w:p>
        </w:tc>
      </w:tr>
      <w:tr>
        <w:tblPrEx>
          <w:tblCellMar>
            <w:top w:w="0" w:type="dxa"/>
            <w:left w:w="0" w:type="dxa"/>
            <w:bottom w:w="0" w:type="dxa"/>
            <w:right w:w="0" w:type="dxa"/>
          </w:tblCellMar>
        </w:tblPrEx>
        <w:trPr>
          <w:trHeight w:val="397" w:hRule="atLeast"/>
        </w:trPr>
        <w:tc>
          <w:tcPr>
            <w:tcW w:w="376" w:type="pct"/>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镁铜</w:t>
            </w:r>
          </w:p>
        </w:tc>
        <w:tc>
          <w:tcPr>
            <w:tcW w:w="894" w:type="pct"/>
            <w:vMerge w:val="restar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TMg0.25</w:t>
            </w:r>
          </w:p>
        </w:tc>
        <w:tc>
          <w:tcPr>
            <w:tcW w:w="473"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M30</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连续挤压</w:t>
            </w:r>
          </w:p>
        </w:tc>
      </w:tr>
      <w:tr>
        <w:tblPrEx>
          <w:tblCellMar>
            <w:top w:w="0" w:type="dxa"/>
            <w:left w:w="0" w:type="dxa"/>
            <w:bottom w:w="0" w:type="dxa"/>
            <w:right w:w="0" w:type="dxa"/>
          </w:tblCellMar>
        </w:tblPrEx>
        <w:trPr>
          <w:trHeight w:val="397" w:hRule="atLeast"/>
        </w:trPr>
        <w:tc>
          <w:tcPr>
            <w:tcW w:w="37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894" w:type="pct"/>
            <w:vMerge w:val="continue"/>
            <w:tcBorders>
              <w:top w:val="single" w:color="000000" w:sz="8" w:space="0"/>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H02</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冷轧或拉拔</w:t>
            </w:r>
          </w:p>
        </w:tc>
      </w:tr>
      <w:tr>
        <w:tblPrEx>
          <w:tblCellMar>
            <w:top w:w="0" w:type="dxa"/>
            <w:left w:w="0" w:type="dxa"/>
            <w:bottom w:w="0" w:type="dxa"/>
            <w:right w:w="0" w:type="dxa"/>
          </w:tblCellMar>
        </w:tblPrEx>
        <w:trPr>
          <w:trHeight w:val="397" w:hRule="atLeast"/>
        </w:trPr>
        <w:tc>
          <w:tcPr>
            <w:tcW w:w="37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894"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TMg0.35</w:t>
            </w: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M30</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连续挤压</w:t>
            </w:r>
          </w:p>
        </w:tc>
      </w:tr>
      <w:tr>
        <w:tblPrEx>
          <w:tblCellMar>
            <w:top w:w="0" w:type="dxa"/>
            <w:left w:w="0" w:type="dxa"/>
            <w:bottom w:w="0" w:type="dxa"/>
            <w:right w:w="0" w:type="dxa"/>
          </w:tblCellMar>
        </w:tblPrEx>
        <w:trPr>
          <w:trHeight w:val="397" w:hRule="atLeast"/>
        </w:trPr>
        <w:tc>
          <w:tcPr>
            <w:tcW w:w="37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894"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H02</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冷轧或拉拔</w:t>
            </w:r>
          </w:p>
        </w:tc>
      </w:tr>
      <w:tr>
        <w:tblPrEx>
          <w:tblCellMar>
            <w:top w:w="0" w:type="dxa"/>
            <w:left w:w="0" w:type="dxa"/>
            <w:bottom w:w="0" w:type="dxa"/>
            <w:right w:w="0" w:type="dxa"/>
          </w:tblCellMar>
        </w:tblPrEx>
        <w:trPr>
          <w:trHeight w:val="397" w:hRule="atLeast"/>
        </w:trPr>
        <w:tc>
          <w:tcPr>
            <w:tcW w:w="37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894"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TMg0.45</w:t>
            </w: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M30</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连续挤压</w:t>
            </w:r>
          </w:p>
        </w:tc>
      </w:tr>
      <w:tr>
        <w:tblPrEx>
          <w:tblCellMar>
            <w:top w:w="0" w:type="dxa"/>
            <w:left w:w="0" w:type="dxa"/>
            <w:bottom w:w="0" w:type="dxa"/>
            <w:right w:w="0" w:type="dxa"/>
          </w:tblCellMar>
        </w:tblPrEx>
        <w:trPr>
          <w:trHeight w:val="397" w:hRule="atLeast"/>
        </w:trPr>
        <w:tc>
          <w:tcPr>
            <w:tcW w:w="37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894"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H02</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冷轧或拉拔</w:t>
            </w:r>
          </w:p>
        </w:tc>
      </w:tr>
      <w:tr>
        <w:tblPrEx>
          <w:tblCellMar>
            <w:top w:w="0" w:type="dxa"/>
            <w:left w:w="0" w:type="dxa"/>
            <w:bottom w:w="0" w:type="dxa"/>
            <w:right w:w="0" w:type="dxa"/>
          </w:tblCellMar>
        </w:tblPrEx>
        <w:trPr>
          <w:trHeight w:val="397" w:hRule="atLeast"/>
        </w:trPr>
        <w:tc>
          <w:tcPr>
            <w:tcW w:w="376" w:type="pc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铬铜</w:t>
            </w:r>
          </w:p>
        </w:tc>
        <w:tc>
          <w:tcPr>
            <w:tcW w:w="89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TCr0.6-0</w:t>
            </w:r>
            <w:r>
              <w:rPr>
                <w:rStyle w:val="17"/>
                <w:rFonts w:hint="default"/>
                <w:lang w:bidi="ar"/>
              </w:rPr>
              <w:t>.1</w:t>
            </w:r>
          </w:p>
        </w:tc>
        <w:tc>
          <w:tcPr>
            <w:tcW w:w="473"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TH04</w:t>
            </w:r>
          </w:p>
        </w:tc>
        <w:tc>
          <w:tcPr>
            <w:tcW w:w="800"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2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固溶热处理+冷加工（硬）+沉淀热处理</w:t>
            </w:r>
          </w:p>
        </w:tc>
      </w:tr>
    </w:tbl>
    <w:p>
      <w:pPr>
        <w:spacing w:line="400" w:lineRule="atLeast"/>
        <w:jc w:val="center"/>
        <w:rPr>
          <w:rFonts w:asciiTheme="minorEastAsia" w:hAnsiTheme="minorEastAsia" w:eastAsiaTheme="minorEastAsia"/>
          <w:bCs/>
          <w:szCs w:val="21"/>
        </w:rPr>
      </w:pPr>
    </w:p>
    <w:p>
      <w:pPr>
        <w:spacing w:line="340" w:lineRule="exact"/>
        <w:rPr>
          <w:rFonts w:ascii="黑体" w:hAnsi="黑体" w:eastAsia="黑体" w:cs="黑体"/>
          <w:bCs/>
          <w:color w:val="000000"/>
          <w:szCs w:val="21"/>
        </w:rPr>
      </w:pPr>
      <w:r>
        <w:rPr>
          <w:rFonts w:hint="eastAsia" w:ascii="黑体" w:hAnsi="黑体" w:eastAsia="黑体" w:cs="黑体"/>
          <w:bCs/>
          <w:color w:val="000000"/>
          <w:szCs w:val="21"/>
        </w:rPr>
        <w:t>3.1.2标记示例</w:t>
      </w:r>
    </w:p>
    <w:p>
      <w:pPr>
        <w:spacing w:line="340" w:lineRule="exact"/>
        <w:ind w:firstLine="420" w:firstLineChars="200"/>
        <w:rPr>
          <w:rFonts w:ascii="宋体" w:hAnsi="宋体"/>
          <w:bCs/>
          <w:color w:val="000000"/>
          <w:szCs w:val="21"/>
        </w:rPr>
      </w:pPr>
      <w:r>
        <w:rPr>
          <w:rFonts w:hint="eastAsia" w:ascii="宋体" w:hAnsi="宋体"/>
          <w:bCs/>
          <w:color w:val="000000"/>
          <w:szCs w:val="21"/>
        </w:rPr>
        <w:t>产品标记按名称、牌号或分类、状态、规格的顺序表示。</w:t>
      </w:r>
    </w:p>
    <w:p>
      <w:pPr>
        <w:spacing w:line="360" w:lineRule="exact"/>
        <w:ind w:firstLine="360" w:firstLineChars="200"/>
        <w:rPr>
          <w:rFonts w:ascii="黑体" w:hAnsi="黑体" w:eastAsia="黑体"/>
          <w:bCs/>
          <w:color w:val="000000"/>
          <w:sz w:val="18"/>
          <w:szCs w:val="18"/>
        </w:rPr>
      </w:pPr>
      <w:r>
        <w:rPr>
          <w:rFonts w:hint="eastAsia" w:ascii="黑体" w:hAnsi="黑体" w:eastAsia="黑体"/>
          <w:bCs/>
          <w:color w:val="000000"/>
          <w:sz w:val="18"/>
          <w:szCs w:val="18"/>
        </w:rPr>
        <w:t>示例1:</w:t>
      </w:r>
    </w:p>
    <w:tbl>
      <w:tblPr>
        <w:tblStyle w:val="11"/>
        <w:tblW w:w="0" w:type="auto"/>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661" w:type="dxa"/>
          </w:tcPr>
          <w:p>
            <w:pPr>
              <w:spacing w:line="340" w:lineRule="atLeast"/>
              <w:ind w:firstLine="360" w:firstLineChars="200"/>
              <w:rPr>
                <w:rFonts w:ascii="宋体" w:hAnsi="宋体"/>
                <w:bCs/>
                <w:color w:val="000000"/>
                <w:sz w:val="18"/>
                <w:szCs w:val="18"/>
              </w:rPr>
            </w:pPr>
            <w:r>
              <w:rPr>
                <w:rFonts w:hint="eastAsia" w:ascii="宋体" w:hAnsi="宋体"/>
                <w:bCs/>
                <w:color w:val="000000"/>
                <w:sz w:val="18"/>
                <w:szCs w:val="18"/>
              </w:rPr>
              <w:t>牌号为TAg0.1、HO状态、直径为18mm的铜银合金线坯标记为∶</w:t>
            </w:r>
          </w:p>
          <w:p>
            <w:pPr>
              <w:spacing w:line="340" w:lineRule="atLeast"/>
              <w:ind w:firstLine="360" w:firstLineChars="200"/>
              <w:rPr>
                <w:rFonts w:ascii="宋体" w:hAnsi="宋体"/>
                <w:bCs/>
                <w:color w:val="000000"/>
                <w:szCs w:val="21"/>
              </w:rPr>
            </w:pPr>
            <w:r>
              <w:rPr>
                <w:rFonts w:hint="eastAsia" w:ascii="宋体" w:hAnsi="宋体"/>
                <w:bCs/>
                <w:color w:val="000000"/>
                <w:sz w:val="18"/>
                <w:szCs w:val="18"/>
              </w:rPr>
              <w:t xml:space="preserve">线坯GB/T20509—20×× TAg0.1 HO-18 </w:t>
            </w:r>
          </w:p>
        </w:tc>
      </w:tr>
    </w:tbl>
    <w:p>
      <w:pPr>
        <w:spacing w:line="240" w:lineRule="atLeast"/>
        <w:ind w:firstLine="360" w:firstLineChars="200"/>
        <w:rPr>
          <w:rFonts w:ascii="黑体" w:hAnsi="黑体" w:eastAsia="黑体"/>
          <w:bCs/>
          <w:color w:val="000000"/>
          <w:sz w:val="18"/>
          <w:szCs w:val="18"/>
        </w:rPr>
      </w:pPr>
    </w:p>
    <w:p>
      <w:pPr>
        <w:spacing w:line="240" w:lineRule="atLeast"/>
        <w:ind w:firstLine="360" w:firstLineChars="200"/>
        <w:rPr>
          <w:rFonts w:ascii="黑体" w:hAnsi="黑体" w:eastAsia="黑体"/>
          <w:bCs/>
          <w:color w:val="000000"/>
          <w:sz w:val="18"/>
          <w:szCs w:val="18"/>
        </w:rPr>
      </w:pPr>
      <w:r>
        <w:rPr>
          <w:rFonts w:hint="eastAsia" w:ascii="黑体" w:hAnsi="黑体" w:eastAsia="黑体"/>
          <w:bCs/>
          <w:color w:val="000000"/>
          <w:sz w:val="18"/>
          <w:szCs w:val="18"/>
        </w:rPr>
        <w:t>示例2∶</w:t>
      </w:r>
    </w:p>
    <w:tbl>
      <w:tblPr>
        <w:tblStyle w:val="11"/>
        <w:tblW w:w="0" w:type="auto"/>
        <w:tblInd w:w="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587" w:type="dxa"/>
          </w:tcPr>
          <w:p>
            <w:pPr>
              <w:spacing w:line="340" w:lineRule="atLeast"/>
              <w:ind w:firstLine="360" w:firstLineChars="200"/>
              <w:rPr>
                <w:rFonts w:ascii="宋体" w:hAnsi="宋体"/>
                <w:bCs/>
                <w:color w:val="000000"/>
                <w:sz w:val="18"/>
                <w:szCs w:val="18"/>
              </w:rPr>
            </w:pPr>
            <w:r>
              <w:rPr>
                <w:rFonts w:hint="eastAsia" w:ascii="宋体" w:hAnsi="宋体"/>
                <w:bCs/>
                <w:color w:val="000000"/>
                <w:sz w:val="18"/>
                <w:szCs w:val="18"/>
              </w:rPr>
              <w:t>牌号为TSn0.15、H04状态、直径为20mm的铜锡合金线坯标记为∶</w:t>
            </w:r>
          </w:p>
          <w:p>
            <w:pPr>
              <w:spacing w:line="340" w:lineRule="atLeast"/>
              <w:ind w:firstLine="360" w:firstLineChars="200"/>
              <w:rPr>
                <w:rFonts w:ascii="宋体" w:hAnsi="宋体"/>
                <w:bCs/>
                <w:color w:val="000000"/>
                <w:szCs w:val="21"/>
              </w:rPr>
            </w:pPr>
            <w:r>
              <w:rPr>
                <w:rFonts w:hint="eastAsia" w:ascii="宋体" w:hAnsi="宋体"/>
                <w:bCs/>
                <w:color w:val="000000"/>
                <w:sz w:val="18"/>
                <w:szCs w:val="18"/>
              </w:rPr>
              <w:t xml:space="preserve">线坯GB/T20509—20××TSn0.15 HO4-20 </w:t>
            </w:r>
          </w:p>
        </w:tc>
      </w:tr>
    </w:tbl>
    <w:p>
      <w:pPr>
        <w:spacing w:line="240" w:lineRule="atLeast"/>
        <w:ind w:firstLine="360" w:firstLineChars="200"/>
        <w:rPr>
          <w:rFonts w:ascii="黑体" w:hAnsi="黑体" w:eastAsia="黑体"/>
          <w:bCs/>
          <w:color w:val="000000"/>
          <w:sz w:val="18"/>
          <w:szCs w:val="18"/>
        </w:rPr>
      </w:pPr>
    </w:p>
    <w:p>
      <w:pPr>
        <w:spacing w:line="240" w:lineRule="atLeast"/>
        <w:ind w:firstLine="360" w:firstLineChars="200"/>
        <w:rPr>
          <w:rFonts w:ascii="黑体" w:hAnsi="黑体" w:eastAsia="黑体"/>
          <w:bCs/>
          <w:color w:val="000000"/>
          <w:sz w:val="18"/>
          <w:szCs w:val="18"/>
        </w:rPr>
      </w:pPr>
      <w:r>
        <w:rPr>
          <w:rFonts w:hint="eastAsia" w:ascii="黑体" w:hAnsi="黑体" w:eastAsia="黑体"/>
          <w:bCs/>
          <w:color w:val="000000"/>
          <w:sz w:val="18"/>
          <w:szCs w:val="18"/>
        </w:rPr>
        <w:t>示例3∶</w:t>
      </w:r>
    </w:p>
    <w:tbl>
      <w:tblPr>
        <w:tblStyle w:val="11"/>
        <w:tblW w:w="0" w:type="auto"/>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25" w:type="dxa"/>
          </w:tcPr>
          <w:p>
            <w:pPr>
              <w:spacing w:line="340" w:lineRule="atLeast"/>
              <w:ind w:firstLine="360" w:firstLineChars="200"/>
              <w:rPr>
                <w:rFonts w:ascii="宋体" w:hAnsi="宋体"/>
                <w:bCs/>
                <w:color w:val="000000"/>
                <w:sz w:val="18"/>
                <w:szCs w:val="18"/>
              </w:rPr>
            </w:pPr>
            <w:r>
              <w:rPr>
                <w:rFonts w:hint="eastAsia" w:ascii="宋体" w:hAnsi="宋体"/>
                <w:bCs/>
                <w:color w:val="000000"/>
                <w:sz w:val="18"/>
                <w:szCs w:val="18"/>
              </w:rPr>
              <w:t>牌号为TMg0.25、 H04状态、直径为20mm的铜镁合金线坯标记为∶</w:t>
            </w:r>
          </w:p>
          <w:p>
            <w:pPr>
              <w:spacing w:line="340" w:lineRule="atLeast"/>
              <w:ind w:firstLine="360" w:firstLineChars="200"/>
              <w:rPr>
                <w:rFonts w:ascii="宋体" w:hAnsi="宋体"/>
                <w:bCs/>
                <w:color w:val="000000"/>
                <w:szCs w:val="21"/>
              </w:rPr>
            </w:pPr>
            <w:r>
              <w:rPr>
                <w:rFonts w:hint="eastAsia" w:ascii="宋体" w:hAnsi="宋体"/>
                <w:bCs/>
                <w:color w:val="000000"/>
                <w:sz w:val="18"/>
                <w:szCs w:val="18"/>
              </w:rPr>
              <w:t xml:space="preserve">线坯GB/T20509—20××TMg0.25 HO4-20 </w:t>
            </w:r>
          </w:p>
        </w:tc>
      </w:tr>
    </w:tbl>
    <w:p>
      <w:pPr>
        <w:spacing w:line="360" w:lineRule="atLeast"/>
        <w:ind w:firstLine="420" w:firstLineChars="200"/>
        <w:rPr>
          <w:rFonts w:ascii="宋体" w:hAnsi="宋体"/>
          <w:bCs/>
          <w:color w:val="000000"/>
          <w:szCs w:val="21"/>
        </w:rPr>
      </w:pPr>
      <w:r>
        <w:rPr>
          <w:rFonts w:hint="eastAsia" w:ascii="黑体" w:hAnsi="宋体" w:eastAsia="黑体"/>
          <w:bCs/>
          <w:color w:val="000000"/>
          <w:szCs w:val="21"/>
        </w:rPr>
        <w:br w:type="textWrapping"/>
      </w:r>
      <w:r>
        <w:rPr>
          <w:rFonts w:hint="eastAsia" w:ascii="黑体" w:hAnsi="宋体" w:eastAsia="黑体"/>
          <w:bCs/>
          <w:color w:val="000000"/>
          <w:szCs w:val="21"/>
        </w:rPr>
        <w:t>3.2 化学成分</w:t>
      </w:r>
      <w:r>
        <w:rPr>
          <w:rFonts w:hint="eastAsia" w:ascii="黑体" w:hAnsi="宋体" w:eastAsia="黑体"/>
          <w:bCs/>
          <w:color w:val="000000"/>
          <w:szCs w:val="21"/>
        </w:rPr>
        <w:br w:type="textWrapping"/>
      </w:r>
      <w:r>
        <w:rPr>
          <w:rFonts w:hint="eastAsia" w:ascii="宋体" w:hAnsi="宋体"/>
          <w:bCs/>
          <w:color w:val="000000"/>
          <w:szCs w:val="21"/>
        </w:rPr>
        <w:t xml:space="preserve">    T2、TAg0.1、TSn0.15、TSn0.5、TMg0.25、TMg0.35、TMg0.45化学成分应符合GB/T 5231的规定，其余的化学成分应符合表2规定。</w:t>
      </w:r>
    </w:p>
    <w:p>
      <w:pPr>
        <w:spacing w:line="360" w:lineRule="atLeast"/>
        <w:ind w:firstLine="420" w:firstLineChars="200"/>
        <w:rPr>
          <w:rFonts w:ascii="宋体" w:hAnsi="宋体"/>
          <w:bCs/>
          <w:color w:val="000000"/>
          <w:szCs w:val="21"/>
        </w:rPr>
      </w:pPr>
    </w:p>
    <w:p>
      <w:pPr>
        <w:spacing w:line="400" w:lineRule="atLeast"/>
        <w:jc w:val="center"/>
        <w:rPr>
          <w:rFonts w:ascii="宋体" w:hAnsi="宋体"/>
          <w:bCs/>
          <w:szCs w:val="21"/>
        </w:rPr>
      </w:pPr>
      <w:r>
        <w:rPr>
          <w:rFonts w:hint="eastAsia" w:ascii="黑体" w:hAnsi="黑体" w:eastAsia="黑体"/>
          <w:bCs/>
          <w:szCs w:val="21"/>
        </w:rPr>
        <w:t>表2</w:t>
      </w:r>
      <w:r>
        <w:rPr>
          <w:rFonts w:hint="eastAsia" w:ascii="宋体" w:hAnsi="宋体"/>
          <w:bCs/>
          <w:szCs w:val="21"/>
        </w:rPr>
        <w:t xml:space="preserve">  产品的化学成分</w:t>
      </w:r>
    </w:p>
    <w:tbl>
      <w:tblPr>
        <w:tblStyle w:val="11"/>
        <w:tblW w:w="49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709"/>
        <w:gridCol w:w="485"/>
        <w:gridCol w:w="651"/>
        <w:gridCol w:w="853"/>
        <w:gridCol w:w="851"/>
        <w:gridCol w:w="849"/>
        <w:gridCol w:w="570"/>
        <w:gridCol w:w="707"/>
        <w:gridCol w:w="613"/>
        <w:gridCol w:w="849"/>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Merge w:val="restart"/>
            <w:vAlign w:val="center"/>
          </w:tcPr>
          <w:p>
            <w:pPr>
              <w:jc w:val="center"/>
              <w:rPr>
                <w:rFonts w:ascii="宋体" w:hAnsi="宋体"/>
                <w:b/>
                <w:sz w:val="18"/>
              </w:rPr>
            </w:pPr>
            <w:r>
              <w:rPr>
                <w:rFonts w:hint="eastAsia" w:ascii="宋体" w:hAnsi="宋体"/>
                <w:b/>
                <w:sz w:val="18"/>
              </w:rPr>
              <w:t>牌号</w:t>
            </w:r>
          </w:p>
        </w:tc>
        <w:tc>
          <w:tcPr>
            <w:tcW w:w="4344" w:type="pct"/>
            <w:gridSpan w:val="11"/>
            <w:vAlign w:val="center"/>
          </w:tcPr>
          <w:p>
            <w:pPr>
              <w:jc w:val="center"/>
              <w:rPr>
                <w:rFonts w:ascii="宋体" w:hAnsi="宋体"/>
                <w:b/>
                <w:sz w:val="18"/>
              </w:rPr>
            </w:pPr>
            <w:r>
              <w:rPr>
                <w:rFonts w:hint="eastAsia" w:ascii="宋体" w:hAnsi="宋体"/>
                <w:b/>
                <w:sz w:val="18"/>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Merge w:val="continue"/>
            <w:vAlign w:val="center"/>
          </w:tcPr>
          <w:p>
            <w:pPr>
              <w:jc w:val="center"/>
              <w:rPr>
                <w:rFonts w:ascii="宋体" w:hAnsi="宋体"/>
                <w:b/>
                <w:sz w:val="13"/>
                <w:szCs w:val="13"/>
              </w:rPr>
            </w:pPr>
          </w:p>
        </w:tc>
        <w:tc>
          <w:tcPr>
            <w:tcW w:w="384" w:type="pct"/>
            <w:vAlign w:val="center"/>
          </w:tcPr>
          <w:p>
            <w:pPr>
              <w:jc w:val="center"/>
              <w:rPr>
                <w:rFonts w:ascii="宋体" w:hAnsi="宋体"/>
                <w:b/>
                <w:sz w:val="18"/>
                <w:szCs w:val="18"/>
              </w:rPr>
            </w:pPr>
            <w:r>
              <w:rPr>
                <w:rFonts w:hint="eastAsia" w:ascii="宋体" w:hAnsi="宋体"/>
                <w:b/>
                <w:sz w:val="18"/>
                <w:szCs w:val="18"/>
              </w:rPr>
              <w:t>Cu</w:t>
            </w:r>
          </w:p>
        </w:tc>
        <w:tc>
          <w:tcPr>
            <w:tcW w:w="263" w:type="pct"/>
            <w:vAlign w:val="center"/>
          </w:tcPr>
          <w:p>
            <w:pPr>
              <w:jc w:val="center"/>
              <w:rPr>
                <w:rFonts w:ascii="宋体" w:hAnsi="宋体"/>
                <w:b/>
                <w:sz w:val="18"/>
                <w:szCs w:val="18"/>
              </w:rPr>
            </w:pPr>
            <w:r>
              <w:rPr>
                <w:rFonts w:hint="eastAsia" w:ascii="宋体" w:hAnsi="宋体"/>
                <w:b/>
                <w:sz w:val="18"/>
                <w:szCs w:val="18"/>
              </w:rPr>
              <w:t>Ag</w:t>
            </w:r>
          </w:p>
        </w:tc>
        <w:tc>
          <w:tcPr>
            <w:tcW w:w="353" w:type="pct"/>
            <w:vAlign w:val="center"/>
          </w:tcPr>
          <w:p>
            <w:pPr>
              <w:jc w:val="center"/>
              <w:rPr>
                <w:rFonts w:ascii="宋体" w:hAnsi="宋体"/>
                <w:b/>
                <w:sz w:val="18"/>
                <w:szCs w:val="18"/>
              </w:rPr>
            </w:pPr>
            <w:r>
              <w:rPr>
                <w:rFonts w:hint="eastAsia" w:ascii="宋体" w:hAnsi="宋体"/>
                <w:b/>
                <w:sz w:val="18"/>
                <w:szCs w:val="18"/>
              </w:rPr>
              <w:t>Sn</w:t>
            </w:r>
          </w:p>
        </w:tc>
        <w:tc>
          <w:tcPr>
            <w:tcW w:w="462" w:type="pct"/>
            <w:vAlign w:val="center"/>
          </w:tcPr>
          <w:p>
            <w:pPr>
              <w:jc w:val="center"/>
              <w:rPr>
                <w:rFonts w:ascii="宋体" w:hAnsi="宋体"/>
                <w:b/>
                <w:sz w:val="18"/>
                <w:szCs w:val="18"/>
              </w:rPr>
            </w:pPr>
            <w:r>
              <w:rPr>
                <w:rFonts w:hint="eastAsia" w:ascii="宋体" w:hAnsi="宋体"/>
                <w:b/>
                <w:sz w:val="18"/>
                <w:szCs w:val="18"/>
              </w:rPr>
              <w:t>Mg</w:t>
            </w:r>
          </w:p>
        </w:tc>
        <w:tc>
          <w:tcPr>
            <w:tcW w:w="461" w:type="pct"/>
            <w:vAlign w:val="center"/>
          </w:tcPr>
          <w:p>
            <w:pPr>
              <w:jc w:val="center"/>
              <w:rPr>
                <w:rFonts w:ascii="宋体" w:hAnsi="宋体"/>
                <w:b/>
                <w:sz w:val="18"/>
                <w:szCs w:val="18"/>
              </w:rPr>
            </w:pPr>
            <w:r>
              <w:rPr>
                <w:rFonts w:hint="eastAsia" w:ascii="宋体" w:hAnsi="宋体"/>
                <w:b/>
                <w:sz w:val="18"/>
                <w:szCs w:val="18"/>
              </w:rPr>
              <w:t>Cr</w:t>
            </w:r>
          </w:p>
        </w:tc>
        <w:tc>
          <w:tcPr>
            <w:tcW w:w="460" w:type="pct"/>
            <w:vAlign w:val="center"/>
          </w:tcPr>
          <w:p>
            <w:pPr>
              <w:jc w:val="center"/>
              <w:rPr>
                <w:rFonts w:ascii="宋体" w:hAnsi="宋体"/>
                <w:b/>
                <w:sz w:val="18"/>
                <w:szCs w:val="18"/>
              </w:rPr>
            </w:pPr>
            <w:r>
              <w:rPr>
                <w:rFonts w:hint="eastAsia" w:ascii="宋体" w:hAnsi="宋体"/>
                <w:b/>
                <w:sz w:val="18"/>
                <w:szCs w:val="18"/>
              </w:rPr>
              <w:t>Zr</w:t>
            </w:r>
          </w:p>
        </w:tc>
        <w:tc>
          <w:tcPr>
            <w:tcW w:w="309" w:type="pct"/>
            <w:vAlign w:val="center"/>
          </w:tcPr>
          <w:p>
            <w:pPr>
              <w:jc w:val="center"/>
              <w:rPr>
                <w:rFonts w:ascii="宋体" w:hAnsi="宋体"/>
                <w:b/>
                <w:sz w:val="18"/>
                <w:szCs w:val="18"/>
              </w:rPr>
            </w:pPr>
            <w:r>
              <w:rPr>
                <w:rFonts w:hint="eastAsia" w:ascii="宋体" w:hAnsi="宋体"/>
                <w:b/>
                <w:sz w:val="18"/>
                <w:szCs w:val="18"/>
              </w:rPr>
              <w:t>Bi</w:t>
            </w:r>
          </w:p>
        </w:tc>
        <w:tc>
          <w:tcPr>
            <w:tcW w:w="383" w:type="pct"/>
            <w:vAlign w:val="center"/>
          </w:tcPr>
          <w:p>
            <w:pPr>
              <w:jc w:val="center"/>
              <w:rPr>
                <w:rFonts w:ascii="宋体" w:hAnsi="宋体"/>
                <w:b/>
                <w:sz w:val="18"/>
                <w:szCs w:val="18"/>
              </w:rPr>
            </w:pPr>
            <w:r>
              <w:rPr>
                <w:rFonts w:hint="eastAsia" w:ascii="宋体" w:hAnsi="宋体"/>
                <w:b/>
                <w:sz w:val="18"/>
                <w:szCs w:val="18"/>
              </w:rPr>
              <w:t>Pb</w:t>
            </w:r>
          </w:p>
        </w:tc>
        <w:tc>
          <w:tcPr>
            <w:tcW w:w="332" w:type="pct"/>
            <w:vAlign w:val="center"/>
          </w:tcPr>
          <w:p>
            <w:pPr>
              <w:jc w:val="center"/>
              <w:rPr>
                <w:rFonts w:ascii="宋体" w:hAnsi="宋体"/>
                <w:b/>
                <w:sz w:val="18"/>
                <w:szCs w:val="18"/>
              </w:rPr>
            </w:pPr>
            <w:r>
              <w:rPr>
                <w:rFonts w:hint="eastAsia" w:ascii="宋体" w:hAnsi="宋体"/>
                <w:b/>
                <w:sz w:val="18"/>
                <w:szCs w:val="18"/>
              </w:rPr>
              <w:t>O</w:t>
            </w:r>
          </w:p>
        </w:tc>
        <w:tc>
          <w:tcPr>
            <w:tcW w:w="460" w:type="pct"/>
            <w:vAlign w:val="center"/>
          </w:tcPr>
          <w:p>
            <w:pPr>
              <w:jc w:val="center"/>
              <w:rPr>
                <w:rFonts w:ascii="宋体" w:hAnsi="宋体"/>
                <w:b/>
                <w:sz w:val="18"/>
                <w:szCs w:val="18"/>
              </w:rPr>
            </w:pPr>
            <w:r>
              <w:rPr>
                <w:rFonts w:hint="eastAsia" w:ascii="宋体" w:hAnsi="宋体"/>
                <w:b/>
                <w:sz w:val="18"/>
                <w:szCs w:val="18"/>
              </w:rPr>
              <w:t>P</w:t>
            </w:r>
          </w:p>
        </w:tc>
        <w:tc>
          <w:tcPr>
            <w:tcW w:w="477" w:type="pct"/>
            <w:vAlign w:val="center"/>
          </w:tcPr>
          <w:p>
            <w:pPr>
              <w:jc w:val="center"/>
              <w:rPr>
                <w:rFonts w:ascii="宋体" w:hAnsi="宋体"/>
                <w:b/>
                <w:sz w:val="18"/>
                <w:szCs w:val="18"/>
              </w:rPr>
            </w:pPr>
            <w:r>
              <w:rPr>
                <w:rFonts w:hint="eastAsia" w:ascii="宋体" w:hAnsi="宋体"/>
                <w:b/>
                <w:sz w:val="18"/>
                <w:szCs w:val="18"/>
              </w:rPr>
              <w:t>其他杂质总和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Align w:val="center"/>
          </w:tcPr>
          <w:p>
            <w:pPr>
              <w:jc w:val="center"/>
              <w:rPr>
                <w:rFonts w:ascii="宋体" w:hAnsi="宋体" w:cs="宋体"/>
                <w:sz w:val="18"/>
                <w:szCs w:val="18"/>
              </w:rPr>
            </w:pPr>
            <w:r>
              <w:rPr>
                <w:rFonts w:hint="eastAsia" w:ascii="宋体" w:hAnsi="宋体" w:cs="宋体"/>
                <w:sz w:val="18"/>
                <w:szCs w:val="18"/>
              </w:rPr>
              <w:t>TMg0.35</w:t>
            </w:r>
          </w:p>
        </w:tc>
        <w:tc>
          <w:tcPr>
            <w:tcW w:w="384" w:type="pct"/>
            <w:vAlign w:val="center"/>
          </w:tcPr>
          <w:p>
            <w:pPr>
              <w:jc w:val="center"/>
              <w:rPr>
                <w:rFonts w:ascii="宋体" w:hAnsi="宋体" w:cs="宋体"/>
                <w:sz w:val="18"/>
                <w:szCs w:val="18"/>
              </w:rPr>
            </w:pPr>
            <w:r>
              <w:rPr>
                <w:rFonts w:hint="eastAsia" w:ascii="宋体" w:hAnsi="宋体" w:cs="宋体"/>
                <w:sz w:val="18"/>
                <w:szCs w:val="18"/>
              </w:rPr>
              <w:t>余量</w:t>
            </w:r>
          </w:p>
        </w:tc>
        <w:tc>
          <w:tcPr>
            <w:tcW w:w="263" w:type="pct"/>
            <w:vAlign w:val="center"/>
          </w:tcPr>
          <w:p>
            <w:pPr>
              <w:jc w:val="center"/>
              <w:rPr>
                <w:rFonts w:ascii="宋体" w:hAnsi="宋体" w:cs="宋体"/>
                <w:sz w:val="18"/>
                <w:szCs w:val="18"/>
              </w:rPr>
            </w:pPr>
            <w:r>
              <w:rPr>
                <w:rFonts w:hint="eastAsia" w:ascii="宋体" w:hAnsi="宋体" w:cs="宋体"/>
                <w:sz w:val="18"/>
                <w:szCs w:val="18"/>
              </w:rPr>
              <w:t>-</w:t>
            </w:r>
          </w:p>
        </w:tc>
        <w:tc>
          <w:tcPr>
            <w:tcW w:w="353" w:type="pct"/>
            <w:vAlign w:val="center"/>
          </w:tcPr>
          <w:p>
            <w:pPr>
              <w:jc w:val="center"/>
              <w:rPr>
                <w:rFonts w:ascii="宋体" w:hAnsi="宋体" w:cs="宋体"/>
                <w:sz w:val="18"/>
                <w:szCs w:val="18"/>
              </w:rPr>
            </w:pPr>
            <w:r>
              <w:rPr>
                <w:rFonts w:hint="eastAsia" w:ascii="宋体" w:hAnsi="宋体" w:cs="宋体"/>
                <w:sz w:val="18"/>
                <w:szCs w:val="18"/>
              </w:rPr>
              <w:t>-</w:t>
            </w:r>
          </w:p>
        </w:tc>
        <w:tc>
          <w:tcPr>
            <w:tcW w:w="462" w:type="pct"/>
            <w:vAlign w:val="center"/>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～0.</w:t>
            </w:r>
            <w:r>
              <w:rPr>
                <w:rFonts w:ascii="宋体" w:hAnsi="宋体" w:cs="宋体"/>
                <w:sz w:val="18"/>
                <w:szCs w:val="18"/>
              </w:rPr>
              <w:t>60</w:t>
            </w:r>
          </w:p>
        </w:tc>
        <w:tc>
          <w:tcPr>
            <w:tcW w:w="461" w:type="pct"/>
            <w:vAlign w:val="center"/>
          </w:tcPr>
          <w:p>
            <w:pPr>
              <w:jc w:val="center"/>
              <w:rPr>
                <w:rFonts w:ascii="宋体" w:hAnsi="宋体" w:cs="宋体"/>
                <w:sz w:val="18"/>
                <w:szCs w:val="18"/>
              </w:rPr>
            </w:pPr>
            <w:r>
              <w:rPr>
                <w:rFonts w:hint="eastAsia" w:ascii="宋体" w:hAnsi="宋体" w:cs="宋体"/>
                <w:sz w:val="18"/>
                <w:szCs w:val="18"/>
              </w:rPr>
              <w:t>-</w:t>
            </w:r>
          </w:p>
        </w:tc>
        <w:tc>
          <w:tcPr>
            <w:tcW w:w="460" w:type="pct"/>
            <w:vAlign w:val="center"/>
          </w:tcPr>
          <w:p>
            <w:pPr>
              <w:jc w:val="center"/>
              <w:rPr>
                <w:rFonts w:ascii="宋体" w:hAnsi="宋体" w:cs="宋体"/>
                <w:sz w:val="18"/>
                <w:szCs w:val="18"/>
              </w:rPr>
            </w:pPr>
            <w:r>
              <w:rPr>
                <w:rFonts w:hint="eastAsia" w:ascii="宋体" w:hAnsi="宋体" w:cs="宋体"/>
                <w:sz w:val="18"/>
                <w:szCs w:val="18"/>
              </w:rPr>
              <w:t>-</w:t>
            </w:r>
          </w:p>
        </w:tc>
        <w:tc>
          <w:tcPr>
            <w:tcW w:w="309" w:type="pct"/>
            <w:vAlign w:val="center"/>
          </w:tcPr>
          <w:p>
            <w:pPr>
              <w:jc w:val="center"/>
              <w:rPr>
                <w:rFonts w:ascii="宋体" w:hAnsi="宋体" w:cs="宋体"/>
                <w:sz w:val="18"/>
                <w:szCs w:val="18"/>
              </w:rPr>
            </w:pPr>
            <w:r>
              <w:rPr>
                <w:rFonts w:hint="eastAsia" w:ascii="宋体" w:hAnsi="宋体" w:cs="宋体"/>
                <w:sz w:val="18"/>
                <w:szCs w:val="18"/>
              </w:rPr>
              <w:t>-</w:t>
            </w:r>
          </w:p>
        </w:tc>
        <w:tc>
          <w:tcPr>
            <w:tcW w:w="383" w:type="pct"/>
            <w:vAlign w:val="center"/>
          </w:tcPr>
          <w:p>
            <w:pPr>
              <w:jc w:val="center"/>
              <w:rPr>
                <w:rFonts w:ascii="宋体" w:hAnsi="宋体" w:cs="宋体"/>
                <w:sz w:val="18"/>
                <w:szCs w:val="18"/>
              </w:rPr>
            </w:pPr>
            <w:r>
              <w:rPr>
                <w:rFonts w:hint="eastAsia" w:ascii="宋体" w:hAnsi="宋体" w:cs="宋体"/>
                <w:sz w:val="18"/>
                <w:szCs w:val="18"/>
              </w:rPr>
              <w:t>-</w:t>
            </w:r>
          </w:p>
        </w:tc>
        <w:tc>
          <w:tcPr>
            <w:tcW w:w="332" w:type="pct"/>
            <w:vAlign w:val="center"/>
          </w:tcPr>
          <w:p>
            <w:pPr>
              <w:jc w:val="center"/>
              <w:rPr>
                <w:rFonts w:ascii="宋体" w:hAnsi="宋体" w:cs="宋体"/>
                <w:sz w:val="18"/>
                <w:szCs w:val="18"/>
              </w:rPr>
            </w:pPr>
            <w:r>
              <w:rPr>
                <w:rFonts w:hint="eastAsia" w:ascii="宋体" w:hAnsi="宋体" w:cs="宋体"/>
                <w:sz w:val="18"/>
                <w:szCs w:val="18"/>
              </w:rPr>
              <w:t>-</w:t>
            </w:r>
          </w:p>
        </w:tc>
        <w:tc>
          <w:tcPr>
            <w:tcW w:w="460" w:type="pct"/>
            <w:vAlign w:val="center"/>
          </w:tcPr>
          <w:p>
            <w:pPr>
              <w:jc w:val="center"/>
              <w:rPr>
                <w:rFonts w:ascii="宋体" w:hAnsi="宋体" w:cs="宋体"/>
                <w:sz w:val="18"/>
                <w:szCs w:val="18"/>
              </w:rPr>
            </w:pPr>
            <w:r>
              <w:rPr>
                <w:rFonts w:hint="eastAsia" w:ascii="宋体" w:hAnsi="宋体" w:cs="宋体"/>
                <w:sz w:val="18"/>
                <w:szCs w:val="18"/>
              </w:rPr>
              <w:t>≤0.01</w:t>
            </w:r>
          </w:p>
        </w:tc>
        <w:tc>
          <w:tcPr>
            <w:tcW w:w="477" w:type="pct"/>
            <w:vAlign w:val="center"/>
          </w:tcPr>
          <w:p>
            <w:pPr>
              <w:jc w:val="center"/>
              <w:rPr>
                <w:rFonts w:ascii="宋体" w:hAnsi="宋体" w:cs="宋体"/>
                <w:sz w:val="18"/>
                <w:szCs w:val="18"/>
              </w:rPr>
            </w:pPr>
            <w:r>
              <w:rPr>
                <w:rFonts w:hint="eastAsia" w:ascii="宋体" w:hAnsi="宋体" w:cs="宋体"/>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Align w:val="center"/>
          </w:tcPr>
          <w:p>
            <w:pPr>
              <w:jc w:val="center"/>
              <w:rPr>
                <w:rFonts w:ascii="宋体" w:hAnsi="宋体" w:cs="宋体"/>
                <w:sz w:val="18"/>
                <w:szCs w:val="18"/>
              </w:rPr>
            </w:pPr>
            <w:r>
              <w:rPr>
                <w:rFonts w:ascii="宋体" w:hAnsi="宋体" w:cs="宋体"/>
                <w:sz w:val="18"/>
                <w:szCs w:val="18"/>
              </w:rPr>
              <w:t>TCr0.6-0.1</w:t>
            </w:r>
          </w:p>
        </w:tc>
        <w:tc>
          <w:tcPr>
            <w:tcW w:w="384" w:type="pct"/>
            <w:vAlign w:val="center"/>
          </w:tcPr>
          <w:p>
            <w:pPr>
              <w:jc w:val="center"/>
              <w:rPr>
                <w:rFonts w:ascii="宋体" w:hAnsi="宋体" w:cs="宋体"/>
                <w:sz w:val="18"/>
                <w:szCs w:val="18"/>
              </w:rPr>
            </w:pPr>
            <w:r>
              <w:rPr>
                <w:rFonts w:hint="eastAsia" w:ascii="宋体" w:hAnsi="宋体" w:cs="宋体"/>
                <w:sz w:val="18"/>
                <w:szCs w:val="18"/>
              </w:rPr>
              <w:t>余量</w:t>
            </w:r>
          </w:p>
        </w:tc>
        <w:tc>
          <w:tcPr>
            <w:tcW w:w="263" w:type="pct"/>
            <w:vAlign w:val="center"/>
          </w:tcPr>
          <w:p>
            <w:pPr>
              <w:jc w:val="center"/>
              <w:rPr>
                <w:rFonts w:ascii="宋体" w:hAnsi="宋体" w:cs="宋体"/>
                <w:sz w:val="18"/>
                <w:szCs w:val="18"/>
              </w:rPr>
            </w:pPr>
            <w:r>
              <w:rPr>
                <w:rFonts w:hint="eastAsia" w:ascii="宋体" w:hAnsi="宋体" w:cs="宋体"/>
                <w:sz w:val="18"/>
                <w:szCs w:val="18"/>
              </w:rPr>
              <w:t>-</w:t>
            </w:r>
          </w:p>
        </w:tc>
        <w:tc>
          <w:tcPr>
            <w:tcW w:w="353" w:type="pct"/>
            <w:vAlign w:val="center"/>
          </w:tcPr>
          <w:p>
            <w:pPr>
              <w:jc w:val="center"/>
              <w:rPr>
                <w:rFonts w:ascii="宋体" w:hAnsi="宋体" w:cs="宋体"/>
                <w:sz w:val="18"/>
                <w:szCs w:val="18"/>
              </w:rPr>
            </w:pPr>
            <w:r>
              <w:rPr>
                <w:rFonts w:hint="eastAsia" w:ascii="宋体" w:hAnsi="宋体" w:cs="宋体"/>
                <w:sz w:val="18"/>
                <w:szCs w:val="18"/>
              </w:rPr>
              <w:t>-</w:t>
            </w:r>
          </w:p>
        </w:tc>
        <w:tc>
          <w:tcPr>
            <w:tcW w:w="462" w:type="pct"/>
            <w:vAlign w:val="center"/>
          </w:tcPr>
          <w:p>
            <w:pPr>
              <w:jc w:val="center"/>
              <w:rPr>
                <w:rFonts w:ascii="宋体" w:hAnsi="宋体" w:cs="宋体"/>
                <w:sz w:val="18"/>
                <w:szCs w:val="18"/>
              </w:rPr>
            </w:pPr>
            <w:r>
              <w:rPr>
                <w:rFonts w:hint="eastAsia" w:ascii="宋体" w:hAnsi="宋体" w:cs="宋体"/>
                <w:sz w:val="18"/>
                <w:szCs w:val="18"/>
              </w:rPr>
              <w:t>-</w:t>
            </w:r>
          </w:p>
        </w:tc>
        <w:tc>
          <w:tcPr>
            <w:tcW w:w="461" w:type="pct"/>
            <w:vAlign w:val="center"/>
          </w:tcPr>
          <w:p>
            <w:pPr>
              <w:jc w:val="center"/>
              <w:rPr>
                <w:rFonts w:ascii="宋体" w:hAnsi="宋体" w:cs="宋体"/>
                <w:sz w:val="18"/>
                <w:szCs w:val="18"/>
                <w:highlight w:val="none"/>
              </w:rPr>
            </w:pPr>
            <w:r>
              <w:rPr>
                <w:rFonts w:hint="eastAsia" w:ascii="宋体" w:hAnsi="宋体" w:cs="宋体"/>
                <w:sz w:val="18"/>
                <w:szCs w:val="18"/>
                <w:highlight w:val="none"/>
              </w:rPr>
              <w:t>0.2</w:t>
            </w:r>
            <w:r>
              <w:rPr>
                <w:rFonts w:ascii="宋体" w:hAnsi="宋体" w:cs="宋体"/>
                <w:sz w:val="18"/>
                <w:szCs w:val="18"/>
                <w:highlight w:val="none"/>
              </w:rPr>
              <w:t>0</w:t>
            </w:r>
            <w:r>
              <w:rPr>
                <w:rFonts w:hint="eastAsia" w:ascii="宋体" w:hAnsi="宋体" w:cs="宋体"/>
                <w:sz w:val="18"/>
                <w:szCs w:val="18"/>
                <w:highlight w:val="none"/>
              </w:rPr>
              <w:t>～1.0</w:t>
            </w:r>
            <w:r>
              <w:rPr>
                <w:rFonts w:ascii="宋体" w:hAnsi="宋体" w:cs="宋体"/>
                <w:sz w:val="18"/>
                <w:szCs w:val="18"/>
                <w:highlight w:val="none"/>
              </w:rPr>
              <w:t>0</w:t>
            </w:r>
          </w:p>
        </w:tc>
        <w:tc>
          <w:tcPr>
            <w:tcW w:w="460" w:type="pct"/>
            <w:vAlign w:val="center"/>
          </w:tcPr>
          <w:p>
            <w:pPr>
              <w:jc w:val="center"/>
              <w:rPr>
                <w:rFonts w:ascii="宋体" w:hAnsi="宋体" w:cs="宋体"/>
                <w:sz w:val="18"/>
                <w:szCs w:val="18"/>
                <w:highlight w:val="none"/>
              </w:rPr>
            </w:pPr>
            <w:r>
              <w:rPr>
                <w:rFonts w:hint="eastAsia" w:ascii="宋体" w:hAnsi="宋体" w:cs="宋体"/>
                <w:sz w:val="18"/>
                <w:szCs w:val="18"/>
                <w:highlight w:val="none"/>
              </w:rPr>
              <w:t>0.02～0.2</w:t>
            </w:r>
            <w:r>
              <w:rPr>
                <w:rFonts w:ascii="宋体" w:hAnsi="宋体" w:cs="宋体"/>
                <w:sz w:val="18"/>
                <w:szCs w:val="18"/>
                <w:highlight w:val="none"/>
              </w:rPr>
              <w:t>0</w:t>
            </w:r>
          </w:p>
        </w:tc>
        <w:tc>
          <w:tcPr>
            <w:tcW w:w="309" w:type="pct"/>
            <w:vAlign w:val="center"/>
          </w:tcPr>
          <w:p>
            <w:pPr>
              <w:jc w:val="center"/>
              <w:rPr>
                <w:rFonts w:ascii="宋体" w:hAnsi="宋体" w:cs="宋体"/>
                <w:sz w:val="18"/>
                <w:szCs w:val="18"/>
              </w:rPr>
            </w:pPr>
            <w:r>
              <w:rPr>
                <w:rFonts w:hint="eastAsia" w:ascii="宋体" w:hAnsi="宋体" w:cs="宋体"/>
                <w:sz w:val="18"/>
                <w:szCs w:val="18"/>
              </w:rPr>
              <w:t>-</w:t>
            </w:r>
          </w:p>
        </w:tc>
        <w:tc>
          <w:tcPr>
            <w:tcW w:w="383" w:type="pct"/>
            <w:vAlign w:val="center"/>
          </w:tcPr>
          <w:p>
            <w:pPr>
              <w:jc w:val="center"/>
              <w:rPr>
                <w:rFonts w:ascii="宋体" w:hAnsi="宋体" w:cs="宋体"/>
                <w:sz w:val="18"/>
                <w:szCs w:val="18"/>
              </w:rPr>
            </w:pPr>
            <w:r>
              <w:rPr>
                <w:rFonts w:hint="eastAsia" w:ascii="宋体" w:hAnsi="宋体" w:cs="宋体"/>
                <w:sz w:val="18"/>
                <w:szCs w:val="18"/>
              </w:rPr>
              <w:t>-</w:t>
            </w:r>
          </w:p>
        </w:tc>
        <w:tc>
          <w:tcPr>
            <w:tcW w:w="332" w:type="pct"/>
            <w:vAlign w:val="center"/>
          </w:tcPr>
          <w:p>
            <w:pPr>
              <w:jc w:val="center"/>
              <w:rPr>
                <w:rFonts w:ascii="宋体" w:hAnsi="宋体" w:cs="宋体"/>
                <w:sz w:val="18"/>
                <w:szCs w:val="18"/>
              </w:rPr>
            </w:pPr>
            <w:r>
              <w:rPr>
                <w:rFonts w:hint="eastAsia" w:ascii="宋体" w:hAnsi="宋体" w:cs="宋体"/>
                <w:sz w:val="18"/>
                <w:szCs w:val="18"/>
              </w:rPr>
              <w:t>-</w:t>
            </w:r>
          </w:p>
        </w:tc>
        <w:tc>
          <w:tcPr>
            <w:tcW w:w="460" w:type="pct"/>
            <w:vAlign w:val="center"/>
          </w:tcPr>
          <w:p>
            <w:pPr>
              <w:jc w:val="center"/>
              <w:rPr>
                <w:rFonts w:ascii="宋体" w:hAnsi="宋体" w:cs="宋体"/>
                <w:sz w:val="18"/>
                <w:szCs w:val="18"/>
              </w:rPr>
            </w:pPr>
            <w:r>
              <w:rPr>
                <w:rFonts w:hint="eastAsia" w:ascii="宋体" w:hAnsi="宋体" w:cs="宋体"/>
                <w:sz w:val="18"/>
                <w:szCs w:val="18"/>
              </w:rPr>
              <w:t>-</w:t>
            </w:r>
          </w:p>
        </w:tc>
        <w:tc>
          <w:tcPr>
            <w:tcW w:w="477" w:type="pct"/>
            <w:vAlign w:val="center"/>
          </w:tcPr>
          <w:p>
            <w:pPr>
              <w:jc w:val="center"/>
              <w:rPr>
                <w:rFonts w:ascii="宋体" w:hAnsi="宋体" w:cs="宋体"/>
                <w:sz w:val="18"/>
                <w:szCs w:val="18"/>
              </w:rPr>
            </w:pPr>
            <w:r>
              <w:rPr>
                <w:rFonts w:hint="eastAsia" w:ascii="宋体" w:hAnsi="宋体" w:cs="宋体"/>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2"/>
          </w:tcPr>
          <w:p>
            <w:pPr>
              <w:spacing w:line="240" w:lineRule="atLeast"/>
              <w:jc w:val="left"/>
              <w:rPr>
                <w:rFonts w:ascii="宋体" w:hAnsi="宋体"/>
                <w:bCs/>
                <w:szCs w:val="21"/>
              </w:rPr>
            </w:pPr>
            <w:r>
              <w:rPr>
                <w:rFonts w:hint="eastAsia" w:ascii="宋体" w:hAnsi="宋体"/>
                <w:sz w:val="18"/>
                <w:szCs w:val="18"/>
              </w:rPr>
              <w:t>注：需方对化学成分有特殊要求时，方可在合同中注明。</w:t>
            </w:r>
          </w:p>
        </w:tc>
      </w:tr>
    </w:tbl>
    <w:p>
      <w:pPr>
        <w:spacing w:line="360" w:lineRule="atLeast"/>
        <w:ind w:firstLine="420" w:firstLineChars="200"/>
      </w:pPr>
      <w:r>
        <w:rPr>
          <w:rFonts w:hint="eastAsia"/>
        </w:rPr>
        <w:br w:type="textWrapping"/>
      </w:r>
      <w:r>
        <w:rPr>
          <w:rFonts w:hint="eastAsia" w:ascii="黑体" w:hAnsi="宋体" w:eastAsia="黑体"/>
          <w:bCs/>
          <w:color w:val="000000"/>
          <w:szCs w:val="21"/>
        </w:rPr>
        <w:t>3.3 直径及允许偏差</w:t>
      </w:r>
      <w:r>
        <w:rPr>
          <w:rFonts w:hint="eastAsia" w:ascii="黑体" w:hAnsi="宋体" w:eastAsia="黑体"/>
          <w:bCs/>
          <w:color w:val="000000"/>
          <w:szCs w:val="21"/>
        </w:rPr>
        <w:br w:type="textWrapping"/>
      </w:r>
      <w:r>
        <w:rPr>
          <w:rFonts w:hint="eastAsia" w:ascii="黑体" w:hAnsi="宋体" w:eastAsia="黑体"/>
          <w:bCs/>
          <w:color w:val="000000"/>
          <w:szCs w:val="21"/>
        </w:rPr>
        <w:t xml:space="preserve">    </w:t>
      </w:r>
      <w:r>
        <w:rPr>
          <w:rFonts w:hint="eastAsia"/>
        </w:rPr>
        <w:t>产品应圆整，尺寸均匀。产品的直径为18㎜~32㎜，允许偏差为±0.6㎜。</w:t>
      </w:r>
    </w:p>
    <w:p>
      <w:pPr>
        <w:spacing w:line="360" w:lineRule="atLeast"/>
        <w:ind w:firstLine="420" w:firstLineChars="200"/>
        <w:rPr>
          <w:rFonts w:ascii="宋体" w:hAnsi="宋体"/>
          <w:bCs/>
          <w:color w:val="000000"/>
          <w:kern w:val="0"/>
          <w:szCs w:val="21"/>
        </w:rPr>
      </w:pPr>
      <w:r>
        <w:rPr>
          <w:rFonts w:hint="eastAsia"/>
        </w:rPr>
        <w:br w:type="textWrapping"/>
      </w:r>
      <w:r>
        <w:rPr>
          <w:rFonts w:hint="eastAsia" w:ascii="黑体" w:hAnsi="宋体" w:eastAsia="黑体"/>
          <w:bCs/>
          <w:color w:val="000000"/>
          <w:szCs w:val="21"/>
        </w:rPr>
        <w:t>3.4 力学性能</w:t>
      </w:r>
      <w:r>
        <w:rPr>
          <w:rFonts w:hint="eastAsia" w:ascii="黑体" w:hAnsi="宋体" w:eastAsia="黑体"/>
          <w:bCs/>
          <w:color w:val="000000"/>
          <w:szCs w:val="21"/>
        </w:rPr>
        <w:br w:type="textWrapping"/>
      </w:r>
      <w:r>
        <w:rPr>
          <w:rFonts w:hint="eastAsia" w:ascii="黑体" w:hAnsi="宋体" w:eastAsia="黑体"/>
          <w:bCs/>
          <w:color w:val="000000"/>
          <w:szCs w:val="21"/>
        </w:rPr>
        <w:t xml:space="preserve">    </w:t>
      </w:r>
      <w:r>
        <w:rPr>
          <w:rFonts w:hint="eastAsia"/>
        </w:rPr>
        <w:t>产品的力学性能应符合表3规定。</w:t>
      </w:r>
    </w:p>
    <w:p>
      <w:pPr>
        <w:jc w:val="center"/>
        <w:rPr>
          <w:rFonts w:ascii="黑体" w:hAnsi="黑体" w:eastAsia="黑体"/>
          <w:bCs/>
          <w:color w:val="000000"/>
          <w:szCs w:val="21"/>
        </w:rPr>
      </w:pPr>
    </w:p>
    <w:p>
      <w:pPr>
        <w:jc w:val="center"/>
        <w:rPr>
          <w:rFonts w:ascii="宋体" w:hAnsi="宋体"/>
          <w:bCs/>
          <w:color w:val="000000"/>
          <w:szCs w:val="21"/>
        </w:rPr>
      </w:pPr>
      <w:r>
        <w:rPr>
          <w:rFonts w:hint="eastAsia" w:ascii="黑体" w:hAnsi="黑体" w:eastAsia="黑体"/>
          <w:bCs/>
          <w:color w:val="000000"/>
          <w:szCs w:val="21"/>
        </w:rPr>
        <w:t xml:space="preserve">表3 </w:t>
      </w:r>
      <w:r>
        <w:rPr>
          <w:rFonts w:hint="eastAsia" w:ascii="宋体" w:hAnsi="宋体"/>
          <w:bCs/>
          <w:color w:val="000000"/>
          <w:szCs w:val="21"/>
        </w:rPr>
        <w:t xml:space="preserve"> 产品的力学性能</w:t>
      </w:r>
    </w:p>
    <w:tbl>
      <w:tblPr>
        <w:tblStyle w:val="11"/>
        <w:tblW w:w="35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1234"/>
        <w:gridCol w:w="167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restart"/>
          </w:tcPr>
          <w:p>
            <w:pPr>
              <w:widowControl/>
              <w:jc w:val="center"/>
              <w:textAlignment w:val="top"/>
              <w:rPr>
                <w:rFonts w:ascii="宋体" w:hAnsi="宋体"/>
                <w:b/>
                <w:sz w:val="18"/>
                <w:highlight w:val="red"/>
              </w:rPr>
            </w:pPr>
            <w:r>
              <w:rPr>
                <w:rFonts w:hint="eastAsia" w:ascii="宋体" w:hAnsi="宋体" w:cs="宋体"/>
                <w:b/>
                <w:color w:val="000000"/>
                <w:kern w:val="0"/>
                <w:sz w:val="18"/>
                <w:szCs w:val="18"/>
                <w:lang w:bidi="ar"/>
              </w:rPr>
              <w:t>牌号</w:t>
            </w:r>
          </w:p>
        </w:tc>
        <w:tc>
          <w:tcPr>
            <w:tcW w:w="926" w:type="pct"/>
            <w:vMerge w:val="restart"/>
          </w:tcPr>
          <w:p>
            <w:pPr>
              <w:widowControl/>
              <w:jc w:val="center"/>
              <w:textAlignment w:val="top"/>
              <w:rPr>
                <w:rFonts w:ascii="宋体" w:hAnsi="宋体"/>
                <w:b/>
                <w:sz w:val="18"/>
                <w:highlight w:val="red"/>
              </w:rPr>
            </w:pPr>
            <w:r>
              <w:rPr>
                <w:rFonts w:hint="eastAsia" w:ascii="宋体" w:hAnsi="宋体" w:cs="宋体"/>
                <w:b/>
                <w:color w:val="000000"/>
                <w:kern w:val="0"/>
                <w:sz w:val="18"/>
                <w:szCs w:val="18"/>
                <w:lang w:bidi="ar"/>
              </w:rPr>
              <w:t>状态</w:t>
            </w:r>
          </w:p>
        </w:tc>
        <w:tc>
          <w:tcPr>
            <w:tcW w:w="1254" w:type="pct"/>
          </w:tcPr>
          <w:p>
            <w:pPr>
              <w:widowControl/>
              <w:jc w:val="center"/>
              <w:textAlignment w:val="top"/>
              <w:rPr>
                <w:rFonts w:ascii="宋体" w:hAnsi="宋体"/>
                <w:b/>
                <w:sz w:val="18"/>
                <w:highlight w:val="red"/>
              </w:rPr>
            </w:pPr>
            <w:r>
              <w:rPr>
                <w:rFonts w:hint="eastAsia" w:ascii="宋体" w:hAnsi="宋体" w:cs="宋体"/>
                <w:b/>
                <w:color w:val="000000"/>
                <w:kern w:val="0"/>
                <w:sz w:val="18"/>
                <w:szCs w:val="18"/>
                <w:lang w:bidi="ar"/>
              </w:rPr>
              <w:t>抗拉强度MPa</w:t>
            </w:r>
          </w:p>
        </w:tc>
        <w:tc>
          <w:tcPr>
            <w:tcW w:w="1266" w:type="pct"/>
          </w:tcPr>
          <w:p>
            <w:pPr>
              <w:widowControl/>
              <w:jc w:val="center"/>
              <w:textAlignment w:val="top"/>
              <w:rPr>
                <w:rFonts w:ascii="宋体" w:hAnsi="宋体"/>
                <w:b/>
                <w:sz w:val="18"/>
                <w:highlight w:val="red"/>
              </w:rPr>
            </w:pPr>
            <w:r>
              <w:rPr>
                <w:rFonts w:hint="eastAsia" w:ascii="宋体" w:hAnsi="宋体" w:cs="宋体"/>
                <w:b/>
                <w:color w:val="000000"/>
                <w:kern w:val="0"/>
                <w:sz w:val="18"/>
                <w:szCs w:val="18"/>
                <w:lang w:bidi="ar"/>
              </w:rPr>
              <w:t>延伸率%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continue"/>
          </w:tcPr>
          <w:p>
            <w:pPr>
              <w:jc w:val="center"/>
              <w:rPr>
                <w:rFonts w:ascii="宋体" w:hAnsi="宋体"/>
                <w:sz w:val="18"/>
                <w:highlight w:val="red"/>
              </w:rPr>
            </w:pPr>
          </w:p>
        </w:tc>
        <w:tc>
          <w:tcPr>
            <w:tcW w:w="926" w:type="pct"/>
            <w:vMerge w:val="continue"/>
          </w:tcPr>
          <w:p>
            <w:pPr>
              <w:jc w:val="center"/>
              <w:rPr>
                <w:rFonts w:ascii="宋体" w:hAnsi="宋体"/>
                <w:sz w:val="18"/>
                <w:highlight w:val="red"/>
              </w:rPr>
            </w:pPr>
          </w:p>
        </w:tc>
        <w:tc>
          <w:tcPr>
            <w:tcW w:w="1254" w:type="pct"/>
          </w:tcPr>
          <w:p>
            <w:pPr>
              <w:widowControl/>
              <w:jc w:val="center"/>
              <w:textAlignment w:val="top"/>
              <w:rPr>
                <w:rFonts w:ascii="宋体" w:hAnsi="宋体"/>
                <w:sz w:val="18"/>
                <w:highlight w:val="red"/>
              </w:rPr>
            </w:pPr>
            <w:r>
              <w:rPr>
                <w:rFonts w:hint="eastAsia" w:ascii="宋体" w:hAnsi="宋体" w:cs="宋体"/>
                <w:b/>
                <w:color w:val="000000"/>
                <w:kern w:val="0"/>
                <w:sz w:val="18"/>
                <w:szCs w:val="18"/>
                <w:lang w:bidi="ar"/>
              </w:rPr>
              <w:t>不小于</w:t>
            </w:r>
          </w:p>
        </w:tc>
        <w:tc>
          <w:tcPr>
            <w:tcW w:w="1266" w:type="pct"/>
          </w:tcPr>
          <w:p>
            <w:pPr>
              <w:widowControl/>
              <w:jc w:val="center"/>
              <w:textAlignment w:val="top"/>
              <w:rPr>
                <w:rFonts w:ascii="宋体" w:hAnsi="宋体"/>
                <w:sz w:val="18"/>
                <w:highlight w:val="red"/>
              </w:rPr>
            </w:pPr>
            <w:r>
              <w:rPr>
                <w:rFonts w:hint="eastAsia" w:ascii="宋体" w:hAnsi="宋体" w:cs="宋体"/>
                <w:b/>
                <w:color w:val="000000"/>
                <w:kern w:val="0"/>
                <w:sz w:val="18"/>
                <w:szCs w:val="18"/>
                <w:lang w:bidi="ar"/>
              </w:rPr>
              <w:t>不小于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restar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T2</w:t>
            </w: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M30</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continue"/>
            <w:vAlign w:val="center"/>
          </w:tcPr>
          <w:p>
            <w:pPr>
              <w:jc w:val="center"/>
              <w:rPr>
                <w:rFonts w:ascii="宋体" w:hAnsi="宋体"/>
                <w:sz w:val="18"/>
                <w:highlight w:val="red"/>
              </w:rPr>
            </w:pP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H02</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340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restar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TAg0.1</w:t>
            </w: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H02</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continue"/>
            <w:vAlign w:val="center"/>
          </w:tcPr>
          <w:p>
            <w:pPr>
              <w:jc w:val="center"/>
              <w:rPr>
                <w:rFonts w:ascii="宋体" w:hAnsi="宋体"/>
                <w:sz w:val="18"/>
                <w:highlight w:val="red"/>
              </w:rPr>
            </w:pP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M20</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53" w:type="pct"/>
            <w:vMerge w:val="continue"/>
            <w:vAlign w:val="center"/>
          </w:tcPr>
          <w:p>
            <w:pPr>
              <w:jc w:val="center"/>
              <w:rPr>
                <w:rFonts w:ascii="宋体" w:hAnsi="宋体"/>
                <w:sz w:val="18"/>
                <w:highlight w:val="red"/>
              </w:rPr>
            </w:pP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M30</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350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53" w:type="pct"/>
            <w:vMerge w:val="restar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TSn0.15</w:t>
            </w: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M30</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continue"/>
            <w:vAlign w:val="center"/>
          </w:tcPr>
          <w:p>
            <w:pPr>
              <w:jc w:val="center"/>
              <w:rPr>
                <w:rFonts w:ascii="宋体" w:hAnsi="宋体"/>
                <w:sz w:val="18"/>
                <w:highlight w:val="red"/>
              </w:rPr>
            </w:pP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H02</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350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restar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TSn0.3</w:t>
            </w: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M30</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continue"/>
            <w:vAlign w:val="center"/>
          </w:tcPr>
          <w:p>
            <w:pPr>
              <w:jc w:val="center"/>
              <w:rPr>
                <w:rFonts w:ascii="宋体" w:hAnsi="宋体"/>
                <w:sz w:val="18"/>
                <w:highlight w:val="red"/>
              </w:rPr>
            </w:pP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H02</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380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restar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TSn0.5</w:t>
            </w: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M20</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continue"/>
            <w:vAlign w:val="center"/>
          </w:tcPr>
          <w:p>
            <w:pPr>
              <w:jc w:val="center"/>
              <w:rPr>
                <w:rFonts w:ascii="宋体" w:hAnsi="宋体"/>
                <w:sz w:val="18"/>
                <w:highlight w:val="red"/>
              </w:rPr>
            </w:pP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M30</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continue"/>
            <w:vAlign w:val="center"/>
          </w:tcPr>
          <w:p>
            <w:pPr>
              <w:jc w:val="center"/>
              <w:rPr>
                <w:rFonts w:ascii="宋体" w:hAnsi="宋体"/>
                <w:sz w:val="18"/>
                <w:highlight w:val="red"/>
              </w:rPr>
            </w:pP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H02</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restar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TMg0.25</w:t>
            </w: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M30</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continue"/>
            <w:vAlign w:val="center"/>
          </w:tcPr>
          <w:p>
            <w:pPr>
              <w:jc w:val="center"/>
              <w:rPr>
                <w:rFonts w:ascii="宋体" w:hAnsi="宋体"/>
                <w:sz w:val="18"/>
                <w:highlight w:val="red"/>
              </w:rPr>
            </w:pP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H02</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380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restar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TMg0.35</w:t>
            </w: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M30</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Merge w:val="continue"/>
            <w:vAlign w:val="center"/>
          </w:tcPr>
          <w:p>
            <w:pPr>
              <w:jc w:val="center"/>
              <w:rPr>
                <w:rFonts w:ascii="宋体" w:hAnsi="宋体"/>
                <w:sz w:val="18"/>
                <w:highlight w:val="red"/>
              </w:rPr>
            </w:pP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H02</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TMg0.45</w:t>
            </w: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M30</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vAlign w:val="center"/>
          </w:tcPr>
          <w:p>
            <w:pPr>
              <w:widowControl/>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TCr0.6-0.1</w:t>
            </w:r>
          </w:p>
        </w:tc>
        <w:tc>
          <w:tcPr>
            <w:tcW w:w="92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TH04</w:t>
            </w:r>
          </w:p>
        </w:tc>
        <w:tc>
          <w:tcPr>
            <w:tcW w:w="1254"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450</w:t>
            </w:r>
          </w:p>
        </w:tc>
        <w:tc>
          <w:tcPr>
            <w:tcW w:w="1266"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r>
    </w:tbl>
    <w:p>
      <w:pPr>
        <w:tabs>
          <w:tab w:val="center" w:pos="1620"/>
        </w:tabs>
        <w:wordWrap w:val="0"/>
        <w:ind w:right="420"/>
        <w:rPr>
          <w:rFonts w:ascii="宋体" w:hAnsi="宋体"/>
          <w:szCs w:val="21"/>
        </w:rPr>
      </w:pPr>
      <w:r>
        <w:rPr>
          <w:rFonts w:hint="eastAsia" w:ascii="宋体" w:hAnsi="宋体"/>
          <w:bCs/>
          <w:szCs w:val="21"/>
          <w:highlight w:val="red"/>
        </w:rPr>
        <w:br w:type="textWrapping"/>
      </w:r>
      <w:r>
        <w:rPr>
          <w:rFonts w:hint="eastAsia" w:ascii="黑体" w:hAnsi="宋体" w:eastAsia="黑体"/>
          <w:bCs/>
          <w:color w:val="000000"/>
          <w:szCs w:val="21"/>
        </w:rPr>
        <w:t>3.5 电性能</w:t>
      </w:r>
      <w:r>
        <w:rPr>
          <w:rFonts w:hint="eastAsia" w:ascii="黑体" w:hAnsi="宋体" w:eastAsia="黑体"/>
          <w:bCs/>
          <w:color w:val="000000"/>
          <w:szCs w:val="21"/>
        </w:rPr>
        <w:br w:type="textWrapping"/>
      </w:r>
      <w:r>
        <w:rPr>
          <w:rFonts w:hint="eastAsia" w:ascii="黑体" w:hAnsi="宋体" w:eastAsia="黑体"/>
          <w:bCs/>
          <w:color w:val="000000"/>
          <w:szCs w:val="21"/>
        </w:rPr>
        <w:t xml:space="preserve">    </w:t>
      </w:r>
      <w:r>
        <w:rPr>
          <w:rFonts w:hint="eastAsia" w:ascii="宋体" w:hAnsi="宋体"/>
          <w:bCs/>
          <w:szCs w:val="21"/>
        </w:rPr>
        <w:t>产品的电阻率应符合表4规定。</w:t>
      </w:r>
    </w:p>
    <w:p>
      <w:pPr>
        <w:tabs>
          <w:tab w:val="left" w:pos="9000"/>
        </w:tabs>
        <w:jc w:val="center"/>
        <w:rPr>
          <w:szCs w:val="21"/>
        </w:rPr>
      </w:pPr>
      <w:r>
        <w:rPr>
          <w:rFonts w:hint="eastAsia" w:ascii="黑体" w:hAnsi="黑体" w:eastAsia="黑体"/>
          <w:szCs w:val="21"/>
        </w:rPr>
        <w:t>表4</w:t>
      </w:r>
      <w:r>
        <w:rPr>
          <w:rFonts w:hint="eastAsia" w:ascii="宋体" w:hAnsi="宋体"/>
          <w:szCs w:val="21"/>
        </w:rPr>
        <w:t xml:space="preserve"> 产品的电阻率</w:t>
      </w:r>
    </w:p>
    <w:tbl>
      <w:tblPr>
        <w:tblStyle w:val="11"/>
        <w:tblW w:w="33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524"/>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30" w:type="dxa"/>
            <w:vAlign w:val="center"/>
          </w:tcPr>
          <w:p>
            <w:pPr>
              <w:widowControl/>
              <w:jc w:val="center"/>
              <w:textAlignment w:val="top"/>
              <w:rPr>
                <w:rFonts w:ascii="宋体" w:hAnsi="宋体"/>
                <w:b/>
                <w:sz w:val="18"/>
                <w:highlight w:val="red"/>
              </w:rPr>
            </w:pPr>
            <w:r>
              <w:rPr>
                <w:rFonts w:hint="eastAsia" w:ascii="宋体" w:hAnsi="宋体" w:cs="宋体"/>
                <w:b/>
                <w:color w:val="000000"/>
                <w:kern w:val="0"/>
                <w:sz w:val="18"/>
                <w:szCs w:val="18"/>
                <w:lang w:bidi="ar"/>
              </w:rPr>
              <w:t>牌号</w:t>
            </w:r>
          </w:p>
        </w:tc>
        <w:tc>
          <w:tcPr>
            <w:tcW w:w="1524" w:type="dxa"/>
            <w:vAlign w:val="center"/>
          </w:tcPr>
          <w:p>
            <w:pPr>
              <w:widowControl/>
              <w:jc w:val="center"/>
              <w:textAlignment w:val="top"/>
              <w:rPr>
                <w:rFonts w:ascii="宋体" w:hAnsi="宋体"/>
                <w:b/>
                <w:sz w:val="18"/>
                <w:highlight w:val="red"/>
              </w:rPr>
            </w:pPr>
            <w:r>
              <w:rPr>
                <w:rFonts w:hint="eastAsia" w:ascii="宋体" w:hAnsi="宋体" w:cs="宋体"/>
                <w:b/>
                <w:color w:val="000000"/>
                <w:kern w:val="0"/>
                <w:sz w:val="18"/>
                <w:szCs w:val="18"/>
                <w:lang w:bidi="ar"/>
              </w:rPr>
              <w:t>状态</w:t>
            </w:r>
          </w:p>
        </w:tc>
        <w:tc>
          <w:tcPr>
            <w:tcW w:w="2881" w:type="dxa"/>
            <w:vAlign w:val="center"/>
          </w:tcPr>
          <w:p>
            <w:pPr>
              <w:widowControl/>
              <w:jc w:val="center"/>
              <w:textAlignment w:val="center"/>
              <w:rPr>
                <w:rStyle w:val="24"/>
                <w:rFonts w:hint="default"/>
                <w:lang w:bidi="ar"/>
              </w:rPr>
            </w:pPr>
            <w:r>
              <w:rPr>
                <w:rStyle w:val="24"/>
                <w:rFonts w:hint="default"/>
                <w:lang w:bidi="ar"/>
              </w:rPr>
              <w:t>电阻率（</w:t>
            </w:r>
            <w:r>
              <w:rPr>
                <w:rStyle w:val="23"/>
                <w:rFonts w:hAnsi="宋体"/>
                <w:lang w:bidi="ar"/>
              </w:rPr>
              <w:t>Ω</w:t>
            </w:r>
            <w:r>
              <w:rPr>
                <w:rFonts w:ascii="Arial" w:hAnsi="Arial" w:cs="Arial"/>
                <w:b/>
                <w:color w:val="000000"/>
                <w:kern w:val="0"/>
                <w:sz w:val="10"/>
                <w:szCs w:val="10"/>
                <w:vertAlign w:val="superscript"/>
                <w:lang w:bidi="ar"/>
              </w:rPr>
              <w:t>●</w:t>
            </w:r>
            <w:r>
              <w:rPr>
                <w:rStyle w:val="24"/>
                <w:rFonts w:hint="default"/>
                <w:lang w:bidi="ar"/>
              </w:rPr>
              <w:t>mm</w:t>
            </w:r>
            <w:r>
              <w:rPr>
                <w:rFonts w:hint="eastAsia" w:ascii="宋体" w:hAnsi="宋体" w:cs="宋体"/>
                <w:b/>
                <w:color w:val="000000"/>
                <w:kern w:val="0"/>
                <w:sz w:val="18"/>
                <w:szCs w:val="18"/>
                <w:vertAlign w:val="superscript"/>
                <w:lang w:bidi="ar"/>
              </w:rPr>
              <w:t>2</w:t>
            </w:r>
            <w:r>
              <w:rPr>
                <w:rStyle w:val="24"/>
                <w:rFonts w:hint="default"/>
                <w:lang w:bidi="ar"/>
              </w:rPr>
              <w:t>/m）</w:t>
            </w:r>
          </w:p>
          <w:p>
            <w:pPr>
              <w:widowControl/>
              <w:jc w:val="center"/>
              <w:textAlignment w:val="center"/>
              <w:rPr>
                <w:rFonts w:ascii="宋体" w:hAnsi="宋体"/>
                <w:b/>
                <w:sz w:val="18"/>
                <w:highlight w:val="red"/>
              </w:rPr>
            </w:pPr>
            <w:r>
              <w:rPr>
                <w:rStyle w:val="24"/>
                <w:rFonts w:hint="default"/>
                <w:lang w:bidi="ar"/>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restar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T2</w:t>
            </w: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M30</w:t>
            </w:r>
          </w:p>
        </w:tc>
        <w:tc>
          <w:tcPr>
            <w:tcW w:w="2881" w:type="dxa"/>
            <w:vAlign w:val="center"/>
          </w:tcPr>
          <w:p>
            <w:pPr>
              <w:widowControl/>
              <w:jc w:val="center"/>
              <w:textAlignment w:val="center"/>
              <w:rPr>
                <w:rFonts w:ascii="宋体" w:hAnsi="宋体"/>
                <w:sz w:val="18"/>
                <w:szCs w:val="18"/>
                <w:highlight w:val="red"/>
              </w:rPr>
            </w:pPr>
            <w:r>
              <w:rPr>
                <w:rFonts w:ascii="宋体" w:hAnsi="宋体" w:cs="宋体"/>
                <w:color w:val="000000"/>
                <w:kern w:val="0"/>
                <w:sz w:val="18"/>
                <w:szCs w:val="18"/>
                <w:lang w:bidi="ar"/>
              </w:rPr>
              <w:t>0.017241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continue"/>
            <w:vAlign w:val="center"/>
          </w:tcPr>
          <w:p>
            <w:pPr>
              <w:jc w:val="center"/>
              <w:rPr>
                <w:rFonts w:ascii="宋体" w:hAnsi="宋体"/>
                <w:sz w:val="18"/>
                <w:highlight w:val="red"/>
              </w:rPr>
            </w:pP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H02</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0.017593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restar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TAg0.1</w:t>
            </w:r>
          </w:p>
        </w:tc>
        <w:tc>
          <w:tcPr>
            <w:tcW w:w="1524" w:type="dxa"/>
          </w:tcPr>
          <w:p>
            <w:pPr>
              <w:widowControl/>
              <w:jc w:val="center"/>
              <w:textAlignment w:val="top"/>
              <w:rPr>
                <w:rFonts w:ascii="宋体" w:hAnsi="宋体"/>
                <w:sz w:val="18"/>
                <w:highlight w:val="red"/>
              </w:rPr>
            </w:pPr>
            <w:r>
              <w:rPr>
                <w:rStyle w:val="22"/>
                <w:rFonts w:hint="default"/>
                <w:lang w:bidi="ar"/>
              </w:rPr>
              <w:t>H02</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0.017593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continue"/>
            <w:vAlign w:val="center"/>
          </w:tcPr>
          <w:p>
            <w:pPr>
              <w:jc w:val="center"/>
              <w:rPr>
                <w:rFonts w:ascii="宋体" w:hAnsi="宋体"/>
                <w:sz w:val="18"/>
                <w:highlight w:val="red"/>
              </w:rPr>
            </w:pP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M20</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continue"/>
            <w:vAlign w:val="center"/>
          </w:tcPr>
          <w:p>
            <w:pPr>
              <w:jc w:val="center"/>
              <w:rPr>
                <w:rFonts w:ascii="宋体" w:hAnsi="宋体"/>
                <w:sz w:val="18"/>
                <w:highlight w:val="red"/>
              </w:rPr>
            </w:pP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M30</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0.017241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restar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TSn0.15</w:t>
            </w: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M30</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0.017593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continue"/>
            <w:vAlign w:val="center"/>
          </w:tcPr>
          <w:p>
            <w:pPr>
              <w:jc w:val="center"/>
              <w:rPr>
                <w:rFonts w:ascii="宋体" w:hAnsi="宋体"/>
                <w:sz w:val="18"/>
                <w:highlight w:val="red"/>
              </w:rPr>
            </w:pP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H02</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0.017959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restar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TSn0.3</w:t>
            </w: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M30</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continue"/>
            <w:vAlign w:val="center"/>
          </w:tcPr>
          <w:p>
            <w:pPr>
              <w:jc w:val="center"/>
              <w:rPr>
                <w:rFonts w:ascii="宋体" w:hAnsi="宋体"/>
                <w:sz w:val="18"/>
                <w:highlight w:val="red"/>
              </w:rPr>
            </w:pP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H02</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0.020772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restar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TSn0.5</w:t>
            </w: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M20</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continue"/>
            <w:vAlign w:val="center"/>
          </w:tcPr>
          <w:p>
            <w:pPr>
              <w:jc w:val="center"/>
              <w:rPr>
                <w:rFonts w:ascii="宋体" w:hAnsi="宋体"/>
                <w:sz w:val="18"/>
                <w:highlight w:val="red"/>
              </w:rPr>
            </w:pP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M30</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0.023946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continue"/>
            <w:vAlign w:val="center"/>
          </w:tcPr>
          <w:p>
            <w:pPr>
              <w:jc w:val="center"/>
              <w:rPr>
                <w:rFonts w:ascii="宋体" w:hAnsi="宋体"/>
                <w:sz w:val="18"/>
                <w:highlight w:val="red"/>
              </w:rPr>
            </w:pP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H02</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restar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TMg0.25</w:t>
            </w: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M30</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continue"/>
            <w:vAlign w:val="center"/>
          </w:tcPr>
          <w:p>
            <w:pPr>
              <w:jc w:val="center"/>
              <w:rPr>
                <w:rFonts w:ascii="宋体" w:hAnsi="宋体"/>
                <w:sz w:val="18"/>
                <w:highlight w:val="red"/>
              </w:rPr>
            </w:pP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H02</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restar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TMg0.35</w:t>
            </w: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M30</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0.023946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continue"/>
            <w:vAlign w:val="center"/>
          </w:tcPr>
          <w:p>
            <w:pPr>
              <w:jc w:val="center"/>
              <w:rPr>
                <w:rFonts w:ascii="宋体" w:hAnsi="宋体"/>
                <w:sz w:val="18"/>
                <w:highlight w:val="red"/>
              </w:rPr>
            </w:pP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H02</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0.02463</w:t>
            </w:r>
            <w:r>
              <w:rPr>
                <w:rFonts w:hint="eastAsia" w:ascii="宋体" w:hAnsi="宋体" w:cs="宋体"/>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restart"/>
            <w:vAlign w:val="center"/>
          </w:tcPr>
          <w:p>
            <w:pPr>
              <w:widowControl/>
              <w:jc w:val="center"/>
              <w:textAlignment w:val="center"/>
              <w:rPr>
                <w:rFonts w:ascii="宋体" w:hAnsi="宋体"/>
                <w:sz w:val="18"/>
                <w:highlight w:val="red"/>
              </w:rPr>
            </w:pPr>
            <w:r>
              <w:rPr>
                <w:rFonts w:hint="eastAsia" w:ascii="宋体" w:hAnsi="宋体" w:cs="宋体"/>
                <w:color w:val="000000"/>
                <w:kern w:val="0"/>
                <w:sz w:val="18"/>
                <w:szCs w:val="18"/>
                <w:lang w:bidi="ar"/>
              </w:rPr>
              <w:t>TMg0.45</w:t>
            </w: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M30</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0.02463</w:t>
            </w:r>
            <w:r>
              <w:rPr>
                <w:rFonts w:hint="eastAsia" w:ascii="宋体" w:hAnsi="宋体" w:cs="宋体"/>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Merge w:val="continue"/>
            <w:vAlign w:val="center"/>
          </w:tcPr>
          <w:p>
            <w:pPr>
              <w:jc w:val="center"/>
              <w:rPr>
                <w:rFonts w:ascii="宋体" w:hAnsi="宋体"/>
                <w:sz w:val="18"/>
                <w:highlight w:val="red"/>
              </w:rPr>
            </w:pPr>
          </w:p>
        </w:tc>
        <w:tc>
          <w:tcPr>
            <w:tcW w:w="1524" w:type="dxa"/>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H02</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0.025345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tcPr>
          <w:p>
            <w:pPr>
              <w:widowControl/>
              <w:jc w:val="center"/>
              <w:textAlignment w:val="top"/>
              <w:rPr>
                <w:rFonts w:ascii="宋体" w:hAnsi="宋体"/>
                <w:sz w:val="18"/>
                <w:highlight w:val="red"/>
              </w:rPr>
            </w:pPr>
            <w:r>
              <w:rPr>
                <w:rStyle w:val="22"/>
                <w:rFonts w:hint="default"/>
                <w:lang w:bidi="ar"/>
              </w:rPr>
              <w:t>TCr0.6-0.1</w:t>
            </w:r>
          </w:p>
        </w:tc>
        <w:tc>
          <w:tcPr>
            <w:tcW w:w="1524" w:type="dxa"/>
            <w:vAlign w:val="center"/>
          </w:tcPr>
          <w:p>
            <w:pPr>
              <w:widowControl/>
              <w:jc w:val="center"/>
              <w:textAlignment w:val="top"/>
              <w:rPr>
                <w:rFonts w:ascii="宋体" w:hAnsi="宋体"/>
                <w:sz w:val="18"/>
                <w:highlight w:val="red"/>
              </w:rPr>
            </w:pPr>
            <w:r>
              <w:rPr>
                <w:rFonts w:hint="eastAsia" w:ascii="宋体" w:hAnsi="宋体" w:cs="宋体"/>
                <w:color w:val="000000"/>
                <w:kern w:val="0"/>
                <w:sz w:val="18"/>
                <w:szCs w:val="18"/>
                <w:lang w:bidi="ar"/>
              </w:rPr>
              <w:t>TH04</w:t>
            </w:r>
          </w:p>
        </w:tc>
        <w:tc>
          <w:tcPr>
            <w:tcW w:w="2881"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w:t>
            </w:r>
            <w:r>
              <w:rPr>
                <w:rFonts w:hint="eastAsia" w:ascii="宋体" w:hAnsi="宋体" w:cs="宋体"/>
                <w:color w:val="000000"/>
                <w:kern w:val="0"/>
                <w:sz w:val="18"/>
                <w:szCs w:val="18"/>
                <w:lang w:bidi="ar"/>
              </w:rPr>
              <w:t>2991</w:t>
            </w:r>
          </w:p>
        </w:tc>
      </w:tr>
    </w:tbl>
    <w:p>
      <w:pPr>
        <w:rPr>
          <w:rFonts w:ascii="黑体" w:hAnsi="宋体" w:eastAsia="黑体"/>
          <w:b/>
          <w:color w:val="000000"/>
          <w:szCs w:val="21"/>
        </w:rPr>
      </w:pPr>
    </w:p>
    <w:p>
      <w:pPr>
        <w:spacing w:line="360" w:lineRule="exact"/>
        <w:rPr>
          <w:rFonts w:ascii="黑体" w:hAnsi="宋体" w:eastAsia="黑体"/>
          <w:b/>
          <w:color w:val="000000"/>
          <w:szCs w:val="21"/>
        </w:rPr>
      </w:pPr>
      <w:r>
        <w:rPr>
          <w:rFonts w:hint="eastAsia" w:ascii="黑体" w:hAnsi="宋体" w:eastAsia="黑体"/>
          <w:b/>
          <w:color w:val="000000"/>
          <w:szCs w:val="21"/>
        </w:rPr>
        <w:t>3.6 晶粒度</w:t>
      </w:r>
    </w:p>
    <w:p>
      <w:pPr>
        <w:spacing w:line="360" w:lineRule="exact"/>
        <w:ind w:firstLine="420"/>
        <w:rPr>
          <w:rFonts w:ascii="宋体" w:hAnsi="宋体"/>
          <w:bCs/>
          <w:szCs w:val="21"/>
        </w:rPr>
      </w:pPr>
      <w:r>
        <w:rPr>
          <w:rFonts w:ascii="宋体" w:hAnsi="宋体"/>
          <w:bCs/>
          <w:szCs w:val="21"/>
        </w:rPr>
        <w:t>产品</w:t>
      </w:r>
      <w:r>
        <w:rPr>
          <w:rFonts w:hint="eastAsia" w:ascii="宋体" w:hAnsi="宋体"/>
          <w:bCs/>
          <w:szCs w:val="21"/>
        </w:rPr>
        <w:t>的横向晶粒尺寸应符合表5规定。</w:t>
      </w:r>
    </w:p>
    <w:p>
      <w:pPr>
        <w:ind w:firstLine="420"/>
        <w:jc w:val="center"/>
        <w:rPr>
          <w:rFonts w:ascii="宋体" w:hAnsi="宋体"/>
          <w:bCs/>
          <w:szCs w:val="21"/>
          <w:highlight w:val="red"/>
        </w:rPr>
      </w:pPr>
      <w:r>
        <w:rPr>
          <w:rFonts w:ascii="宋体" w:hAnsi="宋体"/>
          <w:bCs/>
          <w:szCs w:val="21"/>
        </w:rPr>
        <w:t>表</w:t>
      </w:r>
      <w:r>
        <w:rPr>
          <w:rFonts w:hint="eastAsia" w:ascii="宋体" w:hAnsi="宋体"/>
          <w:bCs/>
          <w:szCs w:val="21"/>
        </w:rPr>
        <w:t>5</w:t>
      </w:r>
      <w:r>
        <w:rPr>
          <w:rFonts w:ascii="宋体" w:hAnsi="宋体"/>
          <w:bCs/>
          <w:szCs w:val="21"/>
        </w:rPr>
        <w:t xml:space="preserve"> 横向晶粒尺寸</w:t>
      </w:r>
    </w:p>
    <w:tbl>
      <w:tblPr>
        <w:tblStyle w:val="1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3544"/>
        <w:gridCol w:w="28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Merge w:val="restart"/>
            <w:vAlign w:val="center"/>
          </w:tcPr>
          <w:p>
            <w:pPr>
              <w:widowControl/>
              <w:jc w:val="center"/>
              <w:textAlignment w:val="center"/>
              <w:rPr>
                <w:rFonts w:ascii="宋体" w:hAnsi="宋体"/>
                <w:bCs/>
                <w:sz w:val="18"/>
                <w:szCs w:val="18"/>
                <w:highlight w:val="red"/>
              </w:rPr>
            </w:pPr>
            <w:r>
              <w:rPr>
                <w:rFonts w:hint="eastAsia" w:ascii="宋体" w:hAnsi="宋体" w:cs="宋体"/>
                <w:color w:val="000000"/>
                <w:kern w:val="0"/>
                <w:sz w:val="18"/>
                <w:szCs w:val="18"/>
                <w:lang w:bidi="ar"/>
              </w:rPr>
              <w:t>序号</w:t>
            </w:r>
          </w:p>
        </w:tc>
        <w:tc>
          <w:tcPr>
            <w:tcW w:w="3544" w:type="dxa"/>
            <w:vMerge w:val="restart"/>
            <w:vAlign w:val="center"/>
          </w:tcPr>
          <w:p>
            <w:pPr>
              <w:widowControl/>
              <w:jc w:val="center"/>
              <w:textAlignment w:val="center"/>
              <w:rPr>
                <w:rFonts w:ascii="宋体" w:hAnsi="宋体"/>
                <w:bCs/>
                <w:sz w:val="18"/>
                <w:szCs w:val="18"/>
                <w:highlight w:val="red"/>
              </w:rPr>
            </w:pPr>
            <w:r>
              <w:rPr>
                <w:rFonts w:hint="eastAsia" w:ascii="宋体" w:hAnsi="宋体" w:cs="宋体"/>
                <w:color w:val="000000"/>
                <w:kern w:val="0"/>
                <w:sz w:val="18"/>
                <w:szCs w:val="18"/>
                <w:lang w:bidi="ar"/>
              </w:rPr>
              <w:t>铜及铜合金坯料</w:t>
            </w:r>
          </w:p>
        </w:tc>
        <w:tc>
          <w:tcPr>
            <w:tcW w:w="2835" w:type="dxa"/>
            <w:vMerge w:val="restart"/>
            <w:vAlign w:val="center"/>
          </w:tcPr>
          <w:p>
            <w:pPr>
              <w:widowControl/>
              <w:jc w:val="center"/>
              <w:textAlignment w:val="center"/>
              <w:rPr>
                <w:rFonts w:ascii="宋体" w:hAnsi="宋体"/>
                <w:bCs/>
                <w:sz w:val="18"/>
                <w:szCs w:val="18"/>
                <w:highlight w:val="red"/>
              </w:rPr>
            </w:pPr>
            <w:r>
              <w:rPr>
                <w:rFonts w:hint="eastAsia" w:ascii="宋体" w:hAnsi="宋体" w:cs="宋体"/>
                <w:color w:val="000000"/>
                <w:kern w:val="0"/>
                <w:sz w:val="18"/>
                <w:szCs w:val="18"/>
                <w:lang w:bidi="ar"/>
              </w:rPr>
              <w:t>坯杆制造工艺</w:t>
            </w:r>
          </w:p>
        </w:tc>
        <w:tc>
          <w:tcPr>
            <w:tcW w:w="1665" w:type="dxa"/>
            <w:vAlign w:val="center"/>
          </w:tcPr>
          <w:p>
            <w:pPr>
              <w:widowControl/>
              <w:jc w:val="center"/>
              <w:textAlignment w:val="center"/>
              <w:rPr>
                <w:rFonts w:ascii="宋体" w:hAnsi="宋体"/>
                <w:bCs/>
                <w:sz w:val="18"/>
                <w:szCs w:val="18"/>
                <w:highlight w:val="red"/>
              </w:rPr>
            </w:pPr>
            <w:r>
              <w:rPr>
                <w:rFonts w:hint="eastAsia" w:ascii="宋体" w:hAnsi="宋体" w:cs="宋体"/>
                <w:color w:val="000000"/>
                <w:kern w:val="0"/>
                <w:sz w:val="18"/>
                <w:szCs w:val="18"/>
                <w:lang w:bidi="ar"/>
              </w:rPr>
              <w:t>横向晶粒尺寸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Merge w:val="continue"/>
            <w:vAlign w:val="center"/>
          </w:tcPr>
          <w:p>
            <w:pPr>
              <w:jc w:val="center"/>
              <w:rPr>
                <w:rFonts w:ascii="宋体" w:hAnsi="宋体"/>
                <w:bCs/>
                <w:sz w:val="18"/>
                <w:szCs w:val="18"/>
                <w:highlight w:val="red"/>
              </w:rPr>
            </w:pPr>
          </w:p>
        </w:tc>
        <w:tc>
          <w:tcPr>
            <w:tcW w:w="3544" w:type="dxa"/>
            <w:vMerge w:val="continue"/>
            <w:vAlign w:val="center"/>
          </w:tcPr>
          <w:p>
            <w:pPr>
              <w:jc w:val="center"/>
              <w:rPr>
                <w:rFonts w:ascii="宋体" w:hAnsi="宋体"/>
                <w:bCs/>
                <w:sz w:val="18"/>
                <w:szCs w:val="18"/>
                <w:highlight w:val="red"/>
              </w:rPr>
            </w:pPr>
          </w:p>
        </w:tc>
        <w:tc>
          <w:tcPr>
            <w:tcW w:w="2835" w:type="dxa"/>
            <w:vMerge w:val="continue"/>
            <w:vAlign w:val="center"/>
          </w:tcPr>
          <w:p>
            <w:pPr>
              <w:jc w:val="center"/>
              <w:rPr>
                <w:rFonts w:ascii="宋体" w:hAnsi="宋体"/>
                <w:bCs/>
                <w:sz w:val="18"/>
                <w:szCs w:val="18"/>
                <w:highlight w:val="red"/>
              </w:rPr>
            </w:pPr>
          </w:p>
        </w:tc>
        <w:tc>
          <w:tcPr>
            <w:tcW w:w="1665" w:type="dxa"/>
            <w:vAlign w:val="center"/>
          </w:tcPr>
          <w:p>
            <w:pPr>
              <w:widowControl/>
              <w:jc w:val="center"/>
              <w:textAlignment w:val="center"/>
              <w:rPr>
                <w:rFonts w:ascii="宋体" w:hAnsi="宋体"/>
                <w:bCs/>
                <w:sz w:val="18"/>
                <w:szCs w:val="18"/>
                <w:highlight w:val="red"/>
              </w:rPr>
            </w:pPr>
            <w:r>
              <w:rPr>
                <w:rFonts w:hint="eastAsia" w:ascii="宋体" w:hAnsi="宋体" w:cs="宋体"/>
                <w:color w:val="000000"/>
                <w:kern w:val="0"/>
                <w:sz w:val="18"/>
                <w:szCs w:val="18"/>
                <w:lang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Align w:val="center"/>
          </w:tcPr>
          <w:p>
            <w:pPr>
              <w:widowControl/>
              <w:jc w:val="center"/>
              <w:textAlignment w:val="center"/>
              <w:rPr>
                <w:rFonts w:ascii="宋体" w:hAnsi="宋体"/>
                <w:bCs/>
                <w:sz w:val="18"/>
                <w:szCs w:val="18"/>
                <w:highlight w:val="red"/>
              </w:rPr>
            </w:pPr>
            <w:r>
              <w:rPr>
                <w:rFonts w:hint="eastAsia" w:ascii="宋体" w:hAnsi="宋体" w:cs="宋体"/>
                <w:color w:val="000000"/>
                <w:kern w:val="0"/>
                <w:sz w:val="18"/>
                <w:szCs w:val="18"/>
                <w:lang w:bidi="ar"/>
              </w:rPr>
              <w:t>1</w:t>
            </w:r>
          </w:p>
        </w:tc>
        <w:tc>
          <w:tcPr>
            <w:tcW w:w="3544" w:type="dxa"/>
            <w:vAlign w:val="center"/>
          </w:tcPr>
          <w:p>
            <w:pPr>
              <w:widowControl/>
              <w:jc w:val="center"/>
              <w:textAlignment w:val="center"/>
              <w:rPr>
                <w:rFonts w:ascii="宋体" w:hAnsi="宋体"/>
                <w:bCs/>
                <w:sz w:val="18"/>
                <w:szCs w:val="18"/>
                <w:highlight w:val="red"/>
              </w:rPr>
            </w:pPr>
            <w:r>
              <w:rPr>
                <w:rFonts w:hint="eastAsia" w:ascii="宋体" w:hAnsi="宋体" w:cs="宋体"/>
                <w:color w:val="000000"/>
                <w:kern w:val="0"/>
                <w:sz w:val="18"/>
                <w:szCs w:val="18"/>
                <w:lang w:bidi="ar"/>
              </w:rPr>
              <w:t>T2、TAg0.1、TSn0.15、TSn0.3、TSn0.5、TMg0.25、TMg0.35、TMg0.45</w:t>
            </w:r>
          </w:p>
        </w:tc>
        <w:tc>
          <w:tcPr>
            <w:tcW w:w="2835" w:type="dxa"/>
            <w:vAlign w:val="center"/>
          </w:tcPr>
          <w:p>
            <w:pPr>
              <w:widowControl/>
              <w:jc w:val="center"/>
              <w:textAlignment w:val="center"/>
              <w:rPr>
                <w:rFonts w:ascii="宋体" w:hAnsi="宋体"/>
                <w:bCs/>
                <w:sz w:val="18"/>
                <w:szCs w:val="18"/>
                <w:highlight w:val="red"/>
              </w:rPr>
            </w:pPr>
            <w:r>
              <w:rPr>
                <w:rFonts w:hint="eastAsia" w:ascii="宋体" w:hAnsi="宋体" w:cs="宋体"/>
                <w:color w:val="000000"/>
                <w:kern w:val="0"/>
                <w:sz w:val="18"/>
                <w:szCs w:val="18"/>
                <w:lang w:bidi="ar"/>
              </w:rPr>
              <w:t>连续挤压</w:t>
            </w:r>
          </w:p>
        </w:tc>
        <w:tc>
          <w:tcPr>
            <w:tcW w:w="1665" w:type="dxa"/>
            <w:vAlign w:val="center"/>
          </w:tcPr>
          <w:p>
            <w:pPr>
              <w:jc w:val="center"/>
              <w:rPr>
                <w:rFonts w:ascii="宋体" w:hAnsi="宋体"/>
                <w:bCs/>
                <w:sz w:val="18"/>
                <w:szCs w:val="18"/>
              </w:rPr>
            </w:pPr>
            <w:r>
              <w:rPr>
                <w:rFonts w:hint="eastAsia" w:ascii="宋体" w:hAnsi="宋体"/>
                <w:bCs/>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Align w:val="center"/>
          </w:tcPr>
          <w:p>
            <w:pPr>
              <w:widowControl/>
              <w:jc w:val="center"/>
              <w:textAlignment w:val="center"/>
              <w:rPr>
                <w:rFonts w:ascii="宋体" w:hAnsi="宋体"/>
                <w:bCs/>
                <w:sz w:val="18"/>
                <w:szCs w:val="18"/>
                <w:highlight w:val="red"/>
              </w:rPr>
            </w:pPr>
            <w:r>
              <w:rPr>
                <w:rFonts w:hint="eastAsia" w:ascii="宋体" w:hAnsi="宋体" w:cs="宋体"/>
                <w:color w:val="000000"/>
                <w:kern w:val="0"/>
                <w:sz w:val="18"/>
                <w:szCs w:val="18"/>
                <w:lang w:bidi="ar"/>
              </w:rPr>
              <w:t>2</w:t>
            </w:r>
          </w:p>
        </w:tc>
        <w:tc>
          <w:tcPr>
            <w:tcW w:w="3544" w:type="dxa"/>
            <w:vAlign w:val="center"/>
          </w:tcPr>
          <w:p>
            <w:pPr>
              <w:widowControl/>
              <w:jc w:val="center"/>
              <w:textAlignment w:val="center"/>
              <w:rPr>
                <w:rFonts w:ascii="宋体" w:hAnsi="宋体"/>
                <w:bCs/>
                <w:sz w:val="18"/>
                <w:szCs w:val="18"/>
                <w:highlight w:val="red"/>
              </w:rPr>
            </w:pPr>
            <w:r>
              <w:rPr>
                <w:rFonts w:hint="eastAsia" w:ascii="宋体" w:hAnsi="宋体" w:cs="宋体"/>
                <w:color w:val="000000"/>
                <w:kern w:val="0"/>
                <w:sz w:val="18"/>
                <w:szCs w:val="18"/>
                <w:lang w:bidi="ar"/>
              </w:rPr>
              <w:t>TAg0.1、TSn0.5</w:t>
            </w:r>
          </w:p>
        </w:tc>
        <w:tc>
          <w:tcPr>
            <w:tcW w:w="2835" w:type="dxa"/>
            <w:vAlign w:val="center"/>
          </w:tcPr>
          <w:p>
            <w:pPr>
              <w:widowControl/>
              <w:jc w:val="center"/>
              <w:textAlignment w:val="center"/>
              <w:rPr>
                <w:rFonts w:ascii="宋体" w:hAnsi="宋体"/>
                <w:bCs/>
                <w:sz w:val="18"/>
                <w:szCs w:val="18"/>
                <w:highlight w:val="red"/>
              </w:rPr>
            </w:pPr>
            <w:r>
              <w:rPr>
                <w:rFonts w:hint="eastAsia" w:ascii="宋体" w:hAnsi="宋体" w:cs="宋体"/>
                <w:color w:val="000000"/>
                <w:kern w:val="0"/>
                <w:sz w:val="18"/>
                <w:szCs w:val="18"/>
                <w:lang w:bidi="ar"/>
              </w:rPr>
              <w:t>连铸连轧</w:t>
            </w:r>
          </w:p>
        </w:tc>
        <w:tc>
          <w:tcPr>
            <w:tcW w:w="1665" w:type="dxa"/>
            <w:vAlign w:val="center"/>
          </w:tcPr>
          <w:p>
            <w:pPr>
              <w:jc w:val="center"/>
              <w:rPr>
                <w:rFonts w:ascii="宋体" w:hAnsi="宋体"/>
                <w:bCs/>
                <w:sz w:val="18"/>
                <w:szCs w:val="18"/>
              </w:rPr>
            </w:pPr>
            <w:r>
              <w:rPr>
                <w:rFonts w:hint="eastAsia" w:ascii="宋体" w:hAnsi="宋体"/>
                <w:bCs/>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Align w:val="center"/>
          </w:tcPr>
          <w:p>
            <w:pPr>
              <w:widowControl/>
              <w:jc w:val="center"/>
              <w:textAlignment w:val="center"/>
              <w:rPr>
                <w:rFonts w:ascii="宋体" w:hAnsi="宋体"/>
                <w:bCs/>
                <w:sz w:val="18"/>
                <w:szCs w:val="18"/>
                <w:highlight w:val="red"/>
              </w:rPr>
            </w:pPr>
            <w:r>
              <w:rPr>
                <w:rFonts w:hint="eastAsia" w:ascii="宋体" w:hAnsi="宋体" w:cs="宋体"/>
                <w:color w:val="000000"/>
                <w:kern w:val="0"/>
                <w:sz w:val="18"/>
                <w:szCs w:val="18"/>
                <w:lang w:bidi="ar"/>
              </w:rPr>
              <w:t>3</w:t>
            </w:r>
          </w:p>
        </w:tc>
        <w:tc>
          <w:tcPr>
            <w:tcW w:w="3544" w:type="dxa"/>
            <w:vAlign w:val="center"/>
          </w:tcPr>
          <w:p>
            <w:pPr>
              <w:widowControl/>
              <w:jc w:val="center"/>
              <w:textAlignment w:val="center"/>
              <w:rPr>
                <w:rFonts w:ascii="宋体" w:hAnsi="宋体"/>
                <w:bCs/>
                <w:sz w:val="18"/>
                <w:szCs w:val="18"/>
                <w:highlight w:val="red"/>
              </w:rPr>
            </w:pPr>
            <w:r>
              <w:rPr>
                <w:rFonts w:hint="eastAsia" w:ascii="宋体" w:hAnsi="宋体" w:cs="宋体"/>
                <w:color w:val="000000"/>
                <w:kern w:val="0"/>
                <w:sz w:val="18"/>
                <w:szCs w:val="18"/>
                <w:lang w:bidi="ar"/>
              </w:rPr>
              <w:t>T2、TAg0.1、TSn0.15、TSn0.3、TSn0.5、TMg0.25、TMg0.35、TMg0.45</w:t>
            </w:r>
          </w:p>
        </w:tc>
        <w:tc>
          <w:tcPr>
            <w:tcW w:w="2835" w:type="dxa"/>
            <w:vAlign w:val="center"/>
          </w:tcPr>
          <w:p>
            <w:pPr>
              <w:widowControl/>
              <w:jc w:val="center"/>
              <w:textAlignment w:val="center"/>
              <w:rPr>
                <w:rFonts w:ascii="宋体" w:hAnsi="宋体"/>
                <w:bCs/>
                <w:sz w:val="18"/>
                <w:szCs w:val="18"/>
                <w:highlight w:val="red"/>
              </w:rPr>
            </w:pPr>
            <w:r>
              <w:rPr>
                <w:rFonts w:hint="eastAsia" w:ascii="宋体" w:hAnsi="宋体" w:cs="宋体"/>
                <w:color w:val="000000"/>
                <w:kern w:val="0"/>
                <w:sz w:val="18"/>
                <w:szCs w:val="18"/>
                <w:lang w:bidi="ar"/>
              </w:rPr>
              <w:t>连续挤压+冷轧或拉拔</w:t>
            </w:r>
          </w:p>
        </w:tc>
        <w:tc>
          <w:tcPr>
            <w:tcW w:w="1665" w:type="dxa"/>
            <w:vAlign w:val="center"/>
          </w:tcPr>
          <w:p>
            <w:pPr>
              <w:jc w:val="center"/>
              <w:rPr>
                <w:rFonts w:ascii="宋体" w:hAnsi="宋体"/>
                <w:bCs/>
                <w:sz w:val="18"/>
                <w:szCs w:val="18"/>
              </w:rPr>
            </w:pPr>
            <w:r>
              <w:rPr>
                <w:rFonts w:hint="eastAsia" w:ascii="宋体" w:hAnsi="宋体"/>
                <w:bCs/>
                <w:sz w:val="18"/>
                <w:szCs w:val="1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544"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TMg0.25、TMg0.35</w:t>
            </w:r>
          </w:p>
        </w:tc>
        <w:tc>
          <w:tcPr>
            <w:tcW w:w="2835"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上引连铸+冷轧或拉拔</w:t>
            </w:r>
          </w:p>
        </w:tc>
        <w:tc>
          <w:tcPr>
            <w:tcW w:w="1665" w:type="dxa"/>
            <w:vAlign w:val="center"/>
          </w:tcPr>
          <w:p>
            <w:pPr>
              <w:widowControl/>
              <w:jc w:val="center"/>
              <w:textAlignment w:val="center"/>
              <w:rPr>
                <w:rFonts w:ascii="宋体" w:hAnsi="宋体"/>
                <w:bCs/>
                <w:sz w:val="18"/>
                <w:szCs w:val="18"/>
                <w:highlight w:val="red"/>
              </w:rPr>
            </w:pPr>
            <w:r>
              <w:rPr>
                <w:rFonts w:hint="eastAsia" w:ascii="宋体" w:hAnsi="宋体" w:cs="宋体"/>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3544"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TCr0.6-0.1</w:t>
            </w:r>
          </w:p>
        </w:tc>
        <w:tc>
          <w:tcPr>
            <w:tcW w:w="2835"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固溶热处理+冷加工（硬）+沉淀热处理</w:t>
            </w:r>
          </w:p>
        </w:tc>
        <w:tc>
          <w:tcPr>
            <w:tcW w:w="1665" w:type="dxa"/>
            <w:vAlign w:val="center"/>
          </w:tcPr>
          <w:p>
            <w:pPr>
              <w:jc w:val="center"/>
              <w:rPr>
                <w:rFonts w:ascii="宋体" w:hAnsi="宋体"/>
                <w:bCs/>
                <w:sz w:val="18"/>
                <w:szCs w:val="18"/>
                <w:highlight w:val="red"/>
              </w:rPr>
            </w:pPr>
            <w:r>
              <w:rPr>
                <w:rFonts w:hint="eastAsia" w:ascii="宋体" w:hAnsi="宋体"/>
                <w:bCs/>
                <w:sz w:val="18"/>
                <w:szCs w:val="18"/>
              </w:rPr>
              <w:t>0.2</w:t>
            </w:r>
          </w:p>
        </w:tc>
      </w:tr>
    </w:tbl>
    <w:p>
      <w:pPr>
        <w:spacing w:line="360" w:lineRule="exact"/>
        <w:ind w:firstLine="420"/>
        <w:jc w:val="left"/>
        <w:rPr>
          <w:rFonts w:ascii="黑体" w:hAnsi="宋体" w:eastAsia="黑体"/>
          <w:b/>
          <w:color w:val="FF0000"/>
          <w:szCs w:val="21"/>
        </w:rPr>
      </w:pPr>
      <w:r>
        <w:rPr>
          <w:rFonts w:hint="eastAsia" w:ascii="宋体" w:hAnsi="宋体"/>
          <w:bCs/>
          <w:szCs w:val="21"/>
          <w:highlight w:val="red"/>
        </w:rPr>
        <w:br w:type="textWrapping"/>
      </w:r>
      <w:r>
        <w:rPr>
          <w:rFonts w:hint="eastAsia" w:ascii="黑体" w:hAnsi="宋体" w:eastAsia="黑体"/>
          <w:b/>
          <w:color w:val="000000"/>
          <w:szCs w:val="21"/>
        </w:rPr>
        <w:t>3.7 表面及内部质量</w:t>
      </w:r>
      <w:r>
        <w:rPr>
          <w:rFonts w:hint="eastAsia" w:ascii="黑体" w:hAnsi="宋体" w:eastAsia="黑体"/>
          <w:b/>
          <w:color w:val="000000"/>
          <w:szCs w:val="21"/>
        </w:rPr>
        <w:br w:type="textWrapping"/>
      </w:r>
      <w:r>
        <w:rPr>
          <w:rFonts w:hint="eastAsia" w:ascii="黑体" w:hAnsi="宋体" w:eastAsia="黑体"/>
          <w:b/>
          <w:color w:val="000000"/>
          <w:szCs w:val="21"/>
        </w:rPr>
        <w:t xml:space="preserve">3.7.1 </w:t>
      </w:r>
      <w:r>
        <w:rPr>
          <w:rFonts w:hint="eastAsia" w:ascii="宋体" w:hAnsi="宋体"/>
          <w:bCs/>
          <w:szCs w:val="21"/>
        </w:rPr>
        <w:t>产品应成卷供应，每卷应为连续的一根，不允许有焊接。</w:t>
      </w:r>
      <w:r>
        <w:rPr>
          <w:rFonts w:hint="eastAsia" w:ascii="宋体" w:hAnsi="宋体"/>
          <w:bCs/>
          <w:szCs w:val="21"/>
        </w:rPr>
        <w:br w:type="textWrapping"/>
      </w:r>
      <w:r>
        <w:rPr>
          <w:rFonts w:hint="eastAsia" w:ascii="黑体" w:hAnsi="宋体" w:eastAsia="黑体"/>
          <w:b/>
          <w:color w:val="000000"/>
          <w:szCs w:val="21"/>
        </w:rPr>
        <w:t xml:space="preserve">3.7.2 </w:t>
      </w:r>
      <w:r>
        <w:rPr>
          <w:rFonts w:hint="eastAsia" w:ascii="宋体" w:hAnsi="宋体"/>
          <w:bCs/>
          <w:szCs w:val="21"/>
        </w:rPr>
        <w:t>产品表面应清洁、光滑，无裂纹、伤痕、毛刺、折边、硬弯、扭曲等缺陷。</w:t>
      </w:r>
      <w:r>
        <w:rPr>
          <w:rFonts w:hint="eastAsia" w:ascii="黑体" w:hAnsi="宋体" w:eastAsia="黑体"/>
          <w:bCs/>
          <w:color w:val="000000"/>
          <w:szCs w:val="21"/>
        </w:rPr>
        <w:br w:type="textWrapping"/>
      </w:r>
      <w:r>
        <w:rPr>
          <w:rFonts w:hint="eastAsia" w:ascii="黑体" w:hAnsi="宋体" w:eastAsia="黑体"/>
          <w:b/>
          <w:color w:val="000000"/>
          <w:szCs w:val="21"/>
        </w:rPr>
        <w:t xml:space="preserve">3.7.3 </w:t>
      </w:r>
      <w:r>
        <w:rPr>
          <w:rFonts w:hint="eastAsia" w:ascii="宋体" w:hAnsi="宋体"/>
          <w:bCs/>
          <w:szCs w:val="21"/>
        </w:rPr>
        <w:t>产品的卷重或长度根据合同规定，在合同规定的卷重或长度中不允许有缺陷。</w:t>
      </w:r>
      <w:r>
        <w:rPr>
          <w:rFonts w:hint="eastAsia" w:ascii="宋体" w:hAnsi="宋体"/>
          <w:bCs/>
          <w:szCs w:val="21"/>
        </w:rPr>
        <w:br w:type="textWrapping"/>
      </w:r>
      <w:r>
        <w:rPr>
          <w:rFonts w:hint="eastAsia" w:ascii="黑体" w:hAnsi="宋体" w:eastAsia="黑体"/>
          <w:b/>
          <w:color w:val="000000"/>
          <w:szCs w:val="21"/>
        </w:rPr>
        <w:t xml:space="preserve">3.7.4 </w:t>
      </w:r>
      <w:r>
        <w:rPr>
          <w:rFonts w:hint="eastAsia" w:ascii="宋体" w:hAnsi="宋体"/>
          <w:bCs/>
          <w:szCs w:val="21"/>
        </w:rPr>
        <w:t>产品内部不应有夹层、冷隔、疏松、缩孔、气孔或夹杂等缺陷。</w:t>
      </w:r>
    </w:p>
    <w:p>
      <w:pPr>
        <w:rPr>
          <w:rFonts w:ascii="宋体" w:hAnsi="宋体"/>
          <w:bCs/>
          <w:szCs w:val="21"/>
        </w:rPr>
      </w:pPr>
    </w:p>
    <w:p>
      <w:pPr>
        <w:rPr>
          <w:rFonts w:ascii="黑体" w:hAnsi="宋体" w:eastAsia="黑体"/>
          <w:b/>
          <w:color w:val="000000"/>
          <w:szCs w:val="21"/>
        </w:rPr>
      </w:pPr>
      <w:r>
        <w:rPr>
          <w:rFonts w:hint="eastAsia" w:ascii="黑体" w:hAnsi="宋体" w:eastAsia="黑体"/>
          <w:b/>
          <w:color w:val="000000"/>
          <w:szCs w:val="21"/>
        </w:rPr>
        <w:t>4  试验方法</w:t>
      </w:r>
    </w:p>
    <w:p>
      <w:pPr>
        <w:rPr>
          <w:rFonts w:ascii="黑体" w:hAnsi="宋体" w:eastAsia="黑体"/>
          <w:b/>
          <w:color w:val="000000"/>
          <w:szCs w:val="21"/>
        </w:rPr>
      </w:pPr>
    </w:p>
    <w:p>
      <w:pPr>
        <w:rPr>
          <w:rFonts w:ascii="黑体" w:hAnsi="宋体" w:eastAsia="黑体"/>
          <w:b/>
          <w:color w:val="000000"/>
          <w:szCs w:val="21"/>
        </w:rPr>
      </w:pPr>
      <w:r>
        <w:rPr>
          <w:rFonts w:hint="eastAsia" w:ascii="黑体" w:hAnsi="宋体" w:eastAsia="黑体"/>
          <w:b/>
          <w:color w:val="000000"/>
          <w:szCs w:val="21"/>
        </w:rPr>
        <w:t>4.1化学成分分析方法</w:t>
      </w:r>
    </w:p>
    <w:p>
      <w:pPr>
        <w:ind w:firstLine="420" w:firstLineChars="200"/>
        <w:jc w:val="left"/>
        <w:rPr>
          <w:rFonts w:ascii="宋体" w:hAnsi="宋体"/>
          <w:bCs/>
          <w:szCs w:val="21"/>
        </w:rPr>
      </w:pPr>
      <w:r>
        <w:rPr>
          <w:rFonts w:hint="eastAsia" w:ascii="宋体" w:hAnsi="宋体"/>
          <w:bCs/>
          <w:szCs w:val="21"/>
        </w:rPr>
        <w:t>产品的仲裁分析方法应按GB/T 5121（所有部分）的规定进行。</w:t>
      </w:r>
    </w:p>
    <w:p>
      <w:pPr>
        <w:spacing w:line="360" w:lineRule="exact"/>
        <w:ind w:firstLine="420" w:firstLineChars="200"/>
        <w:jc w:val="left"/>
        <w:rPr>
          <w:rFonts w:ascii="宋体" w:hAnsi="宋体"/>
          <w:bCs/>
          <w:szCs w:val="21"/>
        </w:rPr>
      </w:pPr>
    </w:p>
    <w:p>
      <w:pPr>
        <w:spacing w:line="360" w:lineRule="exact"/>
        <w:rPr>
          <w:rFonts w:ascii="黑体" w:hAnsi="宋体" w:eastAsia="黑体"/>
          <w:bCs/>
          <w:color w:val="000000"/>
          <w:szCs w:val="21"/>
        </w:rPr>
      </w:pPr>
      <w:r>
        <w:rPr>
          <w:rFonts w:hint="eastAsia" w:ascii="黑体" w:hAnsi="宋体" w:eastAsia="黑体"/>
          <w:b/>
          <w:color w:val="000000"/>
          <w:szCs w:val="21"/>
        </w:rPr>
        <w:t>4.2</w:t>
      </w:r>
      <w:r>
        <w:rPr>
          <w:rFonts w:hint="eastAsia" w:ascii="黑体" w:hAnsi="宋体" w:eastAsia="黑体"/>
          <w:bCs/>
          <w:color w:val="000000"/>
          <w:szCs w:val="21"/>
        </w:rPr>
        <w:t xml:space="preserve"> 尺寸测量方法</w:t>
      </w:r>
    </w:p>
    <w:p>
      <w:pPr>
        <w:spacing w:line="360" w:lineRule="exact"/>
        <w:ind w:firstLine="420" w:firstLineChars="200"/>
        <w:jc w:val="left"/>
        <w:rPr>
          <w:rFonts w:ascii="宋体" w:hAnsi="宋体"/>
          <w:bCs/>
          <w:szCs w:val="21"/>
        </w:rPr>
      </w:pPr>
      <w:r>
        <w:rPr>
          <w:rFonts w:hint="eastAsia" w:ascii="宋体" w:hAnsi="宋体"/>
          <w:bCs/>
          <w:szCs w:val="21"/>
        </w:rPr>
        <w:t>产品的尺寸测量方法应按GB/T 4909.2的规定进行。</w:t>
      </w:r>
    </w:p>
    <w:p>
      <w:pPr>
        <w:spacing w:line="360" w:lineRule="exact"/>
        <w:ind w:firstLine="420" w:firstLineChars="200"/>
        <w:jc w:val="left"/>
        <w:rPr>
          <w:rFonts w:ascii="宋体" w:hAnsi="宋体"/>
          <w:bCs/>
          <w:szCs w:val="21"/>
        </w:rPr>
      </w:pPr>
    </w:p>
    <w:p>
      <w:pPr>
        <w:spacing w:line="360" w:lineRule="exact"/>
        <w:rPr>
          <w:rFonts w:ascii="黑体" w:hAnsi="宋体" w:eastAsia="黑体"/>
          <w:bCs/>
          <w:color w:val="000000"/>
          <w:szCs w:val="21"/>
        </w:rPr>
      </w:pPr>
      <w:r>
        <w:rPr>
          <w:rFonts w:hint="eastAsia" w:ascii="黑体" w:hAnsi="宋体" w:eastAsia="黑体"/>
          <w:bCs/>
          <w:color w:val="000000"/>
          <w:szCs w:val="21"/>
        </w:rPr>
        <w:t>4.3 力学性能检测方法</w:t>
      </w:r>
    </w:p>
    <w:p>
      <w:pPr>
        <w:spacing w:line="360" w:lineRule="exact"/>
        <w:ind w:firstLine="420" w:firstLineChars="200"/>
        <w:jc w:val="left"/>
        <w:rPr>
          <w:rFonts w:ascii="宋体" w:hAnsi="宋体"/>
          <w:bCs/>
          <w:szCs w:val="21"/>
        </w:rPr>
      </w:pPr>
      <w:r>
        <w:rPr>
          <w:rFonts w:hint="eastAsia" w:ascii="宋体" w:hAnsi="宋体"/>
          <w:bCs/>
          <w:szCs w:val="21"/>
        </w:rPr>
        <w:t>铜线坯的室温拉伸试验应按GB/T 4909.3的规定进行。</w:t>
      </w:r>
    </w:p>
    <w:p>
      <w:pPr>
        <w:ind w:firstLine="420" w:firstLineChars="200"/>
        <w:jc w:val="left"/>
        <w:rPr>
          <w:rFonts w:ascii="宋体" w:hAnsi="宋体"/>
          <w:bCs/>
          <w:szCs w:val="21"/>
        </w:rPr>
      </w:pPr>
    </w:p>
    <w:p>
      <w:pPr>
        <w:spacing w:line="360" w:lineRule="exact"/>
        <w:rPr>
          <w:rFonts w:ascii="黑体" w:hAnsi="宋体" w:eastAsia="黑体"/>
          <w:bCs/>
          <w:color w:val="000000"/>
          <w:szCs w:val="21"/>
        </w:rPr>
      </w:pPr>
      <w:r>
        <w:rPr>
          <w:rFonts w:hint="eastAsia" w:ascii="黑体" w:hAnsi="宋体" w:eastAsia="黑体"/>
          <w:bCs/>
          <w:color w:val="000000"/>
          <w:szCs w:val="21"/>
        </w:rPr>
        <w:t>4.4电性能检验方法</w:t>
      </w:r>
    </w:p>
    <w:p>
      <w:pPr>
        <w:spacing w:line="360" w:lineRule="exact"/>
        <w:rPr>
          <w:rFonts w:ascii="宋体" w:hAnsi="宋体"/>
          <w:bCs/>
          <w:color w:val="FF0000"/>
          <w:szCs w:val="21"/>
        </w:rPr>
      </w:pPr>
      <w:r>
        <w:rPr>
          <w:rFonts w:hint="eastAsia" w:ascii="宋体" w:hAnsi="宋体"/>
          <w:bCs/>
          <w:szCs w:val="21"/>
        </w:rPr>
        <w:t>4.4.1 产品的电阻率测试方法应按GB/T 3048.2</w:t>
      </w:r>
      <w:r>
        <w:rPr>
          <w:rFonts w:ascii="宋体" w:hAnsi="宋体"/>
          <w:bCs/>
          <w:szCs w:val="21"/>
        </w:rPr>
        <w:t xml:space="preserve"> </w:t>
      </w:r>
      <w:r>
        <w:rPr>
          <w:rFonts w:hint="eastAsia" w:ascii="宋体" w:hAnsi="宋体"/>
          <w:bCs/>
          <w:szCs w:val="21"/>
        </w:rPr>
        <w:t>的规定进行。</w:t>
      </w:r>
    </w:p>
    <w:p>
      <w:pPr>
        <w:spacing w:line="360" w:lineRule="exact"/>
        <w:rPr>
          <w:rFonts w:ascii="宋体" w:hAnsi="宋体"/>
          <w:bCs/>
          <w:szCs w:val="21"/>
        </w:rPr>
      </w:pPr>
      <w:r>
        <w:rPr>
          <w:rFonts w:hint="eastAsia" w:ascii="宋体" w:hAnsi="宋体"/>
          <w:bCs/>
          <w:szCs w:val="21"/>
        </w:rPr>
        <w:t>4.4.2</w:t>
      </w:r>
      <w:r>
        <w:rPr>
          <w:rFonts w:hint="eastAsia" w:ascii="宋体" w:hAnsi="宋体"/>
          <w:bCs/>
          <w:color w:val="FF0000"/>
          <w:szCs w:val="21"/>
        </w:rPr>
        <w:t xml:space="preserve"> </w:t>
      </w:r>
      <w:r>
        <w:rPr>
          <w:rFonts w:hint="eastAsia" w:ascii="宋体" w:hAnsi="宋体"/>
          <w:bCs/>
          <w:szCs w:val="21"/>
        </w:rPr>
        <w:t>电阻率试验也可在经酸洗但未经进一步加工和退火的线坯试样上直接进行。</w:t>
      </w:r>
    </w:p>
    <w:p>
      <w:pPr>
        <w:rPr>
          <w:rFonts w:ascii="宋体" w:hAnsi="宋体"/>
          <w:bCs/>
          <w:color w:val="00B050"/>
          <w:szCs w:val="21"/>
        </w:rPr>
      </w:pPr>
    </w:p>
    <w:p>
      <w:pPr>
        <w:spacing w:line="360" w:lineRule="exact"/>
        <w:rPr>
          <w:rFonts w:ascii="黑体" w:hAnsi="宋体" w:eastAsia="黑体"/>
          <w:bCs/>
          <w:color w:val="000000"/>
          <w:szCs w:val="21"/>
        </w:rPr>
      </w:pPr>
      <w:r>
        <w:rPr>
          <w:rFonts w:hint="eastAsia" w:ascii="黑体" w:hAnsi="宋体" w:eastAsia="黑体"/>
          <w:bCs/>
          <w:color w:val="000000"/>
          <w:szCs w:val="21"/>
        </w:rPr>
        <w:t>4.5 晶粒度试验</w:t>
      </w:r>
    </w:p>
    <w:p>
      <w:pPr>
        <w:spacing w:line="360" w:lineRule="exact"/>
        <w:ind w:firstLine="420" w:firstLineChars="200"/>
        <w:rPr>
          <w:rFonts w:ascii="宋体" w:hAnsi="宋体"/>
          <w:bCs/>
          <w:szCs w:val="21"/>
        </w:rPr>
      </w:pPr>
      <w:r>
        <w:rPr>
          <w:rFonts w:hint="eastAsia" w:ascii="宋体" w:hAnsi="宋体"/>
          <w:bCs/>
          <w:color w:val="000000"/>
          <w:szCs w:val="21"/>
        </w:rPr>
        <w:t>晶粒度试验按照YS/T 347</w:t>
      </w:r>
      <w:r>
        <w:rPr>
          <w:rFonts w:ascii="宋体" w:hAnsi="宋体"/>
          <w:bCs/>
          <w:color w:val="000000"/>
          <w:szCs w:val="21"/>
        </w:rPr>
        <w:t xml:space="preserve"> </w:t>
      </w:r>
      <w:r>
        <w:rPr>
          <w:rFonts w:hint="eastAsia" w:ascii="宋体" w:hAnsi="宋体"/>
          <w:bCs/>
          <w:color w:val="000000"/>
          <w:szCs w:val="21"/>
        </w:rPr>
        <w:t>规定进行</w:t>
      </w:r>
      <w:r>
        <w:rPr>
          <w:rFonts w:hint="eastAsia" w:ascii="宋体" w:hAnsi="宋体"/>
          <w:bCs/>
          <w:szCs w:val="21"/>
        </w:rPr>
        <w:t>。</w:t>
      </w:r>
    </w:p>
    <w:p>
      <w:pPr>
        <w:ind w:firstLine="420" w:firstLineChars="200"/>
        <w:rPr>
          <w:rFonts w:ascii="宋体" w:hAnsi="宋体"/>
          <w:bCs/>
          <w:color w:val="000000"/>
          <w:szCs w:val="21"/>
        </w:rPr>
      </w:pPr>
    </w:p>
    <w:p>
      <w:pPr>
        <w:rPr>
          <w:rFonts w:ascii="黑体" w:hAnsi="宋体" w:eastAsia="黑体"/>
          <w:bCs/>
          <w:color w:val="000000"/>
          <w:szCs w:val="21"/>
        </w:rPr>
      </w:pPr>
      <w:r>
        <w:rPr>
          <w:rFonts w:hint="eastAsia" w:ascii="黑体" w:hAnsi="宋体" w:eastAsia="黑体"/>
          <w:bCs/>
          <w:color w:val="000000"/>
          <w:szCs w:val="21"/>
        </w:rPr>
        <w:t>4.6表面及内部质量检查方法</w:t>
      </w:r>
    </w:p>
    <w:p>
      <w:pPr>
        <w:spacing w:line="360" w:lineRule="exact"/>
        <w:jc w:val="left"/>
        <w:rPr>
          <w:rFonts w:ascii="宋体" w:hAnsi="宋体"/>
          <w:bCs/>
          <w:color w:val="000000"/>
          <w:szCs w:val="21"/>
        </w:rPr>
      </w:pPr>
      <w:r>
        <w:rPr>
          <w:rFonts w:hint="eastAsia" w:ascii="宋体" w:hAnsi="宋体"/>
          <w:bCs/>
          <w:color w:val="000000"/>
          <w:szCs w:val="21"/>
        </w:rPr>
        <w:t>4.6.1产品的表面质量以目测检查为主，必要时使用1</w:t>
      </w:r>
      <w:r>
        <w:rPr>
          <w:rFonts w:ascii="宋体" w:hAnsi="宋体"/>
          <w:bCs/>
          <w:color w:val="000000"/>
          <w:szCs w:val="21"/>
        </w:rPr>
        <w:t>0倍放大镜查看试样</w:t>
      </w:r>
      <w:r>
        <w:rPr>
          <w:rFonts w:hint="eastAsia" w:ascii="宋体" w:hAnsi="宋体"/>
          <w:bCs/>
          <w:color w:val="000000"/>
          <w:szCs w:val="21"/>
        </w:rPr>
        <w:t>。</w:t>
      </w:r>
    </w:p>
    <w:p>
      <w:pPr>
        <w:spacing w:line="360" w:lineRule="exact"/>
        <w:jc w:val="left"/>
        <w:rPr>
          <w:rFonts w:ascii="宋体" w:hAnsi="宋体"/>
          <w:bCs/>
          <w:szCs w:val="21"/>
        </w:rPr>
      </w:pPr>
      <w:r>
        <w:rPr>
          <w:rFonts w:hint="eastAsia" w:ascii="宋体" w:hAnsi="宋体"/>
          <w:bCs/>
          <w:szCs w:val="21"/>
        </w:rPr>
        <w:t xml:space="preserve">4.6.2产品的内部质量通过观察试样破坏后断口判断产品是否存在夹层、冷隔、疏松、缩孔、气孔或夹杂等缺陷。需方有要求时，可采用GB/T </w:t>
      </w:r>
      <w:r>
        <w:rPr>
          <w:rFonts w:ascii="宋体" w:hAnsi="宋体"/>
          <w:bCs/>
          <w:szCs w:val="21"/>
        </w:rPr>
        <w:t>29997</w:t>
      </w:r>
      <w:r>
        <w:rPr>
          <w:rFonts w:hint="eastAsia" w:ascii="宋体" w:hAnsi="宋体"/>
          <w:bCs/>
          <w:szCs w:val="21"/>
        </w:rPr>
        <w:t>规定执行。</w:t>
      </w:r>
    </w:p>
    <w:p>
      <w:pPr>
        <w:ind w:firstLine="420"/>
        <w:jc w:val="left"/>
        <w:rPr>
          <w:rFonts w:ascii="宋体" w:hAnsi="宋体"/>
          <w:bCs/>
          <w:color w:val="000000"/>
          <w:szCs w:val="21"/>
        </w:rPr>
      </w:pPr>
    </w:p>
    <w:p>
      <w:pPr>
        <w:rPr>
          <w:rFonts w:ascii="黑体" w:hAnsi="宋体" w:eastAsia="黑体"/>
          <w:color w:val="000000"/>
          <w:szCs w:val="21"/>
        </w:rPr>
      </w:pPr>
      <w:r>
        <w:rPr>
          <w:rFonts w:hint="eastAsia" w:ascii="黑体" w:hAnsi="宋体" w:eastAsia="黑体"/>
          <w:color w:val="000000"/>
          <w:szCs w:val="21"/>
        </w:rPr>
        <w:t>5  检验规则</w:t>
      </w:r>
    </w:p>
    <w:p>
      <w:pPr>
        <w:rPr>
          <w:rFonts w:ascii="黑体" w:hAnsi="宋体" w:eastAsia="黑体"/>
          <w:color w:val="000000"/>
          <w:szCs w:val="21"/>
        </w:rPr>
      </w:pPr>
    </w:p>
    <w:p>
      <w:pPr>
        <w:spacing w:line="360" w:lineRule="exact"/>
        <w:rPr>
          <w:rFonts w:ascii="黑体" w:hAnsi="宋体" w:eastAsia="黑体"/>
          <w:bCs/>
          <w:color w:val="000000"/>
          <w:szCs w:val="21"/>
        </w:rPr>
      </w:pPr>
      <w:r>
        <w:rPr>
          <w:rFonts w:hint="eastAsia" w:ascii="黑体" w:hAnsi="宋体" w:eastAsia="黑体"/>
          <w:bCs/>
          <w:color w:val="000000"/>
          <w:szCs w:val="21"/>
        </w:rPr>
        <w:t>5.1 检查和验收</w:t>
      </w:r>
    </w:p>
    <w:p>
      <w:pPr>
        <w:spacing w:line="360" w:lineRule="exact"/>
        <w:rPr>
          <w:rFonts w:ascii="宋体" w:hAnsi="宋体"/>
          <w:bCs/>
          <w:color w:val="000000"/>
          <w:szCs w:val="21"/>
        </w:rPr>
      </w:pPr>
      <w:r>
        <w:rPr>
          <w:rFonts w:hint="eastAsia" w:ascii="宋体" w:hAnsi="宋体"/>
          <w:bCs/>
          <w:color w:val="000000"/>
          <w:szCs w:val="21"/>
        </w:rPr>
        <w:t>5.1.1 产品应由供方或第三方进行检验，保证产品质量符合本标准或订货单（或合同）的规定，并填写质量证明书。</w:t>
      </w:r>
    </w:p>
    <w:p>
      <w:pPr>
        <w:spacing w:line="360" w:lineRule="exact"/>
        <w:rPr>
          <w:rFonts w:ascii="宋体" w:hAnsi="宋体"/>
          <w:bCs/>
          <w:color w:val="000000"/>
          <w:szCs w:val="21"/>
        </w:rPr>
      </w:pPr>
      <w:r>
        <w:rPr>
          <w:rFonts w:hint="eastAsia" w:ascii="宋体" w:hAnsi="宋体"/>
          <w:bCs/>
          <w:color w:val="000000"/>
          <w:szCs w:val="21"/>
        </w:rPr>
        <w:t>5.1.2 需方应对收到的产品按本标准的规定进行检验，如检验结果与本标准或订货单（合同）规定不符时，应以书面形式向供方提出，应在收到产品之日起1个月内向供方提出，由供需双方协商解决。如需仲裁，仲裁取样由供需双方共同进行，以仲裁检验结果为最终判定结果。</w:t>
      </w:r>
    </w:p>
    <w:p>
      <w:pPr>
        <w:spacing w:line="360" w:lineRule="exact"/>
        <w:rPr>
          <w:rFonts w:ascii="宋体" w:hAnsi="宋体"/>
          <w:bCs/>
          <w:color w:val="000000"/>
          <w:szCs w:val="21"/>
        </w:rPr>
      </w:pPr>
    </w:p>
    <w:p>
      <w:pPr>
        <w:spacing w:line="360" w:lineRule="exact"/>
        <w:rPr>
          <w:rFonts w:ascii="黑体" w:hAnsi="宋体" w:eastAsia="黑体"/>
          <w:bCs/>
          <w:color w:val="000000"/>
          <w:szCs w:val="21"/>
        </w:rPr>
      </w:pPr>
      <w:r>
        <w:rPr>
          <w:rFonts w:hint="eastAsia" w:ascii="黑体" w:hAnsi="宋体" w:eastAsia="黑体"/>
          <w:bCs/>
          <w:color w:val="000000"/>
          <w:szCs w:val="21"/>
        </w:rPr>
        <w:t>5.2 组批</w:t>
      </w:r>
    </w:p>
    <w:p>
      <w:pPr>
        <w:spacing w:line="360" w:lineRule="exact"/>
        <w:ind w:firstLine="420" w:firstLineChars="200"/>
        <w:rPr>
          <w:rFonts w:ascii="宋体" w:hAnsi="宋体"/>
          <w:bCs/>
          <w:color w:val="000000"/>
          <w:szCs w:val="21"/>
        </w:rPr>
      </w:pPr>
      <w:r>
        <w:rPr>
          <w:rFonts w:hint="eastAsia" w:ascii="宋体" w:hAnsi="宋体"/>
          <w:bCs/>
          <w:color w:val="000000"/>
          <w:szCs w:val="21"/>
        </w:rPr>
        <w:t>产品应成批提交验收，每批应由同一牌号、状态和规格组成。牌号TCr0.6-0.1每卷重量不低于1000kg，如有特殊需求由供需双方协商。</w:t>
      </w:r>
    </w:p>
    <w:p>
      <w:pPr>
        <w:ind w:firstLine="420" w:firstLineChars="200"/>
        <w:rPr>
          <w:rFonts w:ascii="宋体" w:hAnsi="宋体"/>
          <w:bCs/>
          <w:color w:val="000000"/>
          <w:szCs w:val="21"/>
        </w:rPr>
      </w:pPr>
    </w:p>
    <w:p>
      <w:pPr>
        <w:spacing w:line="360" w:lineRule="exact"/>
        <w:rPr>
          <w:rFonts w:ascii="黑体" w:hAnsi="宋体" w:eastAsia="黑体"/>
          <w:bCs/>
          <w:color w:val="000000"/>
          <w:szCs w:val="21"/>
        </w:rPr>
      </w:pPr>
      <w:r>
        <w:rPr>
          <w:rFonts w:hint="eastAsia" w:ascii="黑体" w:hAnsi="宋体" w:eastAsia="黑体"/>
          <w:bCs/>
          <w:color w:val="000000"/>
          <w:szCs w:val="21"/>
        </w:rPr>
        <w:t>5.3 检验项目</w:t>
      </w:r>
    </w:p>
    <w:p>
      <w:pPr>
        <w:spacing w:line="360" w:lineRule="exact"/>
        <w:ind w:firstLine="420" w:firstLineChars="200"/>
        <w:rPr>
          <w:rFonts w:ascii="宋体" w:hAnsi="宋体"/>
          <w:bCs/>
          <w:color w:val="000000"/>
          <w:szCs w:val="21"/>
        </w:rPr>
      </w:pPr>
      <w:r>
        <w:rPr>
          <w:rFonts w:hint="eastAsia" w:ascii="宋体" w:hAnsi="宋体"/>
          <w:bCs/>
          <w:color w:val="000000"/>
          <w:szCs w:val="21"/>
        </w:rPr>
        <w:t>每批产品均应进行化学成分、尺寸偏差、力学性能、扭转性能、电性能和表面质量的检验，产品的晶粒度根据用户需要做试验。</w:t>
      </w:r>
    </w:p>
    <w:p>
      <w:pPr>
        <w:spacing w:line="360" w:lineRule="exact"/>
        <w:ind w:firstLine="420" w:firstLineChars="200"/>
        <w:rPr>
          <w:rFonts w:ascii="宋体" w:hAnsi="宋体"/>
          <w:bCs/>
          <w:color w:val="000000"/>
          <w:szCs w:val="21"/>
        </w:rPr>
      </w:pPr>
    </w:p>
    <w:p>
      <w:pPr>
        <w:spacing w:line="360" w:lineRule="exact"/>
        <w:rPr>
          <w:rFonts w:ascii="黑体" w:hAnsi="宋体" w:eastAsia="黑体"/>
          <w:bCs/>
          <w:color w:val="000000"/>
          <w:szCs w:val="21"/>
        </w:rPr>
      </w:pPr>
      <w:r>
        <w:rPr>
          <w:rFonts w:hint="eastAsia" w:ascii="黑体" w:hAnsi="宋体" w:eastAsia="黑体"/>
          <w:bCs/>
          <w:color w:val="000000"/>
          <w:szCs w:val="21"/>
        </w:rPr>
        <w:t>5.4取样</w:t>
      </w:r>
    </w:p>
    <w:p>
      <w:pPr>
        <w:spacing w:line="360" w:lineRule="exact"/>
        <w:rPr>
          <w:rFonts w:ascii="宋体" w:hAnsi="宋体"/>
          <w:bCs/>
          <w:szCs w:val="21"/>
        </w:rPr>
      </w:pPr>
      <w:r>
        <w:rPr>
          <w:rFonts w:hint="eastAsia" w:ascii="宋体" w:hAnsi="宋体"/>
          <w:bCs/>
          <w:szCs w:val="21"/>
        </w:rPr>
        <w:t>5.4.1 产品取样应符合表6规定。</w:t>
      </w:r>
    </w:p>
    <w:p>
      <w:pPr>
        <w:spacing w:line="360" w:lineRule="exact"/>
        <w:ind w:firstLine="3465" w:firstLineChars="1650"/>
        <w:rPr>
          <w:rFonts w:ascii="宋体" w:hAnsi="宋体"/>
          <w:bCs/>
          <w:color w:val="000000"/>
          <w:szCs w:val="21"/>
        </w:rPr>
      </w:pPr>
      <w:r>
        <w:rPr>
          <w:rFonts w:hint="eastAsia" w:ascii="宋体" w:hAnsi="宋体"/>
          <w:bCs/>
          <w:color w:val="000000"/>
          <w:szCs w:val="21"/>
        </w:rPr>
        <w:t>表6  产品的取样</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2706"/>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pPr>
              <w:jc w:val="center"/>
              <w:rPr>
                <w:rFonts w:ascii="宋体" w:hAnsi="宋体"/>
                <w:bCs/>
                <w:color w:val="000000"/>
                <w:szCs w:val="21"/>
              </w:rPr>
            </w:pPr>
            <w:r>
              <w:rPr>
                <w:rFonts w:hint="eastAsia" w:ascii="宋体" w:hAnsi="宋体"/>
                <w:bCs/>
                <w:color w:val="000000"/>
                <w:szCs w:val="21"/>
              </w:rPr>
              <w:t>检验项目</w:t>
            </w:r>
          </w:p>
        </w:tc>
        <w:tc>
          <w:tcPr>
            <w:tcW w:w="2706" w:type="dxa"/>
            <w:vAlign w:val="center"/>
          </w:tcPr>
          <w:p>
            <w:pPr>
              <w:jc w:val="center"/>
              <w:rPr>
                <w:rFonts w:ascii="宋体" w:hAnsi="宋体"/>
                <w:bCs/>
                <w:color w:val="000000"/>
                <w:szCs w:val="21"/>
              </w:rPr>
            </w:pPr>
            <w:r>
              <w:rPr>
                <w:rFonts w:hint="eastAsia" w:ascii="宋体" w:hAnsi="宋体"/>
                <w:bCs/>
                <w:color w:val="000000"/>
                <w:szCs w:val="21"/>
              </w:rPr>
              <w:t>取样规定</w:t>
            </w:r>
          </w:p>
        </w:tc>
        <w:tc>
          <w:tcPr>
            <w:tcW w:w="2322" w:type="dxa"/>
            <w:vAlign w:val="center"/>
          </w:tcPr>
          <w:p>
            <w:pPr>
              <w:jc w:val="center"/>
              <w:rPr>
                <w:rFonts w:ascii="宋体" w:hAnsi="宋体"/>
                <w:bCs/>
                <w:color w:val="000000"/>
                <w:szCs w:val="21"/>
              </w:rPr>
            </w:pPr>
            <w:r>
              <w:rPr>
                <w:rFonts w:hint="eastAsia" w:ascii="宋体" w:hAnsi="宋体"/>
                <w:bCs/>
                <w:color w:val="000000"/>
                <w:szCs w:val="21"/>
              </w:rPr>
              <w:t>要求的章条号</w:t>
            </w:r>
          </w:p>
        </w:tc>
        <w:tc>
          <w:tcPr>
            <w:tcW w:w="2322" w:type="dxa"/>
            <w:vAlign w:val="center"/>
          </w:tcPr>
          <w:p>
            <w:pPr>
              <w:jc w:val="center"/>
              <w:rPr>
                <w:rFonts w:ascii="宋体" w:hAnsi="宋体"/>
                <w:bCs/>
                <w:color w:val="000000"/>
                <w:szCs w:val="21"/>
              </w:rPr>
            </w:pPr>
            <w:r>
              <w:rPr>
                <w:rFonts w:hint="eastAsia" w:ascii="宋体" w:hAnsi="宋体"/>
                <w:bCs/>
                <w:color w:val="000000"/>
                <w:szCs w:val="21"/>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pPr>
              <w:jc w:val="center"/>
              <w:rPr>
                <w:rFonts w:ascii="宋体" w:hAnsi="宋体"/>
                <w:bCs/>
                <w:color w:val="000000"/>
                <w:szCs w:val="21"/>
              </w:rPr>
            </w:pPr>
            <w:r>
              <w:rPr>
                <w:rFonts w:hint="eastAsia" w:ascii="宋体" w:hAnsi="宋体"/>
                <w:bCs/>
                <w:color w:val="000000"/>
                <w:szCs w:val="21"/>
              </w:rPr>
              <w:t>化学成分</w:t>
            </w:r>
          </w:p>
        </w:tc>
        <w:tc>
          <w:tcPr>
            <w:tcW w:w="2706" w:type="dxa"/>
            <w:vAlign w:val="center"/>
          </w:tcPr>
          <w:p>
            <w:pPr>
              <w:jc w:val="center"/>
              <w:rPr>
                <w:rFonts w:ascii="宋体" w:hAnsi="宋体"/>
                <w:bCs/>
                <w:color w:val="000000"/>
                <w:szCs w:val="21"/>
              </w:rPr>
            </w:pPr>
            <w:r>
              <w:rPr>
                <w:rFonts w:hint="eastAsia" w:ascii="宋体" w:hAnsi="宋体"/>
                <w:bCs/>
                <w:color w:val="000000"/>
                <w:szCs w:val="21"/>
              </w:rPr>
              <w:t>逐卷检查</w:t>
            </w:r>
          </w:p>
        </w:tc>
        <w:tc>
          <w:tcPr>
            <w:tcW w:w="2322" w:type="dxa"/>
            <w:vAlign w:val="center"/>
          </w:tcPr>
          <w:p>
            <w:pPr>
              <w:jc w:val="center"/>
              <w:rPr>
                <w:rFonts w:ascii="宋体" w:hAnsi="宋体"/>
                <w:bCs/>
                <w:color w:val="000000"/>
                <w:szCs w:val="21"/>
              </w:rPr>
            </w:pPr>
            <w:r>
              <w:rPr>
                <w:rFonts w:hint="eastAsia" w:ascii="宋体" w:hAnsi="宋体"/>
                <w:bCs/>
                <w:color w:val="000000"/>
                <w:szCs w:val="21"/>
              </w:rPr>
              <w:t>3.2</w:t>
            </w:r>
          </w:p>
        </w:tc>
        <w:tc>
          <w:tcPr>
            <w:tcW w:w="2322" w:type="dxa"/>
            <w:vAlign w:val="center"/>
          </w:tcPr>
          <w:p>
            <w:pPr>
              <w:jc w:val="center"/>
              <w:rPr>
                <w:rFonts w:ascii="宋体" w:hAnsi="宋体"/>
                <w:bCs/>
                <w:color w:val="000000"/>
                <w:szCs w:val="21"/>
              </w:rPr>
            </w:pPr>
            <w:r>
              <w:rPr>
                <w:rFonts w:hint="eastAsia" w:ascii="宋体" w:hAnsi="宋体"/>
                <w:bCs/>
                <w:color w:val="000000"/>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pPr>
              <w:jc w:val="center"/>
              <w:rPr>
                <w:rFonts w:ascii="宋体" w:hAnsi="宋体"/>
                <w:bCs/>
                <w:color w:val="000000"/>
                <w:szCs w:val="21"/>
              </w:rPr>
            </w:pPr>
            <w:r>
              <w:rPr>
                <w:rFonts w:hint="eastAsia" w:ascii="宋体" w:hAnsi="宋体"/>
                <w:bCs/>
                <w:color w:val="000000"/>
                <w:szCs w:val="21"/>
              </w:rPr>
              <w:t>尺寸偏差</w:t>
            </w:r>
          </w:p>
        </w:tc>
        <w:tc>
          <w:tcPr>
            <w:tcW w:w="2706" w:type="dxa"/>
            <w:vAlign w:val="center"/>
          </w:tcPr>
          <w:p>
            <w:pPr>
              <w:jc w:val="center"/>
              <w:rPr>
                <w:rFonts w:ascii="宋体" w:hAnsi="宋体"/>
                <w:bCs/>
                <w:color w:val="000000"/>
                <w:szCs w:val="21"/>
              </w:rPr>
            </w:pPr>
            <w:r>
              <w:rPr>
                <w:rFonts w:hint="eastAsia" w:ascii="宋体" w:hAnsi="宋体"/>
                <w:bCs/>
                <w:color w:val="000000"/>
                <w:szCs w:val="21"/>
              </w:rPr>
              <w:t>逐卷检查</w:t>
            </w:r>
          </w:p>
        </w:tc>
        <w:tc>
          <w:tcPr>
            <w:tcW w:w="2322" w:type="dxa"/>
            <w:vAlign w:val="center"/>
          </w:tcPr>
          <w:p>
            <w:pPr>
              <w:jc w:val="center"/>
              <w:rPr>
                <w:rFonts w:ascii="宋体" w:hAnsi="宋体"/>
                <w:bCs/>
                <w:color w:val="000000"/>
                <w:szCs w:val="21"/>
              </w:rPr>
            </w:pPr>
            <w:r>
              <w:rPr>
                <w:rFonts w:hint="eastAsia" w:ascii="宋体" w:hAnsi="宋体"/>
                <w:bCs/>
                <w:color w:val="000000"/>
                <w:szCs w:val="21"/>
              </w:rPr>
              <w:t>3.3</w:t>
            </w:r>
          </w:p>
        </w:tc>
        <w:tc>
          <w:tcPr>
            <w:tcW w:w="2322" w:type="dxa"/>
            <w:vAlign w:val="center"/>
          </w:tcPr>
          <w:p>
            <w:pPr>
              <w:jc w:val="center"/>
              <w:rPr>
                <w:rFonts w:ascii="宋体" w:hAnsi="宋体"/>
                <w:bCs/>
                <w:color w:val="000000"/>
                <w:szCs w:val="21"/>
              </w:rPr>
            </w:pPr>
            <w:r>
              <w:rPr>
                <w:rFonts w:hint="eastAsia" w:ascii="宋体" w:hAnsi="宋体"/>
                <w:bCs/>
                <w:color w:val="00000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pPr>
              <w:jc w:val="center"/>
              <w:rPr>
                <w:rFonts w:ascii="宋体" w:hAnsi="宋体"/>
                <w:bCs/>
                <w:color w:val="000000"/>
                <w:szCs w:val="21"/>
              </w:rPr>
            </w:pPr>
            <w:r>
              <w:rPr>
                <w:rFonts w:hint="eastAsia" w:ascii="宋体" w:hAnsi="宋体"/>
                <w:bCs/>
                <w:color w:val="000000"/>
                <w:szCs w:val="21"/>
              </w:rPr>
              <w:t>力学性能</w:t>
            </w:r>
          </w:p>
        </w:tc>
        <w:tc>
          <w:tcPr>
            <w:tcW w:w="2706" w:type="dxa"/>
            <w:vAlign w:val="center"/>
          </w:tcPr>
          <w:p>
            <w:pPr>
              <w:jc w:val="center"/>
              <w:rPr>
                <w:rFonts w:ascii="宋体" w:hAnsi="宋体"/>
                <w:bCs/>
                <w:color w:val="000000"/>
                <w:szCs w:val="21"/>
              </w:rPr>
            </w:pPr>
            <w:r>
              <w:rPr>
                <w:rFonts w:hint="eastAsia" w:ascii="宋体" w:hAnsi="宋体"/>
                <w:bCs/>
                <w:color w:val="000000"/>
                <w:szCs w:val="21"/>
              </w:rPr>
              <w:t>逐卷检查</w:t>
            </w:r>
          </w:p>
        </w:tc>
        <w:tc>
          <w:tcPr>
            <w:tcW w:w="2322" w:type="dxa"/>
            <w:vAlign w:val="center"/>
          </w:tcPr>
          <w:p>
            <w:pPr>
              <w:jc w:val="center"/>
              <w:rPr>
                <w:rFonts w:ascii="宋体" w:hAnsi="宋体"/>
                <w:bCs/>
                <w:color w:val="000000"/>
                <w:szCs w:val="21"/>
              </w:rPr>
            </w:pPr>
            <w:r>
              <w:rPr>
                <w:rFonts w:hint="eastAsia" w:ascii="宋体" w:hAnsi="宋体"/>
                <w:bCs/>
                <w:color w:val="000000"/>
                <w:szCs w:val="21"/>
              </w:rPr>
              <w:t>3.4</w:t>
            </w:r>
          </w:p>
        </w:tc>
        <w:tc>
          <w:tcPr>
            <w:tcW w:w="2322" w:type="dxa"/>
            <w:vAlign w:val="center"/>
          </w:tcPr>
          <w:p>
            <w:pPr>
              <w:jc w:val="center"/>
              <w:rPr>
                <w:rFonts w:ascii="宋体" w:hAnsi="宋体"/>
                <w:bCs/>
                <w:color w:val="000000"/>
                <w:szCs w:val="21"/>
              </w:rPr>
            </w:pPr>
            <w:r>
              <w:rPr>
                <w:rFonts w:hint="eastAsia" w:ascii="宋体" w:hAnsi="宋体"/>
                <w:bCs/>
                <w:color w:val="00000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pPr>
              <w:jc w:val="center"/>
              <w:rPr>
                <w:rFonts w:ascii="宋体" w:hAnsi="宋体"/>
                <w:bCs/>
                <w:color w:val="000000"/>
                <w:szCs w:val="21"/>
              </w:rPr>
            </w:pPr>
            <w:r>
              <w:rPr>
                <w:rFonts w:hint="eastAsia" w:ascii="宋体" w:hAnsi="宋体"/>
                <w:bCs/>
                <w:color w:val="000000"/>
                <w:szCs w:val="21"/>
              </w:rPr>
              <w:t>电性能</w:t>
            </w:r>
          </w:p>
        </w:tc>
        <w:tc>
          <w:tcPr>
            <w:tcW w:w="2706" w:type="dxa"/>
            <w:vAlign w:val="center"/>
          </w:tcPr>
          <w:p>
            <w:pPr>
              <w:jc w:val="center"/>
              <w:rPr>
                <w:rFonts w:ascii="宋体" w:hAnsi="宋体"/>
                <w:bCs/>
                <w:color w:val="000000"/>
                <w:szCs w:val="21"/>
              </w:rPr>
            </w:pPr>
            <w:r>
              <w:rPr>
                <w:rFonts w:hint="eastAsia" w:ascii="宋体" w:hAnsi="宋体"/>
                <w:bCs/>
                <w:color w:val="000000"/>
                <w:szCs w:val="21"/>
              </w:rPr>
              <w:t>每15卷或30t取一个试样</w:t>
            </w:r>
          </w:p>
        </w:tc>
        <w:tc>
          <w:tcPr>
            <w:tcW w:w="2322" w:type="dxa"/>
            <w:vAlign w:val="center"/>
          </w:tcPr>
          <w:p>
            <w:pPr>
              <w:jc w:val="center"/>
              <w:rPr>
                <w:rFonts w:ascii="宋体" w:hAnsi="宋体"/>
                <w:bCs/>
                <w:color w:val="000000"/>
                <w:szCs w:val="21"/>
              </w:rPr>
            </w:pPr>
            <w:r>
              <w:rPr>
                <w:rFonts w:hint="eastAsia" w:ascii="宋体" w:hAnsi="宋体"/>
                <w:bCs/>
                <w:color w:val="000000"/>
                <w:szCs w:val="21"/>
              </w:rPr>
              <w:t>3.5</w:t>
            </w:r>
          </w:p>
        </w:tc>
        <w:tc>
          <w:tcPr>
            <w:tcW w:w="2322" w:type="dxa"/>
            <w:vAlign w:val="center"/>
          </w:tcPr>
          <w:p>
            <w:pPr>
              <w:jc w:val="center"/>
              <w:rPr>
                <w:rFonts w:ascii="宋体" w:hAnsi="宋体"/>
                <w:bCs/>
                <w:color w:val="000000"/>
                <w:szCs w:val="21"/>
              </w:rPr>
            </w:pPr>
            <w:r>
              <w:rPr>
                <w:rFonts w:hint="eastAsia" w:ascii="宋体" w:hAnsi="宋体"/>
                <w:bCs/>
                <w:color w:val="00000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pPr>
              <w:jc w:val="center"/>
              <w:rPr>
                <w:rFonts w:ascii="宋体" w:hAnsi="宋体"/>
                <w:bCs/>
                <w:color w:val="000000"/>
                <w:szCs w:val="21"/>
              </w:rPr>
            </w:pPr>
            <w:r>
              <w:rPr>
                <w:rFonts w:hint="eastAsia" w:ascii="宋体" w:hAnsi="宋体"/>
                <w:bCs/>
                <w:color w:val="000000"/>
                <w:szCs w:val="21"/>
              </w:rPr>
              <w:t>晶粒度</w:t>
            </w:r>
          </w:p>
        </w:tc>
        <w:tc>
          <w:tcPr>
            <w:tcW w:w="2706" w:type="dxa"/>
            <w:vAlign w:val="center"/>
          </w:tcPr>
          <w:p>
            <w:pPr>
              <w:jc w:val="center"/>
              <w:rPr>
                <w:rFonts w:ascii="宋体" w:hAnsi="宋体"/>
                <w:bCs/>
                <w:color w:val="000000"/>
                <w:szCs w:val="21"/>
              </w:rPr>
            </w:pPr>
            <w:r>
              <w:rPr>
                <w:rFonts w:hint="eastAsia" w:ascii="宋体" w:hAnsi="宋体"/>
                <w:bCs/>
                <w:color w:val="000000"/>
                <w:szCs w:val="21"/>
              </w:rPr>
              <w:t>根据用户需求</w:t>
            </w:r>
          </w:p>
        </w:tc>
        <w:tc>
          <w:tcPr>
            <w:tcW w:w="2322" w:type="dxa"/>
            <w:vAlign w:val="center"/>
          </w:tcPr>
          <w:p>
            <w:pPr>
              <w:jc w:val="center"/>
              <w:rPr>
                <w:rFonts w:ascii="宋体" w:hAnsi="宋体"/>
                <w:bCs/>
                <w:color w:val="000000"/>
                <w:szCs w:val="21"/>
              </w:rPr>
            </w:pPr>
            <w:r>
              <w:rPr>
                <w:rFonts w:hint="eastAsia" w:ascii="宋体" w:hAnsi="宋体"/>
                <w:bCs/>
                <w:color w:val="000000"/>
                <w:szCs w:val="21"/>
              </w:rPr>
              <w:t>3.6</w:t>
            </w:r>
          </w:p>
        </w:tc>
        <w:tc>
          <w:tcPr>
            <w:tcW w:w="2322" w:type="dxa"/>
            <w:vAlign w:val="center"/>
          </w:tcPr>
          <w:p>
            <w:pPr>
              <w:jc w:val="center"/>
              <w:rPr>
                <w:rFonts w:ascii="宋体" w:hAnsi="宋体"/>
                <w:bCs/>
                <w:color w:val="000000"/>
                <w:szCs w:val="21"/>
              </w:rPr>
            </w:pPr>
            <w:r>
              <w:rPr>
                <w:rFonts w:hint="eastAsia" w:ascii="宋体" w:hAnsi="宋体"/>
                <w:bCs/>
                <w:color w:val="00000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pPr>
              <w:jc w:val="center"/>
              <w:rPr>
                <w:rFonts w:ascii="宋体" w:hAnsi="宋体"/>
                <w:bCs/>
                <w:color w:val="000000"/>
                <w:szCs w:val="21"/>
              </w:rPr>
            </w:pPr>
            <w:r>
              <w:rPr>
                <w:rFonts w:hint="eastAsia" w:ascii="宋体" w:hAnsi="宋体"/>
                <w:bCs/>
                <w:color w:val="000000"/>
                <w:szCs w:val="21"/>
              </w:rPr>
              <w:t>表面质量</w:t>
            </w:r>
          </w:p>
        </w:tc>
        <w:tc>
          <w:tcPr>
            <w:tcW w:w="2706" w:type="dxa"/>
            <w:vAlign w:val="center"/>
          </w:tcPr>
          <w:p>
            <w:pPr>
              <w:jc w:val="center"/>
              <w:rPr>
                <w:rFonts w:ascii="宋体" w:hAnsi="宋体"/>
                <w:bCs/>
                <w:color w:val="000000"/>
                <w:szCs w:val="21"/>
              </w:rPr>
            </w:pPr>
            <w:r>
              <w:rPr>
                <w:rFonts w:hint="eastAsia" w:ascii="宋体" w:hAnsi="宋体"/>
                <w:bCs/>
                <w:color w:val="000000"/>
                <w:szCs w:val="21"/>
              </w:rPr>
              <w:t>逐卷检查</w:t>
            </w:r>
          </w:p>
        </w:tc>
        <w:tc>
          <w:tcPr>
            <w:tcW w:w="2322" w:type="dxa"/>
            <w:vAlign w:val="center"/>
          </w:tcPr>
          <w:p>
            <w:pPr>
              <w:jc w:val="center"/>
              <w:rPr>
                <w:rFonts w:ascii="宋体" w:hAnsi="宋体"/>
                <w:bCs/>
                <w:color w:val="000000"/>
                <w:szCs w:val="21"/>
              </w:rPr>
            </w:pPr>
            <w:r>
              <w:rPr>
                <w:rFonts w:hint="eastAsia" w:ascii="宋体" w:hAnsi="宋体"/>
                <w:bCs/>
                <w:color w:val="000000"/>
                <w:szCs w:val="21"/>
              </w:rPr>
              <w:t>3.7</w:t>
            </w:r>
          </w:p>
        </w:tc>
        <w:tc>
          <w:tcPr>
            <w:tcW w:w="2322" w:type="dxa"/>
            <w:vAlign w:val="center"/>
          </w:tcPr>
          <w:p>
            <w:pPr>
              <w:jc w:val="center"/>
              <w:rPr>
                <w:rFonts w:ascii="宋体" w:hAnsi="宋体"/>
                <w:bCs/>
                <w:color w:val="000000"/>
                <w:szCs w:val="21"/>
              </w:rPr>
            </w:pPr>
            <w:r>
              <w:rPr>
                <w:rFonts w:hint="eastAsia" w:ascii="宋体" w:hAnsi="宋体"/>
                <w:bCs/>
                <w:color w:val="000000"/>
                <w:szCs w:val="21"/>
              </w:rPr>
              <w:t>4.6</w:t>
            </w:r>
          </w:p>
        </w:tc>
      </w:tr>
    </w:tbl>
    <w:p>
      <w:pPr>
        <w:rPr>
          <w:rFonts w:ascii="宋体" w:hAnsi="宋体"/>
          <w:bCs/>
          <w:color w:val="000000"/>
          <w:szCs w:val="21"/>
        </w:rPr>
      </w:pPr>
    </w:p>
    <w:p>
      <w:pPr>
        <w:spacing w:line="360" w:lineRule="exact"/>
        <w:rPr>
          <w:rFonts w:ascii="黑体" w:hAnsi="宋体" w:eastAsia="黑体"/>
          <w:bCs/>
          <w:color w:val="000000"/>
          <w:szCs w:val="21"/>
        </w:rPr>
      </w:pPr>
      <w:r>
        <w:rPr>
          <w:rFonts w:hint="eastAsia" w:ascii="黑体" w:hAnsi="宋体" w:eastAsia="黑体"/>
          <w:bCs/>
          <w:color w:val="000000"/>
          <w:szCs w:val="21"/>
        </w:rPr>
        <w:t>5.5 检验结果的判定</w:t>
      </w:r>
    </w:p>
    <w:p>
      <w:pPr>
        <w:spacing w:line="360" w:lineRule="exact"/>
        <w:rPr>
          <w:rFonts w:ascii="宋体" w:hAnsi="宋体"/>
          <w:bCs/>
          <w:color w:val="000000"/>
          <w:szCs w:val="21"/>
        </w:rPr>
      </w:pPr>
      <w:r>
        <w:rPr>
          <w:rFonts w:hint="eastAsia" w:ascii="宋体" w:hAnsi="宋体"/>
          <w:bCs/>
          <w:color w:val="000000"/>
          <w:szCs w:val="21"/>
        </w:rPr>
        <w:t>5.5.1产品化学成分、力学性能、扭转特性、尺寸偏差、表面质量不合格时，判该卷产品不合格。</w:t>
      </w:r>
    </w:p>
    <w:p>
      <w:pPr>
        <w:pStyle w:val="6"/>
        <w:spacing w:line="360" w:lineRule="exact"/>
        <w:ind w:left="0" w:leftChars="0"/>
        <w:rPr>
          <w:rFonts w:ascii="宋体" w:hAnsi="宋体"/>
          <w:bCs/>
          <w:color w:val="000000"/>
          <w:szCs w:val="21"/>
        </w:rPr>
      </w:pPr>
      <w:r>
        <w:rPr>
          <w:rFonts w:hint="eastAsia" w:ascii="宋体" w:hAnsi="宋体"/>
          <w:bCs/>
          <w:color w:val="000000"/>
          <w:szCs w:val="21"/>
        </w:rPr>
        <w:t>5.5.2 当电性能、晶粒度试验结果中有试样不合格时，应从该批产品（包括原检验不合格的那卷产品）中另取双倍数量的试样进行重复试验。重复试验结果全部合格，则判整批产品合格。诺重复试验结果仍有试样不合格，则判该批产品不合格。</w:t>
      </w:r>
    </w:p>
    <w:p/>
    <w:p>
      <w:pPr>
        <w:rPr>
          <w:rFonts w:ascii="黑体" w:hAnsi="宋体" w:eastAsia="黑体"/>
          <w:szCs w:val="21"/>
        </w:rPr>
      </w:pPr>
      <w:r>
        <w:rPr>
          <w:rFonts w:hint="eastAsia" w:ascii="黑体" w:hAnsi="宋体" w:eastAsia="黑体"/>
          <w:szCs w:val="21"/>
        </w:rPr>
        <w:t>6标志、包装、运输、贮存和质量证明书</w:t>
      </w:r>
    </w:p>
    <w:p>
      <w:pPr>
        <w:spacing w:line="360" w:lineRule="exact"/>
        <w:rPr>
          <w:rFonts w:ascii="黑体" w:hAnsi="宋体" w:eastAsia="黑体"/>
          <w:szCs w:val="21"/>
        </w:rPr>
      </w:pPr>
    </w:p>
    <w:p>
      <w:pPr>
        <w:spacing w:line="360" w:lineRule="exact"/>
        <w:ind w:left="19" w:leftChars="9"/>
        <w:rPr>
          <w:rFonts w:ascii="黑体" w:hAnsi="宋体" w:eastAsia="黑体"/>
          <w:bCs/>
          <w:color w:val="000000"/>
          <w:szCs w:val="21"/>
        </w:rPr>
      </w:pPr>
      <w:r>
        <w:rPr>
          <w:rFonts w:hint="eastAsia" w:ascii="黑体" w:hAnsi="宋体" w:eastAsia="黑体"/>
          <w:bCs/>
          <w:color w:val="000000"/>
          <w:szCs w:val="21"/>
        </w:rPr>
        <w:t>6.1 标志</w:t>
      </w:r>
    </w:p>
    <w:p>
      <w:pPr>
        <w:spacing w:line="360" w:lineRule="exact"/>
        <w:ind w:left="19" w:leftChars="9"/>
        <w:rPr>
          <w:rFonts w:ascii="宋体" w:hAnsi="宋体"/>
          <w:bCs/>
          <w:color w:val="000000"/>
          <w:szCs w:val="21"/>
        </w:rPr>
      </w:pPr>
      <w:r>
        <w:rPr>
          <w:rFonts w:hint="eastAsia" w:ascii="宋体" w:hAnsi="宋体"/>
          <w:bCs/>
          <w:color w:val="000000"/>
          <w:szCs w:val="21"/>
        </w:rPr>
        <w:t xml:space="preserve">    在每卷检验合格的线坯上应有标签，标签上应标明∶</w:t>
      </w:r>
    </w:p>
    <w:p>
      <w:pPr>
        <w:spacing w:line="360" w:lineRule="exact"/>
        <w:ind w:left="19" w:leftChars="9"/>
        <w:rPr>
          <w:rFonts w:ascii="宋体" w:hAnsi="宋体"/>
          <w:bCs/>
          <w:color w:val="000000"/>
          <w:szCs w:val="21"/>
        </w:rPr>
      </w:pPr>
      <w:r>
        <w:rPr>
          <w:rFonts w:hint="eastAsia" w:ascii="宋体" w:hAnsi="宋体"/>
          <w:bCs/>
          <w:color w:val="000000"/>
          <w:szCs w:val="21"/>
        </w:rPr>
        <w:t xml:space="preserve">    a) 生产厂名称；</w:t>
      </w:r>
    </w:p>
    <w:p>
      <w:pPr>
        <w:spacing w:line="360" w:lineRule="exact"/>
        <w:ind w:left="19" w:leftChars="9"/>
        <w:rPr>
          <w:rFonts w:ascii="宋体" w:hAnsi="宋体"/>
          <w:bCs/>
          <w:color w:val="000000"/>
          <w:szCs w:val="21"/>
        </w:rPr>
      </w:pPr>
      <w:r>
        <w:rPr>
          <w:rFonts w:hint="eastAsia" w:ascii="宋体" w:hAnsi="宋体"/>
          <w:bCs/>
          <w:color w:val="000000"/>
          <w:szCs w:val="21"/>
        </w:rPr>
        <w:t xml:space="preserve">    b) 产品商标；</w:t>
      </w:r>
    </w:p>
    <w:p>
      <w:pPr>
        <w:spacing w:line="360" w:lineRule="exact"/>
        <w:ind w:left="19" w:leftChars="9"/>
        <w:rPr>
          <w:rFonts w:ascii="宋体" w:hAnsi="宋体"/>
          <w:bCs/>
          <w:color w:val="000000"/>
          <w:szCs w:val="21"/>
        </w:rPr>
      </w:pPr>
      <w:r>
        <w:rPr>
          <w:rFonts w:hint="eastAsia" w:ascii="宋体" w:hAnsi="宋体"/>
          <w:bCs/>
          <w:color w:val="000000"/>
          <w:szCs w:val="21"/>
        </w:rPr>
        <w:t xml:space="preserve">    c) 产品牌号、状态、规格；</w:t>
      </w:r>
    </w:p>
    <w:p>
      <w:pPr>
        <w:spacing w:line="360" w:lineRule="exact"/>
        <w:ind w:left="19" w:leftChars="9"/>
        <w:rPr>
          <w:rFonts w:ascii="宋体" w:hAnsi="宋体"/>
          <w:bCs/>
          <w:color w:val="000000"/>
          <w:szCs w:val="21"/>
        </w:rPr>
      </w:pPr>
      <w:r>
        <w:rPr>
          <w:rFonts w:hint="eastAsia" w:ascii="宋体" w:hAnsi="宋体"/>
          <w:bCs/>
          <w:color w:val="000000"/>
          <w:szCs w:val="21"/>
        </w:rPr>
        <w:t xml:space="preserve">    d) 净重；</w:t>
      </w:r>
    </w:p>
    <w:p>
      <w:pPr>
        <w:spacing w:line="360" w:lineRule="exact"/>
        <w:ind w:left="19" w:leftChars="9"/>
        <w:rPr>
          <w:rFonts w:ascii="宋体" w:hAnsi="宋体"/>
          <w:bCs/>
          <w:color w:val="000000"/>
          <w:szCs w:val="21"/>
        </w:rPr>
      </w:pPr>
      <w:r>
        <w:rPr>
          <w:rFonts w:hint="eastAsia" w:ascii="宋体" w:hAnsi="宋体"/>
          <w:bCs/>
          <w:color w:val="000000"/>
          <w:szCs w:val="21"/>
        </w:rPr>
        <w:t xml:space="preserve">    e) 批号；</w:t>
      </w:r>
    </w:p>
    <w:p>
      <w:pPr>
        <w:spacing w:line="360" w:lineRule="exact"/>
        <w:ind w:left="439" w:leftChars="9" w:hanging="420" w:hangingChars="200"/>
        <w:rPr>
          <w:rFonts w:ascii="宋体" w:hAnsi="宋体"/>
          <w:bCs/>
          <w:color w:val="000000"/>
          <w:szCs w:val="21"/>
        </w:rPr>
      </w:pPr>
      <w:r>
        <w:rPr>
          <w:rFonts w:hint="eastAsia" w:ascii="宋体" w:hAnsi="宋体"/>
          <w:bCs/>
          <w:color w:val="000000"/>
          <w:szCs w:val="21"/>
        </w:rPr>
        <w:t xml:space="preserve">    f) 生产日期；</w:t>
      </w:r>
      <w:r>
        <w:rPr>
          <w:rFonts w:hint="eastAsia" w:ascii="宋体" w:hAnsi="宋体"/>
          <w:bCs/>
          <w:color w:val="000000"/>
          <w:szCs w:val="21"/>
        </w:rPr>
        <w:br w:type="textWrapping"/>
      </w:r>
      <w:r>
        <w:rPr>
          <w:rFonts w:hint="eastAsia" w:ascii="宋体" w:hAnsi="宋体"/>
          <w:bCs/>
          <w:color w:val="000000"/>
          <w:szCs w:val="21"/>
        </w:rPr>
        <w:t xml:space="preserve">g) 生产厂家技术监督部门的检印。    </w:t>
      </w:r>
    </w:p>
    <w:p>
      <w:pPr>
        <w:spacing w:line="360" w:lineRule="exact"/>
        <w:ind w:left="439" w:leftChars="9" w:hanging="420" w:hangingChars="200"/>
        <w:rPr>
          <w:rFonts w:ascii="宋体" w:hAnsi="宋体"/>
          <w:bCs/>
          <w:color w:val="000000"/>
          <w:szCs w:val="21"/>
        </w:rPr>
      </w:pPr>
    </w:p>
    <w:p>
      <w:pPr>
        <w:spacing w:line="360" w:lineRule="exact"/>
        <w:ind w:left="19" w:leftChars="9"/>
        <w:rPr>
          <w:rFonts w:ascii="黑体" w:hAnsi="宋体" w:eastAsia="黑体"/>
          <w:bCs/>
          <w:color w:val="000000"/>
          <w:szCs w:val="21"/>
        </w:rPr>
      </w:pPr>
      <w:r>
        <w:rPr>
          <w:rFonts w:hint="eastAsia" w:ascii="黑体" w:hAnsi="宋体" w:eastAsia="黑体"/>
          <w:bCs/>
          <w:color w:val="000000"/>
          <w:szCs w:val="21"/>
        </w:rPr>
        <w:t>6.2 包装</w:t>
      </w:r>
    </w:p>
    <w:p>
      <w:pPr>
        <w:spacing w:line="360" w:lineRule="exact"/>
        <w:ind w:left="19" w:leftChars="9"/>
        <w:rPr>
          <w:rFonts w:ascii="宋体" w:hAnsi="宋体"/>
          <w:bCs/>
          <w:color w:val="000000"/>
          <w:szCs w:val="21"/>
        </w:rPr>
      </w:pPr>
      <w:r>
        <w:rPr>
          <w:rFonts w:hint="eastAsia" w:ascii="宋体" w:hAnsi="宋体"/>
          <w:bCs/>
          <w:color w:val="000000"/>
          <w:szCs w:val="21"/>
        </w:rPr>
        <w:t>6.2.1 线坯应成卷包装，捆扎良好。</w:t>
      </w:r>
    </w:p>
    <w:p>
      <w:pPr>
        <w:spacing w:line="360" w:lineRule="exact"/>
        <w:ind w:left="19" w:leftChars="9"/>
        <w:rPr>
          <w:rFonts w:ascii="宋体" w:hAnsi="宋体"/>
          <w:bCs/>
          <w:color w:val="000000"/>
          <w:szCs w:val="21"/>
        </w:rPr>
      </w:pPr>
      <w:r>
        <w:rPr>
          <w:rFonts w:hint="eastAsia" w:ascii="宋体" w:hAnsi="宋体"/>
          <w:bCs/>
          <w:color w:val="000000"/>
          <w:szCs w:val="21"/>
        </w:rPr>
        <w:t>6.2.2 应有防潮、防污染及防机械损伤措施。</w:t>
      </w:r>
    </w:p>
    <w:p>
      <w:pPr>
        <w:spacing w:line="360" w:lineRule="exact"/>
        <w:ind w:left="19" w:leftChars="9"/>
        <w:rPr>
          <w:rFonts w:ascii="宋体" w:hAnsi="宋体"/>
          <w:bCs/>
          <w:color w:val="000000"/>
          <w:szCs w:val="21"/>
        </w:rPr>
      </w:pPr>
      <w:r>
        <w:rPr>
          <w:rFonts w:hint="eastAsia" w:ascii="宋体" w:hAnsi="宋体"/>
          <w:bCs/>
          <w:color w:val="000000"/>
          <w:szCs w:val="21"/>
        </w:rPr>
        <w:t>6.2.3 允许双方协议规定包装方法及每卷重量。</w:t>
      </w:r>
    </w:p>
    <w:p>
      <w:pPr>
        <w:spacing w:line="360" w:lineRule="exact"/>
        <w:ind w:left="19" w:leftChars="9"/>
        <w:rPr>
          <w:rFonts w:ascii="宋体" w:hAnsi="宋体"/>
          <w:bCs/>
          <w:color w:val="000000"/>
          <w:szCs w:val="21"/>
        </w:rPr>
      </w:pPr>
    </w:p>
    <w:p>
      <w:pPr>
        <w:spacing w:line="360" w:lineRule="exact"/>
        <w:ind w:left="19" w:leftChars="9"/>
        <w:rPr>
          <w:rFonts w:ascii="黑体" w:hAnsi="宋体" w:eastAsia="黑体"/>
          <w:bCs/>
          <w:color w:val="000000"/>
          <w:szCs w:val="21"/>
        </w:rPr>
      </w:pPr>
      <w:r>
        <w:rPr>
          <w:rFonts w:hint="eastAsia" w:ascii="黑体" w:hAnsi="宋体" w:eastAsia="黑体"/>
          <w:bCs/>
          <w:color w:val="000000"/>
          <w:szCs w:val="21"/>
        </w:rPr>
        <w:t>6.3 运输、贮存</w:t>
      </w:r>
    </w:p>
    <w:p>
      <w:pPr>
        <w:spacing w:line="360" w:lineRule="exact"/>
        <w:ind w:firstLine="18" w:firstLineChars="9"/>
        <w:rPr>
          <w:rFonts w:ascii="宋体" w:hAnsi="宋体"/>
          <w:bCs/>
          <w:color w:val="000000"/>
          <w:szCs w:val="21"/>
        </w:rPr>
      </w:pPr>
      <w:r>
        <w:rPr>
          <w:rFonts w:hint="eastAsia" w:ascii="宋体" w:hAnsi="宋体"/>
          <w:bCs/>
          <w:color w:val="000000"/>
          <w:szCs w:val="21"/>
        </w:rPr>
        <w:t xml:space="preserve">    在存放、搬运和运输过程中，应注意保护线坯免受机械损伤，防止线坯受潮及受到腐蚀物质的侵蚀。</w:t>
      </w:r>
    </w:p>
    <w:p>
      <w:pPr>
        <w:spacing w:line="360" w:lineRule="exact"/>
        <w:ind w:firstLine="18" w:firstLineChars="9"/>
        <w:rPr>
          <w:rFonts w:ascii="宋体" w:hAnsi="宋体"/>
          <w:bCs/>
          <w:color w:val="000000"/>
          <w:szCs w:val="21"/>
        </w:rPr>
      </w:pPr>
    </w:p>
    <w:p>
      <w:pPr>
        <w:spacing w:line="360" w:lineRule="exact"/>
        <w:ind w:left="19" w:leftChars="9"/>
        <w:rPr>
          <w:rFonts w:ascii="黑体" w:hAnsi="宋体" w:eastAsia="黑体"/>
          <w:bCs/>
          <w:color w:val="000000"/>
          <w:szCs w:val="21"/>
        </w:rPr>
      </w:pPr>
      <w:r>
        <w:rPr>
          <w:rFonts w:hint="eastAsia" w:ascii="黑体" w:hAnsi="宋体" w:eastAsia="黑体"/>
          <w:bCs/>
          <w:color w:val="000000"/>
          <w:szCs w:val="21"/>
        </w:rPr>
        <w:t>6.4 质量证明书</w:t>
      </w:r>
    </w:p>
    <w:p>
      <w:pPr>
        <w:spacing w:line="360" w:lineRule="exact"/>
        <w:ind w:firstLine="420" w:firstLineChars="200"/>
        <w:rPr>
          <w:rFonts w:ascii="宋体" w:hAnsi="宋体"/>
          <w:bCs/>
          <w:color w:val="000000"/>
          <w:szCs w:val="21"/>
        </w:rPr>
      </w:pPr>
      <w:r>
        <w:rPr>
          <w:rFonts w:hint="eastAsia" w:ascii="宋体" w:hAnsi="宋体"/>
          <w:bCs/>
          <w:color w:val="000000"/>
          <w:szCs w:val="21"/>
        </w:rPr>
        <w:t>每批铜线坯应附有产品质量证明书，注明∶</w:t>
      </w:r>
    </w:p>
    <w:p>
      <w:pPr>
        <w:spacing w:line="360" w:lineRule="exact"/>
        <w:rPr>
          <w:rFonts w:ascii="宋体" w:hAnsi="宋体"/>
          <w:bCs/>
          <w:color w:val="000000"/>
          <w:szCs w:val="21"/>
        </w:rPr>
      </w:pPr>
      <w:r>
        <w:rPr>
          <w:rFonts w:hint="eastAsia" w:ascii="宋体" w:hAnsi="宋体"/>
          <w:bCs/>
          <w:color w:val="000000"/>
          <w:szCs w:val="21"/>
        </w:rPr>
        <w:t xml:space="preserve">    a) 生产厂名称；</w:t>
      </w:r>
    </w:p>
    <w:p>
      <w:pPr>
        <w:spacing w:line="360" w:lineRule="exact"/>
        <w:rPr>
          <w:rFonts w:ascii="宋体" w:hAnsi="宋体"/>
          <w:bCs/>
          <w:color w:val="000000"/>
          <w:szCs w:val="21"/>
        </w:rPr>
      </w:pPr>
      <w:r>
        <w:rPr>
          <w:rFonts w:hint="eastAsia" w:ascii="宋体" w:hAnsi="宋体"/>
          <w:bCs/>
          <w:color w:val="000000"/>
          <w:szCs w:val="21"/>
        </w:rPr>
        <w:t xml:space="preserve">    b) 产品名称；</w:t>
      </w:r>
    </w:p>
    <w:p>
      <w:pPr>
        <w:spacing w:line="360" w:lineRule="exact"/>
        <w:rPr>
          <w:rFonts w:ascii="宋体" w:hAnsi="宋体"/>
          <w:bCs/>
          <w:color w:val="000000"/>
          <w:szCs w:val="21"/>
        </w:rPr>
      </w:pPr>
      <w:r>
        <w:rPr>
          <w:rFonts w:hint="eastAsia" w:ascii="宋体" w:hAnsi="宋体"/>
          <w:bCs/>
          <w:color w:val="000000"/>
          <w:szCs w:val="21"/>
        </w:rPr>
        <w:t xml:space="preserve">    c) 产品牌号、状态、规格；</w:t>
      </w:r>
    </w:p>
    <w:p>
      <w:pPr>
        <w:spacing w:line="360" w:lineRule="exact"/>
        <w:rPr>
          <w:rFonts w:ascii="宋体" w:hAnsi="宋体"/>
          <w:bCs/>
          <w:color w:val="000000"/>
          <w:szCs w:val="21"/>
        </w:rPr>
      </w:pPr>
      <w:r>
        <w:rPr>
          <w:rFonts w:hint="eastAsia" w:ascii="宋体" w:hAnsi="宋体"/>
          <w:bCs/>
          <w:color w:val="000000"/>
          <w:szCs w:val="21"/>
        </w:rPr>
        <w:t xml:space="preserve">    d) 批号；</w:t>
      </w:r>
    </w:p>
    <w:p>
      <w:pPr>
        <w:spacing w:line="360" w:lineRule="exact"/>
        <w:ind w:left="19" w:leftChars="9"/>
        <w:rPr>
          <w:rFonts w:ascii="宋体" w:hAnsi="宋体"/>
          <w:bCs/>
          <w:color w:val="000000"/>
          <w:szCs w:val="21"/>
        </w:rPr>
      </w:pPr>
      <w:r>
        <w:rPr>
          <w:rFonts w:hint="eastAsia" w:ascii="宋体" w:hAnsi="宋体"/>
          <w:bCs/>
          <w:color w:val="000000"/>
          <w:szCs w:val="21"/>
        </w:rPr>
        <w:t xml:space="preserve">    e) 净重和件数；</w:t>
      </w:r>
    </w:p>
    <w:p>
      <w:pPr>
        <w:spacing w:line="360" w:lineRule="exact"/>
        <w:ind w:left="754" w:leftChars="9" w:hanging="735" w:hangingChars="350"/>
        <w:rPr>
          <w:rFonts w:ascii="宋体" w:hAnsi="宋体"/>
          <w:bCs/>
          <w:color w:val="000000"/>
          <w:szCs w:val="21"/>
        </w:rPr>
      </w:pPr>
      <w:r>
        <w:rPr>
          <w:rFonts w:hint="eastAsia" w:ascii="宋体" w:hAnsi="宋体"/>
          <w:bCs/>
          <w:color w:val="000000"/>
          <w:szCs w:val="21"/>
        </w:rPr>
        <w:t xml:space="preserve">    f) 各项检验结果和技术监督部门印记；</w:t>
      </w:r>
    </w:p>
    <w:p>
      <w:pPr>
        <w:spacing w:line="360" w:lineRule="exact"/>
        <w:ind w:left="19" w:leftChars="9"/>
        <w:rPr>
          <w:rFonts w:ascii="宋体" w:hAnsi="宋体"/>
          <w:bCs/>
          <w:color w:val="000000"/>
          <w:szCs w:val="21"/>
        </w:rPr>
      </w:pPr>
      <w:r>
        <w:rPr>
          <w:rFonts w:hint="eastAsia" w:ascii="宋体" w:hAnsi="宋体"/>
          <w:bCs/>
          <w:color w:val="000000"/>
          <w:szCs w:val="21"/>
        </w:rPr>
        <w:t xml:space="preserve">    g) 本标准编号；</w:t>
      </w:r>
    </w:p>
    <w:p>
      <w:pPr>
        <w:spacing w:line="360" w:lineRule="exact"/>
        <w:ind w:left="19" w:leftChars="9" w:firstLine="420"/>
        <w:rPr>
          <w:rFonts w:ascii="宋体" w:hAnsi="宋体"/>
          <w:bCs/>
          <w:color w:val="000000"/>
          <w:szCs w:val="21"/>
        </w:rPr>
      </w:pPr>
      <w:r>
        <w:rPr>
          <w:rFonts w:hint="eastAsia" w:ascii="宋体" w:hAnsi="宋体"/>
          <w:bCs/>
          <w:color w:val="000000"/>
          <w:szCs w:val="21"/>
        </w:rPr>
        <w:t>h) 出厂日期。</w:t>
      </w:r>
    </w:p>
    <w:p>
      <w:pPr>
        <w:spacing w:line="360" w:lineRule="exact"/>
        <w:rPr>
          <w:rFonts w:ascii="宋体" w:hAnsi="宋体"/>
          <w:bCs/>
          <w:color w:val="000000"/>
          <w:szCs w:val="21"/>
        </w:rPr>
      </w:pPr>
    </w:p>
    <w:p>
      <w:pPr>
        <w:spacing w:line="360" w:lineRule="exact"/>
        <w:ind w:left="19" w:leftChars="9"/>
        <w:rPr>
          <w:rFonts w:ascii="黑体" w:hAnsi="宋体" w:eastAsia="黑体"/>
          <w:bCs/>
          <w:color w:val="000000"/>
          <w:szCs w:val="21"/>
        </w:rPr>
      </w:pPr>
      <w:r>
        <w:rPr>
          <w:rFonts w:hint="eastAsia" w:ascii="黑体" w:hAnsi="宋体" w:eastAsia="黑体"/>
          <w:bCs/>
          <w:color w:val="000000"/>
          <w:szCs w:val="21"/>
        </w:rPr>
        <w:t>7 订货单(或合同) 内容</w:t>
      </w:r>
    </w:p>
    <w:p>
      <w:pPr>
        <w:spacing w:line="360" w:lineRule="exact"/>
        <w:ind w:left="19" w:leftChars="9" w:firstLine="420" w:firstLineChars="200"/>
        <w:rPr>
          <w:rFonts w:ascii="宋体" w:hAnsi="宋体"/>
          <w:bCs/>
          <w:color w:val="000000"/>
          <w:szCs w:val="21"/>
        </w:rPr>
      </w:pPr>
      <w:r>
        <w:rPr>
          <w:rFonts w:hint="eastAsia" w:ascii="宋体" w:hAnsi="宋体"/>
          <w:bCs/>
          <w:color w:val="000000"/>
          <w:szCs w:val="21"/>
        </w:rPr>
        <w:t>本标准所列产品的订单（或合同）内应包括下列内容：</w:t>
      </w:r>
    </w:p>
    <w:p>
      <w:pPr>
        <w:numPr>
          <w:ilvl w:val="0"/>
          <w:numId w:val="1"/>
        </w:numPr>
        <w:spacing w:line="360" w:lineRule="exact"/>
        <w:rPr>
          <w:rFonts w:ascii="宋体" w:hAnsi="宋体"/>
          <w:bCs/>
          <w:color w:val="000000"/>
          <w:szCs w:val="21"/>
        </w:rPr>
      </w:pPr>
      <w:r>
        <w:rPr>
          <w:rFonts w:hint="eastAsia" w:ascii="宋体" w:hAnsi="宋体"/>
          <w:bCs/>
          <w:color w:val="000000"/>
          <w:szCs w:val="21"/>
        </w:rPr>
        <w:t>产品名称；</w:t>
      </w:r>
    </w:p>
    <w:p>
      <w:pPr>
        <w:numPr>
          <w:ilvl w:val="0"/>
          <w:numId w:val="1"/>
        </w:numPr>
        <w:spacing w:line="360" w:lineRule="exact"/>
        <w:rPr>
          <w:rFonts w:ascii="宋体" w:hAnsi="宋体"/>
          <w:bCs/>
          <w:color w:val="000000"/>
          <w:szCs w:val="21"/>
        </w:rPr>
      </w:pPr>
      <w:r>
        <w:rPr>
          <w:rFonts w:hint="eastAsia" w:ascii="宋体" w:hAnsi="宋体"/>
          <w:bCs/>
          <w:color w:val="000000"/>
          <w:szCs w:val="21"/>
        </w:rPr>
        <w:t>牌号、状态、规格；</w:t>
      </w:r>
    </w:p>
    <w:p>
      <w:pPr>
        <w:numPr>
          <w:ilvl w:val="0"/>
          <w:numId w:val="1"/>
        </w:numPr>
        <w:spacing w:line="360" w:lineRule="exact"/>
        <w:rPr>
          <w:rFonts w:ascii="宋体" w:hAnsi="宋体"/>
          <w:bCs/>
          <w:szCs w:val="21"/>
        </w:rPr>
      </w:pPr>
      <w:r>
        <w:rPr>
          <w:rFonts w:hint="eastAsia" w:ascii="宋体" w:hAnsi="宋体"/>
          <w:bCs/>
          <w:szCs w:val="21"/>
        </w:rPr>
        <w:t>重量；</w:t>
      </w:r>
    </w:p>
    <w:p>
      <w:pPr>
        <w:numPr>
          <w:ilvl w:val="0"/>
          <w:numId w:val="1"/>
        </w:numPr>
        <w:spacing w:line="360" w:lineRule="exact"/>
        <w:rPr>
          <w:rFonts w:ascii="宋体" w:hAnsi="宋体"/>
          <w:bCs/>
          <w:szCs w:val="21"/>
        </w:rPr>
      </w:pPr>
      <w:r>
        <w:rPr>
          <w:rFonts w:hint="eastAsia" w:ascii="宋体" w:hAnsi="宋体"/>
          <w:bCs/>
          <w:szCs w:val="21"/>
        </w:rPr>
        <w:t>化学成分的特殊要求；</w:t>
      </w:r>
    </w:p>
    <w:p>
      <w:pPr>
        <w:numPr>
          <w:ilvl w:val="0"/>
          <w:numId w:val="1"/>
        </w:numPr>
        <w:spacing w:line="360" w:lineRule="exact"/>
        <w:rPr>
          <w:rFonts w:ascii="宋体" w:hAnsi="宋体"/>
          <w:bCs/>
          <w:szCs w:val="21"/>
        </w:rPr>
      </w:pPr>
      <w:r>
        <w:rPr>
          <w:rFonts w:hint="eastAsia" w:ascii="宋体" w:hAnsi="宋体"/>
          <w:bCs/>
          <w:szCs w:val="21"/>
        </w:rPr>
        <w:t>晶粒度要求；</w:t>
      </w:r>
    </w:p>
    <w:p>
      <w:pPr>
        <w:numPr>
          <w:ilvl w:val="0"/>
          <w:numId w:val="1"/>
        </w:numPr>
        <w:spacing w:line="360" w:lineRule="exact"/>
        <w:rPr>
          <w:rFonts w:ascii="宋体" w:hAnsi="宋体"/>
          <w:bCs/>
          <w:szCs w:val="21"/>
        </w:rPr>
      </w:pPr>
      <w:r>
        <w:rPr>
          <w:rFonts w:hint="eastAsia" w:ascii="宋体" w:hAnsi="宋体"/>
          <w:bCs/>
          <w:szCs w:val="21"/>
        </w:rPr>
        <w:t>包装的特殊要求；</w:t>
      </w:r>
    </w:p>
    <w:p>
      <w:pPr>
        <w:numPr>
          <w:ilvl w:val="0"/>
          <w:numId w:val="1"/>
        </w:numPr>
        <w:spacing w:line="360" w:lineRule="exact"/>
        <w:rPr>
          <w:rFonts w:ascii="宋体" w:hAnsi="宋体"/>
          <w:bCs/>
          <w:szCs w:val="21"/>
        </w:rPr>
      </w:pPr>
      <w:r>
        <w:rPr>
          <w:rFonts w:hint="eastAsia" w:ascii="宋体" w:hAnsi="宋体"/>
          <w:bCs/>
          <w:szCs w:val="21"/>
        </w:rPr>
        <w:t>本标准编号；</w:t>
      </w:r>
    </w:p>
    <w:p>
      <w:pPr>
        <w:numPr>
          <w:ilvl w:val="0"/>
          <w:numId w:val="1"/>
        </w:numPr>
        <w:spacing w:line="360" w:lineRule="exact"/>
        <w:rPr>
          <w:rFonts w:ascii="宋体" w:hAnsi="宋体"/>
          <w:bCs/>
          <w:color w:val="000000"/>
          <w:szCs w:val="21"/>
        </w:rPr>
      </w:pPr>
      <w:r>
        <w:rPr>
          <w:rFonts w:hint="eastAsia" w:ascii="宋体" w:hAnsi="宋体"/>
          <w:bCs/>
          <w:color w:val="000000"/>
          <w:szCs w:val="21"/>
        </w:rPr>
        <w:t>其他。</w:t>
      </w:r>
      <w:r>
        <w:rPr>
          <w:rFonts w:hint="eastAsia" w:ascii="宋体" w:hAnsi="宋体"/>
          <w:bCs/>
          <w:color w:val="000000"/>
          <w:szCs w:val="21"/>
        </w:rPr>
        <w:br w:type="textWrapping"/>
      </w:r>
    </w:p>
    <w:p>
      <w:pPr>
        <w:rPr>
          <w:rFonts w:ascii="宋体" w:hAnsi="宋体"/>
          <w:bCs/>
          <w:sz w:val="18"/>
          <w:szCs w:val="18"/>
        </w:rPr>
      </w:pPr>
      <w:r>
        <w:rPr>
          <w:rFonts w:hint="eastAsia" w:ascii="宋体" w:hAnsi="宋体"/>
          <w:bCs/>
          <w:color w:val="FF0000"/>
          <w:szCs w:val="21"/>
        </w:rPr>
        <mc:AlternateContent>
          <mc:Choice Requires="wps">
            <w:drawing>
              <wp:anchor distT="0" distB="0" distL="114300" distR="114300" simplePos="0" relativeHeight="251668480" behindDoc="0" locked="0" layoutInCell="1" allowOverlap="1">
                <wp:simplePos x="0" y="0"/>
                <wp:positionH relativeFrom="column">
                  <wp:posOffset>1680210</wp:posOffset>
                </wp:positionH>
                <wp:positionV relativeFrom="paragraph">
                  <wp:posOffset>36830</wp:posOffset>
                </wp:positionV>
                <wp:extent cx="1943100" cy="0"/>
                <wp:effectExtent l="13335" t="8255" r="5715" b="10795"/>
                <wp:wrapNone/>
                <wp:docPr id="1" name="Line 71"/>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cmpd="sng">
                          <a:solidFill>
                            <a:srgbClr val="000000"/>
                          </a:solidFill>
                          <a:round/>
                        </a:ln>
                      </wps:spPr>
                      <wps:bodyPr/>
                    </wps:wsp>
                  </a:graphicData>
                </a:graphic>
              </wp:anchor>
            </w:drawing>
          </mc:Choice>
          <mc:Fallback>
            <w:pict>
              <v:line id="Line 71" o:spid="_x0000_s1026" o:spt="20" style="position:absolute;left:0pt;margin-left:132.3pt;margin-top:2.9pt;height:0pt;width:153pt;z-index:251668480;mso-width-relative:page;mso-height-relative:page;" filled="f" stroked="t" coordsize="21600,21600" o:gfxdata="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ZsrJPUAAAABwEAAA8AAAAAAAAAAQAgAAAAIgAAAGRy&#10;cy9kb3ducmV2LnhtbFBLAQIUABQAAAAIAIdO4kBGJnnL0AEAAKsDAAAOAAAAAAAAAAEAIAAAACMB&#10;AABkcnMvZTJvRG9jLnhtbFBLBQYAAAAABgAGAFkBAABlBQAAAAA=&#10;">
                <v:fill on="f" focussize="0,0"/>
                <v:stroke color="#000000" joinstyle="round"/>
                <v:imagedata o:title=""/>
                <o:lock v:ext="edit" aspectratio="f"/>
              </v:line>
            </w:pict>
          </mc:Fallback>
        </mc:AlternateContent>
      </w:r>
    </w:p>
    <w:p>
      <w:pPr>
        <w:rPr>
          <w:bCs/>
        </w:rPr>
      </w:pPr>
    </w:p>
    <w:sectPr>
      <w:headerReference r:id="rId9" w:type="first"/>
      <w:headerReference r:id="rId8" w:type="default"/>
      <w:footerReference r:id="rId10" w:type="default"/>
      <w:footerReference r:id="rId11" w:type="even"/>
      <w:pgSz w:w="11906" w:h="16838"/>
      <w:pgMar w:top="1418" w:right="1418" w:bottom="1304"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Style w:val="14"/>
      </w:rPr>
    </w:pPr>
    <w:r>
      <w:fldChar w:fldCharType="begin"/>
    </w:r>
    <w:r>
      <w:rPr>
        <w:rStyle w:val="14"/>
      </w:rPr>
      <w:instrText xml:space="preserve">PAGE  </w:instrText>
    </w:r>
    <w:r>
      <w:fldChar w:fldCharType="separate"/>
    </w:r>
    <w:r>
      <w:rPr>
        <w:rStyle w:val="14"/>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Style w:val="14"/>
      </w:rPr>
    </w:pPr>
    <w:r>
      <w:fldChar w:fldCharType="begin"/>
    </w:r>
    <w:r>
      <w:rPr>
        <w:rStyle w:val="14"/>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4"/>
        <w:tab w:val="clear" w:pos="8306"/>
      </w:tabs>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r>
      <w:rPr>
        <w:rFonts w:hint="eastAsia"/>
      </w:rPr>
      <w:t>GB/T 20509-XXXX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75579F"/>
    <w:multiLevelType w:val="multilevel"/>
    <w:tmpl w:val="7C75579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81"/>
    <w:rsid w:val="004D4471"/>
    <w:rsid w:val="006A3781"/>
    <w:rsid w:val="00AD53B3"/>
    <w:rsid w:val="0708637A"/>
    <w:rsid w:val="0A340C52"/>
    <w:rsid w:val="133F2851"/>
    <w:rsid w:val="26A227A1"/>
    <w:rsid w:val="32AD3077"/>
    <w:rsid w:val="6614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uiPriority w:val="0"/>
    <w:pPr>
      <w:jc w:val="left"/>
    </w:pPr>
  </w:style>
  <w:style w:type="paragraph" w:styleId="4">
    <w:name w:val="Body Text"/>
    <w:basedOn w:val="1"/>
    <w:qFormat/>
    <w:uiPriority w:val="0"/>
    <w:pPr>
      <w:spacing w:after="120"/>
    </w:pPr>
  </w:style>
  <w:style w:type="paragraph" w:styleId="5">
    <w:name w:val="List Bullet 2"/>
    <w:basedOn w:val="1"/>
    <w:qFormat/>
    <w:uiPriority w:val="0"/>
    <w:pPr>
      <w:tabs>
        <w:tab w:val="left" w:pos="780"/>
      </w:tabs>
    </w:pPr>
  </w:style>
  <w:style w:type="paragraph" w:styleId="6">
    <w:name w:val="Date"/>
    <w:basedOn w:val="1"/>
    <w:next w:val="1"/>
    <w:uiPriority w:val="0"/>
    <w:pPr>
      <w:ind w:left="100" w:leftChars="2500"/>
    </w:pPr>
  </w:style>
  <w:style w:type="paragraph" w:styleId="7">
    <w:name w:val="Balloon Text"/>
    <w:basedOn w:val="1"/>
    <w:link w:val="16"/>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18"/>
    <w:qFormat/>
    <w:uiPriority w:val="0"/>
    <w:rPr>
      <w:b/>
      <w:bCs/>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styleId="15">
    <w:name w:val="annotation reference"/>
    <w:uiPriority w:val="0"/>
    <w:rPr>
      <w:sz w:val="21"/>
      <w:szCs w:val="21"/>
    </w:rPr>
  </w:style>
  <w:style w:type="character" w:customStyle="1" w:styleId="16">
    <w:name w:val="批注框文本 Char"/>
    <w:link w:val="7"/>
    <w:uiPriority w:val="0"/>
    <w:rPr>
      <w:kern w:val="2"/>
      <w:sz w:val="18"/>
      <w:szCs w:val="18"/>
    </w:rPr>
  </w:style>
  <w:style w:type="character" w:customStyle="1" w:styleId="17">
    <w:name w:val="font11"/>
    <w:uiPriority w:val="0"/>
    <w:rPr>
      <w:rFonts w:hint="eastAsia" w:ascii="宋体" w:hAnsi="宋体" w:eastAsia="宋体" w:cs="宋体"/>
      <w:color w:val="000000"/>
      <w:sz w:val="18"/>
      <w:szCs w:val="18"/>
      <w:u w:val="none"/>
    </w:rPr>
  </w:style>
  <w:style w:type="character" w:customStyle="1" w:styleId="18">
    <w:name w:val="批注主题 Char"/>
    <w:link w:val="10"/>
    <w:uiPriority w:val="0"/>
    <w:rPr>
      <w:b/>
      <w:bCs/>
      <w:kern w:val="2"/>
      <w:sz w:val="21"/>
      <w:szCs w:val="24"/>
    </w:rPr>
  </w:style>
  <w:style w:type="character" w:customStyle="1" w:styleId="19">
    <w:name w:val="批注文字 Char"/>
    <w:link w:val="3"/>
    <w:uiPriority w:val="0"/>
    <w:rPr>
      <w:kern w:val="2"/>
      <w:sz w:val="21"/>
      <w:szCs w:val="24"/>
    </w:rPr>
  </w:style>
  <w:style w:type="character" w:customStyle="1" w:styleId="20">
    <w:name w:val="发布"/>
    <w:uiPriority w:val="0"/>
    <w:rPr>
      <w:rFonts w:ascii="黑体" w:eastAsia="黑体"/>
      <w:spacing w:val="22"/>
      <w:w w:val="100"/>
      <w:position w:val="3"/>
      <w:sz w:val="28"/>
    </w:rPr>
  </w:style>
  <w:style w:type="character" w:customStyle="1" w:styleId="21">
    <w:name w:val="font21"/>
    <w:uiPriority w:val="0"/>
    <w:rPr>
      <w:rFonts w:hint="eastAsia" w:ascii="宋体" w:hAnsi="宋体" w:eastAsia="宋体" w:cs="宋体"/>
      <w:color w:val="000000"/>
      <w:sz w:val="18"/>
      <w:szCs w:val="18"/>
      <w:u w:val="none"/>
    </w:rPr>
  </w:style>
  <w:style w:type="character" w:customStyle="1" w:styleId="22">
    <w:name w:val="font41"/>
    <w:uiPriority w:val="0"/>
    <w:rPr>
      <w:rFonts w:hint="eastAsia" w:ascii="宋体" w:hAnsi="宋体" w:eastAsia="宋体" w:cs="宋体"/>
      <w:color w:val="000000"/>
      <w:sz w:val="18"/>
      <w:szCs w:val="18"/>
      <w:u w:val="none"/>
    </w:rPr>
  </w:style>
  <w:style w:type="character" w:customStyle="1" w:styleId="23">
    <w:name w:val="font31"/>
    <w:uiPriority w:val="0"/>
    <w:rPr>
      <w:rFonts w:ascii="仿宋_GB2312" w:eastAsia="仿宋_GB2312" w:cs="仿宋_GB2312"/>
      <w:b/>
      <w:color w:val="000000"/>
      <w:sz w:val="18"/>
      <w:szCs w:val="18"/>
      <w:u w:val="none"/>
    </w:rPr>
  </w:style>
  <w:style w:type="character" w:customStyle="1" w:styleId="24">
    <w:name w:val="font51"/>
    <w:uiPriority w:val="0"/>
    <w:rPr>
      <w:rFonts w:hint="eastAsia" w:ascii="宋体" w:hAnsi="宋体" w:eastAsia="宋体" w:cs="宋体"/>
      <w:b/>
      <w:color w:val="000000"/>
      <w:sz w:val="18"/>
      <w:szCs w:val="18"/>
      <w:u w:val="none"/>
    </w:rPr>
  </w:style>
  <w:style w:type="paragraph" w:customStyle="1" w:styleId="25">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
    <w:name w:val="实施日期"/>
    <w:basedOn w:val="27"/>
    <w:uiPriority w:val="0"/>
    <w:pPr>
      <w:jc w:val="right"/>
    </w:pPr>
  </w:style>
  <w:style w:type="paragraph" w:customStyle="1" w:styleId="27">
    <w:name w:val="发布日期"/>
    <w:uiPriority w:val="0"/>
    <w:rPr>
      <w:rFonts w:ascii="Times New Roman" w:hAnsi="Times New Roman" w:eastAsia="黑体" w:cs="Times New Roman"/>
      <w:sz w:val="28"/>
      <w:lang w:val="en-US" w:eastAsia="zh-CN" w:bidi="ar-SA"/>
    </w:rPr>
  </w:style>
  <w:style w:type="paragraph" w:customStyle="1" w:styleId="28">
    <w:name w:val="封面标准代替信息"/>
    <w:basedOn w:val="29"/>
    <w:uiPriority w:val="0"/>
    <w:pPr>
      <w:spacing w:before="57"/>
    </w:pPr>
    <w:rPr>
      <w:rFonts w:ascii="宋体"/>
      <w:sz w:val="21"/>
    </w:rPr>
  </w:style>
  <w:style w:type="paragraph" w:customStyle="1" w:styleId="29">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30">
    <w:name w:val="标准书眉_偶数页"/>
    <w:basedOn w:val="31"/>
    <w:next w:val="1"/>
    <w:uiPriority w:val="0"/>
    <w:pPr>
      <w:tabs>
        <w:tab w:val="center" w:pos="4154"/>
        <w:tab w:val="right" w:pos="8306"/>
      </w:tabs>
      <w:jc w:val="left"/>
    </w:pPr>
  </w:style>
  <w:style w:type="paragraph" w:customStyle="1" w:styleId="31">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4">
    <w:name w:val="五级条标题"/>
    <w:basedOn w:val="35"/>
    <w:next w:val="39"/>
    <w:qFormat/>
    <w:uiPriority w:val="0"/>
    <w:pPr>
      <w:outlineLvl w:val="6"/>
    </w:pPr>
  </w:style>
  <w:style w:type="paragraph" w:customStyle="1" w:styleId="35">
    <w:name w:val="四级条标题"/>
    <w:basedOn w:val="36"/>
    <w:next w:val="39"/>
    <w:qFormat/>
    <w:uiPriority w:val="0"/>
    <w:pPr>
      <w:outlineLvl w:val="5"/>
    </w:pPr>
  </w:style>
  <w:style w:type="paragraph" w:customStyle="1" w:styleId="36">
    <w:name w:val="三级条标题"/>
    <w:basedOn w:val="37"/>
    <w:next w:val="39"/>
    <w:qFormat/>
    <w:uiPriority w:val="0"/>
    <w:pPr>
      <w:outlineLvl w:val="4"/>
    </w:pPr>
  </w:style>
  <w:style w:type="paragraph" w:customStyle="1" w:styleId="37">
    <w:name w:val="二级条标题"/>
    <w:basedOn w:val="38"/>
    <w:next w:val="39"/>
    <w:qFormat/>
    <w:uiPriority w:val="0"/>
    <w:pPr>
      <w:outlineLvl w:val="3"/>
    </w:pPr>
  </w:style>
  <w:style w:type="paragraph" w:customStyle="1" w:styleId="38">
    <w:name w:val="一级条标题"/>
    <w:next w:val="39"/>
    <w:qFormat/>
    <w:uiPriority w:val="0"/>
    <w:pPr>
      <w:outlineLvl w:val="2"/>
    </w:pPr>
    <w:rPr>
      <w:rFonts w:ascii="Times New Roman" w:hAnsi="Times New Roman" w:eastAsia="黑体" w:cs="Times New Roman"/>
      <w:sz w:val="21"/>
      <w:lang w:val="en-US" w:eastAsia="zh-CN" w:bidi="ar-SA"/>
    </w:rPr>
  </w:style>
  <w:style w:type="paragraph" w:customStyle="1" w:styleId="39">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2">
    <w:name w:val="目次、标准名称标题"/>
    <w:basedOn w:val="43"/>
    <w:next w:val="39"/>
    <w:qFormat/>
    <w:uiPriority w:val="0"/>
    <w:pPr>
      <w:spacing w:line="460" w:lineRule="exact"/>
    </w:pPr>
  </w:style>
  <w:style w:type="paragraph" w:customStyle="1" w:styleId="43">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4">
    <w:name w:val="章标题"/>
    <w:next w:val="39"/>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4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6">
    <w:name w:val="标准书眉一"/>
    <w:uiPriority w:val="0"/>
    <w:pPr>
      <w:jc w:val="both"/>
    </w:pPr>
    <w:rPr>
      <w:rFonts w:ascii="Times New Roman" w:hAnsi="Times New Roman" w:eastAsia="宋体" w:cs="Times New Roman"/>
      <w:lang w:val="en-US" w:eastAsia="zh-CN" w:bidi="ar-SA"/>
    </w:rPr>
  </w:style>
  <w:style w:type="paragraph" w:customStyle="1" w:styleId="4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9">
    <w:name w:val="Char Char Char Char"/>
    <w:basedOn w:val="1"/>
    <w:qFormat/>
    <w:uiPriority w:val="0"/>
    <w:pPr>
      <w:widowControl/>
      <w:spacing w:after="160" w:line="240" w:lineRule="exact"/>
      <w:jc w:val="left"/>
    </w:pPr>
    <w:rPr>
      <w:szCs w:val="20"/>
    </w:rPr>
  </w:style>
  <w:style w:type="paragraph" w:customStyle="1" w:styleId="50">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5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B6EC1-50A8-4098-BDF4-7EAEE3AED43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9</Pages>
  <Words>845</Words>
  <Characters>4823</Characters>
  <Lines>40</Lines>
  <Paragraphs>11</Paragraphs>
  <TotalTime>188</TotalTime>
  <ScaleCrop>false</ScaleCrop>
  <LinksUpToDate>false</LinksUpToDate>
  <CharactersWithSpaces>5657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2021-11-16T23:52:00Z</dcterms:created>
  <dc:creator>肖洪量</dc:creator>
  <cp:keywords>铜线坯  国家标准</cp:keywords>
  <cp:lastModifiedBy>CathayMok</cp:lastModifiedBy>
  <cp:lastPrinted>2020-06-19T00:55:00Z</cp:lastPrinted>
  <dcterms:modified xsi:type="dcterms:W3CDTF">2021-11-19T01:37:03Z</dcterms:modified>
  <dc:title>《电工用铜线坯》国家标准修订版2014</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4303B7EC697D49988A4715FC9D817614</vt:lpwstr>
  </property>
</Properties>
</file>