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rFonts w:ascii="Times New Roman" w:hAnsi="Times New Roman"/>
        </w:rPr>
      </w:pPr>
      <w:bookmarkStart w:id="0" w:name="_GoBack"/>
      <w:bookmarkEnd w:id="0"/>
      <w:r>
        <w:rPr>
          <w:rFonts w:ascii="Times New Roman" w:hAnsi="Times New Roman"/>
        </w:rPr>
        <w:t>行业标准《舰船用耐蚀黄铜锻制棒材和饼材》编制说明</w:t>
      </w:r>
    </w:p>
    <w:p/>
    <w:p>
      <w:pPr>
        <w:spacing w:line="360" w:lineRule="auto"/>
        <w:rPr>
          <w:b/>
        </w:rPr>
      </w:pPr>
      <w:r>
        <w:rPr>
          <w:b/>
        </w:rPr>
        <w:t>1.  任务来源</w:t>
      </w:r>
    </w:p>
    <w:p>
      <w:pPr>
        <w:spacing w:line="360" w:lineRule="auto"/>
        <w:ind w:firstLine="420" w:firstLineChars="200"/>
        <w:rPr>
          <w:rFonts w:ascii="黑体" w:eastAsia="黑体"/>
        </w:rPr>
      </w:pPr>
      <w:r>
        <w:rPr>
          <w:rFonts w:hint="eastAsia" w:ascii="黑体" w:eastAsia="黑体"/>
        </w:rPr>
        <w:t>根据工信部《</w:t>
      </w:r>
      <w:r>
        <w:rPr>
          <w:rFonts w:hint="eastAsia" w:ascii="黑体" w:hAnsi="Tahoma" w:eastAsia="黑体"/>
          <w:color w:val="444444"/>
          <w:szCs w:val="21"/>
        </w:rPr>
        <w:t>工业和信息化部办公厅关于印发</w:t>
      </w:r>
      <w:r>
        <w:rPr>
          <w:rFonts w:hint="eastAsia" w:ascii="黑体" w:eastAsia="黑体"/>
          <w:color w:val="444444"/>
          <w:szCs w:val="21"/>
        </w:rPr>
        <w:t>2021</w:t>
      </w:r>
      <w:r>
        <w:rPr>
          <w:rFonts w:hint="eastAsia" w:ascii="黑体" w:hAnsi="Tahoma" w:eastAsia="黑体"/>
          <w:color w:val="444444"/>
          <w:szCs w:val="21"/>
        </w:rPr>
        <w:t>年第一批行业标准制修订和外文版项目计划的通知</w:t>
      </w:r>
      <w:r>
        <w:rPr>
          <w:rFonts w:hint="eastAsia" w:ascii="黑体" w:eastAsia="黑体"/>
        </w:rPr>
        <w:t>》（</w:t>
      </w:r>
      <w:r>
        <w:rPr>
          <w:rFonts w:hint="eastAsia" w:ascii="黑体" w:hAnsi="宋体" w:eastAsia="黑体"/>
          <w:szCs w:val="21"/>
        </w:rPr>
        <w:t>工信厅科函</w:t>
      </w:r>
      <w:r>
        <w:rPr>
          <w:rFonts w:hint="eastAsia" w:ascii="黑体" w:eastAsia="黑体"/>
          <w:szCs w:val="21"/>
        </w:rPr>
        <w:t>[2020]263</w:t>
      </w:r>
      <w:r>
        <w:rPr>
          <w:rFonts w:hint="eastAsia" w:ascii="黑体" w:hAnsi="宋体" w:eastAsia="黑体"/>
          <w:szCs w:val="21"/>
        </w:rPr>
        <w:t>号）文件，由</w:t>
      </w:r>
      <w:r>
        <w:rPr>
          <w:rFonts w:hint="eastAsia" w:ascii="黑体" w:hAnsi="宋体" w:eastAsia="黑体"/>
          <w:kern w:val="0"/>
          <w:szCs w:val="21"/>
        </w:rPr>
        <w:t>沈阳华泰铜业有限公司负责起草《舰船用耐蚀黄铜锻制棒材和饼材》行业标准。根据此项工作要求，沈阳华泰铜业有限公司标准起草小组对舰船用耐蚀黄铜锻制棒材和饼材产品的生产情况及销售情况进行综合研究，并以研究结果为依据进行标准起草工作，并于2021年5月完成标准讨论稿起草工作。</w:t>
      </w:r>
    </w:p>
    <w:p>
      <w:pPr>
        <w:spacing w:line="360" w:lineRule="auto"/>
        <w:rPr>
          <w:b/>
        </w:rPr>
      </w:pPr>
      <w:r>
        <w:rPr>
          <w:rFonts w:hint="eastAsia"/>
          <w:b/>
        </w:rPr>
        <w:t xml:space="preserve">2.  </w:t>
      </w:r>
      <w:r>
        <w:rPr>
          <w:rFonts w:hint="eastAsia"/>
          <w:b/>
          <w:bCs/>
          <w:szCs w:val="21"/>
        </w:rPr>
        <w:t>工作简况：</w:t>
      </w:r>
    </w:p>
    <w:p>
      <w:pPr>
        <w:spacing w:line="360" w:lineRule="auto"/>
        <w:rPr>
          <w:rFonts w:ascii="黑体" w:hAnsi="黑体" w:eastAsia="黑体" w:cs="黑体"/>
          <w:b/>
          <w:bCs/>
          <w:kern w:val="0"/>
          <w:szCs w:val="21"/>
        </w:rPr>
      </w:pPr>
      <w:r>
        <w:rPr>
          <w:rFonts w:hint="eastAsia" w:ascii="黑体" w:hAnsi="黑体" w:eastAsia="黑体" w:cs="黑体"/>
          <w:b/>
          <w:bCs/>
          <w:kern w:val="0"/>
          <w:szCs w:val="21"/>
        </w:rPr>
        <w:t>2.1.立项目的和意义</w:t>
      </w:r>
    </w:p>
    <w:p>
      <w:pPr>
        <w:spacing w:line="360" w:lineRule="auto"/>
        <w:ind w:firstLine="525" w:firstLineChars="250"/>
        <w:rPr>
          <w:rFonts w:ascii="黑体" w:eastAsia="黑体"/>
          <w:szCs w:val="21"/>
        </w:rPr>
      </w:pPr>
      <w:r>
        <w:rPr>
          <w:rFonts w:hint="eastAsia" w:ascii="黑体" w:eastAsia="黑体"/>
          <w:szCs w:val="21"/>
        </w:rPr>
        <w:t>在铜锌合金的基础上加入硅、锡等合金元素的黄铜，称为耐蚀黄铜或海军黄铜，主要合金牌号为HSi80-3、HSn62-1等。这种合金在大气和海水中均有较高的耐蚀性，抗应力腐蚀破裂的能力高于一般黄铜，</w:t>
      </w:r>
      <w:r>
        <w:rPr>
          <w:rFonts w:hint="eastAsia" w:ascii="黑体" w:hAnsi="宋体" w:eastAsia="黑体"/>
          <w:szCs w:val="21"/>
        </w:rPr>
        <w:t>，能承受热压力加工。其软态加工棒及饼材的强度及塑性值组合使其适用于制作船舶零件，蒸汽管和水管配件等</w:t>
      </w:r>
      <w:r>
        <w:rPr>
          <w:rFonts w:hint="eastAsia" w:ascii="黑体" w:eastAsia="黑体"/>
          <w:szCs w:val="21"/>
        </w:rPr>
        <w:t>。</w:t>
      </w:r>
    </w:p>
    <w:p>
      <w:pPr>
        <w:spacing w:line="360" w:lineRule="auto"/>
        <w:ind w:firstLine="525" w:firstLineChars="250"/>
        <w:rPr>
          <w:rFonts w:ascii="黑体" w:eastAsia="黑体"/>
          <w:szCs w:val="21"/>
        </w:rPr>
      </w:pPr>
      <w:r>
        <w:rPr>
          <w:rFonts w:hint="eastAsia" w:ascii="黑体" w:eastAsia="黑体"/>
          <w:szCs w:val="21"/>
        </w:rPr>
        <w:t>锻压成形的大规格HSn62-1饼材大量地用于制作船舶热交换器管板，不但国内各大造船厂大量定购这种产品，并且这种产品也远销日本等国外市场。HSi80-3饼材主要应用于军用船舶，其切削性能、强度、塑性以及抗应力腐蚀性能都很好，其加工棒及饼材的强度及塑性值组合使其适用于制作船舶涉水器件、各种阀门、蒸汽管和水管配件等。</w:t>
      </w:r>
      <w:r>
        <w:rPr>
          <w:rFonts w:hint="eastAsia" w:ascii="黑体" w:hAnsi="宋体" w:eastAsia="黑体"/>
          <w:szCs w:val="21"/>
        </w:rPr>
        <w:t>锻压成形的大规格HSi80-3更大量地应用于船舶耐腐蚀零件，国内各大造船厂均大量定购这种产品。</w:t>
      </w:r>
    </w:p>
    <w:p>
      <w:pPr>
        <w:spacing w:line="360" w:lineRule="auto"/>
        <w:ind w:firstLine="420" w:firstLineChars="200"/>
        <w:rPr>
          <w:rFonts w:ascii="黑体" w:eastAsia="黑体"/>
          <w:szCs w:val="21"/>
        </w:rPr>
      </w:pPr>
      <w:r>
        <w:rPr>
          <w:rFonts w:hint="eastAsia" w:ascii="黑体" w:eastAsia="黑体"/>
          <w:szCs w:val="21"/>
        </w:rPr>
        <w:t>由于铜及铜合金标准体系中没有较大规格的锻制棒材和饼材的相关执行标准，对于较小规格的棒材和饼材产品其技术条件可参考挤制棒标准技术条件，但也有多个技术指标无从参考，例如，饼材经车削加工后供货，平面平整度，光洁度，内部质量的均匀度、探伤及渗透技术指标。棒饼材以大规格较多，其直径达1米以上，技术指标国内目前没有任何标准可以参考。本标准的制定能够解决我国舰船耐蚀零件用黄铜棒材和饼材长期没有执行标准的问题，对于行业发展有极大的促进作用。</w:t>
      </w:r>
    </w:p>
    <w:p>
      <w:pPr>
        <w:adjustRightInd w:val="0"/>
        <w:snapToGrid w:val="0"/>
        <w:spacing w:line="360" w:lineRule="auto"/>
        <w:ind w:firstLine="420" w:firstLineChars="200"/>
        <w:rPr>
          <w:rFonts w:ascii="黑体" w:eastAsia="黑体"/>
          <w:szCs w:val="21"/>
        </w:rPr>
      </w:pPr>
      <w:r>
        <w:rPr>
          <w:rFonts w:hint="eastAsia" w:ascii="黑体" w:eastAsia="黑体"/>
          <w:szCs w:val="21"/>
        </w:rPr>
        <w:t>本标准的制定可以从标准层规范指导产品的生产与销售，能给供需双方在贸易过程中发生质量异议提供仲裁依据。</w:t>
      </w:r>
    </w:p>
    <w:p>
      <w:pPr>
        <w:spacing w:line="360" w:lineRule="auto"/>
        <w:rPr>
          <w:rFonts w:ascii="黑体" w:hAnsi="黑体" w:eastAsia="黑体" w:cs="黑体"/>
          <w:b/>
          <w:szCs w:val="21"/>
        </w:rPr>
      </w:pPr>
      <w:r>
        <w:rPr>
          <w:rFonts w:hint="eastAsia" w:ascii="黑体" w:hAnsi="黑体" w:eastAsia="黑体" w:cs="黑体"/>
          <w:b/>
          <w:szCs w:val="21"/>
        </w:rPr>
        <w:t>2.2.项目承担单位简况</w:t>
      </w:r>
    </w:p>
    <w:p>
      <w:pPr>
        <w:spacing w:line="360" w:lineRule="auto"/>
        <w:ind w:firstLine="315" w:firstLineChars="150"/>
        <w:rPr>
          <w:rFonts w:ascii="黑体" w:hAnsi="宋体" w:eastAsia="黑体"/>
          <w:szCs w:val="21"/>
        </w:rPr>
      </w:pPr>
      <w:r>
        <w:rPr>
          <w:rFonts w:hint="eastAsia" w:ascii="黑体" w:hAnsi="宋体" w:eastAsia="黑体"/>
          <w:szCs w:val="21"/>
        </w:rPr>
        <w:t>沈阳华泰铜业有限公司组建于2007年10月，是一家以生产铜及铜合金管、棒、线材为主的民营企业，公司占地70000平方米，其中建筑面积30000平方米，年设计产量5万吨。一期投资1.5亿元，建成年产3万吨铜及铜合金管、棒、线材生产线，产品覆盖紫铜、黄铜、青铜、白铜四大系列100多个牌号，近500种规格。</w:t>
      </w:r>
    </w:p>
    <w:p>
      <w:pPr>
        <w:spacing w:line="360" w:lineRule="auto"/>
        <w:ind w:firstLine="420" w:firstLineChars="200"/>
        <w:rPr>
          <w:rFonts w:ascii="黑体" w:hAnsi="宋体" w:eastAsia="黑体"/>
          <w:szCs w:val="21"/>
        </w:rPr>
      </w:pPr>
      <w:r>
        <w:rPr>
          <w:rFonts w:hint="eastAsia" w:ascii="黑体" w:hAnsi="宋体" w:eastAsia="黑体"/>
          <w:szCs w:val="21"/>
        </w:rPr>
        <w:t>其中TP2大口径铜管、HMn58-2、HSn70-1、HAl77-2、BFe10-1-1、BFe30-1-1铜合金管、C18150、C18200、 C15000、C18000高强高导铜棒材作为公司的主导产品以其优异的产品质量深受用户的欢迎，大量应用于舰船、兵器、航空、航天、汽车、海水淡化、火力发电等工业领域，特别是供给大连造船厂、渤海造船厂潜艇用的TP2大口径铜管、HMn58-2黄铜棒等产品供不应求，市场潜力巨大。2017年公司实现产量1万吨，销售收入近5亿元，实现利税500万元。</w:t>
      </w:r>
    </w:p>
    <w:p>
      <w:pPr>
        <w:spacing w:line="360" w:lineRule="auto"/>
        <w:ind w:firstLine="420" w:firstLineChars="200"/>
        <w:rPr>
          <w:rFonts w:ascii="黑体" w:hAnsi="宋体" w:eastAsia="黑体"/>
          <w:szCs w:val="21"/>
        </w:rPr>
      </w:pPr>
      <w:r>
        <w:rPr>
          <w:rFonts w:hint="eastAsia" w:ascii="黑体" w:hAnsi="宋体" w:eastAsia="黑体"/>
          <w:szCs w:val="21"/>
        </w:rPr>
        <w:t>我公司拥有国内先进的生产设备30多台套，主要有：1.5吨工频有芯感应炉组，0.75吨工频有芯感应炉组，1.5吨中频无芯感应炉组，XJ-2500ST铜合金挤压机，30T，20T，10T，8T，5T，3T，1T链式拉伸机，卧式真空光亮退火炉，矫直机，无氧铜杆连铸机组，两辊冷轧机组，五连罐冷拨机组等设备。</w:t>
      </w:r>
    </w:p>
    <w:p>
      <w:pPr>
        <w:spacing w:line="360" w:lineRule="auto"/>
        <w:ind w:firstLine="420" w:firstLineChars="200"/>
        <w:rPr>
          <w:rFonts w:ascii="黑体" w:hAnsi="宋体" w:eastAsia="黑体"/>
          <w:szCs w:val="21"/>
        </w:rPr>
      </w:pPr>
      <w:r>
        <w:rPr>
          <w:rFonts w:hint="eastAsia" w:ascii="黑体" w:hAnsi="宋体" w:eastAsia="黑体"/>
          <w:szCs w:val="21"/>
        </w:rPr>
        <w:t>同时，为了保证产品质量达到国内先进水平，公司配备了完检测设备，主要检测设备有：单双臂电桥、RO-416高频红外碳硫仪、德国斯派克MAX光电直读光谱议，DCS-10T电子拉力试验机、CBS-60杯突试验机、KPE-3000布氏硬度计、HV-120维氏硬度计、HRD-150洛氏硬度计、SC-2000表面洛氏硬度计、HBE-3000电子布氏硬度计、JanaverT金相显微镜、超声波探伤仪、涡流导电仪等先进的检测设备。</w:t>
      </w:r>
    </w:p>
    <w:p>
      <w:pPr>
        <w:spacing w:line="360" w:lineRule="auto"/>
        <w:ind w:firstLine="420" w:firstLineChars="200"/>
        <w:rPr>
          <w:rFonts w:ascii="黑体" w:hAnsi="宋体" w:eastAsia="黑体"/>
          <w:szCs w:val="21"/>
        </w:rPr>
      </w:pPr>
      <w:r>
        <w:rPr>
          <w:rFonts w:hint="eastAsia" w:ascii="黑体" w:hAnsi="宋体" w:eastAsia="黑体"/>
          <w:szCs w:val="21"/>
        </w:rPr>
        <w:t>多年来，公司致力于铜及铜合金棒型材生产，建立了一套完善的生产技术管理体系，取得了国标《GB/T19001-2006-1SO9001：2015标准》和国军标《GJB9001C-2007标准》质量管理体系认证及中国船级社认可证书。</w:t>
      </w:r>
    </w:p>
    <w:p>
      <w:pPr>
        <w:spacing w:line="360" w:lineRule="auto"/>
        <w:ind w:firstLine="420" w:firstLineChars="200"/>
        <w:rPr>
          <w:rFonts w:ascii="黑体" w:hAnsi="宋体" w:eastAsia="黑体"/>
          <w:szCs w:val="21"/>
        </w:rPr>
      </w:pPr>
      <w:r>
        <w:rPr>
          <w:rFonts w:hint="eastAsia" w:ascii="黑体" w:hAnsi="宋体" w:eastAsia="黑体"/>
          <w:szCs w:val="21"/>
        </w:rPr>
        <w:t>沈阳华泰铜业有限公司是</w:t>
      </w:r>
      <w:r>
        <w:rPr>
          <w:rFonts w:hint="eastAsia" w:ascii="黑体" w:hAnsi="宋体" w:eastAsia="黑体"/>
          <w:color w:val="333333"/>
          <w:szCs w:val="21"/>
          <w:shd w:val="clear" w:color="auto" w:fill="FFFFFF"/>
        </w:rPr>
        <w:t>专业从事各类铜合金线、棒材生产、研究、开发的高新技术企业。</w:t>
      </w:r>
      <w:r>
        <w:rPr>
          <w:rFonts w:hint="eastAsia" w:ascii="黑体" w:hAnsi="宋体" w:eastAsia="黑体"/>
          <w:szCs w:val="21"/>
        </w:rPr>
        <w:t>公司具有雄厚的铜及铜合金管棒型材生产技术实力和产品检测能力，长期为军工，船舶等企业供应铜及铜合金管棒型材，具有丰富的实践以验。</w:t>
      </w:r>
    </w:p>
    <w:p>
      <w:pPr>
        <w:spacing w:line="360" w:lineRule="auto"/>
        <w:rPr>
          <w:rFonts w:ascii="黑体" w:hAnsi="黑体" w:eastAsia="黑体"/>
          <w:b/>
          <w:szCs w:val="21"/>
        </w:rPr>
      </w:pPr>
      <w:r>
        <w:rPr>
          <w:rFonts w:hint="eastAsia" w:ascii="黑体" w:hAnsi="宋体" w:eastAsia="黑体"/>
          <w:b/>
          <w:szCs w:val="21"/>
        </w:rPr>
        <w:t>2.3</w:t>
      </w:r>
      <w:r>
        <w:rPr>
          <w:rFonts w:hint="eastAsia" w:ascii="黑体" w:hAnsi="黑体" w:eastAsia="黑体"/>
          <w:b/>
          <w:szCs w:val="21"/>
        </w:rPr>
        <w:t>主要工作过程</w:t>
      </w:r>
    </w:p>
    <w:p>
      <w:pPr>
        <w:spacing w:line="360" w:lineRule="auto"/>
        <w:rPr>
          <w:rFonts w:ascii="黑体" w:hAnsi="宋体" w:eastAsia="黑体"/>
          <w:color w:val="000000"/>
          <w:szCs w:val="21"/>
        </w:rPr>
      </w:pPr>
      <w:r>
        <w:rPr>
          <w:rFonts w:hint="eastAsia" w:ascii="宋体" w:hAnsi="宋体"/>
          <w:bCs/>
        </w:rPr>
        <w:t xml:space="preserve">    </w:t>
      </w:r>
      <w:r>
        <w:rPr>
          <w:rFonts w:hint="eastAsia" w:ascii="黑体" w:hAnsi="宋体" w:eastAsia="黑体"/>
          <w:bCs/>
          <w:szCs w:val="21"/>
        </w:rPr>
        <w:t>标准制订计划任务正式下达后，</w:t>
      </w:r>
      <w:r>
        <w:rPr>
          <w:rFonts w:hint="eastAsia" w:ascii="黑体" w:hAnsi="宋体" w:eastAsia="黑体"/>
          <w:szCs w:val="21"/>
        </w:rPr>
        <w:t>沈阳华泰铜业</w:t>
      </w:r>
      <w:r>
        <w:rPr>
          <w:rFonts w:hint="eastAsia" w:ascii="黑体" w:hAnsi="宋体" w:eastAsia="黑体"/>
          <w:bCs/>
          <w:szCs w:val="21"/>
        </w:rPr>
        <w:t>有限公司起草小组研究整理了</w:t>
      </w:r>
      <w:r>
        <w:rPr>
          <w:rFonts w:hint="eastAsia" w:ascii="黑体" w:hAnsi="宋体" w:eastAsia="黑体"/>
          <w:color w:val="000000"/>
          <w:szCs w:val="21"/>
        </w:rPr>
        <w:t>本企业产品的技术要求及产品使用现状，并会同营销人员对棒饼材的生产及应用两方面进行调研，全面、准确地了解了市场客户的需求及目前国内棒饼材生产整体水平和现状。依据大量技术资料，于</w:t>
      </w:r>
      <w:r>
        <w:rPr>
          <w:rFonts w:hint="eastAsia" w:ascii="黑体" w:eastAsia="黑体"/>
          <w:color w:val="000000"/>
          <w:szCs w:val="21"/>
        </w:rPr>
        <w:t>2021</w:t>
      </w:r>
      <w:r>
        <w:rPr>
          <w:rFonts w:hint="eastAsia" w:ascii="黑体" w:hAnsi="宋体" w:eastAsia="黑体"/>
          <w:color w:val="000000"/>
          <w:szCs w:val="21"/>
        </w:rPr>
        <w:t>年</w:t>
      </w:r>
      <w:r>
        <w:rPr>
          <w:rFonts w:hint="eastAsia" w:ascii="黑体" w:eastAsia="黑体"/>
          <w:color w:val="000000"/>
          <w:szCs w:val="21"/>
        </w:rPr>
        <w:t>3</w:t>
      </w:r>
      <w:r>
        <w:rPr>
          <w:rFonts w:hint="eastAsia" w:ascii="黑体" w:hAnsi="宋体" w:eastAsia="黑体"/>
          <w:color w:val="000000"/>
          <w:szCs w:val="21"/>
        </w:rPr>
        <w:t>月完成了本标准征求意见稿。</w:t>
      </w:r>
    </w:p>
    <w:p>
      <w:pPr>
        <w:spacing w:line="360" w:lineRule="auto"/>
        <w:ind w:firstLine="315" w:firstLineChars="150"/>
        <w:rPr>
          <w:rFonts w:hint="eastAsia" w:ascii="黑体" w:hAnsi="宋体" w:eastAsia="黑体"/>
          <w:color w:val="000000"/>
          <w:szCs w:val="21"/>
        </w:rPr>
      </w:pPr>
      <w:r>
        <w:rPr>
          <w:rFonts w:hint="eastAsia" w:ascii="黑体" w:hAnsi="宋体" w:eastAsia="黑体"/>
          <w:bCs/>
          <w:szCs w:val="21"/>
        </w:rPr>
        <w:t>经过多次与相关人员开会对标准内容进行讨论</w:t>
      </w:r>
      <w:r>
        <w:rPr>
          <w:rFonts w:hint="eastAsia" w:ascii="黑体" w:eastAsia="黑体"/>
          <w:color w:val="000000"/>
          <w:szCs w:val="21"/>
        </w:rPr>
        <w:t>，从牌号成分、状态、规格、力学性能等多方面提出制定建议</w:t>
      </w:r>
      <w:r>
        <w:rPr>
          <w:rFonts w:hint="eastAsia" w:ascii="黑体" w:hAnsi="宋体" w:eastAsia="黑体"/>
          <w:color w:val="000000"/>
          <w:szCs w:val="21"/>
        </w:rPr>
        <w:t>。根据讨论结果，标准起草人员经过资料研究，并征求各方意见后对标准进行了修改，形成了本标准的讨论稿。</w:t>
      </w:r>
    </w:p>
    <w:p>
      <w:pPr>
        <w:spacing w:line="360" w:lineRule="auto"/>
        <w:ind w:firstLine="315" w:firstLineChars="150"/>
        <w:rPr>
          <w:rFonts w:ascii="黑体" w:hAnsi="宋体" w:eastAsia="黑体"/>
          <w:bCs/>
          <w:szCs w:val="21"/>
        </w:rPr>
      </w:pPr>
      <w:r>
        <w:rPr>
          <w:rFonts w:hint="eastAsia" w:ascii="黑体" w:hAnsi="宋体" w:eastAsia="黑体"/>
          <w:color w:val="000000"/>
          <w:szCs w:val="21"/>
        </w:rPr>
        <w:t>2021年6月，有色金属标准化委员会在新缰伊犁召开标准讨论会，会上对</w:t>
      </w:r>
      <w:r>
        <w:rPr>
          <w:rFonts w:hint="eastAsia" w:ascii="黑体" w:eastAsia="黑体"/>
          <w:szCs w:val="21"/>
        </w:rPr>
        <w:t>《</w:t>
      </w:r>
      <w:r>
        <w:rPr>
          <w:rFonts w:hint="eastAsia" w:ascii="黑体" w:hAnsi="宋体" w:eastAsia="黑体"/>
          <w:kern w:val="0"/>
          <w:szCs w:val="21"/>
        </w:rPr>
        <w:t>舰船用耐蚀黄铜锻制棒材和饼材</w:t>
      </w:r>
      <w:r>
        <w:rPr>
          <w:rFonts w:hint="eastAsia" w:ascii="黑体" w:eastAsia="黑体"/>
          <w:szCs w:val="21"/>
        </w:rPr>
        <w:t>》标准进行了讨论，确定了多条修改意见。会后，起草小组根据会议意见对标准进行了研究修改，形成标准预审稿。</w:t>
      </w:r>
    </w:p>
    <w:p>
      <w:pPr>
        <w:adjustRightInd w:val="0"/>
        <w:snapToGrid w:val="0"/>
        <w:spacing w:line="360" w:lineRule="auto"/>
        <w:rPr>
          <w:rFonts w:ascii="黑体" w:eastAsia="黑体"/>
          <w:b/>
          <w:szCs w:val="21"/>
        </w:rPr>
      </w:pPr>
    </w:p>
    <w:p>
      <w:pPr>
        <w:adjustRightInd w:val="0"/>
        <w:snapToGrid w:val="0"/>
        <w:spacing w:line="360" w:lineRule="auto"/>
        <w:rPr>
          <w:rFonts w:ascii="黑体" w:eastAsia="黑体"/>
          <w:b/>
          <w:szCs w:val="21"/>
        </w:rPr>
      </w:pPr>
      <w:r>
        <w:rPr>
          <w:rFonts w:hint="eastAsia" w:ascii="黑体" w:eastAsia="黑体"/>
          <w:b/>
          <w:szCs w:val="21"/>
        </w:rPr>
        <w:t>3.  编制原则</w:t>
      </w:r>
    </w:p>
    <w:p>
      <w:pPr>
        <w:adjustRightInd w:val="0"/>
        <w:snapToGrid w:val="0"/>
        <w:spacing w:line="360" w:lineRule="auto"/>
        <w:ind w:firstLine="420" w:firstLineChars="200"/>
        <w:rPr>
          <w:rFonts w:ascii="黑体" w:eastAsia="黑体"/>
          <w:szCs w:val="21"/>
        </w:rPr>
      </w:pPr>
      <w:r>
        <w:rPr>
          <w:rFonts w:hint="eastAsia" w:ascii="黑体" w:eastAsia="黑体"/>
          <w:szCs w:val="21"/>
        </w:rPr>
        <w:t>本标准起草单位自接受起草任务后，成立了标准编制工作组，负责收集生产统计、检验数据、市</w:t>
      </w:r>
    </w:p>
    <w:p>
      <w:pPr>
        <w:adjustRightInd w:val="0"/>
        <w:snapToGrid w:val="0"/>
        <w:spacing w:line="360" w:lineRule="auto"/>
        <w:rPr>
          <w:rFonts w:ascii="黑体" w:eastAsia="黑体"/>
          <w:szCs w:val="21"/>
        </w:rPr>
      </w:pPr>
      <w:r>
        <w:rPr>
          <w:rFonts w:hint="eastAsia" w:ascii="黑体" w:eastAsia="黑体"/>
          <w:szCs w:val="21"/>
        </w:rPr>
        <w:t>场需求及客户要求等信息。初步确定了《</w:t>
      </w:r>
      <w:r>
        <w:rPr>
          <w:rFonts w:hint="eastAsia" w:ascii="黑体" w:hAnsi="宋体" w:eastAsia="黑体"/>
          <w:kern w:val="0"/>
          <w:szCs w:val="21"/>
        </w:rPr>
        <w:t>舰船用耐蚀黄铜锻制棒材和饼材</w:t>
      </w:r>
      <w:r>
        <w:rPr>
          <w:rFonts w:hint="eastAsia" w:ascii="黑体" w:eastAsia="黑体"/>
          <w:szCs w:val="21"/>
        </w:rPr>
        <w:t>》标准起草所遵循的基本原则和编制依据：</w:t>
      </w:r>
    </w:p>
    <w:p>
      <w:pPr>
        <w:adjustRightInd w:val="0"/>
        <w:snapToGrid w:val="0"/>
        <w:spacing w:line="360" w:lineRule="auto"/>
        <w:rPr>
          <w:rFonts w:ascii="黑体" w:eastAsia="黑体"/>
          <w:szCs w:val="21"/>
        </w:rPr>
      </w:pPr>
      <w:r>
        <w:rPr>
          <w:rFonts w:hint="eastAsia" w:ascii="黑体" w:eastAsia="黑体"/>
          <w:szCs w:val="21"/>
        </w:rPr>
        <w:t>1）查阅相关标准和国内外客户的相关技术要求；</w:t>
      </w:r>
    </w:p>
    <w:p>
      <w:pPr>
        <w:adjustRightInd w:val="0"/>
        <w:snapToGrid w:val="0"/>
        <w:spacing w:line="360" w:lineRule="auto"/>
        <w:rPr>
          <w:rFonts w:ascii="黑体" w:eastAsia="黑体"/>
          <w:szCs w:val="21"/>
        </w:rPr>
      </w:pPr>
      <w:r>
        <w:rPr>
          <w:rFonts w:hint="eastAsia" w:ascii="黑体" w:eastAsia="黑体"/>
          <w:szCs w:val="21"/>
        </w:rPr>
        <w:t>2）根据国内铜及铜合金饼材企业具体情况，力求做到标准的合理性与实用性；</w:t>
      </w:r>
    </w:p>
    <w:p>
      <w:pPr>
        <w:adjustRightInd w:val="0"/>
        <w:snapToGrid w:val="0"/>
        <w:spacing w:line="360" w:lineRule="auto"/>
        <w:rPr>
          <w:rFonts w:ascii="黑体" w:eastAsia="黑体"/>
          <w:szCs w:val="21"/>
        </w:rPr>
      </w:pPr>
      <w:r>
        <w:rPr>
          <w:rFonts w:hint="eastAsia" w:ascii="黑体" w:eastAsia="黑体"/>
          <w:szCs w:val="21"/>
        </w:rPr>
        <w:t>3）根据技术发展水平及测试数据确定技术指标取值范围；</w:t>
      </w:r>
    </w:p>
    <w:p>
      <w:pPr>
        <w:adjustRightInd w:val="0"/>
        <w:snapToGrid w:val="0"/>
        <w:spacing w:line="360" w:lineRule="auto"/>
        <w:rPr>
          <w:rFonts w:ascii="黑体" w:eastAsia="黑体"/>
          <w:szCs w:val="21"/>
        </w:rPr>
      </w:pPr>
      <w:r>
        <w:rPr>
          <w:rFonts w:hint="eastAsia" w:ascii="黑体" w:eastAsia="黑体"/>
          <w:szCs w:val="21"/>
        </w:rPr>
        <w:t>4）完全按照 GB/T 1.1 和有色加工产品标准和国家行业标准编写示例的要求格式和结构进行编写。</w:t>
      </w:r>
    </w:p>
    <w:p>
      <w:pPr>
        <w:adjustRightInd w:val="0"/>
        <w:snapToGrid w:val="0"/>
        <w:spacing w:line="360" w:lineRule="auto"/>
        <w:rPr>
          <w:rFonts w:ascii="黑体" w:eastAsia="黑体"/>
          <w:b/>
          <w:szCs w:val="21"/>
        </w:rPr>
      </w:pPr>
      <w:r>
        <w:rPr>
          <w:rFonts w:hint="eastAsia" w:ascii="黑体" w:eastAsia="黑体"/>
          <w:b/>
          <w:szCs w:val="21"/>
        </w:rPr>
        <w:t>4.  标准主要内容及确定依据</w:t>
      </w:r>
    </w:p>
    <w:p>
      <w:pPr>
        <w:spacing w:line="360" w:lineRule="auto"/>
        <w:ind w:firstLine="420" w:firstLineChars="200"/>
        <w:rPr>
          <w:rFonts w:ascii="黑体" w:eastAsia="黑体"/>
          <w:szCs w:val="21"/>
        </w:rPr>
      </w:pPr>
      <w:r>
        <w:rPr>
          <w:rFonts w:hint="eastAsia" w:ascii="黑体" w:eastAsia="黑体"/>
          <w:szCs w:val="21"/>
        </w:rPr>
        <w:t>本标准耐蚀黄铜合金锻制棒材和饼材主要适用于舰船上的涉水零件，同时适用于要求有较高强度、耐磨及耐蚀性的精密机械、化工机械和其他船舶构件。 </w:t>
      </w:r>
    </w:p>
    <w:p>
      <w:pPr>
        <w:spacing w:line="360" w:lineRule="auto"/>
        <w:ind w:firstLine="210" w:firstLineChars="100"/>
        <w:rPr>
          <w:rFonts w:ascii="黑体" w:eastAsia="黑体"/>
          <w:szCs w:val="21"/>
        </w:rPr>
      </w:pPr>
      <w:r>
        <w:rPr>
          <w:rFonts w:hint="eastAsia" w:ascii="黑体" w:eastAsia="黑体"/>
          <w:szCs w:val="21"/>
        </w:rPr>
        <w:t>本标准规定了舰船耐蚀零件用黄铜棒材和饼材的要求、试验方法、检验规则及标志、包装、运输、贮存及订货单内容。</w:t>
      </w:r>
    </w:p>
    <w:p>
      <w:pPr>
        <w:spacing w:line="360" w:lineRule="auto"/>
        <w:rPr>
          <w:b/>
          <w:szCs w:val="21"/>
        </w:rPr>
      </w:pPr>
      <w:r>
        <w:rPr>
          <w:rFonts w:hint="eastAsia"/>
          <w:b/>
          <w:szCs w:val="21"/>
        </w:rPr>
        <w:t>4.1  牌号</w:t>
      </w:r>
    </w:p>
    <w:p>
      <w:pPr>
        <w:spacing w:line="360" w:lineRule="auto"/>
        <w:ind w:firstLine="525" w:firstLineChars="250"/>
        <w:rPr>
          <w:rFonts w:ascii="黑体" w:eastAsia="黑体"/>
          <w:szCs w:val="21"/>
        </w:rPr>
      </w:pPr>
      <w:r>
        <w:rPr>
          <w:rFonts w:hint="eastAsia"/>
          <w:szCs w:val="21"/>
        </w:rPr>
        <w:t xml:space="preserve"> </w:t>
      </w:r>
      <w:r>
        <w:rPr>
          <w:rFonts w:hint="eastAsia" w:ascii="黑体" w:eastAsia="黑体"/>
          <w:szCs w:val="21"/>
        </w:rPr>
        <w:t>在船舶用耐蚀黄铜棒饼材这个细分市场上，产品主要合金牌号为HSi80-3、HSn62-1，其成分符合《加工铜及铜合金牌号和化学成分》（GB/T5231）的规定。该牌号的产品我公司已按标准生产多年，产品已得到市场认可。</w:t>
      </w:r>
    </w:p>
    <w:p>
      <w:pPr>
        <w:spacing w:line="360" w:lineRule="auto"/>
        <w:rPr>
          <w:rFonts w:ascii="黑体" w:eastAsia="黑体"/>
          <w:b/>
          <w:szCs w:val="21"/>
        </w:rPr>
      </w:pPr>
      <w:r>
        <w:rPr>
          <w:rFonts w:hint="eastAsia" w:ascii="黑体" w:eastAsia="黑体"/>
          <w:b/>
          <w:szCs w:val="21"/>
        </w:rPr>
        <w:t>4.2</w:t>
      </w:r>
      <w:r>
        <w:rPr>
          <w:rFonts w:hint="eastAsia" w:ascii="黑体" w:hAnsi="宋体" w:eastAsia="黑体"/>
          <w:b/>
          <w:szCs w:val="21"/>
        </w:rPr>
        <w:t>主要尺寸及尺寸允许偏差</w:t>
      </w:r>
    </w:p>
    <w:p>
      <w:pPr>
        <w:spacing w:line="360" w:lineRule="auto"/>
        <w:ind w:firstLine="420" w:firstLineChars="200"/>
        <w:rPr>
          <w:rFonts w:ascii="黑体" w:hAnsi="宋体" w:eastAsia="黑体"/>
          <w:szCs w:val="21"/>
        </w:rPr>
      </w:pPr>
      <w:r>
        <w:rPr>
          <w:rFonts w:hint="eastAsia" w:ascii="黑体" w:hAnsi="宋体" w:eastAsia="黑体"/>
          <w:szCs w:val="21"/>
        </w:rPr>
        <w:t>锻制棒饼直径允许偏差见表1及表2的规定。本标中规定的外形尺寸允许偏差及形位公差均根据用户进行再加工的需要及我公司生产实际能力而确定。</w:t>
      </w:r>
    </w:p>
    <w:p>
      <w:pPr>
        <w:spacing w:line="320" w:lineRule="exact"/>
        <w:ind w:right="420" w:firstLine="525" w:firstLineChars="250"/>
        <w:rPr>
          <w:rFonts w:ascii="黑体" w:eastAsia="黑体"/>
          <w:szCs w:val="21"/>
        </w:rPr>
      </w:pPr>
      <w:r>
        <w:rPr>
          <w:rFonts w:hint="eastAsia" w:ascii="黑体" w:hAnsi="宋体" w:eastAsia="黑体"/>
          <w:szCs w:val="21"/>
        </w:rPr>
        <w:t>表</w:t>
      </w:r>
      <w:r>
        <w:rPr>
          <w:rFonts w:hint="eastAsia" w:ascii="黑体" w:eastAsia="黑体"/>
          <w:szCs w:val="21"/>
        </w:rPr>
        <w:t xml:space="preserve">1          </w:t>
      </w:r>
      <w:r>
        <w:rPr>
          <w:rFonts w:hint="eastAsia" w:ascii="黑体" w:hAnsi="宋体" w:eastAsia="黑体"/>
          <w:szCs w:val="21"/>
        </w:rPr>
        <w:t>棒材直径允许偏差</w:t>
      </w:r>
      <w:r>
        <w:rPr>
          <w:rFonts w:hint="eastAsia" w:ascii="黑体" w:eastAsia="黑体"/>
          <w:szCs w:val="21"/>
        </w:rPr>
        <w:t xml:space="preserve">                                       </w:t>
      </w:r>
      <w:r>
        <w:rPr>
          <w:rFonts w:hint="eastAsia" w:ascii="黑体" w:hAnsi="宋体" w:eastAsia="黑体"/>
          <w:szCs w:val="21"/>
        </w:rPr>
        <w:t>单位为毫米</w:t>
      </w:r>
      <w:r>
        <w:rPr>
          <w:rFonts w:hint="eastAsia" w:ascii="黑体" w:eastAsia="黑体"/>
          <w:szCs w:val="21"/>
        </w:rPr>
        <w:t xml:space="preserve"> </w:t>
      </w: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eastAsia="黑体"/>
                <w:szCs w:val="21"/>
              </w:rPr>
            </w:pPr>
            <w:r>
              <w:rPr>
                <w:rFonts w:hint="eastAsia" w:ascii="黑体" w:hAnsi="宋体" w:eastAsia="黑体"/>
                <w:szCs w:val="21"/>
              </w:rPr>
              <w:t>直径</w:t>
            </w:r>
          </w:p>
        </w:tc>
        <w:tc>
          <w:tcPr>
            <w:tcW w:w="71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eastAsia="黑体"/>
                <w:szCs w:val="21"/>
              </w:rPr>
            </w:pPr>
            <w:r>
              <w:rPr>
                <w:rFonts w:hint="eastAsia" w:ascii="黑体" w:hAnsi="宋体" w:eastAsia="黑体"/>
                <w:szCs w:val="21"/>
              </w:rPr>
              <w:t>允</w:t>
            </w:r>
            <w:r>
              <w:rPr>
                <w:rFonts w:hint="eastAsia" w:ascii="黑体" w:eastAsia="黑体"/>
                <w:szCs w:val="21"/>
              </w:rPr>
              <w:t xml:space="preserve">      </w:t>
            </w:r>
            <w:r>
              <w:rPr>
                <w:rFonts w:hint="eastAsia" w:ascii="黑体" w:hAnsi="宋体" w:eastAsia="黑体"/>
                <w:szCs w:val="21"/>
              </w:rPr>
              <w:t>许</w:t>
            </w:r>
            <w:r>
              <w:rPr>
                <w:rFonts w:hint="eastAsia" w:ascii="黑体" w:eastAsia="黑体"/>
                <w:szCs w:val="21"/>
              </w:rPr>
              <w:t xml:space="preserve">      </w:t>
            </w:r>
            <w:r>
              <w:rPr>
                <w:rFonts w:hint="eastAsia" w:ascii="黑体" w:hAnsi="宋体" w:eastAsia="黑体"/>
                <w:szCs w:val="21"/>
              </w:rPr>
              <w:t>偏</w:t>
            </w:r>
            <w:r>
              <w:rPr>
                <w:rFonts w:hint="eastAsia" w:ascii="黑体" w:eastAsia="黑体"/>
                <w:szCs w:val="21"/>
              </w:rPr>
              <w:t xml:space="preserve">      </w:t>
            </w:r>
            <w:r>
              <w:rPr>
                <w:rFonts w:hint="eastAsia" w:ascii="黑体" w:hAnsi="宋体" w:eastAsia="黑体"/>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08" w:type="dxa"/>
            <w:tcBorders>
              <w:top w:val="single" w:color="auto" w:sz="4" w:space="0"/>
              <w:left w:val="single" w:color="auto" w:sz="4" w:space="0"/>
              <w:right w:val="single" w:color="auto" w:sz="4" w:space="0"/>
            </w:tcBorders>
            <w:vAlign w:val="center"/>
          </w:tcPr>
          <w:p>
            <w:pPr>
              <w:spacing w:line="360" w:lineRule="auto"/>
              <w:jc w:val="center"/>
              <w:rPr>
                <w:rFonts w:ascii="黑体" w:eastAsia="黑体"/>
                <w:szCs w:val="21"/>
              </w:rPr>
            </w:pPr>
            <w:r>
              <w:rPr>
                <w:rFonts w:hint="eastAsia" w:ascii="黑体" w:hAnsi="宋体" w:eastAsia="黑体"/>
                <w:szCs w:val="21"/>
              </w:rPr>
              <w:t>所有规格</w:t>
            </w:r>
          </w:p>
        </w:tc>
        <w:tc>
          <w:tcPr>
            <w:tcW w:w="7164" w:type="dxa"/>
            <w:tcBorders>
              <w:top w:val="single" w:color="auto" w:sz="4" w:space="0"/>
              <w:left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+0.5</w:t>
            </w:r>
          </w:p>
          <w:p>
            <w:pPr>
              <w:jc w:val="center"/>
              <w:rPr>
                <w:rFonts w:ascii="黑体" w:eastAsia="黑体"/>
                <w:szCs w:val="21"/>
              </w:rPr>
            </w:pPr>
            <w:r>
              <w:rPr>
                <w:rFonts w:hint="eastAsia" w:ascii="黑体" w:eastAsia="黑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7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eastAsia="黑体"/>
                <w:szCs w:val="21"/>
              </w:rPr>
            </w:pPr>
            <w:r>
              <w:rPr>
                <w:rFonts w:hint="eastAsia" w:ascii="黑体" w:hAnsi="宋体" w:eastAsia="黑体"/>
                <w:szCs w:val="21"/>
              </w:rPr>
              <w:t>注：允许偏差为（</w:t>
            </w:r>
            <w:r>
              <w:rPr>
                <w:rFonts w:hint="eastAsia" w:ascii="黑体" w:eastAsia="黑体"/>
                <w:szCs w:val="21"/>
              </w:rPr>
              <w:t>+</w:t>
            </w:r>
            <w:r>
              <w:rPr>
                <w:rFonts w:hint="eastAsia" w:ascii="黑体" w:hAnsi="宋体" w:eastAsia="黑体"/>
                <w:szCs w:val="21"/>
              </w:rPr>
              <w:t>）或（</w:t>
            </w:r>
            <w:r>
              <w:rPr>
                <w:rFonts w:hint="eastAsia" w:ascii="黑体" w:eastAsia="黑体"/>
                <w:szCs w:val="21"/>
              </w:rPr>
              <w:t>-</w:t>
            </w:r>
            <w:r>
              <w:rPr>
                <w:rFonts w:hint="eastAsia" w:ascii="黑体" w:hAnsi="宋体" w:eastAsia="黑体"/>
                <w:szCs w:val="21"/>
              </w:rPr>
              <w:t>）时，其值为上述数值的二倍。</w:t>
            </w:r>
          </w:p>
        </w:tc>
      </w:tr>
    </w:tbl>
    <w:p>
      <w:pPr>
        <w:spacing w:line="320" w:lineRule="exact"/>
        <w:ind w:right="420"/>
        <w:rPr>
          <w:rFonts w:ascii="黑体" w:eastAsia="黑体"/>
          <w:szCs w:val="21"/>
        </w:rPr>
      </w:pPr>
    </w:p>
    <w:p>
      <w:pPr>
        <w:rPr>
          <w:rFonts w:ascii="黑体" w:eastAsia="黑体"/>
          <w:szCs w:val="21"/>
        </w:rPr>
      </w:pPr>
      <w:r>
        <w:rPr>
          <w:rFonts w:hint="eastAsia" w:ascii="黑体" w:eastAsia="黑体"/>
          <w:szCs w:val="21"/>
        </w:rPr>
        <w:t xml:space="preserve">         表2        饼</w:t>
      </w:r>
      <w:r>
        <w:rPr>
          <w:rFonts w:hint="eastAsia" w:ascii="黑体" w:hAnsi="宋体" w:eastAsia="黑体"/>
          <w:szCs w:val="21"/>
        </w:rPr>
        <w:t>材</w:t>
      </w:r>
      <w:r>
        <w:rPr>
          <w:rFonts w:hint="eastAsia" w:ascii="黑体" w:eastAsia="黑体"/>
          <w:szCs w:val="21"/>
        </w:rPr>
        <w:t xml:space="preserve">直径及厚度允许偏差                            </w:t>
      </w:r>
      <w:r>
        <w:rPr>
          <w:rFonts w:hint="eastAsia" w:ascii="黑体" w:hAnsi="宋体" w:eastAsia="黑体"/>
          <w:szCs w:val="21"/>
        </w:rPr>
        <w:t>单位为毫米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3657"/>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280" w:type="dxa"/>
            <w:tcBorders>
              <w:top w:val="single" w:color="auto" w:sz="4" w:space="0"/>
              <w:left w:val="single" w:color="auto" w:sz="4" w:space="0"/>
              <w:right w:val="single" w:color="auto" w:sz="4" w:space="0"/>
            </w:tcBorders>
            <w:vAlign w:val="center"/>
          </w:tcPr>
          <w:p>
            <w:pPr>
              <w:jc w:val="center"/>
              <w:rPr>
                <w:rFonts w:ascii="黑体" w:eastAsia="黑体"/>
                <w:szCs w:val="21"/>
              </w:rPr>
            </w:pPr>
            <w:r>
              <w:rPr>
                <w:rFonts w:hint="eastAsia" w:ascii="黑体" w:hAnsi="宋体" w:eastAsia="黑体"/>
                <w:szCs w:val="21"/>
              </w:rPr>
              <w:t>直径</w:t>
            </w:r>
          </w:p>
        </w:tc>
        <w:tc>
          <w:tcPr>
            <w:tcW w:w="3657"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hAnsi="宋体" w:eastAsia="黑体"/>
                <w:szCs w:val="21"/>
              </w:rPr>
              <w:t>直径允许偏差，不大于</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厚度允许偏差，</w:t>
            </w:r>
            <w:r>
              <w:rPr>
                <w:rFonts w:hint="eastAsia" w:ascii="黑体" w:hAnsi="宋体" w:eastAsia="黑体"/>
                <w:szCs w:val="21"/>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tcBorders>
              <w:left w:val="single" w:color="auto" w:sz="4" w:space="0"/>
              <w:right w:val="single" w:color="auto" w:sz="4" w:space="0"/>
            </w:tcBorders>
            <w:vAlign w:val="center"/>
          </w:tcPr>
          <w:p>
            <w:pPr>
              <w:jc w:val="center"/>
              <w:rPr>
                <w:rFonts w:ascii="黑体" w:eastAsia="黑体"/>
                <w:szCs w:val="21"/>
              </w:rPr>
            </w:pPr>
            <w:r>
              <w:rPr>
                <w:rFonts w:hint="eastAsia" w:ascii="黑体" w:hAnsi="宋体" w:eastAsia="黑体"/>
                <w:szCs w:val="21"/>
              </w:rPr>
              <w:t>＜</w:t>
            </w:r>
            <w:r>
              <w:rPr>
                <w:rFonts w:hint="eastAsia" w:ascii="黑体" w:eastAsia="黑体"/>
                <w:szCs w:val="21"/>
              </w:rPr>
              <w:t>300</w:t>
            </w:r>
          </w:p>
        </w:tc>
        <w:tc>
          <w:tcPr>
            <w:tcW w:w="3657"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+0.5</w:t>
            </w:r>
          </w:p>
          <w:p>
            <w:pPr>
              <w:jc w:val="center"/>
              <w:rPr>
                <w:rFonts w:ascii="黑体" w:eastAsia="黑体"/>
                <w:szCs w:val="21"/>
              </w:rPr>
            </w:pPr>
            <w:r>
              <w:rPr>
                <w:rFonts w:hint="eastAsia" w:ascii="黑体" w:eastAsia="黑体"/>
                <w:szCs w:val="21"/>
              </w:rPr>
              <w:t>0</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＋0.3</w:t>
            </w:r>
          </w:p>
          <w:p>
            <w:pPr>
              <w:jc w:val="center"/>
              <w:rPr>
                <w:rFonts w:ascii="黑体" w:eastAsia="黑体"/>
                <w:szCs w:val="21"/>
              </w:rPr>
            </w:pPr>
            <w:r>
              <w:rPr>
                <w:rFonts w:hint="eastAsia" w:ascii="黑体" w:eastAsia="黑体"/>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≥300　</w:t>
            </w:r>
          </w:p>
        </w:tc>
        <w:tc>
          <w:tcPr>
            <w:tcW w:w="3657"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+0.8</w:t>
            </w:r>
          </w:p>
          <w:p>
            <w:pPr>
              <w:jc w:val="center"/>
              <w:rPr>
                <w:rFonts w:ascii="黑体" w:eastAsia="黑体"/>
                <w:szCs w:val="21"/>
              </w:rPr>
            </w:pPr>
            <w:r>
              <w:rPr>
                <w:rFonts w:hint="eastAsia" w:ascii="黑体" w:eastAsia="黑体"/>
                <w:szCs w:val="21"/>
              </w:rPr>
              <w:t>0</w:t>
            </w:r>
          </w:p>
        </w:tc>
        <w:tc>
          <w:tcPr>
            <w:tcW w:w="3183"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+0.5</w:t>
            </w:r>
          </w:p>
          <w:p>
            <w:pPr>
              <w:jc w:val="center"/>
              <w:rPr>
                <w:rFonts w:ascii="黑体" w:eastAsia="黑体"/>
                <w:szCs w:val="21"/>
              </w:rPr>
            </w:pPr>
            <w:r>
              <w:rPr>
                <w:rFonts w:hint="eastAsia" w:ascii="黑体" w:eastAsia="黑体"/>
                <w:szCs w:val="21"/>
              </w:rPr>
              <w:t>0</w:t>
            </w:r>
          </w:p>
        </w:tc>
      </w:tr>
    </w:tbl>
    <w:p>
      <w:pPr>
        <w:spacing w:line="360" w:lineRule="auto"/>
        <w:rPr>
          <w:b/>
          <w:szCs w:val="21"/>
        </w:rPr>
      </w:pPr>
    </w:p>
    <w:p>
      <w:pPr>
        <w:spacing w:line="360" w:lineRule="auto"/>
        <w:rPr>
          <w:b/>
          <w:szCs w:val="21"/>
        </w:rPr>
      </w:pPr>
      <w:r>
        <w:rPr>
          <w:rFonts w:hint="eastAsia"/>
          <w:b/>
          <w:szCs w:val="21"/>
        </w:rPr>
        <w:t>4.3饼材的形位公差</w:t>
      </w:r>
    </w:p>
    <w:p>
      <w:pPr>
        <w:spacing w:line="360" w:lineRule="auto"/>
        <w:ind w:firstLine="420" w:firstLineChars="200"/>
        <w:rPr>
          <w:rFonts w:ascii="黑体" w:eastAsia="黑体"/>
          <w:szCs w:val="21"/>
        </w:rPr>
      </w:pPr>
      <w:r>
        <w:rPr>
          <w:rFonts w:hint="eastAsia" w:ascii="黑体" w:eastAsia="黑体"/>
          <w:szCs w:val="21"/>
        </w:rPr>
        <w:t>标准的形位公差主要依据用户要求及行业生产能力综合考虑确定</w:t>
      </w:r>
    </w:p>
    <w:p>
      <w:pPr>
        <w:spacing w:line="360" w:lineRule="auto"/>
        <w:rPr>
          <w:rFonts w:ascii="黑体" w:eastAsia="黑体"/>
          <w:szCs w:val="21"/>
        </w:rPr>
      </w:pPr>
      <w:r>
        <w:rPr>
          <w:rFonts w:hint="eastAsia" w:ascii="黑体" w:eastAsia="黑体"/>
          <w:szCs w:val="21"/>
        </w:rPr>
        <w:t>4.3.1锻制车加工供货的圆形饼材平整度偏差不见表3的规定。平整度的测量方法是把饼材放在一个平台上，测量直尺和饼材之间的弧深度。</w:t>
      </w:r>
    </w:p>
    <w:p>
      <w:pPr>
        <w:spacing w:line="360" w:lineRule="auto"/>
        <w:ind w:firstLine="1365" w:firstLineChars="650"/>
        <w:rPr>
          <w:rFonts w:ascii="黑体" w:eastAsia="黑体"/>
          <w:szCs w:val="21"/>
        </w:rPr>
      </w:pPr>
      <w:r>
        <w:rPr>
          <w:rFonts w:hint="eastAsia" w:ascii="黑体" w:eastAsia="黑体"/>
          <w:szCs w:val="21"/>
        </w:rPr>
        <w:t xml:space="preserve">表3    圆形饼材平整度允许偏差   </w:t>
      </w:r>
      <w:r>
        <w:rPr>
          <w:rFonts w:hint="eastAsia" w:ascii="黑体" w:hAnsi="宋体" w:eastAsia="黑体"/>
          <w:szCs w:val="21"/>
        </w:rPr>
        <w:t xml:space="preserve"> 单位为毫米</w:t>
      </w:r>
      <w:r>
        <w:rPr>
          <w:rFonts w:hint="eastAsia" w:ascii="黑体" w:eastAsia="黑体"/>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9"/>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hAnsi="宋体" w:eastAsia="黑体"/>
                <w:szCs w:val="21"/>
              </w:rPr>
              <w:t>直径</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允许偏差，不大于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Cs w:val="21"/>
              </w:rPr>
            </w:pP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Cs w:val="21"/>
              </w:rPr>
            </w:pPr>
            <w:r>
              <w:rPr>
                <w:rFonts w:hint="eastAsia" w:ascii="黑体" w:hAnsi="宋体" w:eastAsia="黑体"/>
                <w:szCs w:val="21"/>
              </w:rPr>
              <w:t>圆    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≤300</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&gt;300</w:t>
            </w:r>
            <w:r>
              <w:rPr>
                <w:rFonts w:hint="eastAsia" w:ascii="黑体" w:hAnsi="宋体" w:eastAsia="黑体"/>
                <w:szCs w:val="21"/>
              </w:rPr>
              <w:t>　　　　</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r>
              <w:rPr>
                <w:rFonts w:hint="eastAsia" w:ascii="黑体" w:eastAsia="黑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Cs w:val="21"/>
              </w:rPr>
            </w:pPr>
          </w:p>
        </w:tc>
      </w:tr>
    </w:tbl>
    <w:p>
      <w:pPr>
        <w:ind w:firstLine="210" w:firstLineChars="100"/>
        <w:rPr>
          <w:rFonts w:ascii="黑体" w:eastAsia="黑体"/>
          <w:szCs w:val="21"/>
        </w:rPr>
      </w:pPr>
      <w:r>
        <w:rPr>
          <w:rFonts w:hint="eastAsia" w:ascii="黑体" w:eastAsia="黑体"/>
          <w:szCs w:val="21"/>
        </w:rPr>
        <w:t>4.3.2锻饼两平面平行度不大于0.4mm。</w:t>
      </w:r>
    </w:p>
    <w:p>
      <w:pPr>
        <w:ind w:firstLine="210" w:firstLineChars="100"/>
        <w:rPr>
          <w:rFonts w:ascii="黑体" w:eastAsia="黑体"/>
          <w:szCs w:val="21"/>
        </w:rPr>
      </w:pPr>
      <w:r>
        <w:rPr>
          <w:rFonts w:hint="eastAsia" w:ascii="黑体" w:eastAsia="黑体"/>
          <w:szCs w:val="21"/>
        </w:rPr>
        <w:t>4.3.3表面粗糙度不大于0.8 mm。</w:t>
      </w:r>
    </w:p>
    <w:p>
      <w:pPr>
        <w:pStyle w:val="17"/>
        <w:tabs>
          <w:tab w:val="left" w:pos="420"/>
          <w:tab w:val="clear" w:pos="360"/>
        </w:tabs>
        <w:spacing w:beforeLines="50" w:line="360" w:lineRule="auto"/>
        <w:rPr>
          <w:rFonts w:ascii="宋体" w:hAnsi="宋体" w:eastAsia="宋体"/>
          <w:b/>
          <w:szCs w:val="21"/>
        </w:rPr>
      </w:pPr>
      <w:r>
        <w:rPr>
          <w:rFonts w:hint="eastAsia" w:ascii="宋体" w:hAnsi="宋体" w:eastAsia="宋体"/>
          <w:b/>
          <w:szCs w:val="21"/>
        </w:rPr>
        <w:t>4.4内部质量</w:t>
      </w:r>
    </w:p>
    <w:p>
      <w:pPr>
        <w:spacing w:line="360" w:lineRule="auto"/>
        <w:ind w:firstLine="420" w:firstLineChars="200"/>
        <w:rPr>
          <w:rFonts w:ascii="黑体" w:hAnsi="宋体" w:eastAsia="黑体"/>
          <w:szCs w:val="21"/>
        </w:rPr>
      </w:pPr>
      <w:r>
        <w:rPr>
          <w:rFonts w:hint="eastAsia" w:ascii="黑体" w:hAnsi="宋体" w:eastAsia="黑体"/>
          <w:szCs w:val="21"/>
        </w:rPr>
        <w:t>棒饼材须进行超声波探伤及渗透试验，检验方法按GJB1580A-2004检验标准执行，合格判定标准满足GB/T3310-2010标准A级要求；饼材着色渗透要符合NB/T47013.5-2015标准Ⅰ级要求。</w:t>
      </w:r>
    </w:p>
    <w:p>
      <w:pPr>
        <w:pStyle w:val="17"/>
        <w:tabs>
          <w:tab w:val="left" w:pos="420"/>
          <w:tab w:val="clear" w:pos="360"/>
        </w:tabs>
        <w:spacing w:beforeLines="50"/>
        <w:rPr>
          <w:rFonts w:ascii="宋体" w:hAnsi="宋体" w:eastAsia="宋体"/>
          <w:b/>
          <w:szCs w:val="21"/>
        </w:rPr>
      </w:pPr>
      <w:r>
        <w:rPr>
          <w:rFonts w:hint="eastAsia" w:hAnsi="宋体"/>
          <w:b/>
          <w:szCs w:val="21"/>
        </w:rPr>
        <w:t>4.5</w:t>
      </w:r>
      <w:r>
        <w:rPr>
          <w:rFonts w:hint="eastAsia" w:ascii="宋体" w:hAnsi="宋体" w:eastAsia="宋体"/>
          <w:b/>
          <w:szCs w:val="21"/>
        </w:rPr>
        <w:t>力学性能</w:t>
      </w:r>
    </w:p>
    <w:p>
      <w:pPr>
        <w:pStyle w:val="15"/>
        <w:ind w:firstLine="420"/>
        <w:rPr>
          <w:rFonts w:ascii="黑体" w:eastAsia="黑体"/>
          <w:szCs w:val="21"/>
        </w:rPr>
      </w:pPr>
      <w:r>
        <w:rPr>
          <w:rFonts w:hint="eastAsia" w:ascii="黑体" w:eastAsia="黑体"/>
          <w:szCs w:val="21"/>
        </w:rPr>
        <w:t>棒饼材的室温力学性能见表4的规定，硬度值要求表面心部基本保持一致。本标准力学性能根据用户的实际需求及生产检测数据确定。　</w:t>
      </w:r>
    </w:p>
    <w:p>
      <w:pPr>
        <w:pStyle w:val="15"/>
        <w:ind w:firstLine="420"/>
        <w:rPr>
          <w:rFonts w:ascii="黑体" w:hAnsi="宋体" w:eastAsia="黑体"/>
          <w:szCs w:val="21"/>
        </w:rPr>
      </w:pPr>
    </w:p>
    <w:p>
      <w:pPr>
        <w:pStyle w:val="17"/>
        <w:tabs>
          <w:tab w:val="left" w:pos="420"/>
          <w:tab w:val="clear" w:pos="360"/>
        </w:tabs>
        <w:ind w:firstLine="735" w:firstLineChars="350"/>
        <w:rPr>
          <w:szCs w:val="21"/>
        </w:rPr>
      </w:pPr>
      <w:r>
        <w:rPr>
          <w:rFonts w:hint="eastAsia"/>
          <w:szCs w:val="21"/>
        </w:rPr>
        <w:t>表4         棒材的力学性能</w:t>
      </w:r>
    </w:p>
    <w:tbl>
      <w:tblPr>
        <w:tblStyle w:val="11"/>
        <w:tblW w:w="92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7"/>
        <w:gridCol w:w="2552"/>
        <w:gridCol w:w="226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6" w:type="dxa"/>
            <w:tcBorders>
              <w:top w:val="single" w:color="auto" w:sz="4" w:space="0"/>
              <w:left w:val="single" w:color="auto" w:sz="4" w:space="0"/>
              <w:bottom w:val="single" w:color="auto" w:sz="4" w:space="0"/>
              <w:right w:val="single" w:color="auto" w:sz="4" w:space="0"/>
            </w:tcBorders>
            <w:vAlign w:val="center"/>
          </w:tcPr>
          <w:p>
            <w:pPr>
              <w:pStyle w:val="3"/>
              <w:jc w:val="center"/>
              <w:rPr>
                <w:rFonts w:ascii="黑体" w:eastAsia="黑体"/>
              </w:rPr>
            </w:pPr>
            <w:r>
              <w:rPr>
                <w:rFonts w:hint="eastAsia" w:ascii="黑体" w:eastAsia="黑体"/>
              </w:rPr>
              <w:t>牌号</w:t>
            </w:r>
          </w:p>
        </w:tc>
        <w:tc>
          <w:tcPr>
            <w:tcW w:w="1417" w:type="dxa"/>
            <w:tcBorders>
              <w:top w:val="single" w:color="auto" w:sz="4" w:space="0"/>
              <w:left w:val="single" w:color="auto" w:sz="4" w:space="0"/>
              <w:bottom w:val="single" w:color="auto" w:sz="4" w:space="0"/>
              <w:right w:val="single" w:color="auto" w:sz="4" w:space="0"/>
            </w:tcBorders>
            <w:vAlign w:val="center"/>
          </w:tcPr>
          <w:p>
            <w:pPr>
              <w:pStyle w:val="3"/>
              <w:ind w:firstLine="210"/>
              <w:jc w:val="center"/>
              <w:rPr>
                <w:rFonts w:ascii="黑体" w:eastAsia="黑体"/>
              </w:rPr>
            </w:pPr>
            <w:r>
              <w:rPr>
                <w:rFonts w:hint="eastAsia" w:ascii="黑体" w:eastAsia="黑体"/>
              </w:rPr>
              <w:t>状态</w:t>
            </w:r>
          </w:p>
        </w:tc>
        <w:tc>
          <w:tcPr>
            <w:tcW w:w="2552" w:type="dxa"/>
            <w:tcBorders>
              <w:top w:val="single" w:color="auto" w:sz="4" w:space="0"/>
              <w:left w:val="single" w:color="auto" w:sz="4" w:space="0"/>
              <w:bottom w:val="single" w:color="auto" w:sz="4" w:space="0"/>
              <w:right w:val="single" w:color="auto" w:sz="4" w:space="0"/>
            </w:tcBorders>
            <w:vAlign w:val="center"/>
          </w:tcPr>
          <w:p>
            <w:pPr>
              <w:pStyle w:val="3"/>
              <w:jc w:val="center"/>
              <w:rPr>
                <w:rFonts w:ascii="黑体" w:eastAsia="黑体"/>
              </w:rPr>
            </w:pPr>
            <w:r>
              <w:rPr>
                <w:rFonts w:hint="eastAsia" w:ascii="黑体" w:eastAsia="黑体"/>
              </w:rPr>
              <w:t>抗拉强度Rm</w:t>
            </w:r>
          </w:p>
          <w:p>
            <w:pPr>
              <w:pStyle w:val="3"/>
              <w:jc w:val="center"/>
              <w:rPr>
                <w:rFonts w:ascii="黑体" w:eastAsia="黑体"/>
              </w:rPr>
            </w:pPr>
            <w:r>
              <w:rPr>
                <w:rFonts w:hint="eastAsia" w:ascii="黑体" w:eastAsia="黑体"/>
              </w:rPr>
              <w:t>MPa</w:t>
            </w:r>
          </w:p>
        </w:tc>
        <w:tc>
          <w:tcPr>
            <w:tcW w:w="226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黑体" w:eastAsia="黑体"/>
              </w:rPr>
            </w:pPr>
            <w:r>
              <w:rPr>
                <w:rFonts w:hint="eastAsia" w:ascii="黑体" w:eastAsia="黑体"/>
              </w:rPr>
              <w:t>断后伸长率A</w:t>
            </w:r>
          </w:p>
          <w:p>
            <w:pPr>
              <w:pStyle w:val="3"/>
              <w:jc w:val="center"/>
              <w:rPr>
                <w:rFonts w:ascii="黑体" w:eastAsia="黑体"/>
              </w:rPr>
            </w:pPr>
            <w:r>
              <w:rPr>
                <w:rFonts w:hint="eastAsia" w:ascii="黑体" w:eastAsia="黑体"/>
              </w:rPr>
              <w:t>%</w:t>
            </w:r>
          </w:p>
        </w:tc>
        <w:tc>
          <w:tcPr>
            <w:tcW w:w="1705" w:type="dxa"/>
            <w:tcBorders>
              <w:top w:val="single" w:color="auto" w:sz="4" w:space="0"/>
              <w:left w:val="single" w:color="auto" w:sz="4" w:space="0"/>
              <w:bottom w:val="single" w:color="auto" w:sz="4" w:space="0"/>
              <w:right w:val="single" w:color="auto" w:sz="4" w:space="0"/>
            </w:tcBorders>
            <w:vAlign w:val="center"/>
          </w:tcPr>
          <w:p>
            <w:pPr>
              <w:pStyle w:val="3"/>
              <w:jc w:val="center"/>
              <w:rPr>
                <w:rFonts w:ascii="黑体" w:eastAsia="黑体"/>
              </w:rPr>
            </w:pPr>
            <w:r>
              <w:rPr>
                <w:rFonts w:hint="eastAsia" w:ascii="黑体" w:eastAsia="黑体"/>
              </w:rPr>
              <w:t>布氏硬度HB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276" w:type="dxa"/>
            <w:tcBorders>
              <w:top w:val="single" w:color="auto" w:sz="4" w:space="0"/>
              <w:left w:val="single" w:color="auto" w:sz="4" w:space="0"/>
              <w:bottom w:val="single" w:color="auto" w:sz="4" w:space="0"/>
              <w:right w:val="single" w:color="auto" w:sz="4" w:space="0"/>
            </w:tcBorders>
            <w:vAlign w:val="center"/>
          </w:tcPr>
          <w:p>
            <w:pPr>
              <w:pStyle w:val="3"/>
              <w:ind w:firstLine="226"/>
              <w:jc w:val="center"/>
              <w:rPr>
                <w:rFonts w:ascii="黑体" w:eastAsia="黑体"/>
              </w:rPr>
            </w:pPr>
            <w:r>
              <w:rPr>
                <w:rFonts w:hint="eastAsia" w:ascii="黑体" w:eastAsia="黑体"/>
                <w:bCs/>
                <w:color w:val="000000"/>
                <w:spacing w:val="8"/>
                <w:shd w:val="clear" w:color="auto" w:fill="FFFFFF"/>
              </w:rPr>
              <w:t>HSi80-3</w:t>
            </w:r>
          </w:p>
        </w:tc>
        <w:tc>
          <w:tcPr>
            <w:tcW w:w="1417" w:type="dxa"/>
            <w:vMerge w:val="restart"/>
            <w:tcBorders>
              <w:top w:val="single" w:color="auto" w:sz="4" w:space="0"/>
              <w:left w:val="single" w:color="auto" w:sz="4" w:space="0"/>
              <w:right w:val="single" w:color="auto" w:sz="4" w:space="0"/>
            </w:tcBorders>
            <w:vAlign w:val="center"/>
          </w:tcPr>
          <w:p>
            <w:pPr>
              <w:pStyle w:val="3"/>
              <w:ind w:firstLine="210"/>
              <w:jc w:val="center"/>
              <w:rPr>
                <w:rFonts w:ascii="黑体" w:eastAsia="黑体"/>
              </w:rPr>
            </w:pPr>
            <w:r>
              <w:rPr>
                <w:rFonts w:hint="eastAsia" w:ascii="黑体" w:eastAsia="黑体"/>
              </w:rPr>
              <w:fldChar w:fldCharType="begin"/>
            </w:r>
            <w:r>
              <w:rPr>
                <w:rFonts w:hint="eastAsia" w:ascii="黑体" w:eastAsia="黑体"/>
              </w:rPr>
              <w:instrText xml:space="preserve"> LINK Word.Document.12 "C:\\Documents and Settings\\Administrator\\桌面\\80-3棒标准.doc" "OLE_LINK1" \a \r  \* MERGEFORMAT </w:instrText>
            </w:r>
            <w:r>
              <w:rPr>
                <w:rFonts w:hint="eastAsia" w:ascii="黑体" w:eastAsia="黑体"/>
              </w:rPr>
              <w:fldChar w:fldCharType="separate"/>
            </w:r>
            <w:r>
              <w:rPr>
                <w:rFonts w:hint="eastAsia" w:ascii="黑体" w:eastAsia="黑体"/>
              </w:rPr>
              <w:t>M10</w:t>
            </w:r>
            <w:r>
              <w:rPr>
                <w:rFonts w:hint="eastAsia" w:ascii="黑体" w:eastAsia="黑体"/>
              </w:rPr>
              <w:fldChar w:fldCharType="end"/>
            </w:r>
          </w:p>
        </w:tc>
        <w:tc>
          <w:tcPr>
            <w:tcW w:w="2552" w:type="dxa"/>
            <w:tcBorders>
              <w:top w:val="single" w:color="auto" w:sz="4" w:space="0"/>
              <w:left w:val="single" w:color="auto" w:sz="4" w:space="0"/>
              <w:right w:val="single" w:color="auto" w:sz="4" w:space="0"/>
            </w:tcBorders>
            <w:vAlign w:val="center"/>
          </w:tcPr>
          <w:p>
            <w:pPr>
              <w:pStyle w:val="3"/>
              <w:jc w:val="center"/>
              <w:rPr>
                <w:rFonts w:ascii="黑体" w:eastAsia="黑体"/>
              </w:rPr>
            </w:pPr>
            <w:r>
              <w:rPr>
                <w:rFonts w:hint="eastAsia" w:ascii="黑体" w:eastAsia="黑体"/>
              </w:rPr>
              <w:t>≥300</w:t>
            </w:r>
          </w:p>
        </w:tc>
        <w:tc>
          <w:tcPr>
            <w:tcW w:w="2268" w:type="dxa"/>
            <w:tcBorders>
              <w:top w:val="single" w:color="auto" w:sz="4" w:space="0"/>
              <w:left w:val="single" w:color="auto" w:sz="4" w:space="0"/>
              <w:right w:val="single" w:color="auto" w:sz="4" w:space="0"/>
            </w:tcBorders>
            <w:vAlign w:val="center"/>
          </w:tcPr>
          <w:p>
            <w:pPr>
              <w:pStyle w:val="3"/>
              <w:jc w:val="center"/>
              <w:rPr>
                <w:rFonts w:ascii="黑体" w:eastAsia="黑体"/>
              </w:rPr>
            </w:pPr>
            <w:r>
              <w:rPr>
                <w:rFonts w:hint="eastAsia" w:ascii="黑体" w:eastAsia="黑体"/>
              </w:rPr>
              <w:t>≥28</w:t>
            </w:r>
          </w:p>
        </w:tc>
        <w:tc>
          <w:tcPr>
            <w:tcW w:w="1705" w:type="dxa"/>
            <w:tcBorders>
              <w:top w:val="single" w:color="auto" w:sz="4" w:space="0"/>
              <w:left w:val="single" w:color="auto" w:sz="4" w:space="0"/>
              <w:right w:val="single" w:color="auto" w:sz="4" w:space="0"/>
            </w:tcBorders>
            <w:vAlign w:val="center"/>
          </w:tcPr>
          <w:p>
            <w:pPr>
              <w:pStyle w:val="3"/>
              <w:jc w:val="center"/>
              <w:rPr>
                <w:rFonts w:ascii="黑体" w:eastAsia="黑体"/>
              </w:rPr>
            </w:pPr>
            <w:r>
              <w:rPr>
                <w:rFonts w:hint="eastAsia" w:ascii="黑体" w:eastAsia="黑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rPr>
                <w:rFonts w:ascii="黑体" w:eastAsia="黑体"/>
                <w:kern w:val="0"/>
                <w:szCs w:val="21"/>
              </w:rPr>
            </w:pPr>
            <w:r>
              <w:rPr>
                <w:rFonts w:hint="eastAsia" w:ascii="黑体" w:eastAsia="黑体"/>
                <w:kern w:val="0"/>
                <w:szCs w:val="21"/>
              </w:rPr>
              <w:t>HSn62-1</w:t>
            </w:r>
          </w:p>
        </w:tc>
        <w:tc>
          <w:tcPr>
            <w:tcW w:w="1417" w:type="dxa"/>
            <w:vMerge w:val="continue"/>
            <w:tcBorders>
              <w:left w:val="single" w:color="auto" w:sz="4" w:space="0"/>
              <w:right w:val="single" w:color="auto" w:sz="4" w:space="0"/>
            </w:tcBorders>
            <w:vAlign w:val="center"/>
          </w:tcPr>
          <w:p>
            <w:pPr>
              <w:pStyle w:val="3"/>
              <w:jc w:val="center"/>
              <w:rPr>
                <w:rFonts w:ascii="黑体" w:eastAsia="黑体"/>
              </w:rPr>
            </w:pPr>
          </w:p>
        </w:tc>
        <w:tc>
          <w:tcPr>
            <w:tcW w:w="2552" w:type="dxa"/>
            <w:tcBorders>
              <w:top w:val="single" w:color="auto" w:sz="4" w:space="0"/>
              <w:left w:val="single" w:color="auto" w:sz="4" w:space="0"/>
              <w:right w:val="single" w:color="auto" w:sz="4" w:space="0"/>
            </w:tcBorders>
            <w:vAlign w:val="center"/>
          </w:tcPr>
          <w:p>
            <w:pPr>
              <w:pStyle w:val="3"/>
              <w:jc w:val="center"/>
              <w:rPr>
                <w:rFonts w:ascii="黑体" w:eastAsia="黑体"/>
              </w:rPr>
            </w:pPr>
            <w:r>
              <w:rPr>
                <w:rFonts w:hint="eastAsia" w:ascii="黑体" w:eastAsia="黑体"/>
              </w:rPr>
              <w:t>345</w:t>
            </w:r>
          </w:p>
        </w:tc>
        <w:tc>
          <w:tcPr>
            <w:tcW w:w="2268" w:type="dxa"/>
            <w:tcBorders>
              <w:top w:val="single" w:color="auto" w:sz="4" w:space="0"/>
              <w:left w:val="single" w:color="auto" w:sz="4" w:space="0"/>
              <w:right w:val="single" w:color="auto" w:sz="4" w:space="0"/>
            </w:tcBorders>
            <w:vAlign w:val="center"/>
          </w:tcPr>
          <w:p>
            <w:pPr>
              <w:pStyle w:val="3"/>
              <w:jc w:val="center"/>
              <w:rPr>
                <w:rFonts w:ascii="黑体" w:eastAsia="黑体"/>
              </w:rPr>
            </w:pPr>
            <w:r>
              <w:rPr>
                <w:rFonts w:hint="eastAsia" w:ascii="黑体" w:eastAsia="黑体"/>
              </w:rPr>
              <w:t>≥20</w:t>
            </w:r>
          </w:p>
        </w:tc>
        <w:tc>
          <w:tcPr>
            <w:tcW w:w="1705" w:type="dxa"/>
            <w:tcBorders>
              <w:top w:val="single" w:color="auto" w:sz="4" w:space="0"/>
              <w:left w:val="single" w:color="auto" w:sz="4" w:space="0"/>
              <w:right w:val="single" w:color="auto" w:sz="4" w:space="0"/>
            </w:tcBorders>
            <w:vAlign w:val="center"/>
          </w:tcPr>
          <w:p>
            <w:pPr>
              <w:pStyle w:val="3"/>
              <w:jc w:val="center"/>
              <w:rPr>
                <w:rFonts w:ascii="黑体" w:eastAsia="黑体"/>
              </w:rPr>
            </w:pPr>
            <w:r>
              <w:rPr>
                <w:rFonts w:hint="eastAsia" w:ascii="黑体" w:eastAsia="黑体"/>
              </w:rPr>
              <w:t>≥90</w:t>
            </w:r>
          </w:p>
        </w:tc>
      </w:tr>
    </w:tbl>
    <w:p>
      <w:pPr>
        <w:spacing w:line="360" w:lineRule="exact"/>
        <w:jc w:val="left"/>
        <w:rPr>
          <w:rFonts w:ascii="楷体_GB2312" w:eastAsia="楷体_GB2312"/>
          <w:sz w:val="24"/>
          <w:szCs w:val="24"/>
        </w:rPr>
      </w:pPr>
      <w:r>
        <w:rPr>
          <w:rFonts w:hint="eastAsia" w:ascii="楷体_GB2312" w:eastAsia="楷体_GB2312"/>
          <w:sz w:val="24"/>
          <w:szCs w:val="24"/>
        </w:rPr>
        <w:t>　</w:t>
      </w:r>
    </w:p>
    <w:p>
      <w:pPr>
        <w:spacing w:line="360" w:lineRule="auto"/>
        <w:rPr>
          <w:rFonts w:ascii="黑体" w:hAnsi="黑体" w:eastAsia="黑体" w:cs="黑体"/>
          <w:b/>
          <w:szCs w:val="24"/>
        </w:rPr>
      </w:pPr>
      <w:r>
        <w:rPr>
          <w:rFonts w:hint="eastAsia" w:ascii="黑体" w:hAnsi="黑体" w:eastAsia="黑体" w:cs="黑体"/>
          <w:b/>
          <w:szCs w:val="24"/>
        </w:rPr>
        <w:t>4.6表面质量</w:t>
      </w:r>
    </w:p>
    <w:p>
      <w:pPr>
        <w:spacing w:line="360" w:lineRule="auto"/>
        <w:ind w:firstLine="420"/>
        <w:rPr>
          <w:rFonts w:ascii="黑体" w:eastAsia="黑体"/>
          <w:szCs w:val="21"/>
        </w:rPr>
      </w:pPr>
      <w:r>
        <w:rPr>
          <w:rFonts w:hint="eastAsia" w:ascii="黑体" w:hAnsi="宋体" w:eastAsia="黑体"/>
          <w:szCs w:val="21"/>
        </w:rPr>
        <w:t>棒饼材表面应光滑、清洁，不允许有夹杂、裂纹、气孔、严重冷隔和偏析等缺陷。允许有局部的，轻微的不使其尺寸超出允许偏差的外伤。</w:t>
      </w:r>
    </w:p>
    <w:p>
      <w:pPr>
        <w:rPr>
          <w:rFonts w:ascii="黑体" w:hAnsi="黑体" w:eastAsia="黑体" w:cs="黑体"/>
          <w:b/>
          <w:color w:val="000000"/>
          <w:szCs w:val="21"/>
        </w:rPr>
      </w:pPr>
      <w:r>
        <w:rPr>
          <w:rFonts w:hint="eastAsia" w:ascii="黑体" w:hAnsi="黑体" w:eastAsia="黑体" w:cs="黑体"/>
          <w:b/>
          <w:color w:val="000000"/>
          <w:szCs w:val="21"/>
        </w:rPr>
        <w:t>五、整体标准水平说明</w:t>
      </w:r>
    </w:p>
    <w:p>
      <w:pPr>
        <w:ind w:firstLine="315" w:firstLineChars="150"/>
        <w:rPr>
          <w:rFonts w:ascii="黑体" w:eastAsia="黑体"/>
          <w:color w:val="000000"/>
          <w:szCs w:val="21"/>
        </w:rPr>
      </w:pPr>
      <w:r>
        <w:rPr>
          <w:rFonts w:hint="eastAsia" w:ascii="黑体" w:eastAsia="黑体"/>
          <w:color w:val="000000"/>
          <w:szCs w:val="21"/>
        </w:rPr>
        <w:t>本标准力学性能水平，高于基础性国家标准的力学性能水平，公差水平亦较严，其他技术条件优于国有标准。</w:t>
      </w:r>
    </w:p>
    <w:p>
      <w:pPr>
        <w:spacing w:beforeLines="50" w:afterLines="50"/>
        <w:rPr>
          <w:rFonts w:ascii="黑体" w:hAnsi="黑体" w:eastAsia="黑体"/>
          <w:b/>
          <w:color w:val="000000"/>
          <w:szCs w:val="21"/>
        </w:rPr>
      </w:pPr>
      <w:r>
        <w:rPr>
          <w:rFonts w:hint="eastAsia" w:ascii="黑体" w:hAnsi="黑体" w:eastAsia="黑体"/>
          <w:b/>
          <w:color w:val="000000"/>
          <w:szCs w:val="21"/>
        </w:rPr>
        <w:t>六、与现行相关法律、法规、规章及相关标准，特别是强制性标准的协调性</w:t>
      </w:r>
    </w:p>
    <w:p>
      <w:pPr>
        <w:pStyle w:val="15"/>
        <w:spacing w:line="360" w:lineRule="auto"/>
        <w:ind w:firstLine="420"/>
        <w:rPr>
          <w:rFonts w:ascii="黑体" w:eastAsia="黑体"/>
          <w:color w:val="000000"/>
          <w:kern w:val="2"/>
          <w:szCs w:val="21"/>
        </w:rPr>
      </w:pPr>
      <w:r>
        <w:rPr>
          <w:rFonts w:hint="eastAsia" w:ascii="黑体" w:eastAsia="黑体"/>
          <w:color w:val="000000"/>
          <w:kern w:val="2"/>
          <w:szCs w:val="21"/>
        </w:rPr>
        <w:t>目前，我国有GB/T 4423-2007《铜及铜合金拉制棒》和YS/T649-2007《铜及铜合金挤制棒》两个棒材标准，其中YS/T 649-2007是通用性的挤压棒标准，GB/T4423-2007是通用的拉制棒标准，而本标准是属于</w:t>
      </w:r>
      <w:r>
        <w:rPr>
          <w:rFonts w:hint="eastAsia" w:ascii="黑体" w:eastAsia="黑体"/>
          <w:color w:val="000000"/>
          <w:szCs w:val="21"/>
        </w:rPr>
        <w:t>耐蚀材料用</w:t>
      </w:r>
      <w:r>
        <w:rPr>
          <w:rFonts w:hint="eastAsia" w:ascii="黑体" w:eastAsia="黑体"/>
          <w:color w:val="000000"/>
          <w:kern w:val="2"/>
          <w:szCs w:val="21"/>
        </w:rPr>
        <w:t>棒饼材专用标准，是YS/T 649和GB/T 4423不可替代的标准，本标准是对YS/T 649及GB/T4423标准的补充，本标准与YS/T 649和GB/T 4423一同构成铜及铜合金棒的标准体系。</w:t>
      </w:r>
    </w:p>
    <w:p>
      <w:pPr>
        <w:pStyle w:val="15"/>
        <w:ind w:firstLine="0" w:firstLineChars="0"/>
        <w:rPr>
          <w:rFonts w:ascii="黑体" w:eastAsia="黑体"/>
          <w:b/>
          <w:color w:val="000000"/>
          <w:kern w:val="2"/>
          <w:sz w:val="24"/>
          <w:szCs w:val="24"/>
        </w:rPr>
      </w:pPr>
      <w:r>
        <w:rPr>
          <w:rFonts w:hint="eastAsia" w:ascii="黑体" w:eastAsia="黑体"/>
          <w:b/>
          <w:color w:val="000000"/>
          <w:kern w:val="2"/>
          <w:sz w:val="24"/>
          <w:szCs w:val="24"/>
        </w:rPr>
        <w:t>七、</w:t>
      </w:r>
      <w:r>
        <w:rPr>
          <w:rFonts w:hint="eastAsia" w:ascii="黑体" w:hAnsi="黑体" w:eastAsia="黑体"/>
          <w:b/>
          <w:color w:val="000000"/>
          <w:szCs w:val="21"/>
        </w:rPr>
        <w:t>预期效果</w:t>
      </w:r>
    </w:p>
    <w:p>
      <w:pPr>
        <w:spacing w:line="360" w:lineRule="auto"/>
        <w:rPr>
          <w:rFonts w:ascii="黑体" w:eastAsia="黑体"/>
          <w:color w:val="000000"/>
          <w:szCs w:val="21"/>
        </w:rPr>
      </w:pPr>
      <w:r>
        <w:rPr>
          <w:rFonts w:hint="eastAsia"/>
          <w:color w:val="000000"/>
          <w:szCs w:val="21"/>
        </w:rPr>
        <w:t>　　</w:t>
      </w:r>
      <w:r>
        <w:rPr>
          <w:rFonts w:hint="eastAsia" w:ascii="黑体" w:eastAsia="黑体"/>
          <w:color w:val="000000"/>
          <w:szCs w:val="21"/>
        </w:rPr>
        <w:t>本标准结合我国国情，在国内生产企业及国内外用户需求的基础上，参照美国同类产品标准制定，技术指标先进，具有普遍性、广泛性、适用性、科学性和先进性。本标准发布后，将规范海洋环境用黄铜棒饼材的性能和技术要求，提高产品在国内、外市场上的竞争力，给生产企业带来巨大的经济效益。</w:t>
      </w:r>
    </w:p>
    <w:p>
      <w:pPr>
        <w:spacing w:line="360" w:lineRule="auto"/>
        <w:rPr>
          <w:rFonts w:ascii="楷体_GB2312" w:eastAsia="楷体_GB2312"/>
          <w:sz w:val="24"/>
          <w:szCs w:val="24"/>
        </w:rPr>
      </w:pPr>
    </w:p>
    <w:p>
      <w:pPr>
        <w:spacing w:line="360" w:lineRule="auto"/>
      </w:pPr>
    </w:p>
    <w:p>
      <w:pPr>
        <w:spacing w:line="360" w:lineRule="auto"/>
      </w:pPr>
      <w:r>
        <w:rPr>
          <w:rFonts w:hint="eastAsia"/>
        </w:rP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pStyle w:val="15"/>
        <w:ind w:right="735" w:firstLine="0" w:firstLineChars="0"/>
        <w:rPr>
          <w:rFonts w:ascii="黑体" w:eastAsia="黑体"/>
          <w:color w:val="000000"/>
          <w:kern w:val="2"/>
          <w:szCs w:val="21"/>
        </w:rPr>
      </w:pPr>
      <w:r>
        <w:rPr>
          <w:rFonts w:hint="eastAsia" w:ascii="Times New Roman"/>
          <w:color w:val="000000"/>
          <w:kern w:val="2"/>
          <w:szCs w:val="21"/>
        </w:rPr>
        <w:t>　　　　　　　　　　　　　　　　　　　　　　　　　　　　　　　</w:t>
      </w:r>
      <w:r>
        <w:rPr>
          <w:rFonts w:hint="eastAsia" w:ascii="黑体" w:eastAsia="黑体"/>
          <w:color w:val="000000"/>
          <w:kern w:val="2"/>
          <w:szCs w:val="21"/>
        </w:rPr>
        <w:t>　　标准编制组</w:t>
      </w:r>
    </w:p>
    <w:p>
      <w:pPr>
        <w:pStyle w:val="15"/>
        <w:ind w:right="480" w:firstLine="5985" w:firstLineChars="2850"/>
        <w:rPr>
          <w:rFonts w:ascii="黑体" w:eastAsia="黑体"/>
          <w:color w:val="000000"/>
          <w:kern w:val="2"/>
          <w:szCs w:val="21"/>
        </w:rPr>
      </w:pPr>
      <w:r>
        <w:rPr>
          <w:rFonts w:hint="eastAsia" w:ascii="黑体" w:eastAsia="黑体"/>
          <w:color w:val="000000"/>
          <w:kern w:val="2"/>
          <w:szCs w:val="21"/>
        </w:rPr>
        <w:t xml:space="preserve">          2021</w:t>
      </w:r>
      <w:r>
        <w:rPr>
          <w:rFonts w:hint="eastAsia" w:ascii="黑体" w:eastAsia="黑体"/>
          <w:color w:val="000000"/>
          <w:kern w:val="2"/>
          <w:szCs w:val="21"/>
          <w:highlight w:val="yellow"/>
        </w:rPr>
        <w:t>年</w:t>
      </w:r>
      <w:r>
        <w:rPr>
          <w:rFonts w:hint="eastAsia" w:ascii="黑体" w:eastAsia="黑体"/>
          <w:color w:val="000000"/>
          <w:kern w:val="2"/>
          <w:szCs w:val="21"/>
        </w:rPr>
        <w:t>9月15日</w:t>
      </w:r>
    </w:p>
    <w:p>
      <w:pPr>
        <w:spacing w:line="360" w:lineRule="auto"/>
        <w:rPr>
          <w:rFonts w:ascii="黑体" w:eastAsia="黑体"/>
        </w:rPr>
        <w:sectPr>
          <w:headerReference r:id="rId3" w:type="default"/>
          <w:footerReference r:id="rId4" w:type="default"/>
          <w:pgSz w:w="11906" w:h="16838"/>
          <w:pgMar w:top="1440" w:right="1286" w:bottom="1440" w:left="1380" w:header="851" w:footer="992" w:gutter="0"/>
          <w:cols w:space="720" w:num="1"/>
          <w:docGrid w:type="lines" w:linePitch="312" w:charSpace="0"/>
        </w:sectPr>
      </w:pPr>
    </w:p>
    <w:p>
      <w:r>
        <w:rPr>
          <w:rFonts w:hint="eastAsia" w:ascii="宋体" w:hAnsi="宋体"/>
          <w:bCs/>
          <w:szCs w:val="21"/>
        </w:rPr>
        <w:t xml:space="preserve">            </w:t>
      </w:r>
    </w:p>
    <w:p>
      <w:pPr>
        <w:spacing w:line="400" w:lineRule="exact"/>
        <w:rPr>
          <w:sz w:val="24"/>
        </w:rPr>
      </w:pPr>
    </w:p>
    <w:p>
      <w:pPr>
        <w:spacing w:line="400" w:lineRule="exact"/>
        <w:rPr>
          <w:sz w:val="24"/>
        </w:rPr>
      </w:pPr>
    </w:p>
    <w:p>
      <w:pPr>
        <w:spacing w:line="360" w:lineRule="auto"/>
        <w:ind w:firstLine="570"/>
        <w:rPr>
          <w:rFonts w:ascii="楷体_GB2312" w:eastAsia="楷体_GB2312"/>
          <w:sz w:val="24"/>
        </w:rPr>
      </w:pPr>
      <w:r>
        <w:rPr>
          <w:rFonts w:hint="eastAsia" w:ascii="楷体_GB2312" w:eastAsia="楷体_GB2312"/>
          <w:sz w:val="24"/>
        </w:rPr>
        <w:t>近年来，随着我国舰船工业的发展，各大船厂所需的</w:t>
      </w:r>
      <w:r>
        <w:rPr>
          <w:rFonts w:eastAsia="楷体_GB2312"/>
          <w:sz w:val="24"/>
        </w:rPr>
        <w:t>HSi80-3</w:t>
      </w:r>
      <w:r>
        <w:rPr>
          <w:rFonts w:hint="eastAsia" w:ascii="楷体_GB2312" w:eastAsia="楷体_GB2312"/>
          <w:sz w:val="24"/>
        </w:rPr>
        <w:t>等棒材和饼材直径较大，按目前行业的设备条件，铸锭和挤压筒直径较小，直径</w:t>
      </w:r>
      <w:r>
        <w:rPr>
          <w:rFonts w:eastAsia="楷体_GB2312"/>
          <w:sz w:val="24"/>
        </w:rPr>
        <w:t>Φ120</w:t>
      </w:r>
      <w:r>
        <w:rPr>
          <w:sz w:val="24"/>
        </w:rPr>
        <w:t>㎜</w:t>
      </w:r>
      <w:r>
        <w:rPr>
          <w:rFonts w:hint="eastAsia" w:ascii="楷体_GB2312" w:eastAsia="楷体_GB2312"/>
          <w:sz w:val="24"/>
        </w:rPr>
        <w:t>以下棒材，可以直接采用挤制品供货，由于挤压比较大，能够很好的满足</w:t>
      </w:r>
      <w:r>
        <w:rPr>
          <w:rFonts w:eastAsia="楷体_GB2312"/>
          <w:sz w:val="24"/>
        </w:rPr>
        <w:t>YB/T649-2007</w:t>
      </w:r>
      <w:r>
        <w:rPr>
          <w:rFonts w:hint="eastAsia" w:ascii="楷体_GB2312" w:eastAsia="楷体_GB2312"/>
          <w:sz w:val="24"/>
        </w:rPr>
        <w:t>标准和用户要求。直径</w:t>
      </w:r>
      <w:r>
        <w:rPr>
          <w:rFonts w:eastAsia="楷体_GB2312"/>
          <w:sz w:val="24"/>
        </w:rPr>
        <w:t>Φ120</w:t>
      </w:r>
      <w:r>
        <w:rPr>
          <w:sz w:val="24"/>
        </w:rPr>
        <w:t>㎜</w:t>
      </w:r>
      <w:r>
        <w:rPr>
          <w:rFonts w:hint="eastAsia" w:ascii="楷体_GB2312" w:eastAsia="楷体_GB2312"/>
          <w:sz w:val="24"/>
        </w:rPr>
        <w:t>以上棒材，以目前能够生产的铸锭直径来说，由于挤压比较小，如果直接采用挤制品供货，材料内部铸造组织破碎不充分，很难形成细腻的加工态组织，直接导致棒材性能水平不够优异（低于小规格棒材性能水平），探伤检测杂波较多，断口检测晶粒粗大，不同程度存在气孔、夹杂、分层等缺陷，不能满足各大船厂要求。</w:t>
      </w:r>
    </w:p>
    <w:p>
      <w:pPr>
        <w:spacing w:line="360" w:lineRule="auto"/>
        <w:ind w:firstLine="570"/>
        <w:rPr>
          <w:rFonts w:ascii="楷体_GB2312" w:eastAsia="楷体_GB2312"/>
          <w:sz w:val="24"/>
        </w:rPr>
      </w:pPr>
      <w:r>
        <w:rPr>
          <w:rFonts w:hint="eastAsia" w:ascii="楷体_GB2312" w:eastAsia="楷体_GB2312"/>
          <w:sz w:val="24"/>
        </w:rPr>
        <w:t>目前有色行业内对于较大规格棒材的生产普遍受到装备条件和工艺技术的限制，生产厂家较少，或者只能提供铸态和挤压比较小的低质量的产品。这种产品的显著特点为内部组织粗糙且不均匀，其性能水平受其影响表现为强度较低，塑性值不均匀，棒材不同部位的性能值也有较大差距，特别是断口检测不合格。</w:t>
      </w:r>
    </w:p>
    <w:p>
      <w:pPr>
        <w:spacing w:line="360" w:lineRule="auto"/>
        <w:ind w:firstLine="570"/>
        <w:rPr>
          <w:rFonts w:ascii="楷体_GB2312" w:eastAsia="楷体_GB2312"/>
          <w:sz w:val="24"/>
        </w:rPr>
      </w:pPr>
      <w:r>
        <w:rPr>
          <w:rFonts w:hint="eastAsia" w:ascii="楷体_GB2312" w:eastAsia="楷体_GB2312"/>
          <w:sz w:val="24"/>
        </w:rPr>
        <w:t>我公司为了解决上述生产难题，采用特殊工艺方法成功的生产出了内部组织细密均匀，性能优良的优质棒饼材，不受设备和规格的限制，其内部组织细密程度和性能指标均超过小规格挤制棒技术指标水平（按棒材国家标准</w:t>
      </w:r>
      <w:r>
        <w:rPr>
          <w:rFonts w:eastAsia="楷体_GB2312"/>
          <w:sz w:val="24"/>
        </w:rPr>
        <w:t>YS/T649-2007</w:t>
      </w:r>
      <w:r>
        <w:rPr>
          <w:rFonts w:hint="eastAsia" w:ascii="楷体_GB2312" w:eastAsia="楷体_GB2312"/>
          <w:sz w:val="24"/>
        </w:rPr>
        <w:t>水平比较）。</w:t>
      </w:r>
    </w:p>
    <w:p>
      <w:pPr>
        <w:adjustRightInd w:val="0"/>
        <w:snapToGrid w:val="0"/>
        <w:spacing w:line="360" w:lineRule="auto"/>
        <w:ind w:firstLine="480" w:firstLineChars="200"/>
        <w:rPr>
          <w:rFonts w:eastAsia="楷体_GB2312"/>
          <w:sz w:val="24"/>
        </w:rPr>
      </w:pPr>
      <w:r>
        <w:rPr>
          <w:rFonts w:hint="eastAsia" w:eastAsia="楷体_GB2312"/>
          <w:sz w:val="24"/>
        </w:rPr>
        <w:t>本产品除少量小规格产品以挤制品供货以外，绝大多数产品以锻压方式成形后机加工方式生产。其主要技术指标为产品的化学成分、棒饼材的外形尺寸及其公差、机械性能、包装储存等基本要求。对于饼材两平面平行度有较高的要求，内部质量检测要求探伤水平亦较高。</w:t>
      </w:r>
    </w:p>
    <w:p>
      <w:pPr>
        <w:spacing w:line="400" w:lineRule="exact"/>
        <w:rPr>
          <w:sz w:val="24"/>
        </w:rPr>
      </w:pPr>
    </w:p>
    <w:p>
      <w:pPr>
        <w:spacing w:line="400" w:lineRule="exact"/>
        <w:rPr>
          <w:sz w:val="24"/>
        </w:rPr>
      </w:pPr>
    </w:p>
    <w:p>
      <w:pPr>
        <w:spacing w:line="400" w:lineRule="exact"/>
        <w:rPr>
          <w:sz w:val="24"/>
        </w:rPr>
      </w:pPr>
    </w:p>
    <w:p/>
    <w:sectPr>
      <w:pgSz w:w="16838" w:h="11906" w:orient="landscape"/>
      <w:pgMar w:top="1378" w:right="1440" w:bottom="1287" w:left="144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2"/>
      <w:suff w:val="space"/>
      <w:lvlText w:val="%1 "/>
      <w:lvlJc w:val="left"/>
      <w:pPr>
        <w:ind w:left="0" w:firstLine="0"/>
      </w:pPr>
      <w:rPr>
        <w:rFonts w:hint="eastAsia" w:ascii="黑体" w:hAnsi="Verdana" w:eastAsia="黑体"/>
        <w:sz w:val="21"/>
        <w:szCs w:val="21"/>
      </w:rPr>
    </w:lvl>
    <w:lvl w:ilvl="1" w:tentative="0">
      <w:start w:val="1"/>
      <w:numFmt w:val="decimal"/>
      <w:suff w:val="space"/>
      <w:lvlText w:val="%1.%2 "/>
      <w:lvlJc w:val="left"/>
      <w:pPr>
        <w:ind w:left="0" w:firstLine="0"/>
      </w:pPr>
      <w:rPr>
        <w:rFonts w:hint="default" w:ascii="Verdana" w:hAnsi="Verdana"/>
        <w:sz w:val="24"/>
      </w:rPr>
    </w:lvl>
    <w:lvl w:ilvl="2" w:tentative="0">
      <w:start w:val="1"/>
      <w:numFmt w:val="decimal"/>
      <w:suff w:val="space"/>
      <w:lvlText w:val="%1.%2.%3 "/>
      <w:lvlJc w:val="left"/>
      <w:pPr>
        <w:ind w:left="360" w:firstLine="0"/>
      </w:pPr>
      <w:rPr>
        <w:rFonts w:hint="default" w:ascii="Verdana" w:hAnsi="Verdana"/>
        <w:sz w:val="21"/>
        <w:szCs w:val="21"/>
      </w:rPr>
    </w:lvl>
    <w:lvl w:ilvl="3" w:tentative="0">
      <w:start w:val="1"/>
      <w:numFmt w:val="decimal"/>
      <w:suff w:val="space"/>
      <w:lvlText w:val="%1.%2.%3.%4 "/>
      <w:lvlJc w:val="left"/>
      <w:pPr>
        <w:ind w:left="0" w:firstLine="0"/>
      </w:pPr>
      <w:rPr>
        <w:rFonts w:hint="default" w:ascii="Verdana" w:hAnsi="Verdana"/>
        <w:sz w:val="24"/>
      </w:rPr>
    </w:lvl>
    <w:lvl w:ilvl="4" w:tentative="0">
      <w:start w:val="1"/>
      <w:numFmt w:val="decimal"/>
      <w:pStyle w:val="6"/>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B6"/>
    <w:rsid w:val="00062578"/>
    <w:rsid w:val="000C2C8C"/>
    <w:rsid w:val="000C56E5"/>
    <w:rsid w:val="00132638"/>
    <w:rsid w:val="00141D89"/>
    <w:rsid w:val="0016647A"/>
    <w:rsid w:val="00172A27"/>
    <w:rsid w:val="00186A67"/>
    <w:rsid w:val="001A015F"/>
    <w:rsid w:val="001B0A8A"/>
    <w:rsid w:val="001E3855"/>
    <w:rsid w:val="00204219"/>
    <w:rsid w:val="00262A06"/>
    <w:rsid w:val="00282867"/>
    <w:rsid w:val="00294238"/>
    <w:rsid w:val="002A7906"/>
    <w:rsid w:val="002C175D"/>
    <w:rsid w:val="002D3893"/>
    <w:rsid w:val="002F00BA"/>
    <w:rsid w:val="00335D34"/>
    <w:rsid w:val="0034541B"/>
    <w:rsid w:val="0039000D"/>
    <w:rsid w:val="003B4A6E"/>
    <w:rsid w:val="004520AE"/>
    <w:rsid w:val="004975C2"/>
    <w:rsid w:val="004A5041"/>
    <w:rsid w:val="0051158D"/>
    <w:rsid w:val="00533E4D"/>
    <w:rsid w:val="00594040"/>
    <w:rsid w:val="00595DE8"/>
    <w:rsid w:val="005C6422"/>
    <w:rsid w:val="0069041F"/>
    <w:rsid w:val="006B7CF3"/>
    <w:rsid w:val="007A2516"/>
    <w:rsid w:val="007F5D3E"/>
    <w:rsid w:val="008D20A1"/>
    <w:rsid w:val="008D2B6A"/>
    <w:rsid w:val="00920B2E"/>
    <w:rsid w:val="00976F53"/>
    <w:rsid w:val="00981B04"/>
    <w:rsid w:val="0099065C"/>
    <w:rsid w:val="009B0BF5"/>
    <w:rsid w:val="009C0B10"/>
    <w:rsid w:val="009E4E89"/>
    <w:rsid w:val="00A64F64"/>
    <w:rsid w:val="00B21077"/>
    <w:rsid w:val="00B212B0"/>
    <w:rsid w:val="00BC3FF4"/>
    <w:rsid w:val="00C60AD4"/>
    <w:rsid w:val="00CA3540"/>
    <w:rsid w:val="00CA64B9"/>
    <w:rsid w:val="00CB7C7F"/>
    <w:rsid w:val="00CC2168"/>
    <w:rsid w:val="00CD32AE"/>
    <w:rsid w:val="00DB433A"/>
    <w:rsid w:val="00E27B22"/>
    <w:rsid w:val="00E95534"/>
    <w:rsid w:val="00ED0404"/>
    <w:rsid w:val="00F4051E"/>
    <w:rsid w:val="00F45F2C"/>
    <w:rsid w:val="00F82761"/>
    <w:rsid w:val="00F94C83"/>
    <w:rsid w:val="00F97619"/>
    <w:rsid w:val="00FF7C8A"/>
    <w:rsid w:val="07BC6C6F"/>
    <w:rsid w:val="18C102D2"/>
    <w:rsid w:val="2EA55B8B"/>
    <w:rsid w:val="33840B6F"/>
    <w:rsid w:val="3916011F"/>
    <w:rsid w:val="3D995D51"/>
    <w:rsid w:val="3FC53C32"/>
    <w:rsid w:val="41647445"/>
    <w:rsid w:val="45F118CB"/>
    <w:rsid w:val="50543FB8"/>
    <w:rsid w:val="59C33E10"/>
    <w:rsid w:val="5FD92EAF"/>
    <w:rsid w:val="7F98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qFormat/>
    <w:uiPriority w:val="0"/>
    <w:pPr>
      <w:keepLines/>
      <w:numPr>
        <w:ilvl w:val="0"/>
        <w:numId w:val="1"/>
      </w:numPr>
      <w:adjustRightInd w:val="0"/>
      <w:spacing w:before="260" w:after="260"/>
      <w:jc w:val="left"/>
      <w:textAlignment w:val="baseline"/>
      <w:outlineLvl w:val="0"/>
    </w:pPr>
    <w:rPr>
      <w:rFonts w:ascii="黑体" w:hAnsi="Verdana" w:eastAsia="黑体"/>
      <w:kern w:val="0"/>
    </w:rPr>
  </w:style>
  <w:style w:type="paragraph" w:styleId="4">
    <w:name w:val="heading 3"/>
    <w:basedOn w:val="2"/>
    <w:next w:val="5"/>
    <w:qFormat/>
    <w:uiPriority w:val="0"/>
    <w:pPr>
      <w:numPr>
        <w:numId w:val="0"/>
      </w:numPr>
      <w:ind w:firstLine="420" w:firstLineChars="200"/>
      <w:outlineLvl w:val="2"/>
    </w:pPr>
    <w:rPr>
      <w:rFonts w:ascii="宋体" w:hAnsi="宋体" w:eastAsia="宋体"/>
    </w:rPr>
  </w:style>
  <w:style w:type="paragraph" w:styleId="6">
    <w:name w:val="heading 5"/>
    <w:basedOn w:val="4"/>
    <w:next w:val="5"/>
    <w:qFormat/>
    <w:uiPriority w:val="0"/>
    <w:pPr>
      <w:numPr>
        <w:ilvl w:val="4"/>
        <w:numId w:val="1"/>
      </w:numPr>
      <w:outlineLvl w:val="4"/>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First Indent"/>
    <w:uiPriority w:val="0"/>
    <w:pPr>
      <w:tabs>
        <w:tab w:val="left" w:pos="2400"/>
      </w:tabs>
      <w:jc w:val="both"/>
    </w:pPr>
    <w:rPr>
      <w:rFonts w:ascii="宋体" w:hAnsi="宋体" w:eastAsia="宋体" w:cs="Times New Roman"/>
      <w:sz w:val="21"/>
      <w:szCs w:val="21"/>
      <w:lang w:val="en-US" w:eastAsia="zh-CN" w:bidi="ar-SA"/>
    </w:rPr>
  </w:style>
  <w:style w:type="paragraph" w:styleId="5">
    <w:name w:val="Normal Indent"/>
    <w:basedOn w:val="1"/>
    <w:uiPriority w:val="0"/>
    <w:pPr>
      <w:adjustRightInd w:val="0"/>
      <w:spacing w:line="360" w:lineRule="atLeast"/>
      <w:ind w:firstLine="420" w:firstLineChars="200"/>
      <w:jc w:val="left"/>
      <w:textAlignment w:val="baseline"/>
    </w:pPr>
    <w:rPr>
      <w:kern w:val="0"/>
      <w:sz w:val="24"/>
    </w:rPr>
  </w:style>
  <w:style w:type="paragraph" w:styleId="7">
    <w:name w:val="Body Text Indent"/>
    <w:basedOn w:val="1"/>
    <w:uiPriority w:val="0"/>
    <w:pPr>
      <w:spacing w:line="360" w:lineRule="auto"/>
      <w:ind w:firstLine="359" w:firstLineChars="171"/>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iPriority w:val="0"/>
    <w:pPr>
      <w:adjustRightInd w:val="0"/>
      <w:spacing w:line="360" w:lineRule="atLeast"/>
      <w:ind w:firstLine="643"/>
    </w:pPr>
    <w:rPr>
      <w:rFonts w:ascii="黑体" w:hAnsi="宋体" w:eastAsia="黑体"/>
      <w:bCs/>
      <w:kern w:val="0"/>
      <w:sz w:val="32"/>
      <w:szCs w:val="5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unhideWhenUsed/>
    <w:uiPriority w:val="99"/>
  </w:style>
  <w:style w:type="paragraph" w:customStyle="1" w:styleId="1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一级条标题 Char"/>
    <w:basedOn w:val="13"/>
    <w:link w:val="17"/>
    <w:locked/>
    <w:uiPriority w:val="0"/>
    <w:rPr>
      <w:rFonts w:ascii="黑体" w:eastAsia="黑体"/>
      <w:sz w:val="21"/>
    </w:rPr>
  </w:style>
  <w:style w:type="paragraph" w:customStyle="1" w:styleId="17">
    <w:name w:val="一级条标题"/>
    <w:next w:val="1"/>
    <w:link w:val="16"/>
    <w:uiPriority w:val="0"/>
    <w:pPr>
      <w:tabs>
        <w:tab w:val="left" w:pos="360"/>
      </w:tabs>
      <w:outlineLvl w:val="2"/>
    </w:pPr>
    <w:rPr>
      <w:rFonts w:ascii="黑体" w:hAnsi="Times New Roman" w:eastAsia="黑体" w:cs="Times New Roman"/>
      <w:sz w:val="21"/>
      <w:lang w:val="en-US" w:eastAsia="zh-CN" w:bidi="ar-SA"/>
    </w:rPr>
  </w:style>
  <w:style w:type="paragraph" w:styleId="18">
    <w:name w:val="List Paragraph"/>
    <w:basedOn w:val="1"/>
    <w:link w:val="19"/>
    <w:qFormat/>
    <w:uiPriority w:val="34"/>
    <w:pPr>
      <w:ind w:firstLine="420" w:firstLineChars="200"/>
    </w:pPr>
    <w:rPr>
      <w:szCs w:val="24"/>
    </w:rPr>
  </w:style>
  <w:style w:type="character" w:customStyle="1" w:styleId="19">
    <w:name w:val="列出段落 Char"/>
    <w:basedOn w:val="13"/>
    <w:link w:val="18"/>
    <w:uiPriority w:val="34"/>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740</Words>
  <Characters>4218</Characters>
  <Lines>35</Lines>
  <Paragraphs>9</Paragraphs>
  <TotalTime>1478</TotalTime>
  <ScaleCrop>false</ScaleCrop>
  <LinksUpToDate>false</LinksUpToDate>
  <CharactersWithSpaces>4949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2021-03-13T02:23:00Z</dcterms:created>
  <dc:creator>Administrator</dc:creator>
  <cp:lastModifiedBy>CathayMok</cp:lastModifiedBy>
  <dcterms:modified xsi:type="dcterms:W3CDTF">2021-11-12T07:05:32Z</dcterms:modified>
  <dc:title>行业标准《精密模具材料用铜合金棒材》（讨论稿）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03904704E0A5429088F238AA76C4F7FB</vt:lpwstr>
  </property>
</Properties>
</file>