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spacing w:line="240" w:lineRule="auto"/>
        <w:jc w:val="both"/>
        <w:rPr>
          <w:bCs/>
          <w:sz w:val="21"/>
        </w:rPr>
      </w:pPr>
      <w:bookmarkStart w:id="10" w:name="_GoBack"/>
      <w:bookmarkEnd w:id="10"/>
      <w:r>
        <w:rPr>
          <w:rFonts w:hint="eastAsia" w:ascii="黑体" w:hAnsi="黑体" w:eastAsia="黑体" w:cs="黑体"/>
          <w:bCs/>
          <w:sz w:val="21"/>
          <w:shd w:val="clear" w:color="auto"/>
          <w:lang w:val="en-US" w:eastAsia="zh-CN"/>
        </w:rPr>
        <w:t xml:space="preserve">ICS </w:t>
      </w:r>
      <w:r>
        <w:rPr>
          <w:rFonts w:hint="eastAsia" w:ascii="黑体" w:hAnsi="黑体" w:eastAsia="黑体" w:cs="黑体"/>
          <w:bCs/>
          <w:sz w:val="21"/>
          <w:shd w:val="clear" w:color="auto" w:fill="auto"/>
        </w:rPr>
        <w:t>77.150.30</w:t>
      </w:r>
    </w:p>
    <w:p>
      <w:pPr>
        <w:spacing w:line="240" w:lineRule="auto"/>
        <w:jc w:val="right"/>
        <w:rPr>
          <w:rFonts w:hint="eastAsia" w:ascii="黑体" w:hAnsi="黑体" w:eastAsia="黑体" w:cs="黑体"/>
          <w:sz w:val="21"/>
          <w:szCs w:val="21"/>
        </w:rPr>
      </w:pPr>
      <w:r>
        <w:rPr>
          <w:rFonts w:hint="eastAsia" w:ascii="黑体" w:hAnsi="黑体" w:eastAsia="黑体" w:cs="黑体"/>
          <w:sz w:val="21"/>
          <w:szCs w:val="21"/>
        </w:rPr>
        <w:object>
          <v:shape id="_x0000_i1025" o:spt="75" type="#_x0000_t75" style="height:74.05pt;width:134.2pt;" o:ole="t" filled="f" stroked="f" coordsize="21600,21600">
            <v:path/>
            <v:fill on="f" focussize="0,0"/>
            <v:stroke on="f"/>
            <v:imagedata r:id="rId15" o:title=""/>
            <o:lock v:ext="edit" aspectratio="t"/>
            <w10:wrap type="none"/>
            <w10:anchorlock/>
          </v:shape>
          <o:OLEObject Type="Embed" ProgID="Word.Picture.6" ShapeID="_x0000_i1025" DrawAspect="Content" ObjectID="_1468075725" r:id="rId14">
            <o:LockedField>false</o:LockedField>
          </o:OLEObject>
        </w:object>
      </w:r>
    </w:p>
    <w:p>
      <w:pPr>
        <w:spacing w:line="240" w:lineRule="auto"/>
        <w:jc w:val="right"/>
        <w:rPr>
          <w:rFonts w:hint="eastAsia" w:ascii="黑体" w:hAnsi="黑体" w:eastAsia="黑体" w:cs="黑体"/>
          <w:sz w:val="21"/>
          <w:szCs w:val="21"/>
        </w:rPr>
      </w:pPr>
      <w:r>
        <w:rPr>
          <w:rFonts w:hint="eastAsia" w:ascii="黑体" w:hAnsi="黑体" w:eastAsia="黑体" w:cs="黑体"/>
          <w:sz w:val="21"/>
          <w:szCs w:val="21"/>
        </w:rPr>
        <mc:AlternateContent>
          <mc:Choice Requires="wps">
            <w:drawing>
              <wp:anchor distT="0" distB="0" distL="114300" distR="114300" simplePos="0" relativeHeight="251660288"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2" name="矩形 3"/>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r>
                              <w:rPr>
                                <w:rFonts w:ascii="宋体" w:hAnsi="Symbol"/>
                                <w:sz w:val="56"/>
                              </w:rPr>
                              <w:object>
                                <v:shape id="_x0000_i1026" o:spt="75" type="#_x0000_t75" style="height:48.05pt;width:499.1pt;" o:ole="t" fillcolor="#6D6D6D" filled="f" stroked="f" coordsize="21600,21600">
                                  <v:path/>
                                  <v:fill on="f" alignshape="1" focussize="0,0"/>
                                  <v:stroke on="f"/>
                                  <v:imagedata r:id="rId17" o:title=""/>
                                  <o:lock v:ext="edit" aspectratio="t"/>
                                  <w10:wrap type="none"/>
                                  <w10:anchorlock/>
                                </v:shape>
                                <o:OLEObject Type="Embed" ProgID="Word.Picture.6" ShapeID="_x0000_i1026" DrawAspect="Content" ObjectID="_1468075726" r:id="rId16">
                                  <o:LockedField>false</o:LockedField>
                                </o:OLEObject>
                              </w:object>
                            </w:r>
                          </w:p>
                        </w:txbxContent>
                      </wps:txbx>
                      <wps:bodyPr wrap="square" lIns="0" tIns="0" rIns="0" bIns="0" upright="1"/>
                    </wps:wsp>
                  </a:graphicData>
                </a:graphic>
              </wp:anchor>
            </w:drawing>
          </mc:Choice>
          <mc:Fallback>
            <w:pict>
              <v:rect id="矩形 3" o:spid="_x0000_s1026" o:spt="1" style="position:absolute;left:0pt;margin-left:63pt;margin-top:112pt;height:48.05pt;width:499.1pt;mso-position-horizontal-relative:page;mso-position-vertical-relative:page;z-index:251660288;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9bzp2AAAAAwBAAAPAAAAAAAAAAEAIAAAACIAAABkcnMvZG93bnJldi54bWxQ&#10;SwECFAAUAAAACACHTuJANjcpmL4BAAB5AwAADgAAAAAAAAABACAAAAAnAQAAZHJzL2Uyb0RvYy54&#10;bWxQSwUGAAAAAAYABgBZAQAAVwUAAAAA&#10;">
                <v:fill on="f" focussize="0,0"/>
                <v:stroke on="f" weight="0pt"/>
                <v:imagedata o:title=""/>
                <o:lock v:ext="edit" aspectratio="f"/>
                <v:textbox inset="0mm,0mm,0mm,0mm">
                  <w:txbxContent>
                    <w:p>
                      <w:r>
                        <w:rPr>
                          <w:rFonts w:ascii="宋体" w:hAnsi="Symbol"/>
                          <w:sz w:val="56"/>
                        </w:rPr>
                        <w:object>
                          <v:shape id="_x0000_i1026" o:spt="75" type="#_x0000_t75" style="height:48.05pt;width:499.1pt;" o:ole="t" fillcolor="#6D6D6D" filled="f" stroked="f" coordsize="21600,21600">
                            <v:path/>
                            <v:fill on="f" alignshape="1" focussize="0,0"/>
                            <v:stroke on="f"/>
                            <v:imagedata r:id="rId17" o:title=""/>
                            <o:lock v:ext="edit" aspectratio="t"/>
                            <w10:wrap type="none"/>
                            <w10:anchorlock/>
                          </v:shape>
                          <o:OLEObject Type="Embed" ProgID="Word.Picture.6" ShapeID="_x0000_i1026" DrawAspect="Content" ObjectID="_1468075727" r:id="rId18">
                            <o:LockedField>false</o:LockedField>
                          </o:OLEObject>
                        </w:object>
                      </w:r>
                    </w:p>
                  </w:txbxContent>
                </v:textbox>
                <w10:anchorlock/>
              </v:rect>
            </w:pict>
          </mc:Fallback>
        </mc:AlternateContent>
      </w:r>
      <w:r>
        <w:rPr>
          <w:rFonts w:hint="eastAsia" w:ascii="黑体" w:hAnsi="黑体" w:eastAsia="黑体" w:cs="黑体"/>
          <w:sz w:val="21"/>
          <w:szCs w:val="21"/>
        </w:rPr>
        <mc:AlternateContent>
          <mc:Choice Requires="wps">
            <w:drawing>
              <wp:anchor distT="0" distB="0" distL="114300" distR="114300" simplePos="0" relativeHeight="251661312" behindDoc="0" locked="1" layoutInCell="1" allowOverlap="1">
                <wp:simplePos x="0" y="0"/>
                <wp:positionH relativeFrom="page">
                  <wp:posOffset>900430</wp:posOffset>
                </wp:positionH>
                <wp:positionV relativeFrom="page">
                  <wp:posOffset>2767965</wp:posOffset>
                </wp:positionV>
                <wp:extent cx="6120765" cy="635"/>
                <wp:effectExtent l="0" t="0" r="0" b="0"/>
                <wp:wrapNone/>
                <wp:docPr id="3" name="直线 6"/>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0.9pt;margin-top:217.95pt;height:0.05pt;width:481.95pt;mso-position-horizontal-relative:page;mso-position-vertical-relative:page;z-index:251661312;mso-width-relative:page;mso-height-relative:page;" filled="f" stroked="t" coordsize="21600,21600" o:gfxdata="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Ey&#10;1+naAAAADAEAAA8AAAAAAAAAAQAgAAAAIgAAAGRycy9kb3ducmV2LnhtbFBLAQIUABQAAAAIAIdO&#10;4kCLbIFL6AEAANk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85" w:y="859" w:anchorLock="1"/>
        <w:spacing w:line="240" w:lineRule="auto"/>
        <w:rPr>
          <w:rFonts w:hint="eastAsia" w:ascii="黑体" w:hAnsi="黑体" w:eastAsia="黑体" w:cs="黑体"/>
          <w:sz w:val="21"/>
          <w:szCs w:val="21"/>
          <w:highlight w:val="lightGray"/>
        </w:rPr>
      </w:pPr>
      <w:r>
        <w:rPr>
          <w:rFonts w:hint="eastAsia" w:ascii="黑体" w:hAnsi="黑体" w:eastAsia="黑体" w:cs="黑体"/>
          <w:bCs/>
          <w:sz w:val="21"/>
          <w:szCs w:val="21"/>
        </w:rPr>
        <w:t xml:space="preserve">CCS </w:t>
      </w:r>
      <w:r>
        <w:rPr>
          <w:rFonts w:hint="eastAsia" w:ascii="黑体" w:hAnsi="黑体" w:eastAsia="黑体" w:cs="黑体"/>
          <w:bCs/>
          <w:sz w:val="21"/>
          <w:szCs w:val="21"/>
          <w:highlight w:val="none"/>
        </w:rPr>
        <w:t>H62</w:t>
      </w:r>
    </w:p>
    <w:p>
      <w:pPr>
        <w:pStyle w:val="21"/>
        <w:rPr>
          <w:rFonts w:ascii="Times New Roman" w:eastAsia="宋体"/>
          <w:color w:val="auto"/>
        </w:rPr>
      </w:pPr>
    </w:p>
    <w:p>
      <w:pPr>
        <w:spacing w:line="240" w:lineRule="auto"/>
      </w:pPr>
    </w:p>
    <w:p>
      <w:pPr>
        <w:framePr w:w="5268" w:hSpace="181" w:wrap="around" w:vAnchor="page" w:hAnchor="page" w:x="5640" w:y="3452" w:anchorLock="1"/>
        <w:spacing w:line="240" w:lineRule="auto"/>
        <w:jc w:val="right"/>
        <w:rPr>
          <w:bCs/>
        </w:rPr>
      </w:pPr>
      <w:bookmarkStart w:id="0" w:name="OLE_LINK1"/>
      <w:r>
        <w:rPr>
          <w:bCs/>
          <w:sz w:val="28"/>
        </w:rPr>
        <w:t>GB/T XXXX－</w:t>
      </w:r>
      <w:bookmarkEnd w:id="0"/>
      <w:r>
        <w:rPr>
          <w:bCs/>
          <w:sz w:val="28"/>
        </w:rPr>
        <w:t>XXXX</w:t>
      </w:r>
    </w:p>
    <w:p>
      <w:pPr>
        <w:spacing w:line="240" w:lineRule="auto"/>
      </w:pPr>
    </w:p>
    <w:p>
      <w:pPr>
        <w:framePr w:w="5883" w:hSpace="181" w:wrap="around" w:vAnchor="text" w:hAnchor="page" w:x="5400" w:y="226"/>
        <w:spacing w:line="240" w:lineRule="auto"/>
        <w:ind w:right="420"/>
        <w:jc w:val="right"/>
        <w:rPr>
          <w:bCs/>
          <w:sz w:val="21"/>
          <w:szCs w:val="21"/>
        </w:rPr>
      </w:pPr>
    </w:p>
    <w:p>
      <w:pPr>
        <w:pStyle w:val="21"/>
        <w:rPr>
          <w:rFonts w:ascii="Times New Roman" w:eastAsia="宋体"/>
          <w:color w:val="auto"/>
        </w:rPr>
      </w:pPr>
      <w:r>
        <w:rPr>
          <w:rFonts w:ascii="Times New Roman" w:eastAsia="宋体"/>
          <w:color w:val="auto"/>
        </w:rPr>
        <w:t xml:space="preserve">                                                   </w:t>
      </w:r>
    </w:p>
    <w:p>
      <w:pPr>
        <w:spacing w:line="240" w:lineRule="auto"/>
      </w:pPr>
    </w:p>
    <w:p>
      <w:pPr>
        <w:spacing w:line="240" w:lineRule="auto"/>
      </w:pPr>
    </w:p>
    <w:p>
      <w:pPr>
        <w:spacing w:line="240" w:lineRule="auto"/>
      </w:pPr>
    </w:p>
    <w:p>
      <w:pPr>
        <w:spacing w:line="240" w:lineRule="auto"/>
      </w:pPr>
    </w:p>
    <w:p>
      <w:pPr>
        <w:jc w:val="right"/>
      </w:pPr>
    </w:p>
    <w:p>
      <w:pPr>
        <w:pStyle w:val="69"/>
        <w:spacing w:before="120" w:beforeLines="50" w:line="0" w:lineRule="atLeast"/>
        <w:rPr>
          <w:rFonts w:hint="eastAsia" w:ascii="黑体" w:hAnsi="黑体" w:eastAsia="黑体"/>
          <w:sz w:val="52"/>
          <w:szCs w:val="52"/>
        </w:rPr>
      </w:pPr>
      <w:r>
        <w:rPr>
          <w:rFonts w:hint="eastAsia" w:ascii="黑体" w:hAnsi="黑体" w:eastAsia="黑体"/>
          <w:sz w:val="52"/>
          <w:szCs w:val="52"/>
        </w:rPr>
        <w:t>铜合金护套无缝盘管</w:t>
      </w:r>
    </w:p>
    <w:p>
      <w:pPr>
        <w:spacing w:before="370" w:line="400" w:lineRule="exact"/>
        <w:jc w:val="center"/>
        <w:rPr>
          <w:rFonts w:hint="eastAsia" w:ascii="黑体" w:hAnsi="黑体" w:eastAsia="黑体" w:cs="黑体"/>
          <w:sz w:val="28"/>
          <w:szCs w:val="28"/>
        </w:rPr>
      </w:pPr>
      <w:r>
        <w:rPr>
          <w:rFonts w:hint="eastAsia" w:ascii="黑体" w:hAnsi="黑体" w:eastAsia="黑体" w:cs="黑体"/>
          <w:sz w:val="28"/>
          <w:szCs w:val="28"/>
        </w:rPr>
        <w:t>Copper alloy seamless coil tubes for sheath</w:t>
      </w:r>
    </w:p>
    <w:p>
      <w:pPr>
        <w:spacing w:before="370" w:line="400" w:lineRule="exact"/>
        <w:jc w:val="both"/>
        <w:rPr>
          <w:rFonts w:hint="eastAsia"/>
          <w:sz w:val="28"/>
          <w:szCs w:val="28"/>
        </w:rPr>
      </w:pPr>
    </w:p>
    <w:p>
      <w:pPr>
        <w:pStyle w:val="67"/>
        <w:spacing w:line="240" w:lineRule="auto"/>
        <w:rPr>
          <w:rFonts w:eastAsia="宋体"/>
        </w:rPr>
      </w:pPr>
    </w:p>
    <w:p>
      <w:pPr>
        <w:pStyle w:val="67"/>
        <w:spacing w:line="240" w:lineRule="auto"/>
        <w:rPr>
          <w:rFonts w:eastAsia="宋体"/>
        </w:rPr>
      </w:pPr>
    </w:p>
    <w:p>
      <w:pPr>
        <w:spacing w:line="240" w:lineRule="auto"/>
      </w:pPr>
    </w:p>
    <w:p>
      <w:pPr>
        <w:spacing w:line="240" w:lineRule="auto"/>
      </w:pPr>
    </w:p>
    <w:p>
      <w:pPr>
        <w:framePr w:w="8883" w:hSpace="181" w:wrap="notBeside" w:vAnchor="text" w:hAnchor="page" w:x="1560" w:y="430"/>
        <w:spacing w:line="240" w:lineRule="auto"/>
        <w:jc w:val="center"/>
        <w:rPr>
          <w:rFonts w:hint="eastAsia"/>
          <w:sz w:val="28"/>
          <w:szCs w:val="28"/>
        </w:rPr>
      </w:pPr>
      <w:r>
        <w:rPr>
          <w:sz w:val="28"/>
          <w:szCs w:val="28"/>
        </w:rPr>
        <w:t>（</w:t>
      </w:r>
      <w:r>
        <w:rPr>
          <w:rFonts w:hint="eastAsia"/>
          <w:sz w:val="28"/>
          <w:szCs w:val="28"/>
        </w:rPr>
        <w:t>预审稿</w:t>
      </w:r>
      <w:r>
        <w:rPr>
          <w:sz w:val="28"/>
          <w:szCs w:val="28"/>
        </w:rPr>
        <w:t>）</w:t>
      </w:r>
    </w:p>
    <w:p>
      <w:pPr>
        <w:spacing w:line="240" w:lineRule="auto"/>
      </w:pPr>
    </w:p>
    <w:p>
      <w:pPr>
        <w:spacing w:line="240" w:lineRule="auto"/>
      </w:pPr>
    </w:p>
    <w:p>
      <w:pPr>
        <w:framePr w:w="3243" w:h="312" w:hRule="exact" w:hSpace="181" w:wrap="around" w:vAnchor="page" w:hAnchor="page" w:x="1441" w:y="14080" w:anchorLock="1"/>
        <w:spacing w:line="240" w:lineRule="auto"/>
        <w:rPr>
          <w:rFonts w:hint="eastAsia" w:ascii="黑体" w:hAnsi="黑体" w:eastAsia="黑体" w:cs="黑体"/>
          <w:sz w:val="28"/>
          <w:szCs w:val="28"/>
        </w:rPr>
      </w:pPr>
      <w:r>
        <w:rPr>
          <w:rFonts w:hint="eastAsia" w:ascii="黑体" w:hAnsi="黑体" w:eastAsia="黑体" w:cs="黑体"/>
          <w:sz w:val="28"/>
          <w:szCs w:val="28"/>
        </w:rPr>
        <w:t>20XX-XX-XX发布</w:t>
      </w:r>
    </w:p>
    <w:p>
      <w:pPr>
        <w:spacing w:line="240" w:lineRule="auto"/>
      </w:pPr>
      <w:r>
        <mc:AlternateContent>
          <mc:Choice Requires="wps">
            <w:drawing>
              <wp:anchor distT="0" distB="0" distL="114300" distR="114300" simplePos="0" relativeHeight="251662336" behindDoc="0" locked="1" layoutInCell="0" allowOverlap="1">
                <wp:simplePos x="0" y="0"/>
                <wp:positionH relativeFrom="page">
                  <wp:posOffset>900430</wp:posOffset>
                </wp:positionH>
                <wp:positionV relativeFrom="page">
                  <wp:posOffset>9194800</wp:posOffset>
                </wp:positionV>
                <wp:extent cx="6120765" cy="635"/>
                <wp:effectExtent l="0" t="0" r="0" b="0"/>
                <wp:wrapNone/>
                <wp:docPr id="4" name="直线 7"/>
                <wp:cNvGraphicFramePr/>
                <a:graphic xmlns:a="http://schemas.openxmlformats.org/drawingml/2006/main">
                  <a:graphicData uri="http://schemas.microsoft.com/office/word/2010/wordprocessingShape">
                    <wps:wsp>
                      <wps:cNvCn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70.9pt;margin-top:724pt;height:0.05pt;width:481.95pt;mso-position-horizontal-relative:page;mso-position-vertical-relative:page;z-index:251662336;mso-width-relative:page;mso-height-relative:page;" filled="f" stroked="t" coordsize="21600,21600" o:allowincell="f" o:gfxdata="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Fn4&#10;htkAAAAOAQAADwAAAAAAAAABACAAAAAiAAAAZHJzL2Rvd25yZXYueG1sUEsBAhQAFAAAAAgAh07i&#10;QIpbtVHoAQAA2QMAAA4AAAAAAAAAAQAgAAAAKAEAAGRycy9lMm9Eb2MueG1sUEsFBgAAAAAGAAYA&#10;WQEAAIIFA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8041" w:y="14080" w:anchorLock="1"/>
        <w:spacing w:line="240" w:lineRule="auto"/>
        <w:jc w:val="right"/>
        <w:rPr>
          <w:rFonts w:hint="eastAsia" w:ascii="黑体" w:hAnsi="黑体" w:eastAsia="黑体" w:cs="黑体"/>
          <w:b/>
          <w:sz w:val="28"/>
          <w:szCs w:val="28"/>
        </w:rPr>
      </w:pPr>
      <w:r>
        <w:rPr>
          <w:rFonts w:hint="eastAsia" w:ascii="黑体" w:hAnsi="黑体" w:eastAsia="黑体" w:cs="黑体"/>
          <w:sz w:val="28"/>
          <w:szCs w:val="28"/>
        </w:rPr>
        <w:t>20XX-XX-XX实施</w:t>
      </w:r>
    </w:p>
    <w:tbl>
      <w:tblPr>
        <w:tblStyle w:val="27"/>
        <w:tblpPr w:leftFromText="180" w:rightFromText="180" w:vertAnchor="text" w:horzAnchor="margin" w:tblpY="3908"/>
        <w:tblW w:w="0" w:type="auto"/>
        <w:tblInd w:w="0" w:type="dxa"/>
        <w:tblLayout w:type="fixed"/>
        <w:tblCellMar>
          <w:top w:w="0" w:type="dxa"/>
          <w:left w:w="108" w:type="dxa"/>
          <w:bottom w:w="0" w:type="dxa"/>
          <w:right w:w="108" w:type="dxa"/>
        </w:tblCellMar>
      </w:tblPr>
      <w:tblGrid>
        <w:gridCol w:w="8129"/>
        <w:gridCol w:w="1202"/>
      </w:tblGrid>
      <w:tr>
        <w:tblPrEx>
          <w:tblCellMar>
            <w:top w:w="0" w:type="dxa"/>
            <w:left w:w="108" w:type="dxa"/>
            <w:bottom w:w="0" w:type="dxa"/>
            <w:right w:w="108" w:type="dxa"/>
          </w:tblCellMar>
        </w:tblPrEx>
        <w:trPr>
          <w:trHeight w:val="822" w:hRule="atLeast"/>
        </w:trPr>
        <w:tc>
          <w:tcPr>
            <w:tcW w:w="8129" w:type="dxa"/>
            <w:noWrap/>
            <w:vAlign w:val="center"/>
          </w:tcPr>
          <w:p>
            <w:pPr>
              <w:pStyle w:val="64"/>
              <w:framePr w:w="0" w:hRule="auto" w:hSpace="0" w:vSpace="0" w:wrap="auto" w:vAnchor="margin" w:hAnchor="text" w:xAlign="left" w:yAlign="inline"/>
              <w:jc w:val="distribute"/>
              <w:rPr>
                <w:rFonts w:hint="eastAsia" w:ascii="Times New Roman"/>
                <w:spacing w:val="-20"/>
                <w:sz w:val="30"/>
                <w:szCs w:val="30"/>
              </w:rPr>
            </w:pPr>
          </w:p>
          <w:p>
            <w:pPr>
              <w:pStyle w:val="64"/>
              <w:framePr w:w="0" w:hRule="auto" w:hSpace="0" w:vSpace="0" w:wrap="auto" w:vAnchor="margin" w:hAnchor="text" w:xAlign="left" w:yAlign="inline"/>
              <w:jc w:val="distribute"/>
              <w:rPr>
                <w:rStyle w:val="45"/>
                <w:rFonts w:hint="default" w:ascii="Times New Roman" w:eastAsia="宋体"/>
                <w:spacing w:val="-20"/>
                <w:sz w:val="30"/>
                <w:szCs w:val="30"/>
              </w:rPr>
            </w:pPr>
            <w:r>
              <w:rPr>
                <w:rFonts w:ascii="Times New Roman"/>
                <w:spacing w:val="-20"/>
                <w:sz w:val="30"/>
                <w:szCs w:val="30"/>
              </w:rPr>
              <w:t>国家</w:t>
            </w:r>
            <w:r>
              <w:rPr>
                <w:rFonts w:hint="eastAsia" w:ascii="Times New Roman"/>
                <w:spacing w:val="-20"/>
                <w:sz w:val="30"/>
                <w:szCs w:val="30"/>
              </w:rPr>
              <w:t>市场监督管理总局</w:t>
            </w:r>
          </w:p>
          <w:p>
            <w:pPr>
              <w:spacing w:line="320" w:lineRule="atLeast"/>
              <w:jc w:val="distribute"/>
              <w:rPr>
                <w:w w:val="120"/>
                <w:sz w:val="36"/>
              </w:rPr>
            </w:pPr>
            <w:r>
              <w:rPr>
                <w:b/>
                <w:spacing w:val="-20"/>
                <w:w w:val="135"/>
                <w:sz w:val="30"/>
                <w:szCs w:val="30"/>
              </w:rPr>
              <w:t>国家标准化管理委员会</w:t>
            </w:r>
          </w:p>
        </w:tc>
        <w:tc>
          <w:tcPr>
            <w:tcW w:w="1202" w:type="dxa"/>
            <w:noWrap/>
            <w:vAlign w:val="center"/>
          </w:tcPr>
          <w:p>
            <w:pPr>
              <w:spacing w:line="320" w:lineRule="atLeast"/>
              <w:jc w:val="center"/>
              <w:rPr>
                <w:sz w:val="10"/>
              </w:rPr>
            </w:pPr>
            <w:r>
              <w:rPr>
                <w:rFonts w:hint="eastAsia" w:ascii="黑体" w:hAnsi="黑体" w:eastAsia="黑体" w:cs="黑体"/>
                <w:sz w:val="28"/>
              </w:rPr>
              <w:t>发 布</w:t>
            </w:r>
          </w:p>
        </w:tc>
      </w:tr>
    </w:tbl>
    <w:p>
      <w:pPr>
        <w:spacing w:line="240" w:lineRule="auto"/>
        <w:sectPr>
          <w:headerReference r:id="rId5" w:type="even"/>
          <w:footerReference r:id="rId6" w:type="even"/>
          <w:pgSz w:w="11907" w:h="16840"/>
          <w:pgMar w:top="680" w:right="1418" w:bottom="1361" w:left="1440" w:header="720" w:footer="720" w:gutter="0"/>
          <w:pgBorders w:offsetFrom="page">
            <w:top w:val="none" w:sz="0" w:space="0"/>
            <w:left w:val="none" w:sz="0" w:space="0"/>
            <w:bottom w:val="none" w:sz="0" w:space="0"/>
            <w:right w:val="none" w:sz="0" w:space="0"/>
          </w:pgBorders>
          <w:pgNumType w:fmt="upperRoman" w:start="1"/>
          <w:cols w:space="720" w:num="1"/>
        </w:sect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前  言</w:t>
      </w:r>
    </w:p>
    <w:p>
      <w:pPr>
        <w:spacing w:line="300" w:lineRule="auto"/>
        <w:ind w:firstLine="420" w:firstLineChars="200"/>
        <w:rPr>
          <w:rFonts w:hint="eastAsia" w:ascii="宋体" w:hAnsi="宋体" w:eastAsia="宋体" w:cs="宋体"/>
          <w:sz w:val="21"/>
          <w:szCs w:val="21"/>
        </w:rPr>
      </w:pPr>
    </w:p>
    <w:p>
      <w:pPr>
        <w:spacing w:line="3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pPr>
        <w:spacing w:line="300" w:lineRule="auto"/>
        <w:ind w:left="42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pPr>
        <w:spacing w:line="300" w:lineRule="auto"/>
        <w:ind w:left="420"/>
        <w:rPr>
          <w:rFonts w:hint="eastAsia" w:ascii="宋体" w:hAnsi="宋体" w:eastAsia="宋体" w:cs="宋体"/>
          <w:sz w:val="21"/>
          <w:szCs w:val="21"/>
        </w:rPr>
      </w:pPr>
      <w:r>
        <w:rPr>
          <w:rFonts w:hint="eastAsia" w:ascii="宋体" w:hAnsi="宋体" w:eastAsia="宋体" w:cs="宋体"/>
          <w:sz w:val="21"/>
          <w:szCs w:val="21"/>
        </w:rPr>
        <w:t>本文件由中国有色金属工业协会提出。</w:t>
      </w:r>
    </w:p>
    <w:p>
      <w:pPr>
        <w:spacing w:line="300" w:lineRule="auto"/>
        <w:ind w:left="420"/>
        <w:rPr>
          <w:rFonts w:hint="eastAsia" w:ascii="宋体" w:hAnsi="宋体" w:eastAsia="宋体" w:cs="宋体"/>
          <w:sz w:val="21"/>
          <w:szCs w:val="21"/>
        </w:rPr>
      </w:pPr>
      <w:r>
        <w:rPr>
          <w:rFonts w:hint="eastAsia" w:ascii="宋体" w:hAnsi="宋体" w:eastAsia="宋体" w:cs="宋体"/>
          <w:sz w:val="21"/>
          <w:szCs w:val="21"/>
        </w:rPr>
        <w:t>本文件由全国有色金属标准化技术委员会（SAC/TC243）归口。</w:t>
      </w:r>
    </w:p>
    <w:p>
      <w:pPr>
        <w:spacing w:line="300" w:lineRule="auto"/>
        <w:ind w:left="420"/>
        <w:rPr>
          <w:rFonts w:hint="eastAsia" w:ascii="宋体" w:hAnsi="宋体" w:eastAsia="宋体" w:cs="宋体"/>
          <w:sz w:val="21"/>
          <w:szCs w:val="21"/>
        </w:rPr>
      </w:pPr>
      <w:r>
        <w:rPr>
          <w:rFonts w:hint="eastAsia" w:ascii="宋体" w:hAnsi="宋体" w:eastAsia="宋体" w:cs="宋体"/>
          <w:sz w:val="21"/>
          <w:szCs w:val="21"/>
        </w:rPr>
        <w:t>本文件起草单位：</w:t>
      </w:r>
    </w:p>
    <w:p>
      <w:pPr>
        <w:spacing w:line="300" w:lineRule="auto"/>
        <w:ind w:left="420"/>
        <w:rPr>
          <w:rFonts w:hint="eastAsia" w:ascii="宋体" w:hAnsi="宋体" w:eastAsia="宋体" w:cs="宋体"/>
          <w:sz w:val="21"/>
          <w:szCs w:val="21"/>
        </w:rPr>
      </w:pPr>
      <w:r>
        <w:rPr>
          <w:rFonts w:hint="eastAsia" w:ascii="宋体" w:hAnsi="宋体" w:eastAsia="宋体" w:cs="宋体"/>
          <w:sz w:val="21"/>
          <w:szCs w:val="21"/>
        </w:rPr>
        <w:t>本文件主要起草人</w:t>
      </w:r>
      <w:bookmarkStart w:id="1" w:name="目次1"/>
      <w:bookmarkEnd w:id="1"/>
      <w:bookmarkStart w:id="2" w:name="前言1"/>
      <w:bookmarkEnd w:id="2"/>
    </w:p>
    <w:p>
      <w:pPr>
        <w:rPr>
          <w:rFonts w:hint="eastAsia" w:ascii="宋体" w:hAnsi="宋体" w:eastAsia="宋体" w:cs="宋体"/>
          <w:sz w:val="21"/>
          <w:szCs w:val="21"/>
        </w:rPr>
      </w:pPr>
      <w:r>
        <w:rPr>
          <w:rFonts w:hint="eastAsia" w:ascii="宋体" w:hAnsi="宋体" w:eastAsia="宋体" w:cs="宋体"/>
          <w:sz w:val="21"/>
          <w:szCs w:val="21"/>
        </w:rPr>
        <w:br w:type="page"/>
      </w:r>
    </w:p>
    <w:p>
      <w:pPr>
        <w:spacing w:line="300" w:lineRule="auto"/>
        <w:ind w:left="420"/>
        <w:rPr>
          <w:rFonts w:hint="eastAsia" w:ascii="宋体" w:hAnsi="宋体" w:eastAsia="宋体" w:cs="宋体"/>
          <w:sz w:val="21"/>
          <w:szCs w:val="21"/>
        </w:rPr>
        <w:sectPr>
          <w:headerReference r:id="rId7" w:type="default"/>
          <w:footerReference r:id="rId9" w:type="default"/>
          <w:headerReference r:id="rId8" w:type="even"/>
          <w:footerReference r:id="rId10" w:type="even"/>
          <w:pgSz w:w="11907" w:h="16840"/>
          <w:pgMar w:top="1985" w:right="1134" w:bottom="1304" w:left="1418" w:header="720" w:footer="720" w:gutter="0"/>
          <w:pgBorders w:offsetFrom="page">
            <w:top w:val="none" w:sz="0" w:space="0"/>
            <w:left w:val="none" w:sz="0" w:space="0"/>
            <w:bottom w:val="none" w:sz="0" w:space="0"/>
            <w:right w:val="none" w:sz="0" w:space="0"/>
          </w:pgBorders>
          <w:pgNumType w:fmt="upperRoman" w:start="1"/>
          <w:cols w:space="720" w:num="1"/>
        </w:sectPr>
      </w:pPr>
    </w:p>
    <w:p>
      <w:pPr>
        <w:spacing w:line="300" w:lineRule="auto"/>
        <w:jc w:val="center"/>
        <w:rPr>
          <w:rFonts w:ascii="黑体" w:hAnsi="黑体" w:eastAsia="黑体"/>
          <w:sz w:val="32"/>
        </w:rPr>
      </w:pPr>
      <w:r>
        <w:rPr>
          <w:rFonts w:hint="eastAsia" w:ascii="黑体" w:hAnsi="黑体" w:eastAsia="黑体"/>
          <w:sz w:val="32"/>
        </w:rPr>
        <w:t>铜合金护套无缝盘管</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textAlignment w:val="baseline"/>
        <w:rPr>
          <w:rFonts w:hAnsi="黑体"/>
          <w:color w:val="auto"/>
        </w:rPr>
      </w:pPr>
      <w:bookmarkStart w:id="3" w:name="正文"/>
      <w:bookmarkEnd w:id="3"/>
      <w:bookmarkStart w:id="4" w:name="_Toc430680185"/>
      <w:bookmarkStart w:id="5" w:name="_Toc431105881"/>
      <w:bookmarkStart w:id="6" w:name="_Toc1700834"/>
      <w:r>
        <w:rPr>
          <w:rFonts w:hAnsi="黑体"/>
          <w:color w:val="auto"/>
        </w:rPr>
        <w:t>1</w:t>
      </w:r>
      <w:r>
        <w:rPr>
          <w:rFonts w:hint="eastAsia" w:hAnsi="黑体"/>
          <w:color w:val="auto"/>
          <w:lang w:val="en-US" w:eastAsia="zh-CN"/>
        </w:rPr>
        <w:t xml:space="preserve">  </w:t>
      </w:r>
      <w:r>
        <w:rPr>
          <w:rFonts w:hAnsi="黑体"/>
          <w:color w:val="auto"/>
        </w:rPr>
        <w:t>范围</w:t>
      </w:r>
      <w:bookmarkEnd w:id="4"/>
      <w:bookmarkEnd w:id="5"/>
      <w:bookmarkEnd w:id="6"/>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本文件规定了</w:t>
      </w:r>
      <w:r>
        <w:rPr>
          <w:rFonts w:hint="eastAsia"/>
          <w:sz w:val="21"/>
          <w:szCs w:val="21"/>
        </w:rPr>
        <w:t>铜合金护套无缝盘管（以下简称“管材”）的</w:t>
      </w:r>
      <w:r>
        <w:rPr>
          <w:sz w:val="21"/>
          <w:szCs w:val="21"/>
        </w:rPr>
        <w:t>分类和标</w:t>
      </w:r>
      <w:r>
        <w:rPr>
          <w:rFonts w:hint="eastAsia"/>
          <w:sz w:val="21"/>
          <w:szCs w:val="21"/>
        </w:rPr>
        <w:t>记</w:t>
      </w:r>
      <w:r>
        <w:rPr>
          <w:sz w:val="21"/>
          <w:szCs w:val="21"/>
        </w:rPr>
        <w:t>、技术要求、试验方法、检验规则、标志、包装、运输、贮存</w:t>
      </w:r>
      <w:r>
        <w:rPr>
          <w:rFonts w:hint="eastAsia"/>
          <w:sz w:val="21"/>
          <w:szCs w:val="21"/>
        </w:rPr>
        <w:t>及随行文件</w:t>
      </w:r>
      <w:r>
        <w:rPr>
          <w:sz w:val="21"/>
          <w:szCs w:val="21"/>
        </w:rPr>
        <w:t>和订货单内容等。</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本文件适用于</w:t>
      </w:r>
      <w:r>
        <w:rPr>
          <w:rFonts w:hint="eastAsia"/>
          <w:sz w:val="21"/>
          <w:szCs w:val="21"/>
        </w:rPr>
        <w:t>高铁、城市轨道交通、通信光缆、安全导线电缆等领域用铜合金护套无缝盘管。</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textAlignment w:val="baseline"/>
        <w:rPr>
          <w:rFonts w:hAnsi="黑体"/>
          <w:color w:val="auto"/>
        </w:rPr>
      </w:pPr>
      <w:bookmarkStart w:id="7" w:name="_Toc1700835"/>
      <w:r>
        <w:rPr>
          <w:rFonts w:hAnsi="黑体"/>
          <w:color w:val="auto"/>
        </w:rPr>
        <w:t>2</w:t>
      </w:r>
      <w:r>
        <w:rPr>
          <w:rFonts w:hint="eastAsia" w:hAnsi="黑体"/>
          <w:color w:val="auto"/>
          <w:lang w:val="en-US" w:eastAsia="zh-CN"/>
        </w:rPr>
        <w:t xml:space="preserve"> </w:t>
      </w:r>
      <w:r>
        <w:rPr>
          <w:rFonts w:hAnsi="黑体"/>
          <w:color w:val="auto"/>
        </w:rPr>
        <w:t xml:space="preserve"> 规范性引用文件</w:t>
      </w:r>
      <w:bookmarkEnd w:id="7"/>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下列文件中的内容通过文中的规范性引用而构成本文件必不可少的条款</w:t>
      </w:r>
      <w:r>
        <w:rPr>
          <w:rFonts w:hint="eastAsia"/>
          <w:sz w:val="21"/>
          <w:szCs w:val="21"/>
        </w:rPr>
        <w:t>。</w:t>
      </w:r>
      <w:r>
        <w:rPr>
          <w:sz w:val="21"/>
          <w:szCs w:val="21"/>
        </w:rPr>
        <w:t>其中</w:t>
      </w:r>
      <w:r>
        <w:rPr>
          <w:rFonts w:hint="eastAsia"/>
          <w:sz w:val="21"/>
          <w:szCs w:val="21"/>
        </w:rPr>
        <w:t>，</w:t>
      </w:r>
      <w:r>
        <w:rPr>
          <w:sz w:val="21"/>
          <w:szCs w:val="21"/>
        </w:rPr>
        <w:t>注日期的引用文件，仅</w:t>
      </w:r>
      <w:r>
        <w:rPr>
          <w:rFonts w:hint="eastAsia"/>
          <w:sz w:val="21"/>
          <w:szCs w:val="21"/>
        </w:rPr>
        <w:t>该</w:t>
      </w:r>
      <w:r>
        <w:rPr>
          <w:sz w:val="21"/>
          <w:szCs w:val="21"/>
        </w:rPr>
        <w:t>日期对应的版本适用于本文件</w:t>
      </w:r>
      <w:r>
        <w:rPr>
          <w:rFonts w:hint="eastAsia"/>
          <w:sz w:val="21"/>
          <w:szCs w:val="21"/>
        </w:rPr>
        <w:t>；</w:t>
      </w:r>
      <w:r>
        <w:rPr>
          <w:sz w:val="21"/>
          <w:szCs w:val="21"/>
        </w:rPr>
        <w:t>不注日期的引用文件，其最新版本（包括所有的修改单）适用于本</w:t>
      </w:r>
      <w:r>
        <w:rPr>
          <w:rFonts w:hint="eastAsia"/>
          <w:sz w:val="21"/>
          <w:szCs w:val="21"/>
        </w:rPr>
        <w:t xml:space="preserve">    </w:t>
      </w:r>
      <w:r>
        <w:rPr>
          <w:sz w:val="21"/>
          <w:szCs w:val="21"/>
        </w:rPr>
        <w:t>文件。</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242 金属管 扩口试验方法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246 金属管 压扁试验方法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2828.1 计数抽样检验程序 第1部分：按接收质量限（AQL）检索的逐批检验抽样计划</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3048.2 电线电缆电性能试验方法 第1部分：金属材料电阻率测试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4340.1 金属材料 维氏硬度试验 第1部分：试验方法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5121（所有部分）铜及铜合金化学分析方法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5231 加工铜及铜合金牌号和化学成分</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8170 数值修约规则与极限数值的表示和判定</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8888 重有色金属加工产品的包装、标志、运输、贮存和质量证明书</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10567.2  铜及铜合金加工材残余应力检验方法 氨薰试验法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16866 铜及铜合金无缝管材外形尺寸及允许偏差</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26125 电子电器产品 六种限用物质（铅、汞、镉、六价铬、多溴联苯和多溴二苯醚）的测定</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26303.1 铜及铜合金加工材外形尺寸检测方法 第1部分：管材</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GB/T 34505-2017 铜及铜合金材料 室温拉伸试验方法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YS/T 347 铜及铜合金 平均晶粒度测定方法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YS/T 482 铜及铜合金分析方法 光电发射光谱法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YS/T 483 铜及铜合金分析方法 X射线荧光光谱法（波长色散型）</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YS/T 668 铜及铜合金理化检测取样方法</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YS/T 815 铜及铜合金力学性能和工艺性能试样的制备方法</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line="300" w:lineRule="auto"/>
        <w:textAlignment w:val="baseline"/>
        <w:rPr>
          <w:rFonts w:hint="eastAsia" w:hAnsi="黑体" w:cs="Times New Roman"/>
          <w:caps/>
          <w:color w:val="auto"/>
        </w:rPr>
      </w:pPr>
      <w:r>
        <w:rPr>
          <w:rFonts w:hAnsi="黑体" w:cs="Times New Roman"/>
          <w:caps/>
          <w:color w:val="auto"/>
        </w:rPr>
        <w:t xml:space="preserve">3 </w:t>
      </w:r>
      <w:r>
        <w:rPr>
          <w:rFonts w:hint="eastAsia" w:hAnsi="黑体" w:cs="Times New Roman"/>
          <w:caps/>
          <w:color w:val="auto"/>
          <w:lang w:val="en-US" w:eastAsia="zh-CN"/>
        </w:rPr>
        <w:t xml:space="preserve"> </w:t>
      </w:r>
      <w:r>
        <w:rPr>
          <w:rFonts w:hAnsi="黑体" w:cs="Times New Roman"/>
          <w:caps/>
          <w:color w:val="auto"/>
        </w:rPr>
        <w:t>术语和定义</w:t>
      </w:r>
    </w:p>
    <w:p>
      <w:pPr>
        <w:pStyle w:val="21"/>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Ansi="黑体"/>
          <w:color w:val="auto"/>
        </w:rPr>
      </w:pPr>
      <w:r>
        <w:rPr>
          <w:rFonts w:hint="eastAsia" w:hAnsi="黑体"/>
          <w:color w:val="auto"/>
        </w:rPr>
        <w:t xml:space="preserve">精卷盘 </w:t>
      </w:r>
      <w:r>
        <w:rPr>
          <w:rFonts w:hAnsi="黑体"/>
          <w:caps w:val="0"/>
          <w:color w:val="auto"/>
        </w:rPr>
        <w:t>Precision Coiling Coil</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rFonts w:hint="eastAsia"/>
          <w:color w:val="auto"/>
          <w:sz w:val="21"/>
          <w:szCs w:val="21"/>
        </w:rPr>
        <w:t>交付状态的管材经过收卷机精整后变成</w:t>
      </w:r>
      <w:r>
        <w:rPr>
          <w:rFonts w:hint="eastAsia" w:ascii="Times New Roman" w:hAnsi="Times New Roman" w:eastAsia="宋体" w:cs="Times New Roman"/>
          <w:color w:val="auto"/>
          <w:sz w:val="21"/>
          <w:szCs w:val="21"/>
        </w:rPr>
        <w:t>上下相对规则排列的盘管，称为精卷盘。</w:t>
      </w:r>
    </w:p>
    <w:p>
      <w:pPr>
        <w:pStyle w:val="21"/>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pPr>
      <w:r>
        <w:rPr>
          <w:rFonts w:hint="eastAsia" w:hAnsi="黑体"/>
          <w:color w:val="auto"/>
        </w:rPr>
        <w:t>散卷盘</w:t>
      </w:r>
      <w:r>
        <w:rPr>
          <w:rFonts w:hAnsi="黑体"/>
          <w:caps w:val="0"/>
          <w:color w:val="auto"/>
        </w:rPr>
        <w:t>Free Coiling Coil</w:t>
      </w:r>
    </w:p>
    <w:p>
      <w:pPr>
        <w:spacing w:line="300" w:lineRule="auto"/>
        <w:ind w:left="0" w:firstLine="420" w:firstLineChars="200"/>
        <w:jc w:val="both"/>
        <w:rPr>
          <w:sz w:val="21"/>
          <w:szCs w:val="21"/>
        </w:rPr>
      </w:pPr>
      <w:r>
        <w:rPr>
          <w:rFonts w:hint="eastAsia"/>
          <w:sz w:val="21"/>
          <w:szCs w:val="21"/>
        </w:rPr>
        <w:t>管材</w:t>
      </w:r>
      <w:r>
        <w:rPr>
          <w:sz w:val="21"/>
          <w:szCs w:val="21"/>
        </w:rPr>
        <w:t>生</w:t>
      </w:r>
      <w:r>
        <w:rPr>
          <w:rFonts w:hint="eastAsia"/>
          <w:sz w:val="21"/>
          <w:szCs w:val="21"/>
        </w:rPr>
        <w:t>产</w:t>
      </w:r>
      <w:r>
        <w:rPr>
          <w:sz w:val="21"/>
          <w:szCs w:val="21"/>
        </w:rPr>
        <w:t>后，以</w:t>
      </w:r>
      <w:r>
        <w:rPr>
          <w:rFonts w:hint="eastAsia"/>
          <w:sz w:val="21"/>
          <w:szCs w:val="21"/>
        </w:rPr>
        <w:t>拉伸机</w:t>
      </w:r>
      <w:r>
        <w:rPr>
          <w:sz w:val="21"/>
          <w:szCs w:val="21"/>
        </w:rPr>
        <w:t>成卷</w:t>
      </w:r>
      <w:r>
        <w:rPr>
          <w:rFonts w:hint="eastAsia"/>
          <w:sz w:val="21"/>
          <w:szCs w:val="21"/>
        </w:rPr>
        <w:t>下料</w:t>
      </w:r>
      <w:r>
        <w:rPr>
          <w:sz w:val="21"/>
          <w:szCs w:val="21"/>
        </w:rPr>
        <w:t>，在料</w:t>
      </w:r>
      <w:r>
        <w:rPr>
          <w:rFonts w:hint="eastAsia"/>
          <w:sz w:val="21"/>
          <w:szCs w:val="21"/>
        </w:rPr>
        <w:t>筐</w:t>
      </w:r>
      <w:r>
        <w:rPr>
          <w:rFonts w:hint="eastAsia" w:ascii="Times New Roman" w:hAnsi="Times New Roman" w:eastAsia="宋体" w:cs="Times New Roman"/>
          <w:color w:val="auto"/>
          <w:sz w:val="21"/>
          <w:szCs w:val="21"/>
        </w:rPr>
        <w:t>内形成一种无规则排序方式的盘管，也称散卷盘。</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textAlignment w:val="baseline"/>
        <w:rPr>
          <w:rFonts w:hAnsi="黑体" w:cs="Times New Roman"/>
          <w:caps/>
          <w:color w:val="auto"/>
        </w:rPr>
      </w:pPr>
      <w:r>
        <w:rPr>
          <w:rFonts w:hint="eastAsia" w:hAnsi="黑体" w:cs="Times New Roman"/>
          <w:caps/>
          <w:color w:val="auto"/>
        </w:rPr>
        <w:t>4</w:t>
      </w:r>
      <w:r>
        <w:rPr>
          <w:rFonts w:hint="eastAsia" w:hAnsi="黑体" w:cs="Times New Roman"/>
          <w:caps/>
          <w:color w:val="auto"/>
          <w:lang w:val="en-US" w:eastAsia="zh-CN"/>
        </w:rPr>
        <w:t xml:space="preserve">  </w:t>
      </w:r>
      <w:r>
        <w:rPr>
          <w:rFonts w:hAnsi="黑体" w:cs="Times New Roman"/>
          <w:caps/>
          <w:color w:val="auto"/>
        </w:rPr>
        <w:t>分类和标记</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Ansi="黑体"/>
          <w:color w:val="auto"/>
        </w:rPr>
      </w:pPr>
      <w:r>
        <w:rPr>
          <w:rFonts w:hint="eastAsia" w:hAnsi="黑体"/>
          <w:color w:val="auto"/>
        </w:rPr>
        <w:t>4</w:t>
      </w:r>
      <w:r>
        <w:rPr>
          <w:rFonts w:hAnsi="黑体"/>
          <w:color w:val="auto"/>
        </w:rPr>
        <w:t>.</w:t>
      </w:r>
      <w:r>
        <w:rPr>
          <w:rFonts w:hint="eastAsia" w:hAnsi="黑体"/>
          <w:color w:val="auto"/>
          <w:lang w:val="en-US" w:eastAsia="zh-CN"/>
        </w:rPr>
        <w:t xml:space="preserve">1  </w:t>
      </w:r>
      <w:r>
        <w:rPr>
          <w:rFonts w:hAnsi="黑体"/>
          <w:color w:val="auto"/>
        </w:rPr>
        <w:t>产品分类</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int="eastAsia" w:hAnsi="黑体" w:cs="Times New Roman"/>
          <w:caps/>
          <w:color w:val="auto"/>
        </w:rPr>
      </w:pPr>
      <w:r>
        <w:rPr>
          <w:rFonts w:hint="eastAsia" w:hAnsi="黑体" w:cs="Times New Roman"/>
          <w:caps/>
          <w:color w:val="auto"/>
        </w:rPr>
        <w:t>4.1.</w:t>
      </w:r>
      <w:r>
        <w:rPr>
          <w:rFonts w:hint="eastAsia" w:hAnsi="黑体" w:cs="Times New Roman"/>
          <w:caps/>
          <w:color w:val="auto"/>
          <w:lang w:val="en-US" w:eastAsia="zh-CN"/>
        </w:rPr>
        <w:t xml:space="preserve">1  </w:t>
      </w:r>
      <w:r>
        <w:rPr>
          <w:rFonts w:hint="eastAsia" w:hAnsi="黑体" w:cs="Times New Roman"/>
          <w:caps/>
          <w:color w:val="auto"/>
        </w:rPr>
        <w:t>牌号、代号、状态、种类和规格</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管材的牌号、代号、状态</w:t>
      </w:r>
      <w:r>
        <w:rPr>
          <w:rFonts w:hint="eastAsia"/>
          <w:sz w:val="21"/>
          <w:szCs w:val="21"/>
        </w:rPr>
        <w:t>、种类</w:t>
      </w:r>
      <w:r>
        <w:rPr>
          <w:sz w:val="21"/>
          <w:szCs w:val="21"/>
        </w:rPr>
        <w:t>和规格应符合表1的规定。</w:t>
      </w:r>
    </w:p>
    <w:p>
      <w:pPr>
        <w:spacing w:before="120" w:beforeLines="50" w:after="120" w:afterLines="50" w:line="240" w:lineRule="auto"/>
        <w:jc w:val="center"/>
        <w:rPr>
          <w:rFonts w:ascii="黑体" w:hAnsi="黑体" w:eastAsia="黑体"/>
          <w:sz w:val="21"/>
          <w:szCs w:val="21"/>
        </w:rPr>
      </w:pPr>
      <w:r>
        <w:rPr>
          <w:rFonts w:ascii="黑体" w:hAnsi="黑体" w:eastAsia="黑体"/>
          <w:sz w:val="21"/>
          <w:szCs w:val="21"/>
        </w:rPr>
        <w:t>表</w:t>
      </w:r>
      <w:r>
        <w:rPr>
          <w:rFonts w:hint="eastAsia" w:ascii="黑体" w:hAnsi="黑体" w:eastAsia="黑体"/>
          <w:sz w:val="21"/>
          <w:szCs w:val="21"/>
          <w:lang w:val="en-US" w:eastAsia="zh-CN"/>
        </w:rPr>
        <w:t xml:space="preserve">1  </w:t>
      </w:r>
      <w:r>
        <w:rPr>
          <w:rFonts w:ascii="黑体" w:hAnsi="黑体" w:eastAsia="黑体"/>
          <w:sz w:val="21"/>
          <w:szCs w:val="21"/>
        </w:rPr>
        <w:t>管材的牌号、代号、状态</w:t>
      </w:r>
      <w:r>
        <w:rPr>
          <w:rFonts w:hint="eastAsia" w:ascii="黑体" w:hAnsi="黑体" w:eastAsia="黑体"/>
          <w:sz w:val="21"/>
          <w:szCs w:val="21"/>
        </w:rPr>
        <w:t>、</w:t>
      </w:r>
      <w:r>
        <w:rPr>
          <w:rFonts w:ascii="黑体" w:hAnsi="黑体" w:eastAsia="黑体"/>
          <w:sz w:val="21"/>
          <w:szCs w:val="21"/>
        </w:rPr>
        <w:t>种类和规格</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63"/>
        <w:gridCol w:w="888"/>
        <w:gridCol w:w="1701"/>
        <w:gridCol w:w="1134"/>
        <w:gridCol w:w="1276"/>
        <w:gridCol w:w="1843"/>
        <w:gridCol w:w="166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63" w:type="dxa"/>
            <w:vMerge w:val="restar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牌号</w:t>
            </w:r>
          </w:p>
        </w:tc>
        <w:tc>
          <w:tcPr>
            <w:tcW w:w="888" w:type="dxa"/>
            <w:vMerge w:val="restar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代号</w:t>
            </w:r>
          </w:p>
        </w:tc>
        <w:tc>
          <w:tcPr>
            <w:tcW w:w="1701" w:type="dxa"/>
            <w:vMerge w:val="restar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状态</w:t>
            </w:r>
          </w:p>
        </w:tc>
        <w:tc>
          <w:tcPr>
            <w:tcW w:w="1134" w:type="dxa"/>
            <w:vMerge w:val="restar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种类</w:t>
            </w:r>
          </w:p>
        </w:tc>
        <w:tc>
          <w:tcPr>
            <w:tcW w:w="4785" w:type="dxa"/>
            <w:gridSpan w:val="3"/>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规格</w:t>
            </w:r>
          </w:p>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063" w:type="dxa"/>
            <w:vMerge w:val="continue"/>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p>
        </w:tc>
        <w:tc>
          <w:tcPr>
            <w:tcW w:w="888" w:type="dxa"/>
            <w:vMerge w:val="continue"/>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p>
        </w:tc>
        <w:tc>
          <w:tcPr>
            <w:tcW w:w="1701" w:type="dxa"/>
            <w:vMerge w:val="continue"/>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p>
        </w:tc>
        <w:tc>
          <w:tcPr>
            <w:tcW w:w="1134" w:type="dxa"/>
            <w:vMerge w:val="continue"/>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p>
        </w:tc>
        <w:tc>
          <w:tcPr>
            <w:tcW w:w="1276" w:type="dxa"/>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外径</w:t>
            </w:r>
          </w:p>
        </w:tc>
        <w:tc>
          <w:tcPr>
            <w:tcW w:w="1843" w:type="dxa"/>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壁厚</w:t>
            </w:r>
          </w:p>
        </w:tc>
        <w:tc>
          <w:tcPr>
            <w:tcW w:w="1666" w:type="dxa"/>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63" w:type="dxa"/>
            <w:tcBorders>
              <w:top w:val="single" w:color="auto" w:sz="12"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H68</w:t>
            </w:r>
          </w:p>
        </w:tc>
        <w:tc>
          <w:tcPr>
            <w:tcW w:w="888" w:type="dxa"/>
            <w:tcBorders>
              <w:top w:val="single" w:color="auto" w:sz="12" w:space="0"/>
              <w:left w:val="single" w:color="auto" w:sz="6"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T26300</w:t>
            </w:r>
          </w:p>
        </w:tc>
        <w:tc>
          <w:tcPr>
            <w:tcW w:w="1701" w:type="dxa"/>
            <w:tcBorders>
              <w:top w:val="single" w:color="auto" w:sz="12" w:space="0"/>
              <w:left w:val="single" w:color="auto" w:sz="6"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软化退火（O60）</w:t>
            </w:r>
          </w:p>
        </w:tc>
        <w:tc>
          <w:tcPr>
            <w:tcW w:w="1134" w:type="dxa"/>
            <w:tcBorders>
              <w:top w:val="single" w:color="auto" w:sz="12" w:space="0"/>
              <w:left w:val="single" w:color="auto" w:sz="6" w:space="0"/>
              <w:right w:val="single" w:color="auto" w:sz="6" w:space="0"/>
            </w:tcBorders>
            <w:noWrap w:val="0"/>
            <w:vAlign w:val="center"/>
          </w:tcPr>
          <w:p>
            <w:pPr>
              <w:snapToGrid w:val="0"/>
              <w:spacing w:line="24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精卷盘</w:t>
            </w:r>
          </w:p>
          <w:p>
            <w:pPr>
              <w:snapToGrid w:val="0"/>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散卷盘</w:t>
            </w:r>
          </w:p>
        </w:tc>
        <w:tc>
          <w:tcPr>
            <w:tcW w:w="1276" w:type="dxa"/>
            <w:tcBorders>
              <w:top w:val="single" w:color="auto" w:sz="12" w:space="0"/>
              <w:left w:val="single" w:color="auto" w:sz="6"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20~33</w:t>
            </w:r>
          </w:p>
        </w:tc>
        <w:tc>
          <w:tcPr>
            <w:tcW w:w="1843" w:type="dxa"/>
            <w:tcBorders>
              <w:top w:val="single" w:color="auto" w:sz="12" w:space="0"/>
              <w:left w:val="single" w:color="auto" w:sz="6" w:space="0"/>
              <w:righ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0.90~1.50</w:t>
            </w:r>
          </w:p>
        </w:tc>
        <w:tc>
          <w:tcPr>
            <w:tcW w:w="1666" w:type="dxa"/>
            <w:tcBorders>
              <w:top w:val="single" w:color="auto" w:sz="12" w:space="0"/>
              <w:left w:val="single" w:color="auto" w:sz="6" w:space="0"/>
            </w:tcBorders>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≥250000</w:t>
            </w:r>
          </w:p>
        </w:tc>
      </w:tr>
    </w:tbl>
    <w:p>
      <w:pPr>
        <w:pStyle w:val="21"/>
        <w:keepNext w:val="0"/>
        <w:keepLines w:val="0"/>
        <w:pageBreakBefore w:val="0"/>
        <w:widowControl w:val="0"/>
        <w:kinsoku/>
        <w:wordWrap/>
        <w:overflowPunct/>
        <w:topLinePunct w:val="0"/>
        <w:autoSpaceDE/>
        <w:autoSpaceDN/>
        <w:bidi w:val="0"/>
        <w:adjustRightInd w:val="0"/>
        <w:snapToGrid/>
        <w:spacing w:before="0" w:after="0"/>
        <w:textAlignment w:val="baseline"/>
        <w:rPr>
          <w:rFonts w:hint="eastAsia" w:hAnsi="黑体"/>
          <w:color w:val="auto"/>
        </w:rPr>
      </w:pP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int="eastAsia" w:hAnsi="黑体" w:cs="Times New Roman"/>
          <w:caps/>
          <w:color w:val="auto"/>
        </w:rPr>
      </w:pPr>
      <w:r>
        <w:rPr>
          <w:rFonts w:hint="eastAsia" w:hAnsi="黑体" w:cs="Times New Roman"/>
          <w:caps/>
          <w:color w:val="auto"/>
        </w:rPr>
        <w:t>4.1.2</w:t>
      </w:r>
      <w:r>
        <w:rPr>
          <w:rFonts w:hint="eastAsia" w:hAnsi="黑体" w:cs="Times New Roman"/>
          <w:caps/>
          <w:color w:val="auto"/>
          <w:lang w:val="en-US" w:eastAsia="zh-CN"/>
        </w:rPr>
        <w:t xml:space="preserve">  </w:t>
      </w:r>
      <w:r>
        <w:rPr>
          <w:rFonts w:hint="eastAsia" w:hAnsi="黑体" w:cs="Times New Roman"/>
          <w:caps/>
          <w:color w:val="auto"/>
        </w:rPr>
        <w:t>尺寸系列</w:t>
      </w:r>
    </w:p>
    <w:p>
      <w:pPr>
        <w:pStyle w:val="62"/>
        <w:keepNext w:val="0"/>
        <w:keepLines w:val="0"/>
        <w:pageBreakBefore w:val="0"/>
        <w:widowControl/>
        <w:numPr>
          <w:ilvl w:val="0"/>
          <w:numId w:val="0"/>
        </w:numPr>
        <w:kinsoku/>
        <w:wordWrap/>
        <w:overflowPunct/>
        <w:topLinePunct w:val="0"/>
        <w:autoSpaceDE/>
        <w:autoSpaceDN/>
        <w:bidi w:val="0"/>
        <w:adjustRightInd/>
        <w:snapToGrid/>
        <w:spacing w:line="300" w:lineRule="auto"/>
        <w:ind w:firstLine="424" w:firstLineChars="202"/>
        <w:textAlignment w:val="auto"/>
        <w:rPr>
          <w:rFonts w:hint="eastAsia" w:ascii="宋体" w:hAnsi="宋体" w:eastAsia="宋体"/>
        </w:rPr>
      </w:pPr>
      <w:r>
        <w:rPr>
          <w:rFonts w:ascii="宋体" w:hAnsi="宋体" w:eastAsia="宋体"/>
        </w:rPr>
        <w:t>管材</w:t>
      </w:r>
      <w:r>
        <w:rPr>
          <w:rFonts w:hint="eastAsia" w:ascii="宋体" w:hAnsi="宋体" w:eastAsia="宋体"/>
        </w:rPr>
        <w:t>盘卷</w:t>
      </w:r>
      <w:r>
        <w:rPr>
          <w:rFonts w:ascii="宋体" w:hAnsi="宋体" w:eastAsia="宋体"/>
        </w:rPr>
        <w:t>内外径尺寸应符合表2的规定。</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240" w:lineRule="auto"/>
        <w:ind w:right="-163" w:rightChars="-68"/>
        <w:jc w:val="center"/>
        <w:textAlignment w:val="baseline"/>
        <w:rPr>
          <w:rFonts w:hint="eastAsia"/>
          <w:sz w:val="21"/>
          <w:szCs w:val="21"/>
        </w:rPr>
      </w:pPr>
      <w:r>
        <w:rPr>
          <w:rFonts w:ascii="黑体" w:hAnsi="黑体" w:eastAsia="黑体"/>
          <w:sz w:val="21"/>
          <w:szCs w:val="21"/>
        </w:rPr>
        <w:t>表2</w:t>
      </w:r>
      <w:r>
        <w:rPr>
          <w:rFonts w:hint="eastAsia" w:ascii="黑体" w:hAnsi="黑体" w:eastAsia="黑体"/>
          <w:sz w:val="21"/>
          <w:szCs w:val="21"/>
          <w:lang w:val="en-US" w:eastAsia="zh-CN"/>
        </w:rPr>
        <w:t xml:space="preserve">  </w:t>
      </w:r>
      <w:r>
        <w:rPr>
          <w:rFonts w:hint="eastAsia" w:ascii="黑体" w:hAnsi="黑体" w:eastAsia="黑体"/>
          <w:sz w:val="21"/>
          <w:szCs w:val="21"/>
        </w:rPr>
        <w:t>盘卷</w:t>
      </w:r>
      <w:r>
        <w:rPr>
          <w:rFonts w:ascii="黑体" w:hAnsi="黑体" w:eastAsia="黑体"/>
          <w:sz w:val="21"/>
          <w:szCs w:val="21"/>
        </w:rPr>
        <w:t>的</w:t>
      </w:r>
      <w:r>
        <w:rPr>
          <w:rFonts w:hint="eastAsia" w:ascii="黑体" w:hAnsi="黑体" w:eastAsia="黑体"/>
          <w:sz w:val="21"/>
          <w:szCs w:val="21"/>
        </w:rPr>
        <w:t>内外径</w:t>
      </w:r>
      <w:r>
        <w:rPr>
          <w:rFonts w:ascii="黑体" w:hAnsi="黑体" w:eastAsia="黑体"/>
          <w:sz w:val="21"/>
          <w:szCs w:val="21"/>
        </w:rPr>
        <w:t>尺寸</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3269"/>
        <w:gridCol w:w="3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4" w:type="pct"/>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类型</w:t>
            </w:r>
          </w:p>
        </w:tc>
        <w:tc>
          <w:tcPr>
            <w:tcW w:w="1708" w:type="pct"/>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卷外径</w:t>
            </w:r>
          </w:p>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mm</w:t>
            </w:r>
          </w:p>
        </w:tc>
        <w:tc>
          <w:tcPr>
            <w:tcW w:w="1608" w:type="pct"/>
            <w:tcBorders>
              <w:bottom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卷内径</w:t>
            </w:r>
          </w:p>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4" w:type="pct"/>
            <w:tcBorders>
              <w:top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精卷盘</w:t>
            </w:r>
          </w:p>
        </w:tc>
        <w:tc>
          <w:tcPr>
            <w:tcW w:w="1708" w:type="pct"/>
            <w:tcBorders>
              <w:top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1500~2400</w:t>
            </w:r>
          </w:p>
        </w:tc>
        <w:tc>
          <w:tcPr>
            <w:tcW w:w="1608" w:type="pct"/>
            <w:tcBorders>
              <w:top w:val="single" w:color="auto" w:sz="12" w:space="0"/>
            </w:tcBorders>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1200~1900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4" w:type="pct"/>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散卷盘</w:t>
            </w:r>
          </w:p>
        </w:tc>
        <w:tc>
          <w:tcPr>
            <w:tcW w:w="1708" w:type="pct"/>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2400~3000</w:t>
            </w:r>
          </w:p>
        </w:tc>
        <w:tc>
          <w:tcPr>
            <w:tcW w:w="1608" w:type="pct"/>
            <w:noWrap w:val="0"/>
            <w:vAlign w:val="center"/>
          </w:tcPr>
          <w:p>
            <w:pPr>
              <w:spacing w:line="240" w:lineRule="auto"/>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1900~2500</w:t>
            </w:r>
          </w:p>
        </w:tc>
      </w:tr>
    </w:tbl>
    <w:p>
      <w:pPr>
        <w:pStyle w:val="21"/>
        <w:keepNext w:val="0"/>
        <w:keepLines w:val="0"/>
        <w:pageBreakBefore w:val="0"/>
        <w:widowControl w:val="0"/>
        <w:kinsoku/>
        <w:wordWrap/>
        <w:overflowPunct/>
        <w:topLinePunct w:val="0"/>
        <w:autoSpaceDE/>
        <w:autoSpaceDN/>
        <w:bidi w:val="0"/>
        <w:adjustRightInd w:val="0"/>
        <w:snapToGrid/>
        <w:spacing w:before="0" w:after="0"/>
        <w:textAlignment w:val="baseline"/>
        <w:rPr>
          <w:rFonts w:hint="eastAsia" w:hAnsi="黑体"/>
          <w:color w:val="auto"/>
        </w:rPr>
      </w:pP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int="eastAsia" w:hAnsi="黑体" w:cs="Times New Roman"/>
          <w:caps/>
          <w:color w:val="auto"/>
        </w:rPr>
      </w:pPr>
      <w:r>
        <w:rPr>
          <w:rFonts w:hint="eastAsia" w:hAnsi="黑体" w:cs="Times New Roman"/>
          <w:caps/>
          <w:color w:val="auto"/>
        </w:rPr>
        <w:t>4.2</w:t>
      </w:r>
      <w:r>
        <w:rPr>
          <w:rFonts w:hint="eastAsia" w:hAnsi="黑体" w:cs="Times New Roman"/>
          <w:caps/>
          <w:color w:val="auto"/>
          <w:lang w:val="en-US" w:eastAsia="zh-CN"/>
        </w:rPr>
        <w:t xml:space="preserve">  </w:t>
      </w:r>
      <w:r>
        <w:rPr>
          <w:rFonts w:hint="eastAsia" w:hAnsi="黑体" w:cs="Times New Roman"/>
          <w:caps/>
          <w:color w:val="auto"/>
        </w:rPr>
        <w:t>产品标记</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sz w:val="21"/>
          <w:szCs w:val="21"/>
        </w:rPr>
      </w:pPr>
      <w:r>
        <w:rPr>
          <w:sz w:val="21"/>
          <w:szCs w:val="21"/>
        </w:rPr>
        <w:t>产品标记按产品名称、</w:t>
      </w:r>
      <w:r>
        <w:rPr>
          <w:rFonts w:hint="eastAsia"/>
          <w:sz w:val="21"/>
          <w:szCs w:val="21"/>
        </w:rPr>
        <w:t>文件</w:t>
      </w:r>
      <w:r>
        <w:rPr>
          <w:sz w:val="21"/>
          <w:szCs w:val="21"/>
        </w:rPr>
        <w:t>编号、牌号（或代号）、状态、规格的顺序表示。</w:t>
      </w:r>
    </w:p>
    <w:p>
      <w:pPr>
        <w:spacing w:line="360" w:lineRule="auto"/>
        <w:ind w:firstLine="360" w:firstLineChars="200"/>
        <w:rPr>
          <w:rFonts w:hint="eastAsia" w:ascii="黑体" w:hAnsi="黑体" w:eastAsia="黑体" w:cs="黑体"/>
          <w:color w:val="auto"/>
          <w:sz w:val="18"/>
          <w:szCs w:val="18"/>
        </w:rPr>
      </w:pPr>
      <w:r>
        <w:rPr>
          <w:rFonts w:hint="eastAsia" w:ascii="黑体" w:hAnsi="黑体" w:eastAsia="黑体" w:cs="黑体"/>
          <w:color w:val="auto"/>
          <w:sz w:val="18"/>
          <w:szCs w:val="18"/>
        </w:rPr>
        <w:t>示例：</w:t>
      </w:r>
    </w:p>
    <w:p>
      <w:pPr>
        <w:spacing w:line="360" w:lineRule="auto"/>
        <w:rPr>
          <w:rFonts w:hAnsi="黑体"/>
        </w:rPr>
      </w:pPr>
      <w:r>
        <w:rPr>
          <w:sz w:val="18"/>
          <w:szCs w:val="18"/>
        </w:rPr>
        <mc:AlternateContent>
          <mc:Choice Requires="wps">
            <w:drawing>
              <wp:inline distT="0" distB="0" distL="114300" distR="114300">
                <wp:extent cx="5959475" cy="703580"/>
                <wp:effectExtent l="9525" t="9525" r="12700" b="10795"/>
                <wp:docPr id="1" name="文本框 11"/>
                <wp:cNvGraphicFramePr/>
                <a:graphic xmlns:a="http://schemas.openxmlformats.org/drawingml/2006/main">
                  <a:graphicData uri="http://schemas.microsoft.com/office/word/2010/wordprocessingShape">
                    <wps:wsp>
                      <wps:cNvSpPr txBox="1">
                        <a:spLocks noRot="1"/>
                      </wps:cNvSpPr>
                      <wps:spPr>
                        <a:xfrm>
                          <a:off x="0" y="0"/>
                          <a:ext cx="5959475" cy="7035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auto"/>
                              <w:ind w:firstLine="360" w:firstLineChars="200"/>
                              <w:rPr>
                                <w:rFonts w:hint="eastAsia" w:ascii="宋体" w:hAnsi="宋体" w:eastAsia="宋体" w:cs="宋体"/>
                                <w:color w:val="000000"/>
                                <w:sz w:val="18"/>
                                <w:szCs w:val="18"/>
                              </w:rPr>
                            </w:pPr>
                            <w:r>
                              <w:rPr>
                                <w:rFonts w:hint="eastAsia" w:ascii="宋体" w:hAnsi="宋体" w:eastAsia="宋体" w:cs="宋体"/>
                                <w:sz w:val="18"/>
                                <w:szCs w:val="18"/>
                              </w:rPr>
                              <w:t>用H68（代号T26300）制造、供应状态为软</w:t>
                            </w:r>
                            <w:r>
                              <w:rPr>
                                <w:rFonts w:hint="eastAsia" w:ascii="宋体" w:hAnsi="宋体" w:eastAsia="宋体" w:cs="宋体"/>
                                <w:color w:val="000000"/>
                                <w:sz w:val="18"/>
                                <w:szCs w:val="18"/>
                              </w:rPr>
                              <w:t>化退火（O60）、外径为28mm、壁厚为1.1mm、长度为340000mm的精卷盘标记为：</w:t>
                            </w:r>
                          </w:p>
                          <w:p>
                            <w:pPr>
                              <w:spacing w:line="240" w:lineRule="auto"/>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精卷盘GB/T XXXX -H68 O60-Φ28×1</w:t>
                            </w:r>
                            <w:r>
                              <w:rPr>
                                <w:rFonts w:hint="eastAsia" w:ascii="宋体" w:hAnsi="宋体" w:cs="宋体"/>
                                <w:sz w:val="18"/>
                                <w:szCs w:val="18"/>
                                <w:lang w:val="en-US" w:eastAsia="zh-CN"/>
                              </w:rPr>
                              <w:t>.</w:t>
                            </w:r>
                            <w:r>
                              <w:rPr>
                                <w:rFonts w:hint="eastAsia" w:ascii="宋体" w:hAnsi="宋体" w:eastAsia="宋体" w:cs="宋体"/>
                                <w:sz w:val="18"/>
                                <w:szCs w:val="18"/>
                              </w:rPr>
                              <w:t>1×340000</w:t>
                            </w:r>
                          </w:p>
                          <w:p>
                            <w:pPr>
                              <w:spacing w:line="240" w:lineRule="auto"/>
                              <w:ind w:firstLine="360" w:firstLineChars="200"/>
                              <w:jc w:val="center"/>
                              <w:rPr>
                                <w:rFonts w:hint="eastAsia" w:ascii="宋体" w:hAnsi="宋体" w:eastAsia="宋体" w:cs="宋体"/>
                                <w:color w:val="000000"/>
                                <w:sz w:val="18"/>
                                <w:szCs w:val="18"/>
                              </w:rPr>
                            </w:pPr>
                            <w:r>
                              <w:rPr>
                                <w:rFonts w:hint="eastAsia" w:ascii="宋体" w:hAnsi="宋体" w:eastAsia="宋体" w:cs="宋体"/>
                                <w:sz w:val="18"/>
                                <w:szCs w:val="18"/>
                              </w:rPr>
                              <w:t>精卷盘GB/T XXXX - T26300 O60-Φ28×1</w:t>
                            </w:r>
                            <w:r>
                              <w:rPr>
                                <w:rFonts w:hint="eastAsia" w:ascii="宋体" w:hAnsi="宋体" w:cs="宋体"/>
                                <w:sz w:val="18"/>
                                <w:szCs w:val="18"/>
                                <w:lang w:val="en-US" w:eastAsia="zh-CN"/>
                              </w:rPr>
                              <w:t>.</w:t>
                            </w:r>
                            <w:r>
                              <w:rPr>
                                <w:rFonts w:hint="eastAsia" w:ascii="宋体" w:hAnsi="宋体" w:eastAsia="宋体" w:cs="宋体"/>
                                <w:sz w:val="18"/>
                                <w:szCs w:val="18"/>
                              </w:rPr>
                              <w:t>1×340000</w:t>
                            </w:r>
                          </w:p>
                        </w:txbxContent>
                      </wps:txbx>
                      <wps:bodyPr wrap="none" upright="1">
                        <a:spAutoFit/>
                      </wps:bodyPr>
                    </wps:wsp>
                  </a:graphicData>
                </a:graphic>
              </wp:inline>
            </w:drawing>
          </mc:Choice>
          <mc:Fallback>
            <w:pict>
              <v:shape id="文本框 11" o:spid="_x0000_s1026" o:spt="202" type="#_x0000_t202" style="height:55.4pt;width:469.25pt;mso-wrap-style:none;" fillcolor="#FFFFFF" filled="t" stroked="t" coordsize="21600,21600" o:gfxdata="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qd8n1AAAAAUBAAAPAAAAAAAAAAEAIAAAACIAAABkcnMvZG93bnJldi54bWxQSwECFAAU&#10;AAAACACHTuJA7C2cFS4CAACBBAAADgAAAAAAAAABACAAAAAjAQAAZHJzL2Uyb0RvYy54bWxQSwUG&#10;AAAAAAYABgBZAQAAwwUAAAAA&#10;">
                <v:fill on="t" focussize="0,0"/>
                <v:stroke weight="1.5pt" color="#000000" joinstyle="miter"/>
                <v:imagedata o:title=""/>
                <o:lock v:ext="edit" rotation="t" aspectratio="f"/>
                <v:textbox style="mso-fit-shape-to-text:t;">
                  <w:txbxContent>
                    <w:p>
                      <w:pPr>
                        <w:spacing w:line="240" w:lineRule="auto"/>
                        <w:ind w:firstLine="360" w:firstLineChars="200"/>
                        <w:rPr>
                          <w:rFonts w:hint="eastAsia" w:ascii="宋体" w:hAnsi="宋体" w:eastAsia="宋体" w:cs="宋体"/>
                          <w:color w:val="000000"/>
                          <w:sz w:val="18"/>
                          <w:szCs w:val="18"/>
                        </w:rPr>
                      </w:pPr>
                      <w:r>
                        <w:rPr>
                          <w:rFonts w:hint="eastAsia" w:ascii="宋体" w:hAnsi="宋体" w:eastAsia="宋体" w:cs="宋体"/>
                          <w:sz w:val="18"/>
                          <w:szCs w:val="18"/>
                        </w:rPr>
                        <w:t>用H68（代号T26300）制造、供应状态为软</w:t>
                      </w:r>
                      <w:r>
                        <w:rPr>
                          <w:rFonts w:hint="eastAsia" w:ascii="宋体" w:hAnsi="宋体" w:eastAsia="宋体" w:cs="宋体"/>
                          <w:color w:val="000000"/>
                          <w:sz w:val="18"/>
                          <w:szCs w:val="18"/>
                        </w:rPr>
                        <w:t>化退火（O60）、外径为28mm、壁厚为1.1mm、长度为340000mm的精卷盘标记为：</w:t>
                      </w:r>
                    </w:p>
                    <w:p>
                      <w:pPr>
                        <w:spacing w:line="240" w:lineRule="auto"/>
                        <w:ind w:firstLine="360" w:firstLineChars="200"/>
                        <w:jc w:val="center"/>
                        <w:rPr>
                          <w:rFonts w:hint="eastAsia" w:ascii="宋体" w:hAnsi="宋体" w:eastAsia="宋体" w:cs="宋体"/>
                          <w:sz w:val="18"/>
                          <w:szCs w:val="18"/>
                        </w:rPr>
                      </w:pPr>
                      <w:r>
                        <w:rPr>
                          <w:rFonts w:hint="eastAsia" w:ascii="宋体" w:hAnsi="宋体" w:eastAsia="宋体" w:cs="宋体"/>
                          <w:sz w:val="18"/>
                          <w:szCs w:val="18"/>
                        </w:rPr>
                        <w:t>精卷盘GB/T XXXX -H68 O60-Φ28×1</w:t>
                      </w:r>
                      <w:r>
                        <w:rPr>
                          <w:rFonts w:hint="eastAsia" w:ascii="宋体" w:hAnsi="宋体" w:cs="宋体"/>
                          <w:sz w:val="18"/>
                          <w:szCs w:val="18"/>
                          <w:lang w:val="en-US" w:eastAsia="zh-CN"/>
                        </w:rPr>
                        <w:t>.</w:t>
                      </w:r>
                      <w:r>
                        <w:rPr>
                          <w:rFonts w:hint="eastAsia" w:ascii="宋体" w:hAnsi="宋体" w:eastAsia="宋体" w:cs="宋体"/>
                          <w:sz w:val="18"/>
                          <w:szCs w:val="18"/>
                        </w:rPr>
                        <w:t>1×340000</w:t>
                      </w:r>
                    </w:p>
                    <w:p>
                      <w:pPr>
                        <w:spacing w:line="240" w:lineRule="auto"/>
                        <w:ind w:firstLine="360" w:firstLineChars="200"/>
                        <w:jc w:val="center"/>
                        <w:rPr>
                          <w:rFonts w:hint="eastAsia" w:ascii="宋体" w:hAnsi="宋体" w:eastAsia="宋体" w:cs="宋体"/>
                          <w:color w:val="000000"/>
                          <w:sz w:val="18"/>
                          <w:szCs w:val="18"/>
                        </w:rPr>
                      </w:pPr>
                      <w:r>
                        <w:rPr>
                          <w:rFonts w:hint="eastAsia" w:ascii="宋体" w:hAnsi="宋体" w:eastAsia="宋体" w:cs="宋体"/>
                          <w:sz w:val="18"/>
                          <w:szCs w:val="18"/>
                        </w:rPr>
                        <w:t>精卷盘GB/T XXXX - T26300 O60-Φ28×1</w:t>
                      </w:r>
                      <w:r>
                        <w:rPr>
                          <w:rFonts w:hint="eastAsia" w:ascii="宋体" w:hAnsi="宋体" w:cs="宋体"/>
                          <w:sz w:val="18"/>
                          <w:szCs w:val="18"/>
                          <w:lang w:val="en-US" w:eastAsia="zh-CN"/>
                        </w:rPr>
                        <w:t>.</w:t>
                      </w:r>
                      <w:r>
                        <w:rPr>
                          <w:rFonts w:hint="eastAsia" w:ascii="宋体" w:hAnsi="宋体" w:eastAsia="宋体" w:cs="宋体"/>
                          <w:sz w:val="18"/>
                          <w:szCs w:val="18"/>
                        </w:rPr>
                        <w:t>1×340000</w:t>
                      </w:r>
                    </w:p>
                  </w:txbxContent>
                </v:textbox>
                <w10:wrap type="none"/>
                <w10:anchorlock/>
              </v:shape>
            </w:pict>
          </mc:Fallback>
        </mc:AlternateConten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textAlignment w:val="baseline"/>
        <w:rPr>
          <w:rFonts w:hint="eastAsia" w:hAnsi="黑体" w:cs="Times New Roman"/>
          <w:caps/>
          <w:color w:val="auto"/>
        </w:rPr>
      </w:pPr>
      <w:r>
        <w:rPr>
          <w:rFonts w:hint="eastAsia" w:hAnsi="黑体" w:cs="Times New Roman"/>
          <w:caps/>
          <w:color w:val="auto"/>
        </w:rPr>
        <w:t>5</w:t>
      </w:r>
      <w:r>
        <w:rPr>
          <w:rFonts w:hint="eastAsia" w:hAnsi="黑体" w:cs="Times New Roman"/>
          <w:caps/>
          <w:color w:val="auto"/>
          <w:lang w:val="en-US" w:eastAsia="zh-CN"/>
        </w:rPr>
        <w:t xml:space="preserve">  </w:t>
      </w:r>
      <w:r>
        <w:rPr>
          <w:rFonts w:hint="eastAsia" w:hAnsi="黑体" w:cs="Times New Roman"/>
          <w:caps/>
          <w:color w:val="auto"/>
        </w:rPr>
        <w:t>技术要求</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int="eastAsia" w:hAnsi="黑体" w:cs="Times New Roman"/>
          <w:caps/>
          <w:color w:val="auto"/>
        </w:rPr>
      </w:pPr>
      <w:r>
        <w:rPr>
          <w:rFonts w:hint="eastAsia" w:hAnsi="黑体" w:cs="Times New Roman"/>
          <w:caps/>
          <w:color w:val="auto"/>
        </w:rPr>
        <w:t>5.1</w:t>
      </w:r>
      <w:r>
        <w:rPr>
          <w:rFonts w:hint="eastAsia" w:hAnsi="黑体" w:cs="Times New Roman"/>
          <w:caps/>
          <w:color w:val="auto"/>
          <w:lang w:val="en-US" w:eastAsia="zh-CN"/>
        </w:rPr>
        <w:t xml:space="preserve">  </w:t>
      </w:r>
      <w:r>
        <w:rPr>
          <w:rFonts w:hint="eastAsia" w:hAnsi="黑体" w:cs="Times New Roman"/>
          <w:caps/>
          <w:color w:val="auto"/>
        </w:rPr>
        <w:t>化学成分</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管材的化学成分应满足表3的规定。</w:t>
      </w:r>
    </w:p>
    <w:p>
      <w:pPr>
        <w:spacing w:before="120" w:beforeLines="50" w:after="120" w:afterLines="50" w:line="240" w:lineRule="auto"/>
        <w:ind w:right="-163" w:rightChars="-68"/>
        <w:jc w:val="center"/>
        <w:rPr>
          <w:rFonts w:ascii="黑体" w:hAnsi="黑体" w:eastAsia="黑体"/>
          <w:sz w:val="21"/>
          <w:szCs w:val="21"/>
        </w:rPr>
      </w:pPr>
      <w:r>
        <w:rPr>
          <w:rFonts w:hint="eastAsia" w:ascii="黑体" w:hAnsi="黑体" w:eastAsia="黑体"/>
          <w:sz w:val="21"/>
          <w:szCs w:val="21"/>
        </w:rPr>
        <w:t>表</w:t>
      </w:r>
      <w:r>
        <w:rPr>
          <w:rFonts w:ascii="黑体" w:hAnsi="黑体" w:eastAsia="黑体"/>
          <w:sz w:val="21"/>
          <w:szCs w:val="21"/>
        </w:rPr>
        <w:t>3</w:t>
      </w:r>
      <w:r>
        <w:rPr>
          <w:rFonts w:hint="eastAsia" w:ascii="黑体" w:hAnsi="黑体" w:eastAsia="黑体"/>
          <w:sz w:val="21"/>
          <w:szCs w:val="21"/>
          <w:lang w:val="en-US" w:eastAsia="zh-CN"/>
        </w:rPr>
        <w:t xml:space="preserve">  </w:t>
      </w:r>
      <w:r>
        <w:rPr>
          <w:rFonts w:hint="eastAsia" w:ascii="黑体" w:hAnsi="黑体" w:eastAsia="黑体"/>
          <w:sz w:val="21"/>
          <w:szCs w:val="21"/>
        </w:rPr>
        <w:t>管材化学成分</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353"/>
        <w:gridCol w:w="1646"/>
        <w:gridCol w:w="926"/>
        <w:gridCol w:w="926"/>
        <w:gridCol w:w="1082"/>
        <w:gridCol w:w="1003"/>
        <w:gridCol w:w="1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5" w:type="pct"/>
            <w:vMerge w:val="restart"/>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牌号</w:t>
            </w:r>
          </w:p>
        </w:tc>
        <w:tc>
          <w:tcPr>
            <w:tcW w:w="707" w:type="pct"/>
            <w:vMerge w:val="restart"/>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代号</w:t>
            </w:r>
          </w:p>
        </w:tc>
        <w:tc>
          <w:tcPr>
            <w:tcW w:w="3769" w:type="pct"/>
            <w:gridSpan w:val="6"/>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化学成分（质量分数）</w:t>
            </w:r>
          </w:p>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25" w:type="pct"/>
            <w:vMerge w:val="continue"/>
            <w:tcBorders>
              <w:bottom w:val="single" w:color="auto" w:sz="12" w:space="0"/>
            </w:tcBorders>
            <w:noWrap w:val="0"/>
            <w:vAlign w:val="center"/>
          </w:tcPr>
          <w:p>
            <w:pPr>
              <w:widowControl/>
              <w:adjustRightInd/>
              <w:spacing w:line="240" w:lineRule="auto"/>
              <w:textAlignment w:val="auto"/>
              <w:rPr>
                <w:rFonts w:hint="eastAsia" w:asciiTheme="minorEastAsia" w:hAnsiTheme="minorEastAsia" w:eastAsiaTheme="minorEastAsia" w:cstheme="minorEastAsia"/>
                <w:sz w:val="18"/>
                <w:szCs w:val="18"/>
              </w:rPr>
            </w:pPr>
          </w:p>
        </w:tc>
        <w:tc>
          <w:tcPr>
            <w:tcW w:w="707" w:type="pct"/>
            <w:vMerge w:val="continue"/>
            <w:tcBorders>
              <w:bottom w:val="single" w:color="auto" w:sz="12" w:space="0"/>
            </w:tcBorders>
            <w:noWrap w:val="0"/>
            <w:vAlign w:val="center"/>
          </w:tcPr>
          <w:p>
            <w:pPr>
              <w:widowControl/>
              <w:adjustRightInd/>
              <w:spacing w:line="240" w:lineRule="auto"/>
              <w:textAlignment w:val="auto"/>
              <w:rPr>
                <w:rFonts w:hint="eastAsia" w:asciiTheme="minorEastAsia" w:hAnsiTheme="minorEastAsia" w:eastAsiaTheme="minorEastAsia" w:cstheme="minorEastAsia"/>
                <w:sz w:val="18"/>
                <w:szCs w:val="18"/>
              </w:rPr>
            </w:pPr>
          </w:p>
        </w:tc>
        <w:tc>
          <w:tcPr>
            <w:tcW w:w="860" w:type="pct"/>
            <w:tcBorders>
              <w:bottom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Cu</w:t>
            </w:r>
          </w:p>
        </w:tc>
        <w:tc>
          <w:tcPr>
            <w:tcW w:w="484" w:type="pct"/>
            <w:tcBorders>
              <w:bottom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w:t>
            </w:r>
          </w:p>
        </w:tc>
        <w:tc>
          <w:tcPr>
            <w:tcW w:w="484" w:type="pct"/>
            <w:tcBorders>
              <w:bottom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565" w:type="pct"/>
            <w:tcBorders>
              <w:bottom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524" w:type="pct"/>
            <w:tcBorders>
              <w:bottom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852" w:type="pct"/>
            <w:tcBorders>
              <w:bottom w:val="single" w:color="auto" w:sz="12" w:space="0"/>
            </w:tcBorders>
            <w:noWrap w:val="0"/>
            <w:vAlign w:val="center"/>
          </w:tcPr>
          <w:p>
            <w:pPr>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Cu+所列</w:t>
            </w:r>
          </w:p>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元素总和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25"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H68</w:t>
            </w:r>
          </w:p>
        </w:tc>
        <w:tc>
          <w:tcPr>
            <w:tcW w:w="707"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T26300</w:t>
            </w:r>
          </w:p>
        </w:tc>
        <w:tc>
          <w:tcPr>
            <w:tcW w:w="860"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67.0~70.0</w:t>
            </w:r>
          </w:p>
        </w:tc>
        <w:tc>
          <w:tcPr>
            <w:tcW w:w="484"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w:t>
            </w:r>
          </w:p>
        </w:tc>
        <w:tc>
          <w:tcPr>
            <w:tcW w:w="484"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w:t>
            </w:r>
          </w:p>
        </w:tc>
        <w:tc>
          <w:tcPr>
            <w:tcW w:w="565"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≤0.025</w:t>
            </w:r>
          </w:p>
        </w:tc>
        <w:tc>
          <w:tcPr>
            <w:tcW w:w="524"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余量</w:t>
            </w:r>
          </w:p>
        </w:tc>
        <w:tc>
          <w:tcPr>
            <w:tcW w:w="852" w:type="pct"/>
            <w:tcBorders>
              <w:top w:val="single" w:color="auto" w:sz="12" w:space="0"/>
            </w:tcBorders>
            <w:noWrap w:val="0"/>
            <w:vAlign w:val="center"/>
          </w:tcPr>
          <w:p>
            <w:pPr>
              <w:widowControl/>
              <w:adjustRightInd/>
              <w:spacing w:line="240" w:lineRule="auto"/>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≥99.7</w:t>
            </w:r>
          </w:p>
        </w:tc>
      </w:tr>
    </w:tbl>
    <w:p>
      <w:pPr>
        <w:pStyle w:val="21"/>
        <w:keepNext w:val="0"/>
        <w:keepLines w:val="0"/>
        <w:pageBreakBefore w:val="0"/>
        <w:widowControl w:val="0"/>
        <w:kinsoku/>
        <w:wordWrap/>
        <w:overflowPunct/>
        <w:topLinePunct w:val="0"/>
        <w:autoSpaceDE/>
        <w:autoSpaceDN/>
        <w:bidi w:val="0"/>
        <w:adjustRightInd w:val="0"/>
        <w:snapToGrid/>
        <w:spacing w:before="0" w:after="0"/>
        <w:textAlignment w:val="baseline"/>
        <w:rPr>
          <w:rFonts w:hint="eastAsia" w:hAnsi="黑体" w:eastAsia="黑体" w:cs="Times New Roman"/>
          <w:caps/>
          <w:color w:val="auto"/>
          <w:lang w:val="en-US" w:eastAsia="zh-CN"/>
        </w:rPr>
      </w:pPr>
      <w:r>
        <w:rPr>
          <w:rFonts w:hint="eastAsia" w:hAnsi="黑体" w:cs="Times New Roman"/>
          <w:caps/>
          <w:color w:val="auto"/>
          <w:lang w:val="en-US" w:eastAsia="zh-CN"/>
        </w:rPr>
        <w:t xml:space="preserve"> </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textAlignment w:val="baseline"/>
        <w:rPr>
          <w:rFonts w:hint="eastAsia" w:hAnsi="黑体" w:cs="Times New Roman"/>
          <w:caps/>
          <w:color w:val="auto"/>
        </w:rPr>
      </w:pPr>
      <w:r>
        <w:rPr>
          <w:rFonts w:hint="eastAsia" w:hAnsi="黑体" w:cs="Times New Roman"/>
          <w:caps/>
          <w:color w:val="auto"/>
        </w:rPr>
        <w:t>5.2</w:t>
      </w:r>
      <w:r>
        <w:rPr>
          <w:rFonts w:hint="eastAsia" w:hAnsi="黑体" w:cs="Times New Roman"/>
          <w:caps/>
          <w:color w:val="auto"/>
          <w:lang w:val="en-US" w:eastAsia="zh-CN"/>
        </w:rPr>
        <w:t xml:space="preserve">  </w:t>
      </w:r>
      <w:r>
        <w:rPr>
          <w:rFonts w:hint="eastAsia" w:hAnsi="黑体" w:cs="Times New Roman"/>
          <w:caps/>
          <w:color w:val="auto"/>
        </w:rPr>
        <w:t>尺寸及其允许偏差</w:t>
      </w:r>
    </w:p>
    <w:p>
      <w:pPr>
        <w:pStyle w:val="51"/>
        <w:spacing w:before="120" w:beforeLines="50" w:after="120" w:afterLines="50"/>
        <w:ind w:firstLine="0" w:firstLineChars="0"/>
        <w:rPr>
          <w:rFonts w:hint="eastAsia" w:ascii="黑体" w:hAnsi="黑体" w:eastAsia="黑体"/>
        </w:rPr>
      </w:pPr>
      <w:r>
        <w:rPr>
          <w:rFonts w:hint="eastAsia" w:ascii="黑体" w:hAnsi="黑体" w:eastAsia="黑体"/>
        </w:rPr>
        <w:t>5</w:t>
      </w:r>
      <w:r>
        <w:rPr>
          <w:rFonts w:hint="eastAsia" w:ascii="黑体" w:hAnsi="黑体" w:eastAsia="黑体" w:cs="Times New Roman"/>
          <w:caps/>
          <w:color w:val="auto"/>
          <w:sz w:val="21"/>
          <w:szCs w:val="21"/>
          <w:lang w:val="en-US" w:eastAsia="zh-CN" w:bidi="ar-SA"/>
        </w:rPr>
        <w:t>.2.1  外径及其允许偏差</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textAlignment w:val="auto"/>
        <w:rPr>
          <w:rFonts w:hint="eastAsia" w:ascii="Times New Roman"/>
        </w:rPr>
      </w:pPr>
      <w:r>
        <w:rPr>
          <w:rFonts w:hint="eastAsia" w:ascii="Times New Roman"/>
        </w:rPr>
        <w:t>管材平均外径及其允许偏差见表</w:t>
      </w:r>
      <w:r>
        <w:rPr>
          <w:rFonts w:ascii="Times New Roman"/>
        </w:rPr>
        <w:t>4</w:t>
      </w:r>
      <w:r>
        <w:rPr>
          <w:rFonts w:hint="eastAsia" w:ascii="Times New Roman"/>
        </w:rPr>
        <w:t>的规定。</w:t>
      </w:r>
    </w:p>
    <w:p>
      <w:pPr>
        <w:pStyle w:val="51"/>
        <w:wordWrap w:val="0"/>
        <w:spacing w:before="120" w:beforeLines="50" w:after="120" w:afterLines="50"/>
        <w:ind w:firstLine="0" w:firstLineChars="0"/>
        <w:jc w:val="right"/>
        <w:rPr>
          <w:rFonts w:hint="eastAsia" w:ascii="Times New Roman"/>
        </w:rPr>
      </w:pPr>
      <w:r>
        <w:rPr>
          <w:rFonts w:hint="eastAsia" w:ascii="黑体" w:hAnsi="黑体" w:eastAsia="黑体"/>
          <w:szCs w:val="21"/>
        </w:rPr>
        <w:t>表</w:t>
      </w:r>
      <w:r>
        <w:rPr>
          <w:rFonts w:ascii="黑体" w:hAnsi="黑体" w:eastAsia="黑体"/>
          <w:szCs w:val="21"/>
        </w:rPr>
        <w:t>4</w:t>
      </w:r>
      <w:r>
        <w:rPr>
          <w:rFonts w:hint="eastAsia" w:ascii="黑体" w:hAnsi="黑体" w:eastAsia="黑体"/>
          <w:szCs w:val="21"/>
          <w:lang w:val="en-US" w:eastAsia="zh-CN"/>
        </w:rPr>
        <w:t xml:space="preserve">  </w:t>
      </w:r>
      <w:r>
        <w:rPr>
          <w:rFonts w:hint="eastAsia" w:ascii="黑体" w:hAnsi="黑体" w:eastAsia="黑体"/>
          <w:szCs w:val="21"/>
        </w:rPr>
        <w:t>管材的壁厚及其允许偏差</w:t>
      </w:r>
      <w:r>
        <w:rPr>
          <w:rFonts w:hint="eastAsia" w:ascii="Times New Roman"/>
        </w:rPr>
        <w:t xml:space="preserve">                   单位为毫米</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74" w:type="pct"/>
            <w:tcBorders>
              <w:bottom w:val="single" w:color="auto" w:sz="12" w:space="0"/>
            </w:tcBorders>
            <w:noWrap w:val="0"/>
            <w:vAlign w:val="center"/>
          </w:tcPr>
          <w:p>
            <w:pPr>
              <w:pStyle w:val="51"/>
              <w:widowControl w:val="0"/>
              <w:ind w:firstLine="0" w:firstLineChars="0"/>
              <w:jc w:val="center"/>
              <w:rPr>
                <w:rFonts w:hint="eastAsia" w:ascii="宋体" w:hAnsi="宋体" w:eastAsia="宋体" w:cs="宋体"/>
                <w:sz w:val="18"/>
              </w:rPr>
            </w:pPr>
            <w:r>
              <w:rPr>
                <w:rFonts w:hint="eastAsia" w:ascii="宋体" w:hAnsi="宋体" w:eastAsia="宋体" w:cs="宋体"/>
                <w:sz w:val="18"/>
              </w:rPr>
              <w:t>平均外径</w:t>
            </w:r>
          </w:p>
        </w:tc>
        <w:tc>
          <w:tcPr>
            <w:tcW w:w="2426" w:type="pct"/>
            <w:tcBorders>
              <w:bottom w:val="single" w:color="auto" w:sz="12" w:space="0"/>
            </w:tcBorders>
            <w:noWrap w:val="0"/>
            <w:vAlign w:val="center"/>
          </w:tcPr>
          <w:p>
            <w:pPr>
              <w:pStyle w:val="51"/>
              <w:widowControl w:val="0"/>
              <w:ind w:firstLine="0" w:firstLineChars="0"/>
              <w:jc w:val="center"/>
              <w:rPr>
                <w:rFonts w:hint="eastAsia" w:ascii="宋体" w:hAnsi="宋体" w:eastAsia="宋体" w:cs="宋体"/>
                <w:sz w:val="18"/>
              </w:rPr>
            </w:pPr>
            <w:r>
              <w:rPr>
                <w:rFonts w:hint="eastAsia" w:ascii="宋体" w:hAnsi="宋体" w:eastAsia="宋体" w:cs="宋体"/>
                <w:sz w:val="18"/>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trPr>
        <w:tc>
          <w:tcPr>
            <w:tcW w:w="2574" w:type="pct"/>
            <w:tcBorders>
              <w:top w:val="single" w:color="auto" w:sz="12" w:space="0"/>
              <w:bottom w:val="single" w:color="auto" w:sz="12" w:space="0"/>
            </w:tcBorders>
            <w:noWrap w:val="0"/>
            <w:vAlign w:val="center"/>
          </w:tcPr>
          <w:p>
            <w:pPr>
              <w:pStyle w:val="51"/>
              <w:widowControl w:val="0"/>
              <w:ind w:firstLine="0" w:firstLineChars="0"/>
              <w:jc w:val="center"/>
              <w:rPr>
                <w:rFonts w:hint="eastAsia" w:ascii="宋体" w:hAnsi="宋体" w:eastAsia="宋体" w:cs="宋体"/>
                <w:sz w:val="18"/>
              </w:rPr>
            </w:pPr>
            <w:r>
              <w:rPr>
                <w:rFonts w:hint="eastAsia" w:ascii="宋体" w:hAnsi="宋体" w:eastAsia="宋体" w:cs="宋体"/>
                <w:sz w:val="18"/>
              </w:rPr>
              <w:t>20~33</w:t>
            </w:r>
          </w:p>
        </w:tc>
        <w:tc>
          <w:tcPr>
            <w:tcW w:w="2426" w:type="pct"/>
            <w:tcBorders>
              <w:top w:val="single" w:color="auto" w:sz="12" w:space="0"/>
              <w:bottom w:val="single" w:color="auto" w:sz="12" w:space="0"/>
            </w:tcBorders>
            <w:noWrap w:val="0"/>
            <w:vAlign w:val="center"/>
          </w:tcPr>
          <w:p>
            <w:pPr>
              <w:pStyle w:val="51"/>
              <w:widowControl w:val="0"/>
              <w:ind w:firstLine="0" w:firstLineChars="0"/>
              <w:jc w:val="center"/>
              <w:rPr>
                <w:rFonts w:hint="eastAsia" w:ascii="宋体" w:hAnsi="宋体" w:eastAsia="宋体" w:cs="宋体"/>
                <w:sz w:val="18"/>
              </w:rPr>
            </w:pPr>
            <w:r>
              <w:rPr>
                <w:rFonts w:hint="eastAsia" w:ascii="宋体" w:hAnsi="宋体" w:eastAsia="宋体" w:cs="宋体"/>
                <w:sz w:val="18"/>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trPr>
        <w:tc>
          <w:tcPr>
            <w:tcW w:w="5000" w:type="pct"/>
            <w:gridSpan w:val="2"/>
            <w:tcBorders>
              <w:top w:val="single" w:color="auto" w:sz="12" w:space="0"/>
            </w:tcBorders>
            <w:shd w:val="clear" w:color="auto" w:fill="FFFFFF"/>
            <w:noWrap w:val="0"/>
            <w:vAlign w:val="center"/>
          </w:tcPr>
          <w:p>
            <w:pPr>
              <w:pStyle w:val="51"/>
              <w:widowControl w:val="0"/>
              <w:ind w:firstLine="360" w:firstLineChars="200"/>
              <w:rPr>
                <w:rFonts w:hint="eastAsia" w:ascii="宋体" w:hAnsi="宋体" w:eastAsia="宋体" w:cs="宋体"/>
                <w:sz w:val="18"/>
              </w:rPr>
            </w:pPr>
            <w:r>
              <w:rPr>
                <w:rFonts w:hint="eastAsia" w:ascii="宋体" w:hAnsi="宋体" w:eastAsia="宋体" w:cs="宋体"/>
                <w:sz w:val="18"/>
              </w:rPr>
              <w:t>注：当要求平均外径偏差全为正（+）或全为负（-）时，其允许偏差为平均外径允许偏差数值的2倍。</w:t>
            </w:r>
          </w:p>
        </w:tc>
      </w:tr>
    </w:tbl>
    <w:p>
      <w:pPr>
        <w:pStyle w:val="51"/>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eastAsia" w:ascii="黑体" w:hAnsi="黑体" w:eastAsia="黑体"/>
        </w:rPr>
      </w:pP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5.2.2</w:t>
      </w:r>
      <w:r>
        <w:rPr>
          <w:rFonts w:hint="eastAsia" w:hAnsi="黑体" w:cs="Times New Roman"/>
          <w:caps/>
          <w:color w:val="auto"/>
          <w:lang w:val="en-US" w:eastAsia="zh-CN"/>
        </w:rPr>
        <w:t xml:space="preserve">  </w:t>
      </w:r>
      <w:r>
        <w:rPr>
          <w:rFonts w:hint="eastAsia" w:hAnsi="黑体" w:cs="Times New Roman"/>
          <w:caps/>
          <w:color w:val="auto"/>
        </w:rPr>
        <w:t>壁厚及其允许偏差</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管材的壁厚及其允许偏差见表</w:t>
      </w:r>
      <w:r>
        <w:rPr>
          <w:rFonts w:ascii="Times New Roman"/>
        </w:rPr>
        <w:t>5</w:t>
      </w:r>
      <w:r>
        <w:rPr>
          <w:rFonts w:hint="eastAsia" w:ascii="Times New Roman"/>
        </w:rPr>
        <w:t>的规定。</w:t>
      </w:r>
    </w:p>
    <w:p>
      <w:pPr>
        <w:pStyle w:val="51"/>
        <w:wordWrap/>
        <w:spacing w:before="120" w:beforeLines="50" w:after="120" w:afterLines="50"/>
        <w:ind w:firstLine="0" w:firstLineChars="0"/>
        <w:jc w:val="right"/>
        <w:rPr>
          <w:rFonts w:hint="eastAsia" w:ascii="Times New Roman"/>
        </w:rPr>
      </w:pPr>
      <w:r>
        <w:rPr>
          <w:rFonts w:hint="eastAsia" w:ascii="黑体" w:hAnsi="黑体" w:eastAsia="黑体"/>
          <w:szCs w:val="21"/>
        </w:rPr>
        <w:t>表</w:t>
      </w:r>
      <w:r>
        <w:rPr>
          <w:rFonts w:ascii="黑体" w:hAnsi="黑体" w:eastAsia="黑体"/>
          <w:szCs w:val="21"/>
        </w:rPr>
        <w:t>5</w:t>
      </w:r>
      <w:r>
        <w:rPr>
          <w:rFonts w:hint="eastAsia" w:ascii="黑体" w:hAnsi="黑体" w:eastAsia="黑体"/>
          <w:szCs w:val="21"/>
          <w:lang w:val="en-US" w:eastAsia="zh-CN"/>
        </w:rPr>
        <w:t xml:space="preserve">  </w:t>
      </w:r>
      <w:r>
        <w:rPr>
          <w:rFonts w:hint="eastAsia" w:ascii="黑体" w:hAnsi="黑体" w:eastAsia="黑体"/>
          <w:szCs w:val="21"/>
        </w:rPr>
        <w:t>管材的壁厚及其允许偏差</w:t>
      </w:r>
      <w:r>
        <w:rPr>
          <w:rFonts w:hint="eastAsia" w:ascii="Times New Roman"/>
        </w:rPr>
        <w:t xml:space="preserve">                   单位为毫米</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6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exact"/>
        </w:trPr>
        <w:tc>
          <w:tcPr>
            <w:tcW w:w="2574" w:type="pct"/>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平均壁厚</w:t>
            </w:r>
          </w:p>
        </w:tc>
        <w:tc>
          <w:tcPr>
            <w:tcW w:w="2426" w:type="pct"/>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74" w:type="pct"/>
            <w:tcBorders>
              <w:top w:val="single" w:color="auto" w:sz="12" w:space="0"/>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0.90~1.50</w:t>
            </w:r>
          </w:p>
        </w:tc>
        <w:tc>
          <w:tcPr>
            <w:tcW w:w="2426" w:type="pct"/>
            <w:tcBorders>
              <w:top w:val="single" w:color="auto" w:sz="12" w:space="0"/>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公称壁厚的±10%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2"/>
            <w:tcBorders>
              <w:top w:val="single" w:color="auto" w:sz="12" w:space="0"/>
            </w:tcBorders>
            <w:shd w:val="clear" w:color="auto" w:fill="FFFFFF"/>
            <w:noWrap w:val="0"/>
            <w:vAlign w:val="center"/>
          </w:tcPr>
          <w:p>
            <w:pPr>
              <w:pStyle w:val="51"/>
              <w:widowControl w:val="0"/>
              <w:ind w:firstLine="360" w:firstLineChars="200"/>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注：当要求平均外径偏差全为正（+）或全为负（-）时，其允许偏差为平均外径允许偏差数值的2倍。</w:t>
            </w:r>
          </w:p>
        </w:tc>
      </w:tr>
    </w:tbl>
    <w:p>
      <w:pPr>
        <w:pStyle w:val="51"/>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eastAsia" w:ascii="黑体" w:hAnsi="黑体" w:eastAsia="黑体"/>
        </w:rPr>
      </w:pP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5.2.3</w:t>
      </w:r>
      <w:r>
        <w:rPr>
          <w:rFonts w:hint="eastAsia" w:hAnsi="黑体" w:cs="Times New Roman"/>
          <w:caps/>
          <w:color w:val="auto"/>
          <w:lang w:val="en-US" w:eastAsia="zh-CN"/>
        </w:rPr>
        <w:t xml:space="preserve">  </w:t>
      </w:r>
      <w:r>
        <w:rPr>
          <w:rFonts w:hint="eastAsia" w:hAnsi="黑体" w:cs="Times New Roman"/>
          <w:caps/>
          <w:color w:val="auto"/>
        </w:rPr>
        <w:t>长度及其允许偏差</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管材的长度允许偏差为+</w:t>
      </w:r>
      <w:r>
        <w:rPr>
          <w:rFonts w:ascii="Times New Roman"/>
        </w:rPr>
        <w:t>20</w:t>
      </w:r>
      <w:r>
        <w:rPr>
          <w:rFonts w:hint="eastAsia" w:ascii="Times New Roman"/>
        </w:rPr>
        <w:t xml:space="preserve"> m。</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5.2.4</w:t>
      </w:r>
      <w:r>
        <w:rPr>
          <w:rFonts w:hint="eastAsia" w:hAnsi="黑体" w:cs="Times New Roman"/>
          <w:caps/>
          <w:color w:val="auto"/>
          <w:lang w:val="en-US" w:eastAsia="zh-CN"/>
        </w:rPr>
        <w:t xml:space="preserve">  </w:t>
      </w:r>
      <w:r>
        <w:rPr>
          <w:rFonts w:hint="eastAsia" w:hAnsi="黑体" w:cs="Times New Roman"/>
          <w:caps/>
          <w:color w:val="auto"/>
        </w:rPr>
        <w:t>圆度</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管材的短轴尺寸不应小于公称外径的90%。</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5.3</w:t>
      </w:r>
      <w:r>
        <w:rPr>
          <w:rFonts w:hint="eastAsia" w:hAnsi="黑体" w:cs="Times New Roman"/>
          <w:caps/>
          <w:color w:val="auto"/>
          <w:lang w:val="en-US" w:eastAsia="zh-CN"/>
        </w:rPr>
        <w:t xml:space="preserve">  </w:t>
      </w:r>
      <w:r>
        <w:rPr>
          <w:rFonts w:hint="eastAsia" w:hAnsi="黑体" w:cs="Times New Roman"/>
          <w:caps/>
          <w:color w:val="auto"/>
        </w:rPr>
        <w:t>体积电阻率</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管材在23℃±5℃的</w:t>
      </w:r>
      <w:bookmarkStart w:id="8" w:name="_Hlk71890556"/>
      <w:r>
        <w:rPr>
          <w:rFonts w:hint="eastAsia" w:ascii="Times New Roman"/>
        </w:rPr>
        <w:t>体积电阻率</w:t>
      </w:r>
      <w:bookmarkEnd w:id="8"/>
      <w:r>
        <w:rPr>
          <w:rFonts w:hint="eastAsia" w:ascii="Times New Roman"/>
        </w:rPr>
        <w:t>应小于0.07000 Ω∙mm2/m。</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5.4</w:t>
      </w:r>
      <w:r>
        <w:rPr>
          <w:rFonts w:hint="eastAsia" w:hAnsi="黑体" w:cs="Times New Roman"/>
          <w:caps/>
          <w:color w:val="auto"/>
          <w:lang w:val="en-US" w:eastAsia="zh-CN"/>
        </w:rPr>
        <w:t xml:space="preserve">  </w:t>
      </w:r>
      <w:r>
        <w:rPr>
          <w:rFonts w:hint="eastAsia" w:hAnsi="黑体" w:cs="Times New Roman"/>
          <w:caps/>
          <w:color w:val="auto"/>
        </w:rPr>
        <w:t>力学性能</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管材的室温力学性能应符合表6 的规定。</w:t>
      </w:r>
    </w:p>
    <w:p>
      <w:pPr>
        <w:pStyle w:val="51"/>
        <w:spacing w:before="120" w:beforeLines="50" w:after="120" w:afterLines="50"/>
        <w:ind w:firstLine="0" w:firstLineChars="0"/>
        <w:jc w:val="center"/>
        <w:rPr>
          <w:rFonts w:hint="eastAsia" w:ascii="黑体" w:hAnsi="黑体" w:eastAsia="黑体"/>
          <w:szCs w:val="21"/>
        </w:rPr>
      </w:pPr>
      <w:r>
        <w:rPr>
          <w:rFonts w:hint="eastAsia" w:ascii="黑体" w:hAnsi="黑体" w:eastAsia="黑体"/>
          <w:szCs w:val="21"/>
        </w:rPr>
        <w:t>表</w:t>
      </w:r>
      <w:r>
        <w:rPr>
          <w:rFonts w:ascii="黑体" w:hAnsi="黑体" w:eastAsia="黑体"/>
          <w:szCs w:val="21"/>
        </w:rPr>
        <w:t>6</w:t>
      </w:r>
      <w:r>
        <w:rPr>
          <w:rFonts w:hint="eastAsia" w:ascii="黑体" w:hAnsi="黑体" w:eastAsia="黑体"/>
          <w:szCs w:val="21"/>
          <w:lang w:val="en-US" w:eastAsia="zh-CN"/>
        </w:rPr>
        <w:t xml:space="preserve">  </w:t>
      </w:r>
      <w:r>
        <w:rPr>
          <w:rFonts w:hint="eastAsia" w:ascii="黑体" w:hAnsi="黑体" w:eastAsia="黑体"/>
          <w:szCs w:val="21"/>
        </w:rPr>
        <w:t>管材的室温力学性能</w:t>
      </w: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902"/>
        <w:gridCol w:w="1912"/>
        <w:gridCol w:w="1903"/>
        <w:gridCol w:w="1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45" w:type="dxa"/>
            <w:vMerge w:val="restart"/>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牌号</w:t>
            </w:r>
          </w:p>
        </w:tc>
        <w:tc>
          <w:tcPr>
            <w:tcW w:w="1902" w:type="dxa"/>
            <w:vMerge w:val="restart"/>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状态</w:t>
            </w:r>
          </w:p>
        </w:tc>
        <w:tc>
          <w:tcPr>
            <w:tcW w:w="3815" w:type="dxa"/>
            <w:gridSpan w:val="2"/>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拉伸试验</w:t>
            </w:r>
          </w:p>
        </w:tc>
        <w:tc>
          <w:tcPr>
            <w:tcW w:w="1909" w:type="dxa"/>
            <w:vMerge w:val="restart"/>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vertAlign w:val="superscript"/>
              </w:rPr>
            </w:pPr>
            <w:r>
              <w:rPr>
                <w:rFonts w:hint="eastAsia" w:asciiTheme="minorEastAsia" w:hAnsiTheme="minorEastAsia" w:eastAsiaTheme="minorEastAsia" w:cstheme="minorEastAsia"/>
                <w:sz w:val="18"/>
                <w:szCs w:val="18"/>
              </w:rPr>
              <w:t>维氏硬度</w:t>
            </w:r>
          </w:p>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HV5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45" w:type="dxa"/>
            <w:vMerge w:val="continue"/>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p>
        </w:tc>
        <w:tc>
          <w:tcPr>
            <w:tcW w:w="1902" w:type="dxa"/>
            <w:vMerge w:val="continue"/>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p>
        </w:tc>
        <w:tc>
          <w:tcPr>
            <w:tcW w:w="1912" w:type="dxa"/>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vertAlign w:val="subscript"/>
              </w:rPr>
            </w:pPr>
            <w:r>
              <w:rPr>
                <w:rFonts w:hint="eastAsia" w:asciiTheme="minorEastAsia" w:hAnsiTheme="minorEastAsia" w:eastAsiaTheme="minorEastAsia" w:cstheme="minorEastAsia"/>
                <w:sz w:val="18"/>
                <w:szCs w:val="18"/>
              </w:rPr>
              <w:t>抗拉强度R</w:t>
            </w:r>
            <w:r>
              <w:rPr>
                <w:rFonts w:hint="eastAsia" w:asciiTheme="minorEastAsia" w:hAnsiTheme="minorEastAsia" w:eastAsiaTheme="minorEastAsia" w:cstheme="minorEastAsia"/>
                <w:sz w:val="18"/>
                <w:szCs w:val="18"/>
                <w:vertAlign w:val="subscript"/>
              </w:rPr>
              <w:t>m</w:t>
            </w:r>
          </w:p>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MPa </w:t>
            </w:r>
          </w:p>
        </w:tc>
        <w:tc>
          <w:tcPr>
            <w:tcW w:w="1903" w:type="dxa"/>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断后伸长率</w:t>
            </w:r>
            <w:r>
              <w:rPr>
                <w:rFonts w:hint="eastAsia" w:asciiTheme="minorEastAsia" w:hAnsiTheme="minorEastAsia" w:eastAsiaTheme="minorEastAsia" w:cstheme="minorEastAsia"/>
                <w:i/>
                <w:sz w:val="18"/>
                <w:szCs w:val="18"/>
              </w:rPr>
              <w:t>A</w:t>
            </w:r>
          </w:p>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1909" w:type="dxa"/>
            <w:vMerge w:val="continue"/>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45"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H68</w:t>
            </w:r>
          </w:p>
        </w:tc>
        <w:tc>
          <w:tcPr>
            <w:tcW w:w="1902"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O60</w:t>
            </w:r>
          </w:p>
        </w:tc>
        <w:tc>
          <w:tcPr>
            <w:tcW w:w="1912"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≥290</w:t>
            </w:r>
          </w:p>
        </w:tc>
        <w:tc>
          <w:tcPr>
            <w:tcW w:w="1903"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1909"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65~95</w:t>
            </w:r>
          </w:p>
        </w:tc>
      </w:tr>
    </w:tbl>
    <w:p>
      <w:pPr>
        <w:pStyle w:val="51"/>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eastAsia" w:ascii="黑体" w:hAnsi="黑体" w:eastAsia="黑体"/>
          <w:lang w:val="en-US" w:eastAsia="zh-CN"/>
        </w:rPr>
      </w:pPr>
      <w:r>
        <w:rPr>
          <w:rFonts w:hint="eastAsia" w:ascii="黑体" w:hAnsi="黑体" w:eastAsia="黑体"/>
          <w:lang w:val="en-US" w:eastAsia="zh-CN"/>
        </w:rPr>
        <w:t xml:space="preserve"> </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5.5</w:t>
      </w:r>
      <w:r>
        <w:rPr>
          <w:rFonts w:hint="eastAsia" w:hAnsi="黑体" w:cs="Times New Roman"/>
          <w:caps/>
          <w:color w:val="auto"/>
          <w:lang w:val="en-US" w:eastAsia="zh-CN"/>
        </w:rPr>
        <w:t xml:space="preserve">  </w:t>
      </w:r>
      <w:r>
        <w:rPr>
          <w:rFonts w:hint="eastAsia" w:hAnsi="黑体" w:cs="Times New Roman"/>
          <w:caps/>
          <w:color w:val="auto"/>
        </w:rPr>
        <w:t>工艺性能</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4" w:firstLineChars="202"/>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管材可进行扩口或压扁试验，要求如下：</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a）管材扩口试验时，顶心锥度为45°，扩口率为30%。</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b）管材进行压扁试验时，压扁后的内壁间距应等于壁厚。</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c）试验后的管材不应有肉眼可见的裂纹或裂口。</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5.6</w:t>
      </w:r>
      <w:r>
        <w:rPr>
          <w:rFonts w:hint="eastAsia" w:hAnsi="黑体" w:cs="Times New Roman"/>
          <w:caps/>
          <w:color w:val="auto"/>
          <w:lang w:val="en-US" w:eastAsia="zh-CN"/>
        </w:rPr>
        <w:t xml:space="preserve">  </w:t>
      </w:r>
      <w:r>
        <w:rPr>
          <w:rFonts w:hint="eastAsia" w:hAnsi="黑体" w:cs="Times New Roman"/>
          <w:caps/>
          <w:color w:val="auto"/>
        </w:rPr>
        <w:t>晶粒度</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4" w:firstLineChars="202"/>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需方要求并在订货单中注明时，软化退火（O60）状态的管材可进行晶粒度检验。</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5.7</w:t>
      </w:r>
      <w:r>
        <w:rPr>
          <w:rFonts w:hint="eastAsia" w:hAnsi="黑体" w:cs="Times New Roman"/>
          <w:caps/>
          <w:color w:val="auto"/>
          <w:lang w:val="en-US" w:eastAsia="zh-CN"/>
        </w:rPr>
        <w:t xml:space="preserve">  </w:t>
      </w:r>
      <w:r>
        <w:rPr>
          <w:rFonts w:hint="eastAsia" w:hAnsi="黑体" w:cs="Times New Roman"/>
          <w:caps/>
          <w:color w:val="auto"/>
        </w:rPr>
        <w:t>环保要求</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宋体" w:hAnsi="宋体" w:eastAsia="宋体" w:cs="宋体"/>
        </w:rPr>
      </w:pPr>
      <w:r>
        <w:rPr>
          <w:rFonts w:hint="eastAsia" w:ascii="宋体" w:hAnsi="宋体" w:eastAsia="宋体" w:cs="宋体"/>
        </w:rPr>
        <w:t>需方要求并在订货单中注明时，管材的环保性能应符合表</w:t>
      </w:r>
      <w:r>
        <w:rPr>
          <w:rFonts w:hint="eastAsia" w:ascii="宋体" w:hAnsi="宋体" w:eastAsia="宋体" w:cs="宋体"/>
          <w:lang w:val="en-US" w:eastAsia="zh-CN"/>
        </w:rPr>
        <w:t>7</w:t>
      </w:r>
      <w:r>
        <w:rPr>
          <w:rFonts w:hint="eastAsia" w:ascii="宋体" w:hAnsi="宋体" w:eastAsia="宋体" w:cs="宋体"/>
        </w:rPr>
        <w:t>的规定。</w:t>
      </w:r>
    </w:p>
    <w:p>
      <w:pPr>
        <w:pStyle w:val="51"/>
        <w:ind w:firstLine="420" w:firstLineChars="0"/>
        <w:rPr>
          <w:rFonts w:hint="eastAsia" w:ascii="Times New Roman"/>
        </w:rPr>
      </w:pPr>
    </w:p>
    <w:p>
      <w:pPr>
        <w:pStyle w:val="51"/>
        <w:spacing w:before="120" w:beforeLines="50" w:after="120" w:afterLines="50"/>
        <w:ind w:firstLine="0" w:firstLineChars="0"/>
        <w:jc w:val="center"/>
        <w:rPr>
          <w:rFonts w:hint="eastAsia" w:ascii="黑体" w:hAnsi="黑体" w:eastAsia="黑体"/>
          <w:szCs w:val="21"/>
        </w:rPr>
      </w:pPr>
      <w:r>
        <w:rPr>
          <w:rFonts w:hint="eastAsia" w:ascii="黑体" w:hAnsi="黑体" w:eastAsia="黑体"/>
          <w:szCs w:val="21"/>
        </w:rPr>
        <w:t>表</w:t>
      </w:r>
      <w:r>
        <w:rPr>
          <w:rFonts w:ascii="黑体" w:hAnsi="黑体" w:eastAsia="黑体"/>
          <w:szCs w:val="21"/>
        </w:rPr>
        <w:t>7</w:t>
      </w:r>
      <w:r>
        <w:rPr>
          <w:rFonts w:hint="eastAsia" w:ascii="黑体" w:hAnsi="黑体" w:eastAsia="黑体"/>
          <w:szCs w:val="21"/>
          <w:lang w:val="en-US" w:eastAsia="zh-CN"/>
        </w:rPr>
        <w:t xml:space="preserve">  </w:t>
      </w:r>
      <w:r>
        <w:rPr>
          <w:rFonts w:hint="eastAsia" w:ascii="黑体" w:hAnsi="黑体" w:eastAsia="黑体"/>
          <w:szCs w:val="21"/>
        </w:rPr>
        <w:t>管材的环保性能</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3255"/>
        <w:gridCol w:w="3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6" w:type="dxa"/>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3255" w:type="dxa"/>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有害物质种类</w:t>
            </w:r>
          </w:p>
        </w:tc>
        <w:tc>
          <w:tcPr>
            <w:tcW w:w="3320" w:type="dxa"/>
            <w:tcBorders>
              <w:bottom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有害物质含量</w:t>
            </w:r>
          </w:p>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6"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255"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镉（Cd）</w:t>
            </w:r>
          </w:p>
        </w:tc>
        <w:tc>
          <w:tcPr>
            <w:tcW w:w="3320" w:type="dxa"/>
            <w:tcBorders>
              <w:top w:val="single" w:color="auto" w:sz="12" w:space="0"/>
            </w:tcBorders>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6"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255"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汞（Hg）</w:t>
            </w:r>
          </w:p>
        </w:tc>
        <w:tc>
          <w:tcPr>
            <w:tcW w:w="3320"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6"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3255"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铅（Pb）</w:t>
            </w:r>
          </w:p>
        </w:tc>
        <w:tc>
          <w:tcPr>
            <w:tcW w:w="3320"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96"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255"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六价铬（Cr</w:t>
            </w:r>
            <w:r>
              <w:rPr>
                <w:rFonts w:hint="eastAsia" w:asciiTheme="minorEastAsia" w:hAnsiTheme="minorEastAsia" w:eastAsiaTheme="minorEastAsia" w:cstheme="minorEastAsia"/>
                <w:sz w:val="18"/>
                <w:szCs w:val="18"/>
                <w:vertAlign w:val="superscript"/>
              </w:rPr>
              <w:t>6+</w:t>
            </w:r>
            <w:r>
              <w:rPr>
                <w:rFonts w:hint="eastAsia" w:asciiTheme="minorEastAsia" w:hAnsiTheme="minorEastAsia" w:eastAsiaTheme="minorEastAsia" w:cstheme="minorEastAsia"/>
                <w:sz w:val="18"/>
                <w:szCs w:val="18"/>
              </w:rPr>
              <w:t>）</w:t>
            </w:r>
          </w:p>
        </w:tc>
        <w:tc>
          <w:tcPr>
            <w:tcW w:w="3320" w:type="dxa"/>
            <w:noWrap w:val="0"/>
            <w:vAlign w:val="center"/>
          </w:tcPr>
          <w:p>
            <w:pPr>
              <w:pStyle w:val="51"/>
              <w:widowControl w:val="0"/>
              <w:ind w:firstLine="0" w:firstLineChars="0"/>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≤1000</w:t>
            </w:r>
          </w:p>
        </w:tc>
      </w:tr>
    </w:tbl>
    <w:p>
      <w:pPr>
        <w:pStyle w:val="51"/>
        <w:keepNext w:val="0"/>
        <w:keepLines w:val="0"/>
        <w:pageBreakBefore w:val="0"/>
        <w:widowControl/>
        <w:kinsoku/>
        <w:wordWrap/>
        <w:overflowPunct/>
        <w:topLinePunct w:val="0"/>
        <w:autoSpaceDE w:val="0"/>
        <w:autoSpaceDN w:val="0"/>
        <w:bidi w:val="0"/>
        <w:adjustRightInd/>
        <w:snapToGrid/>
        <w:ind w:firstLine="0" w:firstLineChars="0"/>
        <w:jc w:val="left"/>
        <w:textAlignment w:val="auto"/>
        <w:rPr>
          <w:rFonts w:hint="eastAsia" w:ascii="黑体" w:hAnsi="黑体" w:eastAsia="黑体"/>
        </w:rPr>
      </w:pP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5.8</w:t>
      </w:r>
      <w:r>
        <w:rPr>
          <w:rFonts w:hint="eastAsia" w:hAnsi="黑体" w:cs="Times New Roman"/>
          <w:caps/>
          <w:color w:val="auto"/>
          <w:lang w:val="en-US" w:eastAsia="zh-CN"/>
        </w:rPr>
        <w:t xml:space="preserve">  </w:t>
      </w:r>
      <w:r>
        <w:rPr>
          <w:rFonts w:hint="eastAsia" w:hAnsi="黑体" w:cs="Times New Roman"/>
          <w:caps/>
          <w:color w:val="auto"/>
        </w:rPr>
        <w:t>残余应力</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宋体" w:hAnsi="宋体" w:eastAsia="宋体" w:cs="宋体"/>
        </w:rPr>
      </w:pPr>
      <w:r>
        <w:rPr>
          <w:rFonts w:hint="eastAsia" w:ascii="宋体" w:hAnsi="宋体" w:eastAsia="宋体" w:cs="宋体"/>
        </w:rPr>
        <w:t>管材可进行残余应力试验，试验后的管材不应有肉眼可见的裂纹。</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5.9</w:t>
      </w:r>
      <w:r>
        <w:rPr>
          <w:rFonts w:hint="eastAsia" w:hAnsi="黑体" w:cs="Times New Roman"/>
          <w:caps/>
          <w:color w:val="auto"/>
          <w:lang w:val="en-US" w:eastAsia="zh-CN"/>
        </w:rPr>
        <w:t xml:space="preserve">  </w:t>
      </w:r>
      <w:r>
        <w:rPr>
          <w:rFonts w:hint="eastAsia" w:hAnsi="黑体" w:cs="Times New Roman"/>
          <w:caps/>
          <w:color w:val="auto"/>
        </w:rPr>
        <w:t>表面质量</w:t>
      </w:r>
    </w:p>
    <w:p>
      <w:pPr>
        <w:pStyle w:val="51"/>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textAlignment w:val="auto"/>
        <w:rPr>
          <w:rFonts w:hint="eastAsia" w:ascii="宋体" w:hAnsi="宋体" w:eastAsia="宋体" w:cs="宋体"/>
        </w:rPr>
      </w:pPr>
      <w:r>
        <w:rPr>
          <w:rFonts w:hint="eastAsia" w:ascii="宋体" w:hAnsi="宋体" w:eastAsia="宋体" w:cs="宋体"/>
        </w:rPr>
        <w:t>5.9.1</w:t>
      </w:r>
      <w:r>
        <w:rPr>
          <w:rFonts w:hint="eastAsia" w:ascii="宋体" w:hAnsi="宋体" w:eastAsia="宋体" w:cs="宋体"/>
          <w:lang w:val="en-US" w:eastAsia="zh-CN"/>
        </w:rPr>
        <w:t xml:space="preserve">  </w:t>
      </w:r>
      <w:r>
        <w:rPr>
          <w:rFonts w:hint="eastAsia" w:ascii="宋体" w:hAnsi="宋体" w:eastAsia="宋体" w:cs="宋体"/>
        </w:rPr>
        <w:t>管材的内外表面应光滑，清洁，不应有分层、针孔、裂纹、起皮、气泡、粗拉道和夹杂等影响使用的缺陷。</w:t>
      </w:r>
    </w:p>
    <w:p>
      <w:pPr>
        <w:pStyle w:val="51"/>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textAlignment w:val="auto"/>
        <w:rPr>
          <w:rFonts w:hint="eastAsia" w:ascii="宋体" w:hAnsi="宋体" w:eastAsia="宋体" w:cs="宋体"/>
        </w:rPr>
      </w:pPr>
      <w:r>
        <w:rPr>
          <w:rFonts w:hint="eastAsia" w:ascii="宋体" w:hAnsi="宋体" w:eastAsia="宋体" w:cs="宋体"/>
        </w:rPr>
        <w:t>5.9.2</w:t>
      </w:r>
      <w:r>
        <w:rPr>
          <w:rFonts w:hint="eastAsia" w:ascii="宋体" w:hAnsi="宋体" w:eastAsia="宋体" w:cs="宋体"/>
          <w:lang w:val="en-US" w:eastAsia="zh-CN"/>
        </w:rPr>
        <w:t xml:space="preserve">  </w:t>
      </w:r>
      <w:r>
        <w:rPr>
          <w:rFonts w:hint="eastAsia" w:ascii="宋体" w:hAnsi="宋体" w:eastAsia="宋体" w:cs="宋体"/>
        </w:rPr>
        <w:t>管材允许有轻微的、局部的拉伸细划纹、凹坑和斑点等缺陷。</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line="300" w:lineRule="auto"/>
        <w:textAlignment w:val="baseline"/>
        <w:rPr>
          <w:rFonts w:hint="eastAsia" w:hAnsi="黑体" w:cs="Times New Roman"/>
          <w:caps/>
          <w:color w:val="auto"/>
        </w:rPr>
      </w:pPr>
      <w:r>
        <w:rPr>
          <w:rFonts w:hint="eastAsia" w:hAnsi="黑体" w:cs="Times New Roman"/>
          <w:caps/>
          <w:color w:val="auto"/>
        </w:rPr>
        <w:t>6</w:t>
      </w:r>
      <w:r>
        <w:rPr>
          <w:rFonts w:hint="eastAsia" w:hAnsi="黑体" w:cs="Times New Roman"/>
          <w:caps/>
          <w:color w:val="auto"/>
          <w:lang w:val="en-US" w:eastAsia="zh-CN"/>
        </w:rPr>
        <w:t xml:space="preserve">  </w:t>
      </w:r>
      <w:r>
        <w:rPr>
          <w:rFonts w:hAnsi="黑体" w:cs="Times New Roman"/>
          <w:caps/>
          <w:color w:val="auto"/>
        </w:rPr>
        <w:t>试验</w:t>
      </w:r>
      <w:r>
        <w:rPr>
          <w:rFonts w:hint="eastAsia" w:hAnsi="黑体" w:cs="Times New Roman"/>
          <w:caps/>
          <w:color w:val="auto"/>
        </w:rPr>
        <w:t>方法</w:t>
      </w:r>
    </w:p>
    <w:p>
      <w:pPr>
        <w:pStyle w:val="21"/>
        <w:keepNext w:val="0"/>
        <w:keepLines w:val="0"/>
        <w:pageBreakBefore w:val="0"/>
        <w:widowControl w:val="0"/>
        <w:kinsoku/>
        <w:wordWrap/>
        <w:overflowPunct/>
        <w:topLinePunct w:val="0"/>
        <w:autoSpaceDE/>
        <w:autoSpaceDN/>
        <w:bidi w:val="0"/>
        <w:adjustRightInd w:val="0"/>
        <w:snapToGrid/>
        <w:spacing w:before="0" w:beforeLines="50" w:after="0" w:afterLines="50" w:line="300" w:lineRule="auto"/>
        <w:textAlignment w:val="baseline"/>
        <w:rPr>
          <w:rFonts w:hint="eastAsia" w:hAnsi="黑体" w:cs="Times New Roman"/>
          <w:caps/>
          <w:color w:val="auto"/>
        </w:rPr>
      </w:pPr>
      <w:r>
        <w:rPr>
          <w:rFonts w:hint="eastAsia" w:hAnsi="黑体" w:cs="Times New Roman"/>
          <w:caps/>
          <w:color w:val="auto"/>
        </w:rPr>
        <w:t>6.</w:t>
      </w:r>
      <w:r>
        <w:rPr>
          <w:rFonts w:hint="eastAsia" w:hAnsi="黑体" w:cs="Times New Roman"/>
          <w:caps/>
          <w:color w:val="auto"/>
          <w:lang w:val="en-US" w:eastAsia="zh-CN"/>
        </w:rPr>
        <w:t xml:space="preserve">1  </w:t>
      </w:r>
      <w:r>
        <w:rPr>
          <w:rFonts w:hint="eastAsia" w:hAnsi="黑体" w:cs="Times New Roman"/>
          <w:caps/>
          <w:color w:val="auto"/>
        </w:rPr>
        <w:t>化学成分</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管材的化学成分的分析按照GB/T 5121（所有部分）或YS/T 482</w:t>
      </w:r>
      <w:r>
        <w:rPr>
          <w:rFonts w:hint="eastAsia"/>
          <w:sz w:val="21"/>
          <w:szCs w:val="21"/>
        </w:rPr>
        <w:t>或YS/T 483</w:t>
      </w:r>
      <w:r>
        <w:rPr>
          <w:sz w:val="21"/>
          <w:szCs w:val="21"/>
        </w:rPr>
        <w:t>的规定进行，仲裁时按GB/T 5121（所有部分）的规定进行。</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300" w:lineRule="auto"/>
        <w:textAlignment w:val="baseline"/>
        <w:rPr>
          <w:rFonts w:ascii="黑体" w:hAnsi="黑体" w:eastAsia="黑体"/>
          <w:sz w:val="21"/>
          <w:szCs w:val="21"/>
        </w:rPr>
      </w:pPr>
      <w:r>
        <w:rPr>
          <w:rFonts w:hint="eastAsia" w:ascii="黑体" w:hAnsi="黑体" w:eastAsia="黑体"/>
          <w:sz w:val="21"/>
          <w:szCs w:val="21"/>
        </w:rPr>
        <w:t>6</w:t>
      </w:r>
      <w:r>
        <w:rPr>
          <w:rFonts w:ascii="黑体" w:hAnsi="黑体" w:eastAsia="黑体"/>
          <w:sz w:val="21"/>
          <w:szCs w:val="21"/>
        </w:rPr>
        <w:t>.</w:t>
      </w:r>
      <w:r>
        <w:rPr>
          <w:rFonts w:hint="eastAsia" w:ascii="黑体" w:hAnsi="黑体" w:eastAsia="黑体"/>
          <w:sz w:val="21"/>
          <w:szCs w:val="21"/>
          <w:lang w:val="en-US" w:eastAsia="zh-CN"/>
        </w:rPr>
        <w:t xml:space="preserve">2  </w:t>
      </w:r>
      <w:r>
        <w:rPr>
          <w:rFonts w:ascii="黑体" w:hAnsi="黑体" w:eastAsia="黑体"/>
          <w:sz w:val="21"/>
          <w:szCs w:val="21"/>
        </w:rPr>
        <w:t>尺寸</w:t>
      </w:r>
      <w:r>
        <w:rPr>
          <w:rFonts w:hint="eastAsia" w:ascii="黑体" w:hAnsi="黑体" w:eastAsia="黑体"/>
          <w:sz w:val="21"/>
          <w:szCs w:val="21"/>
        </w:rPr>
        <w:t>及其允许偏差</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管材的尺寸及其允许偏差测量方法应按照GB/T 26303.1的规定进行</w:t>
      </w:r>
      <w:r>
        <w:rPr>
          <w:rFonts w:hint="eastAsia"/>
          <w:sz w:val="21"/>
          <w:szCs w:val="21"/>
        </w:rPr>
        <w:t>，管材的长度检测供方可在生产过程中由设备进行控制</w:t>
      </w:r>
      <w:r>
        <w:rPr>
          <w:sz w:val="21"/>
          <w:szCs w:val="21"/>
        </w:rPr>
        <w:t>。</w:t>
      </w:r>
    </w:p>
    <w:p>
      <w:pPr>
        <w:pStyle w:val="51"/>
        <w:keepNext w:val="0"/>
        <w:keepLines w:val="0"/>
        <w:pageBreakBefore w:val="0"/>
        <w:kinsoku/>
        <w:wordWrap/>
        <w:overflowPunct/>
        <w:topLinePunct w:val="0"/>
        <w:bidi w:val="0"/>
        <w:snapToGrid/>
        <w:spacing w:before="120" w:beforeLines="50" w:after="120" w:afterLines="50" w:line="300" w:lineRule="auto"/>
        <w:ind w:firstLine="0" w:firstLineChars="0"/>
        <w:rPr>
          <w:rFonts w:ascii="黑体" w:hAnsi="黑体" w:eastAsia="黑体"/>
        </w:rPr>
      </w:pPr>
      <w:r>
        <w:rPr>
          <w:rFonts w:hint="eastAsia" w:ascii="黑体" w:hAnsi="黑体" w:eastAsia="黑体"/>
          <w:szCs w:val="21"/>
        </w:rPr>
        <w:t>6</w:t>
      </w:r>
      <w:r>
        <w:rPr>
          <w:rFonts w:ascii="黑体" w:hAnsi="黑体" w:eastAsia="黑体"/>
          <w:szCs w:val="21"/>
        </w:rPr>
        <w:t>.3</w:t>
      </w:r>
      <w:r>
        <w:rPr>
          <w:rFonts w:hint="eastAsia" w:ascii="黑体" w:hAnsi="黑体" w:eastAsia="黑体"/>
          <w:szCs w:val="21"/>
          <w:lang w:val="en-US" w:eastAsia="zh-CN"/>
        </w:rPr>
        <w:t xml:space="preserve">  </w:t>
      </w:r>
      <w:r>
        <w:rPr>
          <w:rFonts w:hint="eastAsia" w:ascii="黑体" w:hAnsi="黑体" w:eastAsia="黑体"/>
        </w:rPr>
        <w:t>体积</w:t>
      </w:r>
      <w:r>
        <w:rPr>
          <w:rFonts w:ascii="黑体" w:hAnsi="黑体" w:eastAsia="黑体"/>
        </w:rPr>
        <w:t>电阻率</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hAnsi="宋体"/>
          <w:szCs w:val="21"/>
        </w:rPr>
      </w:pPr>
      <w:r>
        <w:rPr>
          <w:rFonts w:hint="eastAsia" w:ascii="Times New Roman"/>
        </w:rPr>
        <w:t>管材</w:t>
      </w:r>
      <w:r>
        <w:rPr>
          <w:rFonts w:ascii="Times New Roman"/>
        </w:rPr>
        <w:t>的</w:t>
      </w:r>
      <w:r>
        <w:rPr>
          <w:rFonts w:hint="eastAsia" w:ascii="Times New Roman"/>
        </w:rPr>
        <w:t>体积</w:t>
      </w:r>
      <w:r>
        <w:rPr>
          <w:rFonts w:ascii="Times New Roman"/>
        </w:rPr>
        <w:t>电阻率的测量方法按 GB/T 3048.2</w:t>
      </w:r>
      <w:r>
        <w:rPr>
          <w:rFonts w:hint="eastAsia" w:ascii="Times New Roman"/>
        </w:rPr>
        <w:t>规定的方法</w:t>
      </w:r>
      <w:r>
        <w:rPr>
          <w:rFonts w:ascii="Times New Roman"/>
        </w:rPr>
        <w:t>进行。</w:t>
      </w:r>
    </w:p>
    <w:p>
      <w:pPr>
        <w:pStyle w:val="51"/>
        <w:keepNext w:val="0"/>
        <w:keepLines w:val="0"/>
        <w:pageBreakBefore w:val="0"/>
        <w:kinsoku/>
        <w:wordWrap/>
        <w:overflowPunct/>
        <w:topLinePunct w:val="0"/>
        <w:bidi w:val="0"/>
        <w:snapToGrid/>
        <w:spacing w:before="120" w:beforeLines="50" w:after="120" w:afterLines="50" w:line="300" w:lineRule="auto"/>
        <w:ind w:firstLine="0" w:firstLineChars="0"/>
        <w:rPr>
          <w:rFonts w:ascii="黑体" w:hAnsi="黑体" w:eastAsia="黑体"/>
        </w:rPr>
      </w:pPr>
      <w:r>
        <w:rPr>
          <w:rFonts w:hint="eastAsia" w:ascii="黑体" w:hAnsi="黑体" w:eastAsia="黑体"/>
        </w:rPr>
        <w:t>6.</w:t>
      </w:r>
      <w:r>
        <w:rPr>
          <w:rFonts w:ascii="黑体" w:hAnsi="黑体" w:eastAsia="黑体"/>
        </w:rPr>
        <w:t>4</w:t>
      </w:r>
      <w:r>
        <w:rPr>
          <w:rFonts w:hint="eastAsia" w:ascii="黑体" w:hAnsi="黑体" w:eastAsia="黑体"/>
          <w:lang w:val="en-US" w:eastAsia="zh-CN"/>
        </w:rPr>
        <w:t xml:space="preserve">  </w:t>
      </w:r>
      <w:r>
        <w:rPr>
          <w:rFonts w:hint="eastAsia" w:ascii="黑体" w:hAnsi="黑体" w:eastAsia="黑体"/>
        </w:rPr>
        <w:t>力学性能</w:t>
      </w:r>
    </w:p>
    <w:p>
      <w:pPr>
        <w:keepNext w:val="0"/>
        <w:keepLines w:val="0"/>
        <w:pageBreakBefore w:val="0"/>
        <w:kinsoku/>
        <w:wordWrap/>
        <w:overflowPunct/>
        <w:topLinePunct w:val="0"/>
        <w:autoSpaceDE/>
        <w:autoSpaceDN/>
        <w:bidi w:val="0"/>
        <w:snapToGrid/>
        <w:spacing w:line="300" w:lineRule="auto"/>
        <w:jc w:val="both"/>
        <w:rPr>
          <w:sz w:val="21"/>
          <w:szCs w:val="21"/>
        </w:rPr>
      </w:pPr>
      <w:r>
        <w:rPr>
          <w:rFonts w:hint="eastAsia" w:ascii="黑体" w:hAnsi="黑体" w:eastAsia="黑体"/>
          <w:sz w:val="21"/>
        </w:rPr>
        <w:t>6</w:t>
      </w:r>
      <w:r>
        <w:rPr>
          <w:rFonts w:ascii="黑体" w:hAnsi="黑体" w:eastAsia="黑体"/>
          <w:sz w:val="21"/>
        </w:rPr>
        <w:t>.4.1</w:t>
      </w:r>
      <w:r>
        <w:rPr>
          <w:rFonts w:hint="eastAsia" w:ascii="黑体" w:hAnsi="黑体" w:eastAsia="黑体"/>
          <w:sz w:val="21"/>
          <w:lang w:val="en-US" w:eastAsia="zh-CN"/>
        </w:rPr>
        <w:t xml:space="preserve">  </w:t>
      </w:r>
      <w:r>
        <w:rPr>
          <w:sz w:val="21"/>
          <w:szCs w:val="21"/>
        </w:rPr>
        <w:t>管材的拉伸试验按GB/T 34505</w:t>
      </w:r>
      <w:r>
        <w:rPr>
          <w:rFonts w:hint="eastAsia"/>
          <w:sz w:val="21"/>
          <w:szCs w:val="21"/>
        </w:rPr>
        <w:t>-2017</w:t>
      </w:r>
      <w:r>
        <w:rPr>
          <w:sz w:val="21"/>
          <w:szCs w:val="21"/>
        </w:rPr>
        <w:t>的规定进行，管材外径</w:t>
      </w:r>
      <w:r>
        <w:rPr>
          <w:rFonts w:hint="eastAsia"/>
          <w:sz w:val="21"/>
          <w:szCs w:val="21"/>
        </w:rPr>
        <w:t>≤30</w:t>
      </w:r>
      <w:r>
        <w:rPr>
          <w:sz w:val="21"/>
          <w:szCs w:val="21"/>
        </w:rPr>
        <w:t>mm的拉伸试样按照GB/T 34505中全截面试样规定进行</w:t>
      </w:r>
      <w:r>
        <w:rPr>
          <w:rFonts w:hint="eastAsia"/>
          <w:sz w:val="21"/>
          <w:szCs w:val="21"/>
        </w:rPr>
        <w:t>；</w:t>
      </w:r>
      <w:r>
        <w:rPr>
          <w:sz w:val="21"/>
          <w:szCs w:val="21"/>
        </w:rPr>
        <w:t>外径大于</w:t>
      </w:r>
      <w:r>
        <w:rPr>
          <w:rFonts w:hint="eastAsia"/>
          <w:sz w:val="21"/>
          <w:szCs w:val="21"/>
        </w:rPr>
        <w:t>30</w:t>
      </w:r>
      <w:r>
        <w:rPr>
          <w:sz w:val="21"/>
          <w:szCs w:val="21"/>
        </w:rPr>
        <w:t>mm的按GB/T 34505</w:t>
      </w:r>
      <w:r>
        <w:rPr>
          <w:rFonts w:hint="eastAsia"/>
          <w:sz w:val="21"/>
          <w:szCs w:val="21"/>
        </w:rPr>
        <w:t>-2017</w:t>
      </w:r>
      <w:r>
        <w:rPr>
          <w:sz w:val="21"/>
          <w:szCs w:val="21"/>
        </w:rPr>
        <w:t>规定</w:t>
      </w:r>
      <w:r>
        <w:rPr>
          <w:rFonts w:hint="eastAsia"/>
          <w:sz w:val="21"/>
          <w:szCs w:val="21"/>
        </w:rPr>
        <w:t>中S1</w:t>
      </w:r>
      <w:r>
        <w:rPr>
          <w:sz w:val="21"/>
          <w:szCs w:val="21"/>
        </w:rPr>
        <w:t>试样进行。</w:t>
      </w:r>
    </w:p>
    <w:p>
      <w:pPr>
        <w:pStyle w:val="58"/>
        <w:keepNext w:val="0"/>
        <w:keepLines w:val="0"/>
        <w:pageBreakBefore w:val="0"/>
        <w:numPr>
          <w:ilvl w:val="0"/>
          <w:numId w:val="0"/>
        </w:numPr>
        <w:kinsoku/>
        <w:wordWrap/>
        <w:overflowPunct/>
        <w:topLinePunct w:val="0"/>
        <w:autoSpaceDE/>
        <w:autoSpaceDN/>
        <w:bidi w:val="0"/>
        <w:snapToGrid/>
        <w:spacing w:line="300" w:lineRule="auto"/>
        <w:rPr>
          <w:rFonts w:hint="eastAsia" w:eastAsia="宋体"/>
          <w:szCs w:val="21"/>
        </w:rPr>
      </w:pPr>
      <w:r>
        <w:rPr>
          <w:rFonts w:ascii="黑体" w:hAnsi="黑体"/>
        </w:rPr>
        <w:t>6.4.2</w:t>
      </w:r>
      <w:r>
        <w:rPr>
          <w:rFonts w:hint="eastAsia" w:ascii="黑体" w:hAnsi="黑体"/>
          <w:lang w:val="en-US" w:eastAsia="zh-CN"/>
        </w:rPr>
        <w:t xml:space="preserve">  </w:t>
      </w:r>
      <w:r>
        <w:rPr>
          <w:rFonts w:hint="eastAsia" w:eastAsia="宋体"/>
          <w:szCs w:val="21"/>
        </w:rPr>
        <w:t>管材</w:t>
      </w:r>
      <w:r>
        <w:rPr>
          <w:rFonts w:eastAsia="宋体"/>
          <w:szCs w:val="21"/>
        </w:rPr>
        <w:t>的硬度试验</w:t>
      </w:r>
      <w:r>
        <w:rPr>
          <w:rFonts w:hint="eastAsia" w:eastAsia="宋体"/>
          <w:szCs w:val="21"/>
        </w:rPr>
        <w:t>方法</w:t>
      </w:r>
      <w:r>
        <w:rPr>
          <w:rFonts w:eastAsia="宋体"/>
          <w:szCs w:val="21"/>
        </w:rPr>
        <w:t>按GB/T 4340</w:t>
      </w:r>
      <w:r>
        <w:rPr>
          <w:rFonts w:hint="eastAsia" w:eastAsia="宋体"/>
          <w:szCs w:val="21"/>
        </w:rPr>
        <w:t>.1规定的进</w:t>
      </w:r>
      <w:r>
        <w:rPr>
          <w:rFonts w:eastAsia="宋体"/>
          <w:szCs w:val="21"/>
        </w:rPr>
        <w:t>行。</w:t>
      </w:r>
    </w:p>
    <w:p>
      <w:pPr>
        <w:keepNext w:val="0"/>
        <w:keepLines w:val="0"/>
        <w:pageBreakBefore w:val="0"/>
        <w:kinsoku/>
        <w:wordWrap/>
        <w:overflowPunct/>
        <w:topLinePunct w:val="0"/>
        <w:bidi w:val="0"/>
        <w:snapToGrid/>
        <w:spacing w:before="120" w:beforeLines="50" w:after="120" w:afterLines="50" w:line="300" w:lineRule="auto"/>
        <w:rPr>
          <w:rFonts w:ascii="黑体" w:hAnsi="黑体" w:eastAsia="黑体"/>
          <w:sz w:val="21"/>
          <w:szCs w:val="21"/>
        </w:rPr>
      </w:pPr>
      <w:r>
        <w:rPr>
          <w:rFonts w:hint="eastAsia" w:ascii="黑体" w:hAnsi="黑体" w:eastAsia="黑体"/>
          <w:sz w:val="21"/>
          <w:szCs w:val="21"/>
        </w:rPr>
        <w:t>6</w:t>
      </w:r>
      <w:r>
        <w:rPr>
          <w:rFonts w:ascii="黑体" w:hAnsi="黑体" w:eastAsia="黑体"/>
          <w:sz w:val="21"/>
          <w:szCs w:val="21"/>
        </w:rPr>
        <w:t>.</w:t>
      </w:r>
      <w:r>
        <w:rPr>
          <w:rFonts w:hint="eastAsia" w:ascii="黑体" w:hAnsi="黑体" w:eastAsia="黑体"/>
          <w:sz w:val="21"/>
          <w:szCs w:val="21"/>
          <w:lang w:val="en-US" w:eastAsia="zh-CN"/>
        </w:rPr>
        <w:t xml:space="preserve">5  </w:t>
      </w:r>
      <w:r>
        <w:rPr>
          <w:rFonts w:hint="eastAsia" w:ascii="黑体" w:hAnsi="黑体" w:eastAsia="黑体"/>
          <w:sz w:val="21"/>
          <w:szCs w:val="21"/>
        </w:rPr>
        <w:t>工艺性能</w:t>
      </w:r>
    </w:p>
    <w:p>
      <w:pPr>
        <w:pStyle w:val="5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ascii="宋体" w:hAnsi="宋体" w:eastAsia="宋体"/>
        </w:rPr>
      </w:pPr>
      <w:r>
        <w:rPr>
          <w:rFonts w:hint="eastAsia" w:ascii="黑体" w:hAnsi="黑体"/>
        </w:rPr>
        <w:t>6.</w:t>
      </w:r>
      <w:r>
        <w:rPr>
          <w:rFonts w:ascii="黑体" w:hAnsi="黑体"/>
        </w:rPr>
        <w:t>5</w:t>
      </w:r>
      <w:r>
        <w:rPr>
          <w:rFonts w:hint="eastAsia" w:ascii="黑体" w:hAnsi="黑体"/>
        </w:rPr>
        <w:t>.1</w:t>
      </w:r>
      <w:r>
        <w:rPr>
          <w:rFonts w:hint="eastAsia" w:ascii="黑体" w:hAnsi="黑体"/>
          <w:lang w:val="en-US" w:eastAsia="zh-CN"/>
        </w:rPr>
        <w:t xml:space="preserve">  </w:t>
      </w:r>
      <w:r>
        <w:rPr>
          <w:rFonts w:eastAsia="宋体"/>
        </w:rPr>
        <w:t>管材的扩口试验应按GB/T 242</w:t>
      </w:r>
      <w:r>
        <w:rPr>
          <w:rFonts w:eastAsia="宋体"/>
          <w:kern w:val="2"/>
          <w:szCs w:val="21"/>
        </w:rPr>
        <w:t>的规定</w:t>
      </w:r>
      <w:r>
        <w:rPr>
          <w:rFonts w:eastAsia="宋体"/>
        </w:rPr>
        <w:t>进行。</w:t>
      </w:r>
    </w:p>
    <w:p>
      <w:pPr>
        <w:pStyle w:val="58"/>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szCs w:val="21"/>
        </w:rPr>
      </w:pPr>
      <w:r>
        <w:rPr>
          <w:rFonts w:hint="eastAsia" w:ascii="黑体" w:hAnsi="黑体"/>
        </w:rPr>
        <w:t>6.5.</w:t>
      </w:r>
      <w:r>
        <w:rPr>
          <w:rFonts w:ascii="黑体" w:hAnsi="黑体"/>
        </w:rPr>
        <w:t>2</w:t>
      </w:r>
      <w:r>
        <w:rPr>
          <w:rFonts w:hint="eastAsia" w:ascii="黑体" w:hAnsi="黑体"/>
          <w:lang w:val="en-US" w:eastAsia="zh-CN"/>
        </w:rPr>
        <w:t xml:space="preserve">  </w:t>
      </w:r>
      <w:r>
        <w:rPr>
          <w:rFonts w:eastAsia="宋体"/>
        </w:rPr>
        <w:t>管材的压扁试验应按GB/T 246</w:t>
      </w:r>
      <w:r>
        <w:rPr>
          <w:rFonts w:hint="eastAsia" w:eastAsia="宋体"/>
        </w:rPr>
        <w:t>的规定</w:t>
      </w:r>
      <w:r>
        <w:rPr>
          <w:rFonts w:eastAsia="宋体"/>
        </w:rPr>
        <w:t>进行。</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240" w:lineRule="auto"/>
        <w:textAlignment w:val="baseline"/>
        <w:rPr>
          <w:rFonts w:ascii="黑体" w:hAnsi="黑体" w:eastAsia="黑体"/>
          <w:sz w:val="21"/>
          <w:szCs w:val="21"/>
        </w:rPr>
      </w:pPr>
      <w:r>
        <w:rPr>
          <w:rFonts w:hint="eastAsia" w:ascii="黑体" w:hAnsi="黑体" w:eastAsia="黑体"/>
          <w:sz w:val="21"/>
          <w:szCs w:val="21"/>
        </w:rPr>
        <w:t>6</w:t>
      </w:r>
      <w:r>
        <w:rPr>
          <w:rFonts w:ascii="黑体" w:hAnsi="黑体" w:eastAsia="黑体"/>
          <w:sz w:val="21"/>
          <w:szCs w:val="21"/>
        </w:rPr>
        <w:t>.</w:t>
      </w:r>
      <w:r>
        <w:rPr>
          <w:rFonts w:hint="eastAsia" w:ascii="黑体" w:hAnsi="黑体" w:eastAsia="黑体"/>
          <w:sz w:val="21"/>
          <w:szCs w:val="21"/>
          <w:lang w:val="en-US" w:eastAsia="zh-CN"/>
        </w:rPr>
        <w:t xml:space="preserve">6  </w:t>
      </w:r>
      <w:r>
        <w:rPr>
          <w:rFonts w:ascii="黑体" w:hAnsi="黑体" w:eastAsia="黑体"/>
          <w:sz w:val="21"/>
          <w:szCs w:val="21"/>
        </w:rPr>
        <w:t>晶粒度</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sz w:val="21"/>
          <w:szCs w:val="21"/>
        </w:rPr>
      </w:pPr>
      <w:r>
        <w:rPr>
          <w:sz w:val="21"/>
          <w:szCs w:val="21"/>
        </w:rPr>
        <w:t>管材的晶粒度检验按照YS/T 347规定的进行。</w:t>
      </w:r>
    </w:p>
    <w:p>
      <w:pPr>
        <w:pStyle w:val="51"/>
        <w:keepNext w:val="0"/>
        <w:keepLines w:val="0"/>
        <w:pageBreakBefore w:val="0"/>
        <w:kinsoku/>
        <w:wordWrap/>
        <w:overflowPunct/>
        <w:topLinePunct w:val="0"/>
        <w:bidi w:val="0"/>
        <w:snapToGrid/>
        <w:spacing w:before="120" w:beforeLines="50" w:after="120" w:afterLines="50" w:line="300" w:lineRule="auto"/>
        <w:ind w:firstLine="0" w:firstLineChars="0"/>
        <w:rPr>
          <w:rFonts w:hint="eastAsia" w:ascii="黑体" w:hAnsi="黑体" w:eastAsia="黑体"/>
        </w:rPr>
      </w:pPr>
      <w:r>
        <w:rPr>
          <w:rFonts w:hint="eastAsia" w:ascii="黑体" w:hAnsi="黑体" w:eastAsia="黑体"/>
        </w:rPr>
        <w:t>6.</w:t>
      </w:r>
      <w:r>
        <w:rPr>
          <w:rFonts w:ascii="黑体" w:hAnsi="黑体" w:eastAsia="黑体"/>
        </w:rPr>
        <w:t>7</w:t>
      </w:r>
      <w:r>
        <w:rPr>
          <w:rFonts w:hint="eastAsia" w:ascii="黑体" w:hAnsi="黑体" w:eastAsia="黑体"/>
          <w:lang w:val="en-US" w:eastAsia="zh-CN"/>
        </w:rPr>
        <w:t xml:space="preserve">  </w:t>
      </w:r>
      <w:r>
        <w:rPr>
          <w:rFonts w:hint="eastAsia" w:ascii="黑体" w:hAnsi="黑体" w:eastAsia="黑体"/>
        </w:rPr>
        <w:t>环保要求</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ascii="Times New Roman"/>
        </w:rPr>
      </w:pPr>
      <w:r>
        <w:rPr>
          <w:rFonts w:hint="eastAsia" w:ascii="Times New Roman"/>
        </w:rPr>
        <w:t>管材的有害杂质元素含量应按 GB/T 26125 的规定进行。</w:t>
      </w:r>
    </w:p>
    <w:p>
      <w:pPr>
        <w:pStyle w:val="51"/>
        <w:keepNext w:val="0"/>
        <w:keepLines w:val="0"/>
        <w:pageBreakBefore w:val="0"/>
        <w:kinsoku/>
        <w:wordWrap/>
        <w:overflowPunct/>
        <w:topLinePunct w:val="0"/>
        <w:bidi w:val="0"/>
        <w:snapToGrid/>
        <w:spacing w:before="120" w:beforeLines="50" w:after="120" w:afterLines="50" w:line="300" w:lineRule="auto"/>
        <w:ind w:firstLine="0" w:firstLineChars="0"/>
        <w:rPr>
          <w:rFonts w:hint="eastAsia" w:ascii="黑体" w:hAnsi="黑体" w:eastAsia="黑体"/>
        </w:rPr>
      </w:pPr>
      <w:r>
        <w:rPr>
          <w:rFonts w:hint="eastAsia" w:ascii="黑体" w:hAnsi="黑体" w:eastAsia="黑体"/>
        </w:rPr>
        <w:t>6.</w:t>
      </w:r>
      <w:r>
        <w:rPr>
          <w:rFonts w:ascii="黑体" w:hAnsi="黑体" w:eastAsia="黑体"/>
        </w:rPr>
        <w:t>8</w:t>
      </w:r>
      <w:r>
        <w:rPr>
          <w:rFonts w:hint="eastAsia" w:ascii="黑体" w:hAnsi="黑体" w:eastAsia="黑体"/>
          <w:lang w:val="en-US" w:eastAsia="zh-CN"/>
        </w:rPr>
        <w:t xml:space="preserve">  </w:t>
      </w:r>
      <w:r>
        <w:rPr>
          <w:rFonts w:hint="eastAsia" w:ascii="黑体" w:hAnsi="黑体" w:eastAsia="黑体"/>
        </w:rPr>
        <w:t>残余</w:t>
      </w:r>
      <w:r>
        <w:rPr>
          <w:rFonts w:ascii="黑体" w:hAnsi="黑体" w:eastAsia="黑体"/>
        </w:rPr>
        <w:t>应力</w:t>
      </w:r>
    </w:p>
    <w:p>
      <w:pPr>
        <w:pStyle w:val="51"/>
        <w:keepNext w:val="0"/>
        <w:keepLines w:val="0"/>
        <w:pageBreakBefore w:val="0"/>
        <w:kinsoku/>
        <w:wordWrap/>
        <w:overflowPunct/>
        <w:topLinePunct w:val="0"/>
        <w:bidi w:val="0"/>
        <w:snapToGrid/>
        <w:spacing w:before="120" w:beforeLines="50" w:after="120" w:afterLines="50" w:line="300" w:lineRule="auto"/>
        <w:ind w:firstLine="0" w:firstLineChars="0"/>
        <w:jc w:val="left"/>
        <w:rPr>
          <w:rFonts w:hint="eastAsia" w:hAnsi="宋体"/>
        </w:rPr>
      </w:pPr>
      <w:r>
        <w:rPr>
          <w:rFonts w:hint="eastAsia" w:hAnsi="宋体"/>
        </w:rPr>
        <w:t>管材</w:t>
      </w:r>
      <w:r>
        <w:rPr>
          <w:rFonts w:hAnsi="宋体"/>
        </w:rPr>
        <w:t>的</w:t>
      </w:r>
      <w:r>
        <w:rPr>
          <w:rFonts w:hint="eastAsia" w:hAnsi="宋体"/>
        </w:rPr>
        <w:t>残余</w:t>
      </w:r>
      <w:r>
        <w:rPr>
          <w:rFonts w:hAnsi="宋体"/>
        </w:rPr>
        <w:t>应力试验</w:t>
      </w:r>
      <w:r>
        <w:rPr>
          <w:rFonts w:hint="eastAsia" w:hAnsi="宋体"/>
        </w:rPr>
        <w:t>推荐使用氨熏试验方法，按GB/T 10567.2的规定的方法进行。</w:t>
      </w:r>
    </w:p>
    <w:p>
      <w:pPr>
        <w:pStyle w:val="51"/>
        <w:keepNext w:val="0"/>
        <w:keepLines w:val="0"/>
        <w:pageBreakBefore w:val="0"/>
        <w:widowControl/>
        <w:kinsoku/>
        <w:wordWrap/>
        <w:overflowPunct/>
        <w:topLinePunct w:val="0"/>
        <w:autoSpaceDE w:val="0"/>
        <w:autoSpaceDN w:val="0"/>
        <w:bidi w:val="0"/>
        <w:adjustRightInd/>
        <w:snapToGrid/>
        <w:spacing w:before="120" w:beforeLines="50" w:after="120" w:afterLines="50" w:line="240" w:lineRule="auto"/>
        <w:ind w:firstLine="0" w:firstLineChars="0"/>
        <w:jc w:val="left"/>
        <w:textAlignment w:val="auto"/>
        <w:rPr>
          <w:rFonts w:hint="eastAsia" w:ascii="黑体" w:hAnsi="黑体" w:eastAsia="黑体"/>
        </w:rPr>
      </w:pPr>
      <w:r>
        <w:rPr>
          <w:rFonts w:hint="eastAsia" w:ascii="黑体" w:hAnsi="黑体" w:eastAsia="黑体"/>
        </w:rPr>
        <w:t>6.9</w:t>
      </w:r>
      <w:r>
        <w:rPr>
          <w:rFonts w:hint="eastAsia" w:ascii="黑体" w:hAnsi="黑体" w:eastAsia="黑体"/>
          <w:lang w:val="en-US" w:eastAsia="zh-CN"/>
        </w:rPr>
        <w:t xml:space="preserve">  </w:t>
      </w:r>
      <w:r>
        <w:rPr>
          <w:rFonts w:hint="eastAsia" w:ascii="黑体" w:hAnsi="黑体" w:eastAsia="黑体"/>
        </w:rPr>
        <w:t>表面质量</w:t>
      </w:r>
    </w:p>
    <w:p>
      <w:pPr>
        <w:pStyle w:val="51"/>
        <w:keepNext w:val="0"/>
        <w:keepLines w:val="0"/>
        <w:pageBreakBefore w:val="0"/>
        <w:widowControl/>
        <w:kinsoku/>
        <w:wordWrap/>
        <w:overflowPunct/>
        <w:topLinePunct w:val="0"/>
        <w:autoSpaceDE w:val="0"/>
        <w:autoSpaceDN w:val="0"/>
        <w:bidi w:val="0"/>
        <w:adjustRightInd/>
        <w:snapToGrid/>
        <w:spacing w:line="300" w:lineRule="auto"/>
        <w:ind w:firstLine="420" w:firstLineChars="0"/>
        <w:textAlignment w:val="auto"/>
        <w:rPr>
          <w:rFonts w:hint="eastAsia" w:ascii="Times New Roman"/>
        </w:rPr>
      </w:pPr>
      <w:r>
        <w:rPr>
          <w:rFonts w:hint="eastAsia" w:ascii="Times New Roman"/>
        </w:rPr>
        <w:t>管材的表面质量采用目视进行检验。</w:t>
      </w: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Ansi="黑体" w:cs="Times New Roman"/>
          <w:caps/>
          <w:color w:val="auto"/>
        </w:rPr>
      </w:pPr>
      <w:r>
        <w:rPr>
          <w:rFonts w:hint="eastAsia" w:hAnsi="黑体" w:cs="Times New Roman"/>
          <w:caps/>
          <w:color w:val="auto"/>
        </w:rPr>
        <w:t>7</w:t>
      </w:r>
      <w:r>
        <w:rPr>
          <w:rFonts w:hint="eastAsia" w:hAnsi="黑体" w:cs="Times New Roman"/>
          <w:caps/>
          <w:color w:val="auto"/>
          <w:lang w:val="en-US" w:eastAsia="zh-CN"/>
        </w:rPr>
        <w:t xml:space="preserve">  </w:t>
      </w:r>
      <w:r>
        <w:rPr>
          <w:rFonts w:hAnsi="黑体" w:cs="Times New Roman"/>
          <w:caps/>
          <w:color w:val="auto"/>
        </w:rPr>
        <w:t>检验规则</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240" w:lineRule="auto"/>
        <w:textAlignment w:val="baseline"/>
        <w:rPr>
          <w:rFonts w:ascii="黑体" w:hAnsi="黑体" w:eastAsia="黑体"/>
          <w:sz w:val="21"/>
          <w:szCs w:val="21"/>
        </w:rPr>
      </w:pPr>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lang w:val="en-US" w:eastAsia="zh-CN"/>
        </w:rPr>
        <w:t xml:space="preserve">1  </w:t>
      </w:r>
      <w:r>
        <w:rPr>
          <w:rFonts w:ascii="黑体" w:hAnsi="黑体" w:eastAsia="黑体"/>
          <w:sz w:val="21"/>
          <w:szCs w:val="21"/>
        </w:rPr>
        <w:t>检查与验收</w:t>
      </w:r>
    </w:p>
    <w:p>
      <w:pPr>
        <w:keepNext w:val="0"/>
        <w:keepLines w:val="0"/>
        <w:pageBreakBefore w:val="0"/>
        <w:widowControl w:val="0"/>
        <w:kinsoku/>
        <w:wordWrap/>
        <w:overflowPunct/>
        <w:topLinePunct w:val="0"/>
        <w:autoSpaceDE/>
        <w:autoSpaceDN/>
        <w:bidi w:val="0"/>
        <w:adjustRightInd w:val="0"/>
        <w:snapToGrid/>
        <w:spacing w:line="300" w:lineRule="auto"/>
        <w:textAlignment w:val="baseline"/>
        <w:rPr>
          <w:rFonts w:hint="eastAsia"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管材应由供方或第三方进行检验，保证产品质量符合本文件及订货单的规定。</w:t>
      </w:r>
    </w:p>
    <w:p>
      <w:pPr>
        <w:keepNext w:val="0"/>
        <w:keepLines w:val="0"/>
        <w:pageBreakBefore w:val="0"/>
        <w:widowControl w:val="0"/>
        <w:kinsoku/>
        <w:wordWrap/>
        <w:overflowPunct/>
        <w:topLinePunct w:val="0"/>
        <w:autoSpaceDE/>
        <w:autoSpaceDN/>
        <w:bidi w:val="0"/>
        <w:adjustRightInd w:val="0"/>
        <w:snapToGrid/>
        <w:spacing w:line="300" w:lineRule="auto"/>
        <w:textAlignment w:val="baseline"/>
        <w:rPr>
          <w:rFonts w:hint="eastAsia" w:ascii="宋体" w:hAnsi="宋体" w:eastAsia="宋体" w:cs="宋体"/>
          <w:sz w:val="21"/>
          <w:szCs w:val="21"/>
        </w:rPr>
      </w:pPr>
      <w:r>
        <w:rPr>
          <w:rFonts w:hint="eastAsia" w:ascii="宋体" w:hAnsi="宋体" w:eastAsia="宋体" w:cs="宋体"/>
          <w:sz w:val="21"/>
          <w:szCs w:val="21"/>
        </w:rPr>
        <w:t>7.1.2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需方可对收到的产品按本文件的规定进行检验，如检验结果与本文件及订货单的规定不符时，应以书面形式向供方提出，由供需双方协商解决。属于表面质量及尺寸偏差的异议，应在收到产品之日起1个月内提出。属于其他性能的异议，应在收到产品之日起3个月内提出。如需仲裁，应由供需双方在需方共同取样或协商确定。</w:t>
      </w:r>
    </w:p>
    <w:p>
      <w:pPr>
        <w:keepNext w:val="0"/>
        <w:keepLines w:val="0"/>
        <w:pageBreakBefore w:val="0"/>
        <w:widowControl w:val="0"/>
        <w:kinsoku/>
        <w:wordWrap/>
        <w:overflowPunct/>
        <w:topLinePunct w:val="0"/>
        <w:autoSpaceDE/>
        <w:autoSpaceDN/>
        <w:bidi w:val="0"/>
        <w:adjustRightInd w:val="0"/>
        <w:snapToGrid/>
        <w:spacing w:before="120" w:beforeLines="50" w:after="120" w:afterLines="50" w:line="240" w:lineRule="auto"/>
        <w:textAlignment w:val="baseline"/>
        <w:rPr>
          <w:rFonts w:ascii="黑体" w:hAnsi="黑体" w:eastAsia="黑体"/>
          <w:sz w:val="21"/>
          <w:szCs w:val="21"/>
        </w:rPr>
      </w:pPr>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lang w:val="en-US" w:eastAsia="zh-CN"/>
        </w:rPr>
        <w:t xml:space="preserve">2  </w:t>
      </w:r>
      <w:r>
        <w:rPr>
          <w:rFonts w:ascii="黑体" w:hAnsi="黑体" w:eastAsia="黑体"/>
          <w:sz w:val="21"/>
          <w:szCs w:val="21"/>
        </w:rPr>
        <w:t>组批</w:t>
      </w:r>
    </w:p>
    <w:p>
      <w:pPr>
        <w:keepNext w:val="0"/>
        <w:keepLines w:val="0"/>
        <w:pageBreakBefore w:val="0"/>
        <w:kinsoku/>
        <w:wordWrap/>
        <w:overflowPunct/>
        <w:topLinePunct w:val="0"/>
        <w:bidi w:val="0"/>
        <w:snapToGrid/>
        <w:spacing w:line="300" w:lineRule="auto"/>
        <w:ind w:firstLine="420" w:firstLineChars="200"/>
        <w:rPr>
          <w:sz w:val="21"/>
          <w:szCs w:val="21"/>
        </w:rPr>
      </w:pPr>
      <w:r>
        <w:rPr>
          <w:sz w:val="21"/>
          <w:szCs w:val="21"/>
        </w:rPr>
        <w:t>管材应成批提交验收。</w:t>
      </w:r>
      <w:r>
        <w:rPr>
          <w:rFonts w:hint="eastAsia"/>
          <w:sz w:val="21"/>
          <w:szCs w:val="21"/>
        </w:rPr>
        <w:t>管材</w:t>
      </w:r>
      <w:r>
        <w:rPr>
          <w:sz w:val="21"/>
          <w:szCs w:val="21"/>
        </w:rPr>
        <w:t>每批重量应不大于</w:t>
      </w:r>
      <w:r>
        <w:rPr>
          <w:rFonts w:hint="eastAsia"/>
          <w:sz w:val="21"/>
          <w:szCs w:val="21"/>
        </w:rPr>
        <w:t>5</w:t>
      </w:r>
      <w:r>
        <w:rPr>
          <w:sz w:val="21"/>
          <w:szCs w:val="21"/>
        </w:rPr>
        <w:t>000 kg。</w:t>
      </w:r>
    </w:p>
    <w:p>
      <w:pPr>
        <w:keepNext w:val="0"/>
        <w:keepLines w:val="0"/>
        <w:pageBreakBefore w:val="0"/>
        <w:kinsoku/>
        <w:wordWrap/>
        <w:overflowPunct/>
        <w:topLinePunct w:val="0"/>
        <w:bidi w:val="0"/>
        <w:snapToGrid/>
        <w:spacing w:before="120" w:beforeLines="50" w:line="300" w:lineRule="auto"/>
        <w:rPr>
          <w:rFonts w:hint="eastAsia" w:ascii="黑体" w:hAnsi="黑体" w:eastAsia="黑体"/>
          <w:sz w:val="21"/>
          <w:szCs w:val="21"/>
        </w:rPr>
      </w:pPr>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lang w:val="en-US" w:eastAsia="zh-CN"/>
        </w:rPr>
        <w:t xml:space="preserve">3  </w:t>
      </w:r>
      <w:r>
        <w:rPr>
          <w:rFonts w:ascii="黑体" w:hAnsi="黑体" w:eastAsia="黑体"/>
          <w:sz w:val="21"/>
          <w:szCs w:val="21"/>
        </w:rPr>
        <w:t>检验</w:t>
      </w:r>
    </w:p>
    <w:p>
      <w:pPr>
        <w:keepNext w:val="0"/>
        <w:keepLines w:val="0"/>
        <w:pageBreakBefore w:val="0"/>
        <w:kinsoku/>
        <w:wordWrap/>
        <w:overflowPunct/>
        <w:topLinePunct w:val="0"/>
        <w:bidi w:val="0"/>
        <w:snapToGrid/>
        <w:spacing w:before="120" w:beforeLines="50" w:line="300" w:lineRule="auto"/>
        <w:ind w:firstLine="420" w:firstLineChars="200"/>
        <w:rPr>
          <w:rFonts w:hint="eastAsia" w:ascii="宋体" w:hAnsi="宋体"/>
          <w:sz w:val="21"/>
          <w:szCs w:val="21"/>
        </w:rPr>
      </w:pPr>
      <w:r>
        <w:rPr>
          <w:rFonts w:hint="eastAsia" w:ascii="宋体" w:hAnsi="宋体"/>
          <w:sz w:val="21"/>
          <w:szCs w:val="21"/>
        </w:rPr>
        <w:t>产品的检验项目分为出厂检验和型式检验，应符合表</w:t>
      </w:r>
      <w:r>
        <w:rPr>
          <w:rFonts w:ascii="宋体" w:hAnsi="宋体"/>
          <w:sz w:val="21"/>
          <w:szCs w:val="21"/>
        </w:rPr>
        <w:t>8</w:t>
      </w:r>
      <w:r>
        <w:rPr>
          <w:rFonts w:hint="eastAsia" w:ascii="宋体" w:hAnsi="宋体"/>
          <w:sz w:val="21"/>
          <w:szCs w:val="21"/>
        </w:rPr>
        <w:t>的规定。</w:t>
      </w:r>
    </w:p>
    <w:p>
      <w:pPr>
        <w:spacing w:before="120" w:beforeLines="50" w:after="120" w:afterLines="50" w:line="240" w:lineRule="auto"/>
        <w:jc w:val="center"/>
        <w:rPr>
          <w:rFonts w:hint="eastAsia" w:ascii="黑体" w:hAnsi="黑体" w:eastAsia="黑体"/>
          <w:sz w:val="21"/>
          <w:szCs w:val="21"/>
        </w:rPr>
      </w:pPr>
      <w:r>
        <w:rPr>
          <w:rFonts w:hint="eastAsia" w:ascii="黑体" w:hAnsi="黑体" w:eastAsia="黑体"/>
          <w:sz w:val="21"/>
          <w:szCs w:val="21"/>
        </w:rPr>
        <w:t>表</w:t>
      </w:r>
      <w:r>
        <w:rPr>
          <w:rFonts w:ascii="黑体" w:hAnsi="黑体" w:eastAsia="黑体"/>
          <w:sz w:val="21"/>
          <w:szCs w:val="21"/>
        </w:rPr>
        <w:t>8</w:t>
      </w:r>
      <w:r>
        <w:rPr>
          <w:rFonts w:hint="eastAsia" w:ascii="黑体" w:hAnsi="黑体" w:eastAsia="黑体"/>
          <w:sz w:val="21"/>
          <w:szCs w:val="21"/>
          <w:lang w:val="en-US" w:eastAsia="zh-CN"/>
        </w:rPr>
        <w:t xml:space="preserve">  </w:t>
      </w:r>
      <w:r>
        <w:rPr>
          <w:rFonts w:hint="eastAsia" w:ascii="黑体" w:hAnsi="黑体" w:eastAsia="黑体"/>
          <w:sz w:val="21"/>
          <w:szCs w:val="21"/>
        </w:rPr>
        <w:t>检验项目</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970"/>
        <w:gridCol w:w="2188"/>
        <w:gridCol w:w="2188"/>
        <w:gridCol w:w="19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1"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2172" w:type="pct"/>
            <w:gridSpan w:val="2"/>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1143"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出厂检验项目</w:t>
            </w:r>
          </w:p>
        </w:tc>
        <w:tc>
          <w:tcPr>
            <w:tcW w:w="1012"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型式试验项目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1" w:type="pct"/>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172" w:type="pct"/>
            <w:gridSpan w:val="2"/>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化学成分</w:t>
            </w:r>
          </w:p>
        </w:tc>
        <w:tc>
          <w:tcPr>
            <w:tcW w:w="1143" w:type="pct"/>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7"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尺寸及允许偏差</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0"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体积电阻率</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力学性能</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25" w:hRule="atLeast"/>
        </w:trPr>
        <w:tc>
          <w:tcPr>
            <w:tcW w:w="671" w:type="pct"/>
            <w:vMerge w:val="restart"/>
            <w:noWrap w:val="0"/>
            <w:vAlign w:val="center"/>
          </w:tcPr>
          <w:p>
            <w:pPr>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5</w:t>
            </w:r>
          </w:p>
        </w:tc>
        <w:tc>
          <w:tcPr>
            <w:tcW w:w="1029" w:type="pct"/>
            <w:vMerge w:val="restart"/>
            <w:noWrap w:val="0"/>
            <w:vAlign w:val="center"/>
          </w:tcPr>
          <w:p>
            <w:pPr>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工艺性能</w:t>
            </w:r>
          </w:p>
        </w:tc>
        <w:tc>
          <w:tcPr>
            <w:tcW w:w="1143" w:type="pct"/>
            <w:noWrap w:val="0"/>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扩口试验</w:t>
            </w:r>
          </w:p>
        </w:tc>
        <w:tc>
          <w:tcPr>
            <w:tcW w:w="1143" w:type="pct"/>
            <w:noWrap w:val="0"/>
            <w:vAlign w:val="center"/>
          </w:tcPr>
          <w:p>
            <w:pPr>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w:t>
            </w:r>
          </w:p>
        </w:tc>
        <w:tc>
          <w:tcPr>
            <w:tcW w:w="1012" w:type="pct"/>
            <w:noWrap w:val="0"/>
            <w:vAlign w:val="center"/>
          </w:tcPr>
          <w:p>
            <w:pPr>
              <w:spacing w:line="240" w:lineRule="auto"/>
              <w:jc w:val="center"/>
              <w:rPr>
                <w:rFonts w:hint="eastAsia" w:ascii="宋体" w:hAnsi="宋体" w:cs="宋体"/>
                <w:sz w:val="18"/>
                <w:szCs w:val="18"/>
                <w:highlight w:val="none"/>
              </w:rPr>
            </w:pPr>
            <w:r>
              <w:rPr>
                <w:rFonts w:hint="eastAsia" w:ascii="宋体" w:hAnsi="宋体" w:cs="宋体"/>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1" w:type="pct"/>
            <w:vMerge w:val="continue"/>
            <w:noWrap w:val="0"/>
            <w:vAlign w:val="center"/>
          </w:tcPr>
          <w:p>
            <w:pPr>
              <w:spacing w:line="240" w:lineRule="auto"/>
              <w:jc w:val="center"/>
              <w:rPr>
                <w:rFonts w:hint="eastAsia" w:ascii="宋体" w:hAnsi="宋体" w:cs="宋体"/>
                <w:sz w:val="18"/>
                <w:szCs w:val="18"/>
                <w:highlight w:val="none"/>
              </w:rPr>
            </w:pPr>
          </w:p>
        </w:tc>
        <w:tc>
          <w:tcPr>
            <w:tcW w:w="1029" w:type="pct"/>
            <w:vMerge w:val="continue"/>
            <w:noWrap w:val="0"/>
            <w:vAlign w:val="center"/>
          </w:tcPr>
          <w:p>
            <w:pPr>
              <w:spacing w:line="240" w:lineRule="auto"/>
              <w:jc w:val="center"/>
              <w:rPr>
                <w:rFonts w:hint="eastAsia" w:ascii="宋体" w:hAnsi="宋体" w:cs="宋体"/>
                <w:sz w:val="18"/>
                <w:szCs w:val="18"/>
                <w:highlight w:val="none"/>
              </w:rPr>
            </w:pPr>
          </w:p>
        </w:tc>
        <w:tc>
          <w:tcPr>
            <w:tcW w:w="1143" w:type="pct"/>
            <w:noWrap w:val="0"/>
            <w:vAlign w:val="top"/>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压扁试验</w:t>
            </w:r>
          </w:p>
        </w:tc>
        <w:tc>
          <w:tcPr>
            <w:tcW w:w="1143" w:type="pct"/>
            <w:noWrap w:val="0"/>
            <w:vAlign w:val="center"/>
          </w:tcPr>
          <w:p>
            <w:pPr>
              <w:spacing w:line="240" w:lineRule="auto"/>
              <w:jc w:val="center"/>
              <w:rPr>
                <w:rFonts w:hint="eastAsia" w:ascii="宋体" w:hAnsi="宋体" w:cs="宋体"/>
                <w:sz w:val="18"/>
                <w:szCs w:val="18"/>
                <w:highlight w:val="none"/>
              </w:rPr>
            </w:pPr>
            <w:r>
              <w:rPr>
                <w:rFonts w:hint="eastAsia" w:ascii="宋体" w:hAnsi="宋体" w:eastAsia="宋体" w:cs="宋体"/>
                <w:sz w:val="18"/>
                <w:szCs w:val="18"/>
                <w:highlight w:val="none"/>
              </w:rPr>
              <w:t>√</w:t>
            </w:r>
          </w:p>
        </w:tc>
        <w:tc>
          <w:tcPr>
            <w:tcW w:w="1012" w:type="pct"/>
            <w:noWrap w:val="0"/>
            <w:vAlign w:val="center"/>
          </w:tcPr>
          <w:p>
            <w:pPr>
              <w:spacing w:line="240" w:lineRule="auto"/>
              <w:jc w:val="center"/>
              <w:rPr>
                <w:rFonts w:hint="eastAsia" w:ascii="宋体" w:hAnsi="宋体" w:cs="宋体"/>
                <w:sz w:val="18"/>
                <w:szCs w:val="18"/>
                <w:highlight w:val="none"/>
              </w:rPr>
            </w:pPr>
            <w:r>
              <w:rPr>
                <w:rFonts w:hint="eastAsia" w:ascii="宋体" w:hAnsi="宋体" w:eastAsia="宋体" w:cs="宋体"/>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晶粒度</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环保要求</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1"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172" w:type="pct"/>
            <w:gridSpan w:val="2"/>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残余应力</w:t>
            </w:r>
          </w:p>
        </w:tc>
        <w:tc>
          <w:tcPr>
            <w:tcW w:w="1143"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71"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2172" w:type="pct"/>
            <w:gridSpan w:val="2"/>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表面质量</w:t>
            </w:r>
          </w:p>
        </w:tc>
        <w:tc>
          <w:tcPr>
            <w:tcW w:w="1143"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012" w:type="pct"/>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5"/>
            <w:tcBorders>
              <w:top w:val="single" w:color="auto" w:sz="12" w:space="0"/>
            </w:tcBorders>
            <w:noWrap w:val="0"/>
            <w:vAlign w:val="center"/>
          </w:tcPr>
          <w:p>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注：表中“√”表示“必须检验项目”；“△”表示“需方有要求时进行的检验项目”。</w:t>
            </w:r>
          </w:p>
        </w:tc>
      </w:tr>
    </w:tbl>
    <w:p>
      <w:pPr>
        <w:keepNext w:val="0"/>
        <w:keepLines w:val="0"/>
        <w:pageBreakBefore w:val="0"/>
        <w:widowControl w:val="0"/>
        <w:kinsoku/>
        <w:wordWrap/>
        <w:overflowPunct/>
        <w:topLinePunct w:val="0"/>
        <w:autoSpaceDE/>
        <w:autoSpaceDN/>
        <w:bidi w:val="0"/>
        <w:adjustRightInd w:val="0"/>
        <w:snapToGrid/>
        <w:spacing w:line="240" w:lineRule="auto"/>
        <w:ind w:firstLine="420"/>
        <w:textAlignment w:val="baseline"/>
        <w:rPr>
          <w:rFonts w:hint="eastAsia"/>
          <w:sz w:val="21"/>
          <w:szCs w:val="21"/>
        </w:rPr>
      </w:pPr>
    </w:p>
    <w:p>
      <w:pPr>
        <w:keepNext w:val="0"/>
        <w:keepLines w:val="0"/>
        <w:pageBreakBefore w:val="0"/>
        <w:kinsoku/>
        <w:wordWrap/>
        <w:overflowPunct/>
        <w:topLinePunct w:val="0"/>
        <w:autoSpaceDE/>
        <w:autoSpaceDN/>
        <w:bidi w:val="0"/>
        <w:snapToGrid/>
        <w:spacing w:line="300" w:lineRule="auto"/>
        <w:ind w:firstLine="420"/>
        <w:rPr>
          <w:sz w:val="21"/>
          <w:szCs w:val="21"/>
        </w:rPr>
      </w:pPr>
      <w:r>
        <w:rPr>
          <w:rFonts w:hint="eastAsia"/>
          <w:sz w:val="21"/>
          <w:szCs w:val="21"/>
        </w:rPr>
        <w:t>出现下列任一情况时，应进行型式检验：</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新产品或老产品转厂的试制定型鉴定；</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产品的原料、工艺有较大改变，可能影响产品性能时；</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产品停产后，恢复生产时；</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出厂检验结果与上次型式检验有较大差异时；</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连续二年未进行型式检验时；</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sz w:val="21"/>
          <w:szCs w:val="21"/>
        </w:rPr>
      </w:pPr>
      <w:r>
        <w:rPr>
          <w:rFonts w:hint="eastAsia"/>
          <w:sz w:val="21"/>
          <w:szCs w:val="21"/>
        </w:rPr>
        <w:t>需方要求时（在订货单中注明）；</w:t>
      </w:r>
    </w:p>
    <w:p>
      <w:pPr>
        <w:pStyle w:val="63"/>
        <w:keepNext w:val="0"/>
        <w:keepLines w:val="0"/>
        <w:pageBreakBefore w:val="0"/>
        <w:numPr>
          <w:ilvl w:val="1"/>
          <w:numId w:val="4"/>
        </w:numPr>
        <w:kinsoku/>
        <w:wordWrap/>
        <w:overflowPunct/>
        <w:topLinePunct w:val="0"/>
        <w:autoSpaceDE/>
        <w:autoSpaceDN/>
        <w:bidi w:val="0"/>
        <w:snapToGrid/>
        <w:spacing w:line="300" w:lineRule="auto"/>
        <w:ind w:firstLineChars="0"/>
        <w:rPr>
          <w:rFonts w:hint="eastAsia"/>
          <w:sz w:val="21"/>
          <w:szCs w:val="21"/>
        </w:rPr>
      </w:pPr>
      <w:r>
        <w:rPr>
          <w:rFonts w:hint="eastAsia"/>
          <w:sz w:val="21"/>
          <w:szCs w:val="21"/>
        </w:rPr>
        <w:t>国家质量监督机构提出进行型式检验的要求时。</w:t>
      </w:r>
    </w:p>
    <w:p>
      <w:pPr>
        <w:keepNext w:val="0"/>
        <w:keepLines w:val="0"/>
        <w:pageBreakBefore w:val="0"/>
        <w:kinsoku/>
        <w:wordWrap/>
        <w:overflowPunct/>
        <w:topLinePunct w:val="0"/>
        <w:autoSpaceDE/>
        <w:autoSpaceDN/>
        <w:bidi w:val="0"/>
        <w:snapToGrid/>
        <w:spacing w:before="120" w:beforeLines="50" w:after="120" w:afterLines="50" w:line="300" w:lineRule="auto"/>
        <w:rPr>
          <w:rFonts w:ascii="黑体" w:hAnsi="黑体" w:eastAsia="黑体"/>
          <w:sz w:val="21"/>
          <w:szCs w:val="21"/>
        </w:rPr>
      </w:pPr>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lang w:val="en-US" w:eastAsia="zh-CN"/>
        </w:rPr>
        <w:t xml:space="preserve">4  </w:t>
      </w:r>
      <w:r>
        <w:rPr>
          <w:rFonts w:ascii="黑体" w:hAnsi="黑体" w:eastAsia="黑体"/>
          <w:sz w:val="21"/>
          <w:szCs w:val="21"/>
        </w:rPr>
        <w:t>取样</w:t>
      </w:r>
      <w:r>
        <w:rPr>
          <w:rFonts w:hint="eastAsia" w:ascii="黑体" w:hAnsi="黑体" w:eastAsia="黑体"/>
          <w:sz w:val="21"/>
          <w:szCs w:val="21"/>
        </w:rPr>
        <w:t>和制样</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sz w:val="21"/>
          <w:szCs w:val="21"/>
        </w:rPr>
      </w:pPr>
      <w:r>
        <w:rPr>
          <w:sz w:val="21"/>
          <w:szCs w:val="21"/>
        </w:rPr>
        <w:t>管材取样应符合表9的规定。取样方法按YS/T 668</w:t>
      </w:r>
      <w:r>
        <w:rPr>
          <w:rFonts w:hint="eastAsia"/>
          <w:sz w:val="21"/>
          <w:szCs w:val="21"/>
        </w:rPr>
        <w:t>的规定进行，工艺性能试样制备按</w:t>
      </w:r>
      <w:r>
        <w:rPr>
          <w:sz w:val="21"/>
          <w:szCs w:val="21"/>
        </w:rPr>
        <w:t>YS</w:t>
      </w:r>
      <w:r>
        <w:rPr>
          <w:rFonts w:hint="eastAsia"/>
          <w:sz w:val="21"/>
          <w:szCs w:val="21"/>
        </w:rPr>
        <w:t>/T 815</w:t>
      </w:r>
      <w:r>
        <w:rPr>
          <w:sz w:val="21"/>
          <w:szCs w:val="21"/>
        </w:rPr>
        <w:t>的规定进行。</w:t>
      </w:r>
    </w:p>
    <w:p>
      <w:pPr>
        <w:spacing w:line="240" w:lineRule="auto"/>
        <w:ind w:firstLine="420" w:firstLineChars="200"/>
        <w:rPr>
          <w:sz w:val="21"/>
          <w:szCs w:val="21"/>
        </w:rPr>
      </w:pPr>
    </w:p>
    <w:p>
      <w:pPr>
        <w:spacing w:before="120" w:beforeLines="50" w:after="120" w:afterLines="50" w:line="240" w:lineRule="auto"/>
        <w:ind w:firstLine="420" w:firstLineChars="200"/>
        <w:jc w:val="center"/>
        <w:rPr>
          <w:rFonts w:ascii="黑体" w:hAnsi="黑体" w:eastAsia="黑体"/>
          <w:sz w:val="21"/>
          <w:szCs w:val="21"/>
        </w:rPr>
      </w:pPr>
      <w:r>
        <w:rPr>
          <w:rFonts w:ascii="黑体" w:hAnsi="黑体" w:eastAsia="黑体"/>
          <w:sz w:val="21"/>
          <w:szCs w:val="21"/>
        </w:rPr>
        <w:t>表9</w:t>
      </w:r>
      <w:r>
        <w:rPr>
          <w:rFonts w:hint="eastAsia" w:ascii="黑体" w:hAnsi="黑体" w:eastAsia="黑体"/>
          <w:sz w:val="21"/>
          <w:szCs w:val="21"/>
          <w:lang w:val="en-US" w:eastAsia="zh-CN"/>
        </w:rPr>
        <w:t xml:space="preserve">  </w:t>
      </w:r>
      <w:r>
        <w:rPr>
          <w:rFonts w:ascii="黑体" w:hAnsi="黑体" w:eastAsia="黑体"/>
          <w:sz w:val="21"/>
          <w:szCs w:val="21"/>
        </w:rPr>
        <w:t>取样</w:t>
      </w:r>
    </w:p>
    <w:tbl>
      <w:tblPr>
        <w:tblStyle w:val="2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85"/>
        <w:gridCol w:w="4677"/>
        <w:gridCol w:w="993"/>
        <w:gridCol w:w="10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7" w:type="dxa"/>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885" w:type="dxa"/>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4677" w:type="dxa"/>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取样规定</w:t>
            </w:r>
          </w:p>
        </w:tc>
        <w:tc>
          <w:tcPr>
            <w:tcW w:w="993" w:type="dxa"/>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要求的</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章条号</w:t>
            </w:r>
          </w:p>
        </w:tc>
        <w:tc>
          <w:tcPr>
            <w:tcW w:w="1038" w:type="dxa"/>
            <w:tcBorders>
              <w:bottom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试验方法</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7"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bookmarkStart w:id="9" w:name="_Hlk76381715"/>
            <w:r>
              <w:rPr>
                <w:rFonts w:hint="eastAsia" w:ascii="宋体" w:hAnsi="宋体" w:eastAsia="宋体" w:cs="宋体"/>
                <w:sz w:val="18"/>
                <w:szCs w:val="18"/>
              </w:rPr>
              <w:t>1</w:t>
            </w:r>
          </w:p>
        </w:tc>
        <w:tc>
          <w:tcPr>
            <w:tcW w:w="1885"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化学成分</w:t>
            </w:r>
          </w:p>
        </w:tc>
        <w:tc>
          <w:tcPr>
            <w:tcW w:w="4677" w:type="dxa"/>
            <w:tcBorders>
              <w:top w:val="single" w:color="auto" w:sz="12" w:space="0"/>
            </w:tcBorders>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供方每熔次取1个试样，需方每批任取1个试样。</w:t>
            </w:r>
          </w:p>
        </w:tc>
        <w:tc>
          <w:tcPr>
            <w:tcW w:w="993"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5.1</w:t>
            </w:r>
          </w:p>
        </w:tc>
        <w:tc>
          <w:tcPr>
            <w:tcW w:w="1038"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尺寸及允许偏差</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按照GB/T 2828.1规定取样，一般检验水平Ⅱ，接收质量限AQL=2.5或供需双方协商。</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5.2</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体积电阻率</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5.3</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力学性能</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5.4</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工艺性能</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5.5</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晶粒度</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5.6</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环保要求</w:t>
            </w:r>
          </w:p>
        </w:tc>
        <w:tc>
          <w:tcPr>
            <w:tcW w:w="4677" w:type="dxa"/>
            <w:noWrap w:val="0"/>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5.7</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残余应力</w:t>
            </w:r>
          </w:p>
        </w:tc>
        <w:tc>
          <w:tcPr>
            <w:tcW w:w="4677" w:type="dxa"/>
            <w:noWrap w:val="0"/>
            <w:vAlign w:val="center"/>
          </w:tcPr>
          <w:p>
            <w:pPr>
              <w:spacing w:line="240" w:lineRule="auto"/>
              <w:rPr>
                <w:rFonts w:hint="eastAsia" w:ascii="宋体" w:hAnsi="宋体" w:eastAsia="宋体" w:cs="宋体"/>
                <w:sz w:val="18"/>
              </w:rPr>
            </w:pPr>
            <w:r>
              <w:rPr>
                <w:rFonts w:hint="eastAsia" w:ascii="宋体" w:hAnsi="宋体" w:eastAsia="宋体" w:cs="宋体"/>
                <w:sz w:val="18"/>
                <w:szCs w:val="18"/>
              </w:rPr>
              <w:t>每批任取2盘、每盘取1个试样。</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5.8</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67"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1885"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表面质量</w:t>
            </w:r>
          </w:p>
        </w:tc>
        <w:tc>
          <w:tcPr>
            <w:tcW w:w="4677" w:type="dxa"/>
            <w:noWrap w:val="0"/>
            <w:vAlign w:val="center"/>
          </w:tcPr>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rPr>
              <w:t>按GB/T2828.1规定的取样，一般检测水平Ⅱ，接收质量限AQL＝2.5或供需双方协商</w:t>
            </w:r>
            <w:r>
              <w:rPr>
                <w:rFonts w:hint="eastAsia" w:ascii="宋体" w:hAnsi="宋体" w:cs="宋体"/>
                <w:sz w:val="18"/>
                <w:szCs w:val="18"/>
                <w:lang w:eastAsia="zh-CN"/>
              </w:rPr>
              <w:t>。</w:t>
            </w:r>
          </w:p>
        </w:tc>
        <w:tc>
          <w:tcPr>
            <w:tcW w:w="993"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5.9</w:t>
            </w:r>
          </w:p>
        </w:tc>
        <w:tc>
          <w:tcPr>
            <w:tcW w:w="1038"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6.9</w:t>
            </w:r>
          </w:p>
        </w:tc>
      </w:tr>
      <w:bookmarkEnd w:id="9"/>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黑体" w:hAnsi="黑体" w:eastAsia="黑体"/>
          <w:sz w:val="21"/>
          <w:szCs w:val="21"/>
        </w:rPr>
      </w:pPr>
    </w:p>
    <w:p>
      <w:pPr>
        <w:keepNext w:val="0"/>
        <w:keepLines w:val="0"/>
        <w:pageBreakBefore w:val="0"/>
        <w:widowControl w:val="0"/>
        <w:kinsoku/>
        <w:wordWrap/>
        <w:overflowPunct/>
        <w:topLinePunct w:val="0"/>
        <w:autoSpaceDE/>
        <w:autoSpaceDN/>
        <w:bidi w:val="0"/>
        <w:adjustRightInd w:val="0"/>
        <w:snapToGrid/>
        <w:spacing w:before="120" w:beforeLines="50" w:line="300" w:lineRule="auto"/>
        <w:textAlignment w:val="baseline"/>
        <w:rPr>
          <w:rFonts w:ascii="黑体" w:hAnsi="黑体" w:eastAsia="黑体"/>
          <w:sz w:val="21"/>
          <w:szCs w:val="21"/>
        </w:rPr>
      </w:pPr>
      <w:r>
        <w:rPr>
          <w:rFonts w:hint="eastAsia" w:ascii="黑体" w:hAnsi="黑体" w:eastAsia="黑体"/>
          <w:sz w:val="21"/>
          <w:szCs w:val="21"/>
        </w:rPr>
        <w:t>7</w:t>
      </w:r>
      <w:r>
        <w:rPr>
          <w:rFonts w:ascii="黑体" w:hAnsi="黑体" w:eastAsia="黑体"/>
          <w:sz w:val="21"/>
          <w:szCs w:val="21"/>
        </w:rPr>
        <w:t>.</w:t>
      </w:r>
      <w:r>
        <w:rPr>
          <w:rFonts w:hint="eastAsia" w:ascii="黑体" w:hAnsi="黑体" w:eastAsia="黑体"/>
          <w:sz w:val="21"/>
          <w:szCs w:val="21"/>
          <w:lang w:val="en-US" w:eastAsia="zh-CN"/>
        </w:rPr>
        <w:t xml:space="preserve">5  </w:t>
      </w:r>
      <w:r>
        <w:rPr>
          <w:rFonts w:ascii="黑体" w:hAnsi="黑体" w:eastAsia="黑体"/>
          <w:sz w:val="21"/>
          <w:szCs w:val="21"/>
        </w:rPr>
        <w:t>检验结果的判定</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jc w:val="both"/>
        <w:textAlignment w:val="baseline"/>
        <w:rPr>
          <w:sz w:val="21"/>
          <w:szCs w:val="21"/>
        </w:rPr>
      </w:pPr>
      <w:r>
        <w:rPr>
          <w:sz w:val="21"/>
          <w:szCs w:val="21"/>
        </w:rPr>
        <w:t>检验结果的数值按GB/T 8170 的规定进行修约，并采用修约值比较法判定。检验结果的判定按表1</w:t>
      </w:r>
      <w:r>
        <w:rPr>
          <w:rFonts w:hint="eastAsia"/>
          <w:sz w:val="21"/>
          <w:szCs w:val="21"/>
          <w:lang w:val="en-US" w:eastAsia="zh-CN"/>
        </w:rPr>
        <w:t>0</w:t>
      </w:r>
      <w:r>
        <w:rPr>
          <w:sz w:val="21"/>
          <w:szCs w:val="21"/>
        </w:rPr>
        <w:t>规定进行。</w:t>
      </w:r>
    </w:p>
    <w:p>
      <w:pPr>
        <w:spacing w:before="120" w:beforeLines="50" w:after="120" w:afterLines="50" w:line="240" w:lineRule="auto"/>
        <w:ind w:firstLine="420" w:firstLineChars="200"/>
        <w:jc w:val="center"/>
        <w:rPr>
          <w:rFonts w:ascii="黑体" w:hAnsi="黑体" w:eastAsia="黑体"/>
          <w:sz w:val="21"/>
          <w:szCs w:val="21"/>
        </w:rPr>
      </w:pPr>
      <w:r>
        <w:rPr>
          <w:rFonts w:ascii="黑体" w:hAnsi="黑体" w:eastAsia="黑体"/>
          <w:sz w:val="21"/>
          <w:szCs w:val="21"/>
        </w:rPr>
        <w:t>表1</w:t>
      </w:r>
      <w:r>
        <w:rPr>
          <w:rFonts w:hint="eastAsia" w:ascii="黑体" w:hAnsi="黑体" w:eastAsia="黑体"/>
          <w:sz w:val="21"/>
          <w:szCs w:val="21"/>
          <w:lang w:val="en-US" w:eastAsia="zh-CN"/>
        </w:rPr>
        <w:t xml:space="preserve">0  </w:t>
      </w:r>
      <w:r>
        <w:rPr>
          <w:rFonts w:ascii="黑体" w:hAnsi="黑体" w:eastAsia="黑体"/>
          <w:sz w:val="21"/>
          <w:szCs w:val="21"/>
        </w:rPr>
        <w:t>检验结果判定</w:t>
      </w:r>
    </w:p>
    <w:tbl>
      <w:tblPr>
        <w:tblStyle w:val="27"/>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26"/>
        <w:gridCol w:w="64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12" w:space="0"/>
            </w:tcBorders>
            <w:noWrap w:val="0"/>
            <w:vAlign w:val="top"/>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2126" w:type="dxa"/>
            <w:tcBorders>
              <w:bottom w:val="single" w:color="auto" w:sz="12" w:space="0"/>
            </w:tcBorders>
            <w:noWrap w:val="0"/>
            <w:vAlign w:val="top"/>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检验项目</w:t>
            </w:r>
          </w:p>
        </w:tc>
        <w:tc>
          <w:tcPr>
            <w:tcW w:w="6486" w:type="dxa"/>
            <w:tcBorders>
              <w:bottom w:val="single" w:color="auto" w:sz="12" w:space="0"/>
            </w:tcBorders>
            <w:noWrap w:val="0"/>
            <w:vAlign w:val="top"/>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判定方法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2126" w:type="dxa"/>
            <w:tcBorders>
              <w:top w:val="single" w:color="auto" w:sz="12" w:space="0"/>
            </w:tcBorders>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化学成分</w:t>
            </w:r>
          </w:p>
        </w:tc>
        <w:tc>
          <w:tcPr>
            <w:tcW w:w="6486" w:type="dxa"/>
            <w:tcBorders>
              <w:top w:val="single" w:color="auto" w:sz="12" w:space="0"/>
            </w:tcBorders>
            <w:noWrap w:val="0"/>
            <w:vAlign w:val="top"/>
          </w:tcPr>
          <w:p>
            <w:pPr>
              <w:spacing w:line="240" w:lineRule="auto"/>
              <w:rPr>
                <w:rFonts w:hint="eastAsia" w:ascii="宋体" w:hAnsi="宋体" w:eastAsia="宋体" w:cs="宋体"/>
                <w:sz w:val="18"/>
                <w:szCs w:val="18"/>
              </w:rPr>
            </w:pPr>
            <w:r>
              <w:rPr>
                <w:rFonts w:hint="eastAsia" w:ascii="宋体" w:hAnsi="宋体" w:eastAsia="宋体" w:cs="宋体"/>
                <w:sz w:val="18"/>
                <w:szCs w:val="18"/>
              </w:rPr>
              <w:t>如出现不合格，判定该试样代表的熔次不合格，其他熔次依次检验，逐炉判定。不能区分熔次时，则判该批管材不合格。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尺寸及允许偏差</w:t>
            </w:r>
          </w:p>
        </w:tc>
        <w:tc>
          <w:tcPr>
            <w:tcW w:w="6486" w:type="dxa"/>
            <w:noWrap w:val="0"/>
            <w:vAlign w:val="top"/>
          </w:tcPr>
          <w:p>
            <w:pPr>
              <w:spacing w:line="240" w:lineRule="auto"/>
              <w:rPr>
                <w:rFonts w:hint="eastAsia" w:ascii="宋体" w:hAnsi="宋体" w:eastAsia="宋体" w:cs="宋体"/>
                <w:sz w:val="18"/>
                <w:szCs w:val="18"/>
              </w:rPr>
            </w:pPr>
            <w:r>
              <w:rPr>
                <w:rFonts w:hint="eastAsia" w:ascii="宋体" w:hAnsi="宋体" w:eastAsia="宋体" w:cs="宋体"/>
                <w:sz w:val="18"/>
                <w:szCs w:val="18"/>
              </w:rPr>
              <w:t>如出现不合格时，按盘判不合格。每批中不合格件数超出接收质量限时判整批不合格，或由供方逐盘检验，逐盘判定。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体积电阻率</w:t>
            </w:r>
          </w:p>
        </w:tc>
        <w:tc>
          <w:tcPr>
            <w:tcW w:w="6486" w:type="dxa"/>
            <w:vMerge w:val="restart"/>
            <w:noWrap w:val="0"/>
            <w:vAlign w:val="center"/>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如出现试验结果不合格时，应从该批管材（包括原检验不合格的管材）中另取双倍数量的试样进行该不合格项目的重复试验，重复试验结果全部合格，则判该批管材合格。若重复试验结果仍有试样不合格，则判该批管材不合格。经供需双方商定允许供方逐盘检验时，逐盘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力学性能</w:t>
            </w:r>
          </w:p>
        </w:tc>
        <w:tc>
          <w:tcPr>
            <w:tcW w:w="6486" w:type="dxa"/>
            <w:vMerge w:val="continue"/>
            <w:noWrap w:val="0"/>
            <w:vAlign w:val="top"/>
          </w:tcPr>
          <w:p>
            <w:pPr>
              <w:spacing w:line="240" w:lineRule="auto"/>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工艺性能</w:t>
            </w:r>
          </w:p>
        </w:tc>
        <w:tc>
          <w:tcPr>
            <w:tcW w:w="6486" w:type="dxa"/>
            <w:vMerge w:val="continue"/>
            <w:noWrap w:val="0"/>
            <w:vAlign w:val="top"/>
          </w:tcPr>
          <w:p>
            <w:pPr>
              <w:spacing w:line="240" w:lineRule="auto"/>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晶粒度</w:t>
            </w:r>
          </w:p>
        </w:tc>
        <w:tc>
          <w:tcPr>
            <w:tcW w:w="6486" w:type="dxa"/>
            <w:vMerge w:val="continue"/>
            <w:noWrap w:val="0"/>
            <w:vAlign w:val="top"/>
          </w:tcPr>
          <w:p>
            <w:pPr>
              <w:spacing w:line="240" w:lineRule="auto"/>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环保要求</w:t>
            </w:r>
          </w:p>
        </w:tc>
        <w:tc>
          <w:tcPr>
            <w:tcW w:w="6486" w:type="dxa"/>
            <w:vMerge w:val="continue"/>
            <w:noWrap w:val="0"/>
            <w:vAlign w:val="top"/>
          </w:tcPr>
          <w:p>
            <w:pPr>
              <w:spacing w:line="240" w:lineRule="auto"/>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2126" w:type="dxa"/>
            <w:noWrap w:val="0"/>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残余应力</w:t>
            </w:r>
          </w:p>
        </w:tc>
        <w:tc>
          <w:tcPr>
            <w:tcW w:w="6486" w:type="dxa"/>
            <w:vMerge w:val="continue"/>
            <w:noWrap w:val="0"/>
            <w:vAlign w:val="top"/>
          </w:tcPr>
          <w:p>
            <w:pPr>
              <w:spacing w:line="240" w:lineRule="auto"/>
              <w:rPr>
                <w:rFonts w:hint="eastAsia" w:ascii="宋体" w:hAnsi="宋体" w:eastAsia="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9</w:t>
            </w:r>
          </w:p>
        </w:tc>
        <w:tc>
          <w:tcPr>
            <w:tcW w:w="2126" w:type="dxa"/>
            <w:noWrap w:val="0"/>
            <w:vAlign w:val="center"/>
          </w:tcPr>
          <w:p>
            <w:pPr>
              <w:spacing w:line="240" w:lineRule="auto"/>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表面质量</w:t>
            </w:r>
          </w:p>
        </w:tc>
        <w:tc>
          <w:tcPr>
            <w:tcW w:w="6486" w:type="dxa"/>
            <w:noWrap w:val="0"/>
            <w:vAlign w:val="top"/>
          </w:tcPr>
          <w:p>
            <w:pPr>
              <w:spacing w:line="240" w:lineRule="auto"/>
              <w:rPr>
                <w:rFonts w:hint="eastAsia" w:ascii="宋体" w:hAnsi="宋体" w:eastAsia="宋体" w:cs="宋体"/>
                <w:color w:val="FF0000"/>
                <w:sz w:val="18"/>
                <w:szCs w:val="18"/>
              </w:rPr>
            </w:pPr>
            <w:r>
              <w:rPr>
                <w:rFonts w:hint="eastAsia" w:ascii="宋体" w:hAnsi="宋体" w:eastAsia="宋体" w:cs="宋体"/>
                <w:color w:val="auto"/>
                <w:sz w:val="18"/>
                <w:szCs w:val="18"/>
              </w:rPr>
              <w:t>如出现不合格时，按盘判不合格。每批中不合格件数超出接收质量限时判整批不合格，或由供方逐盘检验，逐盘判定。</w:t>
            </w:r>
          </w:p>
        </w:tc>
      </w:tr>
    </w:tbl>
    <w:p>
      <w:pPr>
        <w:pStyle w:val="21"/>
        <w:keepNext w:val="0"/>
        <w:keepLines w:val="0"/>
        <w:pageBreakBefore w:val="0"/>
        <w:widowControl w:val="0"/>
        <w:kinsoku/>
        <w:wordWrap/>
        <w:overflowPunct/>
        <w:topLinePunct w:val="0"/>
        <w:autoSpaceDE/>
        <w:autoSpaceDN/>
        <w:bidi w:val="0"/>
        <w:adjustRightInd w:val="0"/>
        <w:snapToGrid/>
        <w:spacing w:before="0" w:after="0"/>
        <w:textAlignment w:val="baseline"/>
        <w:rPr>
          <w:rFonts w:hint="default" w:hAnsi="黑体" w:eastAsia="黑体" w:cs="Times New Roman"/>
          <w:caps/>
          <w:color w:val="auto"/>
          <w:lang w:val="en-US" w:eastAsia="zh-CN"/>
        </w:rPr>
      </w:pPr>
    </w:p>
    <w:p>
      <w:pPr>
        <w:pStyle w:val="21"/>
        <w:keepNext w:val="0"/>
        <w:keepLines w:val="0"/>
        <w:pageBreakBefore w:val="0"/>
        <w:widowControl w:val="0"/>
        <w:kinsoku/>
        <w:wordWrap/>
        <w:overflowPunct/>
        <w:topLinePunct w:val="0"/>
        <w:autoSpaceDE/>
        <w:autoSpaceDN/>
        <w:bidi w:val="0"/>
        <w:adjustRightInd w:val="0"/>
        <w:snapToGrid/>
        <w:spacing w:before="0" w:beforeLines="100" w:after="0" w:afterLines="100" w:line="240" w:lineRule="auto"/>
        <w:textAlignment w:val="baseline"/>
        <w:rPr>
          <w:rFonts w:hAnsi="黑体" w:cs="Times New Roman"/>
          <w:caps/>
          <w:color w:val="auto"/>
        </w:rPr>
      </w:pPr>
      <w:r>
        <w:rPr>
          <w:rFonts w:hint="eastAsia" w:hAnsi="黑体" w:cs="Times New Roman"/>
          <w:caps/>
          <w:color w:val="auto"/>
          <w:lang w:val="en-US" w:eastAsia="zh-CN"/>
        </w:rPr>
        <w:t xml:space="preserve">8  </w:t>
      </w:r>
      <w:r>
        <w:rPr>
          <w:rFonts w:hAnsi="黑体" w:cs="Times New Roman"/>
          <w:caps/>
          <w:color w:val="auto"/>
        </w:rPr>
        <w:t>标志、包装、运输、贮存和</w:t>
      </w:r>
      <w:r>
        <w:rPr>
          <w:rFonts w:hint="eastAsia" w:hAnsi="黑体" w:cs="Times New Roman"/>
          <w:caps/>
          <w:color w:val="auto"/>
        </w:rPr>
        <w:t>随行文件</w:t>
      </w:r>
    </w:p>
    <w:p>
      <w:pPr>
        <w:pStyle w:val="3"/>
        <w:keepNext w:val="0"/>
        <w:keepLines w:val="0"/>
        <w:pageBreakBefore w:val="0"/>
        <w:widowControl w:val="0"/>
        <w:kinsoku/>
        <w:wordWrap/>
        <w:overflowPunct/>
        <w:topLinePunct w:val="0"/>
        <w:autoSpaceDE/>
        <w:autoSpaceDN/>
        <w:bidi w:val="0"/>
        <w:adjustRightInd w:val="0"/>
        <w:snapToGrid/>
        <w:spacing w:after="0" w:afterLines="50" w:line="240" w:lineRule="auto"/>
        <w:textAlignment w:val="baseline"/>
        <w:rPr>
          <w:rFonts w:hAnsi="黑体"/>
        </w:rPr>
      </w:pPr>
      <w:r>
        <w:rPr>
          <w:rFonts w:hint="eastAsia" w:hAnsi="黑体"/>
        </w:rPr>
        <w:t>8</w:t>
      </w:r>
      <w:r>
        <w:rPr>
          <w:rFonts w:hAnsi="黑体"/>
        </w:rPr>
        <w:t>.</w:t>
      </w:r>
      <w:r>
        <w:rPr>
          <w:rFonts w:hint="eastAsia" w:hAnsi="黑体"/>
          <w:lang w:val="en-US" w:eastAsia="zh-CN"/>
        </w:rPr>
        <w:t xml:space="preserve">1  </w:t>
      </w:r>
      <w:r>
        <w:rPr>
          <w:rFonts w:hAnsi="黑体"/>
        </w:rPr>
        <w:t>标志</w:t>
      </w:r>
    </w:p>
    <w:p>
      <w:pPr>
        <w:pStyle w:val="3"/>
        <w:keepNext w:val="0"/>
        <w:keepLines w:val="0"/>
        <w:pageBreakBefore w:val="0"/>
        <w:widowControl w:val="0"/>
        <w:kinsoku/>
        <w:wordWrap/>
        <w:overflowPunct/>
        <w:topLinePunct w:val="0"/>
        <w:autoSpaceDE/>
        <w:autoSpaceDN/>
        <w:bidi w:val="0"/>
        <w:adjustRightInd w:val="0"/>
        <w:snapToGrid/>
        <w:spacing w:line="240" w:lineRule="auto"/>
        <w:textAlignment w:val="baseline"/>
        <w:rPr>
          <w:rFonts w:hAnsi="黑体"/>
        </w:rPr>
      </w:pPr>
      <w:r>
        <w:rPr>
          <w:rFonts w:hint="eastAsia" w:hAnsi="黑体"/>
        </w:rPr>
        <w:t>8</w:t>
      </w:r>
      <w:r>
        <w:rPr>
          <w:rFonts w:hAnsi="黑体"/>
        </w:rPr>
        <w:t>.1.</w:t>
      </w:r>
      <w:r>
        <w:rPr>
          <w:rFonts w:hint="eastAsia" w:hAnsi="黑体"/>
          <w:lang w:val="en-US" w:eastAsia="zh-CN"/>
        </w:rPr>
        <w:t xml:space="preserve">1  </w:t>
      </w:r>
      <w:r>
        <w:rPr>
          <w:rFonts w:hAnsi="黑体"/>
        </w:rPr>
        <w:t>产品标志</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在检验合格的管材的标签上应标注如下标志：</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a） 供方技术监督部门的检印；</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b） 合金牌号；</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c） 规格；</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d） 供应状态；</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e） 批号；</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f） 生产日期；</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g） 净重；</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h）标准</w:t>
      </w:r>
      <w:r>
        <w:rPr>
          <w:rFonts w:hint="eastAsia" w:ascii="Times New Roman" w:hAnsi="Times New Roman" w:eastAsia="宋体"/>
        </w:rPr>
        <w:t>号</w:t>
      </w:r>
      <w:r>
        <w:rPr>
          <w:rFonts w:ascii="Times New Roman" w:hAnsi="Times New Roman" w:eastAsia="宋体"/>
        </w:rPr>
        <w:t>；</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ascii="Times New Roman" w:hAnsi="Times New Roman" w:eastAsia="宋体"/>
        </w:rPr>
        <w:t>i）</w:t>
      </w:r>
      <w:r>
        <w:rPr>
          <w:rFonts w:hint="eastAsia" w:ascii="Times New Roman" w:hAnsi="Times New Roman" w:eastAsia="宋体"/>
        </w:rPr>
        <w:t xml:space="preserve"> </w:t>
      </w:r>
      <w:r>
        <w:rPr>
          <w:rFonts w:ascii="Times New Roman" w:hAnsi="Times New Roman" w:eastAsia="宋体"/>
        </w:rPr>
        <w:t>其他。</w:t>
      </w:r>
    </w:p>
    <w:p>
      <w:pPr>
        <w:pStyle w:val="3"/>
        <w:keepNext w:val="0"/>
        <w:keepLines w:val="0"/>
        <w:pageBreakBefore w:val="0"/>
        <w:widowControl w:val="0"/>
        <w:kinsoku/>
        <w:wordWrap/>
        <w:overflowPunct/>
        <w:topLinePunct w:val="0"/>
        <w:autoSpaceDE/>
        <w:autoSpaceDN/>
        <w:bidi w:val="0"/>
        <w:adjustRightInd w:val="0"/>
        <w:snapToGrid/>
        <w:spacing w:after="120" w:afterLines="50" w:line="300" w:lineRule="auto"/>
        <w:textAlignment w:val="baseline"/>
        <w:rPr>
          <w:rFonts w:hAnsi="黑体"/>
        </w:rPr>
      </w:pPr>
      <w:r>
        <w:rPr>
          <w:rFonts w:hint="eastAsia" w:hAnsi="黑体"/>
        </w:rPr>
        <w:t>8</w:t>
      </w:r>
      <w:r>
        <w:rPr>
          <w:rFonts w:hAnsi="黑体"/>
        </w:rPr>
        <w:t>.1.2</w:t>
      </w:r>
      <w:r>
        <w:rPr>
          <w:rFonts w:hint="eastAsia" w:hAnsi="黑体"/>
          <w:lang w:val="en-US" w:eastAsia="zh-CN"/>
        </w:rPr>
        <w:t xml:space="preserve">  </w:t>
      </w:r>
      <w:r>
        <w:rPr>
          <w:rFonts w:hAnsi="黑体"/>
        </w:rPr>
        <w:t>包装标志</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ascii="Times New Roman" w:hAnsi="Times New Roman" w:eastAsia="宋体"/>
        </w:rPr>
      </w:pPr>
      <w:r>
        <w:rPr>
          <w:rFonts w:hint="eastAsia" w:ascii="宋体" w:hAnsi="宋体" w:eastAsia="宋体" w:cs="宋体"/>
        </w:rPr>
        <w:t>管材的包装箱标志应符合GB/T 8888的规定</w:t>
      </w:r>
      <w:r>
        <w:rPr>
          <w:rFonts w:ascii="Times New Roman" w:hAnsi="Times New Roman" w:eastAsia="宋体"/>
        </w:rPr>
        <w:t>。</w:t>
      </w:r>
    </w:p>
    <w:p>
      <w:pPr>
        <w:pStyle w:val="3"/>
        <w:keepNext w:val="0"/>
        <w:keepLines w:val="0"/>
        <w:pageBreakBefore w:val="0"/>
        <w:widowControl w:val="0"/>
        <w:kinsoku/>
        <w:wordWrap/>
        <w:overflowPunct/>
        <w:topLinePunct w:val="0"/>
        <w:autoSpaceDE/>
        <w:autoSpaceDN/>
        <w:bidi w:val="0"/>
        <w:adjustRightInd w:val="0"/>
        <w:snapToGrid/>
        <w:spacing w:after="0" w:afterLines="50" w:line="300" w:lineRule="auto"/>
        <w:textAlignment w:val="baseline"/>
        <w:rPr>
          <w:rFonts w:hint="eastAsia" w:hAnsi="黑体"/>
        </w:rPr>
      </w:pPr>
      <w:r>
        <w:rPr>
          <w:rFonts w:hint="eastAsia" w:hAnsi="黑体"/>
        </w:rPr>
        <w:t>8</w:t>
      </w:r>
      <w:r>
        <w:rPr>
          <w:rFonts w:hAnsi="黑体"/>
        </w:rPr>
        <w:t>.</w:t>
      </w:r>
      <w:r>
        <w:rPr>
          <w:rFonts w:hint="eastAsia" w:hAnsi="黑体"/>
          <w:lang w:val="en-US" w:eastAsia="zh-CN"/>
        </w:rPr>
        <w:t xml:space="preserve">2  </w:t>
      </w:r>
      <w:r>
        <w:rPr>
          <w:rFonts w:hAnsi="黑体"/>
        </w:rPr>
        <w:t>包装、运输、贮存</w:t>
      </w:r>
    </w:p>
    <w:p>
      <w:pPr>
        <w:pStyle w:val="3"/>
        <w:keepNext w:val="0"/>
        <w:keepLines w:val="0"/>
        <w:pageBreakBefore w:val="0"/>
        <w:widowControl w:val="0"/>
        <w:kinsoku/>
        <w:wordWrap/>
        <w:overflowPunct/>
        <w:topLinePunct w:val="0"/>
        <w:autoSpaceDE/>
        <w:autoSpaceDN/>
        <w:bidi w:val="0"/>
        <w:adjustRightInd w:val="0"/>
        <w:snapToGrid/>
        <w:spacing w:line="300" w:lineRule="auto"/>
        <w:textAlignment w:val="baseline"/>
        <w:rPr>
          <w:rFonts w:ascii="Times New Roman" w:hAnsi="Times New Roman" w:eastAsia="宋体"/>
        </w:rPr>
      </w:pPr>
      <w:r>
        <w:rPr>
          <w:rFonts w:hint="eastAsia" w:hAnsi="黑体"/>
        </w:rPr>
        <w:t>8</w:t>
      </w:r>
      <w:r>
        <w:rPr>
          <w:rFonts w:hAnsi="黑体"/>
        </w:rPr>
        <w:t>.2.</w:t>
      </w:r>
      <w:r>
        <w:rPr>
          <w:rFonts w:hint="eastAsia" w:hAnsi="黑体"/>
          <w:lang w:val="en-US" w:eastAsia="zh-CN"/>
        </w:rPr>
        <w:t xml:space="preserve">1  </w:t>
      </w:r>
      <w:r>
        <w:rPr>
          <w:rFonts w:hint="eastAsia" w:ascii="宋体" w:hAnsi="宋体" w:eastAsia="宋体" w:cs="宋体"/>
        </w:rPr>
        <w:t>管材的包装、运输、贮存应符合GB/T 8888的规定。</w:t>
      </w:r>
    </w:p>
    <w:p>
      <w:pPr>
        <w:pStyle w:val="3"/>
        <w:keepNext w:val="0"/>
        <w:keepLines w:val="0"/>
        <w:pageBreakBefore w:val="0"/>
        <w:widowControl w:val="0"/>
        <w:kinsoku/>
        <w:wordWrap/>
        <w:overflowPunct/>
        <w:topLinePunct w:val="0"/>
        <w:autoSpaceDE/>
        <w:autoSpaceDN/>
        <w:bidi w:val="0"/>
        <w:adjustRightInd w:val="0"/>
        <w:snapToGrid/>
        <w:spacing w:line="300" w:lineRule="auto"/>
        <w:textAlignment w:val="baseline"/>
        <w:rPr>
          <w:rFonts w:hint="eastAsia" w:ascii="Times New Roman" w:hAnsi="Times New Roman" w:eastAsia="宋体"/>
        </w:rPr>
      </w:pPr>
      <w:r>
        <w:rPr>
          <w:rFonts w:hint="eastAsia" w:hAnsi="黑体"/>
        </w:rPr>
        <w:t>8</w:t>
      </w:r>
      <w:r>
        <w:rPr>
          <w:rFonts w:hAnsi="黑体"/>
        </w:rPr>
        <w:t>.2.</w:t>
      </w:r>
      <w:r>
        <w:rPr>
          <w:rFonts w:hint="eastAsia" w:hAnsi="黑体"/>
          <w:lang w:val="en-US" w:eastAsia="zh-CN"/>
        </w:rPr>
        <w:t xml:space="preserve">2  </w:t>
      </w:r>
      <w:r>
        <w:rPr>
          <w:rFonts w:ascii="Times New Roman" w:hAnsi="Times New Roman" w:eastAsia="宋体"/>
        </w:rPr>
        <w:t>包装方式有特殊要求时由供需双方协商确定。</w:t>
      </w:r>
    </w:p>
    <w:p>
      <w:pPr>
        <w:pStyle w:val="3"/>
        <w:keepNext w:val="0"/>
        <w:keepLines w:val="0"/>
        <w:pageBreakBefore w:val="0"/>
        <w:widowControl w:val="0"/>
        <w:kinsoku/>
        <w:wordWrap/>
        <w:overflowPunct/>
        <w:topLinePunct w:val="0"/>
        <w:autoSpaceDE/>
        <w:autoSpaceDN/>
        <w:bidi w:val="0"/>
        <w:adjustRightInd w:val="0"/>
        <w:snapToGrid/>
        <w:spacing w:after="0" w:afterLines="50" w:line="300" w:lineRule="auto"/>
        <w:textAlignment w:val="baseline"/>
        <w:rPr>
          <w:rFonts w:hAnsi="黑体"/>
        </w:rPr>
      </w:pPr>
      <w:r>
        <w:rPr>
          <w:rFonts w:hint="eastAsia" w:hAnsi="黑体"/>
        </w:rPr>
        <w:t>8.</w:t>
      </w:r>
      <w:r>
        <w:rPr>
          <w:rFonts w:hint="eastAsia" w:hAnsi="黑体"/>
          <w:lang w:val="en-US" w:eastAsia="zh-CN"/>
        </w:rPr>
        <w:t xml:space="preserve">3  </w:t>
      </w:r>
      <w:r>
        <w:rPr>
          <w:rFonts w:hint="eastAsia" w:hAnsi="黑体"/>
        </w:rPr>
        <w:t>随行文件</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Times New Roman" w:hAnsi="Times New Roman" w:eastAsia="宋体"/>
        </w:rPr>
      </w:pPr>
      <w:r>
        <w:rPr>
          <w:rFonts w:hint="eastAsia" w:ascii="Times New Roman" w:hAnsi="Times New Roman" w:eastAsia="宋体"/>
        </w:rPr>
        <w:t>每批产品应附有随行文件，其中除应包括供方信息、产品信息、本文件编号、出厂日期或包装日期外，还宜包括：</w:t>
      </w:r>
    </w:p>
    <w:p>
      <w:pPr>
        <w:pStyle w:val="3"/>
        <w:keepNext w:val="0"/>
        <w:keepLines w:val="0"/>
        <w:pageBreakBefore w:val="0"/>
        <w:widowControl w:val="0"/>
        <w:tabs>
          <w:tab w:val="left" w:pos="1770"/>
          <w:tab w:val="clear" w:pos="2400"/>
        </w:tabs>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a）产品质量保证书，内容如下：</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·产品的主要性能及技术参数；</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·产品特点（包括制造工艺及原材料的特点）；</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·对产品质量所负的责任；</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·产品获得的质量认证及带供方技术监督部门检印的各项分析检验结果。</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b）产品合格证，内容如下：</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·检验项目及其结果或检验结论；</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·批量或批号；</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·检验日期；</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·检验员签名或盖章。</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c）产品质量控制过程中的检验报告及成品检验报告；</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d）产品使用说明：正确搬运、使用、贮存方法等；</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e）其他。</w:t>
      </w:r>
    </w:p>
    <w:p>
      <w:pPr>
        <w:pStyle w:val="3"/>
        <w:keepNext w:val="0"/>
        <w:keepLines w:val="0"/>
        <w:pageBreakBefore w:val="0"/>
        <w:widowControl w:val="0"/>
        <w:kinsoku/>
        <w:wordWrap/>
        <w:overflowPunct/>
        <w:topLinePunct w:val="0"/>
        <w:autoSpaceDE/>
        <w:autoSpaceDN/>
        <w:bidi w:val="0"/>
        <w:adjustRightInd w:val="0"/>
        <w:snapToGrid/>
        <w:spacing w:before="0" w:beforeLines="100" w:after="0" w:afterLines="100" w:line="300" w:lineRule="auto"/>
        <w:textAlignment w:val="baseline"/>
        <w:rPr>
          <w:rFonts w:hAnsi="黑体"/>
        </w:rPr>
      </w:pPr>
      <w:r>
        <w:rPr>
          <w:rFonts w:hint="eastAsia" w:hAnsi="黑体"/>
        </w:rPr>
        <w:t>9</w:t>
      </w:r>
      <w:r>
        <w:rPr>
          <w:rFonts w:hint="eastAsia" w:hAnsi="黑体"/>
          <w:lang w:val="en-US" w:eastAsia="zh-CN"/>
        </w:rPr>
        <w:t xml:space="preserve">  </w:t>
      </w:r>
      <w:r>
        <w:rPr>
          <w:rFonts w:ascii="黑体" w:hAnsi="黑体" w:eastAsia="黑体" w:cs="Times New Roman"/>
          <w:caps/>
          <w:color w:val="auto"/>
          <w:sz w:val="21"/>
          <w:szCs w:val="21"/>
          <w:lang w:val="en-US" w:eastAsia="zh-CN" w:bidi="ar-SA"/>
        </w:rPr>
        <w:t>订货单</w:t>
      </w:r>
      <w:r>
        <w:rPr>
          <w:rFonts w:hint="eastAsia" w:ascii="黑体" w:hAnsi="黑体" w:eastAsia="黑体" w:cs="Times New Roman"/>
          <w:caps/>
          <w:color w:val="auto"/>
          <w:sz w:val="21"/>
          <w:szCs w:val="21"/>
          <w:lang w:val="en-US" w:eastAsia="zh-CN" w:bidi="ar-SA"/>
        </w:rPr>
        <w:t>内容</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需方可根据自身的需要，在订购本文件所列产品的订货单内，列出如下内容：</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a） 产品名称；</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b） 牌号；</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c） 状态；</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d） 种类；</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e） 规格；</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lang w:val="en-US" w:eastAsia="zh-CN"/>
        </w:rPr>
      </w:pPr>
      <w:r>
        <w:rPr>
          <w:rFonts w:hint="eastAsia" w:ascii="宋体" w:hAnsi="宋体" w:eastAsia="宋体" w:cs="宋体"/>
        </w:rPr>
        <w:t xml:space="preserve">F） 重量或盘数； </w:t>
      </w:r>
      <w:r>
        <w:rPr>
          <w:rFonts w:hint="eastAsia" w:ascii="宋体" w:eastAsia="宋体" w:cs="宋体"/>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g） 体积电阻率；</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h） 晶粒度（需方有要求时）；</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i） 环保要求（需方有要求时）；</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j） 残余应力</w:t>
      </w:r>
      <w:r>
        <w:rPr>
          <w:rFonts w:hint="eastAsia" w:ascii="宋体" w:hAnsi="宋体" w:eastAsia="宋体" w:cs="宋体"/>
          <w:color w:val="auto"/>
        </w:rPr>
        <w:t>；</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k） 本文件编号；</w:t>
      </w:r>
    </w:p>
    <w:p>
      <w:pPr>
        <w:pStyle w:val="3"/>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baseline"/>
        <w:rPr>
          <w:rFonts w:hint="eastAsia" w:ascii="宋体" w:hAnsi="宋体" w:eastAsia="宋体" w:cs="宋体"/>
        </w:rPr>
      </w:pPr>
      <w:r>
        <w:rPr>
          <w:rFonts w:hint="eastAsia" w:ascii="宋体" w:hAnsi="宋体" w:eastAsia="宋体" w:cs="宋体"/>
        </w:rPr>
        <w:t>l） 其他。</w:t>
      </w:r>
    </w:p>
    <w:p>
      <w:pPr>
        <w:spacing w:line="240" w:lineRule="auto"/>
      </w:pPr>
      <w: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121920</wp:posOffset>
                </wp:positionV>
                <wp:extent cx="1828800" cy="0"/>
                <wp:effectExtent l="0" t="0" r="0" b="0"/>
                <wp:wrapNone/>
                <wp:docPr id="5" name="直线 8"/>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35pt;margin-top:9.6pt;height:0pt;width:144pt;z-index:251663360;mso-width-relative:page;mso-height-relative:page;" filled="f" stroked="t" coordsize="21600,21600" o:gfxdata="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Gn71QAA&#10;AAkBAAAPAAAAAAAAAAEAIAAAACIAAABkcnMvZG93bnJldi54bWxQSwECFAAUAAAACACHTuJAeFnv&#10;VegBAADbAwAADgAAAAAAAAABACAAAAAkAQAAZHJzL2Uyb0RvYy54bWxQSwUGAAAAAAYABgBZAQAA&#10;fgUAAAAA&#10;">
                <v:fill on="f" focussize="0,0"/>
                <v:stroke color="#000000" joinstyle="round"/>
                <v:imagedata o:title=""/>
                <o:lock v:ext="edit" aspectratio="f"/>
              </v:line>
            </w:pict>
          </mc:Fallback>
        </mc:AlternateContent>
      </w:r>
    </w:p>
    <w:sectPr>
      <w:footerReference r:id="rId11" w:type="default"/>
      <w:footerReference r:id="rId12" w:type="even"/>
      <w:pgSz w:w="11907" w:h="16840"/>
      <w:pgMar w:top="1985" w:right="1134" w:bottom="1304" w:left="1418" w:header="720" w:footer="720" w:gutter="0"/>
      <w:pgBorders w:offsetFrom="page">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8460" w:hanging="8460" w:hangingChars="4700"/>
      <w:jc w:val="right"/>
      <w:rPr>
        <w:rFonts w:hint="default" w:eastAsia="宋体"/>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9000" w:leftChars="3750" w:right="360" w:firstLine="0" w:firstLineChars="0"/>
      <w:rPr>
        <w:rFonts w:hint="default"/>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宋体" w:hAnsi="宋体" w:eastAsia="宋体" w:cs="宋体"/>
        <w:sz w:val="18"/>
      </w:rPr>
      <mc:AlternateContent>
        <mc:Choice Requires="wps">
          <w:drawing>
            <wp:anchor distT="0" distB="0" distL="114300" distR="114300" simplePos="0" relativeHeight="251664384" behindDoc="0" locked="0" layoutInCell="1" allowOverlap="1">
              <wp:simplePos x="0" y="0"/>
              <wp:positionH relativeFrom="margin">
                <wp:posOffset>5958205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9.15pt;margin-top:0pt;height:144pt;width:144pt;mso-position-horizontal-relative:margin;mso-wrap-style:none;z-index:251664384;mso-width-relative:page;mso-height-relative:page;" filled="f" stroked="f" coordsize="21600,21600" o:gfxdata="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n62l/VAAAACQEAAA8AAAAAAAAAAQAgAAAAIgAAAGRycy9kb3ducmV2LnhtbFBL&#10;AQIUABQAAAAIAIdO4kDmU02ZMgIAAGMEAAAOAAAAAAAAAAEAIAAAACQBAABkcnMvZTJvRG9jLnht&#10;bFBLBQYAAAAABgAGAFkBAADIBQ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GB/T 26024-XXXX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pPr>
    <w:r>
      <w:rPr>
        <w:rFonts w:hint="eastAsia"/>
      </w:rPr>
      <w:t xml:space="preserve">GB/T </w:t>
    </w:r>
    <w:r>
      <w:rPr>
        <w:rFonts w:hint="eastAsia"/>
        <w:lang w:val="en-US" w:eastAsia="zh-CN"/>
      </w:rPr>
      <w:t>26024</w:t>
    </w:r>
    <w:r>
      <w:rPr>
        <w:rFonts w:hint="eastAsia"/>
      </w:rPr>
      <w:t xml:space="preserve">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GB/T 26024-XXXX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F5EDB"/>
    <w:multiLevelType w:val="multilevel"/>
    <w:tmpl w:val="3EBF5EDB"/>
    <w:lvl w:ilvl="0" w:tentative="0">
      <w:start w:val="1"/>
      <w:numFmt w:val="decimal"/>
      <w:pStyle w:val="2"/>
      <w:suff w:val="space"/>
      <w:lvlText w:val="%1 "/>
      <w:lvlJc w:val="left"/>
      <w:pPr>
        <w:ind w:left="0" w:firstLine="0"/>
      </w:pPr>
      <w:rPr>
        <w:rFonts w:hint="default" w:ascii="Verdana" w:hAnsi="Verdana" w:eastAsia="黑体"/>
        <w:sz w:val="21"/>
      </w:rPr>
    </w:lvl>
    <w:lvl w:ilvl="1" w:tentative="0">
      <w:start w:val="1"/>
      <w:numFmt w:val="decimal"/>
      <w:pStyle w:val="5"/>
      <w:suff w:val="space"/>
      <w:lvlText w:val="%1.%2 "/>
      <w:lvlJc w:val="left"/>
      <w:pPr>
        <w:ind w:left="0" w:firstLine="0"/>
      </w:pPr>
      <w:rPr>
        <w:rFonts w:hint="default" w:ascii="Verdana" w:hAnsi="Verdana" w:eastAsia="宋体"/>
        <w:sz w:val="21"/>
      </w:rPr>
    </w:lvl>
    <w:lvl w:ilvl="2" w:tentative="0">
      <w:start w:val="1"/>
      <w:numFmt w:val="decimal"/>
      <w:pStyle w:val="7"/>
      <w:suff w:val="space"/>
      <w:lvlText w:val="%1.%2.%3 "/>
      <w:lvlJc w:val="left"/>
      <w:pPr>
        <w:ind w:left="0" w:firstLine="0"/>
      </w:pPr>
      <w:rPr>
        <w:rFonts w:hint="default" w:ascii="Verdana" w:hAnsi="Verdana" w:eastAsia="宋体"/>
        <w:sz w:val="21"/>
      </w:rPr>
    </w:lvl>
    <w:lvl w:ilvl="3" w:tentative="0">
      <w:start w:val="1"/>
      <w:numFmt w:val="decimal"/>
      <w:pStyle w:val="8"/>
      <w:suff w:val="space"/>
      <w:lvlText w:val="%1.%2.%3.%4 "/>
      <w:lvlJc w:val="left"/>
      <w:pPr>
        <w:ind w:left="0" w:firstLine="0"/>
      </w:pPr>
      <w:rPr>
        <w:rFonts w:hint="default" w:ascii="Verdana" w:hAnsi="Verdana" w:eastAsia="宋体"/>
        <w:sz w:val="21"/>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
    <w:nsid w:val="55DD4713"/>
    <w:multiLevelType w:val="multilevel"/>
    <w:tmpl w:val="55DD4713"/>
    <w:lvl w:ilvl="0" w:tentative="0">
      <w:start w:val="1"/>
      <w:numFmt w:val="lowerLetter"/>
      <w:pStyle w:val="57"/>
      <w:lvlText w:val="%1."/>
      <w:lvlJc w:val="left"/>
      <w:pPr>
        <w:tabs>
          <w:tab w:val="left" w:pos="890"/>
        </w:tabs>
        <w:ind w:left="89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58"/>
      <w:suff w:val="nothing"/>
      <w:lvlText w:val="%1%2.%3　"/>
      <w:lvlJc w:val="left"/>
      <w:pPr>
        <w:ind w:left="993" w:firstLine="0"/>
      </w:pPr>
      <w:rPr>
        <w:rFonts w:hint="eastAsia" w:ascii="黑体" w:hAnsi="Times New Roman" w:eastAsia="黑体"/>
        <w:b w:val="0"/>
        <w:i w:val="0"/>
        <w:sz w:val="21"/>
      </w:rPr>
    </w:lvl>
    <w:lvl w:ilvl="3" w:tentative="0">
      <w:start w:val="1"/>
      <w:numFmt w:val="decimal"/>
      <w:pStyle w:val="62"/>
      <w:suff w:val="nothing"/>
      <w:lvlText w:val="%1%2.%3.%4　"/>
      <w:lvlJc w:val="left"/>
      <w:pPr>
        <w:ind w:left="2552"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6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40"/>
  <w:hyphenationZone w:val="360"/>
  <w:evenAndOddHeaders w:val="1"/>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awingValume" w:val="隐藏"/>
    <w:docVar w:name="GotoValume" w:val="隐藏"/>
    <w:docVar w:name="SXValume" w:val="隐藏"/>
  </w:docVars>
  <w:rsids>
    <w:rsidRoot w:val="00942129"/>
    <w:rsid w:val="0000178B"/>
    <w:rsid w:val="000079D8"/>
    <w:rsid w:val="00010A4A"/>
    <w:rsid w:val="00010F0A"/>
    <w:rsid w:val="00011A45"/>
    <w:rsid w:val="0001227D"/>
    <w:rsid w:val="00014B87"/>
    <w:rsid w:val="0001539D"/>
    <w:rsid w:val="00015E94"/>
    <w:rsid w:val="0001699C"/>
    <w:rsid w:val="000203EE"/>
    <w:rsid w:val="0002137D"/>
    <w:rsid w:val="00024044"/>
    <w:rsid w:val="0002464D"/>
    <w:rsid w:val="00027F6D"/>
    <w:rsid w:val="000304CD"/>
    <w:rsid w:val="00032AA2"/>
    <w:rsid w:val="00032E85"/>
    <w:rsid w:val="00032FAE"/>
    <w:rsid w:val="0003343D"/>
    <w:rsid w:val="000334D9"/>
    <w:rsid w:val="00037F08"/>
    <w:rsid w:val="00042A62"/>
    <w:rsid w:val="0004428E"/>
    <w:rsid w:val="00045607"/>
    <w:rsid w:val="00047F0D"/>
    <w:rsid w:val="0005184F"/>
    <w:rsid w:val="0005394C"/>
    <w:rsid w:val="0005435C"/>
    <w:rsid w:val="00054571"/>
    <w:rsid w:val="00054C29"/>
    <w:rsid w:val="00054E07"/>
    <w:rsid w:val="00056245"/>
    <w:rsid w:val="00057DB4"/>
    <w:rsid w:val="00057DE1"/>
    <w:rsid w:val="00057EA9"/>
    <w:rsid w:val="00057F09"/>
    <w:rsid w:val="0006071E"/>
    <w:rsid w:val="000621C5"/>
    <w:rsid w:val="000625B5"/>
    <w:rsid w:val="00064159"/>
    <w:rsid w:val="0006434E"/>
    <w:rsid w:val="0006557B"/>
    <w:rsid w:val="00067641"/>
    <w:rsid w:val="00071B4A"/>
    <w:rsid w:val="0007434D"/>
    <w:rsid w:val="00074C9F"/>
    <w:rsid w:val="00077561"/>
    <w:rsid w:val="0008247C"/>
    <w:rsid w:val="00094DA4"/>
    <w:rsid w:val="00095933"/>
    <w:rsid w:val="00096A38"/>
    <w:rsid w:val="00097613"/>
    <w:rsid w:val="000A3669"/>
    <w:rsid w:val="000A57BB"/>
    <w:rsid w:val="000A600F"/>
    <w:rsid w:val="000B1865"/>
    <w:rsid w:val="000B1AB5"/>
    <w:rsid w:val="000B45F1"/>
    <w:rsid w:val="000B476C"/>
    <w:rsid w:val="000B4A1D"/>
    <w:rsid w:val="000B586A"/>
    <w:rsid w:val="000B6599"/>
    <w:rsid w:val="000B6666"/>
    <w:rsid w:val="000B7607"/>
    <w:rsid w:val="000B7BA9"/>
    <w:rsid w:val="000C3573"/>
    <w:rsid w:val="000C5619"/>
    <w:rsid w:val="000D06E1"/>
    <w:rsid w:val="000D38FD"/>
    <w:rsid w:val="000D429B"/>
    <w:rsid w:val="000E0B1D"/>
    <w:rsid w:val="000E1DF6"/>
    <w:rsid w:val="000E277F"/>
    <w:rsid w:val="000E48B0"/>
    <w:rsid w:val="000E659D"/>
    <w:rsid w:val="000E6E44"/>
    <w:rsid w:val="000E78BD"/>
    <w:rsid w:val="000E7D98"/>
    <w:rsid w:val="000E7EE4"/>
    <w:rsid w:val="000F0607"/>
    <w:rsid w:val="000F25C6"/>
    <w:rsid w:val="000F362F"/>
    <w:rsid w:val="000F537F"/>
    <w:rsid w:val="000F6245"/>
    <w:rsid w:val="000F7434"/>
    <w:rsid w:val="00100A39"/>
    <w:rsid w:val="001019C6"/>
    <w:rsid w:val="0010417D"/>
    <w:rsid w:val="001058F4"/>
    <w:rsid w:val="00106060"/>
    <w:rsid w:val="001068AA"/>
    <w:rsid w:val="00106AE5"/>
    <w:rsid w:val="00110BD6"/>
    <w:rsid w:val="00111813"/>
    <w:rsid w:val="00113740"/>
    <w:rsid w:val="001177FD"/>
    <w:rsid w:val="00121471"/>
    <w:rsid w:val="00121C68"/>
    <w:rsid w:val="00122A00"/>
    <w:rsid w:val="001234AE"/>
    <w:rsid w:val="00124E8A"/>
    <w:rsid w:val="00130CC5"/>
    <w:rsid w:val="00130DA2"/>
    <w:rsid w:val="00131C25"/>
    <w:rsid w:val="00132A71"/>
    <w:rsid w:val="00133F8F"/>
    <w:rsid w:val="0013553B"/>
    <w:rsid w:val="00135B69"/>
    <w:rsid w:val="00140AD7"/>
    <w:rsid w:val="00142AD3"/>
    <w:rsid w:val="0014426D"/>
    <w:rsid w:val="001469E6"/>
    <w:rsid w:val="00155522"/>
    <w:rsid w:val="00156446"/>
    <w:rsid w:val="00164C88"/>
    <w:rsid w:val="001650D2"/>
    <w:rsid w:val="0016766A"/>
    <w:rsid w:val="00173338"/>
    <w:rsid w:val="00177BF4"/>
    <w:rsid w:val="00180676"/>
    <w:rsid w:val="00182E24"/>
    <w:rsid w:val="0018380C"/>
    <w:rsid w:val="00185E37"/>
    <w:rsid w:val="00191C8C"/>
    <w:rsid w:val="00194742"/>
    <w:rsid w:val="00194DF7"/>
    <w:rsid w:val="00196508"/>
    <w:rsid w:val="00196A11"/>
    <w:rsid w:val="001A0E05"/>
    <w:rsid w:val="001A0E43"/>
    <w:rsid w:val="001A1A37"/>
    <w:rsid w:val="001A293D"/>
    <w:rsid w:val="001A776A"/>
    <w:rsid w:val="001B1D3F"/>
    <w:rsid w:val="001B366D"/>
    <w:rsid w:val="001B5802"/>
    <w:rsid w:val="001B59CC"/>
    <w:rsid w:val="001B5AFD"/>
    <w:rsid w:val="001B6266"/>
    <w:rsid w:val="001B73CE"/>
    <w:rsid w:val="001C06D2"/>
    <w:rsid w:val="001C08D8"/>
    <w:rsid w:val="001C1923"/>
    <w:rsid w:val="001C1B7C"/>
    <w:rsid w:val="001C2313"/>
    <w:rsid w:val="001C2E41"/>
    <w:rsid w:val="001C2F9F"/>
    <w:rsid w:val="001C440E"/>
    <w:rsid w:val="001C46B3"/>
    <w:rsid w:val="001C7827"/>
    <w:rsid w:val="001C7D05"/>
    <w:rsid w:val="001D0A0D"/>
    <w:rsid w:val="001D321E"/>
    <w:rsid w:val="001D49B1"/>
    <w:rsid w:val="001D564F"/>
    <w:rsid w:val="001D6A8D"/>
    <w:rsid w:val="001E0F2D"/>
    <w:rsid w:val="001E3258"/>
    <w:rsid w:val="001E34D4"/>
    <w:rsid w:val="001E7C5B"/>
    <w:rsid w:val="001E7F66"/>
    <w:rsid w:val="001F19C5"/>
    <w:rsid w:val="001F20A1"/>
    <w:rsid w:val="001F4332"/>
    <w:rsid w:val="001F468D"/>
    <w:rsid w:val="00200715"/>
    <w:rsid w:val="00202614"/>
    <w:rsid w:val="00202BD9"/>
    <w:rsid w:val="00203753"/>
    <w:rsid w:val="00204A28"/>
    <w:rsid w:val="0020620C"/>
    <w:rsid w:val="00206318"/>
    <w:rsid w:val="00206565"/>
    <w:rsid w:val="0021066E"/>
    <w:rsid w:val="00216D17"/>
    <w:rsid w:val="002210E3"/>
    <w:rsid w:val="00225106"/>
    <w:rsid w:val="00227113"/>
    <w:rsid w:val="00232584"/>
    <w:rsid w:val="00233F8C"/>
    <w:rsid w:val="00235371"/>
    <w:rsid w:val="00237C5B"/>
    <w:rsid w:val="00240993"/>
    <w:rsid w:val="00241B68"/>
    <w:rsid w:val="002424C4"/>
    <w:rsid w:val="0024260F"/>
    <w:rsid w:val="00244114"/>
    <w:rsid w:val="0025207E"/>
    <w:rsid w:val="00254A09"/>
    <w:rsid w:val="0025586D"/>
    <w:rsid w:val="0026012A"/>
    <w:rsid w:val="00265248"/>
    <w:rsid w:val="00266497"/>
    <w:rsid w:val="002705C3"/>
    <w:rsid w:val="00270CD8"/>
    <w:rsid w:val="0027263D"/>
    <w:rsid w:val="00272EF9"/>
    <w:rsid w:val="00273971"/>
    <w:rsid w:val="00274355"/>
    <w:rsid w:val="00274A45"/>
    <w:rsid w:val="0027678A"/>
    <w:rsid w:val="00277F48"/>
    <w:rsid w:val="002802E8"/>
    <w:rsid w:val="00281474"/>
    <w:rsid w:val="00281E7B"/>
    <w:rsid w:val="0028281D"/>
    <w:rsid w:val="002840ED"/>
    <w:rsid w:val="00284EBE"/>
    <w:rsid w:val="00286581"/>
    <w:rsid w:val="00290C3C"/>
    <w:rsid w:val="00291A1D"/>
    <w:rsid w:val="0029260F"/>
    <w:rsid w:val="0029385E"/>
    <w:rsid w:val="00295922"/>
    <w:rsid w:val="00296A86"/>
    <w:rsid w:val="002A04DD"/>
    <w:rsid w:val="002A1B92"/>
    <w:rsid w:val="002A20F9"/>
    <w:rsid w:val="002A28F9"/>
    <w:rsid w:val="002A4392"/>
    <w:rsid w:val="002B17FF"/>
    <w:rsid w:val="002B1A96"/>
    <w:rsid w:val="002B2F47"/>
    <w:rsid w:val="002B45C6"/>
    <w:rsid w:val="002C119A"/>
    <w:rsid w:val="002C1D97"/>
    <w:rsid w:val="002C3645"/>
    <w:rsid w:val="002C5717"/>
    <w:rsid w:val="002C673C"/>
    <w:rsid w:val="002C73E1"/>
    <w:rsid w:val="002D2FB3"/>
    <w:rsid w:val="002D30FB"/>
    <w:rsid w:val="002D4343"/>
    <w:rsid w:val="002D595B"/>
    <w:rsid w:val="002D72AD"/>
    <w:rsid w:val="002E2D40"/>
    <w:rsid w:val="002F0719"/>
    <w:rsid w:val="002F1CA6"/>
    <w:rsid w:val="002F2116"/>
    <w:rsid w:val="002F7460"/>
    <w:rsid w:val="0030005E"/>
    <w:rsid w:val="00300109"/>
    <w:rsid w:val="00302080"/>
    <w:rsid w:val="00303769"/>
    <w:rsid w:val="00303E2D"/>
    <w:rsid w:val="0030685A"/>
    <w:rsid w:val="0031013C"/>
    <w:rsid w:val="00312F74"/>
    <w:rsid w:val="00313088"/>
    <w:rsid w:val="00313211"/>
    <w:rsid w:val="0031705C"/>
    <w:rsid w:val="00322427"/>
    <w:rsid w:val="00322E34"/>
    <w:rsid w:val="003232FD"/>
    <w:rsid w:val="00323FA8"/>
    <w:rsid w:val="003243BE"/>
    <w:rsid w:val="00324EE4"/>
    <w:rsid w:val="003270ED"/>
    <w:rsid w:val="0033371F"/>
    <w:rsid w:val="00335DDB"/>
    <w:rsid w:val="00336159"/>
    <w:rsid w:val="00336AC9"/>
    <w:rsid w:val="00336BE6"/>
    <w:rsid w:val="00343B87"/>
    <w:rsid w:val="00343CD2"/>
    <w:rsid w:val="0034460B"/>
    <w:rsid w:val="003452C0"/>
    <w:rsid w:val="003509DC"/>
    <w:rsid w:val="00351E83"/>
    <w:rsid w:val="00352BFD"/>
    <w:rsid w:val="00352E80"/>
    <w:rsid w:val="00354BF5"/>
    <w:rsid w:val="00356D85"/>
    <w:rsid w:val="0035762C"/>
    <w:rsid w:val="0036107D"/>
    <w:rsid w:val="00361437"/>
    <w:rsid w:val="003628A7"/>
    <w:rsid w:val="00362E33"/>
    <w:rsid w:val="003632E6"/>
    <w:rsid w:val="00371877"/>
    <w:rsid w:val="0037316F"/>
    <w:rsid w:val="00373AD9"/>
    <w:rsid w:val="00373B0E"/>
    <w:rsid w:val="00375BB2"/>
    <w:rsid w:val="00376C0B"/>
    <w:rsid w:val="00380058"/>
    <w:rsid w:val="0038011D"/>
    <w:rsid w:val="00382EA8"/>
    <w:rsid w:val="00382FFF"/>
    <w:rsid w:val="00397338"/>
    <w:rsid w:val="00397A77"/>
    <w:rsid w:val="003A016D"/>
    <w:rsid w:val="003A2106"/>
    <w:rsid w:val="003A2A2C"/>
    <w:rsid w:val="003A5141"/>
    <w:rsid w:val="003A5FBD"/>
    <w:rsid w:val="003A68DF"/>
    <w:rsid w:val="003B00B6"/>
    <w:rsid w:val="003B22D9"/>
    <w:rsid w:val="003B5130"/>
    <w:rsid w:val="003B63CA"/>
    <w:rsid w:val="003B6896"/>
    <w:rsid w:val="003B76AE"/>
    <w:rsid w:val="003C06F1"/>
    <w:rsid w:val="003C10CB"/>
    <w:rsid w:val="003C2C3D"/>
    <w:rsid w:val="003C5610"/>
    <w:rsid w:val="003C5ECC"/>
    <w:rsid w:val="003C6838"/>
    <w:rsid w:val="003D1646"/>
    <w:rsid w:val="003D1DA5"/>
    <w:rsid w:val="003D24F1"/>
    <w:rsid w:val="003D2903"/>
    <w:rsid w:val="003D4659"/>
    <w:rsid w:val="003D46A4"/>
    <w:rsid w:val="003D63BB"/>
    <w:rsid w:val="003D6C53"/>
    <w:rsid w:val="003E247B"/>
    <w:rsid w:val="003E2F27"/>
    <w:rsid w:val="003E35BC"/>
    <w:rsid w:val="003E5DD0"/>
    <w:rsid w:val="003F2030"/>
    <w:rsid w:val="003F33A5"/>
    <w:rsid w:val="003F3D42"/>
    <w:rsid w:val="003F5894"/>
    <w:rsid w:val="003F7C78"/>
    <w:rsid w:val="003F7D0A"/>
    <w:rsid w:val="00400469"/>
    <w:rsid w:val="0040073F"/>
    <w:rsid w:val="004025FC"/>
    <w:rsid w:val="004045CA"/>
    <w:rsid w:val="004119E5"/>
    <w:rsid w:val="00414B1B"/>
    <w:rsid w:val="00415435"/>
    <w:rsid w:val="00415EF1"/>
    <w:rsid w:val="0042122D"/>
    <w:rsid w:val="00426F68"/>
    <w:rsid w:val="00427C04"/>
    <w:rsid w:val="00430357"/>
    <w:rsid w:val="0043068D"/>
    <w:rsid w:val="0043318E"/>
    <w:rsid w:val="0043483E"/>
    <w:rsid w:val="00435166"/>
    <w:rsid w:val="00436114"/>
    <w:rsid w:val="00436B07"/>
    <w:rsid w:val="00437A52"/>
    <w:rsid w:val="0044005F"/>
    <w:rsid w:val="004426AF"/>
    <w:rsid w:val="00444ADE"/>
    <w:rsid w:val="00445653"/>
    <w:rsid w:val="004468E3"/>
    <w:rsid w:val="00446BA4"/>
    <w:rsid w:val="00446FB7"/>
    <w:rsid w:val="004472EB"/>
    <w:rsid w:val="00447D53"/>
    <w:rsid w:val="00454429"/>
    <w:rsid w:val="00460AE2"/>
    <w:rsid w:val="0046346E"/>
    <w:rsid w:val="00463DA7"/>
    <w:rsid w:val="0046425E"/>
    <w:rsid w:val="004642FD"/>
    <w:rsid w:val="004677A9"/>
    <w:rsid w:val="004718B1"/>
    <w:rsid w:val="00471B75"/>
    <w:rsid w:val="00472A03"/>
    <w:rsid w:val="00481450"/>
    <w:rsid w:val="00483F61"/>
    <w:rsid w:val="004853C8"/>
    <w:rsid w:val="004875A7"/>
    <w:rsid w:val="00491DDF"/>
    <w:rsid w:val="004926FE"/>
    <w:rsid w:val="004929DA"/>
    <w:rsid w:val="0049422A"/>
    <w:rsid w:val="00494C6F"/>
    <w:rsid w:val="004958E5"/>
    <w:rsid w:val="004A0431"/>
    <w:rsid w:val="004A6CF0"/>
    <w:rsid w:val="004B2470"/>
    <w:rsid w:val="004B26E3"/>
    <w:rsid w:val="004B2839"/>
    <w:rsid w:val="004B2DF0"/>
    <w:rsid w:val="004B3D03"/>
    <w:rsid w:val="004B3D80"/>
    <w:rsid w:val="004C07C2"/>
    <w:rsid w:val="004C171E"/>
    <w:rsid w:val="004C20EB"/>
    <w:rsid w:val="004C2BAE"/>
    <w:rsid w:val="004C5EF9"/>
    <w:rsid w:val="004C75AD"/>
    <w:rsid w:val="004C76A8"/>
    <w:rsid w:val="004D08B8"/>
    <w:rsid w:val="004D601E"/>
    <w:rsid w:val="004D7FB0"/>
    <w:rsid w:val="004E063B"/>
    <w:rsid w:val="004E38F2"/>
    <w:rsid w:val="004E48DA"/>
    <w:rsid w:val="004E5BFB"/>
    <w:rsid w:val="004E666A"/>
    <w:rsid w:val="004E729E"/>
    <w:rsid w:val="004F0639"/>
    <w:rsid w:val="004F1524"/>
    <w:rsid w:val="004F4C33"/>
    <w:rsid w:val="004F5F53"/>
    <w:rsid w:val="004F69DE"/>
    <w:rsid w:val="004F6E72"/>
    <w:rsid w:val="004F7C7C"/>
    <w:rsid w:val="00500511"/>
    <w:rsid w:val="00500F32"/>
    <w:rsid w:val="00502B69"/>
    <w:rsid w:val="00506E41"/>
    <w:rsid w:val="0050797F"/>
    <w:rsid w:val="005104D3"/>
    <w:rsid w:val="00510BEE"/>
    <w:rsid w:val="005141E3"/>
    <w:rsid w:val="00514EF4"/>
    <w:rsid w:val="00515349"/>
    <w:rsid w:val="00515743"/>
    <w:rsid w:val="00516561"/>
    <w:rsid w:val="00516A08"/>
    <w:rsid w:val="005217BE"/>
    <w:rsid w:val="00521A8D"/>
    <w:rsid w:val="00523311"/>
    <w:rsid w:val="00526AB0"/>
    <w:rsid w:val="00530FEC"/>
    <w:rsid w:val="00533E16"/>
    <w:rsid w:val="005347D3"/>
    <w:rsid w:val="00536122"/>
    <w:rsid w:val="0053614F"/>
    <w:rsid w:val="0053697F"/>
    <w:rsid w:val="00537FA6"/>
    <w:rsid w:val="00542203"/>
    <w:rsid w:val="00542265"/>
    <w:rsid w:val="005431A6"/>
    <w:rsid w:val="0054388A"/>
    <w:rsid w:val="00545EE3"/>
    <w:rsid w:val="005472D7"/>
    <w:rsid w:val="00547B36"/>
    <w:rsid w:val="0055111B"/>
    <w:rsid w:val="0055244F"/>
    <w:rsid w:val="005532CE"/>
    <w:rsid w:val="00554434"/>
    <w:rsid w:val="0055551D"/>
    <w:rsid w:val="005563EF"/>
    <w:rsid w:val="00561AFE"/>
    <w:rsid w:val="00564CAA"/>
    <w:rsid w:val="00564CFC"/>
    <w:rsid w:val="00572B24"/>
    <w:rsid w:val="00573137"/>
    <w:rsid w:val="00573356"/>
    <w:rsid w:val="005736E1"/>
    <w:rsid w:val="005737CD"/>
    <w:rsid w:val="005740EA"/>
    <w:rsid w:val="00580496"/>
    <w:rsid w:val="00581175"/>
    <w:rsid w:val="00581B66"/>
    <w:rsid w:val="00582160"/>
    <w:rsid w:val="00585090"/>
    <w:rsid w:val="00585445"/>
    <w:rsid w:val="00585962"/>
    <w:rsid w:val="00585ACE"/>
    <w:rsid w:val="0058735D"/>
    <w:rsid w:val="00587448"/>
    <w:rsid w:val="00587652"/>
    <w:rsid w:val="005931DF"/>
    <w:rsid w:val="0059457C"/>
    <w:rsid w:val="005A14E2"/>
    <w:rsid w:val="005A18F2"/>
    <w:rsid w:val="005A1FE9"/>
    <w:rsid w:val="005A245C"/>
    <w:rsid w:val="005A5CAE"/>
    <w:rsid w:val="005A6B4A"/>
    <w:rsid w:val="005A7B39"/>
    <w:rsid w:val="005B0862"/>
    <w:rsid w:val="005B1F43"/>
    <w:rsid w:val="005B27D7"/>
    <w:rsid w:val="005B47F1"/>
    <w:rsid w:val="005B566C"/>
    <w:rsid w:val="005B7011"/>
    <w:rsid w:val="005C0849"/>
    <w:rsid w:val="005C2036"/>
    <w:rsid w:val="005C43C6"/>
    <w:rsid w:val="005C4F95"/>
    <w:rsid w:val="005C57A4"/>
    <w:rsid w:val="005C6D5F"/>
    <w:rsid w:val="005C6D81"/>
    <w:rsid w:val="005C6D9D"/>
    <w:rsid w:val="005C776D"/>
    <w:rsid w:val="005D29BF"/>
    <w:rsid w:val="005D368E"/>
    <w:rsid w:val="005E0A87"/>
    <w:rsid w:val="005E0AEB"/>
    <w:rsid w:val="005E1175"/>
    <w:rsid w:val="005E1B59"/>
    <w:rsid w:val="005E2BB3"/>
    <w:rsid w:val="005E6075"/>
    <w:rsid w:val="005E78FF"/>
    <w:rsid w:val="005F1A1B"/>
    <w:rsid w:val="005F2CBA"/>
    <w:rsid w:val="005F486E"/>
    <w:rsid w:val="005F556A"/>
    <w:rsid w:val="005F5D2E"/>
    <w:rsid w:val="005F7F9D"/>
    <w:rsid w:val="00604F72"/>
    <w:rsid w:val="00604FB2"/>
    <w:rsid w:val="006068AB"/>
    <w:rsid w:val="006069B4"/>
    <w:rsid w:val="00606BF8"/>
    <w:rsid w:val="00612661"/>
    <w:rsid w:val="00612964"/>
    <w:rsid w:val="00616C25"/>
    <w:rsid w:val="00622977"/>
    <w:rsid w:val="00622F1D"/>
    <w:rsid w:val="00622F84"/>
    <w:rsid w:val="00623B41"/>
    <w:rsid w:val="00623C53"/>
    <w:rsid w:val="00627A50"/>
    <w:rsid w:val="00627D58"/>
    <w:rsid w:val="00631E35"/>
    <w:rsid w:val="00633A25"/>
    <w:rsid w:val="00636AEE"/>
    <w:rsid w:val="006376B9"/>
    <w:rsid w:val="00640E92"/>
    <w:rsid w:val="00641D6A"/>
    <w:rsid w:val="006473F3"/>
    <w:rsid w:val="00652056"/>
    <w:rsid w:val="00652FFE"/>
    <w:rsid w:val="0065518A"/>
    <w:rsid w:val="00657880"/>
    <w:rsid w:val="00661C77"/>
    <w:rsid w:val="00661D4C"/>
    <w:rsid w:val="00662B38"/>
    <w:rsid w:val="006645B7"/>
    <w:rsid w:val="0066471D"/>
    <w:rsid w:val="00664E88"/>
    <w:rsid w:val="006660B3"/>
    <w:rsid w:val="00666678"/>
    <w:rsid w:val="006669AF"/>
    <w:rsid w:val="00666C1C"/>
    <w:rsid w:val="00667795"/>
    <w:rsid w:val="00670316"/>
    <w:rsid w:val="00670A38"/>
    <w:rsid w:val="00672A36"/>
    <w:rsid w:val="00681A70"/>
    <w:rsid w:val="00681B1D"/>
    <w:rsid w:val="00682313"/>
    <w:rsid w:val="00682B89"/>
    <w:rsid w:val="00685D3E"/>
    <w:rsid w:val="006909C5"/>
    <w:rsid w:val="00690EAC"/>
    <w:rsid w:val="0069190B"/>
    <w:rsid w:val="00691BA7"/>
    <w:rsid w:val="00691DF6"/>
    <w:rsid w:val="00693B50"/>
    <w:rsid w:val="00694566"/>
    <w:rsid w:val="00694755"/>
    <w:rsid w:val="0069530B"/>
    <w:rsid w:val="006A1CAD"/>
    <w:rsid w:val="006A3268"/>
    <w:rsid w:val="006A69F1"/>
    <w:rsid w:val="006A6B7B"/>
    <w:rsid w:val="006A7BB8"/>
    <w:rsid w:val="006B1E9D"/>
    <w:rsid w:val="006B3337"/>
    <w:rsid w:val="006B408D"/>
    <w:rsid w:val="006C0310"/>
    <w:rsid w:val="006C1389"/>
    <w:rsid w:val="006C5E7D"/>
    <w:rsid w:val="006C7786"/>
    <w:rsid w:val="006C7F87"/>
    <w:rsid w:val="006D0101"/>
    <w:rsid w:val="006D05C1"/>
    <w:rsid w:val="006D0B48"/>
    <w:rsid w:val="006D0E39"/>
    <w:rsid w:val="006D0FB6"/>
    <w:rsid w:val="006D249E"/>
    <w:rsid w:val="006D6354"/>
    <w:rsid w:val="006D7542"/>
    <w:rsid w:val="006E136C"/>
    <w:rsid w:val="006E18A8"/>
    <w:rsid w:val="006E2095"/>
    <w:rsid w:val="006E41E0"/>
    <w:rsid w:val="006E54E0"/>
    <w:rsid w:val="006F0B7D"/>
    <w:rsid w:val="006F6347"/>
    <w:rsid w:val="006F6D4D"/>
    <w:rsid w:val="006F7DF1"/>
    <w:rsid w:val="00700687"/>
    <w:rsid w:val="00702352"/>
    <w:rsid w:val="00702667"/>
    <w:rsid w:val="00704BB0"/>
    <w:rsid w:val="00705FE0"/>
    <w:rsid w:val="0071027F"/>
    <w:rsid w:val="0071105B"/>
    <w:rsid w:val="007130E6"/>
    <w:rsid w:val="007145F8"/>
    <w:rsid w:val="0071565C"/>
    <w:rsid w:val="00715BBD"/>
    <w:rsid w:val="0071661C"/>
    <w:rsid w:val="00717155"/>
    <w:rsid w:val="00717499"/>
    <w:rsid w:val="00717C37"/>
    <w:rsid w:val="0072024A"/>
    <w:rsid w:val="00721ED8"/>
    <w:rsid w:val="007225C5"/>
    <w:rsid w:val="00723742"/>
    <w:rsid w:val="00724024"/>
    <w:rsid w:val="00730374"/>
    <w:rsid w:val="00730B41"/>
    <w:rsid w:val="00731E15"/>
    <w:rsid w:val="00733222"/>
    <w:rsid w:val="0073382E"/>
    <w:rsid w:val="007349D8"/>
    <w:rsid w:val="00736BEE"/>
    <w:rsid w:val="007373CC"/>
    <w:rsid w:val="0074086E"/>
    <w:rsid w:val="007417F0"/>
    <w:rsid w:val="007427F8"/>
    <w:rsid w:val="00743A6D"/>
    <w:rsid w:val="00745294"/>
    <w:rsid w:val="0074574F"/>
    <w:rsid w:val="00746487"/>
    <w:rsid w:val="00750B0A"/>
    <w:rsid w:val="00751DE0"/>
    <w:rsid w:val="00751EDB"/>
    <w:rsid w:val="007528C6"/>
    <w:rsid w:val="0075422A"/>
    <w:rsid w:val="00755C9D"/>
    <w:rsid w:val="00763304"/>
    <w:rsid w:val="00764142"/>
    <w:rsid w:val="007646AF"/>
    <w:rsid w:val="00764AC9"/>
    <w:rsid w:val="00764B38"/>
    <w:rsid w:val="00765778"/>
    <w:rsid w:val="00771DDD"/>
    <w:rsid w:val="00772478"/>
    <w:rsid w:val="00772914"/>
    <w:rsid w:val="007739AA"/>
    <w:rsid w:val="00775005"/>
    <w:rsid w:val="007771AD"/>
    <w:rsid w:val="0078096F"/>
    <w:rsid w:val="0078111C"/>
    <w:rsid w:val="007813D3"/>
    <w:rsid w:val="00781800"/>
    <w:rsid w:val="00784A82"/>
    <w:rsid w:val="00784E89"/>
    <w:rsid w:val="007860BE"/>
    <w:rsid w:val="00787AE3"/>
    <w:rsid w:val="00790252"/>
    <w:rsid w:val="00790A2E"/>
    <w:rsid w:val="007922DD"/>
    <w:rsid w:val="00792CBF"/>
    <w:rsid w:val="00792F6A"/>
    <w:rsid w:val="00797F21"/>
    <w:rsid w:val="007A0D3C"/>
    <w:rsid w:val="007A2CE3"/>
    <w:rsid w:val="007A344A"/>
    <w:rsid w:val="007A3666"/>
    <w:rsid w:val="007A3FB0"/>
    <w:rsid w:val="007A52BD"/>
    <w:rsid w:val="007A76E0"/>
    <w:rsid w:val="007B5FA7"/>
    <w:rsid w:val="007B760B"/>
    <w:rsid w:val="007B7FEB"/>
    <w:rsid w:val="007C043B"/>
    <w:rsid w:val="007C204F"/>
    <w:rsid w:val="007C400B"/>
    <w:rsid w:val="007C5099"/>
    <w:rsid w:val="007D017A"/>
    <w:rsid w:val="007D13A0"/>
    <w:rsid w:val="007D16F7"/>
    <w:rsid w:val="007D439D"/>
    <w:rsid w:val="007D68AC"/>
    <w:rsid w:val="007E0217"/>
    <w:rsid w:val="007E0E93"/>
    <w:rsid w:val="007E511E"/>
    <w:rsid w:val="007E611B"/>
    <w:rsid w:val="007F65B3"/>
    <w:rsid w:val="00800ABC"/>
    <w:rsid w:val="00802885"/>
    <w:rsid w:val="00802D2A"/>
    <w:rsid w:val="00804737"/>
    <w:rsid w:val="00804E9B"/>
    <w:rsid w:val="00805346"/>
    <w:rsid w:val="00806EEC"/>
    <w:rsid w:val="00807140"/>
    <w:rsid w:val="008073BF"/>
    <w:rsid w:val="00807920"/>
    <w:rsid w:val="00811AC3"/>
    <w:rsid w:val="008120A7"/>
    <w:rsid w:val="0081455F"/>
    <w:rsid w:val="008155E8"/>
    <w:rsid w:val="008156E7"/>
    <w:rsid w:val="00815F79"/>
    <w:rsid w:val="00820D81"/>
    <w:rsid w:val="00820DFA"/>
    <w:rsid w:val="00821955"/>
    <w:rsid w:val="008223CD"/>
    <w:rsid w:val="00823B62"/>
    <w:rsid w:val="00824472"/>
    <w:rsid w:val="00826744"/>
    <w:rsid w:val="0083296D"/>
    <w:rsid w:val="00834747"/>
    <w:rsid w:val="00835433"/>
    <w:rsid w:val="00841A1F"/>
    <w:rsid w:val="00841B33"/>
    <w:rsid w:val="008428D4"/>
    <w:rsid w:val="00842F7E"/>
    <w:rsid w:val="0084379A"/>
    <w:rsid w:val="008441BF"/>
    <w:rsid w:val="00844525"/>
    <w:rsid w:val="0084695D"/>
    <w:rsid w:val="00850797"/>
    <w:rsid w:val="00852340"/>
    <w:rsid w:val="0085527C"/>
    <w:rsid w:val="00856CAD"/>
    <w:rsid w:val="008607C5"/>
    <w:rsid w:val="0086266D"/>
    <w:rsid w:val="00862995"/>
    <w:rsid w:val="00867EBA"/>
    <w:rsid w:val="00867F7C"/>
    <w:rsid w:val="0087088B"/>
    <w:rsid w:val="00870917"/>
    <w:rsid w:val="00871F36"/>
    <w:rsid w:val="00872D61"/>
    <w:rsid w:val="00872DD9"/>
    <w:rsid w:val="008742B7"/>
    <w:rsid w:val="008746BF"/>
    <w:rsid w:val="0088273C"/>
    <w:rsid w:val="008944B8"/>
    <w:rsid w:val="00894DD8"/>
    <w:rsid w:val="00895CA1"/>
    <w:rsid w:val="00897656"/>
    <w:rsid w:val="008A0237"/>
    <w:rsid w:val="008A0E1F"/>
    <w:rsid w:val="008A2BF0"/>
    <w:rsid w:val="008A2DDD"/>
    <w:rsid w:val="008A3B86"/>
    <w:rsid w:val="008A5C9A"/>
    <w:rsid w:val="008A7C98"/>
    <w:rsid w:val="008B2C81"/>
    <w:rsid w:val="008B43D1"/>
    <w:rsid w:val="008B4D93"/>
    <w:rsid w:val="008B6F3E"/>
    <w:rsid w:val="008C1511"/>
    <w:rsid w:val="008C7404"/>
    <w:rsid w:val="008D64C4"/>
    <w:rsid w:val="008E16B3"/>
    <w:rsid w:val="008E2CF6"/>
    <w:rsid w:val="008E3901"/>
    <w:rsid w:val="008E3FAB"/>
    <w:rsid w:val="008E5230"/>
    <w:rsid w:val="008E6A63"/>
    <w:rsid w:val="008E7807"/>
    <w:rsid w:val="008F121D"/>
    <w:rsid w:val="008F2924"/>
    <w:rsid w:val="008F682F"/>
    <w:rsid w:val="008F7EC7"/>
    <w:rsid w:val="00900D49"/>
    <w:rsid w:val="00901BF4"/>
    <w:rsid w:val="00903B42"/>
    <w:rsid w:val="00910C1A"/>
    <w:rsid w:val="0091108B"/>
    <w:rsid w:val="0091135D"/>
    <w:rsid w:val="009121E3"/>
    <w:rsid w:val="00912B63"/>
    <w:rsid w:val="00915894"/>
    <w:rsid w:val="00917332"/>
    <w:rsid w:val="00920C0C"/>
    <w:rsid w:val="00921140"/>
    <w:rsid w:val="00921405"/>
    <w:rsid w:val="00921F61"/>
    <w:rsid w:val="00923C7B"/>
    <w:rsid w:val="009243C4"/>
    <w:rsid w:val="00935EF2"/>
    <w:rsid w:val="00937FD8"/>
    <w:rsid w:val="00940976"/>
    <w:rsid w:val="00942129"/>
    <w:rsid w:val="00944C56"/>
    <w:rsid w:val="00946417"/>
    <w:rsid w:val="00953D86"/>
    <w:rsid w:val="00953F17"/>
    <w:rsid w:val="00954C4A"/>
    <w:rsid w:val="00955986"/>
    <w:rsid w:val="0095655A"/>
    <w:rsid w:val="00963779"/>
    <w:rsid w:val="0096471D"/>
    <w:rsid w:val="00967092"/>
    <w:rsid w:val="009672A2"/>
    <w:rsid w:val="00967C62"/>
    <w:rsid w:val="00970488"/>
    <w:rsid w:val="00971041"/>
    <w:rsid w:val="00972570"/>
    <w:rsid w:val="00977CDD"/>
    <w:rsid w:val="00983BFA"/>
    <w:rsid w:val="00983DE7"/>
    <w:rsid w:val="0098416C"/>
    <w:rsid w:val="00986B13"/>
    <w:rsid w:val="00991FBF"/>
    <w:rsid w:val="00992C14"/>
    <w:rsid w:val="009A22A8"/>
    <w:rsid w:val="009A25E6"/>
    <w:rsid w:val="009A336F"/>
    <w:rsid w:val="009A4A42"/>
    <w:rsid w:val="009A4AA9"/>
    <w:rsid w:val="009A6D67"/>
    <w:rsid w:val="009B0660"/>
    <w:rsid w:val="009B08E3"/>
    <w:rsid w:val="009B0B30"/>
    <w:rsid w:val="009B5496"/>
    <w:rsid w:val="009B59A1"/>
    <w:rsid w:val="009B681E"/>
    <w:rsid w:val="009C2C1F"/>
    <w:rsid w:val="009C4305"/>
    <w:rsid w:val="009C50F5"/>
    <w:rsid w:val="009C5785"/>
    <w:rsid w:val="009C6212"/>
    <w:rsid w:val="009C6BDA"/>
    <w:rsid w:val="009C76DB"/>
    <w:rsid w:val="009C7736"/>
    <w:rsid w:val="009D11B9"/>
    <w:rsid w:val="009D19B6"/>
    <w:rsid w:val="009D2715"/>
    <w:rsid w:val="009D3300"/>
    <w:rsid w:val="009D33A4"/>
    <w:rsid w:val="009D41E7"/>
    <w:rsid w:val="009D4755"/>
    <w:rsid w:val="009D74CA"/>
    <w:rsid w:val="009D79FE"/>
    <w:rsid w:val="009E0BFF"/>
    <w:rsid w:val="009E0D92"/>
    <w:rsid w:val="009E2161"/>
    <w:rsid w:val="009E39AB"/>
    <w:rsid w:val="009E4861"/>
    <w:rsid w:val="009F02B6"/>
    <w:rsid w:val="009F12C4"/>
    <w:rsid w:val="009F19D8"/>
    <w:rsid w:val="009F2446"/>
    <w:rsid w:val="009F2561"/>
    <w:rsid w:val="009F2E27"/>
    <w:rsid w:val="009F53D1"/>
    <w:rsid w:val="009F6A29"/>
    <w:rsid w:val="009F73E4"/>
    <w:rsid w:val="009F7E40"/>
    <w:rsid w:val="00A04A92"/>
    <w:rsid w:val="00A07669"/>
    <w:rsid w:val="00A07C5B"/>
    <w:rsid w:val="00A10A38"/>
    <w:rsid w:val="00A116BD"/>
    <w:rsid w:val="00A11BC8"/>
    <w:rsid w:val="00A11F91"/>
    <w:rsid w:val="00A12AC3"/>
    <w:rsid w:val="00A14B94"/>
    <w:rsid w:val="00A16BD0"/>
    <w:rsid w:val="00A17083"/>
    <w:rsid w:val="00A20DD3"/>
    <w:rsid w:val="00A24EE6"/>
    <w:rsid w:val="00A26E72"/>
    <w:rsid w:val="00A31888"/>
    <w:rsid w:val="00A31E6B"/>
    <w:rsid w:val="00A32508"/>
    <w:rsid w:val="00A32B48"/>
    <w:rsid w:val="00A332B0"/>
    <w:rsid w:val="00A3397C"/>
    <w:rsid w:val="00A34912"/>
    <w:rsid w:val="00A34B82"/>
    <w:rsid w:val="00A417A8"/>
    <w:rsid w:val="00A41F6B"/>
    <w:rsid w:val="00A43158"/>
    <w:rsid w:val="00A43EFB"/>
    <w:rsid w:val="00A44F36"/>
    <w:rsid w:val="00A46D74"/>
    <w:rsid w:val="00A47A71"/>
    <w:rsid w:val="00A5004F"/>
    <w:rsid w:val="00A505BE"/>
    <w:rsid w:val="00A52926"/>
    <w:rsid w:val="00A530F6"/>
    <w:rsid w:val="00A53E68"/>
    <w:rsid w:val="00A548E2"/>
    <w:rsid w:val="00A5743A"/>
    <w:rsid w:val="00A578D9"/>
    <w:rsid w:val="00A579F1"/>
    <w:rsid w:val="00A6024A"/>
    <w:rsid w:val="00A60C33"/>
    <w:rsid w:val="00A61AA2"/>
    <w:rsid w:val="00A63A88"/>
    <w:rsid w:val="00A67937"/>
    <w:rsid w:val="00A737BA"/>
    <w:rsid w:val="00A747E3"/>
    <w:rsid w:val="00A754C5"/>
    <w:rsid w:val="00A76649"/>
    <w:rsid w:val="00A7775F"/>
    <w:rsid w:val="00A8001B"/>
    <w:rsid w:val="00A80473"/>
    <w:rsid w:val="00A807ED"/>
    <w:rsid w:val="00A80837"/>
    <w:rsid w:val="00A81BBB"/>
    <w:rsid w:val="00A8219D"/>
    <w:rsid w:val="00A82EED"/>
    <w:rsid w:val="00A833F5"/>
    <w:rsid w:val="00A834AA"/>
    <w:rsid w:val="00A84DCE"/>
    <w:rsid w:val="00A87CC5"/>
    <w:rsid w:val="00A90DB7"/>
    <w:rsid w:val="00A911FB"/>
    <w:rsid w:val="00A933C1"/>
    <w:rsid w:val="00A95663"/>
    <w:rsid w:val="00A9594D"/>
    <w:rsid w:val="00AA03A6"/>
    <w:rsid w:val="00AA3272"/>
    <w:rsid w:val="00AA36AB"/>
    <w:rsid w:val="00AA5007"/>
    <w:rsid w:val="00AA5871"/>
    <w:rsid w:val="00AA785A"/>
    <w:rsid w:val="00AB1F6B"/>
    <w:rsid w:val="00AB2F7B"/>
    <w:rsid w:val="00AB4CE1"/>
    <w:rsid w:val="00AB752B"/>
    <w:rsid w:val="00AC2D7E"/>
    <w:rsid w:val="00AC6A34"/>
    <w:rsid w:val="00AD062B"/>
    <w:rsid w:val="00AD0CB3"/>
    <w:rsid w:val="00AD1197"/>
    <w:rsid w:val="00AD2317"/>
    <w:rsid w:val="00AD3F14"/>
    <w:rsid w:val="00AD6348"/>
    <w:rsid w:val="00AD72BC"/>
    <w:rsid w:val="00AD7AB7"/>
    <w:rsid w:val="00AE0CF4"/>
    <w:rsid w:val="00AE155F"/>
    <w:rsid w:val="00AE2661"/>
    <w:rsid w:val="00AE2E69"/>
    <w:rsid w:val="00AE480F"/>
    <w:rsid w:val="00AE5C71"/>
    <w:rsid w:val="00AF0492"/>
    <w:rsid w:val="00AF05C7"/>
    <w:rsid w:val="00AF169E"/>
    <w:rsid w:val="00AF2044"/>
    <w:rsid w:val="00AF5AAA"/>
    <w:rsid w:val="00B00204"/>
    <w:rsid w:val="00B026F3"/>
    <w:rsid w:val="00B13CC1"/>
    <w:rsid w:val="00B145E7"/>
    <w:rsid w:val="00B154EE"/>
    <w:rsid w:val="00B15A9D"/>
    <w:rsid w:val="00B15F84"/>
    <w:rsid w:val="00B169F0"/>
    <w:rsid w:val="00B1742D"/>
    <w:rsid w:val="00B204F7"/>
    <w:rsid w:val="00B259C1"/>
    <w:rsid w:val="00B25CC4"/>
    <w:rsid w:val="00B26830"/>
    <w:rsid w:val="00B26AB0"/>
    <w:rsid w:val="00B30D39"/>
    <w:rsid w:val="00B315F7"/>
    <w:rsid w:val="00B3644F"/>
    <w:rsid w:val="00B41037"/>
    <w:rsid w:val="00B426F2"/>
    <w:rsid w:val="00B50482"/>
    <w:rsid w:val="00B51288"/>
    <w:rsid w:val="00B512D7"/>
    <w:rsid w:val="00B53807"/>
    <w:rsid w:val="00B5587C"/>
    <w:rsid w:val="00B55AC0"/>
    <w:rsid w:val="00B64EFA"/>
    <w:rsid w:val="00B733E9"/>
    <w:rsid w:val="00B759AE"/>
    <w:rsid w:val="00B77176"/>
    <w:rsid w:val="00B80DFD"/>
    <w:rsid w:val="00B8136E"/>
    <w:rsid w:val="00B81684"/>
    <w:rsid w:val="00B82C61"/>
    <w:rsid w:val="00B82D60"/>
    <w:rsid w:val="00B84FAC"/>
    <w:rsid w:val="00B8514E"/>
    <w:rsid w:val="00B85FFA"/>
    <w:rsid w:val="00B87064"/>
    <w:rsid w:val="00B9098E"/>
    <w:rsid w:val="00B90EE9"/>
    <w:rsid w:val="00B9147B"/>
    <w:rsid w:val="00B9439D"/>
    <w:rsid w:val="00B943A9"/>
    <w:rsid w:val="00B948B0"/>
    <w:rsid w:val="00B9510F"/>
    <w:rsid w:val="00B95355"/>
    <w:rsid w:val="00B97B17"/>
    <w:rsid w:val="00BA169A"/>
    <w:rsid w:val="00BA26EB"/>
    <w:rsid w:val="00BA2B60"/>
    <w:rsid w:val="00BA440C"/>
    <w:rsid w:val="00BA4B2E"/>
    <w:rsid w:val="00BA5601"/>
    <w:rsid w:val="00BA5B33"/>
    <w:rsid w:val="00BA61A5"/>
    <w:rsid w:val="00BA6C5D"/>
    <w:rsid w:val="00BA7E5C"/>
    <w:rsid w:val="00BA7E79"/>
    <w:rsid w:val="00BB027E"/>
    <w:rsid w:val="00BB0580"/>
    <w:rsid w:val="00BB0F4F"/>
    <w:rsid w:val="00BB24F3"/>
    <w:rsid w:val="00BB2CE1"/>
    <w:rsid w:val="00BB75F7"/>
    <w:rsid w:val="00BC51E8"/>
    <w:rsid w:val="00BC7C12"/>
    <w:rsid w:val="00BD018B"/>
    <w:rsid w:val="00BD124A"/>
    <w:rsid w:val="00BD1954"/>
    <w:rsid w:val="00BD3D99"/>
    <w:rsid w:val="00BD4CC7"/>
    <w:rsid w:val="00BD7D54"/>
    <w:rsid w:val="00BE1224"/>
    <w:rsid w:val="00BE34AB"/>
    <w:rsid w:val="00BE3D46"/>
    <w:rsid w:val="00BE4FEC"/>
    <w:rsid w:val="00BE6E8C"/>
    <w:rsid w:val="00BE746E"/>
    <w:rsid w:val="00BF08D2"/>
    <w:rsid w:val="00BF3696"/>
    <w:rsid w:val="00BF3C45"/>
    <w:rsid w:val="00BF4DD4"/>
    <w:rsid w:val="00C0046F"/>
    <w:rsid w:val="00C01414"/>
    <w:rsid w:val="00C016F0"/>
    <w:rsid w:val="00C036A4"/>
    <w:rsid w:val="00C039F9"/>
    <w:rsid w:val="00C03A06"/>
    <w:rsid w:val="00C03E4F"/>
    <w:rsid w:val="00C066FE"/>
    <w:rsid w:val="00C06C70"/>
    <w:rsid w:val="00C14949"/>
    <w:rsid w:val="00C162D3"/>
    <w:rsid w:val="00C16416"/>
    <w:rsid w:val="00C204E1"/>
    <w:rsid w:val="00C24A96"/>
    <w:rsid w:val="00C25414"/>
    <w:rsid w:val="00C25F31"/>
    <w:rsid w:val="00C26A68"/>
    <w:rsid w:val="00C2717D"/>
    <w:rsid w:val="00C30574"/>
    <w:rsid w:val="00C31216"/>
    <w:rsid w:val="00C314A2"/>
    <w:rsid w:val="00C31AC5"/>
    <w:rsid w:val="00C34DD3"/>
    <w:rsid w:val="00C35B88"/>
    <w:rsid w:val="00C366A7"/>
    <w:rsid w:val="00C411B3"/>
    <w:rsid w:val="00C41B49"/>
    <w:rsid w:val="00C42139"/>
    <w:rsid w:val="00C4400E"/>
    <w:rsid w:val="00C44218"/>
    <w:rsid w:val="00C4485D"/>
    <w:rsid w:val="00C45C96"/>
    <w:rsid w:val="00C47311"/>
    <w:rsid w:val="00C47997"/>
    <w:rsid w:val="00C50BC1"/>
    <w:rsid w:val="00C5360E"/>
    <w:rsid w:val="00C53792"/>
    <w:rsid w:val="00C5426C"/>
    <w:rsid w:val="00C5515F"/>
    <w:rsid w:val="00C56674"/>
    <w:rsid w:val="00C60848"/>
    <w:rsid w:val="00C628E9"/>
    <w:rsid w:val="00C632FB"/>
    <w:rsid w:val="00C64E8B"/>
    <w:rsid w:val="00C65DF5"/>
    <w:rsid w:val="00C70228"/>
    <w:rsid w:val="00C7216E"/>
    <w:rsid w:val="00C73632"/>
    <w:rsid w:val="00C74FA0"/>
    <w:rsid w:val="00C764A5"/>
    <w:rsid w:val="00C77478"/>
    <w:rsid w:val="00C7752A"/>
    <w:rsid w:val="00C806B4"/>
    <w:rsid w:val="00C824A4"/>
    <w:rsid w:val="00C8297C"/>
    <w:rsid w:val="00C839AF"/>
    <w:rsid w:val="00C83E0A"/>
    <w:rsid w:val="00C8490C"/>
    <w:rsid w:val="00C852F9"/>
    <w:rsid w:val="00C865ED"/>
    <w:rsid w:val="00C911F9"/>
    <w:rsid w:val="00C913F0"/>
    <w:rsid w:val="00C9185A"/>
    <w:rsid w:val="00C94525"/>
    <w:rsid w:val="00C9593E"/>
    <w:rsid w:val="00C961A5"/>
    <w:rsid w:val="00C97D3D"/>
    <w:rsid w:val="00CA15EE"/>
    <w:rsid w:val="00CA28E4"/>
    <w:rsid w:val="00CA297C"/>
    <w:rsid w:val="00CA3169"/>
    <w:rsid w:val="00CA4B7D"/>
    <w:rsid w:val="00CA55BC"/>
    <w:rsid w:val="00CA5A2F"/>
    <w:rsid w:val="00CA6377"/>
    <w:rsid w:val="00CA6833"/>
    <w:rsid w:val="00CB0B56"/>
    <w:rsid w:val="00CB1C63"/>
    <w:rsid w:val="00CB28F7"/>
    <w:rsid w:val="00CB3180"/>
    <w:rsid w:val="00CB5EAD"/>
    <w:rsid w:val="00CC141B"/>
    <w:rsid w:val="00CC54B4"/>
    <w:rsid w:val="00CC66DB"/>
    <w:rsid w:val="00CC7EE5"/>
    <w:rsid w:val="00CD0679"/>
    <w:rsid w:val="00CD0BC3"/>
    <w:rsid w:val="00CD1D2A"/>
    <w:rsid w:val="00CD40A5"/>
    <w:rsid w:val="00CD521B"/>
    <w:rsid w:val="00CD560C"/>
    <w:rsid w:val="00CD61A7"/>
    <w:rsid w:val="00CD6E14"/>
    <w:rsid w:val="00CE022F"/>
    <w:rsid w:val="00CE130D"/>
    <w:rsid w:val="00CE167C"/>
    <w:rsid w:val="00CE2F0E"/>
    <w:rsid w:val="00CE376D"/>
    <w:rsid w:val="00CE4727"/>
    <w:rsid w:val="00CE672C"/>
    <w:rsid w:val="00CF3269"/>
    <w:rsid w:val="00CF46ED"/>
    <w:rsid w:val="00CF4AC3"/>
    <w:rsid w:val="00CF58A6"/>
    <w:rsid w:val="00CF6C2B"/>
    <w:rsid w:val="00D02F3E"/>
    <w:rsid w:val="00D030F3"/>
    <w:rsid w:val="00D03659"/>
    <w:rsid w:val="00D03CD6"/>
    <w:rsid w:val="00D03D7B"/>
    <w:rsid w:val="00D04298"/>
    <w:rsid w:val="00D04F77"/>
    <w:rsid w:val="00D05E7E"/>
    <w:rsid w:val="00D063E9"/>
    <w:rsid w:val="00D103BB"/>
    <w:rsid w:val="00D13592"/>
    <w:rsid w:val="00D141A5"/>
    <w:rsid w:val="00D1550B"/>
    <w:rsid w:val="00D15BDE"/>
    <w:rsid w:val="00D2307F"/>
    <w:rsid w:val="00D23661"/>
    <w:rsid w:val="00D23BA2"/>
    <w:rsid w:val="00D24EC3"/>
    <w:rsid w:val="00D307B2"/>
    <w:rsid w:val="00D30B43"/>
    <w:rsid w:val="00D32266"/>
    <w:rsid w:val="00D337FC"/>
    <w:rsid w:val="00D37A94"/>
    <w:rsid w:val="00D40D39"/>
    <w:rsid w:val="00D4243A"/>
    <w:rsid w:val="00D43F47"/>
    <w:rsid w:val="00D45238"/>
    <w:rsid w:val="00D45868"/>
    <w:rsid w:val="00D46AE8"/>
    <w:rsid w:val="00D47DD7"/>
    <w:rsid w:val="00D505F3"/>
    <w:rsid w:val="00D50AE2"/>
    <w:rsid w:val="00D53F03"/>
    <w:rsid w:val="00D548EE"/>
    <w:rsid w:val="00D55F48"/>
    <w:rsid w:val="00D566F4"/>
    <w:rsid w:val="00D574AE"/>
    <w:rsid w:val="00D6024F"/>
    <w:rsid w:val="00D608B0"/>
    <w:rsid w:val="00D63AA1"/>
    <w:rsid w:val="00D65803"/>
    <w:rsid w:val="00D665F3"/>
    <w:rsid w:val="00D6716F"/>
    <w:rsid w:val="00D75EDF"/>
    <w:rsid w:val="00D760F4"/>
    <w:rsid w:val="00D82FAE"/>
    <w:rsid w:val="00D837B6"/>
    <w:rsid w:val="00D842E8"/>
    <w:rsid w:val="00D878CD"/>
    <w:rsid w:val="00D923EA"/>
    <w:rsid w:val="00D931B0"/>
    <w:rsid w:val="00D93558"/>
    <w:rsid w:val="00D95D7B"/>
    <w:rsid w:val="00D9656F"/>
    <w:rsid w:val="00D972A1"/>
    <w:rsid w:val="00DA1F8C"/>
    <w:rsid w:val="00DA78AE"/>
    <w:rsid w:val="00DB1018"/>
    <w:rsid w:val="00DB2ABC"/>
    <w:rsid w:val="00DB3572"/>
    <w:rsid w:val="00DB3DFA"/>
    <w:rsid w:val="00DB4CCB"/>
    <w:rsid w:val="00DB7978"/>
    <w:rsid w:val="00DC03D2"/>
    <w:rsid w:val="00DC0FC5"/>
    <w:rsid w:val="00DC1914"/>
    <w:rsid w:val="00DC3B31"/>
    <w:rsid w:val="00DC4681"/>
    <w:rsid w:val="00DC53A5"/>
    <w:rsid w:val="00DD0BF9"/>
    <w:rsid w:val="00DD162D"/>
    <w:rsid w:val="00DD230A"/>
    <w:rsid w:val="00DD48A1"/>
    <w:rsid w:val="00DD4F82"/>
    <w:rsid w:val="00DD5672"/>
    <w:rsid w:val="00DD57F3"/>
    <w:rsid w:val="00DD593C"/>
    <w:rsid w:val="00DE3EEB"/>
    <w:rsid w:val="00DE4C68"/>
    <w:rsid w:val="00DE4F05"/>
    <w:rsid w:val="00DE6F4A"/>
    <w:rsid w:val="00DE6FF7"/>
    <w:rsid w:val="00DE763E"/>
    <w:rsid w:val="00DE7865"/>
    <w:rsid w:val="00DF2F49"/>
    <w:rsid w:val="00DF4DDF"/>
    <w:rsid w:val="00DF7A7B"/>
    <w:rsid w:val="00E02ECA"/>
    <w:rsid w:val="00E03F6C"/>
    <w:rsid w:val="00E0482D"/>
    <w:rsid w:val="00E12C28"/>
    <w:rsid w:val="00E12CA9"/>
    <w:rsid w:val="00E149E8"/>
    <w:rsid w:val="00E17A10"/>
    <w:rsid w:val="00E20215"/>
    <w:rsid w:val="00E21269"/>
    <w:rsid w:val="00E3033D"/>
    <w:rsid w:val="00E30AD5"/>
    <w:rsid w:val="00E31A45"/>
    <w:rsid w:val="00E31C38"/>
    <w:rsid w:val="00E36D0A"/>
    <w:rsid w:val="00E42DC3"/>
    <w:rsid w:val="00E4381B"/>
    <w:rsid w:val="00E4528F"/>
    <w:rsid w:val="00E46935"/>
    <w:rsid w:val="00E500A1"/>
    <w:rsid w:val="00E51F19"/>
    <w:rsid w:val="00E531FD"/>
    <w:rsid w:val="00E5339F"/>
    <w:rsid w:val="00E53439"/>
    <w:rsid w:val="00E53562"/>
    <w:rsid w:val="00E536AC"/>
    <w:rsid w:val="00E5389E"/>
    <w:rsid w:val="00E55054"/>
    <w:rsid w:val="00E63774"/>
    <w:rsid w:val="00E65EFF"/>
    <w:rsid w:val="00E66A79"/>
    <w:rsid w:val="00E67137"/>
    <w:rsid w:val="00E70487"/>
    <w:rsid w:val="00E709D6"/>
    <w:rsid w:val="00E72458"/>
    <w:rsid w:val="00E72722"/>
    <w:rsid w:val="00E72FAA"/>
    <w:rsid w:val="00E73992"/>
    <w:rsid w:val="00E753FE"/>
    <w:rsid w:val="00E7786C"/>
    <w:rsid w:val="00E77D7B"/>
    <w:rsid w:val="00E8016D"/>
    <w:rsid w:val="00E80322"/>
    <w:rsid w:val="00E82C95"/>
    <w:rsid w:val="00E84213"/>
    <w:rsid w:val="00E84633"/>
    <w:rsid w:val="00E900BC"/>
    <w:rsid w:val="00E90FCC"/>
    <w:rsid w:val="00E92496"/>
    <w:rsid w:val="00E9485E"/>
    <w:rsid w:val="00E97B24"/>
    <w:rsid w:val="00E97D7C"/>
    <w:rsid w:val="00EA30C6"/>
    <w:rsid w:val="00EA5922"/>
    <w:rsid w:val="00EA5D51"/>
    <w:rsid w:val="00EA6257"/>
    <w:rsid w:val="00EA6C13"/>
    <w:rsid w:val="00EB2786"/>
    <w:rsid w:val="00EB3EC9"/>
    <w:rsid w:val="00EB4EB1"/>
    <w:rsid w:val="00EB6419"/>
    <w:rsid w:val="00EB7363"/>
    <w:rsid w:val="00EC1323"/>
    <w:rsid w:val="00EC339D"/>
    <w:rsid w:val="00EC3972"/>
    <w:rsid w:val="00EC589E"/>
    <w:rsid w:val="00EC6F4F"/>
    <w:rsid w:val="00EC76DC"/>
    <w:rsid w:val="00EC7B40"/>
    <w:rsid w:val="00EC7FB9"/>
    <w:rsid w:val="00ED22D6"/>
    <w:rsid w:val="00ED237A"/>
    <w:rsid w:val="00ED2584"/>
    <w:rsid w:val="00ED45B8"/>
    <w:rsid w:val="00ED6DC6"/>
    <w:rsid w:val="00EE05FF"/>
    <w:rsid w:val="00EE0D11"/>
    <w:rsid w:val="00EE3701"/>
    <w:rsid w:val="00EE5095"/>
    <w:rsid w:val="00EE5AD6"/>
    <w:rsid w:val="00EE782B"/>
    <w:rsid w:val="00EF020F"/>
    <w:rsid w:val="00EF0321"/>
    <w:rsid w:val="00EF3510"/>
    <w:rsid w:val="00F00AB7"/>
    <w:rsid w:val="00F015AE"/>
    <w:rsid w:val="00F027E0"/>
    <w:rsid w:val="00F02ADB"/>
    <w:rsid w:val="00F02E6B"/>
    <w:rsid w:val="00F07E11"/>
    <w:rsid w:val="00F13C5E"/>
    <w:rsid w:val="00F15C86"/>
    <w:rsid w:val="00F162DB"/>
    <w:rsid w:val="00F17F80"/>
    <w:rsid w:val="00F21B53"/>
    <w:rsid w:val="00F23A8C"/>
    <w:rsid w:val="00F23E2A"/>
    <w:rsid w:val="00F24A4F"/>
    <w:rsid w:val="00F25120"/>
    <w:rsid w:val="00F25465"/>
    <w:rsid w:val="00F305AF"/>
    <w:rsid w:val="00F31FA8"/>
    <w:rsid w:val="00F3274E"/>
    <w:rsid w:val="00F333A0"/>
    <w:rsid w:val="00F34A19"/>
    <w:rsid w:val="00F34F4F"/>
    <w:rsid w:val="00F35EBA"/>
    <w:rsid w:val="00F37440"/>
    <w:rsid w:val="00F376FC"/>
    <w:rsid w:val="00F40DDF"/>
    <w:rsid w:val="00F41273"/>
    <w:rsid w:val="00F41E92"/>
    <w:rsid w:val="00F430BB"/>
    <w:rsid w:val="00F43D9E"/>
    <w:rsid w:val="00F44874"/>
    <w:rsid w:val="00F519FE"/>
    <w:rsid w:val="00F52919"/>
    <w:rsid w:val="00F52FEC"/>
    <w:rsid w:val="00F53EA2"/>
    <w:rsid w:val="00F540E3"/>
    <w:rsid w:val="00F568AD"/>
    <w:rsid w:val="00F57AA7"/>
    <w:rsid w:val="00F61AE1"/>
    <w:rsid w:val="00F62351"/>
    <w:rsid w:val="00F64A28"/>
    <w:rsid w:val="00F6714E"/>
    <w:rsid w:val="00F730C7"/>
    <w:rsid w:val="00F81F5F"/>
    <w:rsid w:val="00F81FBF"/>
    <w:rsid w:val="00F82621"/>
    <w:rsid w:val="00F82F4A"/>
    <w:rsid w:val="00F843D8"/>
    <w:rsid w:val="00F85B91"/>
    <w:rsid w:val="00F90C44"/>
    <w:rsid w:val="00F9205E"/>
    <w:rsid w:val="00F940CE"/>
    <w:rsid w:val="00F94353"/>
    <w:rsid w:val="00F95913"/>
    <w:rsid w:val="00F95978"/>
    <w:rsid w:val="00FA2A9F"/>
    <w:rsid w:val="00FA3779"/>
    <w:rsid w:val="00FA3B39"/>
    <w:rsid w:val="00FA423D"/>
    <w:rsid w:val="00FA5529"/>
    <w:rsid w:val="00FA7024"/>
    <w:rsid w:val="00FA7938"/>
    <w:rsid w:val="00FB0606"/>
    <w:rsid w:val="00FB070E"/>
    <w:rsid w:val="00FB2ABD"/>
    <w:rsid w:val="00FB3C8D"/>
    <w:rsid w:val="00FB41D7"/>
    <w:rsid w:val="00FB51A2"/>
    <w:rsid w:val="00FB6396"/>
    <w:rsid w:val="00FB7E0C"/>
    <w:rsid w:val="00FC0AB7"/>
    <w:rsid w:val="00FC3215"/>
    <w:rsid w:val="00FC386C"/>
    <w:rsid w:val="00FC436B"/>
    <w:rsid w:val="00FC4DC5"/>
    <w:rsid w:val="00FC6847"/>
    <w:rsid w:val="00FD104C"/>
    <w:rsid w:val="00FD30CF"/>
    <w:rsid w:val="00FD6ADA"/>
    <w:rsid w:val="00FD7C60"/>
    <w:rsid w:val="00FE2943"/>
    <w:rsid w:val="00FE4C6A"/>
    <w:rsid w:val="00FE6CEC"/>
    <w:rsid w:val="00FE729A"/>
    <w:rsid w:val="00FE7518"/>
    <w:rsid w:val="00FE7D4E"/>
    <w:rsid w:val="00FF1106"/>
    <w:rsid w:val="00FF280A"/>
    <w:rsid w:val="00FF28EA"/>
    <w:rsid w:val="00FF7EEB"/>
    <w:rsid w:val="0D7170C7"/>
    <w:rsid w:val="0EF17ADC"/>
    <w:rsid w:val="12B93CC2"/>
    <w:rsid w:val="13302204"/>
    <w:rsid w:val="14077D7E"/>
    <w:rsid w:val="148329B1"/>
    <w:rsid w:val="18AA01B2"/>
    <w:rsid w:val="1BC400B4"/>
    <w:rsid w:val="22EB7853"/>
    <w:rsid w:val="24500680"/>
    <w:rsid w:val="26117E1E"/>
    <w:rsid w:val="26E23CE9"/>
    <w:rsid w:val="27DB6BF3"/>
    <w:rsid w:val="2FFC1FCE"/>
    <w:rsid w:val="30C56687"/>
    <w:rsid w:val="31C2087B"/>
    <w:rsid w:val="32652936"/>
    <w:rsid w:val="35024B2C"/>
    <w:rsid w:val="35415491"/>
    <w:rsid w:val="376A2EC1"/>
    <w:rsid w:val="489410F9"/>
    <w:rsid w:val="48A049D3"/>
    <w:rsid w:val="48E51E1B"/>
    <w:rsid w:val="495C394B"/>
    <w:rsid w:val="4A176707"/>
    <w:rsid w:val="53183102"/>
    <w:rsid w:val="54BE6395"/>
    <w:rsid w:val="573E04D8"/>
    <w:rsid w:val="57CD43C0"/>
    <w:rsid w:val="5AB00397"/>
    <w:rsid w:val="5B4D1659"/>
    <w:rsid w:val="5E806F3C"/>
    <w:rsid w:val="63B91F56"/>
    <w:rsid w:val="69EA24FD"/>
    <w:rsid w:val="6C4529DB"/>
    <w:rsid w:val="6E216BFC"/>
    <w:rsid w:val="710F6EFB"/>
    <w:rsid w:val="72CD3AB4"/>
    <w:rsid w:val="75EA2772"/>
    <w:rsid w:val="7845643B"/>
    <w:rsid w:val="7E026B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link w:val="42"/>
    <w:qFormat/>
    <w:uiPriority w:val="0"/>
    <w:pPr>
      <w:keepLines/>
      <w:numPr>
        <w:ilvl w:val="0"/>
        <w:numId w:val="1"/>
      </w:numPr>
      <w:spacing w:before="120" w:after="120" w:line="240" w:lineRule="auto"/>
      <w:outlineLvl w:val="0"/>
    </w:pPr>
    <w:rPr>
      <w:rFonts w:ascii="黑体" w:hAnsi="Verdana" w:eastAsia="黑体"/>
      <w:sz w:val="21"/>
    </w:rPr>
  </w:style>
  <w:style w:type="paragraph" w:styleId="5">
    <w:name w:val="heading 2"/>
    <w:basedOn w:val="2"/>
    <w:next w:val="6"/>
    <w:link w:val="52"/>
    <w:qFormat/>
    <w:uiPriority w:val="0"/>
    <w:pPr>
      <w:numPr>
        <w:ilvl w:val="1"/>
        <w:numId w:val="1"/>
      </w:numPr>
      <w:spacing w:before="0" w:after="0"/>
      <w:outlineLvl w:val="1"/>
    </w:pPr>
    <w:rPr>
      <w:rFonts w:ascii="宋体" w:hAnsi="Times New Roman" w:eastAsia="宋体"/>
    </w:rPr>
  </w:style>
  <w:style w:type="paragraph" w:styleId="7">
    <w:name w:val="heading 3"/>
    <w:basedOn w:val="2"/>
    <w:next w:val="1"/>
    <w:link w:val="40"/>
    <w:qFormat/>
    <w:uiPriority w:val="0"/>
    <w:pPr>
      <w:keepLines w:val="0"/>
      <w:numPr>
        <w:ilvl w:val="2"/>
        <w:numId w:val="1"/>
      </w:numPr>
      <w:spacing w:before="0" w:after="0"/>
      <w:outlineLvl w:val="2"/>
    </w:pPr>
    <w:rPr>
      <w:rFonts w:ascii="宋体" w:hAnsi="Tahoma" w:eastAsia="宋体"/>
    </w:rPr>
  </w:style>
  <w:style w:type="paragraph" w:styleId="8">
    <w:name w:val="heading 4"/>
    <w:basedOn w:val="2"/>
    <w:next w:val="6"/>
    <w:link w:val="44"/>
    <w:qFormat/>
    <w:uiPriority w:val="0"/>
    <w:pPr>
      <w:keepNext/>
      <w:numPr>
        <w:ilvl w:val="3"/>
        <w:numId w:val="1"/>
      </w:numPr>
      <w:outlineLvl w:val="3"/>
    </w:pPr>
    <w:rPr>
      <w:rFonts w:ascii="宋体" w:hAnsi="Tahoma" w:eastAsia="宋体"/>
    </w:rPr>
  </w:style>
  <w:style w:type="paragraph" w:styleId="9">
    <w:name w:val="heading 5"/>
    <w:basedOn w:val="7"/>
    <w:next w:val="6"/>
    <w:link w:val="49"/>
    <w:qFormat/>
    <w:uiPriority w:val="0"/>
    <w:pPr>
      <w:numPr>
        <w:ilvl w:val="4"/>
        <w:numId w:val="1"/>
      </w:numPr>
      <w:outlineLvl w:val="4"/>
    </w:pPr>
  </w:style>
  <w:style w:type="character" w:default="1" w:styleId="30">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3">
    <w:name w:val="Body Text First Indent"/>
    <w:basedOn w:val="4"/>
    <w:link w:val="39"/>
    <w:qFormat/>
    <w:uiPriority w:val="0"/>
    <w:pPr>
      <w:tabs>
        <w:tab w:val="left" w:pos="2400"/>
      </w:tabs>
      <w:spacing w:before="120" w:beforeLines="50" w:after="0" w:line="240" w:lineRule="exact"/>
      <w:jc w:val="both"/>
    </w:pPr>
    <w:rPr>
      <w:rFonts w:ascii="黑体" w:hAnsi="宋体" w:eastAsia="黑体"/>
      <w:sz w:val="21"/>
      <w:szCs w:val="21"/>
    </w:rPr>
  </w:style>
  <w:style w:type="paragraph" w:styleId="4">
    <w:name w:val="Body Text"/>
    <w:basedOn w:val="1"/>
    <w:link w:val="41"/>
    <w:qFormat/>
    <w:uiPriority w:val="0"/>
    <w:pPr>
      <w:spacing w:after="120"/>
    </w:pPr>
  </w:style>
  <w:style w:type="paragraph" w:styleId="6">
    <w:name w:val="Normal Indent"/>
    <w:basedOn w:val="1"/>
    <w:uiPriority w:val="0"/>
    <w:pPr>
      <w:spacing w:line="240" w:lineRule="auto"/>
      <w:ind w:firstLine="420" w:firstLineChars="200"/>
      <w:jc w:val="both"/>
    </w:pPr>
    <w:rPr>
      <w:rFonts w:ascii="宋体" w:hAnsi="宋体"/>
      <w:sz w:val="21"/>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line="240" w:lineRule="auto"/>
    </w:pPr>
    <w:rPr>
      <w:rFonts w:ascii="Arial" w:hAnsi="Arial" w:eastAsia="黑体"/>
      <w:sz w:val="21"/>
    </w:rPr>
  </w:style>
  <w:style w:type="paragraph" w:styleId="12">
    <w:name w:val="annotation text"/>
    <w:basedOn w:val="1"/>
    <w:link w:val="48"/>
    <w:qFormat/>
    <w:uiPriority w:val="0"/>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toc 8"/>
    <w:basedOn w:val="1"/>
    <w:next w:val="1"/>
    <w:semiHidden/>
    <w:qFormat/>
    <w:uiPriority w:val="0"/>
    <w:pPr>
      <w:ind w:left="1680"/>
    </w:pPr>
    <w:rPr>
      <w:szCs w:val="21"/>
    </w:rPr>
  </w:style>
  <w:style w:type="paragraph" w:styleId="16">
    <w:name w:val="Date"/>
    <w:basedOn w:val="1"/>
    <w:next w:val="1"/>
    <w:link w:val="37"/>
    <w:qFormat/>
    <w:uiPriority w:val="0"/>
    <w:pPr>
      <w:ind w:left="100" w:leftChars="2500"/>
    </w:pPr>
    <w:rPr>
      <w:sz w:val="21"/>
      <w:szCs w:val="21"/>
    </w:rPr>
  </w:style>
  <w:style w:type="paragraph" w:styleId="17">
    <w:name w:val="endnote text"/>
    <w:basedOn w:val="1"/>
    <w:link w:val="38"/>
    <w:qFormat/>
    <w:uiPriority w:val="0"/>
    <w:pPr>
      <w:snapToGrid w:val="0"/>
    </w:pPr>
  </w:style>
  <w:style w:type="paragraph" w:styleId="18">
    <w:name w:val="Balloon Text"/>
    <w:basedOn w:val="1"/>
    <w:link w:val="53"/>
    <w:qFormat/>
    <w:uiPriority w:val="0"/>
    <w:pPr>
      <w:spacing w:line="240" w:lineRule="auto"/>
    </w:pPr>
    <w:rPr>
      <w:sz w:val="18"/>
      <w:szCs w:val="18"/>
    </w:rPr>
  </w:style>
  <w:style w:type="paragraph" w:styleId="19">
    <w:name w:val="footer"/>
    <w:basedOn w:val="1"/>
    <w:link w:val="46"/>
    <w:qFormat/>
    <w:uiPriority w:val="0"/>
    <w:pPr>
      <w:tabs>
        <w:tab w:val="center" w:pos="4153"/>
        <w:tab w:val="right" w:pos="8306"/>
      </w:tabs>
      <w:spacing w:line="240" w:lineRule="atLeast"/>
    </w:pPr>
    <w:rPr>
      <w:sz w:val="18"/>
    </w:rPr>
  </w:style>
  <w:style w:type="paragraph" w:styleId="20">
    <w:name w:val="header"/>
    <w:basedOn w:val="1"/>
    <w:link w:val="47"/>
    <w:qFormat/>
    <w:uiPriority w:val="0"/>
    <w:pPr>
      <w:tabs>
        <w:tab w:val="center" w:pos="4153"/>
        <w:tab w:val="right" w:pos="8306"/>
      </w:tabs>
      <w:spacing w:line="240" w:lineRule="atLeast"/>
      <w:jc w:val="center"/>
    </w:pPr>
    <w:rPr>
      <w:sz w:val="18"/>
    </w:rPr>
  </w:style>
  <w:style w:type="paragraph" w:styleId="21">
    <w:name w:val="toc 1"/>
    <w:basedOn w:val="1"/>
    <w:next w:val="1"/>
    <w:semiHidden/>
    <w:qFormat/>
    <w:uiPriority w:val="0"/>
    <w:pPr>
      <w:spacing w:before="120" w:after="120" w:line="240" w:lineRule="auto"/>
      <w:jc w:val="both"/>
    </w:pPr>
    <w:rPr>
      <w:rFonts w:ascii="黑体" w:eastAsia="黑体"/>
      <w:caps/>
      <w:color w:val="FF0000"/>
      <w:sz w:val="21"/>
      <w:szCs w:val="21"/>
    </w:rPr>
  </w:style>
  <w:style w:type="paragraph" w:styleId="22">
    <w:name w:val="toc 4"/>
    <w:basedOn w:val="1"/>
    <w:next w:val="1"/>
    <w:semiHidden/>
    <w:qFormat/>
    <w:uiPriority w:val="0"/>
    <w:pPr>
      <w:ind w:left="720"/>
    </w:pPr>
    <w:rPr>
      <w:szCs w:val="21"/>
    </w:rPr>
  </w:style>
  <w:style w:type="paragraph" w:styleId="23">
    <w:name w:val="toc 6"/>
    <w:basedOn w:val="1"/>
    <w:next w:val="1"/>
    <w:semiHidden/>
    <w:qFormat/>
    <w:uiPriority w:val="0"/>
    <w:pPr>
      <w:ind w:left="1200"/>
    </w:pPr>
    <w:rPr>
      <w:szCs w:val="21"/>
    </w:rPr>
  </w:style>
  <w:style w:type="paragraph" w:styleId="24">
    <w:name w:val="toc 2"/>
    <w:basedOn w:val="1"/>
    <w:next w:val="1"/>
    <w:semiHidden/>
    <w:qFormat/>
    <w:uiPriority w:val="0"/>
    <w:pPr>
      <w:spacing w:line="240" w:lineRule="auto"/>
    </w:pPr>
    <w:rPr>
      <w:rFonts w:ascii="黑体" w:hAnsi="宋体" w:eastAsia="黑体"/>
      <w:smallCaps/>
      <w:color w:val="0000FF"/>
      <w:sz w:val="21"/>
      <w:szCs w:val="21"/>
    </w:rPr>
  </w:style>
  <w:style w:type="paragraph" w:styleId="25">
    <w:name w:val="toc 9"/>
    <w:basedOn w:val="1"/>
    <w:next w:val="1"/>
    <w:semiHidden/>
    <w:qFormat/>
    <w:uiPriority w:val="0"/>
    <w:pPr>
      <w:ind w:left="1920"/>
    </w:pPr>
    <w:rPr>
      <w:szCs w:val="21"/>
    </w:rPr>
  </w:style>
  <w:style w:type="paragraph" w:styleId="26">
    <w:name w:val="annotation subject"/>
    <w:basedOn w:val="12"/>
    <w:next w:val="12"/>
    <w:link w:val="55"/>
    <w:qFormat/>
    <w:uiPriority w:val="0"/>
    <w:rPr>
      <w:b/>
      <w:bCs/>
    </w:rPr>
  </w:style>
  <w:style w:type="table" w:styleId="28">
    <w:name w:val="Table Grid"/>
    <w:basedOn w:val="27"/>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Simple 3"/>
    <w:basedOn w:val="27"/>
    <w:qFormat/>
    <w:uiPriority w:val="0"/>
    <w:pPr>
      <w:widowControl w:val="0"/>
      <w:adjustRightInd w:val="0"/>
      <w:spacing w:line="360" w:lineRule="atLeast"/>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31">
    <w:name w:val="endnote reference"/>
    <w:qFormat/>
    <w:uiPriority w:val="0"/>
    <w:rPr>
      <w:vertAlign w:val="superscript"/>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日期 字符"/>
    <w:link w:val="16"/>
    <w:qFormat/>
    <w:uiPriority w:val="0"/>
    <w:rPr>
      <w:sz w:val="21"/>
      <w:szCs w:val="21"/>
    </w:rPr>
  </w:style>
  <w:style w:type="character" w:customStyle="1" w:styleId="38">
    <w:name w:val="尾注文本 字符"/>
    <w:link w:val="17"/>
    <w:qFormat/>
    <w:uiPriority w:val="0"/>
    <w:rPr>
      <w:sz w:val="24"/>
    </w:rPr>
  </w:style>
  <w:style w:type="character" w:customStyle="1" w:styleId="39">
    <w:name w:val="正文文本首行缩进 字符"/>
    <w:link w:val="3"/>
    <w:qFormat/>
    <w:uiPriority w:val="0"/>
    <w:rPr>
      <w:rFonts w:ascii="黑体" w:hAnsi="宋体" w:eastAsia="黑体"/>
      <w:sz w:val="21"/>
      <w:szCs w:val="21"/>
    </w:rPr>
  </w:style>
  <w:style w:type="character" w:customStyle="1" w:styleId="40">
    <w:name w:val="标题 3 字符"/>
    <w:link w:val="7"/>
    <w:qFormat/>
    <w:uiPriority w:val="0"/>
    <w:rPr>
      <w:rFonts w:ascii="宋体" w:hAnsi="Tahoma"/>
      <w:sz w:val="21"/>
    </w:rPr>
  </w:style>
  <w:style w:type="character" w:customStyle="1" w:styleId="41">
    <w:name w:val="正文文本 字符"/>
    <w:link w:val="4"/>
    <w:qFormat/>
    <w:uiPriority w:val="0"/>
    <w:rPr>
      <w:sz w:val="24"/>
    </w:rPr>
  </w:style>
  <w:style w:type="character" w:customStyle="1" w:styleId="42">
    <w:name w:val="标题 1 字符"/>
    <w:link w:val="2"/>
    <w:qFormat/>
    <w:uiPriority w:val="0"/>
    <w:rPr>
      <w:rFonts w:ascii="黑体" w:hAnsi="Verdana" w:eastAsia="黑体"/>
      <w:sz w:val="21"/>
    </w:rPr>
  </w:style>
  <w:style w:type="character" w:customStyle="1" w:styleId="43">
    <w:name w:val="注释"/>
    <w:qFormat/>
    <w:uiPriority w:val="0"/>
    <w:rPr>
      <w:rFonts w:ascii="Times New Roman" w:eastAsia="宋体"/>
      <w:sz w:val="18"/>
    </w:rPr>
  </w:style>
  <w:style w:type="character" w:customStyle="1" w:styleId="44">
    <w:name w:val="标题 4 字符"/>
    <w:link w:val="8"/>
    <w:qFormat/>
    <w:uiPriority w:val="0"/>
    <w:rPr>
      <w:rFonts w:ascii="宋体" w:hAnsi="Tahoma"/>
      <w:sz w:val="21"/>
    </w:rPr>
  </w:style>
  <w:style w:type="character" w:customStyle="1" w:styleId="45">
    <w:name w:val="发布"/>
    <w:qFormat/>
    <w:uiPriority w:val="0"/>
    <w:rPr>
      <w:rFonts w:hint="eastAsia" w:ascii="黑体" w:eastAsia="黑体"/>
      <w:spacing w:val="22"/>
      <w:w w:val="100"/>
      <w:position w:val="3"/>
      <w:sz w:val="28"/>
    </w:rPr>
  </w:style>
  <w:style w:type="character" w:customStyle="1" w:styleId="46">
    <w:name w:val="页脚 字符"/>
    <w:link w:val="19"/>
    <w:qFormat/>
    <w:uiPriority w:val="0"/>
    <w:rPr>
      <w:sz w:val="18"/>
    </w:rPr>
  </w:style>
  <w:style w:type="character" w:customStyle="1" w:styleId="47">
    <w:name w:val="页眉 字符"/>
    <w:link w:val="20"/>
    <w:qFormat/>
    <w:uiPriority w:val="0"/>
    <w:rPr>
      <w:sz w:val="18"/>
    </w:rPr>
  </w:style>
  <w:style w:type="character" w:customStyle="1" w:styleId="48">
    <w:name w:val="批注文字 字符"/>
    <w:link w:val="12"/>
    <w:qFormat/>
    <w:uiPriority w:val="0"/>
    <w:rPr>
      <w:sz w:val="24"/>
    </w:rPr>
  </w:style>
  <w:style w:type="character" w:customStyle="1" w:styleId="49">
    <w:name w:val="标题 5 字符"/>
    <w:link w:val="9"/>
    <w:qFormat/>
    <w:uiPriority w:val="0"/>
    <w:rPr>
      <w:rFonts w:ascii="宋体" w:hAnsi="Tahoma"/>
      <w:sz w:val="21"/>
    </w:rPr>
  </w:style>
  <w:style w:type="character" w:customStyle="1" w:styleId="50">
    <w:name w:val="段 Char"/>
    <w:link w:val="51"/>
    <w:qFormat/>
    <w:uiPriority w:val="0"/>
    <w:rPr>
      <w:rFonts w:ascii="宋体"/>
      <w:sz w:val="21"/>
      <w:lang w:bidi="ar-SA"/>
    </w:rPr>
  </w:style>
  <w:style w:type="paragraph" w:customStyle="1" w:styleId="51">
    <w:name w:val="段"/>
    <w:link w:val="50"/>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2">
    <w:name w:val="标题 2 字符"/>
    <w:link w:val="5"/>
    <w:qFormat/>
    <w:uiPriority w:val="0"/>
    <w:rPr>
      <w:rFonts w:ascii="宋体"/>
      <w:sz w:val="21"/>
    </w:rPr>
  </w:style>
  <w:style w:type="character" w:customStyle="1" w:styleId="53">
    <w:name w:val="批注框文本 字符"/>
    <w:link w:val="18"/>
    <w:qFormat/>
    <w:uiPriority w:val="0"/>
    <w:rPr>
      <w:sz w:val="18"/>
      <w:szCs w:val="18"/>
    </w:rPr>
  </w:style>
  <w:style w:type="character" w:customStyle="1" w:styleId="54">
    <w:name w:val="图中文字"/>
    <w:qFormat/>
    <w:uiPriority w:val="0"/>
    <w:rPr>
      <w:rFonts w:ascii="Times New Roman" w:eastAsia="宋体"/>
      <w:sz w:val="15"/>
    </w:rPr>
  </w:style>
  <w:style w:type="character" w:customStyle="1" w:styleId="55">
    <w:name w:val="批注主题 字符"/>
    <w:link w:val="26"/>
    <w:qFormat/>
    <w:uiPriority w:val="0"/>
    <w:rPr>
      <w:b/>
      <w:bCs/>
      <w:sz w:val="24"/>
    </w:rPr>
  </w:style>
  <w:style w:type="paragraph" w:customStyle="1" w:styleId="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
    <w:name w:val="编号文字"/>
    <w:basedOn w:val="4"/>
    <w:qFormat/>
    <w:uiPriority w:val="0"/>
    <w:pPr>
      <w:numPr>
        <w:ilvl w:val="0"/>
        <w:numId w:val="2"/>
      </w:numPr>
      <w:spacing w:after="0" w:line="240" w:lineRule="auto"/>
    </w:pPr>
    <w:rPr>
      <w:sz w:val="21"/>
    </w:rPr>
  </w:style>
  <w:style w:type="paragraph" w:customStyle="1" w:styleId="58">
    <w:name w:val="一级条标题"/>
    <w:next w:val="51"/>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59">
    <w:name w:val="章标题"/>
    <w:next w:val="51"/>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0">
    <w:name w:val=" Char"/>
    <w:basedOn w:val="1"/>
    <w:qFormat/>
    <w:uiPriority w:val="0"/>
    <w:pPr>
      <w:widowControl/>
      <w:spacing w:after="160" w:line="240" w:lineRule="exact"/>
    </w:pPr>
    <w:rPr>
      <w:rFonts w:ascii="Verdana" w:hAnsi="Verdana"/>
      <w:sz w:val="20"/>
      <w:lang w:eastAsia="en-US"/>
    </w:rPr>
  </w:style>
  <w:style w:type="paragraph" w:customStyle="1" w:styleId="61">
    <w:name w:val="三级条标题"/>
    <w:basedOn w:val="62"/>
    <w:next w:val="51"/>
    <w:qFormat/>
    <w:uiPriority w:val="0"/>
    <w:pPr>
      <w:numPr>
        <w:ilvl w:val="4"/>
        <w:numId w:val="3"/>
      </w:numPr>
      <w:outlineLvl w:val="4"/>
    </w:pPr>
  </w:style>
  <w:style w:type="paragraph" w:customStyle="1" w:styleId="62">
    <w:name w:val="二级条标题"/>
    <w:basedOn w:val="58"/>
    <w:next w:val="51"/>
    <w:qFormat/>
    <w:uiPriority w:val="0"/>
    <w:pPr>
      <w:numPr>
        <w:ilvl w:val="3"/>
        <w:numId w:val="3"/>
      </w:numPr>
      <w:outlineLvl w:val="3"/>
    </w:pPr>
  </w:style>
  <w:style w:type="paragraph" w:styleId="63">
    <w:name w:val="List Paragraph"/>
    <w:basedOn w:val="1"/>
    <w:qFormat/>
    <w:uiPriority w:val="99"/>
    <w:pPr>
      <w:widowControl/>
      <w:adjustRightInd/>
      <w:spacing w:line="240" w:lineRule="auto"/>
      <w:ind w:firstLine="420" w:firstLineChars="200"/>
      <w:textAlignment w:val="auto"/>
    </w:pPr>
    <w:rPr>
      <w:sz w:val="20"/>
    </w:rPr>
  </w:style>
  <w:style w:type="paragraph" w:customStyle="1" w:styleId="64">
    <w:name w:val="发布部门"/>
    <w:next w:val="51"/>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5">
    <w:name w:val="四级条标题"/>
    <w:basedOn w:val="61"/>
    <w:next w:val="51"/>
    <w:qFormat/>
    <w:uiPriority w:val="0"/>
    <w:pPr>
      <w:numPr>
        <w:ilvl w:val="5"/>
        <w:numId w:val="3"/>
      </w:numPr>
      <w:outlineLvl w:val="5"/>
    </w:pPr>
  </w:style>
  <w:style w:type="paragraph" w:customStyle="1" w:styleId="6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67">
    <w:name w:val="篇"/>
    <w:basedOn w:val="1"/>
    <w:next w:val="1"/>
    <w:qFormat/>
    <w:uiPriority w:val="0"/>
    <w:pPr>
      <w:jc w:val="center"/>
    </w:pPr>
    <w:rPr>
      <w:rFonts w:eastAsia="黑体"/>
    </w:rPr>
  </w:style>
  <w:style w:type="paragraph" w:customStyle="1" w:styleId="68">
    <w:name w:val="五级条标题"/>
    <w:basedOn w:val="65"/>
    <w:next w:val="51"/>
    <w:qFormat/>
    <w:uiPriority w:val="0"/>
    <w:pPr>
      <w:numPr>
        <w:ilvl w:val="6"/>
        <w:numId w:val="3"/>
      </w:numPr>
      <w:outlineLvl w:val="6"/>
    </w:pPr>
  </w:style>
  <w:style w:type="paragraph" w:customStyle="1" w:styleId="6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_Style 69"/>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gba4</Template>
  <Company>Microsoft</Company>
  <Pages>9</Pages>
  <Words>896</Words>
  <Characters>5110</Characters>
  <Lines>42</Lines>
  <Paragraphs>11</Paragraphs>
  <TotalTime>84</TotalTime>
  <ScaleCrop>false</ScaleCrop>
  <LinksUpToDate>false</LinksUpToDate>
  <CharactersWithSpaces>5995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2021-05-10T05:36:00Z</dcterms:created>
  <dc:creator>wsvsts</dc:creator>
  <cp:lastModifiedBy>CathayMok</cp:lastModifiedBy>
  <cp:lastPrinted>2021-11-08T04:34:00Z</cp:lastPrinted>
  <dcterms:modified xsi:type="dcterms:W3CDTF">2021-11-11T06:13:36Z</dcterms:modified>
  <dc:title>UDC XXX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EC92D5B199B64F6AB4F9B0C683EAEC6E</vt:lpwstr>
  </property>
</Properties>
</file>