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368"/>
        <w:gridCol w:w="6763"/>
        <w:gridCol w:w="2650"/>
        <w:gridCol w:w="1030"/>
        <w:gridCol w:w="14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98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napToGrid w:val="0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标准意见汇总处理表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8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标准项目名称：铜精矿单位产品能耗消耗限额                                                                     承办人：简志超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8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napToGrid w:val="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标准项目负责起草单位：江西铜业股份有限公司          电话：0791-82790129                                  2021年9月22日填写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标准章条编号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意见内容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提出单位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处理意见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题目翻译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翻译问题，以下供参考：Norm of energy consumption per unit products of copper concentrate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紫金矿业集团股份有限公司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采纳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前言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前言中“</w:t>
            </w:r>
            <w:r>
              <w:rPr>
                <w:color w:val="000000"/>
                <w:kern w:val="0"/>
                <w:szCs w:val="21"/>
                <w:lang w:bidi="ar"/>
              </w:rPr>
              <w:t>----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加严了</w:t>
            </w:r>
            <w:r>
              <w:rPr>
                <w:color w:val="000000"/>
                <w:kern w:val="0"/>
                <w:szCs w:val="21"/>
                <w:lang w:bidi="ar"/>
              </w:rPr>
              <w:t>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.”，建议修改为“</w:t>
            </w:r>
            <w:r>
              <w:rPr>
                <w:color w:val="000000"/>
                <w:kern w:val="0"/>
                <w:szCs w:val="21"/>
                <w:lang w:bidi="ar"/>
              </w:rPr>
              <w:t>---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提高了</w:t>
            </w:r>
            <w:r>
              <w:rPr>
                <w:color w:val="000000"/>
                <w:kern w:val="0"/>
                <w:szCs w:val="21"/>
                <w:lang w:bidi="ar"/>
              </w:rPr>
              <w:t>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.”更为合适，“</w:t>
            </w:r>
            <w:r>
              <w:rPr>
                <w:color w:val="000000"/>
                <w:kern w:val="0"/>
                <w:szCs w:val="21"/>
                <w:lang w:bidi="ar"/>
              </w:rPr>
              <w:t>----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加严了”较为口语化。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江西铜业股份有限公司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采纳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前言 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第6行“加严”建议改为“提高”，“提高要求”更规范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紫金矿业集团股份有限公司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采纳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术语、定义，需增加“综合能耗”的定义解释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江西铜业股份有限公司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采纳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3.2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建议改为“用于辅助采矿或选矿生产系统所消耗的能源量。”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紫金矿业集团股份有限公司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采纳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4.1.2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表</w:t>
            </w: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、表</w:t>
            </w: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建议统一是否标字母（如“</w:t>
            </w:r>
            <w:r>
              <w:rPr>
                <w:color w:val="000000"/>
                <w:kern w:val="0"/>
                <w:szCs w:val="21"/>
                <w:lang w:bidi="ar"/>
              </w:rPr>
              <w:t>P0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”）；表1、表2表明是否统一为“XX综合能源消耗限额”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紫金矿业集团股份有限公司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采纳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4.1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napToGrid w:val="0"/>
              <w:spacing w:line="240" w:lineRule="auto"/>
              <w:jc w:val="left"/>
              <w:rPr>
                <w:rFonts w:hint="eastAsia" w:asci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eastAsia="宋体" w:cs="宋体"/>
                <w:sz w:val="21"/>
                <w:szCs w:val="21"/>
                <w:lang w:bidi="ar"/>
              </w:rPr>
              <w:t>标准4.1采矿综合能源消耗限额，表1采矿综合能耗限额中，露天采矿先进值建议0.8 kgce/t不变，新建准入值1.3kgce/t，限定值1.6kgce/t。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西部矿业集团有限公司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未采纳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高海拔地区有其特殊性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4.1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napToGrid w:val="0"/>
              <w:spacing w:line="240" w:lineRule="auto"/>
              <w:jc w:val="left"/>
              <w:rPr>
                <w:rFonts w:hint="eastAsia" w:asci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eastAsia="宋体" w:cs="宋体"/>
                <w:sz w:val="21"/>
                <w:szCs w:val="21"/>
                <w:lang w:bidi="ar"/>
              </w:rPr>
              <w:t>标准4.1采矿综合能源消耗限额，表1采矿综合能耗限额中，井下采矿先进值建议4.0 kgce/t，新建准入值4.6kgce/t，限定值6kgce/t。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西部矿业集团有限公司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未采纳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高海拔地区有其特殊性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4.2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标准4.2选矿综合能源消耗限额，表2选矿综合能源消耗限额中，选矿工艺先进值建议5.0 kgce/t不变，新建准入值6.0kgce/t，限定值6.5kgce/t。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西部矿业集团有限公司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未采纳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高海拔地区有其特殊性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4.3 表</w:t>
            </w:r>
            <w:r>
              <w:rPr>
                <w:kern w:val="0"/>
                <w:szCs w:val="21"/>
                <w:lang w:bidi="ar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缺失“井下开采能源消耗”的先进值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江西铜业股份有限公司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采纳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统一放在表1中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5.1.1.1,5.1.1.2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“……年产品产量为各月产量之和统计。”删除“统计”。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江西铜业股份有限公司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采纳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5.2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建议“井下采矿的凿岩、爆破、采矿、运输（含提升）、通风、充填、排水等”修改为“井下采矿的凿岩、爆破、采矿、运输（含提升）、通风、充填、供水、排水、排碴等”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云南铜业股份有限公司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未采纳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均包含在内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5.2.1，5</w:t>
            </w:r>
            <w:r>
              <w:rPr>
                <w:kern w:val="0"/>
                <w:szCs w:val="21"/>
                <w:lang w:bidi="ar"/>
              </w:rPr>
              <w:t>.2.2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公式 “</w:t>
            </w:r>
            <w:r>
              <w:rPr>
                <w:rFonts w:ascii="EU-B1X" w:hAnsi="EU-B1X" w:eastAsia="EU-B1X" w:cs="EU-B1X"/>
                <w:kern w:val="0"/>
                <w:szCs w:val="21"/>
                <w:lang w:bidi="ar"/>
              </w:rPr>
              <w:t>P</w:t>
            </w:r>
            <w:r>
              <w:rPr>
                <w:rFonts w:ascii="EU-B1X" w:hAnsi="EU-B1X" w:eastAsia="EU-B1X" w:cs="EU-B1X"/>
                <w:kern w:val="0"/>
                <w:szCs w:val="21"/>
                <w:vertAlign w:val="subscript"/>
                <w:lang w:bidi="ar"/>
              </w:rPr>
              <w:t>Z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----某工序(工艺)产出的产品采剥、采掘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和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选矿处理总量” 注解中，“和”建议更改为“或”更为准确。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江西铜业股份有限公司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采纳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5.2.2 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第5行：“产出的产品采剥、采掘和选矿处理总量”改为“产出的产品采剥、采掘总量或选矿处理总量”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紫金矿业集团股份有限公司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采纳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5.2.3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公式复杂：间接辅助生产部门用能源量及损耗能源量除各产品量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江西铜业股份有限公司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采纳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5.2.3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公式无法理解，辅助能耗及损耗分摊量的计算应该是：辅助能耗</w:t>
            </w:r>
            <w:r>
              <w:rPr>
                <w:kern w:val="0"/>
                <w:szCs w:val="21"/>
                <w:lang w:bidi="ar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产品产量？ 多个产品的需按不同类型另讨论，或是按不同产品产量比例分摊？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紫金矿业集团股份有限公司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未采纳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5.2.3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第4、5行：辅助材料已经有“间接使用”含义，建议删除“间接”2字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紫金矿业集团股份有限公司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采纳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5.3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计算范围：是否要将排水、供风、供水、提升的能耗纳入采矿工艺计算范围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江西铜业股份有限公司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部分采纳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增加了排水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6.1.1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应建立能源消耗考核制度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江西铜业股份有限公司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采纳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6.2.1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推广应用采矿和选矿先进工艺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江西铜业股份有限公司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采纳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铜精矿能耗限额标准应明确矿山投产年份界限，因为越老的矿山开采深度越大，采矿工艺越老，能耗消耗越高。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云南铜业股份有限公司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未采纳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2020年11月的有色年会上明确不考虑开采深度、运距、采剥比影响因素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选矿产铜单耗（tce/t）能否列入《铜精矿生产能源消耗限额》，这一定程度上可反映铜矿品位开采的价值。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紫金矿业集团股份有限公司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未采纳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沿用2009年版按处理量计算单耗。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现行YS/T 693-2009版《铜精矿生产能源消耗限额》标准中未明确生产区域、生活区域因供暖所消耗的原煤是否计入选矿、采矿综合能耗。因北方地区严寒，矿区供暖所消耗的原煤占综合能耗47%左右（2020年数据），建议因供暖所消耗的原煤不计入选矿、采矿综合能耗，如供暖所消耗的原煤计入选矿、采矿综合能耗，则采矿、选矿综合能耗限额值需相应调整。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新疆哈巴河阿舍勒铜业股份有限公司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未采纳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北方有取暖、南方有排水等各有不同情况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建议将炭达标和碳中和内容纳入该标准。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青海威斯特铜业有限责任公司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未采纳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暂不考虑</w:t>
            </w:r>
          </w:p>
        </w:tc>
      </w:tr>
    </w:tbl>
    <w:p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说明</w:t>
      </w:r>
      <w:r>
        <w:rPr>
          <w:color w:val="FF0000"/>
          <w:szCs w:val="21"/>
        </w:rPr>
        <w:t>:(1)</w:t>
      </w:r>
      <w:r>
        <w:rPr>
          <w:rFonts w:hint="eastAsia"/>
          <w:color w:val="FF0000"/>
          <w:szCs w:val="21"/>
        </w:rPr>
        <w:t>发送</w:t>
      </w:r>
      <w:r>
        <w:rPr>
          <w:color w:val="FF0000"/>
          <w:szCs w:val="21"/>
        </w:rPr>
        <w:t>&lt;</w:t>
      </w:r>
      <w:r>
        <w:rPr>
          <w:rFonts w:hint="eastAsia"/>
          <w:color w:val="FF0000"/>
          <w:szCs w:val="21"/>
        </w:rPr>
        <w:t>征求意见稿</w:t>
      </w:r>
      <w:r>
        <w:rPr>
          <w:color w:val="FF0000"/>
          <w:szCs w:val="21"/>
        </w:rPr>
        <w:t>&gt;</w:t>
      </w:r>
      <w:r>
        <w:rPr>
          <w:rFonts w:hint="eastAsia"/>
          <w:color w:val="FF0000"/>
          <w:szCs w:val="21"/>
        </w:rPr>
        <w:t>的单位个数</w:t>
      </w:r>
      <w:r>
        <w:rPr>
          <w:color w:val="FF0000"/>
          <w:szCs w:val="21"/>
        </w:rPr>
        <w:t xml:space="preserve">:  </w:t>
      </w:r>
      <w:r>
        <w:rPr>
          <w:rFonts w:hint="eastAsia"/>
          <w:color w:val="FF0000"/>
          <w:szCs w:val="21"/>
        </w:rPr>
        <w:t>30</w:t>
      </w:r>
      <w:r>
        <w:rPr>
          <w:color w:val="FF0000"/>
          <w:szCs w:val="21"/>
        </w:rPr>
        <w:t xml:space="preserve"> </w:t>
      </w:r>
      <w:r>
        <w:rPr>
          <w:rFonts w:hint="eastAsia"/>
          <w:color w:val="FF0000"/>
          <w:szCs w:val="21"/>
        </w:rPr>
        <w:t>个</w:t>
      </w:r>
    </w:p>
    <w:p>
      <w:pPr>
        <w:rPr>
          <w:color w:val="FF0000"/>
          <w:szCs w:val="21"/>
        </w:rPr>
      </w:pPr>
      <w:r>
        <w:rPr>
          <w:color w:val="FF0000"/>
          <w:szCs w:val="21"/>
        </w:rPr>
        <w:tab/>
      </w:r>
      <w:r>
        <w:rPr>
          <w:color w:val="FF0000"/>
          <w:szCs w:val="21"/>
        </w:rPr>
        <w:t>(2)</w:t>
      </w:r>
      <w:r>
        <w:rPr>
          <w:rFonts w:hint="eastAsia"/>
          <w:color w:val="FF0000"/>
          <w:szCs w:val="21"/>
        </w:rPr>
        <w:t>收到</w:t>
      </w:r>
      <w:r>
        <w:rPr>
          <w:color w:val="FF0000"/>
          <w:szCs w:val="21"/>
        </w:rPr>
        <w:t>&lt;</w:t>
      </w:r>
      <w:r>
        <w:rPr>
          <w:rFonts w:hint="eastAsia"/>
          <w:color w:val="FF0000"/>
          <w:szCs w:val="21"/>
        </w:rPr>
        <w:t>征求意见稿</w:t>
      </w:r>
      <w:r>
        <w:rPr>
          <w:color w:val="FF0000"/>
          <w:szCs w:val="21"/>
        </w:rPr>
        <w:t>&gt;</w:t>
      </w:r>
      <w:r>
        <w:rPr>
          <w:rFonts w:hint="eastAsia"/>
          <w:color w:val="FF0000"/>
          <w:szCs w:val="21"/>
        </w:rPr>
        <w:t>后</w:t>
      </w:r>
      <w:r>
        <w:rPr>
          <w:color w:val="FF0000"/>
          <w:szCs w:val="21"/>
        </w:rPr>
        <w:t>,</w:t>
      </w:r>
      <w:r>
        <w:rPr>
          <w:rFonts w:hint="eastAsia"/>
          <w:color w:val="FF0000"/>
          <w:szCs w:val="21"/>
        </w:rPr>
        <w:t>回函的单位数</w:t>
      </w:r>
      <w:r>
        <w:rPr>
          <w:color w:val="FF0000"/>
          <w:szCs w:val="21"/>
        </w:rPr>
        <w:t xml:space="preserve">:  </w:t>
      </w:r>
      <w:r>
        <w:rPr>
          <w:rFonts w:hint="eastAsia"/>
          <w:color w:val="FF0000"/>
          <w:szCs w:val="21"/>
        </w:rPr>
        <w:t>25</w:t>
      </w:r>
      <w:r>
        <w:rPr>
          <w:color w:val="FF0000"/>
          <w:szCs w:val="21"/>
        </w:rPr>
        <w:t xml:space="preserve"> </w:t>
      </w:r>
      <w:r>
        <w:rPr>
          <w:rFonts w:hint="eastAsia"/>
          <w:color w:val="FF0000"/>
          <w:szCs w:val="21"/>
        </w:rPr>
        <w:t>个</w:t>
      </w:r>
    </w:p>
    <w:p>
      <w:pPr>
        <w:rPr>
          <w:color w:val="FF0000"/>
          <w:szCs w:val="21"/>
        </w:rPr>
      </w:pPr>
      <w:r>
        <w:rPr>
          <w:color w:val="FF0000"/>
          <w:szCs w:val="21"/>
        </w:rPr>
        <w:tab/>
      </w:r>
      <w:r>
        <w:rPr>
          <w:color w:val="FF0000"/>
          <w:szCs w:val="21"/>
        </w:rPr>
        <w:t>(3)</w:t>
      </w:r>
      <w:r>
        <w:rPr>
          <w:rFonts w:hint="eastAsia"/>
          <w:color w:val="FF0000"/>
          <w:szCs w:val="21"/>
        </w:rPr>
        <w:t>收到</w:t>
      </w:r>
      <w:r>
        <w:rPr>
          <w:color w:val="FF0000"/>
          <w:szCs w:val="21"/>
        </w:rPr>
        <w:t>&lt;</w:t>
      </w:r>
      <w:r>
        <w:rPr>
          <w:rFonts w:hint="eastAsia"/>
          <w:color w:val="FF0000"/>
          <w:szCs w:val="21"/>
        </w:rPr>
        <w:t>征求意见稿</w:t>
      </w:r>
      <w:r>
        <w:rPr>
          <w:color w:val="FF0000"/>
          <w:szCs w:val="21"/>
        </w:rPr>
        <w:t>&gt;</w:t>
      </w:r>
      <w:r>
        <w:rPr>
          <w:rFonts w:hint="eastAsia"/>
          <w:color w:val="FF0000"/>
          <w:szCs w:val="21"/>
        </w:rPr>
        <w:t>后</w:t>
      </w:r>
      <w:r>
        <w:rPr>
          <w:color w:val="FF0000"/>
          <w:szCs w:val="21"/>
        </w:rPr>
        <w:t>,</w:t>
      </w:r>
      <w:r>
        <w:rPr>
          <w:rFonts w:hint="eastAsia"/>
          <w:color w:val="FF0000"/>
          <w:szCs w:val="21"/>
        </w:rPr>
        <w:t>回函并有建议或意见的单位数</w:t>
      </w:r>
      <w:r>
        <w:rPr>
          <w:color w:val="FF0000"/>
          <w:szCs w:val="21"/>
        </w:rPr>
        <w:t>:</w:t>
      </w:r>
      <w:r>
        <w:rPr>
          <w:rFonts w:hint="eastAsia"/>
          <w:color w:val="FF0000"/>
          <w:szCs w:val="21"/>
        </w:rPr>
        <w:t xml:space="preserve"> 9个</w:t>
      </w:r>
    </w:p>
    <w:p>
      <w:pPr>
        <w:rPr>
          <w:color w:val="FF0000"/>
          <w:szCs w:val="21"/>
        </w:rPr>
      </w:pPr>
      <w:r>
        <w:rPr>
          <w:color w:val="FF0000"/>
          <w:szCs w:val="21"/>
        </w:rPr>
        <w:tab/>
      </w:r>
      <w:r>
        <w:rPr>
          <w:color w:val="FF0000"/>
          <w:szCs w:val="21"/>
        </w:rPr>
        <w:t>(4)</w:t>
      </w:r>
      <w:r>
        <w:rPr>
          <w:rFonts w:hint="eastAsia"/>
          <w:color w:val="FF0000"/>
          <w:szCs w:val="21"/>
        </w:rPr>
        <w:t>没有回函的单位数</w:t>
      </w:r>
      <w:r>
        <w:rPr>
          <w:color w:val="FF0000"/>
          <w:szCs w:val="21"/>
        </w:rPr>
        <w:t xml:space="preserve">: </w:t>
      </w:r>
      <w:r>
        <w:rPr>
          <w:rFonts w:hint="eastAsia"/>
          <w:color w:val="FF0000"/>
          <w:szCs w:val="21"/>
        </w:rPr>
        <w:t>5个</w:t>
      </w:r>
    </w:p>
    <w:p>
      <w:pPr>
        <w:snapToGrid w:val="0"/>
        <w:rPr>
          <w:rFonts w:hint="eastAsia" w:ascii="宋体" w:hAnsi="宋体" w:cs="宋体"/>
          <w:szCs w:val="21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EU-B1X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6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2021-10-21T07:12:40Z</dcterms:created>
  <dc:creator>think</dc:creator>
  <cp:lastModifiedBy>林若虚</cp:lastModifiedBy>
  <dcterms:modified xsi:type="dcterms:W3CDTF">2021-10-21T07:12:50Z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