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5"/>
        <w:jc w:val="both"/>
        <w:rPr>
          <w:rFonts w:hint="eastAsia" w:ascii="Times New Roman" w:hAnsi="宋体" w:eastAsia="宋体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附件三</w:t>
      </w:r>
    </w:p>
    <w:p>
      <w:pPr>
        <w:spacing w:line="360" w:lineRule="auto"/>
        <w:jc w:val="both"/>
        <w:rPr>
          <w:rFonts w:ascii="Times New Roman" w:hAnsi="宋体" w:eastAsia="宋体"/>
          <w:color w:val="auto"/>
          <w:sz w:val="24"/>
          <w:szCs w:val="24"/>
        </w:rPr>
      </w:pPr>
      <w:r>
        <w:rPr>
          <w:rFonts w:hint="eastAsia" w:ascii="Times New Roman" w:hAnsi="宋体" w:eastAsia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宋体" w:eastAsia="宋体"/>
          <w:b/>
          <w:bCs/>
          <w:color w:val="auto"/>
          <w:sz w:val="24"/>
          <w:szCs w:val="24"/>
        </w:rPr>
        <w:t>建议和意见处理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78"/>
        <w:gridCol w:w="2225"/>
        <w:gridCol w:w="1513"/>
        <w:gridCol w:w="1122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标准章条编号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意见内容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提出单位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处理意见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仅有称取氟化钠质量，没有溶解定容步骤。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金川集团股份有限公司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稀释刻度后缺混匀步骤。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金川集团股份有限公司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“用水稀释至刻度，混匀定容”改为“用水稀释至刻度，混匀”。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金川集团股份有限公司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6.5.4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详细规定含量大于多少时分取稀释多少候测定。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金川集团股份有限公司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6.5.4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范围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建议用表格列出各元素范围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深圳中金岭南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2.210g改为2.21000g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深圳中金岭南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删去“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天平，感量0.000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1 g”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,并在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2.2100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0、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各元素质量浓度建议表述为“此溶液1mL含Xmg某元素”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深圳中金岭南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6.5.1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准确移取标准溶液X.00mL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深圳中金岭南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股份有限公司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6.5.1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3.1、3.2、3.3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不应在3试剂中列出，因为仅在试剂的配制中出现的试剂，不在试剂中单独列出。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本方法参照其他标准方法（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GB/T 3884.12-2010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铜精矿化学分析方法　第12部分：氟和氯含量的测定　离子色谱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法》），均在3.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、3.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、3.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单独列出试剂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3.7、3.8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淋洗液和吸收液实际都是0.045 mol/L的氢氧化钾溶液，只是用于两处，这两条应该合并为氢氧化钾溶液。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已区分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3.9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精确至0.00001 g，那么2.210 g应表示为2.21000 g，且此条中未写溶解和定容。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本方法使用4.1“天平，感量0.0001 g”，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3.10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同上条1.648 g应表示为1.64800 g，用水溶解后改为，全部转移至1000 mL容量瓶，稀释至刻度，摇匀。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本方法使用4.1“天平，感量0.0001 g”，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3.11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同上条1.489 g应表示为1.48900 g，用水溶解后改为，全部转移至1000 mL容量瓶，稀释至刻度，摇匀。存储于棕色瓶中。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本方法使用4.1“天平，感量0.0001 g”，3.1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已补充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“全部转移至1000 mL容量瓶，用水稀释至刻度，混匀，移入干燥的棕色瓶中贮存。”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3.12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最后加上摇匀。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已补充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混匀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4.2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仪器工作条件因不同品牌仪器参数不同，应作为推荐条款以附录形式附在文本后面。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本方法增加了离子色谱分析参考条件及附图，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以附录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B(资料性附录)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形式附在文本后面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6.4.2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是否存在无法点燃的样品，如样品无法点燃如何进行处理？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处理后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试样含有机物较高，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未出现无法点燃现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范围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测定范围：F 0.010%～0.10%；而6.1称取0.15~0.2g试样，精确至0.0001g,6.4.3前处理后定容至200mL,若称取0.2g试样定容至200mL后浓度为0.1mg/L。而6.5.1工作曲线的绘制中，氟化物的最低浓度通过计算是0.25mg/L。前后矛盾。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本方法已修改6.5.1工作曲线的绘制，增加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05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u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g/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最低点标准溶液。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3.7和3.8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淋洗系统和吸收液选择用KOH而没有选择Na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-NaHCO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是否有进行验证试验选择KOH更合适一些。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碳酸盐体系及氢氧根体系均为仪器差异，属于性能相当者，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以附录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B(资料性附录)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形式附在文本后面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6.5.1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是否做实验验证氟、氯、溴曲线的最低浓度测定重现性符合要求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在试验报告中补充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6.5.2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前处理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  <w:t>氧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弹燃烧后吸收液中是否存在一些残渣，样品是否需经微孔滤膜过滤后再进行测定，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本方法中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4.4 一次性水系微孔滤膜滤头：不小于0.45 μm。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6.5.2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现在离子色谱设备自动化程度很高，一般都配备自动进样器，作为行业标准在描述进样的过程能否更优化通用一些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本方法中4.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.1 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增加“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配置自动进样器的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性能相当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除非另有说明，在分析中仅使用确认为优级纯的试剂，实验用水符合GB/T 6682 规定的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级用水。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未采纳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推荐使用一级用水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未说明如何进行空白试验？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本方法中6.3空白试验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已补充为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随同试料做空白试验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6.5.4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试液的分取稀释倍数要适宜应具体表述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6.5已补充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表1 分取试液体积、测定试液体积和稀释倍数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是否应区分非金属物料氟、氯和溴的含量以质量分数ω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eastAsia="zh-CN"/>
              </w:rPr>
              <w:t>(B)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试样中氟、氯和溴的含量以质量分数ω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(x)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7.1与7.2区分表述，并在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试验报告中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补充相关数据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如何体现试验报告中的加标回收试验？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方法增加标准物质氟化钠、氯化钠、溴化钾基准物质试验回收效果较差，可探索考虑增加有标准值的易燃标准物质或其他方法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氧弹燃烧能否保证充分燃烧，可尝试封闭式燃烧炉法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大冶有色设计研究院有限公司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将持续完善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英文标题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“Brominehalogen”是否改为“Bromine”？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中国检验认证集团广东有限公司黄埔分公司 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本方法英文标题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已更改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“Bromine”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前言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“GB/T 1.1-2009”是否改为“GB/T 1.1-2020”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中国检验认证集团广东有限公司黄埔分公司 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本方法前言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已更正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1范围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Br[空格]0.050%～3.00%。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中国检验认证集团广东有限公司黄埔分公司 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本方法1范围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3.9、3.10、3.11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称重质量是否写成小数点后四位小数，精确至万分之一更合适？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中国检验认证集团广东有限公司黄埔分公司 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本方法3.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、3.1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、3.1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已补充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整篇幅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1"/>
              </w:rPr>
              <w:t>大量的英文、字母、数字没有使用times New Romar字体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中国检验认证集团广东有限公司黄埔分公司 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全篇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1"/>
              </w:rPr>
              <w:t>英文、字母、数字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已采用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1"/>
              </w:rPr>
              <w:t>imes New Romar字体</w:t>
            </w:r>
          </w:p>
        </w:tc>
      </w:tr>
    </w:tbl>
    <w:p>
      <w:pPr>
        <w:spacing w:line="360" w:lineRule="auto"/>
        <w:ind w:right="85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说明（1）发送《征求意见稿》的单位数：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个；</w:t>
      </w:r>
    </w:p>
    <w:p>
      <w:pPr>
        <w:numPr>
          <w:ilvl w:val="0"/>
          <w:numId w:val="1"/>
        </w:numPr>
        <w:spacing w:line="360" w:lineRule="auto"/>
        <w:ind w:right="85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收到《征求意见稿》后，回函的单位数：4个</w:t>
      </w:r>
    </w:p>
    <w:p>
      <w:pPr>
        <w:numPr>
          <w:ilvl w:val="0"/>
          <w:numId w:val="1"/>
        </w:numPr>
        <w:spacing w:line="360" w:lineRule="auto"/>
        <w:ind w:right="85" w:firstLine="480" w:firstLineChars="200"/>
        <w:jc w:val="both"/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收到《征求意见稿》后，回函并有建议或意见的单位数：4个。</w:t>
      </w:r>
    </w:p>
    <w:p/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F2D54"/>
    <w:multiLevelType w:val="singleLevel"/>
    <w:tmpl w:val="0C4F2D5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436E"/>
    <w:rsid w:val="6494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qFormat/>
    <w:uiPriority w:val="0"/>
    <w:pPr>
      <w:ind w:firstLine="200"/>
      <w:jc w:val="both"/>
    </w:pPr>
    <w:rPr>
      <w:rFonts w:ascii="宋体" w:hAnsi="宋体" w:eastAsia="宋体" w:cs="Times New Roman"/>
      <w:color w:val="000000"/>
      <w:sz w:val="21"/>
      <w:szCs w:val="22"/>
      <w:lang w:val="en-US" w:eastAsia="zh-CN" w:bidi="ar-SA"/>
    </w:rPr>
  </w:style>
  <w:style w:type="paragraph" w:customStyle="1" w:styleId="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color w:val="00000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2021-10-21T01:51:00Z</dcterms:created>
  <dc:creator>admin</dc:creator>
  <cp:lastModifiedBy>CathayMok</cp:lastModifiedBy>
  <dcterms:modified xsi:type="dcterms:W3CDTF">2021-10-21T07:36:54Z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8F3865FA11E944739D1CB74CAE902913</vt:lpwstr>
  </property>
</Properties>
</file>