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85"/>
        <w:jc w:val="both"/>
        <w:rPr>
          <w:rFonts w:hint="eastAsia" w:ascii="Times New Roman" w:hAnsi="宋体" w:eastAsia="宋体" w:cs="Times New Roman"/>
          <w:color w:val="auto"/>
          <w:sz w:val="24"/>
          <w:szCs w:val="24"/>
        </w:rPr>
      </w:pPr>
      <w:bookmarkStart w:id="0" w:name="_GoBack"/>
      <w:bookmarkEnd w:id="0"/>
      <w:r>
        <w:rPr>
          <w:rFonts w:hint="eastAsia" w:ascii="Times New Roman" w:hAnsi="宋体" w:eastAsia="宋体" w:cs="Times New Roman"/>
          <w:color w:val="auto"/>
          <w:sz w:val="24"/>
          <w:szCs w:val="24"/>
        </w:rPr>
        <w:t>附件三</w:t>
      </w:r>
    </w:p>
    <w:p>
      <w:pPr>
        <w:spacing w:line="360" w:lineRule="auto"/>
        <w:jc w:val="both"/>
        <w:rPr>
          <w:rFonts w:ascii="Times New Roman" w:hAnsi="宋体" w:eastAsia="宋体"/>
          <w:color w:val="auto"/>
          <w:sz w:val="24"/>
          <w:szCs w:val="24"/>
        </w:rPr>
      </w:pPr>
      <w:r>
        <w:rPr>
          <w:rFonts w:hint="eastAsia" w:ascii="Times New Roman" w:hAnsi="宋体" w:eastAsia="宋体"/>
          <w:b/>
          <w:bCs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宋体" w:eastAsia="宋体"/>
          <w:b/>
          <w:bCs/>
          <w:color w:val="auto"/>
          <w:sz w:val="24"/>
          <w:szCs w:val="24"/>
        </w:rPr>
        <w:t>建议和意见处理</w:t>
      </w:r>
    </w:p>
    <w:tbl>
      <w:tblPr>
        <w:tblStyle w:val="4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178"/>
        <w:gridCol w:w="2225"/>
        <w:gridCol w:w="1513"/>
        <w:gridCol w:w="1122"/>
        <w:gridCol w:w="20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47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序号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标准章条编号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意见内容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</w:rPr>
              <w:t>提出单位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</w:rPr>
              <w:t>处理意见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1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3.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仅有称取氟化钠质量，没有溶解定容步骤。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金川集团股份有限公司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采纳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</w:rPr>
              <w:t>本方法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已补充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2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3.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稀释刻度后缺混匀步骤。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金川集团股份有限公司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采纳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</w:rPr>
              <w:t>本方法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已补充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3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3.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“用水稀释至刻度，混匀定容”改为“用水稀释至刻度，混匀”。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金川集团股份有限公司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采纳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</w:rPr>
              <w:t>本方法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已补充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4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6.5.4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详细规定含量大于多少时分取稀释多少候测定。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金川集团股份有限公司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采纳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</w:rPr>
              <w:t>本方法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6.5.4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已补充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5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</w:rPr>
              <w:t>范围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建议用表格列出各元素范围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深圳中金岭南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股份有限公司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采纳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</w:rPr>
              <w:t>本方法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已补充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6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3.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2.210g改为2.21000g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深圳中金岭南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股份有限公司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采纳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</w:rPr>
              <w:t>本方法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删去“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天平，感量0.000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1 g”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,并在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3.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已补为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>2.2100 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7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3.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9、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3.1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0、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3.1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各元素质量浓度建议表述为“此溶液1mL含Xmg某元素”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深圳中金岭南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股份有限公司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采纳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</w:rPr>
              <w:t>本方法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3.1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3.1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3.1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已补充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8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6.5.1</w:t>
            </w: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准确移取标准溶液X.00mL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深圳中金岭南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股份有限公司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采纳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</w:rPr>
              <w:t>本方法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6.5.1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已补充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9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3.1、3.2、3.3</w:t>
            </w: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不应在3试剂中列出，因为仅在试剂的配制中出现的试剂，不在试剂中单独列出。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大冶有色设计研究院有限公司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未采纳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color="auto" w:fill="FFFFFF"/>
              <w:ind w:left="0" w:firstLine="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</w:rPr>
              <w:t>本方法参照其他标准方法（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如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</w:rPr>
              <w:t>GB/T 3884.12-2010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《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</w:rPr>
              <w:t>铜精矿化学分析方法　第12部分：氟和氯含量的测定　离子色谱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法》），均在3.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、3.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、3.</w:t>
            </w:r>
            <w:r>
              <w:rPr>
                <w:rFonts w:hint="eastAsia" w:ascii="Times New Roman" w:hAnsi="Times New Roman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</w:rPr>
              <w:t>单独列出试剂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10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3.7、3.8</w:t>
            </w: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淋洗液和吸收液实际都是0.045 mol/L的氢氧化钾溶液，只是用于两处，这两条应该合并为氢氧化钾溶液。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大冶有色设计研究院有限公司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未采纳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</w:rPr>
              <w:t>本方法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在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、3.1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sz w:val="21"/>
                <w:szCs w:val="21"/>
                <w:lang w:eastAsia="zh-CN"/>
              </w:rPr>
              <w:t>已区分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11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3.9</w:t>
            </w: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精确至0.00001 g，那么2.210 g应表示为2.21000 g，且此条中未写溶解和定容。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大冶有色设计研究院有限公司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采纳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微软雅黑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本方法使用4.1“天平，感量0.0001 g”，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3.1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已补充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12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3.10</w:t>
            </w: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同上条1.648 g应表示为1.64800 g，用水溶解后改为，全部转移至1000 mL容量瓶，稀释至刻度，摇匀。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大冶有色设计研究院有限公司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采纳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本方法使用4.1“天平，感量0.0001 g”，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3.1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3.1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3.1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已补充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13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3.11</w:t>
            </w: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同上条1.489 g应表示为1.48900 g，用水溶解后改为，全部转移至1000 mL容量瓶，稀释至刻度，摇匀。存储于棕色瓶中。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大冶有色设计研究院有限公司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采纳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本方法使用4.1“天平，感量0.0001 g”，3.1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已补充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为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“全部转移至1000 mL容量瓶，用水稀释至刻度，混匀，移入干燥的棕色瓶中贮存。”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14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3.12</w:t>
            </w: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最后加上摇匀。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大冶有色设计研究院有限公司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采纳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3.1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3.1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3.1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3.15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3.16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已补充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为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“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混匀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</w:rPr>
              <w:t>15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4.2</w:t>
            </w: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仪器工作条件因不同品牌仪器参数不同，应作为推荐条款以附录形式附在文本后面。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大冶有色设计研究院有限公司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采纳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本方法增加了离子色谱分析参考条件及附图，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以附录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B(资料性附录)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形式附在文本后面</w:t>
            </w:r>
          </w:p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</w:rPr>
              <w:t>16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6.4.2</w:t>
            </w:r>
          </w:p>
        </w:tc>
        <w:tc>
          <w:tcPr>
            <w:tcW w:w="2225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是否存在无法点燃的样品，如样品无法点燃如何进行处理？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大冶有色设计研究院有限公司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未采纳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经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处理后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试样含有机物较高，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暂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未出现无法点燃现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</w:rPr>
              <w:t>17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</w:rPr>
              <w:t>范围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测定范围：F 0.010%～0.10%；而6.1称取0.15~0.2g试样，精确至0.0001g,6.4.3前处理后定容至200mL,若称取0.2g试样定容至200mL后浓度为0.1mg/L。而6.5.1工作曲线的绘制中，氟化物的最低浓度通过计算是0.25mg/L。前后矛盾。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大冶有色设计研究院有限公司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采纳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本方法已修改6.5.1工作曲线的绘制，增加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0.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</w:rPr>
              <w:t>05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 xml:space="preserve"> u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g/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m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L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</w:rPr>
              <w:t>最低点标准溶液。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</w:rPr>
              <w:t>18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3.7和3.8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淋洗系统和吸收液选择用KOH而没有选择Na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CO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-NaHCO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是否有进行验证试验选择KOH更合适一些。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大冶有色设计研究院有限公司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采纳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碳酸盐体系及氢氧根体系均为仪器差异，属于性能相当者，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以附录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val="en-US" w:eastAsia="zh-CN"/>
              </w:rPr>
              <w:t>B(资料性附录)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形式附在文本后面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</w:rPr>
              <w:t>19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6.5.1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是否做实验验证氟、氯、溴曲线的最低浓度测定重现性符合要求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大冶有色设计研究院有限公司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采纳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在试验报告中补充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</w:rPr>
              <w:t>20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6.5.2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前处理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  <w:lang w:eastAsia="zh-CN"/>
              </w:rPr>
              <w:t>氧</w:t>
            </w: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弹燃烧后吸收液中是否存在一些残渣，样品是否需经微孔滤膜过滤后再进行测定，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大冶有色设计研究院有限公司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采纳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eastAsia="宋体"/>
                <w:color w:val="auto"/>
                <w:sz w:val="21"/>
                <w:szCs w:val="21"/>
              </w:rPr>
              <w:t>本方法中</w:t>
            </w:r>
            <w:r>
              <w:rPr>
                <w:rFonts w:hint="eastAsia" w:ascii="Times New Roman" w:hAnsi="Times New Roman" w:eastAsia="宋体"/>
                <w:color w:val="auto"/>
                <w:sz w:val="21"/>
                <w:szCs w:val="21"/>
              </w:rPr>
              <w:t>4.4 一次性水系微孔滤膜滤头：不小于0.45 μm。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21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6.5.2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现在离子色谱设备自动化程度很高，一般都配备自动进样器，作为行业标准在描述进样的过程能否更优化通用一些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大冶有色设计研究院有限公司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采纳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本方法中4.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.1 已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增加“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或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配置自动进样器的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性能相当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者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。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除非另有说明，在分析中仅使用确认为优级纯的试剂，实验用水符合GB/T 6682 规定的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级用水。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大冶有色设计研究院有限公司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未采纳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本方法中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推荐使用一级用水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6.3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未说明如何进行空白试验？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大冶有色设计研究院有限公司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采纳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本方法中6.3空白试验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已补充为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“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</w:rPr>
              <w:t>随同试料做空白试验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6.5.4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试液的分取稀释倍数要适宜应具体表述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大冶有色设计研究院有限公司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采纳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本方法中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6.5已补充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“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表1 分取试液体积、测定试液体积和稀释倍数</w:t>
            </w:r>
            <w:r>
              <w:rPr>
                <w:rFonts w:hint="default" w:ascii="Times New Roman" w:hAnsi="Times New Roman" w:eastAsia="宋体" w:cs="Times New Roman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是否应区分非金属物料氟、氯和溴的含量以质量分数ω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bscript"/>
                <w:lang w:eastAsia="zh-CN"/>
              </w:rPr>
              <w:t>(B)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baseline"/>
                <w:lang w:eastAsia="zh-CN"/>
              </w:rPr>
              <w:t>及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试样中氟、氯和溴的含量以质量分数ω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vertAlign w:val="subscript"/>
              </w:rPr>
              <w:t>(x)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大冶有色设计研究院有限公司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采纳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本方法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已在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7.1与7.2区分表述，并在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试验报告中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补充相关数据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如何体现试验报告中的加标回收试验？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大冶有色设计研究院有限公司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采纳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本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方法增加标准物质氟化钠、氯化钠、溴化钾基准物质试验回收效果较差，可探索考虑增加有标准值的易燃标准物质或其他方法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17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氧弹燃烧能否保证充分燃烧，可尝试封闭式燃烧炉法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大冶有色设计研究院有限公司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采纳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本方法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将持续完善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英文标题</w:t>
            </w:r>
          </w:p>
        </w:tc>
        <w:tc>
          <w:tcPr>
            <w:tcW w:w="22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“Brominehalogen”是否改为“Bromine”？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中国检验认证集团广东有限公司黄埔分公司 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采纳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本方法英文标题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已更改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“Bromine”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前言</w:t>
            </w:r>
          </w:p>
        </w:tc>
        <w:tc>
          <w:tcPr>
            <w:tcW w:w="22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“GB/T 1.1-2009”是否改为“GB/T 1.1-2020”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中国检验认证集团广东有限公司黄埔分公司 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采纳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本方法前言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已更正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1范围</w:t>
            </w:r>
          </w:p>
        </w:tc>
        <w:tc>
          <w:tcPr>
            <w:tcW w:w="22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Br[空格]0.050%～3.00%。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中国检验认证集团广东有限公司黄埔分公司 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采纳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本方法1范围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已更改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3.9、3.10、3.11</w:t>
            </w:r>
          </w:p>
        </w:tc>
        <w:tc>
          <w:tcPr>
            <w:tcW w:w="222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称重质量是否写成小数点后四位小数，精确至万分之一更合适？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中国检验认证集团广东有限公司黄埔分公司 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采纳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本方法3.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、3.1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、3.1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3.1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3.1</w:t>
            </w:r>
            <w: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已补充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7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17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整篇幅</w:t>
            </w:r>
          </w:p>
        </w:tc>
        <w:tc>
          <w:tcPr>
            <w:tcW w:w="2225" w:type="dxa"/>
            <w:noWrap w:val="0"/>
            <w:vAlign w:val="top"/>
          </w:tcPr>
          <w:p>
            <w:pPr>
              <w:pStyle w:val="6"/>
              <w:spacing w:line="36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Cs w:val="21"/>
              </w:rPr>
              <w:t>大量的英文、字母、数字没有使用times New Romar字体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 xml:space="preserve">中国检验认证集团广东有限公司黄埔分公司 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采纳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本方法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全篇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Cs w:val="21"/>
              </w:rPr>
              <w:t>英文、字母、数字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已采用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Cs w:val="21"/>
                <w:lang w:val="en-US" w:eastAsia="zh-CN"/>
              </w:rPr>
              <w:t>T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Cs w:val="21"/>
              </w:rPr>
              <w:t>imes New Romar字体</w:t>
            </w:r>
          </w:p>
        </w:tc>
      </w:tr>
    </w:tbl>
    <w:p>
      <w:pPr>
        <w:spacing w:line="360" w:lineRule="auto"/>
        <w:ind w:right="85"/>
        <w:jc w:val="both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说明（1）发送《征求意见稿》的单位数：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lang w:val="en-US" w:eastAsia="zh-CN"/>
        </w:rPr>
        <w:t>8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个；</w:t>
      </w:r>
    </w:p>
    <w:p>
      <w:pPr>
        <w:numPr>
          <w:ilvl w:val="0"/>
          <w:numId w:val="1"/>
        </w:numPr>
        <w:spacing w:line="360" w:lineRule="auto"/>
        <w:ind w:right="85" w:firstLine="480" w:firstLineChars="200"/>
        <w:jc w:val="both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收到《征求意见稿》后，回函的单位数：4个</w:t>
      </w:r>
    </w:p>
    <w:p>
      <w:pPr>
        <w:numPr>
          <w:ilvl w:val="0"/>
          <w:numId w:val="1"/>
        </w:numPr>
        <w:spacing w:line="360" w:lineRule="auto"/>
        <w:ind w:right="85" w:firstLine="480" w:firstLineChars="200"/>
        <w:jc w:val="both"/>
        <w:rPr>
          <w:rFonts w:hint="eastAsia" w:ascii="Times New Roman" w:hAnsi="宋体" w:eastAsia="宋体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收到《征求意见稿》后，回函并有建议或意见的单位数：4个。</w:t>
      </w:r>
    </w:p>
    <w:p/>
    <w:sectPr>
      <w:footerReference r:id="rId4" w:type="default"/>
      <w:pgSz w:w="11906" w:h="16838"/>
      <w:pgMar w:top="1440" w:right="1800" w:bottom="1440" w:left="1800" w:header="708" w:footer="708" w:gutter="0"/>
      <w:pgNumType w:fmt="numberInDash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微软雅黑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s0lY7tAAAAAFAQAADwAAAAAAAAABACAAAAAiAAAAZHJzL2Rvd25yZXYueG1s&#10;UEsBAhQAFAAAAAgAh07iQLDohXI5AgAAcQQAAA4AAAAAAAAAAQAgAAAAH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微软雅黑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4F2D54"/>
    <w:multiLevelType w:val="singleLevel"/>
    <w:tmpl w:val="0C4F2D54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6F436E"/>
    <w:rsid w:val="6494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段"/>
    <w:qFormat/>
    <w:uiPriority w:val="0"/>
    <w:pPr>
      <w:ind w:firstLine="200"/>
      <w:jc w:val="both"/>
    </w:pPr>
    <w:rPr>
      <w:rFonts w:ascii="宋体" w:hAnsi="宋体" w:eastAsia="宋体" w:cs="Times New Roman"/>
      <w:color w:val="000000"/>
      <w:sz w:val="21"/>
      <w:szCs w:val="22"/>
      <w:lang w:val="en-US" w:eastAsia="zh-CN" w:bidi="ar-SA"/>
    </w:rPr>
  </w:style>
  <w:style w:type="paragraph" w:customStyle="1" w:styleId="7">
    <w:name w:val="标准书脚_奇数页"/>
    <w:qFormat/>
    <w:uiPriority w:val="0"/>
    <w:pPr>
      <w:spacing w:before="120"/>
      <w:jc w:val="right"/>
    </w:pPr>
    <w:rPr>
      <w:rFonts w:ascii="Times New Roman" w:hAnsi="Times New Roman" w:eastAsia="宋体" w:cs="Times New Roman"/>
      <w:color w:val="000000"/>
      <w:sz w:val="1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2021-10-21T01:51:00Z</dcterms:created>
  <dc:creator>admin</dc:creator>
  <cp:lastModifiedBy>CathayMok</cp:lastModifiedBy>
  <dcterms:modified xsi:type="dcterms:W3CDTF">2021-10-21T07:36:54Z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8F3865FA11E944739D1CB74CAE902913</vt:lpwstr>
  </property>
</Properties>
</file>