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pPr>
        <w:pStyle w:val="50"/>
        <w:framePr w:w="9639" w:h="624" w:hRule="exact" w:hSpace="181" w:vSpace="181" w:wrap="around" w:hAnchor="page" w:x="1305" w:y="2269"/>
      </w:pPr>
      <w:bookmarkStart w:id="2" w:name="_Hlk26473981"/>
      <w:r>
        <w:rPr>
          <w:rFonts w:hint="eastAsia"/>
        </w:rPr>
        <w:t>中华人民共和国国家标准</w:t>
      </w:r>
    </w:p>
    <w:bookmarkEnd w:id="2"/>
    <w:p>
      <w:pPr>
        <w:pStyle w:val="195"/>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26047</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XXXX</w:t>
      </w:r>
      <w:r>
        <w:fldChar w:fldCharType="end"/>
      </w:r>
      <w:bookmarkEnd w:id="5"/>
    </w:p>
    <w:p>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代替 GB/T 26047-2010</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一次柱式锂电池用绝缘子</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Insulators of primary lithium Battery for pillar</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021</w:t>
      </w:r>
      <w:r>
        <w:rPr>
          <w:rFonts w:hint="eastAsia"/>
          <w:sz w:val="21"/>
          <w:szCs w:val="28"/>
        </w:rPr>
        <w:t>年</w:t>
      </w:r>
      <w:r>
        <w:rPr>
          <w:rFonts w:hint="eastAsia"/>
          <w:sz w:val="21"/>
          <w:szCs w:val="28"/>
          <w:lang w:val="en-US" w:eastAsia="zh-CN"/>
        </w:rPr>
        <w:t>1</w:t>
      </w:r>
      <w:r>
        <w:rPr>
          <w:rFonts w:hint="eastAsia"/>
          <w:sz w:val="21"/>
          <w:szCs w:val="28"/>
        </w:rPr>
        <w:t>月5日）</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4384"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89"/>
        <w:spacing w:after="468"/>
      </w:pPr>
      <w:bookmarkStart w:id="19" w:name="BookMark2"/>
      <w:bookmarkStart w:id="50" w:name="_GoBack"/>
      <w:bookmarkEnd w:id="50"/>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本文件代替GB/T 26047-2010《一次柱式锂电池绝缘子》，与GB/T 26047-2010相比，除结构调整和编辑性改动外，主要技术变化如下：</w:t>
      </w:r>
    </w:p>
    <w:p>
      <w:pPr>
        <w:pStyle w:val="174"/>
      </w:pPr>
      <w:bookmarkStart w:id="20" w:name="_Hlk66025365"/>
      <w:r>
        <w:rPr>
          <w:rFonts w:hint="eastAsia"/>
        </w:rPr>
        <w:t>更改了范围（见第1章，2010年版第</w:t>
      </w:r>
      <w:r>
        <w:t>1</w:t>
      </w:r>
      <w:r>
        <w:rPr>
          <w:rFonts w:hint="eastAsia"/>
        </w:rPr>
        <w:t>章，）；</w:t>
      </w:r>
    </w:p>
    <w:p>
      <w:pPr>
        <w:pStyle w:val="174"/>
      </w:pPr>
      <w:r>
        <w:rPr>
          <w:rFonts w:hint="eastAsia"/>
        </w:rPr>
        <w:t>更改了规范性引用文件（见</w:t>
      </w:r>
      <w:r>
        <w:t>第</w:t>
      </w:r>
      <w:r>
        <w:rPr>
          <w:rFonts w:hint="eastAsia"/>
        </w:rPr>
        <w:t>2章，2010年版第1章）；</w:t>
      </w:r>
    </w:p>
    <w:p>
      <w:pPr>
        <w:pStyle w:val="174"/>
      </w:pPr>
      <w:r>
        <w:rPr>
          <w:rFonts w:hint="eastAsia"/>
        </w:rPr>
        <w:t>增加了“术语和定义”一章（见第3章）；</w:t>
      </w:r>
    </w:p>
    <w:p>
      <w:pPr>
        <w:pStyle w:val="174"/>
      </w:pPr>
      <w:r>
        <w:rPr>
          <w:rFonts w:hint="eastAsia"/>
        </w:rPr>
        <w:t>增加了绝缘子的类型（见4.1）；</w:t>
      </w:r>
    </w:p>
    <w:p>
      <w:pPr>
        <w:pStyle w:val="174"/>
      </w:pPr>
      <w:r>
        <w:rPr>
          <w:rFonts w:hint="eastAsia"/>
        </w:rPr>
        <w:t>更改了绝缘子的结构（见4.2，2</w:t>
      </w:r>
      <w:r>
        <w:t>010</w:t>
      </w:r>
      <w:r>
        <w:rPr>
          <w:rFonts w:hint="eastAsia"/>
        </w:rPr>
        <w:t>年版3</w:t>
      </w:r>
      <w:r>
        <w:t>.1.1</w:t>
      </w:r>
      <w:r>
        <w:rPr>
          <w:rFonts w:hint="eastAsia"/>
        </w:rPr>
        <w:t>）；</w:t>
      </w:r>
    </w:p>
    <w:p>
      <w:pPr>
        <w:pStyle w:val="174"/>
      </w:pPr>
      <w:r>
        <w:rPr>
          <w:rFonts w:hint="eastAsia"/>
        </w:rPr>
        <w:t>更改了绝缘子的型号表示规则（见4.</w:t>
      </w:r>
      <w:r>
        <w:t>3</w:t>
      </w:r>
      <w:r>
        <w:rPr>
          <w:rFonts w:hint="eastAsia"/>
        </w:rPr>
        <w:t>，2</w:t>
      </w:r>
      <w:r>
        <w:t>010</w:t>
      </w:r>
      <w:r>
        <w:rPr>
          <w:rFonts w:hint="eastAsia"/>
        </w:rPr>
        <w:t>年版3</w:t>
      </w:r>
      <w:r>
        <w:t>.1.3</w:t>
      </w:r>
      <w:r>
        <w:rPr>
          <w:rFonts w:hint="eastAsia"/>
        </w:rPr>
        <w:t>）；</w:t>
      </w:r>
    </w:p>
    <w:p>
      <w:pPr>
        <w:pStyle w:val="174"/>
      </w:pPr>
      <w:r>
        <w:rPr>
          <w:rFonts w:hint="eastAsia"/>
        </w:rPr>
        <w:t>更改了标记（见4.</w:t>
      </w:r>
      <w:r>
        <w:t>3</w:t>
      </w:r>
      <w:r>
        <w:rPr>
          <w:rFonts w:hint="eastAsia"/>
        </w:rPr>
        <w:t>，2</w:t>
      </w:r>
      <w:r>
        <w:t>010</w:t>
      </w:r>
      <w:r>
        <w:rPr>
          <w:rFonts w:hint="eastAsia"/>
        </w:rPr>
        <w:t>年版3</w:t>
      </w:r>
      <w:r>
        <w:t>.1.4</w:t>
      </w:r>
      <w:r>
        <w:rPr>
          <w:rFonts w:hint="eastAsia"/>
        </w:rPr>
        <w:t>）；</w:t>
      </w:r>
    </w:p>
    <w:p>
      <w:pPr>
        <w:pStyle w:val="174"/>
      </w:pPr>
      <w:r>
        <w:rPr>
          <w:rFonts w:hint="eastAsia"/>
        </w:rPr>
        <w:t>更改了原材料（见5.1表2，2010年版的3.2表2）；</w:t>
      </w:r>
    </w:p>
    <w:p>
      <w:pPr>
        <w:pStyle w:val="174"/>
      </w:pPr>
      <w:r>
        <w:rPr>
          <w:rFonts w:hint="eastAsia"/>
        </w:rPr>
        <w:t>更改了型号及尺寸（见5</w:t>
      </w:r>
      <w:r>
        <w:t>.2.2</w:t>
      </w:r>
      <w:r>
        <w:rPr>
          <w:rFonts w:hint="eastAsia"/>
        </w:rPr>
        <w:t>表3，2</w:t>
      </w:r>
      <w:r>
        <w:t>010</w:t>
      </w:r>
      <w:r>
        <w:rPr>
          <w:rFonts w:hint="eastAsia"/>
        </w:rPr>
        <w:t>年版的3</w:t>
      </w:r>
      <w:r>
        <w:t>.1.2</w:t>
      </w:r>
      <w:r>
        <w:rPr>
          <w:rFonts w:hint="eastAsia"/>
        </w:rPr>
        <w:t>表1）；</w:t>
      </w:r>
    </w:p>
    <w:p>
      <w:pPr>
        <w:pStyle w:val="174"/>
      </w:pPr>
      <w:r>
        <w:rPr>
          <w:rFonts w:hint="eastAsia"/>
        </w:rPr>
        <w:t>更改了性能要求（见</w:t>
      </w:r>
      <w:r>
        <w:t>5.4</w:t>
      </w:r>
      <w:r>
        <w:rPr>
          <w:rFonts w:hint="eastAsia"/>
        </w:rPr>
        <w:t>，2</w:t>
      </w:r>
      <w:r>
        <w:t>010</w:t>
      </w:r>
      <w:r>
        <w:rPr>
          <w:rFonts w:hint="eastAsia"/>
        </w:rPr>
        <w:t>年版3</w:t>
      </w:r>
      <w:r>
        <w:t>.4</w:t>
      </w:r>
      <w:r>
        <w:rPr>
          <w:rFonts w:hint="eastAsia"/>
        </w:rPr>
        <w:t>）；</w:t>
      </w:r>
    </w:p>
    <w:p>
      <w:pPr>
        <w:pStyle w:val="174"/>
      </w:pPr>
      <w:r>
        <w:rPr>
          <w:rFonts w:hint="eastAsia"/>
        </w:rPr>
        <w:t>更改了原材料检验（见6</w:t>
      </w:r>
      <w:r>
        <w:t>.1</w:t>
      </w:r>
      <w:r>
        <w:rPr>
          <w:rFonts w:hint="eastAsia"/>
        </w:rPr>
        <w:t>，2</w:t>
      </w:r>
      <w:r>
        <w:t>010</w:t>
      </w:r>
      <w:r>
        <w:rPr>
          <w:rFonts w:hint="eastAsia"/>
        </w:rPr>
        <w:t>年版</w:t>
      </w:r>
      <w:r>
        <w:t>4.1</w:t>
      </w:r>
      <w:r>
        <w:rPr>
          <w:rFonts w:hint="eastAsia"/>
        </w:rPr>
        <w:t>）；</w:t>
      </w:r>
    </w:p>
    <w:p>
      <w:pPr>
        <w:pStyle w:val="174"/>
      </w:pPr>
      <w:r>
        <w:rPr>
          <w:rFonts w:hint="eastAsia"/>
        </w:rPr>
        <w:t>更改了产品检验（见6</w:t>
      </w:r>
      <w:r>
        <w:t>.2.1</w:t>
      </w:r>
      <w:r>
        <w:rPr>
          <w:rFonts w:hint="eastAsia"/>
        </w:rPr>
        <w:t>，6</w:t>
      </w:r>
      <w:r>
        <w:t>.2.2</w:t>
      </w:r>
      <w:r>
        <w:rPr>
          <w:rFonts w:hint="eastAsia"/>
        </w:rPr>
        <w:t>，6</w:t>
      </w:r>
      <w:r>
        <w:t>.2.4</w:t>
      </w:r>
      <w:r>
        <w:rPr>
          <w:rFonts w:hint="eastAsia"/>
        </w:rPr>
        <w:t>，6</w:t>
      </w:r>
      <w:r>
        <w:t>.2.5</w:t>
      </w:r>
      <w:r>
        <w:rPr>
          <w:rFonts w:hint="eastAsia"/>
        </w:rPr>
        <w:t>，2</w:t>
      </w:r>
      <w:r>
        <w:t>010</w:t>
      </w:r>
      <w:r>
        <w:rPr>
          <w:rFonts w:hint="eastAsia"/>
        </w:rPr>
        <w:t>年版</w:t>
      </w:r>
      <w:r>
        <w:t>4.2.1</w:t>
      </w:r>
      <w:r>
        <w:rPr>
          <w:rFonts w:hint="eastAsia"/>
        </w:rPr>
        <w:t>，4</w:t>
      </w:r>
      <w:r>
        <w:t>.2.2</w:t>
      </w:r>
      <w:r>
        <w:rPr>
          <w:rFonts w:hint="eastAsia"/>
        </w:rPr>
        <w:t>，4</w:t>
      </w:r>
      <w:r>
        <w:t>.2.4</w:t>
      </w:r>
      <w:r>
        <w:rPr>
          <w:rFonts w:hint="eastAsia"/>
        </w:rPr>
        <w:t>）；</w:t>
      </w:r>
    </w:p>
    <w:p>
      <w:pPr>
        <w:pStyle w:val="174"/>
      </w:pPr>
      <w:r>
        <w:rPr>
          <w:rFonts w:hint="eastAsia"/>
        </w:rPr>
        <w:t>更改了检查和验收（见7</w:t>
      </w:r>
      <w:r>
        <w:t>.1</w:t>
      </w:r>
      <w:r>
        <w:rPr>
          <w:rFonts w:hint="eastAsia"/>
        </w:rPr>
        <w:t>，2</w:t>
      </w:r>
      <w:r>
        <w:t>010</w:t>
      </w:r>
      <w:r>
        <w:rPr>
          <w:rFonts w:hint="eastAsia"/>
        </w:rPr>
        <w:t>年版</w:t>
      </w:r>
      <w:r>
        <w:t>5.1</w:t>
      </w:r>
      <w:r>
        <w:rPr>
          <w:rFonts w:hint="eastAsia"/>
        </w:rPr>
        <w:t>）；</w:t>
      </w:r>
    </w:p>
    <w:p>
      <w:pPr>
        <w:pStyle w:val="174"/>
      </w:pPr>
      <w:r>
        <w:rPr>
          <w:rFonts w:hint="eastAsia"/>
        </w:rPr>
        <w:t>更改了组批（见7</w:t>
      </w:r>
      <w:r>
        <w:t>.2</w:t>
      </w:r>
      <w:r>
        <w:rPr>
          <w:rFonts w:hint="eastAsia"/>
        </w:rPr>
        <w:t>，2</w:t>
      </w:r>
      <w:r>
        <w:t>010</w:t>
      </w:r>
      <w:r>
        <w:rPr>
          <w:rFonts w:hint="eastAsia"/>
        </w:rPr>
        <w:t>年版</w:t>
      </w:r>
      <w:r>
        <w:t>5.2</w:t>
      </w:r>
      <w:r>
        <w:rPr>
          <w:rFonts w:hint="eastAsia"/>
        </w:rPr>
        <w:t>）；</w:t>
      </w:r>
    </w:p>
    <w:p>
      <w:pPr>
        <w:pStyle w:val="174"/>
      </w:pPr>
      <w:r>
        <w:rPr>
          <w:rFonts w:hint="eastAsia"/>
        </w:rPr>
        <w:t>更改了检验项目（见7</w:t>
      </w:r>
      <w:r>
        <w:t>.3</w:t>
      </w:r>
      <w:r>
        <w:rPr>
          <w:rFonts w:hint="eastAsia"/>
        </w:rPr>
        <w:t>，2</w:t>
      </w:r>
      <w:r>
        <w:t>010</w:t>
      </w:r>
      <w:r>
        <w:rPr>
          <w:rFonts w:hint="eastAsia"/>
        </w:rPr>
        <w:t>年版</w:t>
      </w:r>
      <w:r>
        <w:t>5.3</w:t>
      </w:r>
      <w:r>
        <w:rPr>
          <w:rFonts w:hint="eastAsia"/>
        </w:rPr>
        <w:t>）；</w:t>
      </w:r>
    </w:p>
    <w:p>
      <w:pPr>
        <w:pStyle w:val="174"/>
      </w:pPr>
      <w:r>
        <w:rPr>
          <w:rFonts w:hint="eastAsia"/>
        </w:rPr>
        <w:t>更改了取样（见7</w:t>
      </w:r>
      <w:r>
        <w:t>.4</w:t>
      </w:r>
      <w:r>
        <w:rPr>
          <w:rFonts w:hint="eastAsia"/>
        </w:rPr>
        <w:t>表5，2</w:t>
      </w:r>
      <w:r>
        <w:t>010</w:t>
      </w:r>
      <w:r>
        <w:rPr>
          <w:rFonts w:hint="eastAsia"/>
        </w:rPr>
        <w:t>年版的5</w:t>
      </w:r>
      <w:r>
        <w:t>.4</w:t>
      </w:r>
      <w:r>
        <w:rPr>
          <w:rFonts w:hint="eastAsia"/>
        </w:rPr>
        <w:t>表3）；</w:t>
      </w:r>
    </w:p>
    <w:p>
      <w:pPr>
        <w:pStyle w:val="174"/>
      </w:pPr>
      <w:r>
        <w:rPr>
          <w:rFonts w:hint="eastAsia"/>
        </w:rPr>
        <w:t>更改了检验结果的判定（见7</w:t>
      </w:r>
      <w:r>
        <w:t>.5.3</w:t>
      </w:r>
      <w:r>
        <w:rPr>
          <w:rFonts w:hint="eastAsia"/>
        </w:rPr>
        <w:t>，2</w:t>
      </w:r>
      <w:r>
        <w:t>010</w:t>
      </w:r>
      <w:r>
        <w:rPr>
          <w:rFonts w:hint="eastAsia"/>
        </w:rPr>
        <w:t>年版</w:t>
      </w:r>
      <w:r>
        <w:t>5.5</w:t>
      </w:r>
      <w:r>
        <w:rPr>
          <w:rFonts w:hint="eastAsia"/>
        </w:rPr>
        <w:t>）；</w:t>
      </w:r>
    </w:p>
    <w:p>
      <w:pPr>
        <w:pStyle w:val="174"/>
      </w:pPr>
      <w:r>
        <w:rPr>
          <w:rFonts w:hint="eastAsia"/>
        </w:rPr>
        <w:t>更改了标志（见8</w:t>
      </w:r>
      <w:r>
        <w:t>.1</w:t>
      </w:r>
      <w:r>
        <w:rPr>
          <w:rFonts w:hint="eastAsia"/>
        </w:rPr>
        <w:t>，2</w:t>
      </w:r>
      <w:r>
        <w:t>010</w:t>
      </w:r>
      <w:r>
        <w:rPr>
          <w:rFonts w:hint="eastAsia"/>
        </w:rPr>
        <w:t>年版</w:t>
      </w:r>
      <w:r>
        <w:t>6.1</w:t>
      </w:r>
      <w:r>
        <w:rPr>
          <w:rFonts w:hint="eastAsia"/>
        </w:rPr>
        <w:t>）；</w:t>
      </w:r>
    </w:p>
    <w:p>
      <w:pPr>
        <w:pStyle w:val="174"/>
      </w:pPr>
      <w:r>
        <w:rPr>
          <w:rFonts w:hint="eastAsia"/>
        </w:rPr>
        <w:t>更改了包装、运输、贮存（见8</w:t>
      </w:r>
      <w:r>
        <w:t>.2</w:t>
      </w:r>
      <w:r>
        <w:rPr>
          <w:rFonts w:hint="eastAsia"/>
        </w:rPr>
        <w:t>，2</w:t>
      </w:r>
      <w:r>
        <w:t>010</w:t>
      </w:r>
      <w:r>
        <w:rPr>
          <w:rFonts w:hint="eastAsia"/>
        </w:rPr>
        <w:t>年版</w:t>
      </w:r>
      <w:r>
        <w:t>6.2</w:t>
      </w:r>
      <w:r>
        <w:rPr>
          <w:rFonts w:hint="eastAsia"/>
        </w:rPr>
        <w:t>，6</w:t>
      </w:r>
      <w:r>
        <w:t>.3</w:t>
      </w:r>
      <w:r>
        <w:rPr>
          <w:rFonts w:hint="eastAsia"/>
        </w:rPr>
        <w:t>）；</w:t>
      </w:r>
    </w:p>
    <w:p>
      <w:pPr>
        <w:pStyle w:val="174"/>
      </w:pPr>
      <w:r>
        <w:rPr>
          <w:rFonts w:hint="eastAsia"/>
        </w:rPr>
        <w:t>删除了质量证明书（见2010年版的6.4）；</w:t>
      </w:r>
    </w:p>
    <w:p>
      <w:pPr>
        <w:pStyle w:val="174"/>
      </w:pPr>
      <w:r>
        <w:rPr>
          <w:rFonts w:hint="eastAsia"/>
        </w:rPr>
        <w:t>增加了随行文件（见8.3）；</w:t>
      </w:r>
    </w:p>
    <w:p>
      <w:pPr>
        <w:pStyle w:val="174"/>
      </w:pPr>
      <w:r>
        <w:rPr>
          <w:rFonts w:hint="eastAsia"/>
        </w:rPr>
        <w:t>更改了订货单内容（见第9章，2</w:t>
      </w:r>
      <w:r>
        <w:t>010</w:t>
      </w:r>
      <w:r>
        <w:rPr>
          <w:rFonts w:hint="eastAsia"/>
        </w:rPr>
        <w:t>年版第7章）；</w:t>
      </w:r>
    </w:p>
    <w:p>
      <w:pPr>
        <w:pStyle w:val="174"/>
      </w:pPr>
      <w:r>
        <w:rPr>
          <w:rFonts w:hint="eastAsia"/>
        </w:rPr>
        <w:t>更改了附录A</w:t>
      </w:r>
      <w:r>
        <w:t>.4.1</w:t>
      </w:r>
      <w:r>
        <w:rPr>
          <w:rFonts w:hint="eastAsia"/>
        </w:rPr>
        <w:t>（见A.4</w:t>
      </w:r>
      <w:r>
        <w:t>.1</w:t>
      </w:r>
      <w:r>
        <w:rPr>
          <w:rFonts w:hint="eastAsia"/>
        </w:rPr>
        <w:t>，2</w:t>
      </w:r>
      <w:r>
        <w:t>010</w:t>
      </w:r>
      <w:r>
        <w:rPr>
          <w:rFonts w:hint="eastAsia"/>
        </w:rPr>
        <w:t>年版</w:t>
      </w:r>
      <w:r>
        <w:t>A.4.1</w:t>
      </w:r>
      <w:r>
        <w:rPr>
          <w:rFonts w:hint="eastAsia"/>
        </w:rPr>
        <w:t>）；</w:t>
      </w:r>
    </w:p>
    <w:bookmarkEnd w:id="20"/>
    <w:p>
      <w:pPr>
        <w:pStyle w:val="56"/>
        <w:ind w:firstLine="420"/>
      </w:pPr>
      <w:r>
        <w:rPr>
          <w:rFonts w:hint="eastAsia"/>
        </w:rPr>
        <w:t>本文件由中国有色金属工业协会提出。</w:t>
      </w:r>
    </w:p>
    <w:p>
      <w:pPr>
        <w:pStyle w:val="56"/>
        <w:ind w:firstLine="420"/>
      </w:pPr>
      <w:r>
        <w:rPr>
          <w:rFonts w:hint="eastAsia"/>
        </w:rPr>
        <w:t>本文件由全国有色金属标准化技术委员会（SAC/TC243）归口。</w:t>
      </w:r>
    </w:p>
    <w:p>
      <w:pPr>
        <w:pStyle w:val="56"/>
        <w:ind w:firstLine="420"/>
      </w:pPr>
      <w:r>
        <w:rPr>
          <w:rFonts w:hint="eastAsia"/>
        </w:rPr>
        <w:t>本文件起草单位：</w:t>
      </w:r>
      <w:r>
        <w:rPr>
          <w:rFonts w:hint="eastAsia" w:hAnsi="宋体" w:cs="宋体"/>
        </w:rPr>
        <w:t>西安赛尔电子材料科技有限公司</w:t>
      </w:r>
    </w:p>
    <w:p>
      <w:pPr>
        <w:pStyle w:val="56"/>
        <w:ind w:firstLine="420"/>
      </w:pPr>
      <w:r>
        <w:rPr>
          <w:rFonts w:hint="eastAsia"/>
        </w:rPr>
        <w:t>本文件主要起草人：冯庆、杨文波、任越锋、</w:t>
      </w:r>
      <w:r>
        <w:rPr>
          <w:rFonts w:hint="eastAsia" w:hAnsi="宋体" w:cs="宋体"/>
          <w:szCs w:val="21"/>
        </w:rPr>
        <w:t>李艳肖、</w:t>
      </w:r>
      <w:r>
        <w:rPr>
          <w:rFonts w:hint="eastAsia"/>
        </w:rPr>
        <w:t>刘卫红、贾波、华斯嘉、</w:t>
      </w:r>
      <w:r>
        <w:rPr>
          <w:rFonts w:hint="eastAsia" w:hAnsi="宋体" w:cs="宋体"/>
          <w:szCs w:val="21"/>
        </w:rPr>
        <w:t>王宇飞。</w:t>
      </w:r>
    </w:p>
    <w:p>
      <w:pPr>
        <w:pStyle w:val="56"/>
        <w:ind w:firstLine="420"/>
      </w:pPr>
      <w:r>
        <w:rPr>
          <w:rFonts w:hint="eastAsia"/>
        </w:rPr>
        <w:t>本文件及所代替或废止的文件的历次版本发布情况为:</w:t>
      </w:r>
    </w:p>
    <w:p>
      <w:pPr>
        <w:pStyle w:val="56"/>
        <w:ind w:firstLine="420"/>
      </w:pPr>
      <w:r>
        <w:rPr>
          <w:rFonts w:hint="eastAsia"/>
        </w:rPr>
        <w:t>——2010年首次发布为GB/T 26047-2010；</w:t>
      </w:r>
    </w:p>
    <w:p>
      <w:pPr>
        <w:pStyle w:val="56"/>
        <w:ind w:firstLine="420"/>
        <w:sectPr>
          <w:headerReference r:id="rId7" w:type="default"/>
          <w:footerReference r:id="rId9" w:type="default"/>
          <w:headerReference r:id="rId8" w:type="even"/>
          <w:pgSz w:w="11906" w:h="16838"/>
          <w:pgMar w:top="567" w:right="1134" w:bottom="1134" w:left="1134" w:header="1418" w:footer="1134" w:gutter="284"/>
          <w:pgNumType w:fmt="upperRoman" w:start="1"/>
          <w:cols w:space="425" w:num="1"/>
          <w:formProt w:val="0"/>
          <w:docGrid w:type="lines" w:linePitch="312" w:charSpace="0"/>
        </w:sectPr>
      </w:pPr>
      <w:r>
        <w:rPr>
          <w:rFonts w:hint="eastAsia"/>
        </w:rPr>
        <w:t>——本次为第一次修订。</w:t>
      </w:r>
    </w:p>
    <w:bookmarkEnd w:id="19"/>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A19BA9CAEFF54BB294FFBA515A467510"/>
        </w:placeholder>
      </w:sdtPr>
      <w:sdtContent>
        <w:p>
          <w:pPr>
            <w:pStyle w:val="177"/>
            <w:spacing w:before="567" w:beforeLines="182" w:after="686" w:afterLines="220"/>
          </w:pPr>
          <w:bookmarkStart w:id="22" w:name="NEW_STAND_NAME"/>
          <w:r>
            <w:rPr>
              <w:rFonts w:hint="eastAsia"/>
            </w:rPr>
            <w:t>一次柱式锂电池用绝缘子</w:t>
          </w:r>
        </w:p>
      </w:sdtContent>
    </w:sdt>
    <w:bookmarkEnd w:id="22"/>
    <w:p>
      <w:pPr>
        <w:pStyle w:val="104"/>
        <w:spacing w:before="312" w:after="312"/>
      </w:pPr>
      <w:bookmarkStart w:id="23" w:name="_Toc17233325"/>
      <w:bookmarkStart w:id="24" w:name="_Toc24884211"/>
      <w:bookmarkStart w:id="25" w:name="_Toc17233333"/>
      <w:bookmarkStart w:id="26" w:name="_Toc26986530"/>
      <w:bookmarkStart w:id="27" w:name="_Toc24884218"/>
      <w:bookmarkStart w:id="28" w:name="_Toc26986771"/>
      <w:bookmarkStart w:id="29" w:name="_Toc26648465"/>
      <w:bookmarkStart w:id="30" w:name="_Toc26718930"/>
      <w:r>
        <w:rPr>
          <w:rFonts w:hint="eastAsia"/>
        </w:rPr>
        <w:t>范围</w:t>
      </w:r>
      <w:bookmarkEnd w:id="23"/>
      <w:bookmarkEnd w:id="24"/>
      <w:bookmarkEnd w:id="25"/>
      <w:bookmarkEnd w:id="26"/>
      <w:bookmarkEnd w:id="27"/>
      <w:bookmarkEnd w:id="28"/>
      <w:bookmarkEnd w:id="29"/>
      <w:bookmarkEnd w:id="30"/>
    </w:p>
    <w:p>
      <w:pPr>
        <w:pStyle w:val="56"/>
        <w:ind w:firstLine="420"/>
      </w:pPr>
      <w:bookmarkStart w:id="31" w:name="_Toc24884219"/>
      <w:bookmarkStart w:id="32" w:name="_Toc17233326"/>
      <w:bookmarkStart w:id="33" w:name="_Toc26648466"/>
      <w:bookmarkStart w:id="34" w:name="_Toc17233334"/>
      <w:bookmarkStart w:id="35" w:name="_Toc24884212"/>
      <w:r>
        <w:rPr>
          <w:rFonts w:hint="eastAsia"/>
        </w:rPr>
        <w:t>本文件规定了一次柱式锂电池用绝缘子产品的分类和标记、技术要求、试验方法、检验规则、标志、包装、运输、贮存及随行文件和订货单内容。</w:t>
      </w:r>
    </w:p>
    <w:p>
      <w:pPr>
        <w:pStyle w:val="56"/>
        <w:ind w:firstLine="420"/>
      </w:pPr>
      <w:r>
        <w:rPr>
          <w:rFonts w:hint="eastAsia"/>
        </w:rPr>
        <w:t>本文件适用于一次柱式锂电池用绝缘子产品。</w:t>
      </w:r>
    </w:p>
    <w:p>
      <w:pPr>
        <w:pStyle w:val="104"/>
        <w:spacing w:before="312" w:after="312"/>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1DFA475CB8C6466BA1161F4DC1BCFEB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w:t>
      </w:r>
      <w:r>
        <w:t>/</w:t>
      </w:r>
      <w:r>
        <w:rPr>
          <w:rFonts w:hint="eastAsia"/>
        </w:rPr>
        <w:t>T</w:t>
      </w:r>
      <w:r>
        <w:t xml:space="preserve"> </w:t>
      </w:r>
      <w:r>
        <w:rPr>
          <w:rFonts w:hint="eastAsia"/>
        </w:rPr>
        <w:t>16920</w:t>
      </w:r>
      <w:r>
        <w:tab/>
      </w:r>
      <w:r>
        <w:rPr>
          <w:rFonts w:hint="eastAsia"/>
        </w:rPr>
        <w:t>玻璃平均线热膨胀系数的测定</w:t>
      </w:r>
    </w:p>
    <w:p>
      <w:pPr>
        <w:pStyle w:val="56"/>
        <w:ind w:firstLine="420"/>
      </w:pPr>
      <w:r>
        <w:rPr>
          <w:rFonts w:hint="eastAsia"/>
        </w:rPr>
        <w:t>GB/T 223</w:t>
      </w:r>
      <w:r>
        <w:tab/>
      </w:r>
      <w:r>
        <w:rPr>
          <w:rFonts w:hint="eastAsia"/>
        </w:rPr>
        <w:t>（所有部分）钢铁及合金化学分析方法</w:t>
      </w:r>
    </w:p>
    <w:p>
      <w:pPr>
        <w:pStyle w:val="56"/>
        <w:ind w:firstLine="420"/>
      </w:pPr>
      <w:r>
        <w:rPr>
          <w:rFonts w:hint="eastAsia"/>
        </w:rPr>
        <w:t>GB/T 2828.1</w:t>
      </w:r>
      <w:r>
        <w:tab/>
      </w:r>
      <w:r>
        <w:rPr>
          <w:rFonts w:hint="eastAsia"/>
        </w:rPr>
        <w:t>计数抽样检查程序 第1部分：按接收质量限（AQL）检索的逐批检验抽样计划</w:t>
      </w:r>
    </w:p>
    <w:p>
      <w:pPr>
        <w:pStyle w:val="56"/>
        <w:ind w:firstLine="420"/>
      </w:pPr>
      <w:r>
        <w:rPr>
          <w:rFonts w:hint="eastAsia"/>
        </w:rPr>
        <w:t>GB/T 3280</w:t>
      </w:r>
      <w:r>
        <w:tab/>
      </w:r>
      <w:r>
        <w:rPr>
          <w:rFonts w:hint="eastAsia"/>
        </w:rPr>
        <w:t>不锈钢冷轧钢板和钢带</w:t>
      </w:r>
    </w:p>
    <w:p>
      <w:pPr>
        <w:pStyle w:val="56"/>
        <w:ind w:firstLine="420"/>
      </w:pPr>
      <w:r>
        <w:rPr>
          <w:rFonts w:hint="eastAsia"/>
        </w:rPr>
        <w:t>GB/T 4182</w:t>
      </w:r>
      <w:r>
        <w:tab/>
      </w:r>
      <w:r>
        <w:rPr>
          <w:rFonts w:hint="eastAsia"/>
        </w:rPr>
        <w:t>钼丝</w:t>
      </w:r>
    </w:p>
    <w:p>
      <w:pPr>
        <w:pStyle w:val="56"/>
        <w:ind w:firstLine="420"/>
      </w:pPr>
      <w:r>
        <w:rPr>
          <w:rFonts w:hint="eastAsia"/>
        </w:rPr>
        <w:t>GB/T 5213</w:t>
      </w:r>
      <w:r>
        <w:tab/>
      </w:r>
      <w:r>
        <w:rPr>
          <w:rFonts w:hint="eastAsia"/>
        </w:rPr>
        <w:t>冷轧低碳钢板及钢带</w:t>
      </w:r>
    </w:p>
    <w:p>
      <w:pPr>
        <w:pStyle w:val="56"/>
        <w:ind w:firstLine="420"/>
      </w:pPr>
      <w:r>
        <w:rPr>
          <w:rFonts w:hint="eastAsia"/>
        </w:rPr>
        <w:t>YB/T 5235</w:t>
      </w:r>
      <w:r>
        <w:tab/>
      </w:r>
      <w:r>
        <w:rPr>
          <w:rFonts w:hint="eastAsia"/>
        </w:rPr>
        <w:t>定膨胀封接铁镍铬、铁镍合金</w:t>
      </w:r>
    </w:p>
    <w:p>
      <w:pPr>
        <w:pStyle w:val="56"/>
        <w:ind w:firstLine="420"/>
      </w:pPr>
      <w:r>
        <w:rPr>
          <w:rFonts w:hint="eastAsia"/>
        </w:rPr>
        <w:t>YB/T 5240</w:t>
      </w:r>
      <w:r>
        <w:tab/>
      </w:r>
      <w:r>
        <w:rPr>
          <w:rFonts w:hint="eastAsia"/>
        </w:rPr>
        <w:t>玻封铁铬合金4J28</w:t>
      </w:r>
    </w:p>
    <w:p>
      <w:pPr>
        <w:pStyle w:val="104"/>
        <w:spacing w:before="312" w:after="312"/>
      </w:pPr>
      <w:r>
        <w:rPr>
          <w:rFonts w:hint="eastAsia"/>
          <w:szCs w:val="21"/>
        </w:rPr>
        <w:t>术语和定义</w:t>
      </w:r>
    </w:p>
    <w:sdt>
      <w:sdtPr>
        <w:id w:val="-1909835108"/>
        <w:placeholder>
          <w:docPart w:val="1DFA475CB8C6466BA1161F4DC1BCFEB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9" w:name="_Toc26986532"/>
          <w:bookmarkEnd w:id="39"/>
          <w:r>
            <w:t>本文件没有需要界定的术语和定义。</w:t>
          </w:r>
        </w:p>
      </w:sdtContent>
    </w:sdt>
    <w:p>
      <w:pPr>
        <w:pStyle w:val="104"/>
        <w:spacing w:before="312" w:after="312"/>
      </w:pPr>
      <w:r>
        <w:rPr>
          <w:rFonts w:hint="eastAsia"/>
        </w:rPr>
        <w:t>要求</w:t>
      </w:r>
    </w:p>
    <w:p>
      <w:pPr>
        <w:pStyle w:val="105"/>
        <w:spacing w:before="156" w:after="156"/>
      </w:pPr>
      <w:bookmarkStart w:id="40" w:name="_Hlk66025577"/>
      <w:r>
        <w:rPr>
          <w:rFonts w:hint="eastAsia"/>
        </w:rPr>
        <w:t>绝缘子的类型</w:t>
      </w:r>
    </w:p>
    <w:p>
      <w:pPr>
        <w:pStyle w:val="56"/>
        <w:ind w:firstLine="420"/>
      </w:pPr>
      <w:r>
        <w:rPr>
          <w:rFonts w:hint="eastAsia"/>
        </w:rPr>
        <w:t>用于一次柱式锂电池绝缘子产品按照盖板材质分为两种类型：ER类型、CR类型。详见表1。</w:t>
      </w:r>
    </w:p>
    <w:p>
      <w:pPr>
        <w:pStyle w:val="112"/>
        <w:spacing w:before="156" w:after="156"/>
      </w:pPr>
      <w:r>
        <w:rPr>
          <w:rFonts w:hint="eastAsia"/>
        </w:rPr>
        <w:t>绝缘子类型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2410"/>
        <w:gridCol w:w="2410"/>
        <w:gridCol w:w="26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shd w:val="clear" w:color="auto" w:fill="auto"/>
            <w:vAlign w:val="center"/>
          </w:tcPr>
          <w:p>
            <w:pPr>
              <w:pStyle w:val="178"/>
            </w:pPr>
            <w:r>
              <w:rPr>
                <w:rFonts w:hint="eastAsia"/>
              </w:rPr>
              <w:t>类型</w:t>
            </w:r>
          </w:p>
        </w:tc>
        <w:tc>
          <w:tcPr>
            <w:tcW w:w="2410" w:type="dxa"/>
            <w:tcBorders>
              <w:top w:val="single" w:color="auto" w:sz="8" w:space="0"/>
              <w:bottom w:val="single" w:color="auto" w:sz="8" w:space="0"/>
            </w:tcBorders>
            <w:shd w:val="clear" w:color="auto" w:fill="auto"/>
            <w:vAlign w:val="center"/>
          </w:tcPr>
          <w:p>
            <w:pPr>
              <w:pStyle w:val="178"/>
            </w:pPr>
            <w:r>
              <w:rPr>
                <w:rFonts w:hint="eastAsia"/>
              </w:rPr>
              <w:t>盖板</w:t>
            </w:r>
            <w:r>
              <w:rPr>
                <w:rFonts w:hint="eastAsia"/>
                <w:lang w:eastAsia="zh-CN"/>
              </w:rPr>
              <w:t>材质</w:t>
            </w:r>
            <w:r>
              <w:rPr>
                <w:rFonts w:hint="eastAsia"/>
              </w:rPr>
              <w:t>牌号</w:t>
            </w:r>
          </w:p>
        </w:tc>
        <w:tc>
          <w:tcPr>
            <w:tcW w:w="2410" w:type="dxa"/>
            <w:tcBorders>
              <w:top w:val="single" w:color="auto" w:sz="8" w:space="0"/>
              <w:bottom w:val="single" w:color="auto" w:sz="8" w:space="0"/>
            </w:tcBorders>
            <w:shd w:val="clear" w:color="auto" w:fill="auto"/>
            <w:vAlign w:val="center"/>
          </w:tcPr>
          <w:p>
            <w:pPr>
              <w:pStyle w:val="178"/>
            </w:pPr>
            <w:r>
              <w:rPr>
                <w:rFonts w:hint="eastAsia"/>
              </w:rPr>
              <w:t>极柱</w:t>
            </w:r>
            <w:r>
              <w:rPr>
                <w:rFonts w:hint="eastAsia"/>
                <w:lang w:eastAsia="zh-CN"/>
              </w:rPr>
              <w:t>材质</w:t>
            </w:r>
            <w:r>
              <w:rPr>
                <w:rFonts w:hint="eastAsia"/>
              </w:rPr>
              <w:t>牌号</w:t>
            </w:r>
          </w:p>
        </w:tc>
        <w:tc>
          <w:tcPr>
            <w:tcW w:w="2681" w:type="dxa"/>
            <w:tcBorders>
              <w:top w:val="single" w:color="auto" w:sz="8" w:space="0"/>
              <w:bottom w:val="single" w:color="auto" w:sz="8" w:space="0"/>
            </w:tcBorders>
            <w:shd w:val="clear" w:color="auto" w:fill="auto"/>
            <w:vAlign w:val="center"/>
          </w:tcPr>
          <w:p>
            <w:pPr>
              <w:pStyle w:val="178"/>
            </w:pPr>
            <w:r>
              <w:rPr>
                <w:rFonts w:hint="eastAsia"/>
              </w:rPr>
              <w:t>玻璃</w:t>
            </w:r>
            <w:r>
              <w:rPr>
                <w:rFonts w:hint="eastAsia"/>
                <w:lang w:eastAsia="zh-CN"/>
              </w:rPr>
              <w:t>粉</w:t>
            </w:r>
            <w:r>
              <w:rPr>
                <w:rFonts w:hint="eastAsia"/>
              </w:rPr>
              <w:t>牌号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shd w:val="clear" w:color="auto" w:fill="auto"/>
            <w:vAlign w:val="center"/>
          </w:tcPr>
          <w:p>
            <w:pPr>
              <w:pStyle w:val="178"/>
              <w:rPr>
                <w:rFonts w:hint="eastAsia" w:eastAsia="宋体"/>
                <w:lang w:eastAsia="zh-CN"/>
              </w:rPr>
            </w:pPr>
            <w:r>
              <w:rPr>
                <w:rFonts w:hint="eastAsia"/>
              </w:rPr>
              <w:t>E</w:t>
            </w:r>
            <w:r>
              <w:t>R</w:t>
            </w:r>
            <w:r>
              <w:rPr>
                <w:rFonts w:hint="eastAsia"/>
                <w:lang w:eastAsia="zh-CN"/>
              </w:rPr>
              <w:t>类型</w:t>
            </w:r>
          </w:p>
        </w:tc>
        <w:tc>
          <w:tcPr>
            <w:tcW w:w="2410" w:type="dxa"/>
            <w:tcBorders>
              <w:top w:val="single" w:color="auto" w:sz="8" w:space="0"/>
            </w:tcBorders>
            <w:shd w:val="clear" w:color="auto" w:fill="auto"/>
            <w:vAlign w:val="center"/>
          </w:tcPr>
          <w:p>
            <w:pPr>
              <w:pStyle w:val="178"/>
            </w:pPr>
            <w:bookmarkStart w:id="41" w:name="_Hlk66028118"/>
            <w:r>
              <w:rPr>
                <w:rFonts w:hint="eastAsia"/>
              </w:rPr>
              <w:t>06Cr19Ni10或</w:t>
            </w:r>
            <w:r>
              <w:t>12</w:t>
            </w:r>
            <w:r>
              <w:rPr>
                <w:rFonts w:hint="eastAsia"/>
              </w:rPr>
              <w:t>Cr1</w:t>
            </w:r>
            <w:r>
              <w:t>8</w:t>
            </w:r>
            <w:r>
              <w:rPr>
                <w:rFonts w:hint="eastAsia"/>
              </w:rPr>
              <w:t>Ni</w:t>
            </w:r>
            <w:bookmarkEnd w:id="41"/>
            <w:r>
              <w:t>9</w:t>
            </w:r>
          </w:p>
        </w:tc>
        <w:tc>
          <w:tcPr>
            <w:tcW w:w="2410" w:type="dxa"/>
            <w:tcBorders>
              <w:top w:val="single" w:color="auto" w:sz="8" w:space="0"/>
            </w:tcBorders>
            <w:shd w:val="clear" w:color="auto" w:fill="auto"/>
            <w:vAlign w:val="center"/>
          </w:tcPr>
          <w:p>
            <w:pPr>
              <w:pStyle w:val="178"/>
            </w:pPr>
            <w:r>
              <w:rPr>
                <w:rFonts w:hint="eastAsia"/>
              </w:rPr>
              <w:t>4J28、4J50、Mo</w:t>
            </w:r>
          </w:p>
        </w:tc>
        <w:tc>
          <w:tcPr>
            <w:tcW w:w="2681" w:type="dxa"/>
            <w:tcBorders>
              <w:top w:val="single" w:color="auto" w:sz="8" w:space="0"/>
            </w:tcBorders>
            <w:shd w:val="clear" w:color="auto" w:fill="auto"/>
            <w:vAlign w:val="center"/>
          </w:tcPr>
          <w:p>
            <w:pPr>
              <w:pStyle w:val="178"/>
            </w:pPr>
            <w:r>
              <w:rPr>
                <w:rFonts w:hint="eastAsia"/>
              </w:rPr>
              <w:t>13#粉、19#粉或等同玻璃材料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shd w:val="clear" w:color="auto" w:fill="auto"/>
            <w:vAlign w:val="center"/>
          </w:tcPr>
          <w:p>
            <w:pPr>
              <w:pStyle w:val="178"/>
              <w:rPr>
                <w:rFonts w:hint="eastAsia" w:eastAsia="宋体"/>
                <w:lang w:eastAsia="zh-CN"/>
              </w:rPr>
            </w:pPr>
            <w:r>
              <w:rPr>
                <w:rFonts w:hint="eastAsia"/>
              </w:rPr>
              <w:t>C</w:t>
            </w:r>
            <w:r>
              <w:t>R</w:t>
            </w:r>
            <w:r>
              <w:rPr>
                <w:rFonts w:hint="eastAsia"/>
                <w:lang w:eastAsia="zh-CN"/>
              </w:rPr>
              <w:t>类型</w:t>
            </w:r>
          </w:p>
        </w:tc>
        <w:tc>
          <w:tcPr>
            <w:tcW w:w="2410" w:type="dxa"/>
            <w:shd w:val="clear" w:color="auto" w:fill="auto"/>
            <w:vAlign w:val="center"/>
          </w:tcPr>
          <w:p>
            <w:pPr>
              <w:pStyle w:val="178"/>
            </w:pPr>
            <w:r>
              <w:t>DC01</w:t>
            </w:r>
          </w:p>
        </w:tc>
        <w:tc>
          <w:tcPr>
            <w:tcW w:w="2410" w:type="dxa"/>
            <w:shd w:val="clear" w:color="auto" w:fill="auto"/>
            <w:vAlign w:val="center"/>
          </w:tcPr>
          <w:p>
            <w:pPr>
              <w:pStyle w:val="178"/>
            </w:pPr>
            <w:r>
              <w:rPr>
                <w:rFonts w:hint="eastAsia"/>
              </w:rPr>
              <w:t>4J28、4J50、Mo</w:t>
            </w:r>
          </w:p>
        </w:tc>
        <w:tc>
          <w:tcPr>
            <w:tcW w:w="2681" w:type="dxa"/>
            <w:shd w:val="clear" w:color="auto" w:fill="auto"/>
            <w:vAlign w:val="center"/>
          </w:tcPr>
          <w:p>
            <w:pPr>
              <w:pStyle w:val="178"/>
            </w:pPr>
            <w:r>
              <w:rPr>
                <w:rFonts w:hint="eastAsia"/>
              </w:rPr>
              <w:t>13#粉、19#粉或等同玻璃材料</w:t>
            </w:r>
          </w:p>
        </w:tc>
      </w:tr>
    </w:tbl>
    <w:p>
      <w:pPr>
        <w:pStyle w:val="105"/>
        <w:spacing w:before="156" w:after="156"/>
      </w:pPr>
      <w:r>
        <w:rPr>
          <w:rFonts w:hint="eastAsia"/>
        </w:rPr>
        <w:t>绝缘子的结构</w:t>
      </w:r>
    </w:p>
    <w:p>
      <w:pPr>
        <w:pStyle w:val="56"/>
        <w:ind w:firstLine="420"/>
        <w:rPr>
          <w:rFonts w:hint="default" w:ascii="Calibri" w:hAnsi="Calibri" w:eastAsia="宋体" w:cs="Times New Roman"/>
          <w:kern w:val="2"/>
          <w:sz w:val="21"/>
          <w:szCs w:val="21"/>
          <w:lang w:val="en-US" w:eastAsia="zh-CN" w:bidi="ar"/>
        </w:rPr>
      </w:pPr>
      <w:r>
        <w:rPr>
          <w:rFonts w:hint="eastAsia" w:ascii="Calibri" w:hAnsi="Calibri" w:eastAsia="宋体" w:cs="Times New Roman"/>
          <w:kern w:val="2"/>
          <w:sz w:val="21"/>
          <w:szCs w:val="21"/>
          <w:lang w:val="en-US" w:eastAsia="zh-CN" w:bidi="ar"/>
        </w:rPr>
        <w:t>绝缘子的结构见图</w:t>
      </w:r>
      <w:r>
        <w:rPr>
          <w:rFonts w:hint="default" w:ascii="Calibri" w:hAnsi="Calibri" w:eastAsia="宋体" w:cs="Times New Roman"/>
          <w:kern w:val="2"/>
          <w:sz w:val="21"/>
          <w:szCs w:val="21"/>
          <w:lang w:val="en-US" w:eastAsia="zh-CN" w:bidi="ar"/>
        </w:rPr>
        <w:t>1</w:t>
      </w:r>
      <w:r>
        <w:rPr>
          <w:rFonts w:hint="eastAsia" w:ascii="Calibri" w:hAnsi="Calibri" w:eastAsia="宋体" w:cs="Times New Roman"/>
          <w:kern w:val="2"/>
          <w:sz w:val="21"/>
          <w:szCs w:val="21"/>
          <w:lang w:val="en-US" w:eastAsia="zh-CN" w:bidi="ar"/>
        </w:rPr>
        <w:t>、图</w:t>
      </w:r>
      <w:r>
        <w:rPr>
          <w:rFonts w:hint="default" w:ascii="Calibri" w:hAnsi="Calibri" w:eastAsia="宋体" w:cs="Times New Roman"/>
          <w:kern w:val="2"/>
          <w:sz w:val="21"/>
          <w:szCs w:val="21"/>
          <w:lang w:val="en-US" w:eastAsia="zh-CN" w:bidi="ar"/>
        </w:rPr>
        <w:t>2</w:t>
      </w:r>
    </w:p>
    <w:p>
      <w:pPr>
        <w:pStyle w:val="56"/>
        <w:ind w:firstLine="420"/>
        <w:rPr>
          <w:rFonts w:hint="default" w:ascii="Calibri" w:hAnsi="Calibri" w:eastAsia="宋体" w:cs="Times New Roman"/>
          <w:kern w:val="2"/>
          <w:sz w:val="21"/>
          <w:szCs w:val="21"/>
          <w:lang w:val="en-US" w:eastAsia="zh-CN" w:bidi="ar"/>
        </w:rPr>
      </w:pPr>
    </w:p>
    <w:p>
      <w:pPr>
        <w:pStyle w:val="56"/>
        <w:ind w:firstLine="420"/>
        <w:rPr>
          <w:rFonts w:hint="default" w:ascii="Calibri" w:hAnsi="Calibri" w:eastAsia="宋体" w:cs="Times New Roman"/>
          <w:kern w:val="2"/>
          <w:sz w:val="21"/>
          <w:szCs w:val="21"/>
          <w:lang w:val="en-US" w:eastAsia="zh-CN" w:bidi="ar"/>
        </w:rPr>
      </w:pPr>
    </w:p>
    <w:p>
      <w:pPr>
        <w:pStyle w:val="182"/>
        <w:ind w:right="180" w:firstLine="360"/>
        <w:jc w:val="right"/>
      </w:pPr>
      <w:r>
        <w:rPr>
          <w:rFonts w:hint="eastAsia"/>
        </w:rPr>
        <w:t>单位为毫米</w:t>
      </w:r>
    </w:p>
    <w:p>
      <w:pPr>
        <w:pStyle w:val="56"/>
        <w:ind w:firstLine="0" w:firstLineChars="0"/>
        <w:jc w:val="center"/>
      </w:pPr>
      <w:bookmarkStart w:id="42" w:name="_Hlk66013619"/>
      <w:r>
        <w:object>
          <v:shape id="_x0000_i1025" o:spt="75" type="#_x0000_t75" style="height:198.6pt;width:451.8pt;" o:ole="t" filled="f" o:preferrelative="t" stroked="f" coordsize="21600,21600">
            <v:path/>
            <v:fill on="f" focussize="0,0"/>
            <v:stroke on="f" joinstyle="miter"/>
            <v:imagedata r:id="rId14" cropleft="9007f" croptop="4499f" cropright="11788f" cropbottom="14234f" o:title=""/>
            <o:lock v:ext="edit" aspectratio="t"/>
            <w10:wrap type="none"/>
            <w10:anchorlock/>
          </v:shape>
          <o:OLEObject Type="Embed" ProgID="AutoCAD.Drawing.23" ShapeID="_x0000_i1025" DrawAspect="Content" ObjectID="_1468075725" r:id="rId13">
            <o:LockedField>false</o:LockedField>
          </o:OLEObject>
        </w:object>
      </w:r>
      <w:bookmarkEnd w:id="42"/>
    </w:p>
    <w:p>
      <w:pPr>
        <w:pStyle w:val="182"/>
        <w:ind w:firstLine="360"/>
      </w:pPr>
      <w:r>
        <w:rPr>
          <w:rFonts w:hint="eastAsia"/>
        </w:rPr>
        <w:t>标引序号说明：</w:t>
      </w:r>
    </w:p>
    <w:p>
      <w:pPr>
        <w:pStyle w:val="182"/>
        <w:ind w:firstLine="360"/>
      </w:pPr>
      <w:r>
        <w:rPr>
          <w:rFonts w:hint="eastAsia"/>
        </w:rPr>
        <w:t>1——盖板；</w:t>
      </w:r>
    </w:p>
    <w:p>
      <w:pPr>
        <w:pStyle w:val="182"/>
        <w:ind w:firstLine="360"/>
      </w:pPr>
      <w:r>
        <w:rPr>
          <w:rFonts w:hint="eastAsia"/>
        </w:rPr>
        <w:t>2——玻璃体；</w:t>
      </w:r>
    </w:p>
    <w:p>
      <w:pPr>
        <w:pStyle w:val="182"/>
        <w:ind w:firstLine="360"/>
      </w:pPr>
      <w:r>
        <w:rPr>
          <w:rFonts w:hint="eastAsia"/>
        </w:rPr>
        <w:t>3——极柱。</w:t>
      </w:r>
    </w:p>
    <w:p>
      <w:pPr>
        <w:pStyle w:val="179"/>
      </w:pPr>
      <w:bookmarkStart w:id="43" w:name="_Hlk66030652"/>
      <w:r>
        <w:rPr>
          <w:rFonts w:hint="eastAsia"/>
        </w:rPr>
        <w:t>极柱分为两种：</w:t>
      </w:r>
      <w:r>
        <w:rPr>
          <w:rFonts w:hint="eastAsia"/>
          <w:lang w:eastAsia="zh-CN"/>
        </w:rPr>
        <w:t>一种无端帽、一种有端帽</w:t>
      </w:r>
      <w:r>
        <w:rPr>
          <w:rFonts w:hint="eastAsia"/>
        </w:rPr>
        <w:t>。</w:t>
      </w:r>
    </w:p>
    <w:bookmarkEnd w:id="43"/>
    <w:p>
      <w:pPr>
        <w:pStyle w:val="114"/>
        <w:spacing w:before="156" w:after="156"/>
      </w:pPr>
      <w:r>
        <w:rPr>
          <w:rFonts w:hint="eastAsia"/>
        </w:rPr>
        <w:t>常温ER型绝缘子和CR型绝缘子结构</w:t>
      </w:r>
    </w:p>
    <w:p>
      <w:pPr>
        <w:pStyle w:val="182"/>
        <w:ind w:right="180" w:firstLine="360"/>
        <w:jc w:val="right"/>
      </w:pPr>
      <w:r>
        <w:rPr>
          <w:rFonts w:hint="eastAsia"/>
        </w:rPr>
        <w:t>单位为毫米</w:t>
      </w:r>
    </w:p>
    <w:p>
      <w:pPr>
        <w:pStyle w:val="56"/>
        <w:ind w:firstLine="0" w:firstLineChars="0"/>
        <w:jc w:val="center"/>
        <w:rPr>
          <w:rFonts w:hAnsi="宋体" w:cs="宋体"/>
          <w:sz w:val="24"/>
          <w:lang w:bidi="ar"/>
        </w:rPr>
      </w:pPr>
      <w:bookmarkStart w:id="44" w:name="_Hlk66015749"/>
      <w:r>
        <w:object>
          <v:shape id="_x0000_i1026" o:spt="75" type="#_x0000_t75" style="height:198.85pt;width:471.6pt;" o:ole="t" filled="f" o:preferrelative="t" stroked="f" coordsize="21600,21600">
            <v:path/>
            <v:fill on="f" focussize="0,0"/>
            <v:stroke on="f" joinstyle="miter"/>
            <v:imagedata r:id="rId16" cropleft="8227f" croptop="7983f" cropright="15626f" cropbottom="14446f" o:title=""/>
            <o:lock v:ext="edit" aspectratio="t"/>
            <w10:wrap type="none"/>
            <w10:anchorlock/>
          </v:shape>
          <o:OLEObject Type="Embed" ProgID="AutoCAD.Drawing.23" ShapeID="_x0000_i1026" DrawAspect="Content" ObjectID="_1468075726" r:id="rId15">
            <o:LockedField>false</o:LockedField>
          </o:OLEObject>
        </w:object>
      </w:r>
      <w:bookmarkEnd w:id="44"/>
    </w:p>
    <w:p>
      <w:pPr>
        <w:pStyle w:val="182"/>
        <w:ind w:firstLine="360"/>
      </w:pPr>
      <w:r>
        <w:rPr>
          <w:rFonts w:hint="eastAsia"/>
        </w:rPr>
        <w:t>标引序号说明：</w:t>
      </w:r>
    </w:p>
    <w:p>
      <w:pPr>
        <w:pStyle w:val="182"/>
        <w:ind w:firstLine="360"/>
      </w:pPr>
      <w:r>
        <w:rPr>
          <w:rFonts w:hint="eastAsia"/>
        </w:rPr>
        <w:t>1——盖板；</w:t>
      </w:r>
    </w:p>
    <w:p>
      <w:pPr>
        <w:pStyle w:val="182"/>
        <w:ind w:firstLine="360"/>
      </w:pPr>
      <w:r>
        <w:rPr>
          <w:rFonts w:hint="eastAsia"/>
        </w:rPr>
        <w:t>2——玻璃体；</w:t>
      </w:r>
    </w:p>
    <w:p>
      <w:pPr>
        <w:pStyle w:val="182"/>
        <w:ind w:firstLine="360"/>
      </w:pPr>
      <w:r>
        <w:rPr>
          <w:rFonts w:hint="eastAsia"/>
        </w:rPr>
        <w:t>3——极柱。</w:t>
      </w:r>
    </w:p>
    <w:p>
      <w:pPr>
        <w:pStyle w:val="179"/>
      </w:pPr>
      <w:r>
        <w:rPr>
          <w:rFonts w:hint="eastAsia"/>
        </w:rPr>
        <w:t>极柱分为两种：a）直杆型，b）T头型。</w:t>
      </w:r>
    </w:p>
    <w:p>
      <w:pPr>
        <w:pStyle w:val="114"/>
        <w:spacing w:before="156" w:after="156"/>
      </w:pPr>
      <w:r>
        <w:rPr>
          <w:rFonts w:hint="eastAsia"/>
        </w:rPr>
        <w:t>高温ER型绝缘子结构</w:t>
      </w:r>
    </w:p>
    <w:p>
      <w:pPr>
        <w:pStyle w:val="56"/>
        <w:ind w:firstLine="420"/>
      </w:pPr>
    </w:p>
    <w:p>
      <w:pPr>
        <w:pStyle w:val="105"/>
        <w:spacing w:before="156" w:after="156"/>
      </w:pPr>
      <w:r>
        <w:rPr>
          <w:rFonts w:hint="eastAsia"/>
        </w:rPr>
        <w:t>绝缘子的型号表示规则</w:t>
      </w:r>
    </w:p>
    <w:p>
      <w:pPr>
        <w:pStyle w:val="56"/>
        <w:ind w:firstLine="420"/>
      </w:pPr>
      <w:r>
        <w:rPr>
          <w:rFonts w:hint="eastAsia"/>
        </w:rPr>
        <w:t>绝缘子的命名方式如下：</w:t>
      </w:r>
    </w:p>
    <w:p>
      <w:pPr>
        <w:pStyle w:val="231"/>
        <w:ind w:firstLine="420"/>
        <w:rPr>
          <w:spacing w:val="20"/>
          <w:szCs w:val="21"/>
        </w:rPr>
      </w:pPr>
      <w:r>
        <w:rPr>
          <w:rFonts w:hint="eastAsia"/>
        </w:rPr>
        <mc:AlternateContent>
          <mc:Choice Requires="wps">
            <w:drawing>
              <wp:anchor distT="0" distB="0" distL="114300" distR="114300" simplePos="0" relativeHeight="251669504" behindDoc="0" locked="0" layoutInCell="1" allowOverlap="1">
                <wp:simplePos x="0" y="0"/>
                <wp:positionH relativeFrom="column">
                  <wp:posOffset>1705610</wp:posOffset>
                </wp:positionH>
                <wp:positionV relativeFrom="paragraph">
                  <wp:posOffset>168275</wp:posOffset>
                </wp:positionV>
                <wp:extent cx="0" cy="198120"/>
                <wp:effectExtent l="0" t="0" r="38100" b="3048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4.3pt;margin-top:13.25pt;height:15.6pt;width:0pt;z-index:251669504;mso-width-relative:page;mso-height-relative:page;" filled="f" stroked="t" coordsize="21600,21600" o:gfxdata="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lGYIE1gAAAAkBAAAPAAAAAAAAAAEAIAAAACIAAABkcnMvZG93&#10;bnJldi54bWxQSwECFAAUAAAACACHTuJAY/RqBMkBAABdAwAADgAAAAAAAAABACAAAAAlAQAAZHJz&#10;L2Uyb0RvYy54bWxQSwUGAAAAAAYABgBZAQAAY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2214880</wp:posOffset>
                </wp:positionH>
                <wp:positionV relativeFrom="paragraph">
                  <wp:posOffset>101600</wp:posOffset>
                </wp:positionV>
                <wp:extent cx="287655" cy="0"/>
                <wp:effectExtent l="0" t="0" r="0" b="0"/>
                <wp:wrapNone/>
                <wp:docPr id="18" name="直接箭头连接符 18"/>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4.4pt;margin-top:8pt;height:0pt;width:22.65pt;z-index:251679744;mso-width-relative:page;mso-height-relative:page;" filled="f" stroked="t" coordsize="21600,21600" o:gfxdata="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SQ1br1wAAAAkBAAAPAAAAAAAA&#10;AAEAIAAAACIAAABkcnMvZG93bnJldi54bWxQSwECFAAUAAAACACHTuJAnDB+t9oBAABxAwAADgAA&#10;AAAAAAABACAAAAAmAQAAZHJzL2Uyb0RvYy54bWxQSwUGAAAAAAYABgBZAQAAcgUAAAAA&#10;">
                <v:fill on="f" focussize="0,0"/>
                <v:stroke color="#000000" joinstyle="round"/>
                <v:imagedata o:title=""/>
                <o:lock v:ext="edit" aspectratio="f"/>
              </v:shape>
            </w:pict>
          </mc:Fallback>
        </mc:AlternateContent>
      </w:r>
      <w:r>
        <w:rPr>
          <w:rFonts w:hint="eastAsia"/>
          <w:spacing w:val="20"/>
          <w:szCs w:val="21"/>
        </w:rPr>
        <mc:AlternateContent>
          <mc:Choice Requires="wps">
            <w:drawing>
              <wp:anchor distT="0" distB="0" distL="114300" distR="114300" simplePos="0" relativeHeight="251668480" behindDoc="0" locked="0" layoutInCell="1" allowOverlap="1">
                <wp:simplePos x="0" y="0"/>
                <wp:positionH relativeFrom="column">
                  <wp:posOffset>253365</wp:posOffset>
                </wp:positionH>
                <wp:positionV relativeFrom="paragraph">
                  <wp:posOffset>167005</wp:posOffset>
                </wp:positionV>
                <wp:extent cx="15811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157934"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9.95pt;margin-top:13.15pt;height:0pt;width:12.45pt;z-index:251668480;mso-width-relative:page;mso-height-relative:page;" filled="f" stroked="t" coordsize="21600,21600" o:gfxdata="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sfMY9QAAAAHAQAADwAAAAAAAAABACAAAAAiAAAAZHJz&#10;L2Rvd25yZXYueG1sUEsBAhQAFAAAAAgAh07iQF3pPBnPAQAAZwMAAA4AAAAAAAAAAQAgAAAAIwEA&#10;AGRycy9lMm9Eb2MueG1sUEsFBgAAAAAGAAYAWQEAAGQFAAAAAA==&#10;">
                <v:fill on="f" focussize="0,0"/>
                <v:stroke color="#000000" joinstyle="round"/>
                <v:imagedata o:title=""/>
                <o:lock v:ext="edit" aspectratio="f"/>
              </v:line>
            </w:pict>
          </mc:Fallback>
        </mc:AlternateContent>
      </w:r>
      <w:r>
        <w:rPr>
          <w:rFonts w:hint="eastAsia"/>
          <w:spacing w:val="20"/>
          <w:szCs w:val="21"/>
        </w:rPr>
        <mc:AlternateContent>
          <mc:Choice Requires="wps">
            <w:drawing>
              <wp:anchor distT="0" distB="0" distL="114300" distR="114300" simplePos="0" relativeHeight="251667456" behindDoc="0" locked="0" layoutInCell="1" allowOverlap="1">
                <wp:simplePos x="0" y="0"/>
                <wp:positionH relativeFrom="column">
                  <wp:posOffset>514350</wp:posOffset>
                </wp:positionH>
                <wp:positionV relativeFrom="paragraph">
                  <wp:posOffset>159385</wp:posOffset>
                </wp:positionV>
                <wp:extent cx="42164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V="1">
                          <a:off x="0" y="0"/>
                          <a:ext cx="421731"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40.5pt;margin-top:12.55pt;height:0pt;width:33.2pt;z-index:251667456;mso-width-relative:page;mso-height-relative:page;" filled="f" stroked="t" coordsize="21600,21600" o:gfxdata="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bKIa1QAAAAgBAAAPAAAAAAAAAAEAIAAAACIAAABk&#10;cnMvZG93bnJldi54bWxQSwECFAAUAAAACACHTuJAOQEAEdABAABnAwAADgAAAAAAAAABACAAAAAk&#10;AQAAZHJzL2Uyb0RvYy54bWxQSwUGAAAAAAYABgBZAQAAZ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1567815</wp:posOffset>
                </wp:positionH>
                <wp:positionV relativeFrom="paragraph">
                  <wp:posOffset>161925</wp:posOffset>
                </wp:positionV>
                <wp:extent cx="272415" cy="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272143"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3.45pt;margin-top:12.75pt;height:0pt;width:21.45pt;z-index:251677696;mso-width-relative:page;mso-height-relative:page;" filled="f" stroked="t" coordsize="21600,21600" o:gfxdata="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0SmCdcAAAAJAQAADwAAAAAAAAABACAAAAAiAAAAZHJzL2Rv&#10;d25yZXYueG1sUEsBAhQAFAAAAAgAh07iQHPJm7jJAQAAXQMAAA4AAAAAAAAAAQAgAAAAJgEAAGRy&#10;cy9lMm9Eb2MueG1sUEsFBgAAAAAGAAYAWQEAAGE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1961515</wp:posOffset>
                </wp:positionH>
                <wp:positionV relativeFrom="paragraph">
                  <wp:posOffset>166370</wp:posOffset>
                </wp:positionV>
                <wp:extent cx="217170" cy="1270"/>
                <wp:effectExtent l="0" t="0" r="30480" b="37465"/>
                <wp:wrapNone/>
                <wp:docPr id="17" name="直接箭头连接符 17"/>
                <wp:cNvGraphicFramePr/>
                <a:graphic xmlns:a="http://schemas.openxmlformats.org/drawingml/2006/main">
                  <a:graphicData uri="http://schemas.microsoft.com/office/word/2010/wordprocessingShape">
                    <wps:wsp>
                      <wps:cNvCnPr>
                        <a:cxnSpLocks noChangeShapeType="1"/>
                      </wps:cNvCnPr>
                      <wps:spPr bwMode="auto">
                        <a:xfrm flipV="1">
                          <a:off x="0" y="0"/>
                          <a:ext cx="217442" cy="1179"/>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54.45pt;margin-top:13.1pt;height:0.1pt;width:17.1pt;z-index:251678720;mso-width-relative:page;mso-height-relative:page;" filled="f" stroked="t" coordsize="21600,21600" o:gfxdata="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L3mprXAAAACQEA&#10;AA8AAAAAAAAAAQAgAAAAIgAAAGRycy9kb3ducmV2LnhtbFBLAQIUABQAAAAIAIdO4kAr5Pig4gEA&#10;AH4DAAAOAAAAAAAAAAEAIAAAACYBAABkcnMvZTJvRG9jLnhtbFBLBQYAAAAABgAGAFkBAAB6BQAA&#10;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1045210</wp:posOffset>
                </wp:positionH>
                <wp:positionV relativeFrom="paragraph">
                  <wp:posOffset>160020</wp:posOffset>
                </wp:positionV>
                <wp:extent cx="429895"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429714"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2.3pt;margin-top:12.6pt;height:0pt;width:33.85pt;z-index:251666432;mso-width-relative:page;mso-height-relative:page;" filled="f" stroked="t" coordsize="21600,21600" o:gfxdata="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aRjbu1gAAAAkBAAAPAAAAAAAAAAEAIAAAACIAAABkcnMvZG93&#10;bnJldi54bWxQSwECFAAUAAAACACHTuJAhc29JskBAABdAwAADgAAAAAAAAABACAAAAAlAQAAZHJz&#10;L2Uyb0RvYy54bWxQSwUGAAAAAAYABgBZAQAAY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719455</wp:posOffset>
                </wp:positionH>
                <wp:positionV relativeFrom="paragraph">
                  <wp:posOffset>167005</wp:posOffset>
                </wp:positionV>
                <wp:extent cx="0" cy="594360"/>
                <wp:effectExtent l="0" t="0" r="38100" b="3429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6.65pt;margin-top:13.15pt;height:46.8pt;width:0pt;z-index:251672576;mso-width-relative:page;mso-height-relative:page;" filled="f" stroked="t" coordsize="21600,21600" o:gfxdata="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hC/XdUAAAAKAQAADwAAAAAAAAABACAAAAAiAAAAZHJzL2Rvd25y&#10;ZXYueG1sUEsBAhQAFAAAAAgAh07iQDIH/ZTIAQAAXQMAAA4AAAAAAAAAAQAgAAAAJAEAAGRycy9l&#10;Mm9Eb2MueG1sUEsFBgAAAAAGAAYAWQEAAF4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1212850</wp:posOffset>
                </wp:positionH>
                <wp:positionV relativeFrom="paragraph">
                  <wp:posOffset>167005</wp:posOffset>
                </wp:positionV>
                <wp:extent cx="0" cy="396240"/>
                <wp:effectExtent l="8255" t="6350" r="10795" b="698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5.5pt;margin-top:13.15pt;height:31.2pt;width:0pt;z-index:251671552;mso-width-relative:page;mso-height-relative:page;" filled="f" stroked="t" coordsize="21600,21600" o:gfxdata="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0UPyl1gAAAAkBAAAPAAAAAAAAAAEAIAAAACIAAABkcnMvZG93&#10;bnJldi54bWxQSwECFAAUAAAACACHTuJAtO7ZqskBAABdAwAADgAAAAAAAAABACAAAAAlAQAAZHJz&#10;L2Uyb0RvYy54bWxQSwUGAAAAAAYABgBZAQAAY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333375</wp:posOffset>
                </wp:positionH>
                <wp:positionV relativeFrom="paragraph">
                  <wp:posOffset>167005</wp:posOffset>
                </wp:positionV>
                <wp:extent cx="0" cy="792480"/>
                <wp:effectExtent l="5080" t="6350" r="13970" b="1079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25pt;margin-top:13.15pt;height:62.4pt;width:0pt;z-index:251673600;mso-width-relative:page;mso-height-relative:page;" filled="f" stroked="t" coordsize="21600,21600" o:gfxdata="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g8mnK1QAAAAgBAAAPAAAAAAAAAAEAIAAAACIAAABkcnMvZG93bnJl&#10;di54bWxQSwECFAAUAAAACACHTuJAqnT/T8cBAABbAwAADgAAAAAAAAABACAAAAAkAQAAZHJzL2Uy&#10;b0RvYy54bWxQSwUGAAAAAAYABgBZAQAAXQUAAAAA&#10;">
                <v:fill on="f" focussize="0,0"/>
                <v:stroke color="#000000" joinstyle="round"/>
                <v:imagedata o:title=""/>
                <o:lock v:ext="edit" aspectratio="f"/>
              </v:line>
            </w:pict>
          </mc:Fallback>
        </mc:AlternateContent>
      </w:r>
      <w:r>
        <w:rPr>
          <w:rFonts w:hint="eastAsia"/>
          <w:spacing w:val="20"/>
          <w:szCs w:val="21"/>
        </w:rPr>
        <w:t>ER</w:t>
      </w:r>
      <w:r>
        <w:rPr>
          <w:spacing w:val="20"/>
          <w:szCs w:val="21"/>
        </w:rPr>
        <w:t xml:space="preserve"> </w:t>
      </w:r>
      <w:r>
        <w:rPr>
          <w:rFonts w:hint="eastAsia"/>
          <w:spacing w:val="20"/>
          <w:szCs w:val="21"/>
        </w:rPr>
        <w:t>××× ××× ×× (G)    高温系列需要在末尾加G区分</w:t>
      </w:r>
    </w:p>
    <w:p>
      <w:pPr>
        <w:pStyle w:val="231"/>
        <w:ind w:firstLine="420"/>
      </w:pPr>
      <w:r>
        <w:rPr>
          <w:rFonts w:hint="eastAsia"/>
        </w:rPr>
        <mc:AlternateContent>
          <mc:Choice Requires="wps">
            <w:drawing>
              <wp:anchor distT="0" distB="0" distL="114300" distR="114300" simplePos="0" relativeHeight="251670528" behindDoc="0" locked="0" layoutInCell="1" allowOverlap="1">
                <wp:simplePos x="0" y="0"/>
                <wp:positionH relativeFrom="column">
                  <wp:posOffset>1710690</wp:posOffset>
                </wp:positionH>
                <wp:positionV relativeFrom="paragraph">
                  <wp:posOffset>167005</wp:posOffset>
                </wp:positionV>
                <wp:extent cx="708660" cy="635"/>
                <wp:effectExtent l="10795" t="13970" r="13970" b="1397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70866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4.7pt;margin-top:13.15pt;height:0.05pt;width:55.8pt;z-index:251670528;mso-width-relative:page;mso-height-relative:page;" filled="f" stroked="t" coordsize="21600,21600" o:gfxdata="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czzCbXAAAACQEAAA8AAAAAAAAAAQAgAAAAIgAAAGRycy9k&#10;b3ducmV2LnhtbFBLAQIUABQAAAAIAIdO4kDn8lhfygEAAF0DAAAOAAAAAAAAAAEAIAAAACYBAABk&#10;cnMvZTJvRG9jLnhtbFBLBQYAAAAABgAGAFkBAABiBQAAAAA=&#10;">
                <v:fill on="f" focussize="0,0"/>
                <v:stroke color="#000000" joinstyle="round"/>
                <v:imagedata o:title=""/>
                <o:lock v:ext="edit" aspectratio="f"/>
              </v:line>
            </w:pict>
          </mc:Fallback>
        </mc:AlternateContent>
      </w:r>
      <w:r>
        <w:rPr>
          <w:rFonts w:hint="eastAsia"/>
        </w:rPr>
        <w:t xml:space="preserve">                                 冒头高度值×10，极柱类型（T头型增加“T”）</w:t>
      </w:r>
    </w:p>
    <w:p>
      <w:pPr>
        <w:pStyle w:val="231"/>
        <w:ind w:firstLine="420"/>
      </w:pPr>
      <w:r>
        <mc:AlternateContent>
          <mc:Choice Requires="wps">
            <w:drawing>
              <wp:anchor distT="0" distB="0" distL="114300" distR="114300" simplePos="0" relativeHeight="251676672" behindDoc="0" locked="0" layoutInCell="1" allowOverlap="1">
                <wp:simplePos x="0" y="0"/>
                <wp:positionH relativeFrom="column">
                  <wp:posOffset>1212850</wp:posOffset>
                </wp:positionH>
                <wp:positionV relativeFrom="paragraph">
                  <wp:posOffset>167005</wp:posOffset>
                </wp:positionV>
                <wp:extent cx="1207135" cy="635"/>
                <wp:effectExtent l="8255" t="12065" r="13335" b="63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20713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5.5pt;margin-top:13.15pt;height:0.05pt;width:95.05pt;z-index:251676672;mso-width-relative:page;mso-height-relative:page;" filled="f" stroked="t" coordsize="21600,21600" o:gfxdata="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JEuq9cAAAAJAQAADwAAAAAAAAABACAAAAAiAAAAZHJz&#10;L2Rvd25yZXYueG1sUEsBAhQAFAAAAAgAh07iQHOkaazMAQAAXgMAAA4AAAAAAAAAAQAgAAAAJgEA&#10;AGRycy9lMm9Eb2MueG1sUEsFBgAAAAAGAAYAWQEAAGQFAAAAAA==&#10;">
                <v:fill on="f" focussize="0,0"/>
                <v:stroke color="#000000" joinstyle="round"/>
                <v:imagedata o:title=""/>
                <o:lock v:ext="edit" aspectratio="f"/>
              </v:line>
            </w:pict>
          </mc:Fallback>
        </mc:AlternateContent>
      </w:r>
      <w:r>
        <w:rPr>
          <w:rFonts w:hint="eastAsia"/>
        </w:rPr>
        <w:t xml:space="preserve">                                 极柱长度值×10，单位为毫米（mm）</w:t>
      </w:r>
    </w:p>
    <w:p>
      <w:pPr>
        <w:pStyle w:val="231"/>
        <w:ind w:firstLine="420"/>
      </w:pPr>
      <w:r>
        <mc:AlternateContent>
          <mc:Choice Requires="wps">
            <w:drawing>
              <wp:anchor distT="0" distB="0" distL="114300" distR="114300" simplePos="0" relativeHeight="251674624" behindDoc="0" locked="0" layoutInCell="1" allowOverlap="1">
                <wp:simplePos x="0" y="0"/>
                <wp:positionH relativeFrom="column">
                  <wp:posOffset>716915</wp:posOffset>
                </wp:positionH>
                <wp:positionV relativeFrom="paragraph">
                  <wp:posOffset>168275</wp:posOffset>
                </wp:positionV>
                <wp:extent cx="171196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1712082"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56.45pt;margin-top:13.25pt;height:0pt;width:134.8pt;z-index:251674624;mso-width-relative:page;mso-height-relative:page;" filled="f" stroked="t" coordsize="21600,21600" o:gfxdata="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&#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bSjd1gAAAAkBAAAPAAAAAAAAAAEAIAAAACIAAABk&#10;cnMvZG93bnJldi54bWxQSwECFAAUAAAACACHTuJAuafNbM8BAABmAwAADgAAAAAAAAABACAAAAAl&#10;AQAAZHJzL2Uyb0RvYy54bWxQSwUGAAAAAAYABgBZAQAAZgUAAAAA&#10;">
                <v:fill on="f" focussize="0,0"/>
                <v:stroke color="#000000" joinstyle="round"/>
                <v:imagedata o:title=""/>
                <o:lock v:ext="edit" aspectratio="f"/>
              </v:line>
            </w:pict>
          </mc:Fallback>
        </mc:AlternateContent>
      </w:r>
      <w:r>
        <w:rPr>
          <w:rFonts w:hint="eastAsia"/>
        </w:rPr>
        <w:t xml:space="preserve">                                 绝缘子外径×10，单位为毫米（mm）</w:t>
      </w:r>
    </w:p>
    <w:p>
      <w:pPr>
        <w:pStyle w:val="231"/>
        <w:ind w:firstLine="420"/>
        <w:rPr>
          <w:rFonts w:hAnsi="宋体"/>
        </w:rPr>
      </w:pPr>
      <w:r>
        <mc:AlternateContent>
          <mc:Choice Requires="wps">
            <w:drawing>
              <wp:anchor distT="0" distB="0" distL="114300" distR="114300" simplePos="0" relativeHeight="251675648" behindDoc="0" locked="0" layoutInCell="1" allowOverlap="1">
                <wp:simplePos x="0" y="0"/>
                <wp:positionH relativeFrom="column">
                  <wp:posOffset>333375</wp:posOffset>
                </wp:positionH>
                <wp:positionV relativeFrom="paragraph">
                  <wp:posOffset>167005</wp:posOffset>
                </wp:positionV>
                <wp:extent cx="2096770" cy="635"/>
                <wp:effectExtent l="5080" t="8255" r="12700" b="1016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09677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25pt;margin-top:13.15pt;height:0.05pt;width:165.1pt;z-index:251675648;mso-width-relative:page;mso-height-relative:page;" filled="f" stroked="t" coordsize="21600,21600" o:gfxdata="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og/q9cAAAAIAQAADwAAAAAAAAABACAAAAAiAAAAZHJz&#10;L2Rvd25yZXYueG1sUEsBAhQAFAAAAAgAh07iQOhqqgbMAQAAXgMAAA4AAAAAAAAAAQAgAAAAJgEA&#10;AGRycy9lMm9Eb2MueG1sUEsFBgAAAAAGAAYAWQEAAGQFAAAAAA==&#10;">
                <v:fill on="f" focussize="0,0"/>
                <v:stroke color="#000000" joinstyle="round"/>
                <v:imagedata o:title=""/>
                <o:lock v:ext="edit" aspectratio="f"/>
              </v:line>
            </w:pict>
          </mc:Fallback>
        </mc:AlternateContent>
      </w:r>
      <w:r>
        <w:rPr>
          <w:rFonts w:hint="eastAsia"/>
        </w:rPr>
        <w:t xml:space="preserve">                                 </w:t>
      </w:r>
      <w:r>
        <w:rPr>
          <w:rFonts w:hint="eastAsia" w:hAnsi="宋体"/>
        </w:rPr>
        <w:t>绝缘子类型，ER或CR</w:t>
      </w:r>
    </w:p>
    <w:p>
      <w:pPr>
        <w:pStyle w:val="105"/>
        <w:spacing w:before="156" w:after="156"/>
      </w:pPr>
      <w:r>
        <w:rPr>
          <w:rFonts w:hint="eastAsia"/>
        </w:rPr>
        <w:t>标记</w:t>
      </w:r>
    </w:p>
    <w:p>
      <w:pPr>
        <w:pStyle w:val="56"/>
        <w:ind w:firstLine="420"/>
      </w:pPr>
      <w:r>
        <w:rPr>
          <w:rFonts w:hint="eastAsia"/>
        </w:rPr>
        <w:t>绝缘子标记按照产品名称、一次柱式锂电池类型、绝缘子外径、极柱长度、冒头高度、极柱类型、盖板结构顺序进行表示。标记示例如下：</w:t>
      </w:r>
    </w:p>
    <w:p>
      <w:pPr>
        <w:pStyle w:val="183"/>
      </w:pPr>
    </w:p>
    <w:p>
      <w:pPr>
        <w:pStyle w:val="56"/>
        <w:ind w:firstLine="420"/>
      </w:pPr>
      <w:r>
        <w:rPr>
          <w:rFonts w:hint="eastAsia"/>
        </w:rPr>
        <w:t>按本文件生产的不锈钢绝缘子，外径为9.6</w:t>
      </w:r>
      <w:r>
        <w:t xml:space="preserve"> </w:t>
      </w:r>
      <w:r>
        <w:rPr>
          <w:rFonts w:hint="eastAsia"/>
        </w:rPr>
        <w:t>mm，极柱长度22</w:t>
      </w:r>
      <w:r>
        <w:t xml:space="preserve"> </w:t>
      </w:r>
      <w:r>
        <w:rPr>
          <w:rFonts w:hint="eastAsia"/>
        </w:rPr>
        <w:t>mm，冒头高度为1.5</w:t>
      </w:r>
      <w:r>
        <w:t xml:space="preserve"> </w:t>
      </w:r>
      <w:r>
        <w:rPr>
          <w:rFonts w:hint="eastAsia"/>
        </w:rPr>
        <w:t>mm，标记为：</w:t>
      </w:r>
    </w:p>
    <w:p>
      <w:pPr>
        <w:pStyle w:val="56"/>
        <w:ind w:firstLine="0" w:firstLineChars="0"/>
        <w:jc w:val="center"/>
      </w:pPr>
      <w:r>
        <w:rPr>
          <w:rFonts w:hint="eastAsia"/>
        </w:rPr>
        <w:t>绝缘子 ER09622015</w:t>
      </w:r>
    </w:p>
    <w:p>
      <w:pPr>
        <w:pStyle w:val="183"/>
      </w:pPr>
    </w:p>
    <w:p>
      <w:pPr>
        <w:pStyle w:val="56"/>
        <w:ind w:firstLine="420"/>
      </w:pPr>
      <w:r>
        <w:rPr>
          <w:rFonts w:hint="eastAsia"/>
        </w:rPr>
        <w:t>按本文件生产的碳钢绝缘子，外径为13.5</w:t>
      </w:r>
      <w:r>
        <w:t xml:space="preserve"> </w:t>
      </w:r>
      <w:r>
        <w:rPr>
          <w:rFonts w:hint="eastAsia"/>
        </w:rPr>
        <w:t>mm，极柱长度30</w:t>
      </w:r>
      <w:r>
        <w:t xml:space="preserve"> </w:t>
      </w:r>
      <w:r>
        <w:rPr>
          <w:rFonts w:hint="eastAsia"/>
        </w:rPr>
        <w:t>mm，冒头高度为1.5</w:t>
      </w:r>
      <w:r>
        <w:t xml:space="preserve"> </w:t>
      </w:r>
      <w:r>
        <w:rPr>
          <w:rFonts w:hint="eastAsia"/>
        </w:rPr>
        <w:t>mm，极柱类型为T头型，标记为：</w:t>
      </w:r>
    </w:p>
    <w:p>
      <w:pPr>
        <w:pStyle w:val="56"/>
        <w:ind w:firstLine="0" w:firstLineChars="0"/>
        <w:jc w:val="center"/>
      </w:pPr>
      <w:r>
        <w:rPr>
          <w:rFonts w:hint="eastAsia"/>
        </w:rPr>
        <w:t>绝缘子 CR13530015</w:t>
      </w:r>
      <w:r>
        <w:t>T</w:t>
      </w:r>
    </w:p>
    <w:p>
      <w:pPr>
        <w:pStyle w:val="104"/>
        <w:spacing w:before="312" w:after="312"/>
      </w:pPr>
      <w:r>
        <w:rPr>
          <w:rFonts w:hint="eastAsia"/>
        </w:rPr>
        <w:t>技术要求</w:t>
      </w:r>
    </w:p>
    <w:p>
      <w:pPr>
        <w:pStyle w:val="105"/>
        <w:spacing w:before="156" w:after="156"/>
      </w:pPr>
      <w:r>
        <w:rPr>
          <w:rFonts w:hint="eastAsia"/>
        </w:rPr>
        <w:t>原材料</w:t>
      </w:r>
    </w:p>
    <w:p>
      <w:pPr>
        <w:pStyle w:val="56"/>
        <w:ind w:firstLine="420"/>
      </w:pPr>
      <w:r>
        <w:rPr>
          <w:rFonts w:hint="eastAsia"/>
        </w:rPr>
        <w:t>表2列出了原材料的牌号及技术要求。</w:t>
      </w:r>
    </w:p>
    <w:p>
      <w:pPr>
        <w:pStyle w:val="112"/>
        <w:spacing w:before="156" w:after="156"/>
      </w:pPr>
      <w:r>
        <w:rPr>
          <w:rFonts w:hint="eastAsia"/>
        </w:rPr>
        <w:t>原材料的牌号及技术要求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275"/>
        <w:gridCol w:w="2268"/>
        <w:gridCol w:w="48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gridSpan w:val="2"/>
            <w:tcBorders>
              <w:top w:val="single" w:color="auto" w:sz="8" w:space="0"/>
              <w:bottom w:val="single" w:color="auto" w:sz="8" w:space="0"/>
            </w:tcBorders>
            <w:shd w:val="clear" w:color="auto" w:fill="auto"/>
            <w:vAlign w:val="center"/>
          </w:tcPr>
          <w:p>
            <w:pPr>
              <w:pStyle w:val="178"/>
            </w:pPr>
            <w:r>
              <w:rPr>
                <w:rFonts w:hint="eastAsia" w:hAnsi="宋体"/>
                <w:szCs w:val="18"/>
              </w:rPr>
              <w:t>名称</w:t>
            </w:r>
          </w:p>
        </w:tc>
        <w:tc>
          <w:tcPr>
            <w:tcW w:w="2268" w:type="dxa"/>
            <w:tcBorders>
              <w:top w:val="single" w:color="auto" w:sz="8" w:space="0"/>
              <w:bottom w:val="single" w:color="auto" w:sz="8" w:space="0"/>
            </w:tcBorders>
            <w:shd w:val="clear" w:color="auto" w:fill="auto"/>
            <w:vAlign w:val="center"/>
          </w:tcPr>
          <w:p>
            <w:pPr>
              <w:pStyle w:val="178"/>
            </w:pPr>
            <w:r>
              <w:rPr>
                <w:rFonts w:hint="eastAsia" w:hAnsi="宋体"/>
                <w:szCs w:val="18"/>
              </w:rPr>
              <w:t>材料牌号</w:t>
            </w:r>
          </w:p>
        </w:tc>
        <w:tc>
          <w:tcPr>
            <w:tcW w:w="4808" w:type="dxa"/>
            <w:tcBorders>
              <w:top w:val="single" w:color="auto" w:sz="8" w:space="0"/>
              <w:bottom w:val="single" w:color="auto" w:sz="8" w:space="0"/>
            </w:tcBorders>
            <w:shd w:val="clear" w:color="auto" w:fill="auto"/>
            <w:vAlign w:val="center"/>
          </w:tcPr>
          <w:p>
            <w:pPr>
              <w:pStyle w:val="178"/>
            </w:pPr>
            <w:r>
              <w:rPr>
                <w:rFonts w:hint="eastAsia" w:hAnsi="宋体"/>
                <w:szCs w:val="18"/>
              </w:rPr>
              <w:t>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tcBorders>
              <w:top w:val="single" w:color="auto" w:sz="8" w:space="0"/>
            </w:tcBorders>
            <w:shd w:val="clear" w:color="auto" w:fill="auto"/>
            <w:vAlign w:val="center"/>
          </w:tcPr>
          <w:p>
            <w:pPr>
              <w:pStyle w:val="178"/>
            </w:pPr>
            <w:r>
              <w:rPr>
                <w:rFonts w:hint="eastAsia"/>
                <w:lang w:eastAsia="zh-CN"/>
              </w:rPr>
              <w:t>不锈钢</w:t>
            </w:r>
            <w:r>
              <w:rPr>
                <w:rFonts w:hint="eastAsia"/>
              </w:rPr>
              <w:t>板</w:t>
            </w:r>
          </w:p>
        </w:tc>
        <w:tc>
          <w:tcPr>
            <w:tcW w:w="1275" w:type="dxa"/>
            <w:vMerge w:val="restart"/>
            <w:tcBorders>
              <w:top w:val="single" w:color="auto" w:sz="8" w:space="0"/>
            </w:tcBorders>
            <w:shd w:val="clear" w:color="auto" w:fill="auto"/>
            <w:vAlign w:val="center"/>
          </w:tcPr>
          <w:p>
            <w:pPr>
              <w:pStyle w:val="178"/>
            </w:pPr>
            <w:r>
              <w:rPr>
                <w:rFonts w:hint="eastAsia" w:hAnsi="宋体"/>
                <w:szCs w:val="18"/>
              </w:rPr>
              <w:t>ER系列</w:t>
            </w:r>
          </w:p>
        </w:tc>
        <w:tc>
          <w:tcPr>
            <w:tcW w:w="2268" w:type="dxa"/>
            <w:tcBorders>
              <w:top w:val="single" w:color="auto" w:sz="8" w:space="0"/>
            </w:tcBorders>
            <w:shd w:val="clear" w:color="auto" w:fill="auto"/>
            <w:vAlign w:val="center"/>
          </w:tcPr>
          <w:p>
            <w:pPr>
              <w:pStyle w:val="178"/>
            </w:pPr>
            <w:r>
              <w:rPr>
                <w:rFonts w:hint="eastAsia"/>
              </w:rPr>
              <w:t>0</w:t>
            </w:r>
            <w:r>
              <w:t>6C</w:t>
            </w:r>
            <w:r>
              <w:rPr>
                <w:rFonts w:hint="eastAsia"/>
              </w:rPr>
              <w:t>r</w:t>
            </w:r>
            <w:r>
              <w:t>19Ni10</w:t>
            </w:r>
          </w:p>
        </w:tc>
        <w:tc>
          <w:tcPr>
            <w:tcW w:w="4808" w:type="dxa"/>
            <w:tcBorders>
              <w:top w:val="single" w:color="auto" w:sz="8" w:space="0"/>
            </w:tcBorders>
            <w:shd w:val="clear" w:color="auto" w:fill="auto"/>
            <w:vAlign w:val="center"/>
          </w:tcPr>
          <w:p>
            <w:pPr>
              <w:pStyle w:val="178"/>
            </w:pPr>
            <w:r>
              <w:rPr>
                <w:rFonts w:hint="eastAsia" w:hAnsi="宋体"/>
                <w:szCs w:val="18"/>
              </w:rPr>
              <w:t>化学成分</w:t>
            </w:r>
            <w:r>
              <w:rPr>
                <w:rFonts w:hAnsi="宋体"/>
                <w:szCs w:val="18"/>
              </w:rPr>
              <w:t>应符合</w:t>
            </w:r>
            <w:r>
              <w:rPr>
                <w:rFonts w:hint="eastAsia" w:hAnsi="宋体"/>
                <w:szCs w:val="18"/>
              </w:rPr>
              <w:t>GB/T 24511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top w:val="single" w:color="auto" w:sz="8" w:space="0"/>
            </w:tcBorders>
            <w:shd w:val="clear" w:color="auto" w:fill="auto"/>
            <w:vAlign w:val="center"/>
          </w:tcPr>
          <w:p>
            <w:pPr>
              <w:pStyle w:val="178"/>
            </w:pPr>
          </w:p>
        </w:tc>
        <w:tc>
          <w:tcPr>
            <w:tcW w:w="1275" w:type="dxa"/>
            <w:vMerge w:val="continue"/>
            <w:shd w:val="clear" w:color="auto" w:fill="auto"/>
            <w:vAlign w:val="center"/>
          </w:tcPr>
          <w:p>
            <w:pPr>
              <w:pStyle w:val="178"/>
              <w:rPr>
                <w:rFonts w:hAnsi="宋体"/>
                <w:szCs w:val="18"/>
              </w:rPr>
            </w:pPr>
          </w:p>
        </w:tc>
        <w:tc>
          <w:tcPr>
            <w:tcW w:w="2268" w:type="dxa"/>
            <w:tcBorders>
              <w:top w:val="single" w:color="auto" w:sz="8" w:space="0"/>
            </w:tcBorders>
            <w:shd w:val="clear" w:color="auto" w:fill="auto"/>
            <w:vAlign w:val="center"/>
          </w:tcPr>
          <w:p>
            <w:pPr>
              <w:pStyle w:val="178"/>
            </w:pPr>
            <w:r>
              <w:t>12C</w:t>
            </w:r>
            <w:r>
              <w:rPr>
                <w:rFonts w:hint="eastAsia"/>
              </w:rPr>
              <w:t>r</w:t>
            </w:r>
            <w:r>
              <w:t>18Ni9</w:t>
            </w:r>
          </w:p>
        </w:tc>
        <w:tc>
          <w:tcPr>
            <w:tcW w:w="4808" w:type="dxa"/>
            <w:tcBorders>
              <w:top w:val="single" w:color="auto" w:sz="8" w:space="0"/>
            </w:tcBorders>
            <w:shd w:val="clear" w:color="auto" w:fill="auto"/>
            <w:vAlign w:val="center"/>
          </w:tcPr>
          <w:p>
            <w:pPr>
              <w:pStyle w:val="178"/>
              <w:rPr>
                <w:rFonts w:hAnsi="宋体"/>
                <w:szCs w:val="18"/>
              </w:rPr>
            </w:pPr>
            <w:r>
              <w:rPr>
                <w:rFonts w:hint="eastAsia" w:hAnsi="宋体"/>
                <w:szCs w:val="18"/>
              </w:rPr>
              <w:t>化学成分</w:t>
            </w:r>
            <w:r>
              <w:rPr>
                <w:rFonts w:hAnsi="宋体"/>
                <w:szCs w:val="18"/>
              </w:rPr>
              <w:t>应符合</w:t>
            </w:r>
            <w:r>
              <w:rPr>
                <w:rFonts w:hint="eastAsia" w:hAnsi="宋体"/>
                <w:szCs w:val="18"/>
              </w:rPr>
              <w:t>GB/T</w:t>
            </w:r>
            <w:r>
              <w:rPr>
                <w:rFonts w:hAnsi="宋体"/>
                <w:szCs w:val="18"/>
              </w:rPr>
              <w:t xml:space="preserve"> 3280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pPr>
              <w:pStyle w:val="178"/>
            </w:pPr>
          </w:p>
        </w:tc>
        <w:tc>
          <w:tcPr>
            <w:tcW w:w="1275" w:type="dxa"/>
            <w:shd w:val="clear" w:color="auto" w:fill="auto"/>
            <w:vAlign w:val="center"/>
          </w:tcPr>
          <w:p>
            <w:pPr>
              <w:pStyle w:val="178"/>
            </w:pPr>
            <w:r>
              <w:rPr>
                <w:rFonts w:hint="eastAsia" w:hAnsi="宋体"/>
                <w:szCs w:val="18"/>
              </w:rPr>
              <w:t>CR系列</w:t>
            </w:r>
          </w:p>
        </w:tc>
        <w:tc>
          <w:tcPr>
            <w:tcW w:w="2268" w:type="dxa"/>
            <w:shd w:val="clear" w:color="auto" w:fill="auto"/>
            <w:vAlign w:val="center"/>
          </w:tcPr>
          <w:p>
            <w:pPr>
              <w:pStyle w:val="178"/>
            </w:pPr>
            <w:r>
              <w:rPr>
                <w:rFonts w:hint="eastAsia"/>
              </w:rPr>
              <w:t>D</w:t>
            </w:r>
            <w:r>
              <w:t>C01</w:t>
            </w:r>
          </w:p>
        </w:tc>
        <w:tc>
          <w:tcPr>
            <w:tcW w:w="4808" w:type="dxa"/>
            <w:shd w:val="clear" w:color="auto" w:fill="auto"/>
            <w:vAlign w:val="center"/>
          </w:tcPr>
          <w:p>
            <w:pPr>
              <w:pStyle w:val="178"/>
            </w:pPr>
            <w:r>
              <w:rPr>
                <w:rFonts w:hint="eastAsia" w:hAnsi="宋体"/>
                <w:szCs w:val="18"/>
              </w:rPr>
              <w:t>化学成分</w:t>
            </w:r>
            <w:r>
              <w:rPr>
                <w:rFonts w:hAnsi="宋体"/>
                <w:szCs w:val="18"/>
              </w:rPr>
              <w:t>应符合</w:t>
            </w:r>
            <w:r>
              <w:rPr>
                <w:rFonts w:hint="eastAsia" w:hAnsi="宋体"/>
                <w:szCs w:val="18"/>
              </w:rPr>
              <w:t>GB/T 5213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gridSpan w:val="2"/>
            <w:vMerge w:val="restart"/>
            <w:shd w:val="clear" w:color="auto" w:fill="auto"/>
            <w:vAlign w:val="center"/>
          </w:tcPr>
          <w:p>
            <w:pPr>
              <w:pStyle w:val="178"/>
            </w:pPr>
            <w:r>
              <w:rPr>
                <w:rFonts w:hint="eastAsia"/>
              </w:rPr>
              <w:t>极柱</w:t>
            </w:r>
          </w:p>
        </w:tc>
        <w:tc>
          <w:tcPr>
            <w:tcW w:w="2268" w:type="dxa"/>
            <w:shd w:val="clear" w:color="auto" w:fill="auto"/>
            <w:vAlign w:val="center"/>
          </w:tcPr>
          <w:p>
            <w:pPr>
              <w:pStyle w:val="178"/>
            </w:pPr>
            <w:r>
              <w:rPr>
                <w:rFonts w:hint="eastAsia" w:hAnsi="宋体"/>
                <w:szCs w:val="18"/>
              </w:rPr>
              <w:t>4J28</w:t>
            </w:r>
          </w:p>
        </w:tc>
        <w:tc>
          <w:tcPr>
            <w:tcW w:w="4808" w:type="dxa"/>
            <w:shd w:val="clear" w:color="auto" w:fill="auto"/>
            <w:vAlign w:val="center"/>
          </w:tcPr>
          <w:p>
            <w:pPr>
              <w:pStyle w:val="178"/>
            </w:pPr>
            <w:r>
              <w:rPr>
                <w:rFonts w:hint="eastAsia" w:hAnsi="宋体"/>
                <w:szCs w:val="18"/>
              </w:rPr>
              <w:t>化学成分</w:t>
            </w:r>
            <w:r>
              <w:rPr>
                <w:rFonts w:hAnsi="宋体"/>
                <w:szCs w:val="18"/>
              </w:rPr>
              <w:t>应符合</w:t>
            </w:r>
            <w:r>
              <w:rPr>
                <w:rFonts w:hint="eastAsia" w:hAnsi="宋体"/>
                <w:szCs w:val="18"/>
              </w:rPr>
              <w:t>YB/T</w:t>
            </w:r>
            <w:r>
              <w:rPr>
                <w:rFonts w:hAnsi="宋体"/>
                <w:szCs w:val="18"/>
              </w:rPr>
              <w:t xml:space="preserve"> </w:t>
            </w:r>
            <w:r>
              <w:rPr>
                <w:rFonts w:hint="eastAsia" w:hAnsi="宋体"/>
                <w:szCs w:val="18"/>
              </w:rPr>
              <w:t>5240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gridSpan w:val="2"/>
            <w:vMerge w:val="continue"/>
            <w:shd w:val="clear" w:color="auto" w:fill="auto"/>
            <w:vAlign w:val="center"/>
          </w:tcPr>
          <w:p>
            <w:pPr>
              <w:pStyle w:val="178"/>
            </w:pPr>
          </w:p>
        </w:tc>
        <w:tc>
          <w:tcPr>
            <w:tcW w:w="2268" w:type="dxa"/>
            <w:shd w:val="clear" w:color="auto" w:fill="auto"/>
            <w:vAlign w:val="center"/>
          </w:tcPr>
          <w:p>
            <w:pPr>
              <w:pStyle w:val="178"/>
            </w:pPr>
            <w:r>
              <w:rPr>
                <w:rFonts w:hint="eastAsia" w:hAnsi="宋体"/>
                <w:szCs w:val="18"/>
              </w:rPr>
              <w:t>4J</w:t>
            </w:r>
            <w:r>
              <w:rPr>
                <w:rFonts w:hAnsi="宋体"/>
                <w:szCs w:val="18"/>
              </w:rPr>
              <w:t>50</w:t>
            </w:r>
          </w:p>
        </w:tc>
        <w:tc>
          <w:tcPr>
            <w:tcW w:w="4808" w:type="dxa"/>
            <w:shd w:val="clear" w:color="auto" w:fill="auto"/>
            <w:vAlign w:val="center"/>
          </w:tcPr>
          <w:p>
            <w:pPr>
              <w:pStyle w:val="178"/>
            </w:pPr>
            <w:r>
              <w:rPr>
                <w:rFonts w:hint="eastAsia" w:hAnsi="宋体"/>
                <w:szCs w:val="18"/>
              </w:rPr>
              <w:t>化学成分</w:t>
            </w:r>
            <w:r>
              <w:rPr>
                <w:rFonts w:hAnsi="宋体"/>
                <w:szCs w:val="18"/>
              </w:rPr>
              <w:t>应符合</w:t>
            </w:r>
            <w:r>
              <w:rPr>
                <w:rFonts w:hint="eastAsia" w:hAnsi="宋体"/>
                <w:szCs w:val="18"/>
              </w:rPr>
              <w:t>YB/T 5235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gridSpan w:val="2"/>
            <w:vMerge w:val="continue"/>
            <w:shd w:val="clear" w:color="auto" w:fill="auto"/>
            <w:vAlign w:val="center"/>
          </w:tcPr>
          <w:p>
            <w:pPr>
              <w:pStyle w:val="178"/>
            </w:pPr>
          </w:p>
        </w:tc>
        <w:tc>
          <w:tcPr>
            <w:tcW w:w="2268" w:type="dxa"/>
            <w:shd w:val="clear" w:color="auto" w:fill="auto"/>
            <w:vAlign w:val="center"/>
          </w:tcPr>
          <w:p>
            <w:pPr>
              <w:pStyle w:val="178"/>
            </w:pPr>
            <w:r>
              <w:rPr>
                <w:rFonts w:hint="eastAsia" w:hAnsi="宋体"/>
                <w:szCs w:val="18"/>
              </w:rPr>
              <w:t>M</w:t>
            </w:r>
            <w:r>
              <w:rPr>
                <w:rFonts w:hAnsi="宋体"/>
                <w:szCs w:val="18"/>
              </w:rPr>
              <w:t>o1</w:t>
            </w:r>
          </w:p>
        </w:tc>
        <w:tc>
          <w:tcPr>
            <w:tcW w:w="4808" w:type="dxa"/>
            <w:shd w:val="clear" w:color="auto" w:fill="auto"/>
            <w:vAlign w:val="center"/>
          </w:tcPr>
          <w:p>
            <w:pPr>
              <w:pStyle w:val="178"/>
            </w:pPr>
            <w:r>
              <w:rPr>
                <w:rFonts w:hint="eastAsia" w:hAnsi="宋体"/>
                <w:szCs w:val="18"/>
              </w:rPr>
              <w:t>化学成分</w:t>
            </w:r>
            <w:r>
              <w:rPr>
                <w:rFonts w:hAnsi="宋体"/>
                <w:szCs w:val="18"/>
              </w:rPr>
              <w:t>应符合GB/T</w:t>
            </w:r>
            <w:r>
              <w:rPr>
                <w:rFonts w:hint="eastAsia" w:hAnsi="宋体"/>
                <w:szCs w:val="18"/>
              </w:rPr>
              <w:t xml:space="preserve"> </w:t>
            </w:r>
            <w:r>
              <w:rPr>
                <w:rFonts w:hAnsi="宋体"/>
                <w:szCs w:val="18"/>
              </w:rPr>
              <w:t>4182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gridSpan w:val="2"/>
            <w:vMerge w:val="restart"/>
            <w:shd w:val="clear" w:color="auto" w:fill="auto"/>
            <w:vAlign w:val="center"/>
          </w:tcPr>
          <w:p>
            <w:pPr>
              <w:pStyle w:val="178"/>
              <w:rPr>
                <w:rFonts w:hint="eastAsia" w:eastAsia="宋体"/>
                <w:lang w:eastAsia="zh-CN"/>
              </w:rPr>
            </w:pPr>
            <w:r>
              <w:rPr>
                <w:rFonts w:hint="eastAsia"/>
              </w:rPr>
              <w:t>玻璃</w:t>
            </w:r>
            <w:r>
              <w:rPr>
                <w:rFonts w:hint="eastAsia"/>
                <w:lang w:eastAsia="zh-CN"/>
              </w:rPr>
              <w:t>粉</w:t>
            </w:r>
          </w:p>
        </w:tc>
        <w:tc>
          <w:tcPr>
            <w:tcW w:w="2268" w:type="dxa"/>
            <w:shd w:val="clear" w:color="auto" w:fill="auto"/>
            <w:vAlign w:val="center"/>
          </w:tcPr>
          <w:p>
            <w:pPr>
              <w:pStyle w:val="178"/>
            </w:pPr>
            <w:r>
              <w:rPr>
                <w:rFonts w:hint="eastAsia" w:hAnsi="宋体"/>
                <w:szCs w:val="18"/>
              </w:rPr>
              <w:t>13#粉</w:t>
            </w:r>
            <w:r>
              <w:rPr>
                <w:rFonts w:hint="eastAsia"/>
              </w:rPr>
              <w:t>或等同玻璃材料</w:t>
            </w:r>
          </w:p>
        </w:tc>
        <w:tc>
          <w:tcPr>
            <w:tcW w:w="4808" w:type="dxa"/>
            <w:shd w:val="clear" w:color="auto" w:fill="auto"/>
            <w:vAlign w:val="center"/>
          </w:tcPr>
          <w:p>
            <w:pPr>
              <w:pStyle w:val="178"/>
            </w:pPr>
            <w:r>
              <w:rPr>
                <w:rFonts w:hint="eastAsia" w:hAnsi="宋体"/>
                <w:szCs w:val="18"/>
              </w:rPr>
              <w:t>平均线热膨胀系数，</w:t>
            </w:r>
            <w:r>
              <w:rPr>
                <w:rFonts w:hAnsi="宋体"/>
                <w:szCs w:val="18"/>
              </w:rPr>
              <w:t>89±5×</w:t>
            </w:r>
            <w:r>
              <w:rPr>
                <w:rFonts w:hint="eastAsia" w:hAnsi="宋体"/>
                <w:szCs w:val="18"/>
              </w:rPr>
              <w:t>10</w:t>
            </w:r>
            <w:r>
              <w:rPr>
                <w:rFonts w:hint="eastAsia" w:hAnsi="宋体"/>
                <w:szCs w:val="18"/>
                <w:vertAlign w:val="superscript"/>
              </w:rPr>
              <w:t>-7</w:t>
            </w:r>
            <w:r>
              <w:rPr>
                <w:rFonts w:hint="eastAsia" w:hAnsi="宋体"/>
                <w:szCs w:val="18"/>
              </w:rPr>
              <w:t>/℃（0～</w:t>
            </w:r>
            <w:r>
              <w:rPr>
                <w:rFonts w:hAnsi="宋体"/>
                <w:szCs w:val="18"/>
              </w:rPr>
              <w:t>300℃</w:t>
            </w: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gridSpan w:val="2"/>
            <w:vMerge w:val="continue"/>
            <w:shd w:val="clear" w:color="auto" w:fill="auto"/>
            <w:vAlign w:val="center"/>
          </w:tcPr>
          <w:p>
            <w:pPr>
              <w:pStyle w:val="178"/>
            </w:pPr>
          </w:p>
        </w:tc>
        <w:tc>
          <w:tcPr>
            <w:tcW w:w="2268" w:type="dxa"/>
            <w:shd w:val="clear" w:color="auto" w:fill="auto"/>
            <w:vAlign w:val="center"/>
          </w:tcPr>
          <w:p>
            <w:pPr>
              <w:pStyle w:val="178"/>
            </w:pPr>
            <w:r>
              <w:rPr>
                <w:rFonts w:hint="eastAsia" w:hAnsi="宋体"/>
                <w:szCs w:val="18"/>
              </w:rPr>
              <w:t>19#粉</w:t>
            </w:r>
            <w:r>
              <w:rPr>
                <w:rFonts w:hint="eastAsia"/>
              </w:rPr>
              <w:t>或等同玻璃材料</w:t>
            </w:r>
          </w:p>
        </w:tc>
        <w:tc>
          <w:tcPr>
            <w:tcW w:w="4808" w:type="dxa"/>
            <w:shd w:val="clear" w:color="auto" w:fill="auto"/>
            <w:vAlign w:val="center"/>
          </w:tcPr>
          <w:p>
            <w:pPr>
              <w:pStyle w:val="178"/>
            </w:pPr>
            <w:r>
              <w:rPr>
                <w:rFonts w:hint="eastAsia" w:hAnsi="宋体"/>
                <w:szCs w:val="18"/>
              </w:rPr>
              <w:t>平均线热膨胀系数，</w:t>
            </w:r>
            <w:r>
              <w:rPr>
                <w:rFonts w:hAnsi="宋体"/>
                <w:szCs w:val="18"/>
              </w:rPr>
              <w:t>57±5×</w:t>
            </w:r>
            <w:r>
              <w:rPr>
                <w:rFonts w:hint="eastAsia" w:hAnsi="宋体"/>
                <w:szCs w:val="18"/>
              </w:rPr>
              <w:t>10</w:t>
            </w:r>
            <w:r>
              <w:rPr>
                <w:rFonts w:hint="eastAsia" w:hAnsi="宋体"/>
                <w:szCs w:val="18"/>
                <w:vertAlign w:val="superscript"/>
              </w:rPr>
              <w:t>-7</w:t>
            </w:r>
            <w:r>
              <w:rPr>
                <w:rFonts w:hint="eastAsia" w:hAnsi="宋体"/>
                <w:szCs w:val="18"/>
              </w:rPr>
              <w:t>/℃（0～</w:t>
            </w:r>
            <w:r>
              <w:rPr>
                <w:rFonts w:hAnsi="宋体"/>
                <w:szCs w:val="18"/>
              </w:rPr>
              <w:t>300℃</w:t>
            </w:r>
            <w:r>
              <w:rPr>
                <w:rFonts w:hint="eastAsia" w:hAnsi="宋体"/>
                <w:szCs w:val="18"/>
              </w:rPr>
              <w:t>）</w:t>
            </w:r>
          </w:p>
        </w:tc>
      </w:tr>
    </w:tbl>
    <w:p>
      <w:pPr>
        <w:pStyle w:val="105"/>
        <w:spacing w:before="156" w:after="156"/>
      </w:pPr>
      <w:r>
        <w:rPr>
          <w:rFonts w:hint="eastAsia"/>
        </w:rPr>
        <w:t>产品</w:t>
      </w:r>
    </w:p>
    <w:p>
      <w:pPr>
        <w:pStyle w:val="165"/>
      </w:pPr>
      <w:r>
        <w:rPr>
          <w:rFonts w:hint="eastAsia"/>
        </w:rPr>
        <w:t>型号及尺寸</w:t>
      </w:r>
    </w:p>
    <w:p>
      <w:pPr>
        <w:pStyle w:val="56"/>
        <w:ind w:firstLine="420"/>
      </w:pPr>
      <w:r>
        <w:rPr>
          <w:rFonts w:hint="eastAsia"/>
        </w:rPr>
        <w:t>表3列出了部分绝缘子的型号及尺寸。</w:t>
      </w:r>
    </w:p>
    <w:p>
      <w:pPr>
        <w:pStyle w:val="56"/>
        <w:ind w:firstLine="420"/>
      </w:pPr>
    </w:p>
    <w:p>
      <w:pPr>
        <w:pStyle w:val="56"/>
        <w:ind w:firstLine="420"/>
      </w:pPr>
    </w:p>
    <w:p>
      <w:pPr>
        <w:pStyle w:val="56"/>
        <w:ind w:firstLine="420"/>
      </w:pPr>
    </w:p>
    <w:p>
      <w:pPr>
        <w:pStyle w:val="56"/>
        <w:ind w:firstLine="420"/>
      </w:pPr>
    </w:p>
    <w:p>
      <w:pPr>
        <w:pStyle w:val="112"/>
        <w:spacing w:before="156" w:after="156"/>
      </w:pPr>
      <w:r>
        <w:rPr>
          <w:rFonts w:hint="eastAsia"/>
        </w:rPr>
        <w:t>部分绝缘子的型号及尺寸表</w:t>
      </w:r>
    </w:p>
    <w:p>
      <w:pPr>
        <w:pStyle w:val="56"/>
        <w:ind w:right="180" w:firstLine="360"/>
        <w:jc w:val="right"/>
      </w:pPr>
      <w:r>
        <w:rPr>
          <w:rFonts w:hint="eastAsia" w:hAnsi="宋体"/>
          <w:bCs/>
          <w:sz w:val="18"/>
          <w:szCs w:val="18"/>
        </w:rPr>
        <w:t>单位为毫米</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21"/>
        <w:gridCol w:w="1245"/>
        <w:gridCol w:w="1555"/>
        <w:gridCol w:w="1445"/>
        <w:gridCol w:w="1500"/>
        <w:gridCol w:w="20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5" w:hRule="atLeast"/>
          <w:tblHeader/>
          <w:jc w:val="center"/>
        </w:trPr>
        <w:tc>
          <w:tcPr>
            <w:tcW w:w="1321"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型号</w:t>
            </w:r>
          </w:p>
        </w:tc>
        <w:tc>
          <w:tcPr>
            <w:tcW w:w="124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外径（φ）</w:t>
            </w:r>
          </w:p>
        </w:tc>
        <w:tc>
          <w:tcPr>
            <w:tcW w:w="155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极柱长度（H）</w:t>
            </w:r>
          </w:p>
        </w:tc>
        <w:tc>
          <w:tcPr>
            <w:tcW w:w="1445" w:type="dxa"/>
            <w:shd w:val="clear" w:color="auto" w:fill="auto"/>
            <w:vAlign w:val="center"/>
          </w:tcPr>
          <w:p>
            <w:pPr>
              <w:spacing w:line="240" w:lineRule="auto"/>
              <w:jc w:val="center"/>
              <w:rPr>
                <w:rFonts w:ascii="宋体" w:hAnsi="宋体"/>
                <w:bCs/>
                <w:sz w:val="18"/>
                <w:szCs w:val="18"/>
                <w:vertAlign w:val="subscript"/>
              </w:rPr>
            </w:pPr>
            <w:r>
              <w:rPr>
                <w:rFonts w:hint="eastAsia" w:ascii="宋体" w:hAnsi="宋体"/>
                <w:bCs/>
                <w:sz w:val="18"/>
                <w:szCs w:val="18"/>
              </w:rPr>
              <w:t>冒头尺寸（h</w:t>
            </w:r>
            <w:r>
              <w:rPr>
                <w:rFonts w:hint="eastAsia" w:ascii="宋体" w:hAnsi="宋体"/>
                <w:bCs/>
                <w:sz w:val="18"/>
                <w:szCs w:val="18"/>
                <w:vertAlign w:val="subscript"/>
              </w:rPr>
              <w:t>1</w:t>
            </w:r>
            <w:r>
              <w:rPr>
                <w:rFonts w:hint="eastAsia" w:ascii="宋体" w:hAnsi="宋体"/>
                <w:bCs/>
                <w:sz w:val="18"/>
                <w:szCs w:val="18"/>
              </w:rPr>
              <w:t>）</w:t>
            </w:r>
          </w:p>
        </w:tc>
        <w:tc>
          <w:tcPr>
            <w:tcW w:w="1500" w:type="dxa"/>
            <w:shd w:val="clear" w:color="auto" w:fill="auto"/>
            <w:vAlign w:val="center"/>
          </w:tcPr>
          <w:p>
            <w:pPr>
              <w:spacing w:line="240" w:lineRule="auto"/>
              <w:jc w:val="center"/>
              <w:rPr>
                <w:rFonts w:ascii="宋体" w:hAnsi="宋体"/>
                <w:bCs/>
                <w:sz w:val="18"/>
                <w:szCs w:val="18"/>
                <w:vertAlign w:val="subscript"/>
              </w:rPr>
            </w:pPr>
            <w:r>
              <w:rPr>
                <w:rFonts w:hint="eastAsia" w:ascii="宋体" w:hAnsi="宋体"/>
                <w:bCs/>
                <w:sz w:val="18"/>
                <w:szCs w:val="18"/>
              </w:rPr>
              <w:t>极柱直径（φ</w:t>
            </w:r>
            <w:r>
              <w:rPr>
                <w:rFonts w:hint="eastAsia" w:ascii="宋体" w:hAnsi="宋体"/>
                <w:bCs/>
                <w:sz w:val="18"/>
                <w:szCs w:val="18"/>
                <w:vertAlign w:val="subscript"/>
              </w:rPr>
              <w:t>1</w:t>
            </w:r>
            <w:r>
              <w:rPr>
                <w:rFonts w:hint="eastAsia" w:ascii="宋体" w:hAnsi="宋体"/>
                <w:bCs/>
                <w:sz w:val="18"/>
                <w:szCs w:val="18"/>
              </w:rPr>
              <w:t>）</w:t>
            </w:r>
          </w:p>
        </w:tc>
        <w:tc>
          <w:tcPr>
            <w:tcW w:w="2083"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注液孔距离中孔距离L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321"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ER13521015</w:t>
            </w:r>
          </w:p>
        </w:tc>
        <w:tc>
          <w:tcPr>
            <w:tcW w:w="1245" w:type="dxa"/>
            <w:shd w:val="clear" w:color="auto" w:fill="auto"/>
            <w:vAlign w:val="center"/>
          </w:tcPr>
          <w:p>
            <w:pPr>
              <w:jc w:val="center"/>
              <w:rPr>
                <w:rFonts w:ascii="宋体" w:hAnsi="宋体"/>
                <w:bCs/>
                <w:sz w:val="18"/>
                <w:szCs w:val="18"/>
              </w:rPr>
            </w:pPr>
            <w:r>
              <w:rPr>
                <w:rFonts w:hint="eastAsia" w:ascii="宋体" w:hAnsi="宋体"/>
                <w:bCs/>
                <w:sz w:val="18"/>
                <w:szCs w:val="18"/>
              </w:rPr>
              <w:t>13.5</w:t>
            </w:r>
            <w:r>
              <w:rPr>
                <w:rFonts w:hint="eastAsia" w:ascii="宋体" w:hAnsi="宋体"/>
                <w:bCs/>
                <w:sz w:val="18"/>
                <w:szCs w:val="18"/>
                <w:eastAsianLayout w:id="25" w:combine="1"/>
              </w:rPr>
              <w:t>+0.04  0</w:t>
            </w:r>
          </w:p>
        </w:tc>
        <w:tc>
          <w:tcPr>
            <w:tcW w:w="155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21±0.2</w:t>
            </w:r>
          </w:p>
        </w:tc>
        <w:tc>
          <w:tcPr>
            <w:tcW w:w="144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1.5±0.2</w:t>
            </w:r>
          </w:p>
        </w:tc>
        <w:tc>
          <w:tcPr>
            <w:tcW w:w="1500"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2.0±0.2</w:t>
            </w:r>
          </w:p>
        </w:tc>
        <w:tc>
          <w:tcPr>
            <w:tcW w:w="2083"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4.5±0.1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321"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CR13530015</w:t>
            </w:r>
          </w:p>
        </w:tc>
        <w:tc>
          <w:tcPr>
            <w:tcW w:w="1245" w:type="dxa"/>
            <w:shd w:val="clear" w:color="auto" w:fill="auto"/>
            <w:vAlign w:val="center"/>
          </w:tcPr>
          <w:p>
            <w:pPr>
              <w:jc w:val="center"/>
              <w:rPr>
                <w:rFonts w:ascii="宋体" w:hAnsi="宋体"/>
                <w:bCs/>
                <w:sz w:val="18"/>
                <w:szCs w:val="18"/>
              </w:rPr>
            </w:pPr>
            <w:r>
              <w:rPr>
                <w:rFonts w:hint="eastAsia" w:ascii="宋体" w:hAnsi="宋体"/>
                <w:bCs/>
                <w:sz w:val="18"/>
                <w:szCs w:val="18"/>
              </w:rPr>
              <w:t>13.5</w:t>
            </w:r>
            <w:r>
              <w:rPr>
                <w:rFonts w:hint="eastAsia" w:ascii="宋体" w:hAnsi="宋体"/>
                <w:bCs/>
                <w:sz w:val="18"/>
                <w:szCs w:val="18"/>
                <w:eastAsianLayout w:id="26" w:combine="1"/>
              </w:rPr>
              <w:t>+0.04  0</w:t>
            </w:r>
          </w:p>
        </w:tc>
        <w:tc>
          <w:tcPr>
            <w:tcW w:w="155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30±0.2</w:t>
            </w:r>
          </w:p>
        </w:tc>
        <w:tc>
          <w:tcPr>
            <w:tcW w:w="144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1.5±0.2</w:t>
            </w:r>
          </w:p>
        </w:tc>
        <w:tc>
          <w:tcPr>
            <w:tcW w:w="1500"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2.0±0.2</w:t>
            </w:r>
          </w:p>
        </w:tc>
        <w:tc>
          <w:tcPr>
            <w:tcW w:w="2083"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4.5±0.1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321"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ER13546015T</w:t>
            </w:r>
          </w:p>
        </w:tc>
        <w:tc>
          <w:tcPr>
            <w:tcW w:w="1245" w:type="dxa"/>
            <w:shd w:val="clear" w:color="auto" w:fill="auto"/>
            <w:vAlign w:val="center"/>
          </w:tcPr>
          <w:p>
            <w:pPr>
              <w:jc w:val="center"/>
              <w:rPr>
                <w:rFonts w:ascii="宋体" w:hAnsi="宋体"/>
                <w:bCs/>
                <w:sz w:val="18"/>
                <w:szCs w:val="18"/>
              </w:rPr>
            </w:pPr>
            <w:r>
              <w:rPr>
                <w:rFonts w:hint="eastAsia" w:ascii="宋体" w:hAnsi="宋体"/>
                <w:bCs/>
                <w:sz w:val="18"/>
                <w:szCs w:val="18"/>
              </w:rPr>
              <w:t>13.5</w:t>
            </w:r>
            <w:r>
              <w:rPr>
                <w:rFonts w:hint="eastAsia" w:ascii="宋体" w:hAnsi="宋体"/>
                <w:bCs/>
                <w:sz w:val="18"/>
                <w:szCs w:val="18"/>
                <w:eastAsianLayout w:id="27" w:combine="1"/>
              </w:rPr>
              <w:t>+0.04  0</w:t>
            </w:r>
          </w:p>
        </w:tc>
        <w:tc>
          <w:tcPr>
            <w:tcW w:w="155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46±0.2</w:t>
            </w:r>
          </w:p>
        </w:tc>
        <w:tc>
          <w:tcPr>
            <w:tcW w:w="144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1.5±0.2</w:t>
            </w:r>
          </w:p>
        </w:tc>
        <w:tc>
          <w:tcPr>
            <w:tcW w:w="1500"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2.0±0.2</w:t>
            </w:r>
          </w:p>
        </w:tc>
        <w:tc>
          <w:tcPr>
            <w:tcW w:w="2083"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4.5±0.1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321"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ER15946015</w:t>
            </w:r>
          </w:p>
        </w:tc>
        <w:tc>
          <w:tcPr>
            <w:tcW w:w="1245" w:type="dxa"/>
            <w:shd w:val="clear" w:color="auto" w:fill="auto"/>
            <w:vAlign w:val="center"/>
          </w:tcPr>
          <w:p>
            <w:pPr>
              <w:jc w:val="center"/>
              <w:rPr>
                <w:rFonts w:ascii="宋体" w:hAnsi="宋体"/>
                <w:bCs/>
                <w:sz w:val="18"/>
                <w:szCs w:val="18"/>
              </w:rPr>
            </w:pPr>
            <w:r>
              <w:rPr>
                <w:rFonts w:hint="eastAsia" w:ascii="宋体" w:hAnsi="宋体"/>
                <w:bCs/>
                <w:sz w:val="18"/>
                <w:szCs w:val="18"/>
              </w:rPr>
              <w:t>15.9</w:t>
            </w:r>
            <w:r>
              <w:rPr>
                <w:rFonts w:hint="eastAsia" w:ascii="宋体" w:hAnsi="宋体"/>
                <w:bCs/>
                <w:sz w:val="18"/>
                <w:szCs w:val="18"/>
                <w:eastAsianLayout w:id="28" w:combine="1"/>
              </w:rPr>
              <w:t>+0.03  0</w:t>
            </w:r>
          </w:p>
        </w:tc>
        <w:tc>
          <w:tcPr>
            <w:tcW w:w="155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46±0.2</w:t>
            </w:r>
          </w:p>
        </w:tc>
        <w:tc>
          <w:tcPr>
            <w:tcW w:w="144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1.5±0.2</w:t>
            </w:r>
          </w:p>
        </w:tc>
        <w:tc>
          <w:tcPr>
            <w:tcW w:w="1500"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2.0±0.2</w:t>
            </w:r>
          </w:p>
        </w:tc>
        <w:tc>
          <w:tcPr>
            <w:tcW w:w="2083"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5.5±0.1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321"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ER15931015T</w:t>
            </w:r>
          </w:p>
        </w:tc>
        <w:tc>
          <w:tcPr>
            <w:tcW w:w="1245" w:type="dxa"/>
            <w:shd w:val="clear" w:color="auto" w:fill="auto"/>
            <w:vAlign w:val="center"/>
          </w:tcPr>
          <w:p>
            <w:pPr>
              <w:jc w:val="center"/>
              <w:rPr>
                <w:rFonts w:ascii="宋体" w:hAnsi="宋体"/>
                <w:bCs/>
                <w:sz w:val="18"/>
                <w:szCs w:val="18"/>
              </w:rPr>
            </w:pPr>
            <w:r>
              <w:rPr>
                <w:rFonts w:hint="eastAsia" w:ascii="宋体" w:hAnsi="宋体"/>
                <w:bCs/>
                <w:sz w:val="18"/>
                <w:szCs w:val="18"/>
              </w:rPr>
              <w:t>15.9</w:t>
            </w:r>
            <w:r>
              <w:rPr>
                <w:rFonts w:hint="eastAsia" w:ascii="宋体" w:hAnsi="宋体"/>
                <w:bCs/>
                <w:sz w:val="18"/>
                <w:szCs w:val="18"/>
                <w:eastAsianLayout w:id="29" w:combine="1"/>
              </w:rPr>
              <w:t>+0.03  0</w:t>
            </w:r>
          </w:p>
        </w:tc>
        <w:tc>
          <w:tcPr>
            <w:tcW w:w="155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31±0.2</w:t>
            </w:r>
          </w:p>
        </w:tc>
        <w:tc>
          <w:tcPr>
            <w:tcW w:w="144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1.5±0.2</w:t>
            </w:r>
          </w:p>
        </w:tc>
        <w:tc>
          <w:tcPr>
            <w:tcW w:w="1500"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2.0±0.2</w:t>
            </w:r>
          </w:p>
        </w:tc>
        <w:tc>
          <w:tcPr>
            <w:tcW w:w="2083"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5.5±0.1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321"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ER18546015</w:t>
            </w:r>
          </w:p>
        </w:tc>
        <w:tc>
          <w:tcPr>
            <w:tcW w:w="1245" w:type="dxa"/>
            <w:shd w:val="clear" w:color="auto" w:fill="auto"/>
            <w:vAlign w:val="center"/>
          </w:tcPr>
          <w:p>
            <w:pPr>
              <w:jc w:val="center"/>
              <w:rPr>
                <w:rFonts w:ascii="宋体" w:hAnsi="宋体"/>
                <w:bCs/>
                <w:sz w:val="18"/>
                <w:szCs w:val="18"/>
              </w:rPr>
            </w:pPr>
            <w:r>
              <w:rPr>
                <w:rFonts w:hint="eastAsia" w:ascii="宋体" w:hAnsi="宋体"/>
                <w:bCs/>
                <w:sz w:val="18"/>
                <w:szCs w:val="18"/>
              </w:rPr>
              <w:t>18.5</w:t>
            </w:r>
            <w:r>
              <w:rPr>
                <w:rFonts w:hint="eastAsia" w:ascii="宋体" w:hAnsi="宋体"/>
                <w:bCs/>
                <w:sz w:val="18"/>
                <w:szCs w:val="18"/>
                <w:eastAsianLayout w:id="30" w:combine="1"/>
              </w:rPr>
              <w:t>+0.03  0</w:t>
            </w:r>
          </w:p>
        </w:tc>
        <w:tc>
          <w:tcPr>
            <w:tcW w:w="155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46±0.2</w:t>
            </w:r>
          </w:p>
        </w:tc>
        <w:tc>
          <w:tcPr>
            <w:tcW w:w="144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1.5±0.2</w:t>
            </w:r>
          </w:p>
        </w:tc>
        <w:tc>
          <w:tcPr>
            <w:tcW w:w="1500"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2.0±0.2</w:t>
            </w:r>
          </w:p>
        </w:tc>
        <w:tc>
          <w:tcPr>
            <w:tcW w:w="2083"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6.0±0.1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321"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ER24546015</w:t>
            </w:r>
          </w:p>
        </w:tc>
        <w:tc>
          <w:tcPr>
            <w:tcW w:w="1245" w:type="dxa"/>
            <w:shd w:val="clear" w:color="auto" w:fill="auto"/>
            <w:vAlign w:val="center"/>
          </w:tcPr>
          <w:p>
            <w:pPr>
              <w:jc w:val="center"/>
              <w:rPr>
                <w:rFonts w:ascii="宋体" w:hAnsi="宋体"/>
                <w:bCs/>
                <w:sz w:val="18"/>
                <w:szCs w:val="18"/>
              </w:rPr>
            </w:pPr>
            <w:r>
              <w:rPr>
                <w:rFonts w:hint="eastAsia" w:ascii="宋体" w:hAnsi="宋体"/>
                <w:bCs/>
                <w:sz w:val="18"/>
                <w:szCs w:val="18"/>
              </w:rPr>
              <w:t>24.5</w:t>
            </w:r>
            <w:r>
              <w:rPr>
                <w:rFonts w:hint="eastAsia" w:ascii="宋体" w:hAnsi="宋体"/>
                <w:bCs/>
                <w:sz w:val="18"/>
                <w:szCs w:val="18"/>
                <w:eastAsianLayout w:id="31" w:combine="1"/>
              </w:rPr>
              <w:t>+0.04  0</w:t>
            </w:r>
          </w:p>
        </w:tc>
        <w:tc>
          <w:tcPr>
            <w:tcW w:w="155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46±0.2</w:t>
            </w:r>
          </w:p>
        </w:tc>
        <w:tc>
          <w:tcPr>
            <w:tcW w:w="144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1.5±0.2</w:t>
            </w:r>
          </w:p>
        </w:tc>
        <w:tc>
          <w:tcPr>
            <w:tcW w:w="1500"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2.0±0.2</w:t>
            </w:r>
          </w:p>
        </w:tc>
        <w:tc>
          <w:tcPr>
            <w:tcW w:w="2083"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7.5±0.1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1321"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ER315570015</w:t>
            </w:r>
          </w:p>
        </w:tc>
        <w:tc>
          <w:tcPr>
            <w:tcW w:w="1245" w:type="dxa"/>
            <w:shd w:val="clear" w:color="auto" w:fill="auto"/>
            <w:vAlign w:val="center"/>
          </w:tcPr>
          <w:p>
            <w:pPr>
              <w:jc w:val="center"/>
              <w:rPr>
                <w:rFonts w:ascii="宋体" w:hAnsi="宋体"/>
                <w:bCs/>
                <w:sz w:val="18"/>
                <w:szCs w:val="18"/>
              </w:rPr>
            </w:pPr>
            <w:r>
              <w:rPr>
                <w:rFonts w:hint="eastAsia" w:ascii="宋体" w:hAnsi="宋体"/>
                <w:bCs/>
                <w:sz w:val="18"/>
                <w:szCs w:val="18"/>
              </w:rPr>
              <w:t>31.5</w:t>
            </w:r>
            <w:r>
              <w:rPr>
                <w:rFonts w:hint="eastAsia" w:ascii="宋体" w:hAnsi="宋体"/>
                <w:bCs/>
                <w:sz w:val="18"/>
                <w:szCs w:val="18"/>
                <w:eastAsianLayout w:id="32" w:combine="1"/>
              </w:rPr>
              <w:t>+0.04  0</w:t>
            </w:r>
          </w:p>
        </w:tc>
        <w:tc>
          <w:tcPr>
            <w:tcW w:w="155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57±0.2</w:t>
            </w:r>
          </w:p>
        </w:tc>
        <w:tc>
          <w:tcPr>
            <w:tcW w:w="1445"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1.5±0.2</w:t>
            </w:r>
          </w:p>
        </w:tc>
        <w:tc>
          <w:tcPr>
            <w:tcW w:w="1500"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2.0±0.2</w:t>
            </w:r>
          </w:p>
        </w:tc>
        <w:tc>
          <w:tcPr>
            <w:tcW w:w="2083" w:type="dxa"/>
            <w:shd w:val="clear" w:color="auto" w:fill="auto"/>
            <w:vAlign w:val="center"/>
          </w:tcPr>
          <w:p>
            <w:pPr>
              <w:spacing w:line="240" w:lineRule="auto"/>
              <w:jc w:val="center"/>
              <w:rPr>
                <w:rFonts w:ascii="宋体" w:hAnsi="宋体"/>
                <w:bCs/>
                <w:sz w:val="18"/>
                <w:szCs w:val="18"/>
              </w:rPr>
            </w:pPr>
            <w:r>
              <w:rPr>
                <w:rFonts w:hint="eastAsia" w:ascii="宋体" w:hAnsi="宋体"/>
                <w:bCs/>
                <w:sz w:val="18"/>
                <w:szCs w:val="18"/>
              </w:rPr>
              <w:t>10.0±0.1</w:t>
            </w:r>
          </w:p>
        </w:tc>
      </w:tr>
    </w:tbl>
    <w:p>
      <w:pPr>
        <w:pStyle w:val="224"/>
        <w:ind w:hanging="1"/>
      </w:pPr>
      <w:r>
        <w:rPr>
          <w:rFonts w:hint="eastAsia"/>
        </w:rPr>
        <w:t>外观质量</w:t>
      </w:r>
      <w:r>
        <w:rPr>
          <w:rFonts w:hint="eastAsia"/>
          <w:lang w:eastAsia="zh-CN"/>
        </w:rPr>
        <w:t>要求</w:t>
      </w:r>
    </w:p>
    <w:p>
      <w:pPr>
        <w:pStyle w:val="225"/>
      </w:pPr>
      <w:r>
        <w:rPr>
          <w:rFonts w:hint="eastAsia"/>
        </w:rPr>
        <w:t>盖板应无锈斑、无划伤、无凹坑、无缺口。</w:t>
      </w:r>
    </w:p>
    <w:p>
      <w:pPr>
        <w:pStyle w:val="225"/>
      </w:pPr>
      <w:r>
        <w:rPr>
          <w:rFonts w:hint="eastAsia"/>
        </w:rPr>
        <w:t>极柱应无锈斑、无划伤、无弯曲、无毛刺。</w:t>
      </w:r>
    </w:p>
    <w:p>
      <w:pPr>
        <w:pStyle w:val="225"/>
      </w:pPr>
      <w:r>
        <w:rPr>
          <w:rFonts w:hint="eastAsia"/>
        </w:rPr>
        <w:t>玻璃体应表面光滑、无裂纹、无气泡、无凹陷，无石墨灰点。</w:t>
      </w:r>
    </w:p>
    <w:p>
      <w:pPr>
        <w:pStyle w:val="224"/>
      </w:pPr>
      <w:r>
        <w:rPr>
          <w:rFonts w:hint="eastAsia"/>
        </w:rPr>
        <w:t>性能</w:t>
      </w:r>
      <w:r>
        <w:rPr>
          <w:rFonts w:hint="eastAsia"/>
          <w:lang w:eastAsia="zh-CN"/>
        </w:rPr>
        <w:t>要求</w:t>
      </w:r>
    </w:p>
    <w:p>
      <w:pPr>
        <w:pStyle w:val="56"/>
        <w:ind w:firstLine="420"/>
      </w:pPr>
      <w:r>
        <w:rPr>
          <w:rFonts w:hint="eastAsia"/>
        </w:rPr>
        <w:t>表4规定了一次柱式锂电池绝缘子的主要性能参数要求。</w:t>
      </w:r>
    </w:p>
    <w:p>
      <w:pPr>
        <w:pStyle w:val="112"/>
        <w:spacing w:before="156" w:after="156"/>
      </w:pPr>
      <w:r>
        <w:rPr>
          <w:rFonts w:hint="eastAsia"/>
        </w:rPr>
        <w:t>一次柱式锂电池绝缘子的主要性能参数表</w:t>
      </w:r>
    </w:p>
    <w:tbl>
      <w:tblPr>
        <w:tblStyle w:val="2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62"/>
        <w:gridCol w:w="1464"/>
        <w:gridCol w:w="2182"/>
        <w:gridCol w:w="1954"/>
        <w:gridCol w:w="25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529" w:type="pct"/>
            <w:gridSpan w:val="2"/>
            <w:shd w:val="clear" w:color="auto" w:fill="auto"/>
            <w:vAlign w:val="center"/>
          </w:tcPr>
          <w:p>
            <w:pPr>
              <w:pStyle w:val="231"/>
              <w:widowControl w:val="0"/>
              <w:ind w:firstLine="0" w:firstLineChars="0"/>
              <w:jc w:val="center"/>
              <w:rPr>
                <w:rFonts w:hAnsi="宋体"/>
                <w:sz w:val="18"/>
                <w:szCs w:val="18"/>
              </w:rPr>
            </w:pPr>
            <w:r>
              <w:rPr>
                <w:rFonts w:hint="eastAsia" w:hAnsi="宋体"/>
                <w:sz w:val="18"/>
                <w:szCs w:val="18"/>
              </w:rPr>
              <w:t>类型</w:t>
            </w:r>
          </w:p>
        </w:tc>
        <w:tc>
          <w:tcPr>
            <w:tcW w:w="1140" w:type="pct"/>
            <w:shd w:val="clear" w:color="auto" w:fill="auto"/>
          </w:tcPr>
          <w:p>
            <w:pPr>
              <w:pStyle w:val="231"/>
              <w:widowControl w:val="0"/>
              <w:ind w:firstLine="0" w:firstLineChars="0"/>
              <w:jc w:val="center"/>
              <w:rPr>
                <w:rFonts w:hAnsi="宋体"/>
                <w:sz w:val="18"/>
                <w:szCs w:val="18"/>
              </w:rPr>
            </w:pPr>
            <w:r>
              <w:rPr>
                <w:rFonts w:hint="eastAsia" w:hAnsi="宋体"/>
                <w:sz w:val="18"/>
                <w:szCs w:val="18"/>
              </w:rPr>
              <w:t>气密性</w:t>
            </w:r>
          </w:p>
        </w:tc>
        <w:tc>
          <w:tcPr>
            <w:tcW w:w="1021" w:type="pct"/>
            <w:shd w:val="clear" w:color="auto" w:fill="auto"/>
          </w:tcPr>
          <w:p>
            <w:pPr>
              <w:pStyle w:val="231"/>
              <w:widowControl w:val="0"/>
              <w:ind w:firstLine="0" w:firstLineChars="0"/>
              <w:jc w:val="center"/>
              <w:rPr>
                <w:rFonts w:hAnsi="宋体"/>
                <w:sz w:val="18"/>
                <w:szCs w:val="18"/>
              </w:rPr>
            </w:pPr>
            <w:r>
              <w:rPr>
                <w:rFonts w:hint="eastAsia" w:hAnsi="宋体"/>
                <w:sz w:val="18"/>
                <w:szCs w:val="18"/>
              </w:rPr>
              <w:t>绝缘电阻</w:t>
            </w:r>
          </w:p>
        </w:tc>
        <w:tc>
          <w:tcPr>
            <w:tcW w:w="1310" w:type="pct"/>
            <w:shd w:val="clear" w:color="auto" w:fill="auto"/>
          </w:tcPr>
          <w:p>
            <w:pPr>
              <w:pStyle w:val="231"/>
              <w:widowControl w:val="0"/>
              <w:ind w:firstLine="0" w:firstLineChars="0"/>
              <w:jc w:val="center"/>
              <w:rPr>
                <w:rFonts w:hAnsi="宋体"/>
                <w:sz w:val="18"/>
                <w:szCs w:val="18"/>
              </w:rPr>
            </w:pPr>
            <w:r>
              <w:rPr>
                <w:rFonts w:hint="eastAsia" w:hAnsi="宋体"/>
                <w:sz w:val="18"/>
                <w:szCs w:val="18"/>
              </w:rPr>
              <w:t>封接拉力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764" w:type="pct"/>
            <w:vMerge w:val="restart"/>
            <w:shd w:val="clear" w:color="auto" w:fill="auto"/>
            <w:vAlign w:val="center"/>
          </w:tcPr>
          <w:p>
            <w:pPr>
              <w:pStyle w:val="231"/>
              <w:widowControl w:val="0"/>
              <w:ind w:firstLine="0" w:firstLineChars="0"/>
              <w:jc w:val="center"/>
              <w:rPr>
                <w:rFonts w:hAnsi="宋体"/>
                <w:sz w:val="18"/>
                <w:szCs w:val="18"/>
              </w:rPr>
            </w:pPr>
            <w:r>
              <w:rPr>
                <w:rFonts w:hint="eastAsia" w:hAnsi="宋体"/>
                <w:sz w:val="18"/>
                <w:szCs w:val="18"/>
              </w:rPr>
              <w:t>ER</w:t>
            </w:r>
          </w:p>
        </w:tc>
        <w:tc>
          <w:tcPr>
            <w:tcW w:w="765" w:type="pct"/>
            <w:shd w:val="clear" w:color="auto" w:fill="auto"/>
          </w:tcPr>
          <w:p>
            <w:pPr>
              <w:pStyle w:val="231"/>
              <w:widowControl w:val="0"/>
              <w:ind w:firstLine="0" w:firstLineChars="0"/>
              <w:jc w:val="center"/>
              <w:rPr>
                <w:rFonts w:hAnsi="宋体"/>
                <w:sz w:val="18"/>
                <w:szCs w:val="18"/>
              </w:rPr>
            </w:pPr>
            <w:r>
              <w:rPr>
                <w:rFonts w:hint="eastAsia" w:hAnsi="宋体"/>
                <w:sz w:val="18"/>
                <w:szCs w:val="18"/>
              </w:rPr>
              <w:t>常温</w:t>
            </w:r>
            <w:r>
              <w:rPr>
                <w:rFonts w:hAnsi="宋体"/>
                <w:sz w:val="18"/>
                <w:szCs w:val="18"/>
              </w:rPr>
              <w:t>系列</w:t>
            </w:r>
          </w:p>
        </w:tc>
        <w:tc>
          <w:tcPr>
            <w:tcW w:w="1140" w:type="pct"/>
            <w:shd w:val="clear" w:color="auto" w:fill="auto"/>
            <w:vAlign w:val="center"/>
          </w:tcPr>
          <w:p>
            <w:pPr>
              <w:pStyle w:val="231"/>
              <w:widowControl w:val="0"/>
              <w:ind w:firstLine="0" w:firstLineChars="0"/>
              <w:jc w:val="center"/>
              <w:rPr>
                <w:rFonts w:hAnsi="宋体"/>
                <w:sz w:val="18"/>
                <w:szCs w:val="18"/>
              </w:rPr>
            </w:pPr>
            <w:r>
              <w:rPr>
                <w:rFonts w:hint="eastAsia" w:hAnsi="宋体"/>
                <w:sz w:val="18"/>
                <w:szCs w:val="18"/>
              </w:rPr>
              <w:t>≤1×10</w:t>
            </w:r>
            <w:r>
              <w:rPr>
                <w:rFonts w:hint="eastAsia" w:hAnsi="宋体"/>
                <w:sz w:val="18"/>
                <w:szCs w:val="18"/>
                <w:vertAlign w:val="superscript"/>
              </w:rPr>
              <w:t>-</w:t>
            </w:r>
            <w:r>
              <w:rPr>
                <w:rFonts w:hAnsi="宋体"/>
                <w:sz w:val="18"/>
                <w:szCs w:val="18"/>
                <w:vertAlign w:val="superscript"/>
              </w:rPr>
              <w:t>10</w:t>
            </w:r>
            <w:r>
              <w:rPr>
                <w:rFonts w:hint="eastAsia" w:hAnsi="宋体"/>
                <w:sz w:val="18"/>
                <w:szCs w:val="18"/>
              </w:rPr>
              <w:t>Pa·m</w:t>
            </w:r>
            <w:r>
              <w:rPr>
                <w:rFonts w:hint="eastAsia" w:hAnsi="宋体"/>
                <w:sz w:val="18"/>
                <w:szCs w:val="18"/>
                <w:vertAlign w:val="superscript"/>
              </w:rPr>
              <w:t>3</w:t>
            </w:r>
            <w:r>
              <w:rPr>
                <w:rFonts w:hint="eastAsia" w:hAnsi="宋体"/>
                <w:sz w:val="18"/>
                <w:szCs w:val="18"/>
              </w:rPr>
              <w:t>/s</w:t>
            </w:r>
          </w:p>
        </w:tc>
        <w:tc>
          <w:tcPr>
            <w:tcW w:w="1021" w:type="pct"/>
            <w:shd w:val="clear" w:color="auto" w:fill="auto"/>
            <w:vAlign w:val="center"/>
          </w:tcPr>
          <w:p>
            <w:pPr>
              <w:pStyle w:val="231"/>
              <w:widowControl w:val="0"/>
              <w:ind w:firstLine="0" w:firstLineChars="0"/>
              <w:jc w:val="center"/>
              <w:rPr>
                <w:rFonts w:hAnsi="宋体"/>
                <w:sz w:val="18"/>
                <w:szCs w:val="18"/>
              </w:rPr>
            </w:pPr>
            <w:r>
              <w:rPr>
                <w:rFonts w:hint="eastAsia" w:hAnsi="宋体"/>
                <w:sz w:val="18"/>
                <w:szCs w:val="18"/>
              </w:rPr>
              <w:t>DC500V，≥500MΩ</w:t>
            </w:r>
          </w:p>
        </w:tc>
        <w:tc>
          <w:tcPr>
            <w:tcW w:w="1310" w:type="pct"/>
            <w:shd w:val="clear" w:color="auto" w:fill="auto"/>
            <w:vAlign w:val="center"/>
          </w:tcPr>
          <w:p>
            <w:pPr>
              <w:pStyle w:val="231"/>
              <w:widowControl w:val="0"/>
              <w:ind w:firstLine="0" w:firstLineChars="0"/>
              <w:jc w:val="center"/>
              <w:rPr>
                <w:rFonts w:hAnsi="宋体"/>
                <w:sz w:val="18"/>
                <w:szCs w:val="18"/>
              </w:rPr>
            </w:pPr>
            <w:r>
              <w:rPr>
                <w:rFonts w:hint="eastAsia" w:hAnsi="宋体"/>
                <w:sz w:val="18"/>
                <w:szCs w:val="18"/>
              </w:rPr>
              <w:t>≥1</w:t>
            </w:r>
            <w:r>
              <w:rPr>
                <w:rFonts w:hAnsi="宋体"/>
                <w:sz w:val="18"/>
                <w:szCs w:val="18"/>
              </w:rPr>
              <w:t>25</w:t>
            </w:r>
            <w:r>
              <w:rPr>
                <w:rFonts w:hint="eastAsia" w:hAnsi="宋体"/>
                <w:sz w:val="18"/>
                <w:szCs w:val="18"/>
              </w:rPr>
              <w:t>0N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764" w:type="pct"/>
            <w:vMerge w:val="continue"/>
            <w:shd w:val="clear" w:color="auto" w:fill="auto"/>
          </w:tcPr>
          <w:p>
            <w:pPr>
              <w:pStyle w:val="231"/>
              <w:widowControl w:val="0"/>
              <w:ind w:firstLine="0" w:firstLineChars="0"/>
              <w:rPr>
                <w:rFonts w:hAnsi="宋体"/>
                <w:sz w:val="18"/>
                <w:szCs w:val="18"/>
              </w:rPr>
            </w:pPr>
          </w:p>
        </w:tc>
        <w:tc>
          <w:tcPr>
            <w:tcW w:w="765" w:type="pct"/>
            <w:shd w:val="clear" w:color="auto" w:fill="auto"/>
          </w:tcPr>
          <w:p>
            <w:pPr>
              <w:pStyle w:val="231"/>
              <w:widowControl w:val="0"/>
              <w:ind w:firstLine="0" w:firstLineChars="0"/>
              <w:jc w:val="center"/>
              <w:rPr>
                <w:rFonts w:hAnsi="宋体"/>
                <w:sz w:val="18"/>
                <w:szCs w:val="18"/>
              </w:rPr>
            </w:pPr>
            <w:r>
              <w:rPr>
                <w:rFonts w:hint="eastAsia" w:hAnsi="宋体"/>
                <w:sz w:val="18"/>
                <w:szCs w:val="18"/>
              </w:rPr>
              <w:t>高温系列</w:t>
            </w:r>
          </w:p>
        </w:tc>
        <w:tc>
          <w:tcPr>
            <w:tcW w:w="1140" w:type="pct"/>
            <w:shd w:val="clear" w:color="auto" w:fill="auto"/>
            <w:vAlign w:val="center"/>
          </w:tcPr>
          <w:p>
            <w:pPr>
              <w:pStyle w:val="231"/>
              <w:widowControl w:val="0"/>
              <w:ind w:firstLine="0" w:firstLineChars="0"/>
              <w:jc w:val="center"/>
              <w:rPr>
                <w:rFonts w:hAnsi="宋体"/>
                <w:sz w:val="18"/>
                <w:szCs w:val="18"/>
              </w:rPr>
            </w:pPr>
            <w:r>
              <w:rPr>
                <w:rFonts w:hint="eastAsia" w:hAnsi="宋体"/>
                <w:sz w:val="18"/>
                <w:szCs w:val="18"/>
              </w:rPr>
              <w:t>≤1×10</w:t>
            </w:r>
            <w:r>
              <w:rPr>
                <w:rFonts w:hint="eastAsia" w:hAnsi="宋体"/>
                <w:sz w:val="18"/>
                <w:szCs w:val="18"/>
                <w:vertAlign w:val="superscript"/>
              </w:rPr>
              <w:t>-10</w:t>
            </w:r>
            <w:r>
              <w:rPr>
                <w:rFonts w:hint="eastAsia" w:hAnsi="宋体"/>
                <w:sz w:val="18"/>
                <w:szCs w:val="18"/>
              </w:rPr>
              <w:t>Pa·m</w:t>
            </w:r>
            <w:r>
              <w:rPr>
                <w:rFonts w:hint="eastAsia" w:hAnsi="宋体"/>
                <w:sz w:val="18"/>
                <w:szCs w:val="18"/>
                <w:vertAlign w:val="superscript"/>
              </w:rPr>
              <w:t>3</w:t>
            </w:r>
            <w:r>
              <w:rPr>
                <w:rFonts w:hint="eastAsia" w:hAnsi="宋体"/>
                <w:sz w:val="18"/>
                <w:szCs w:val="18"/>
              </w:rPr>
              <w:t>/s</w:t>
            </w:r>
          </w:p>
        </w:tc>
        <w:tc>
          <w:tcPr>
            <w:tcW w:w="1021" w:type="pct"/>
            <w:shd w:val="clear" w:color="auto" w:fill="auto"/>
            <w:vAlign w:val="center"/>
          </w:tcPr>
          <w:p>
            <w:pPr>
              <w:pStyle w:val="231"/>
              <w:widowControl w:val="0"/>
              <w:ind w:firstLine="0" w:firstLineChars="0"/>
              <w:jc w:val="center"/>
              <w:rPr>
                <w:rFonts w:hAnsi="宋体"/>
                <w:sz w:val="18"/>
                <w:szCs w:val="18"/>
              </w:rPr>
            </w:pPr>
            <w:r>
              <w:rPr>
                <w:rFonts w:hint="eastAsia" w:hAnsi="宋体"/>
                <w:sz w:val="18"/>
                <w:szCs w:val="18"/>
              </w:rPr>
              <w:t>DC500V，≥500MΩ</w:t>
            </w:r>
          </w:p>
        </w:tc>
        <w:tc>
          <w:tcPr>
            <w:tcW w:w="1310" w:type="pct"/>
            <w:shd w:val="clear" w:color="auto" w:fill="auto"/>
            <w:vAlign w:val="center"/>
          </w:tcPr>
          <w:p>
            <w:pPr>
              <w:pStyle w:val="231"/>
              <w:widowControl w:val="0"/>
              <w:ind w:firstLine="0" w:firstLineChars="0"/>
              <w:jc w:val="center"/>
              <w:rPr>
                <w:rFonts w:hAnsi="宋体"/>
                <w:sz w:val="18"/>
                <w:szCs w:val="18"/>
              </w:rPr>
            </w:pPr>
            <w:r>
              <w:rPr>
                <w:rFonts w:hint="eastAsia" w:hAnsi="宋体"/>
                <w:sz w:val="18"/>
                <w:szCs w:val="18"/>
              </w:rPr>
              <w:t>≥1</w:t>
            </w:r>
            <w:r>
              <w:rPr>
                <w:rFonts w:hAnsi="宋体"/>
                <w:sz w:val="18"/>
                <w:szCs w:val="18"/>
              </w:rPr>
              <w:t>35</w:t>
            </w:r>
            <w:r>
              <w:rPr>
                <w:rFonts w:hint="eastAsia" w:hAnsi="宋体"/>
                <w:sz w:val="18"/>
                <w:szCs w:val="18"/>
              </w:rPr>
              <w:t>0N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529" w:type="pct"/>
            <w:gridSpan w:val="2"/>
            <w:shd w:val="clear" w:color="auto" w:fill="auto"/>
          </w:tcPr>
          <w:p>
            <w:pPr>
              <w:pStyle w:val="231"/>
              <w:widowControl w:val="0"/>
              <w:ind w:firstLine="0" w:firstLineChars="0"/>
              <w:jc w:val="center"/>
              <w:rPr>
                <w:rFonts w:hAnsi="宋体"/>
                <w:sz w:val="18"/>
                <w:szCs w:val="18"/>
              </w:rPr>
            </w:pPr>
            <w:r>
              <w:rPr>
                <w:rFonts w:hint="eastAsia" w:hAnsi="宋体"/>
                <w:sz w:val="18"/>
                <w:szCs w:val="18"/>
              </w:rPr>
              <w:t>CR</w:t>
            </w:r>
          </w:p>
        </w:tc>
        <w:tc>
          <w:tcPr>
            <w:tcW w:w="1140" w:type="pct"/>
            <w:shd w:val="clear" w:color="auto" w:fill="auto"/>
            <w:vAlign w:val="center"/>
          </w:tcPr>
          <w:p>
            <w:pPr>
              <w:pStyle w:val="231"/>
              <w:widowControl w:val="0"/>
              <w:ind w:firstLine="0" w:firstLineChars="0"/>
              <w:jc w:val="center"/>
              <w:rPr>
                <w:rFonts w:hAnsi="宋体"/>
                <w:sz w:val="18"/>
                <w:szCs w:val="18"/>
              </w:rPr>
            </w:pPr>
            <w:r>
              <w:rPr>
                <w:rFonts w:hint="eastAsia" w:hAnsi="宋体"/>
                <w:sz w:val="18"/>
                <w:szCs w:val="18"/>
              </w:rPr>
              <w:t>≤1×10</w:t>
            </w:r>
            <w:r>
              <w:rPr>
                <w:rFonts w:hint="eastAsia" w:hAnsi="宋体"/>
                <w:sz w:val="18"/>
                <w:szCs w:val="18"/>
                <w:vertAlign w:val="superscript"/>
              </w:rPr>
              <w:t>-</w:t>
            </w:r>
            <w:r>
              <w:rPr>
                <w:rFonts w:hAnsi="宋体"/>
                <w:sz w:val="18"/>
                <w:szCs w:val="18"/>
                <w:vertAlign w:val="superscript"/>
              </w:rPr>
              <w:t>10</w:t>
            </w:r>
            <w:r>
              <w:rPr>
                <w:rFonts w:hint="eastAsia" w:hAnsi="宋体"/>
                <w:sz w:val="18"/>
                <w:szCs w:val="18"/>
              </w:rPr>
              <w:t>Pa·m</w:t>
            </w:r>
            <w:r>
              <w:rPr>
                <w:rFonts w:hint="eastAsia" w:hAnsi="宋体"/>
                <w:sz w:val="18"/>
                <w:szCs w:val="18"/>
                <w:vertAlign w:val="superscript"/>
              </w:rPr>
              <w:t>3</w:t>
            </w:r>
            <w:r>
              <w:rPr>
                <w:rFonts w:hint="eastAsia" w:hAnsi="宋体"/>
                <w:sz w:val="18"/>
                <w:szCs w:val="18"/>
              </w:rPr>
              <w:t>/s</w:t>
            </w:r>
          </w:p>
        </w:tc>
        <w:tc>
          <w:tcPr>
            <w:tcW w:w="1021" w:type="pct"/>
            <w:shd w:val="clear" w:color="auto" w:fill="auto"/>
            <w:vAlign w:val="center"/>
          </w:tcPr>
          <w:p>
            <w:pPr>
              <w:pStyle w:val="231"/>
              <w:widowControl w:val="0"/>
              <w:ind w:firstLine="0" w:firstLineChars="0"/>
              <w:jc w:val="center"/>
              <w:rPr>
                <w:rFonts w:hAnsi="宋体"/>
                <w:sz w:val="18"/>
                <w:szCs w:val="18"/>
              </w:rPr>
            </w:pPr>
            <w:r>
              <w:rPr>
                <w:rFonts w:hint="eastAsia" w:hAnsi="宋体"/>
                <w:sz w:val="18"/>
                <w:szCs w:val="18"/>
              </w:rPr>
              <w:t>DC500V，≥500MΩ</w:t>
            </w:r>
          </w:p>
        </w:tc>
        <w:tc>
          <w:tcPr>
            <w:tcW w:w="1310" w:type="pct"/>
            <w:shd w:val="clear" w:color="auto" w:fill="auto"/>
            <w:vAlign w:val="center"/>
          </w:tcPr>
          <w:p>
            <w:pPr>
              <w:pStyle w:val="231"/>
              <w:widowControl w:val="0"/>
              <w:ind w:firstLine="0" w:firstLineChars="0"/>
              <w:jc w:val="center"/>
              <w:rPr>
                <w:rFonts w:hAnsi="宋体"/>
                <w:sz w:val="18"/>
                <w:szCs w:val="18"/>
              </w:rPr>
            </w:pPr>
            <w:r>
              <w:rPr>
                <w:rFonts w:hint="eastAsia" w:hAnsi="宋体"/>
                <w:sz w:val="18"/>
                <w:szCs w:val="18"/>
              </w:rPr>
              <w:t>≥1</w:t>
            </w:r>
            <w:r>
              <w:rPr>
                <w:rFonts w:hAnsi="宋体"/>
                <w:sz w:val="18"/>
                <w:szCs w:val="18"/>
              </w:rPr>
              <w:t>25</w:t>
            </w:r>
            <w:r>
              <w:rPr>
                <w:rFonts w:hint="eastAsia" w:hAnsi="宋体"/>
                <w:sz w:val="18"/>
                <w:szCs w:val="18"/>
              </w:rPr>
              <w:t>0N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gridSpan w:val="5"/>
            <w:shd w:val="clear" w:color="auto" w:fill="auto"/>
          </w:tcPr>
          <w:p>
            <w:pPr>
              <w:pStyle w:val="180"/>
            </w:pPr>
            <w:r>
              <w:rPr>
                <w:rFonts w:hint="eastAsia"/>
              </w:rPr>
              <w:t>测试绝缘子ER常温系列、CR系列封接孔径φ4</w:t>
            </w:r>
            <w:r>
              <w:t xml:space="preserve"> </w:t>
            </w:r>
            <w:r>
              <w:rPr>
                <w:rFonts w:hint="eastAsia"/>
              </w:rPr>
              <w:t>mm，芯柱直径为φ2</w:t>
            </w:r>
            <w:r>
              <w:t xml:space="preserve"> </w:t>
            </w:r>
            <w:r>
              <w:rPr>
                <w:rFonts w:hint="eastAsia"/>
              </w:rPr>
              <w:t>mm，封接深度为2</w:t>
            </w:r>
            <w:r>
              <w:t xml:space="preserve"> </w:t>
            </w:r>
            <w:r>
              <w:rPr>
                <w:rFonts w:hint="eastAsia"/>
              </w:rPr>
              <w:t>mm；</w:t>
            </w:r>
          </w:p>
          <w:p>
            <w:pPr>
              <w:pStyle w:val="180"/>
            </w:pPr>
            <w:r>
              <w:rPr>
                <w:rFonts w:hint="eastAsia"/>
              </w:rPr>
              <w:t>测试绝缘子E</w:t>
            </w:r>
            <w:r>
              <w:t>R</w:t>
            </w:r>
            <w:r>
              <w:rPr>
                <w:rFonts w:hint="eastAsia"/>
              </w:rPr>
              <w:t>高温系列封接孔径φ4</w:t>
            </w:r>
            <w:r>
              <w:t xml:space="preserve"> </w:t>
            </w:r>
            <w:r>
              <w:rPr>
                <w:rFonts w:hint="eastAsia"/>
              </w:rPr>
              <w:t>mm，芯柱直径为φ2</w:t>
            </w:r>
            <w:r>
              <w:t xml:space="preserve"> </w:t>
            </w:r>
            <w:r>
              <w:rPr>
                <w:rFonts w:hint="eastAsia"/>
              </w:rPr>
              <w:t>mm，封接深度为</w:t>
            </w:r>
            <w:r>
              <w:t xml:space="preserve">2.4 </w:t>
            </w:r>
            <w:r>
              <w:rPr>
                <w:rFonts w:hint="eastAsia"/>
              </w:rPr>
              <w:t>mm。</w:t>
            </w:r>
          </w:p>
        </w:tc>
      </w:tr>
    </w:tbl>
    <w:p>
      <w:pPr>
        <w:pStyle w:val="104"/>
        <w:spacing w:before="312" w:after="312"/>
      </w:pPr>
      <w:r>
        <w:rPr>
          <w:rFonts w:hint="eastAsia"/>
        </w:rPr>
        <w:t>试验方法</w:t>
      </w:r>
    </w:p>
    <w:p>
      <w:pPr>
        <w:pStyle w:val="105"/>
        <w:spacing w:before="156" w:after="156"/>
      </w:pPr>
      <w:r>
        <w:rPr>
          <w:rFonts w:hint="eastAsia"/>
        </w:rPr>
        <w:t>原材料检验</w:t>
      </w:r>
    </w:p>
    <w:p>
      <w:pPr>
        <w:pStyle w:val="165"/>
      </w:pPr>
      <w:r>
        <w:rPr>
          <w:rFonts w:hint="eastAsia"/>
        </w:rPr>
        <w:t>盖板、极柱化学成份分析方法按GB/T 223的规定进行。</w:t>
      </w:r>
    </w:p>
    <w:p>
      <w:pPr>
        <w:pStyle w:val="165"/>
      </w:pPr>
      <w:r>
        <w:rPr>
          <w:rFonts w:hint="eastAsia"/>
        </w:rPr>
        <w:t>玻璃体的平均线热膨胀系数按</w:t>
      </w:r>
      <w:r>
        <w:rPr>
          <w:rFonts w:hint="eastAsia"/>
          <w:lang w:eastAsia="zh-CN"/>
        </w:rPr>
        <w:t>照</w:t>
      </w:r>
      <w:r>
        <w:rPr>
          <w:rFonts w:hint="eastAsia"/>
        </w:rPr>
        <w:t>GB/T 16920测定的方法进行。</w:t>
      </w:r>
    </w:p>
    <w:p>
      <w:pPr>
        <w:pStyle w:val="105"/>
        <w:spacing w:before="156" w:after="156"/>
      </w:pPr>
      <w:r>
        <w:rPr>
          <w:rFonts w:hint="eastAsia"/>
        </w:rPr>
        <w:t>产品检验</w:t>
      </w:r>
    </w:p>
    <w:p>
      <w:pPr>
        <w:pStyle w:val="165"/>
      </w:pPr>
      <w:r>
        <w:rPr>
          <w:rFonts w:hint="eastAsia"/>
        </w:rPr>
        <w:t>绝缘子外形尺寸检验使用游标卡尺、千分尺、高度尺等相应精度的测量仪器测量。</w:t>
      </w:r>
    </w:p>
    <w:p>
      <w:pPr>
        <w:pStyle w:val="165"/>
      </w:pPr>
      <w:r>
        <w:rPr>
          <w:rFonts w:hint="eastAsia"/>
        </w:rPr>
        <w:t>外观质量检验在光线充足的地方，用目视检验，也可借助放大镜进行。</w:t>
      </w:r>
    </w:p>
    <w:p>
      <w:pPr>
        <w:pStyle w:val="165"/>
      </w:pPr>
      <w:r>
        <w:rPr>
          <w:rFonts w:hint="eastAsia"/>
        </w:rPr>
        <w:t>气密性试验按附录A的规定进行。</w:t>
      </w:r>
    </w:p>
    <w:p>
      <w:pPr>
        <w:pStyle w:val="165"/>
      </w:pPr>
      <w:r>
        <w:rPr>
          <w:rFonts w:hint="eastAsia"/>
        </w:rPr>
        <w:t>封接拉力试验使在电子拉力试验机上</w:t>
      </w:r>
      <w:r>
        <w:t>以</w:t>
      </w:r>
      <w:r>
        <w:rPr>
          <w:rFonts w:hint="eastAsia"/>
        </w:rPr>
        <w:t>1</w:t>
      </w:r>
      <w:r>
        <w:t>5 mm/s的速度</w:t>
      </w:r>
      <w:r>
        <w:rPr>
          <w:rFonts w:hint="eastAsia"/>
        </w:rPr>
        <w:t>进行检测，当芯柱长度小于30</w:t>
      </w:r>
      <w:r>
        <w:t xml:space="preserve"> </w:t>
      </w:r>
      <w:r>
        <w:rPr>
          <w:rFonts w:hint="eastAsia"/>
        </w:rPr>
        <w:t>mm，且有明确要求时，可以采用封接面积相同，且芯柱长度大于30</w:t>
      </w:r>
      <w:r>
        <w:t xml:space="preserve"> </w:t>
      </w:r>
      <w:r>
        <w:rPr>
          <w:rFonts w:hint="eastAsia"/>
        </w:rPr>
        <w:t>mm的随炉样品进行封接拉力试验检测，以证明产品的符合性。</w:t>
      </w:r>
    </w:p>
    <w:p>
      <w:pPr>
        <w:pStyle w:val="165"/>
      </w:pPr>
      <w:r>
        <w:rPr>
          <w:rFonts w:hint="eastAsia"/>
        </w:rPr>
        <w:t>绝缘电阻测量应根据被测样品特性选用合适的仪表。例如：兆欧电桥、兆欧表、绝缘电阻试验装置及其他合适的设备。</w:t>
      </w:r>
      <w:bookmarkStart w:id="45" w:name="_Hlk66112209"/>
      <w:r>
        <w:rPr>
          <w:rFonts w:hint="eastAsia"/>
          <w:color w:val="000000" w:themeColor="text1"/>
          <w14:textFill>
            <w14:solidFill>
              <w14:schemeClr w14:val="tx1"/>
            </w14:solidFill>
          </w14:textFill>
        </w:rPr>
        <w:t>绝缘电阻测试</w:t>
      </w:r>
      <w:r>
        <w:rPr>
          <w:rFonts w:hint="eastAsia"/>
        </w:rPr>
        <w:t>环境应保持在（</w:t>
      </w:r>
      <w:r>
        <w:t>15</w:t>
      </w:r>
      <w:r>
        <w:rPr>
          <w:rFonts w:ascii="Times New Roman"/>
        </w:rPr>
        <w:t>~</w:t>
      </w:r>
      <w:r>
        <w:t>35</w:t>
      </w:r>
      <w:r>
        <w:rPr>
          <w:rFonts w:hint="eastAsia"/>
        </w:rPr>
        <w:t>）℃和相对湿度（</w:t>
      </w:r>
      <w:r>
        <w:t>20</w:t>
      </w:r>
      <w:r>
        <w:rPr>
          <w:rFonts w:ascii="Times New Roman"/>
        </w:rPr>
        <w:t>~</w:t>
      </w:r>
      <w:r>
        <w:t>80</w:t>
      </w:r>
      <w:r>
        <w:rPr>
          <w:rFonts w:hint="eastAsia"/>
        </w:rPr>
        <w:t>）%的条件下进行，外加直流电压至少为500V。</w:t>
      </w:r>
      <w:bookmarkEnd w:id="45"/>
    </w:p>
    <w:p>
      <w:pPr>
        <w:pStyle w:val="104"/>
        <w:spacing w:before="312" w:after="312"/>
      </w:pPr>
      <w:r>
        <w:rPr>
          <w:rFonts w:hint="eastAsia"/>
        </w:rPr>
        <w:t>检验规则</w:t>
      </w:r>
    </w:p>
    <w:p>
      <w:pPr>
        <w:pStyle w:val="105"/>
        <w:spacing w:before="156" w:after="156"/>
      </w:pPr>
      <w:r>
        <w:rPr>
          <w:rFonts w:hint="eastAsia"/>
        </w:rPr>
        <w:t>检查和验收</w:t>
      </w:r>
    </w:p>
    <w:p>
      <w:pPr>
        <w:pStyle w:val="165"/>
      </w:pPr>
      <w:r>
        <w:rPr>
          <w:rFonts w:hint="eastAsia"/>
        </w:rPr>
        <w:t>产品由供方进行检验，保证产品质量符合本文件及订货单的规定。</w:t>
      </w:r>
    </w:p>
    <w:p>
      <w:pPr>
        <w:pStyle w:val="165"/>
      </w:pPr>
      <w:r>
        <w:rPr>
          <w:rFonts w:hint="eastAsia"/>
        </w:rPr>
        <w:t>需方</w:t>
      </w:r>
      <w:r>
        <w:rPr>
          <w:rFonts w:hint="eastAsia"/>
          <w:lang w:eastAsia="zh-CN"/>
        </w:rPr>
        <w:t>应</w:t>
      </w:r>
      <w:r>
        <w:rPr>
          <w:rFonts w:hint="eastAsia"/>
        </w:rPr>
        <w:t>对收到的产品按本文件的规定进行检验。如检验结果与本文件及订货单的规定不符时，应以书面形式向供方提出，由供需双方协商解决。属于表面质量或外形尺寸的异议，应在收到产品之日起15日内提出；属于产品性能的异议，应在收到产品之日起30日内提出。如需仲裁，应由供需双方在需方共同取样或协商确定进行。</w:t>
      </w:r>
    </w:p>
    <w:p>
      <w:pPr>
        <w:pStyle w:val="105"/>
        <w:spacing w:before="156" w:after="156"/>
      </w:pPr>
      <w:r>
        <w:rPr>
          <w:rFonts w:hint="eastAsia"/>
        </w:rPr>
        <w:t>组批</w:t>
      </w:r>
    </w:p>
    <w:p>
      <w:pPr>
        <w:pStyle w:val="56"/>
        <w:ind w:firstLine="420"/>
      </w:pPr>
      <w:r>
        <w:rPr>
          <w:rFonts w:hint="eastAsia"/>
        </w:rPr>
        <w:t>产品应成批提交验收。每批产品应由同一型号、相同的加工工艺</w:t>
      </w:r>
      <w:bookmarkStart w:id="46" w:name="_Hlk66112279"/>
      <w:r>
        <w:rPr>
          <w:rFonts w:hint="eastAsia"/>
        </w:rPr>
        <w:t>、连续生产</w:t>
      </w:r>
      <w:bookmarkEnd w:id="46"/>
      <w:r>
        <w:rPr>
          <w:rFonts w:hint="eastAsia"/>
        </w:rPr>
        <w:t>的产品组成。当加工工艺发生变化</w:t>
      </w:r>
      <w:bookmarkStart w:id="47" w:name="_Hlk66112286"/>
      <w:r>
        <w:rPr>
          <w:rFonts w:hint="eastAsia"/>
        </w:rPr>
        <w:t>或生产间断</w:t>
      </w:r>
      <w:bookmarkEnd w:id="47"/>
      <w:r>
        <w:rPr>
          <w:rFonts w:hint="eastAsia"/>
        </w:rPr>
        <w:t>时，应重新组批。</w:t>
      </w:r>
    </w:p>
    <w:p>
      <w:pPr>
        <w:pStyle w:val="105"/>
        <w:spacing w:before="156" w:after="156"/>
      </w:pPr>
      <w:r>
        <w:rPr>
          <w:rFonts w:hint="eastAsia"/>
        </w:rPr>
        <w:t>检验项目</w:t>
      </w:r>
    </w:p>
    <w:p>
      <w:pPr>
        <w:pStyle w:val="165"/>
      </w:pPr>
      <w:r>
        <w:rPr>
          <w:rFonts w:hint="eastAsia"/>
        </w:rPr>
        <w:t>原材料检验为供方的入厂检验。产品出厂时不做检验，需方要求时应予以提供。</w:t>
      </w:r>
    </w:p>
    <w:p>
      <w:pPr>
        <w:pStyle w:val="165"/>
      </w:pPr>
      <w:r>
        <w:rPr>
          <w:rFonts w:hint="eastAsia"/>
        </w:rPr>
        <w:t>每批次产品应进行外形尺寸、外观质量、气密性、封接拉力、绝缘电阻检验。</w:t>
      </w:r>
    </w:p>
    <w:p>
      <w:pPr>
        <w:pStyle w:val="105"/>
        <w:spacing w:before="156" w:after="156"/>
      </w:pPr>
      <w:r>
        <w:rPr>
          <w:rFonts w:hint="eastAsia"/>
        </w:rPr>
        <w:t>取样</w:t>
      </w:r>
    </w:p>
    <w:p>
      <w:pPr>
        <w:pStyle w:val="56"/>
        <w:ind w:firstLine="420"/>
      </w:pPr>
      <w:r>
        <w:rPr>
          <w:rFonts w:hint="eastAsia"/>
        </w:rPr>
        <w:t>产品取样应符合表5的规定。</w:t>
      </w:r>
    </w:p>
    <w:p>
      <w:pPr>
        <w:pStyle w:val="112"/>
        <w:spacing w:before="156" w:after="156"/>
      </w:pPr>
      <w:r>
        <w:rPr>
          <w:rFonts w:hint="eastAsia"/>
        </w:rPr>
        <w:t>产品取样要求</w:t>
      </w:r>
    </w:p>
    <w:tbl>
      <w:tblPr>
        <w:tblStyle w:val="2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69"/>
        <w:gridCol w:w="2075"/>
        <w:gridCol w:w="3127"/>
        <w:gridCol w:w="1704"/>
        <w:gridCol w:w="17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7"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序号</w:t>
            </w:r>
          </w:p>
        </w:tc>
        <w:tc>
          <w:tcPr>
            <w:tcW w:w="1107"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检验项目名称</w:t>
            </w:r>
          </w:p>
        </w:tc>
        <w:tc>
          <w:tcPr>
            <w:tcW w:w="1668"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取样数量</w:t>
            </w:r>
          </w:p>
        </w:tc>
        <w:tc>
          <w:tcPr>
            <w:tcW w:w="909"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要求的章节号</w:t>
            </w:r>
          </w:p>
        </w:tc>
        <w:tc>
          <w:tcPr>
            <w:tcW w:w="959"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实验方法章条号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7" w:type="pct"/>
            <w:shd w:val="clear" w:color="auto" w:fill="auto"/>
            <w:vAlign w:val="center"/>
          </w:tcPr>
          <w:p>
            <w:pPr>
              <w:pStyle w:val="231"/>
              <w:ind w:firstLine="0" w:firstLineChars="0"/>
              <w:jc w:val="center"/>
              <w:rPr>
                <w:rFonts w:hAnsi="宋体"/>
                <w:bCs/>
                <w:sz w:val="18"/>
                <w:szCs w:val="18"/>
              </w:rPr>
            </w:pPr>
            <w:r>
              <w:rPr>
                <w:rFonts w:hAnsi="宋体"/>
                <w:bCs/>
                <w:sz w:val="18"/>
                <w:szCs w:val="18"/>
              </w:rPr>
              <w:t>1</w:t>
            </w:r>
          </w:p>
        </w:tc>
        <w:tc>
          <w:tcPr>
            <w:tcW w:w="1107"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外形尺寸</w:t>
            </w:r>
          </w:p>
        </w:tc>
        <w:tc>
          <w:tcPr>
            <w:tcW w:w="1668"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每批抽取1‰，且不小于10件</w:t>
            </w:r>
          </w:p>
        </w:tc>
        <w:tc>
          <w:tcPr>
            <w:tcW w:w="909" w:type="pct"/>
            <w:shd w:val="clear" w:color="auto" w:fill="auto"/>
            <w:vAlign w:val="center"/>
          </w:tcPr>
          <w:p>
            <w:pPr>
              <w:pStyle w:val="231"/>
              <w:ind w:firstLine="0" w:firstLineChars="0"/>
              <w:jc w:val="center"/>
              <w:rPr>
                <w:rFonts w:hAnsi="宋体"/>
                <w:bCs/>
                <w:sz w:val="18"/>
                <w:szCs w:val="18"/>
              </w:rPr>
            </w:pPr>
            <w:r>
              <w:rPr>
                <w:rFonts w:hAnsi="宋体"/>
                <w:bCs/>
                <w:sz w:val="18"/>
                <w:szCs w:val="18"/>
              </w:rPr>
              <w:t>5.2</w:t>
            </w:r>
          </w:p>
        </w:tc>
        <w:tc>
          <w:tcPr>
            <w:tcW w:w="959"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6.2.1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7" w:type="pct"/>
            <w:shd w:val="clear" w:color="auto" w:fill="auto"/>
            <w:vAlign w:val="center"/>
          </w:tcPr>
          <w:p>
            <w:pPr>
              <w:pStyle w:val="231"/>
              <w:ind w:firstLine="0" w:firstLineChars="0"/>
              <w:jc w:val="center"/>
              <w:rPr>
                <w:rFonts w:hAnsi="宋体"/>
                <w:bCs/>
                <w:sz w:val="18"/>
                <w:szCs w:val="18"/>
              </w:rPr>
            </w:pPr>
            <w:r>
              <w:rPr>
                <w:rFonts w:hAnsi="宋体"/>
                <w:bCs/>
                <w:sz w:val="18"/>
                <w:szCs w:val="18"/>
              </w:rPr>
              <w:t>2</w:t>
            </w:r>
          </w:p>
        </w:tc>
        <w:tc>
          <w:tcPr>
            <w:tcW w:w="1107"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外观质量</w:t>
            </w:r>
          </w:p>
        </w:tc>
        <w:tc>
          <w:tcPr>
            <w:tcW w:w="1668"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逐件</w:t>
            </w:r>
          </w:p>
        </w:tc>
        <w:tc>
          <w:tcPr>
            <w:tcW w:w="909" w:type="pct"/>
            <w:shd w:val="clear" w:color="auto" w:fill="auto"/>
            <w:vAlign w:val="center"/>
          </w:tcPr>
          <w:p>
            <w:pPr>
              <w:pStyle w:val="231"/>
              <w:ind w:firstLine="0" w:firstLineChars="0"/>
              <w:jc w:val="center"/>
              <w:rPr>
                <w:rFonts w:hAnsi="宋体"/>
                <w:bCs/>
                <w:sz w:val="18"/>
                <w:szCs w:val="18"/>
              </w:rPr>
            </w:pPr>
            <w:r>
              <w:rPr>
                <w:rFonts w:hAnsi="宋体"/>
                <w:bCs/>
                <w:sz w:val="18"/>
                <w:szCs w:val="18"/>
              </w:rPr>
              <w:t>5.3</w:t>
            </w:r>
          </w:p>
        </w:tc>
        <w:tc>
          <w:tcPr>
            <w:tcW w:w="959"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6.2.2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7" w:type="pct"/>
            <w:shd w:val="clear" w:color="auto" w:fill="auto"/>
            <w:vAlign w:val="center"/>
          </w:tcPr>
          <w:p>
            <w:pPr>
              <w:pStyle w:val="231"/>
              <w:ind w:firstLine="0" w:firstLineChars="0"/>
              <w:jc w:val="center"/>
              <w:rPr>
                <w:rFonts w:hAnsi="宋体"/>
                <w:bCs/>
                <w:sz w:val="18"/>
                <w:szCs w:val="18"/>
              </w:rPr>
            </w:pPr>
            <w:r>
              <w:rPr>
                <w:rFonts w:hAnsi="宋体"/>
                <w:bCs/>
                <w:sz w:val="18"/>
                <w:szCs w:val="18"/>
              </w:rPr>
              <w:t>3</w:t>
            </w:r>
          </w:p>
        </w:tc>
        <w:tc>
          <w:tcPr>
            <w:tcW w:w="1107"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气密性</w:t>
            </w:r>
          </w:p>
        </w:tc>
        <w:tc>
          <w:tcPr>
            <w:tcW w:w="1668"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每批抽取0.5‰，不小于5件</w:t>
            </w:r>
          </w:p>
        </w:tc>
        <w:tc>
          <w:tcPr>
            <w:tcW w:w="909"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5.</w:t>
            </w:r>
            <w:r>
              <w:rPr>
                <w:rFonts w:hAnsi="宋体"/>
                <w:bCs/>
                <w:sz w:val="18"/>
                <w:szCs w:val="18"/>
              </w:rPr>
              <w:t>4</w:t>
            </w:r>
          </w:p>
        </w:tc>
        <w:tc>
          <w:tcPr>
            <w:tcW w:w="959"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6.2.3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7" w:type="pct"/>
            <w:shd w:val="clear" w:color="auto" w:fill="auto"/>
            <w:vAlign w:val="center"/>
          </w:tcPr>
          <w:p>
            <w:pPr>
              <w:pStyle w:val="231"/>
              <w:ind w:firstLine="0" w:firstLineChars="0"/>
              <w:jc w:val="center"/>
              <w:rPr>
                <w:rFonts w:hAnsi="宋体"/>
                <w:bCs/>
                <w:sz w:val="18"/>
                <w:szCs w:val="18"/>
              </w:rPr>
            </w:pPr>
            <w:r>
              <w:rPr>
                <w:rFonts w:hAnsi="宋体"/>
                <w:bCs/>
                <w:sz w:val="18"/>
                <w:szCs w:val="18"/>
              </w:rPr>
              <w:t>4</w:t>
            </w:r>
          </w:p>
        </w:tc>
        <w:tc>
          <w:tcPr>
            <w:tcW w:w="1107"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封接拉力</w:t>
            </w:r>
          </w:p>
        </w:tc>
        <w:tc>
          <w:tcPr>
            <w:tcW w:w="1668"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每批抽取0.</w:t>
            </w:r>
            <w:r>
              <w:rPr>
                <w:rFonts w:hAnsi="宋体"/>
                <w:bCs/>
                <w:sz w:val="18"/>
                <w:szCs w:val="18"/>
              </w:rPr>
              <w:t>3</w:t>
            </w:r>
            <w:r>
              <w:rPr>
                <w:rFonts w:hint="eastAsia" w:hAnsi="宋体"/>
                <w:bCs/>
                <w:sz w:val="18"/>
                <w:szCs w:val="18"/>
              </w:rPr>
              <w:t>‰，不小于</w:t>
            </w:r>
            <w:r>
              <w:rPr>
                <w:rFonts w:hAnsi="宋体"/>
                <w:bCs/>
                <w:sz w:val="18"/>
                <w:szCs w:val="18"/>
              </w:rPr>
              <w:t>3</w:t>
            </w:r>
            <w:r>
              <w:rPr>
                <w:rFonts w:hint="eastAsia" w:hAnsi="宋体"/>
                <w:bCs/>
                <w:sz w:val="18"/>
                <w:szCs w:val="18"/>
              </w:rPr>
              <w:t>件</w:t>
            </w:r>
          </w:p>
        </w:tc>
        <w:tc>
          <w:tcPr>
            <w:tcW w:w="909"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5.</w:t>
            </w:r>
            <w:r>
              <w:rPr>
                <w:rFonts w:hAnsi="宋体"/>
                <w:bCs/>
                <w:sz w:val="18"/>
                <w:szCs w:val="18"/>
              </w:rPr>
              <w:t>4</w:t>
            </w:r>
          </w:p>
        </w:tc>
        <w:tc>
          <w:tcPr>
            <w:tcW w:w="959"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6.2.4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7" w:type="pct"/>
            <w:shd w:val="clear" w:color="auto" w:fill="auto"/>
            <w:vAlign w:val="center"/>
          </w:tcPr>
          <w:p>
            <w:pPr>
              <w:pStyle w:val="231"/>
              <w:ind w:firstLine="0" w:firstLineChars="0"/>
              <w:jc w:val="center"/>
              <w:rPr>
                <w:rFonts w:hAnsi="宋体"/>
                <w:bCs/>
                <w:sz w:val="18"/>
                <w:szCs w:val="18"/>
              </w:rPr>
            </w:pPr>
            <w:r>
              <w:rPr>
                <w:rFonts w:hAnsi="宋体"/>
                <w:bCs/>
                <w:sz w:val="18"/>
                <w:szCs w:val="18"/>
              </w:rPr>
              <w:t>5</w:t>
            </w:r>
          </w:p>
        </w:tc>
        <w:tc>
          <w:tcPr>
            <w:tcW w:w="1107"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绝缘电阻</w:t>
            </w:r>
          </w:p>
        </w:tc>
        <w:tc>
          <w:tcPr>
            <w:tcW w:w="1668"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每批抽取0.</w:t>
            </w:r>
            <w:r>
              <w:rPr>
                <w:rFonts w:hAnsi="宋体"/>
                <w:bCs/>
                <w:sz w:val="18"/>
                <w:szCs w:val="18"/>
              </w:rPr>
              <w:t>5</w:t>
            </w:r>
            <w:r>
              <w:rPr>
                <w:rFonts w:hint="eastAsia" w:hAnsi="宋体"/>
                <w:bCs/>
                <w:sz w:val="18"/>
                <w:szCs w:val="18"/>
              </w:rPr>
              <w:t>‰，不小于</w:t>
            </w:r>
            <w:r>
              <w:rPr>
                <w:rFonts w:hAnsi="宋体"/>
                <w:bCs/>
                <w:sz w:val="18"/>
                <w:szCs w:val="18"/>
              </w:rPr>
              <w:t>5</w:t>
            </w:r>
            <w:r>
              <w:rPr>
                <w:rFonts w:hint="eastAsia" w:hAnsi="宋体"/>
                <w:bCs/>
                <w:sz w:val="18"/>
                <w:szCs w:val="18"/>
              </w:rPr>
              <w:t>件</w:t>
            </w:r>
          </w:p>
        </w:tc>
        <w:tc>
          <w:tcPr>
            <w:tcW w:w="909"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5.</w:t>
            </w:r>
            <w:r>
              <w:rPr>
                <w:rFonts w:hAnsi="宋体"/>
                <w:bCs/>
                <w:sz w:val="18"/>
                <w:szCs w:val="18"/>
              </w:rPr>
              <w:t>4</w:t>
            </w:r>
          </w:p>
        </w:tc>
        <w:tc>
          <w:tcPr>
            <w:tcW w:w="959" w:type="pct"/>
            <w:shd w:val="clear" w:color="auto" w:fill="auto"/>
            <w:vAlign w:val="center"/>
          </w:tcPr>
          <w:p>
            <w:pPr>
              <w:pStyle w:val="231"/>
              <w:ind w:firstLine="0" w:firstLineChars="0"/>
              <w:jc w:val="center"/>
              <w:rPr>
                <w:rFonts w:hAnsi="宋体"/>
                <w:bCs/>
                <w:sz w:val="18"/>
                <w:szCs w:val="18"/>
              </w:rPr>
            </w:pPr>
            <w:r>
              <w:rPr>
                <w:rFonts w:hint="eastAsia" w:hAnsi="宋体"/>
                <w:bCs/>
                <w:sz w:val="18"/>
                <w:szCs w:val="18"/>
              </w:rPr>
              <w:t>6.2.5</w:t>
            </w:r>
          </w:p>
        </w:tc>
      </w:tr>
    </w:tbl>
    <w:p>
      <w:pPr>
        <w:pStyle w:val="105"/>
        <w:spacing w:before="156" w:after="156"/>
      </w:pPr>
      <w:r>
        <w:rPr>
          <w:rFonts w:hint="eastAsia"/>
        </w:rPr>
        <w:t>检验结果的判定</w:t>
      </w:r>
    </w:p>
    <w:p>
      <w:pPr>
        <w:pStyle w:val="165"/>
      </w:pPr>
      <w:r>
        <w:rPr>
          <w:rFonts w:hint="eastAsia"/>
        </w:rPr>
        <w:t>外形尺寸若有1个样品检验结果不合格，则从该批产品中另取相同数量的样品进行重复试验，若仍有1个样品的检验结果不合格，判该批产品不合格。</w:t>
      </w:r>
    </w:p>
    <w:p>
      <w:pPr>
        <w:pStyle w:val="165"/>
      </w:pPr>
      <w:r>
        <w:rPr>
          <w:rFonts w:hint="eastAsia"/>
        </w:rPr>
        <w:t>外观质量检验不合格，判该件不合格。</w:t>
      </w:r>
    </w:p>
    <w:p>
      <w:pPr>
        <w:pStyle w:val="165"/>
      </w:pPr>
      <w:r>
        <w:rPr>
          <w:rFonts w:hint="eastAsia"/>
        </w:rPr>
        <w:t>气密性、封接拉力、绝缘电阻若有1个样品检验结果不合格，则另取相同数量样品进行重复试验，若仍有1个样品的检验结果不合格，判该批产品不合格。</w:t>
      </w:r>
    </w:p>
    <w:p>
      <w:pPr>
        <w:pStyle w:val="104"/>
        <w:spacing w:before="312" w:after="312"/>
      </w:pPr>
      <w:r>
        <w:rPr>
          <w:rFonts w:hint="eastAsia"/>
        </w:rPr>
        <w:t>标志、包装、标识、运输、贮存</w:t>
      </w:r>
    </w:p>
    <w:p>
      <w:pPr>
        <w:pStyle w:val="105"/>
        <w:spacing w:before="156" w:after="156"/>
      </w:pPr>
      <w:r>
        <w:rPr>
          <w:rFonts w:hint="eastAsia"/>
        </w:rPr>
        <w:t>标志</w:t>
      </w:r>
    </w:p>
    <w:p>
      <w:pPr>
        <w:pStyle w:val="165"/>
      </w:pPr>
      <w:r>
        <w:rPr>
          <w:rFonts w:hint="eastAsia"/>
        </w:rPr>
        <w:t>在每个纸盒上贴上标签。标签内容包括：</w:t>
      </w:r>
    </w:p>
    <w:p>
      <w:pPr>
        <w:pStyle w:val="174"/>
        <w:numPr>
          <w:ilvl w:val="0"/>
          <w:numId w:val="32"/>
        </w:numPr>
      </w:pPr>
      <w:r>
        <w:rPr>
          <w:rFonts w:hint="eastAsia"/>
        </w:rPr>
        <w:t>产品名称；</w:t>
      </w:r>
    </w:p>
    <w:p>
      <w:pPr>
        <w:pStyle w:val="174"/>
        <w:numPr>
          <w:ilvl w:val="0"/>
          <w:numId w:val="32"/>
        </w:numPr>
      </w:pPr>
      <w:r>
        <w:rPr>
          <w:rFonts w:hint="eastAsia"/>
        </w:rPr>
        <w:t>型号；</w:t>
      </w:r>
    </w:p>
    <w:p>
      <w:pPr>
        <w:pStyle w:val="174"/>
        <w:numPr>
          <w:ilvl w:val="0"/>
          <w:numId w:val="32"/>
        </w:numPr>
      </w:pPr>
      <w:r>
        <w:rPr>
          <w:rFonts w:hint="eastAsia"/>
        </w:rPr>
        <w:t>数量；</w:t>
      </w:r>
    </w:p>
    <w:p>
      <w:pPr>
        <w:pStyle w:val="174"/>
        <w:numPr>
          <w:ilvl w:val="0"/>
          <w:numId w:val="32"/>
        </w:numPr>
      </w:pPr>
      <w:r>
        <w:rPr>
          <w:rFonts w:hint="eastAsia"/>
        </w:rPr>
        <w:t>批号；</w:t>
      </w:r>
    </w:p>
    <w:p>
      <w:pPr>
        <w:pStyle w:val="174"/>
        <w:numPr>
          <w:ilvl w:val="0"/>
          <w:numId w:val="32"/>
        </w:numPr>
      </w:pPr>
      <w:r>
        <w:rPr>
          <w:rFonts w:hint="eastAsia"/>
        </w:rPr>
        <w:t>包装日期。</w:t>
      </w:r>
    </w:p>
    <w:p>
      <w:pPr>
        <w:pStyle w:val="165"/>
      </w:pPr>
      <w:r>
        <w:rPr>
          <w:rFonts w:hint="eastAsia"/>
        </w:rPr>
        <w:t>在包装箱外做标志，标志内容包括：</w:t>
      </w:r>
    </w:p>
    <w:p>
      <w:pPr>
        <w:pStyle w:val="174"/>
        <w:numPr>
          <w:ilvl w:val="0"/>
          <w:numId w:val="33"/>
        </w:numPr>
      </w:pPr>
      <w:r>
        <w:rPr>
          <w:rFonts w:hint="eastAsia"/>
        </w:rPr>
        <w:t>需方名称；</w:t>
      </w:r>
    </w:p>
    <w:p>
      <w:pPr>
        <w:pStyle w:val="174"/>
        <w:numPr>
          <w:ilvl w:val="0"/>
          <w:numId w:val="33"/>
        </w:numPr>
      </w:pPr>
      <w:r>
        <w:rPr>
          <w:rFonts w:hint="eastAsia"/>
        </w:rPr>
        <w:t>收货人；</w:t>
      </w:r>
    </w:p>
    <w:p>
      <w:pPr>
        <w:pStyle w:val="174"/>
        <w:numPr>
          <w:ilvl w:val="0"/>
          <w:numId w:val="33"/>
        </w:numPr>
      </w:pPr>
      <w:r>
        <w:rPr>
          <w:rFonts w:hint="eastAsia"/>
        </w:rPr>
        <w:t>联系方式；</w:t>
      </w:r>
    </w:p>
    <w:p>
      <w:pPr>
        <w:pStyle w:val="174"/>
        <w:numPr>
          <w:ilvl w:val="0"/>
          <w:numId w:val="33"/>
        </w:numPr>
      </w:pPr>
      <w:r>
        <w:rPr>
          <w:rFonts w:hint="eastAsia"/>
        </w:rPr>
        <w:t>其他。</w:t>
      </w:r>
    </w:p>
    <w:p>
      <w:pPr>
        <w:pStyle w:val="105"/>
        <w:spacing w:before="156" w:after="156"/>
      </w:pPr>
      <w:r>
        <w:rPr>
          <w:rFonts w:hint="eastAsia"/>
        </w:rPr>
        <w:t>包装、运输、贮存</w:t>
      </w:r>
    </w:p>
    <w:p>
      <w:pPr>
        <w:pStyle w:val="165"/>
      </w:pPr>
      <w:r>
        <w:rPr>
          <w:rFonts w:hint="eastAsia"/>
        </w:rPr>
        <w:t>产品应先使用塑料袋包装，在塑料袋中放置干燥剂，再装入纸盒中。</w:t>
      </w:r>
    </w:p>
    <w:p>
      <w:pPr>
        <w:pStyle w:val="165"/>
      </w:pPr>
      <w:r>
        <w:rPr>
          <w:rFonts w:hint="eastAsia"/>
        </w:rPr>
        <w:t>将小纸盒整齐放在大包装箱内，周围用泡沫板做垫层，防止挤压损伤产品。</w:t>
      </w:r>
    </w:p>
    <w:p>
      <w:pPr>
        <w:pStyle w:val="165"/>
      </w:pPr>
      <w:r>
        <w:rPr>
          <w:rFonts w:hint="eastAsia"/>
        </w:rPr>
        <w:t>打好包装箱后，整齐码放在托盘上，用塑料膜缠绕包裹，防止散货、雨淋。</w:t>
      </w:r>
    </w:p>
    <w:p>
      <w:pPr>
        <w:pStyle w:val="165"/>
      </w:pPr>
      <w:r>
        <w:rPr>
          <w:rFonts w:hint="eastAsia"/>
        </w:rPr>
        <w:t>产品在运输过程中应防止碰撞、挤压。</w:t>
      </w:r>
    </w:p>
    <w:p>
      <w:pPr>
        <w:pStyle w:val="165"/>
      </w:pPr>
      <w:r>
        <w:rPr>
          <w:rFonts w:hint="eastAsia"/>
        </w:rPr>
        <w:t>产品应放在干燥</w:t>
      </w:r>
      <w:r>
        <w:rPr>
          <w:rFonts w:hint="eastAsia"/>
          <w:lang w:eastAsia="zh-CN"/>
        </w:rPr>
        <w:t>无污染</w:t>
      </w:r>
      <w:r>
        <w:rPr>
          <w:rFonts w:hint="eastAsia"/>
        </w:rPr>
        <w:t>的环境中。</w:t>
      </w:r>
    </w:p>
    <w:p>
      <w:pPr>
        <w:pStyle w:val="105"/>
        <w:spacing w:before="156" w:after="156"/>
      </w:pPr>
      <w:r>
        <w:rPr>
          <w:rFonts w:hint="eastAsia"/>
        </w:rPr>
        <w:t>随行文件</w:t>
      </w:r>
    </w:p>
    <w:p>
      <w:pPr>
        <w:pStyle w:val="56"/>
        <w:ind w:firstLine="420"/>
      </w:pPr>
      <w:r>
        <w:rPr>
          <w:rFonts w:hint="eastAsia"/>
        </w:rPr>
        <w:t>每批产品应附有随行文件，其中除应包括供方信息、产品信息、本文件编号、出厂日期或包装日期外，还宜包括：</w:t>
      </w:r>
    </w:p>
    <w:p>
      <w:pPr>
        <w:pStyle w:val="174"/>
        <w:numPr>
          <w:ilvl w:val="0"/>
          <w:numId w:val="34"/>
        </w:numPr>
      </w:pPr>
      <w:r>
        <w:rPr>
          <w:rFonts w:hint="eastAsia"/>
        </w:rPr>
        <w:t>产品合格证，内容如下：</w:t>
      </w:r>
    </w:p>
    <w:p>
      <w:pPr>
        <w:pStyle w:val="187"/>
      </w:pPr>
      <w:r>
        <w:rPr>
          <w:rFonts w:hint="eastAsia"/>
        </w:rPr>
        <w:t>检验项目及其结果或检验结论；</w:t>
      </w:r>
    </w:p>
    <w:p>
      <w:pPr>
        <w:pStyle w:val="187"/>
      </w:pPr>
      <w:r>
        <w:rPr>
          <w:rFonts w:hint="eastAsia"/>
        </w:rPr>
        <w:t>批量或批号；</w:t>
      </w:r>
    </w:p>
    <w:p>
      <w:pPr>
        <w:pStyle w:val="187"/>
      </w:pPr>
      <w:r>
        <w:rPr>
          <w:rFonts w:hint="eastAsia"/>
        </w:rPr>
        <w:t>检验日期；</w:t>
      </w:r>
    </w:p>
    <w:p>
      <w:pPr>
        <w:pStyle w:val="187"/>
      </w:pPr>
      <w:r>
        <w:rPr>
          <w:rFonts w:hint="eastAsia"/>
        </w:rPr>
        <w:t>检验员签名或盖章。</w:t>
      </w:r>
    </w:p>
    <w:p>
      <w:pPr>
        <w:pStyle w:val="174"/>
      </w:pPr>
      <w:r>
        <w:rPr>
          <w:rFonts w:hint="eastAsia"/>
        </w:rPr>
        <w:t>其他。</w:t>
      </w:r>
    </w:p>
    <w:p>
      <w:pPr>
        <w:pStyle w:val="104"/>
        <w:spacing w:before="312" w:after="312"/>
      </w:pPr>
      <w:r>
        <w:rPr>
          <w:rFonts w:hint="eastAsia"/>
        </w:rPr>
        <w:t>订货单内容</w:t>
      </w:r>
    </w:p>
    <w:p>
      <w:pPr>
        <w:pStyle w:val="56"/>
        <w:ind w:firstLine="420"/>
      </w:pPr>
      <w:r>
        <w:rPr>
          <w:rFonts w:hint="eastAsia"/>
        </w:rPr>
        <w:t>需方可根据自身的需要，在订购本文件所列产品的订货单内，列出如下内容：</w:t>
      </w:r>
    </w:p>
    <w:p>
      <w:pPr>
        <w:pStyle w:val="174"/>
        <w:numPr>
          <w:ilvl w:val="0"/>
          <w:numId w:val="35"/>
        </w:numPr>
      </w:pPr>
      <w:r>
        <w:rPr>
          <w:rFonts w:hint="eastAsia"/>
        </w:rPr>
        <w:t>产品名称；</w:t>
      </w:r>
    </w:p>
    <w:p>
      <w:pPr>
        <w:pStyle w:val="174"/>
        <w:numPr>
          <w:ilvl w:val="0"/>
          <w:numId w:val="35"/>
        </w:numPr>
      </w:pPr>
      <w:r>
        <w:rPr>
          <w:rFonts w:hint="eastAsia"/>
        </w:rPr>
        <w:t>型号；</w:t>
      </w:r>
    </w:p>
    <w:p>
      <w:pPr>
        <w:pStyle w:val="174"/>
        <w:numPr>
          <w:ilvl w:val="0"/>
          <w:numId w:val="35"/>
        </w:numPr>
      </w:pPr>
      <w:r>
        <w:rPr>
          <w:rFonts w:hint="eastAsia"/>
        </w:rPr>
        <w:t>产品数量；</w:t>
      </w:r>
    </w:p>
    <w:p>
      <w:pPr>
        <w:pStyle w:val="174"/>
        <w:numPr>
          <w:ilvl w:val="0"/>
          <w:numId w:val="35"/>
        </w:numPr>
      </w:pPr>
      <w:r>
        <w:rPr>
          <w:rFonts w:hint="eastAsia"/>
        </w:rPr>
        <w:t>气密性（需方需要时）；</w:t>
      </w:r>
    </w:p>
    <w:p>
      <w:pPr>
        <w:pStyle w:val="174"/>
        <w:numPr>
          <w:ilvl w:val="0"/>
          <w:numId w:val="35"/>
        </w:numPr>
      </w:pPr>
      <w:r>
        <w:rPr>
          <w:rFonts w:hint="eastAsia"/>
        </w:rPr>
        <w:t>绝缘电阻（需方需要时）；</w:t>
      </w:r>
    </w:p>
    <w:p>
      <w:pPr>
        <w:pStyle w:val="174"/>
        <w:numPr>
          <w:ilvl w:val="0"/>
          <w:numId w:val="35"/>
        </w:numPr>
      </w:pPr>
      <w:r>
        <w:rPr>
          <w:rFonts w:hint="eastAsia"/>
        </w:rPr>
        <w:t>封接拉力（需方需要时）；</w:t>
      </w:r>
    </w:p>
    <w:p>
      <w:pPr>
        <w:pStyle w:val="174"/>
        <w:numPr>
          <w:ilvl w:val="0"/>
          <w:numId w:val="35"/>
        </w:numPr>
      </w:pPr>
      <w:r>
        <w:rPr>
          <w:rFonts w:hint="eastAsia"/>
        </w:rPr>
        <w:t>本文件编号；</w:t>
      </w:r>
    </w:p>
    <w:p>
      <w:pPr>
        <w:pStyle w:val="174"/>
        <w:numPr>
          <w:ilvl w:val="0"/>
          <w:numId w:val="35"/>
        </w:numPr>
      </w:pPr>
      <w:r>
        <w:rPr>
          <w:rFonts w:hint="eastAsia"/>
        </w:rPr>
        <w:t>其他。</w:t>
      </w:r>
    </w:p>
    <w:bookmarkEnd w:id="40"/>
    <w:p>
      <w:pPr>
        <w:pStyle w:val="174"/>
        <w:numPr>
          <w:ilvl w:val="0"/>
          <w:numId w:val="0"/>
        </w:numPr>
        <w:ind w:left="425"/>
        <w:sectPr>
          <w:pgSz w:w="11906" w:h="16838"/>
          <w:pgMar w:top="567" w:right="1134" w:bottom="1134" w:left="1134" w:header="1418" w:footer="1134" w:gutter="284"/>
          <w:pgNumType w:start="1"/>
          <w:cols w:space="425" w:num="1"/>
          <w:formProt w:val="0"/>
          <w:docGrid w:type="lines" w:linePitch="312" w:charSpace="0"/>
        </w:sectPr>
      </w:pPr>
    </w:p>
    <w:bookmarkEnd w:id="21"/>
    <w:p>
      <w:pPr>
        <w:pStyle w:val="198"/>
        <w:rPr>
          <w:vanish w:val="0"/>
        </w:rPr>
      </w:pPr>
      <w:bookmarkStart w:id="48" w:name="BookMark5"/>
    </w:p>
    <w:p>
      <w:pPr>
        <w:pStyle w:val="199"/>
        <w:rPr>
          <w:vanish w:val="0"/>
        </w:rPr>
      </w:pPr>
    </w:p>
    <w:p>
      <w:pPr>
        <w:pStyle w:val="76"/>
        <w:spacing w:before="78" w:after="156"/>
      </w:pPr>
      <w:r>
        <w:br w:type="textWrapping"/>
      </w:r>
      <w:r>
        <w:rPr>
          <w:rFonts w:hint="eastAsia"/>
        </w:rPr>
        <w:t>（规范性）</w:t>
      </w:r>
      <w:r>
        <w:br w:type="textWrapping"/>
      </w:r>
      <w:r>
        <w:rPr>
          <w:rFonts w:hint="eastAsia"/>
        </w:rPr>
        <w:t>气密性检测方法</w:t>
      </w:r>
    </w:p>
    <w:p>
      <w:pPr>
        <w:pStyle w:val="78"/>
        <w:spacing w:before="156" w:after="156"/>
      </w:pPr>
      <w:r>
        <w:rPr>
          <w:rFonts w:hint="eastAsia"/>
        </w:rPr>
        <w:t>方法及原理</w:t>
      </w:r>
    </w:p>
    <w:p>
      <w:pPr>
        <w:pStyle w:val="56"/>
        <w:ind w:firstLine="420"/>
      </w:pPr>
      <w:r>
        <w:rPr>
          <w:rFonts w:hint="eastAsia"/>
        </w:rPr>
        <w:t>氦质谱检漏仪是根据质谱学原理，使用氦气作为探测气体而制成的气密性检测仪器。将被检样品放在检漏仪的检漏口上，在被检样品一侧吹入氦气，当样品上有漏孔存在时，氦气就通过样品漏孔进入检漏仪而被检测到。</w:t>
      </w:r>
    </w:p>
    <w:p>
      <w:pPr>
        <w:pStyle w:val="78"/>
        <w:spacing w:before="156" w:after="156"/>
      </w:pPr>
      <w:r>
        <w:rPr>
          <w:rFonts w:hint="eastAsia"/>
        </w:rPr>
        <w:t>气密性检测系统</w:t>
      </w:r>
    </w:p>
    <w:p>
      <w:pPr>
        <w:pStyle w:val="56"/>
        <w:ind w:firstLine="420"/>
      </w:pPr>
      <w:r>
        <w:rPr>
          <w:rFonts w:hint="eastAsia"/>
        </w:rPr>
        <w:t>气密性检测系统示意图见图A</w:t>
      </w:r>
      <w:r>
        <w:t>.1</w:t>
      </w:r>
      <w:r>
        <w:rPr>
          <w:rFonts w:hint="eastAsia"/>
        </w:rPr>
        <w:t>。</w:t>
      </w:r>
    </w:p>
    <w:p>
      <w:pPr>
        <w:pStyle w:val="56"/>
        <w:ind w:firstLine="420"/>
        <w:jc w:val="center"/>
      </w:pPr>
      <w:r>
        <w:drawing>
          <wp:inline distT="0" distB="0" distL="0" distR="0">
            <wp:extent cx="1580515" cy="2296160"/>
            <wp:effectExtent l="0" t="0" r="635"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09392" cy="2337667"/>
                    </a:xfrm>
                    <a:prstGeom prst="rect">
                      <a:avLst/>
                    </a:prstGeom>
                    <a:noFill/>
                  </pic:spPr>
                </pic:pic>
              </a:graphicData>
            </a:graphic>
          </wp:inline>
        </w:drawing>
      </w:r>
    </w:p>
    <w:p>
      <w:pPr>
        <w:pStyle w:val="182"/>
        <w:ind w:firstLine="360"/>
      </w:pPr>
      <w:r>
        <w:rPr>
          <w:rFonts w:hint="eastAsia"/>
        </w:rPr>
        <w:t>标引序号说明：</w:t>
      </w:r>
    </w:p>
    <w:p>
      <w:pPr>
        <w:pStyle w:val="182"/>
        <w:ind w:firstLine="360"/>
      </w:pPr>
      <w:r>
        <w:rPr>
          <w:rFonts w:hint="eastAsia"/>
        </w:rPr>
        <w:t>1——氦气；</w:t>
      </w:r>
    </w:p>
    <w:p>
      <w:pPr>
        <w:pStyle w:val="182"/>
        <w:ind w:firstLine="360"/>
      </w:pPr>
      <w:r>
        <w:rPr>
          <w:rFonts w:hint="eastAsia"/>
        </w:rPr>
        <w:t>2——喷枪；</w:t>
      </w:r>
    </w:p>
    <w:p>
      <w:pPr>
        <w:pStyle w:val="182"/>
        <w:ind w:firstLine="360"/>
      </w:pPr>
      <w:r>
        <w:rPr>
          <w:rFonts w:hint="eastAsia"/>
        </w:rPr>
        <w:t>3——被检样品；</w:t>
      </w:r>
    </w:p>
    <w:p>
      <w:pPr>
        <w:pStyle w:val="182"/>
        <w:ind w:firstLine="360"/>
      </w:pPr>
      <w:r>
        <w:rPr>
          <w:rFonts w:hint="eastAsia"/>
        </w:rPr>
        <w:t>4——橡胶垫；</w:t>
      </w:r>
    </w:p>
    <w:p>
      <w:pPr>
        <w:pStyle w:val="182"/>
        <w:ind w:firstLine="360"/>
      </w:pPr>
      <w:r>
        <w:rPr>
          <w:rFonts w:hint="eastAsia"/>
        </w:rPr>
        <w:t>5——检漏仪。</w:t>
      </w:r>
    </w:p>
    <w:p>
      <w:pPr>
        <w:pStyle w:val="83"/>
        <w:spacing w:before="156" w:after="156"/>
      </w:pPr>
      <w:r>
        <w:rPr>
          <w:rFonts w:hint="eastAsia"/>
        </w:rPr>
        <w:t>气密性检测系统示意图</w:t>
      </w:r>
    </w:p>
    <w:p>
      <w:pPr>
        <w:pStyle w:val="78"/>
        <w:spacing w:before="156" w:after="156"/>
      </w:pPr>
      <w:r>
        <w:rPr>
          <w:rFonts w:hint="eastAsia"/>
        </w:rPr>
        <w:t>检测设备</w:t>
      </w:r>
    </w:p>
    <w:p>
      <w:pPr>
        <w:pStyle w:val="56"/>
        <w:ind w:firstLine="420"/>
      </w:pPr>
      <w:r>
        <w:rPr>
          <w:rFonts w:hint="eastAsia"/>
        </w:rPr>
        <w:t>检测设备应采用氦质谱检漏仪。</w:t>
      </w:r>
    </w:p>
    <w:p>
      <w:pPr>
        <w:pStyle w:val="78"/>
        <w:spacing w:before="156" w:after="156"/>
      </w:pPr>
      <w:r>
        <w:rPr>
          <w:rFonts w:hint="eastAsia"/>
        </w:rPr>
        <w:t>检测步骤</w:t>
      </w:r>
    </w:p>
    <w:p>
      <w:pPr>
        <w:pStyle w:val="212"/>
      </w:pPr>
      <w:r>
        <w:rPr>
          <w:rFonts w:hint="eastAsia"/>
        </w:rPr>
        <w:t>在检漏口橡胶垫上均匀涂真空脂（或酒精），将被检样品放在检漏口处；</w:t>
      </w:r>
    </w:p>
    <w:p>
      <w:pPr>
        <w:pStyle w:val="212"/>
      </w:pPr>
      <w:r>
        <w:rPr>
          <w:rFonts w:hint="eastAsia"/>
        </w:rPr>
        <w:t>打开检漏仪器“启动”开关；</w:t>
      </w:r>
    </w:p>
    <w:p>
      <w:pPr>
        <w:pStyle w:val="212"/>
      </w:pPr>
      <w:r>
        <w:rPr>
          <w:rFonts w:hint="eastAsia"/>
        </w:rPr>
        <w:t>当检漏仪真空度显示数据小于1</w:t>
      </w:r>
      <w:r>
        <w:t xml:space="preserve"> </w:t>
      </w:r>
      <w:r>
        <w:rPr>
          <w:rFonts w:hint="eastAsia"/>
        </w:rPr>
        <w:t>Pa时，按下“发射”开关；</w:t>
      </w:r>
    </w:p>
    <w:p>
      <w:pPr>
        <w:pStyle w:val="212"/>
      </w:pPr>
      <w:r>
        <w:rPr>
          <w:rFonts w:hint="eastAsia"/>
        </w:rPr>
        <w:t>用喷枪向被检样品封接部位吹氦气；</w:t>
      </w:r>
    </w:p>
    <w:p>
      <w:pPr>
        <w:pStyle w:val="212"/>
      </w:pPr>
      <w:r>
        <w:rPr>
          <w:rFonts w:hint="eastAsia"/>
        </w:rPr>
        <w:t>记录检漏仪显示的“漏率”数据。</w:t>
      </w:r>
    </w:p>
    <w:bookmarkEnd w:id="48"/>
    <w:p>
      <w:pPr>
        <w:pStyle w:val="56"/>
        <w:ind w:firstLine="0" w:firstLineChars="0"/>
        <w:jc w:val="center"/>
      </w:pPr>
      <w:bookmarkStart w:id="49" w:name="BookMark8"/>
      <w:r>
        <w:drawing>
          <wp:inline distT="0" distB="0" distL="0" distR="0">
            <wp:extent cx="1485900" cy="317500"/>
            <wp:effectExtent l="0" t="0" r="0" b="6350"/>
            <wp:docPr id="32" name="图片 32"/>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567"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0"/>
    </w:pPr>
    <w:r>
      <w:fldChar w:fldCharType="begin"/>
    </w:r>
    <w:r>
      <w:instrText xml:space="preserve"> STYLEREF  标准文件_文件编号  \* MERGEFORMAT </w:instrText>
    </w:r>
    <w:r>
      <w:fldChar w:fldCharType="separate"/>
    </w:r>
    <w:r>
      <w:t>GB/T 26047—XXXX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GB/T 26047—XXXX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C2"/>
    <w:rsid w:val="0000040A"/>
    <w:rsid w:val="00000A94"/>
    <w:rsid w:val="00001972"/>
    <w:rsid w:val="00001D9A"/>
    <w:rsid w:val="00007B3A"/>
    <w:rsid w:val="000107E0"/>
    <w:rsid w:val="000119E7"/>
    <w:rsid w:val="00011FDE"/>
    <w:rsid w:val="00012FFD"/>
    <w:rsid w:val="00014162"/>
    <w:rsid w:val="00014340"/>
    <w:rsid w:val="00014AA4"/>
    <w:rsid w:val="00016320"/>
    <w:rsid w:val="00016A9C"/>
    <w:rsid w:val="00022184"/>
    <w:rsid w:val="00022762"/>
    <w:rsid w:val="000238E0"/>
    <w:rsid w:val="000249DB"/>
    <w:rsid w:val="0002595E"/>
    <w:rsid w:val="00027A7F"/>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6F8"/>
    <w:rsid w:val="000619E9"/>
    <w:rsid w:val="000622D4"/>
    <w:rsid w:val="0006357D"/>
    <w:rsid w:val="000657EB"/>
    <w:rsid w:val="00067F1E"/>
    <w:rsid w:val="00071CC0"/>
    <w:rsid w:val="00073C8C"/>
    <w:rsid w:val="0007551A"/>
    <w:rsid w:val="00077B64"/>
    <w:rsid w:val="00080A1C"/>
    <w:rsid w:val="00082317"/>
    <w:rsid w:val="00083D2C"/>
    <w:rsid w:val="0008444D"/>
    <w:rsid w:val="00086AA1"/>
    <w:rsid w:val="00087536"/>
    <w:rsid w:val="00087A77"/>
    <w:rsid w:val="000904E4"/>
    <w:rsid w:val="00090CA6"/>
    <w:rsid w:val="00092B8A"/>
    <w:rsid w:val="00092FB0"/>
    <w:rsid w:val="000934C5"/>
    <w:rsid w:val="00093D25"/>
    <w:rsid w:val="00094D73"/>
    <w:rsid w:val="000963F6"/>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204"/>
    <w:rsid w:val="000D0A9C"/>
    <w:rsid w:val="000D1795"/>
    <w:rsid w:val="000D3088"/>
    <w:rsid w:val="000D329A"/>
    <w:rsid w:val="000D4B9C"/>
    <w:rsid w:val="000D4EB6"/>
    <w:rsid w:val="000D753B"/>
    <w:rsid w:val="000E4C9E"/>
    <w:rsid w:val="000E625A"/>
    <w:rsid w:val="000E6FD7"/>
    <w:rsid w:val="000F06E1"/>
    <w:rsid w:val="000F0E3C"/>
    <w:rsid w:val="000F19D5"/>
    <w:rsid w:val="000F2E41"/>
    <w:rsid w:val="000F4AEA"/>
    <w:rsid w:val="000F6501"/>
    <w:rsid w:val="000F67E9"/>
    <w:rsid w:val="001016A7"/>
    <w:rsid w:val="00104926"/>
    <w:rsid w:val="00107AF4"/>
    <w:rsid w:val="00113B1E"/>
    <w:rsid w:val="0011711C"/>
    <w:rsid w:val="00124E4F"/>
    <w:rsid w:val="00125883"/>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367"/>
    <w:rsid w:val="00156B25"/>
    <w:rsid w:val="00156E1A"/>
    <w:rsid w:val="00157B55"/>
    <w:rsid w:val="001614A4"/>
    <w:rsid w:val="001637AA"/>
    <w:rsid w:val="001642FA"/>
    <w:rsid w:val="001649EB"/>
    <w:rsid w:val="00164BAF"/>
    <w:rsid w:val="00164FA8"/>
    <w:rsid w:val="00165065"/>
    <w:rsid w:val="00165434"/>
    <w:rsid w:val="0016580B"/>
    <w:rsid w:val="00165F49"/>
    <w:rsid w:val="00166B88"/>
    <w:rsid w:val="0016770A"/>
    <w:rsid w:val="00167E62"/>
    <w:rsid w:val="00170804"/>
    <w:rsid w:val="001708E9"/>
    <w:rsid w:val="0017340B"/>
    <w:rsid w:val="00173FB1"/>
    <w:rsid w:val="00176DFD"/>
    <w:rsid w:val="00176F26"/>
    <w:rsid w:val="00182A7E"/>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5DD"/>
    <w:rsid w:val="001C49E5"/>
    <w:rsid w:val="001C50DA"/>
    <w:rsid w:val="001C680C"/>
    <w:rsid w:val="001C7FEA"/>
    <w:rsid w:val="001D0499"/>
    <w:rsid w:val="001D0BBE"/>
    <w:rsid w:val="001D0ED4"/>
    <w:rsid w:val="001D12CD"/>
    <w:rsid w:val="001D1C53"/>
    <w:rsid w:val="001D212F"/>
    <w:rsid w:val="001D29D7"/>
    <w:rsid w:val="001D2DE7"/>
    <w:rsid w:val="001D411C"/>
    <w:rsid w:val="001E1B6A"/>
    <w:rsid w:val="001E2206"/>
    <w:rsid w:val="001E2484"/>
    <w:rsid w:val="001E3CC4"/>
    <w:rsid w:val="001E4882"/>
    <w:rsid w:val="001E73AB"/>
    <w:rsid w:val="001F0235"/>
    <w:rsid w:val="001F092D"/>
    <w:rsid w:val="001F143A"/>
    <w:rsid w:val="001F1605"/>
    <w:rsid w:val="001F1AC7"/>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6DD"/>
    <w:rsid w:val="0022794E"/>
    <w:rsid w:val="00233D64"/>
    <w:rsid w:val="0023482A"/>
    <w:rsid w:val="002359CB"/>
    <w:rsid w:val="00243540"/>
    <w:rsid w:val="00244421"/>
    <w:rsid w:val="0024497B"/>
    <w:rsid w:val="0024515B"/>
    <w:rsid w:val="00246021"/>
    <w:rsid w:val="0024666E"/>
    <w:rsid w:val="00247DF8"/>
    <w:rsid w:val="00247F52"/>
    <w:rsid w:val="00250B25"/>
    <w:rsid w:val="00250BBE"/>
    <w:rsid w:val="0025194F"/>
    <w:rsid w:val="00260104"/>
    <w:rsid w:val="0026148A"/>
    <w:rsid w:val="00262696"/>
    <w:rsid w:val="002643C3"/>
    <w:rsid w:val="00264A0C"/>
    <w:rsid w:val="00267EF4"/>
    <w:rsid w:val="00270CB8"/>
    <w:rsid w:val="00272B08"/>
    <w:rsid w:val="00281BB8"/>
    <w:rsid w:val="00281E9E"/>
    <w:rsid w:val="00285170"/>
    <w:rsid w:val="00285361"/>
    <w:rsid w:val="00290F22"/>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32D"/>
    <w:rsid w:val="002B1966"/>
    <w:rsid w:val="002B4508"/>
    <w:rsid w:val="002B5779"/>
    <w:rsid w:val="002B7332"/>
    <w:rsid w:val="002B7F51"/>
    <w:rsid w:val="002C09E7"/>
    <w:rsid w:val="002C1B28"/>
    <w:rsid w:val="002C3F07"/>
    <w:rsid w:val="002C5278"/>
    <w:rsid w:val="002C7EBB"/>
    <w:rsid w:val="002D05FB"/>
    <w:rsid w:val="002D06C1"/>
    <w:rsid w:val="002D2680"/>
    <w:rsid w:val="002D42B5"/>
    <w:rsid w:val="002D4DB2"/>
    <w:rsid w:val="002D4F1A"/>
    <w:rsid w:val="002D5D0B"/>
    <w:rsid w:val="002D6EC6"/>
    <w:rsid w:val="002D79AC"/>
    <w:rsid w:val="002E039D"/>
    <w:rsid w:val="002E4D5A"/>
    <w:rsid w:val="002E6326"/>
    <w:rsid w:val="002F30E0"/>
    <w:rsid w:val="002F35E4"/>
    <w:rsid w:val="002F3730"/>
    <w:rsid w:val="002F38E1"/>
    <w:rsid w:val="002F6CCF"/>
    <w:rsid w:val="002F7AF6"/>
    <w:rsid w:val="00300E63"/>
    <w:rsid w:val="00302F5F"/>
    <w:rsid w:val="0030441D"/>
    <w:rsid w:val="00306063"/>
    <w:rsid w:val="00307C41"/>
    <w:rsid w:val="00313B85"/>
    <w:rsid w:val="00314103"/>
    <w:rsid w:val="003141B5"/>
    <w:rsid w:val="00314BDF"/>
    <w:rsid w:val="00317988"/>
    <w:rsid w:val="003221B4"/>
    <w:rsid w:val="00322E62"/>
    <w:rsid w:val="00324EDD"/>
    <w:rsid w:val="0032508B"/>
    <w:rsid w:val="00336524"/>
    <w:rsid w:val="00336C64"/>
    <w:rsid w:val="00337162"/>
    <w:rsid w:val="0034194F"/>
    <w:rsid w:val="00344605"/>
    <w:rsid w:val="003474AA"/>
    <w:rsid w:val="00350D1D"/>
    <w:rsid w:val="00352C83"/>
    <w:rsid w:val="0035613A"/>
    <w:rsid w:val="003615D2"/>
    <w:rsid w:val="0036429C"/>
    <w:rsid w:val="00364498"/>
    <w:rsid w:val="00364A53"/>
    <w:rsid w:val="003654CB"/>
    <w:rsid w:val="00365F86"/>
    <w:rsid w:val="00365F87"/>
    <w:rsid w:val="00366067"/>
    <w:rsid w:val="003705F4"/>
    <w:rsid w:val="00370D58"/>
    <w:rsid w:val="0037124D"/>
    <w:rsid w:val="00371316"/>
    <w:rsid w:val="003726A4"/>
    <w:rsid w:val="00376713"/>
    <w:rsid w:val="003811EA"/>
    <w:rsid w:val="00381815"/>
    <w:rsid w:val="003819AF"/>
    <w:rsid w:val="003820E9"/>
    <w:rsid w:val="00382DE7"/>
    <w:rsid w:val="00384FFC"/>
    <w:rsid w:val="00385F4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C68D6"/>
    <w:rsid w:val="003D0519"/>
    <w:rsid w:val="003D0FF6"/>
    <w:rsid w:val="003D262C"/>
    <w:rsid w:val="003D6D61"/>
    <w:rsid w:val="003E091D"/>
    <w:rsid w:val="003E1C53"/>
    <w:rsid w:val="003E2A69"/>
    <w:rsid w:val="003E2D49"/>
    <w:rsid w:val="003E2FD4"/>
    <w:rsid w:val="003E49F6"/>
    <w:rsid w:val="003E689F"/>
    <w:rsid w:val="003E7D1A"/>
    <w:rsid w:val="003F0841"/>
    <w:rsid w:val="003F23D3"/>
    <w:rsid w:val="003F3F08"/>
    <w:rsid w:val="003F49F1"/>
    <w:rsid w:val="003F6272"/>
    <w:rsid w:val="00400E72"/>
    <w:rsid w:val="00401400"/>
    <w:rsid w:val="00403F0B"/>
    <w:rsid w:val="00404869"/>
    <w:rsid w:val="00405884"/>
    <w:rsid w:val="00407D39"/>
    <w:rsid w:val="0041477A"/>
    <w:rsid w:val="004167A3"/>
    <w:rsid w:val="00423A2D"/>
    <w:rsid w:val="004272C1"/>
    <w:rsid w:val="00432DAA"/>
    <w:rsid w:val="00434305"/>
    <w:rsid w:val="004347D3"/>
    <w:rsid w:val="00435040"/>
    <w:rsid w:val="00435DF7"/>
    <w:rsid w:val="0044083F"/>
    <w:rsid w:val="00441AE7"/>
    <w:rsid w:val="00445574"/>
    <w:rsid w:val="004467FB"/>
    <w:rsid w:val="00452D6B"/>
    <w:rsid w:val="00454484"/>
    <w:rsid w:val="0045517B"/>
    <w:rsid w:val="004626F5"/>
    <w:rsid w:val="00463B77"/>
    <w:rsid w:val="00463C7B"/>
    <w:rsid w:val="004644A6"/>
    <w:rsid w:val="004659BD"/>
    <w:rsid w:val="00466411"/>
    <w:rsid w:val="004700EC"/>
    <w:rsid w:val="00470775"/>
    <w:rsid w:val="0047466E"/>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7E5"/>
    <w:rsid w:val="004F0125"/>
    <w:rsid w:val="004F391A"/>
    <w:rsid w:val="004F3CFB"/>
    <w:rsid w:val="004F5F1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277F4"/>
    <w:rsid w:val="00530CAD"/>
    <w:rsid w:val="00533D04"/>
    <w:rsid w:val="00534804"/>
    <w:rsid w:val="00534BDF"/>
    <w:rsid w:val="005354EA"/>
    <w:rsid w:val="00535EC4"/>
    <w:rsid w:val="00535ED9"/>
    <w:rsid w:val="0053692B"/>
    <w:rsid w:val="00541853"/>
    <w:rsid w:val="00542314"/>
    <w:rsid w:val="005431FA"/>
    <w:rsid w:val="00543BDA"/>
    <w:rsid w:val="005441CC"/>
    <w:rsid w:val="005479DA"/>
    <w:rsid w:val="00547BCC"/>
    <w:rsid w:val="0055013B"/>
    <w:rsid w:val="00551F6F"/>
    <w:rsid w:val="00555044"/>
    <w:rsid w:val="00556158"/>
    <w:rsid w:val="00561475"/>
    <w:rsid w:val="0056487B"/>
    <w:rsid w:val="00564FB9"/>
    <w:rsid w:val="005734D5"/>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2BE"/>
    <w:rsid w:val="005D4171"/>
    <w:rsid w:val="005D5B88"/>
    <w:rsid w:val="005D5C11"/>
    <w:rsid w:val="005D6A95"/>
    <w:rsid w:val="005D6B2C"/>
    <w:rsid w:val="005D6D9C"/>
    <w:rsid w:val="005E2335"/>
    <w:rsid w:val="005E34CA"/>
    <w:rsid w:val="005E3C18"/>
    <w:rsid w:val="005E414C"/>
    <w:rsid w:val="005E7881"/>
    <w:rsid w:val="005E78E0"/>
    <w:rsid w:val="005F0D9C"/>
    <w:rsid w:val="005F208F"/>
    <w:rsid w:val="005F284E"/>
    <w:rsid w:val="005F6A48"/>
    <w:rsid w:val="00600001"/>
    <w:rsid w:val="006002B2"/>
    <w:rsid w:val="006015CE"/>
    <w:rsid w:val="00604784"/>
    <w:rsid w:val="00606419"/>
    <w:rsid w:val="00607D29"/>
    <w:rsid w:val="00612952"/>
    <w:rsid w:val="00614CC1"/>
    <w:rsid w:val="00615A9D"/>
    <w:rsid w:val="00616199"/>
    <w:rsid w:val="006162BE"/>
    <w:rsid w:val="00616BBB"/>
    <w:rsid w:val="00617387"/>
    <w:rsid w:val="006252D8"/>
    <w:rsid w:val="006259BC"/>
    <w:rsid w:val="0062636B"/>
    <w:rsid w:val="00626922"/>
    <w:rsid w:val="00632182"/>
    <w:rsid w:val="00632AE0"/>
    <w:rsid w:val="0063351E"/>
    <w:rsid w:val="00633C17"/>
    <w:rsid w:val="00636E3E"/>
    <w:rsid w:val="006379F7"/>
    <w:rsid w:val="00637E4D"/>
    <w:rsid w:val="00640620"/>
    <w:rsid w:val="00641879"/>
    <w:rsid w:val="00641A1F"/>
    <w:rsid w:val="00645904"/>
    <w:rsid w:val="00651ACB"/>
    <w:rsid w:val="00651C47"/>
    <w:rsid w:val="00652AB2"/>
    <w:rsid w:val="00654EC0"/>
    <w:rsid w:val="0065525B"/>
    <w:rsid w:val="00655D4F"/>
    <w:rsid w:val="006640E5"/>
    <w:rsid w:val="006646F1"/>
    <w:rsid w:val="00664929"/>
    <w:rsid w:val="00664F62"/>
    <w:rsid w:val="006655E1"/>
    <w:rsid w:val="00667A15"/>
    <w:rsid w:val="00672060"/>
    <w:rsid w:val="00672BFD"/>
    <w:rsid w:val="006770F4"/>
    <w:rsid w:val="00677A84"/>
    <w:rsid w:val="0068026D"/>
    <w:rsid w:val="00680A27"/>
    <w:rsid w:val="006816A4"/>
    <w:rsid w:val="006819B8"/>
    <w:rsid w:val="006840A6"/>
    <w:rsid w:val="006850CD"/>
    <w:rsid w:val="00685AAB"/>
    <w:rsid w:val="00690050"/>
    <w:rsid w:val="00690E08"/>
    <w:rsid w:val="00696BF2"/>
    <w:rsid w:val="00697CC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A9C"/>
    <w:rsid w:val="006F03A8"/>
    <w:rsid w:val="006F2ACA"/>
    <w:rsid w:val="006F2ADC"/>
    <w:rsid w:val="006F2BFE"/>
    <w:rsid w:val="006F31E9"/>
    <w:rsid w:val="006F3A85"/>
    <w:rsid w:val="006F6284"/>
    <w:rsid w:val="007002C5"/>
    <w:rsid w:val="007027DC"/>
    <w:rsid w:val="007033E4"/>
    <w:rsid w:val="007037C9"/>
    <w:rsid w:val="00704387"/>
    <w:rsid w:val="00707669"/>
    <w:rsid w:val="00711CBA"/>
    <w:rsid w:val="00711FB5"/>
    <w:rsid w:val="00712A01"/>
    <w:rsid w:val="00714F58"/>
    <w:rsid w:val="00722FBF"/>
    <w:rsid w:val="00722FC2"/>
    <w:rsid w:val="00725949"/>
    <w:rsid w:val="00727FA2"/>
    <w:rsid w:val="00731EE8"/>
    <w:rsid w:val="00732267"/>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44C9"/>
    <w:rsid w:val="00755402"/>
    <w:rsid w:val="00755B6F"/>
    <w:rsid w:val="00756B26"/>
    <w:rsid w:val="00756EDF"/>
    <w:rsid w:val="007609A2"/>
    <w:rsid w:val="00765C43"/>
    <w:rsid w:val="00765EFB"/>
    <w:rsid w:val="007671CA"/>
    <w:rsid w:val="00767C61"/>
    <w:rsid w:val="0077008A"/>
    <w:rsid w:val="00773C1F"/>
    <w:rsid w:val="00774DA4"/>
    <w:rsid w:val="00776192"/>
    <w:rsid w:val="00776599"/>
    <w:rsid w:val="00776922"/>
    <w:rsid w:val="0078114B"/>
    <w:rsid w:val="00781DD2"/>
    <w:rsid w:val="00783ECF"/>
    <w:rsid w:val="0078413A"/>
    <w:rsid w:val="0079171E"/>
    <w:rsid w:val="007959E8"/>
    <w:rsid w:val="00795E9C"/>
    <w:rsid w:val="007A0521"/>
    <w:rsid w:val="007A061E"/>
    <w:rsid w:val="007A137C"/>
    <w:rsid w:val="007A2E12"/>
    <w:rsid w:val="007A3475"/>
    <w:rsid w:val="007A41C8"/>
    <w:rsid w:val="007A54CE"/>
    <w:rsid w:val="007A595A"/>
    <w:rsid w:val="007A7FFA"/>
    <w:rsid w:val="007B04EB"/>
    <w:rsid w:val="007B0D4F"/>
    <w:rsid w:val="007B5A3D"/>
    <w:rsid w:val="007B5B95"/>
    <w:rsid w:val="007B68EA"/>
    <w:rsid w:val="007C19E8"/>
    <w:rsid w:val="007C2D89"/>
    <w:rsid w:val="007C35C8"/>
    <w:rsid w:val="007C4593"/>
    <w:rsid w:val="007C5309"/>
    <w:rsid w:val="007C6069"/>
    <w:rsid w:val="007D06C4"/>
    <w:rsid w:val="007D1352"/>
    <w:rsid w:val="007D21E9"/>
    <w:rsid w:val="007D221F"/>
    <w:rsid w:val="007D2508"/>
    <w:rsid w:val="007D346A"/>
    <w:rsid w:val="007D502B"/>
    <w:rsid w:val="007D6518"/>
    <w:rsid w:val="007D76BD"/>
    <w:rsid w:val="007E0BF1"/>
    <w:rsid w:val="007E0CFA"/>
    <w:rsid w:val="007E20B4"/>
    <w:rsid w:val="007F0ED8"/>
    <w:rsid w:val="007F0F63"/>
    <w:rsid w:val="007F499B"/>
    <w:rsid w:val="007F75CE"/>
    <w:rsid w:val="008013A4"/>
    <w:rsid w:val="008027CE"/>
    <w:rsid w:val="00802BD1"/>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3F0"/>
    <w:rsid w:val="0085173A"/>
    <w:rsid w:val="00851FEE"/>
    <w:rsid w:val="00852A4F"/>
    <w:rsid w:val="00852BB6"/>
    <w:rsid w:val="008603CE"/>
    <w:rsid w:val="008620FC"/>
    <w:rsid w:val="008627A5"/>
    <w:rsid w:val="00863E05"/>
    <w:rsid w:val="00865ACA"/>
    <w:rsid w:val="00865D28"/>
    <w:rsid w:val="00865F85"/>
    <w:rsid w:val="00866D46"/>
    <w:rsid w:val="00867C10"/>
    <w:rsid w:val="00870439"/>
    <w:rsid w:val="00870DA1"/>
    <w:rsid w:val="00883F93"/>
    <w:rsid w:val="00884DB3"/>
    <w:rsid w:val="00885A9D"/>
    <w:rsid w:val="008864F6"/>
    <w:rsid w:val="008900A8"/>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2ED1"/>
    <w:rsid w:val="008B3615"/>
    <w:rsid w:val="008B4AC4"/>
    <w:rsid w:val="008B50C8"/>
    <w:rsid w:val="008B5281"/>
    <w:rsid w:val="008B7E05"/>
    <w:rsid w:val="008C1797"/>
    <w:rsid w:val="008C219C"/>
    <w:rsid w:val="008C475E"/>
    <w:rsid w:val="008C50CB"/>
    <w:rsid w:val="008C619A"/>
    <w:rsid w:val="008C6591"/>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03F6"/>
    <w:rsid w:val="009245F5"/>
    <w:rsid w:val="009249EC"/>
    <w:rsid w:val="009273B3"/>
    <w:rsid w:val="009305B5"/>
    <w:rsid w:val="00934C12"/>
    <w:rsid w:val="009429D5"/>
    <w:rsid w:val="00942BF1"/>
    <w:rsid w:val="00945180"/>
    <w:rsid w:val="00945428"/>
    <w:rsid w:val="0094607B"/>
    <w:rsid w:val="00946F25"/>
    <w:rsid w:val="00951FF3"/>
    <w:rsid w:val="00952C52"/>
    <w:rsid w:val="00953604"/>
    <w:rsid w:val="00956B80"/>
    <w:rsid w:val="009610DC"/>
    <w:rsid w:val="00961490"/>
    <w:rsid w:val="0096381A"/>
    <w:rsid w:val="00965E04"/>
    <w:rsid w:val="009674AD"/>
    <w:rsid w:val="0097094E"/>
    <w:rsid w:val="00970CDC"/>
    <w:rsid w:val="00977010"/>
    <w:rsid w:val="00977D02"/>
    <w:rsid w:val="009809BB"/>
    <w:rsid w:val="00980B25"/>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83F"/>
    <w:rsid w:val="009C4CFA"/>
    <w:rsid w:val="009C5070"/>
    <w:rsid w:val="009D091F"/>
    <w:rsid w:val="009D112C"/>
    <w:rsid w:val="009D47FA"/>
    <w:rsid w:val="009D50D2"/>
    <w:rsid w:val="009D6BCA"/>
    <w:rsid w:val="009E0F62"/>
    <w:rsid w:val="009E4A58"/>
    <w:rsid w:val="009E5A2D"/>
    <w:rsid w:val="009E5AB2"/>
    <w:rsid w:val="009E6219"/>
    <w:rsid w:val="009F03B3"/>
    <w:rsid w:val="009F6361"/>
    <w:rsid w:val="00A01757"/>
    <w:rsid w:val="00A028C0"/>
    <w:rsid w:val="00A02BAE"/>
    <w:rsid w:val="00A03EBA"/>
    <w:rsid w:val="00A06A6B"/>
    <w:rsid w:val="00A07E47"/>
    <w:rsid w:val="00A10B9F"/>
    <w:rsid w:val="00A129D0"/>
    <w:rsid w:val="00A12C33"/>
    <w:rsid w:val="00A138BA"/>
    <w:rsid w:val="00A14C8E"/>
    <w:rsid w:val="00A153D9"/>
    <w:rsid w:val="00A15F09"/>
    <w:rsid w:val="00A169B6"/>
    <w:rsid w:val="00A2271D"/>
    <w:rsid w:val="00A236E5"/>
    <w:rsid w:val="00A237D5"/>
    <w:rsid w:val="00A24F7B"/>
    <w:rsid w:val="00A30EFC"/>
    <w:rsid w:val="00A31984"/>
    <w:rsid w:val="00A320A5"/>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1B2C"/>
    <w:rsid w:val="00A636B1"/>
    <w:rsid w:val="00A648CD"/>
    <w:rsid w:val="00A6537A"/>
    <w:rsid w:val="00A67866"/>
    <w:rsid w:val="00A70B07"/>
    <w:rsid w:val="00A723F8"/>
    <w:rsid w:val="00A767F3"/>
    <w:rsid w:val="00A77CCB"/>
    <w:rsid w:val="00A83D8D"/>
    <w:rsid w:val="00A8446B"/>
    <w:rsid w:val="00A8473F"/>
    <w:rsid w:val="00A85AAB"/>
    <w:rsid w:val="00A862D6"/>
    <w:rsid w:val="00A8715E"/>
    <w:rsid w:val="00A91F0F"/>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128A"/>
    <w:rsid w:val="00AF47C5"/>
    <w:rsid w:val="00AF5398"/>
    <w:rsid w:val="00B02905"/>
    <w:rsid w:val="00B049AF"/>
    <w:rsid w:val="00B05B52"/>
    <w:rsid w:val="00B05FF8"/>
    <w:rsid w:val="00B07242"/>
    <w:rsid w:val="00B10534"/>
    <w:rsid w:val="00B113DB"/>
    <w:rsid w:val="00B11D8A"/>
    <w:rsid w:val="00B12981"/>
    <w:rsid w:val="00B147DD"/>
    <w:rsid w:val="00B156FD"/>
    <w:rsid w:val="00B16A55"/>
    <w:rsid w:val="00B16B7F"/>
    <w:rsid w:val="00B21F61"/>
    <w:rsid w:val="00B222C5"/>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C0E"/>
    <w:rsid w:val="00B56FBE"/>
    <w:rsid w:val="00B62B58"/>
    <w:rsid w:val="00B65149"/>
    <w:rsid w:val="00B66567"/>
    <w:rsid w:val="00B66F00"/>
    <w:rsid w:val="00B66F52"/>
    <w:rsid w:val="00B66FE5"/>
    <w:rsid w:val="00B675B7"/>
    <w:rsid w:val="00B72880"/>
    <w:rsid w:val="00B758BF"/>
    <w:rsid w:val="00B827A6"/>
    <w:rsid w:val="00B831CE"/>
    <w:rsid w:val="00B853A0"/>
    <w:rsid w:val="00B86677"/>
    <w:rsid w:val="00B87131"/>
    <w:rsid w:val="00B9127B"/>
    <w:rsid w:val="00B91566"/>
    <w:rsid w:val="00B9320C"/>
    <w:rsid w:val="00B939B1"/>
    <w:rsid w:val="00B94DF5"/>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27EF"/>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E57"/>
    <w:rsid w:val="00C25FE2"/>
    <w:rsid w:val="00C26B53"/>
    <w:rsid w:val="00C279B2"/>
    <w:rsid w:val="00C33E50"/>
    <w:rsid w:val="00C34C20"/>
    <w:rsid w:val="00C35A3E"/>
    <w:rsid w:val="00C42130"/>
    <w:rsid w:val="00C423A4"/>
    <w:rsid w:val="00C44BF5"/>
    <w:rsid w:val="00C44D9A"/>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76A57"/>
    <w:rsid w:val="00C80BF1"/>
    <w:rsid w:val="00C80CB8"/>
    <w:rsid w:val="00C819F8"/>
    <w:rsid w:val="00C8248C"/>
    <w:rsid w:val="00C84E33"/>
    <w:rsid w:val="00C86D6F"/>
    <w:rsid w:val="00C905FC"/>
    <w:rsid w:val="00C91C0E"/>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054"/>
    <w:rsid w:val="00CC7202"/>
    <w:rsid w:val="00CC73BF"/>
    <w:rsid w:val="00CD1084"/>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412"/>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526B2"/>
    <w:rsid w:val="00D54705"/>
    <w:rsid w:val="00D5565C"/>
    <w:rsid w:val="00D63276"/>
    <w:rsid w:val="00D66846"/>
    <w:rsid w:val="00D675FB"/>
    <w:rsid w:val="00D67737"/>
    <w:rsid w:val="00D71F25"/>
    <w:rsid w:val="00D77031"/>
    <w:rsid w:val="00D80089"/>
    <w:rsid w:val="00D81417"/>
    <w:rsid w:val="00D84941"/>
    <w:rsid w:val="00D84FA1"/>
    <w:rsid w:val="00D851F0"/>
    <w:rsid w:val="00D86DB7"/>
    <w:rsid w:val="00D926D0"/>
    <w:rsid w:val="00D93030"/>
    <w:rsid w:val="00D950E1"/>
    <w:rsid w:val="00D952A6"/>
    <w:rsid w:val="00D97F99"/>
    <w:rsid w:val="00DA1062"/>
    <w:rsid w:val="00DA19E7"/>
    <w:rsid w:val="00DA1E08"/>
    <w:rsid w:val="00DA24F8"/>
    <w:rsid w:val="00DA28E8"/>
    <w:rsid w:val="00DA380B"/>
    <w:rsid w:val="00DA38D3"/>
    <w:rsid w:val="00DA3932"/>
    <w:rsid w:val="00DA479F"/>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5DDD"/>
    <w:rsid w:val="00DD6BCC"/>
    <w:rsid w:val="00DE0A4B"/>
    <w:rsid w:val="00DE2410"/>
    <w:rsid w:val="00DE2939"/>
    <w:rsid w:val="00DE51F0"/>
    <w:rsid w:val="00DE6E81"/>
    <w:rsid w:val="00DE703F"/>
    <w:rsid w:val="00DE7595"/>
    <w:rsid w:val="00DF15BE"/>
    <w:rsid w:val="00DF1961"/>
    <w:rsid w:val="00DF44DE"/>
    <w:rsid w:val="00DF44EC"/>
    <w:rsid w:val="00E01138"/>
    <w:rsid w:val="00E02CAA"/>
    <w:rsid w:val="00E02DFB"/>
    <w:rsid w:val="00E030F9"/>
    <w:rsid w:val="00E0311A"/>
    <w:rsid w:val="00E03138"/>
    <w:rsid w:val="00E06404"/>
    <w:rsid w:val="00E11A85"/>
    <w:rsid w:val="00E11CB8"/>
    <w:rsid w:val="00E12495"/>
    <w:rsid w:val="00E15CCD"/>
    <w:rsid w:val="00E202EF"/>
    <w:rsid w:val="00E210B5"/>
    <w:rsid w:val="00E2552F"/>
    <w:rsid w:val="00E3137A"/>
    <w:rsid w:val="00E32CCF"/>
    <w:rsid w:val="00E34A98"/>
    <w:rsid w:val="00E35D1E"/>
    <w:rsid w:val="00E364F9"/>
    <w:rsid w:val="00E365FA"/>
    <w:rsid w:val="00E40C94"/>
    <w:rsid w:val="00E44A83"/>
    <w:rsid w:val="00E470D8"/>
    <w:rsid w:val="00E477F9"/>
    <w:rsid w:val="00E502C1"/>
    <w:rsid w:val="00E502DD"/>
    <w:rsid w:val="00E50D3A"/>
    <w:rsid w:val="00E51387"/>
    <w:rsid w:val="00E51E68"/>
    <w:rsid w:val="00E52EFD"/>
    <w:rsid w:val="00E5408A"/>
    <w:rsid w:val="00E56800"/>
    <w:rsid w:val="00E60CD7"/>
    <w:rsid w:val="00E62FF9"/>
    <w:rsid w:val="00E635D6"/>
    <w:rsid w:val="00E639BC"/>
    <w:rsid w:val="00E64908"/>
    <w:rsid w:val="00E64C9C"/>
    <w:rsid w:val="00E664CC"/>
    <w:rsid w:val="00E70388"/>
    <w:rsid w:val="00E70F92"/>
    <w:rsid w:val="00E74C54"/>
    <w:rsid w:val="00E77A03"/>
    <w:rsid w:val="00E810A4"/>
    <w:rsid w:val="00E820E4"/>
    <w:rsid w:val="00E822E8"/>
    <w:rsid w:val="00E82554"/>
    <w:rsid w:val="00E82606"/>
    <w:rsid w:val="00E83B8E"/>
    <w:rsid w:val="00E846C8"/>
    <w:rsid w:val="00E84957"/>
    <w:rsid w:val="00E84A55"/>
    <w:rsid w:val="00E85BFF"/>
    <w:rsid w:val="00E877DA"/>
    <w:rsid w:val="00E90391"/>
    <w:rsid w:val="00E906C2"/>
    <w:rsid w:val="00E9311F"/>
    <w:rsid w:val="00E934D1"/>
    <w:rsid w:val="00E94AF0"/>
    <w:rsid w:val="00E95D13"/>
    <w:rsid w:val="00E95DD3"/>
    <w:rsid w:val="00E969D5"/>
    <w:rsid w:val="00E97F73"/>
    <w:rsid w:val="00EA4235"/>
    <w:rsid w:val="00EA58D1"/>
    <w:rsid w:val="00EA61BC"/>
    <w:rsid w:val="00EA681A"/>
    <w:rsid w:val="00EA735B"/>
    <w:rsid w:val="00EB1AF3"/>
    <w:rsid w:val="00EB1E69"/>
    <w:rsid w:val="00EB2086"/>
    <w:rsid w:val="00EB5EDF"/>
    <w:rsid w:val="00EB60FE"/>
    <w:rsid w:val="00EB74DB"/>
    <w:rsid w:val="00EC06B8"/>
    <w:rsid w:val="00EC5359"/>
    <w:rsid w:val="00EC562A"/>
    <w:rsid w:val="00ED067A"/>
    <w:rsid w:val="00ED2B50"/>
    <w:rsid w:val="00ED56A3"/>
    <w:rsid w:val="00EE0350"/>
    <w:rsid w:val="00EE0719"/>
    <w:rsid w:val="00EE0E80"/>
    <w:rsid w:val="00EE613F"/>
    <w:rsid w:val="00EE7295"/>
    <w:rsid w:val="00EE7869"/>
    <w:rsid w:val="00EF054A"/>
    <w:rsid w:val="00EF3235"/>
    <w:rsid w:val="00EF7E72"/>
    <w:rsid w:val="00F01CEF"/>
    <w:rsid w:val="00F06D37"/>
    <w:rsid w:val="00F07B9D"/>
    <w:rsid w:val="00F11586"/>
    <w:rsid w:val="00F1183B"/>
    <w:rsid w:val="00F11C9F"/>
    <w:rsid w:val="00F12263"/>
    <w:rsid w:val="00F1409D"/>
    <w:rsid w:val="00F14214"/>
    <w:rsid w:val="00F146BD"/>
    <w:rsid w:val="00F157A9"/>
    <w:rsid w:val="00F22F75"/>
    <w:rsid w:val="00F25BB6"/>
    <w:rsid w:val="00F26B7E"/>
    <w:rsid w:val="00F27A3B"/>
    <w:rsid w:val="00F3166F"/>
    <w:rsid w:val="00F33817"/>
    <w:rsid w:val="00F420D5"/>
    <w:rsid w:val="00F451EA"/>
    <w:rsid w:val="00F45447"/>
    <w:rsid w:val="00F456C6"/>
    <w:rsid w:val="00F4577B"/>
    <w:rsid w:val="00F46496"/>
    <w:rsid w:val="00F474D0"/>
    <w:rsid w:val="00F50179"/>
    <w:rsid w:val="00F56511"/>
    <w:rsid w:val="00F56FD8"/>
    <w:rsid w:val="00F6194E"/>
    <w:rsid w:val="00F621AF"/>
    <w:rsid w:val="00F623AC"/>
    <w:rsid w:val="00F6412A"/>
    <w:rsid w:val="00F65893"/>
    <w:rsid w:val="00F66A4A"/>
    <w:rsid w:val="00F71E22"/>
    <w:rsid w:val="00F72142"/>
    <w:rsid w:val="00F72AE7"/>
    <w:rsid w:val="00F7791A"/>
    <w:rsid w:val="00F84934"/>
    <w:rsid w:val="00F84FD0"/>
    <w:rsid w:val="00F859A8"/>
    <w:rsid w:val="00F9108B"/>
    <w:rsid w:val="00F91349"/>
    <w:rsid w:val="00F93A8A"/>
    <w:rsid w:val="00F95248"/>
    <w:rsid w:val="00F956A9"/>
    <w:rsid w:val="00F9592E"/>
    <w:rsid w:val="00F963ED"/>
    <w:rsid w:val="00F966CF"/>
    <w:rsid w:val="00F96CAE"/>
    <w:rsid w:val="00F97C99"/>
    <w:rsid w:val="00FA662D"/>
    <w:rsid w:val="00FA73B1"/>
    <w:rsid w:val="00FB0CB9"/>
    <w:rsid w:val="00FB263E"/>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4178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rFonts w:ascii="Times New Roman" w:hAnsi="Times New Roman" w:eastAsia="宋体" w:cs="Times New Roman"/>
      <w:b/>
      <w:bCs/>
      <w:kern w:val="44"/>
      <w:sz w:val="44"/>
      <w:szCs w:val="44"/>
    </w:rPr>
  </w:style>
  <w:style w:type="character" w:customStyle="1" w:styleId="35">
    <w:name w:val="标题 2 字符"/>
    <w:link w:val="3"/>
    <w:uiPriority w:val="0"/>
    <w:rPr>
      <w:rFonts w:ascii="Arial" w:hAnsi="Arial" w:eastAsia="黑体" w:cs="Times New Roman"/>
      <w:b/>
      <w:bCs/>
      <w:sz w:val="32"/>
      <w:szCs w:val="32"/>
    </w:rPr>
  </w:style>
  <w:style w:type="character" w:customStyle="1" w:styleId="36">
    <w:name w:val="标题 3 字符"/>
    <w:link w:val="4"/>
    <w:uiPriority w:val="0"/>
    <w:rPr>
      <w:rFonts w:ascii="Times New Roman" w:hAnsi="Times New Roman" w:eastAsia="宋体" w:cs="Times New Roman"/>
      <w:b/>
      <w:bCs/>
      <w:sz w:val="32"/>
      <w:szCs w:val="32"/>
    </w:rPr>
  </w:style>
  <w:style w:type="character" w:customStyle="1" w:styleId="37">
    <w:name w:val="标题 4 字符"/>
    <w:link w:val="5"/>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uiPriority w:val="99"/>
    <w:rPr>
      <w:rFonts w:ascii="Times New Roman" w:hAnsi="Times New Roman" w:eastAsia="宋体" w:cs="Times New Roman"/>
      <w:sz w:val="18"/>
      <w:szCs w:val="18"/>
    </w:rPr>
  </w:style>
  <w:style w:type="character" w:customStyle="1" w:styleId="44">
    <w:name w:val="页脚 字符"/>
    <w:link w:val="17"/>
    <w:uiPriority w:val="99"/>
    <w:rPr>
      <w:rFonts w:ascii="宋体" w:hAnsi="Times New Roman" w:eastAsia="宋体" w:cs="Times New Roman"/>
      <w:sz w:val="18"/>
      <w:szCs w:val="18"/>
    </w:rPr>
  </w:style>
  <w:style w:type="character" w:customStyle="1" w:styleId="45">
    <w:name w:val="批注框文本 字符"/>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rPr>
  </w:style>
  <w:style w:type="character" w:customStyle="1" w:styleId="48">
    <w:name w:val="标题 字符"/>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9">
    <w:name w:val="正文图标题"/>
    <w:next w:val="1"/>
    <w:uiPriority w:val="0"/>
    <w:pPr>
      <w:jc w:val="center"/>
    </w:pPr>
    <w:rPr>
      <w:rFonts w:ascii="黑体" w:hAnsi="Times New Roman" w:eastAsia="黑体" w:cs="Times New Roman"/>
      <w:sz w:val="21"/>
      <w:lang w:val="en-US" w:eastAsia="zh-CN" w:bidi="ar-SA"/>
    </w:rPr>
  </w:style>
  <w:style w:type="character" w:customStyle="1" w:styleId="230">
    <w:name w:val="段 Char"/>
    <w:link w:val="231"/>
    <w:uiPriority w:val="0"/>
    <w:rPr>
      <w:rFonts w:ascii="宋体"/>
      <w:sz w:val="21"/>
    </w:rPr>
  </w:style>
  <w:style w:type="paragraph" w:customStyle="1" w:styleId="231">
    <w:name w:val="段"/>
    <w:link w:val="230"/>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jpeg"/><Relationship Id="rId17" Type="http://schemas.openxmlformats.org/officeDocument/2006/relationships/image" Target="media/image4.png"/><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tif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19BA9CAEFF54BB294FFBA515A467510"/>
        <w:style w:val=""/>
        <w:category>
          <w:name w:val="常规"/>
          <w:gallery w:val="placeholder"/>
        </w:category>
        <w:types>
          <w:type w:val="bbPlcHdr"/>
        </w:types>
        <w:behaviors>
          <w:behavior w:val="content"/>
        </w:behaviors>
        <w:description w:val=""/>
        <w:guid w:val="{FAA24A59-EFAA-49DF-9C91-50F97DFD968A}"/>
      </w:docPartPr>
      <w:docPartBody>
        <w:p>
          <w:pPr>
            <w:pStyle w:val="5"/>
          </w:pPr>
          <w:r>
            <w:rPr>
              <w:rStyle w:val="4"/>
              <w:rFonts w:hint="eastAsia"/>
            </w:rPr>
            <w:t>单击或点击此处输入文字。</w:t>
          </w:r>
        </w:p>
      </w:docPartBody>
    </w:docPart>
    <w:docPart>
      <w:docPartPr>
        <w:name w:val="1DFA475CB8C6466BA1161F4DC1BCFEB1"/>
        <w:style w:val=""/>
        <w:category>
          <w:name w:val="常规"/>
          <w:gallery w:val="placeholder"/>
        </w:category>
        <w:types>
          <w:type w:val="bbPlcHdr"/>
        </w:types>
        <w:behaviors>
          <w:behavior w:val="content"/>
        </w:behaviors>
        <w:description w:val=""/>
        <w:guid w:val="{079C6D95-03CC-490E-B4E6-04BFFDDE791E}"/>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46"/>
    <w:rsid w:val="00067A55"/>
    <w:rsid w:val="000E42A7"/>
    <w:rsid w:val="0020384E"/>
    <w:rsid w:val="00230D7A"/>
    <w:rsid w:val="00232E76"/>
    <w:rsid w:val="002D5728"/>
    <w:rsid w:val="00431106"/>
    <w:rsid w:val="004E0646"/>
    <w:rsid w:val="005034E7"/>
    <w:rsid w:val="005E5024"/>
    <w:rsid w:val="00644241"/>
    <w:rsid w:val="006F33D2"/>
    <w:rsid w:val="00865E0E"/>
    <w:rsid w:val="00A962AF"/>
    <w:rsid w:val="00CE06DF"/>
    <w:rsid w:val="00EE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19BA9CAEFF54BB294FFBA515A4675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DFA475CB8C6466BA1161F4DC1BCFEB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DC2E6-E44E-46FF-8E19-050DD9BF4D37}">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9</Pages>
  <Words>885</Words>
  <Characters>5045</Characters>
  <Lines>42</Lines>
  <Paragraphs>11</Paragraphs>
  <TotalTime>332</TotalTime>
  <ScaleCrop>false</ScaleCrop>
  <LinksUpToDate>false</LinksUpToDate>
  <CharactersWithSpaces>5919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2021-03-07T00:35:00Z</dcterms:created>
  <dc:creator>livexer</dc:creator>
  <dc:description>&lt;config cover="true" show_menu="true" version="1.0.0" doctype="SDKXY"&gt;_x000d_
&lt;/config&gt;</dc:description>
  <cp:lastModifiedBy>ren</cp:lastModifiedBy>
  <cp:lastPrinted>2021-03-15T06:23:00Z</cp:lastPrinted>
  <dcterms:modified xsi:type="dcterms:W3CDTF">2021-07-28T01:51:36Z</dcterms:modified>
  <dc:title>国家标准</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2052-11.8.6.8810</vt:lpwstr>
  </property>
</Properties>
</file>