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Cs/>
          <w:color w:val="00000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default" w:ascii="Times New Roman" w:cs="Times New Roman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4项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稀土国家标准任务落实项目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情况表</w:t>
      </w:r>
    </w:p>
    <w:tbl>
      <w:tblPr>
        <w:tblStyle w:val="2"/>
        <w:tblW w:w="14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462"/>
        <w:gridCol w:w="3590"/>
        <w:gridCol w:w="1282"/>
        <w:gridCol w:w="1145"/>
        <w:gridCol w:w="1105"/>
        <w:gridCol w:w="4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标准类型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val="en-US" w:eastAsia="zh-CN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20211999-T-469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instrText xml:space="preserve"> HYPERLINK "http://zxd.sacinfo.org.cn/gb/gbdetail/loadview?projectId=1000104" \t "http://zxd.sacinfo.org.cn/gb/plan/tb/stddraft/_blank" </w:instrTex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离子型稀土矿混合稀土氧化物化学分析方法 第1部分：十五个稀土元素氧化物配分量的测定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end"/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赣州有色冶金研究所有限公司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20211998-T-469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instrText xml:space="preserve"> HYPERLINK "http://zxd.sacinfo.org.cn/gb/gbdetail/loadview?projectId=1001328" \t "http://zxd.sacinfo.org.cn/gb/plan/tb/stddraft/_blank" </w:instrTex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金属镧及镧粉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end"/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包头稀土研究院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20211997-T-469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instrText xml:space="preserve"> HYPERLINK "http://zxd.sacinfo.org.cn/gb/gbdetail/loadview?projectId=129224" \t "http://zxd.sacinfo.org.cn/gb/plan/tb/stddraft/_blank" </w:instrTex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稀土金属及其氧化物中稀土杂质化学分析法 第6部分： 铕中镧、铈、镨、钕、钐、钆、铽、镝、钬、铒、铥、镱、镥和钇的测定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end"/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国标（北京）检验认证有限公司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20211996-T-469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instrText xml:space="preserve"> HYPERLINK "http://zxd.sacinfo.org.cn/gb/gbdetail/loadview?projectId=1001327" \t "http://zxd.sacinfo.org.cn/gb/plan/tb/stddraft/_blank" </w:instrTex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稀土系储氢合金 压力-组成等温线（PCI）的测试方法</w:t>
            </w: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fldChar w:fldCharType="end"/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2023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val="en-US" w:eastAsia="zh-CN"/>
              </w:rPr>
              <w:t>包头稀土研究院</w:t>
            </w:r>
          </w:p>
        </w:tc>
      </w:tr>
    </w:tbl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769BD"/>
    <w:rsid w:val="0C4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2021-09-15T06:25:00Z</dcterms:created>
  <dc:creator>CathayMok</dc:creator>
  <cp:lastModifiedBy>CathayMok</cp:lastModifiedBy>
  <dcterms:modified xsi:type="dcterms:W3CDTF">2021-09-15T06:26:01Z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