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3"/>
      </w:pPr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bookmarkStart w:id="21" w:name="_GoBack"/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77.120.60     </w:t>
      </w:r>
      <w:r>
        <w:fldChar w:fldCharType="end"/>
      </w:r>
      <w:bookmarkEnd w:id="0"/>
      <w:bookmarkEnd w:id="21"/>
    </w:p>
    <w:p>
      <w:pPr>
        <w:pStyle w:val="123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H13</w:t>
      </w:r>
      <w:r>
        <w:fldChar w:fldCharType="end"/>
      </w:r>
      <w:bookmarkEnd w:id="1"/>
    </w:p>
    <w:tbl>
      <w:tblPr>
        <w:tblStyle w:val="30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3"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1905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8240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K4v7NUAAAAHAQAADwAAAAAAAAABACAAAAAi&#10;AAAAZHJzL2Rvd25yZXYueG1sUEsBAhQAFAAAAAgAh07iQMhJMdUNAgAAIAQAAA4AAAAAAAAAAQAg&#10;AAAAJA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79"/>
      </w:pPr>
      <w:bookmarkStart w:id="3" w:name="c1"/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YS</w:t>
      </w:r>
      <w:r>
        <w:fldChar w:fldCharType="end"/>
      </w:r>
      <w:bookmarkEnd w:id="3"/>
    </w:p>
    <w:p>
      <w:pPr>
        <w:pStyle w:val="112"/>
      </w:pPr>
      <w:r>
        <w:rPr>
          <w:rFonts w:hint="eastAsia"/>
        </w:rPr>
        <w:t>中华人民共和国</w:t>
      </w:r>
      <w:bookmarkStart w:id="4" w:name="c2"/>
      <w:r>
        <w:fldChar w:fldCharType="begin">
          <w:ffData>
            <w:name w:val="c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有色金属</w:t>
      </w:r>
      <w:r>
        <w:fldChar w:fldCharType="end"/>
      </w:r>
      <w:bookmarkEnd w:id="4"/>
      <w:r>
        <w:rPr>
          <w:rFonts w:hint="eastAsia"/>
        </w:rPr>
        <w:t>行业标准</w:t>
      </w:r>
    </w:p>
    <w:p>
      <w:pPr>
        <w:pStyle w:val="70"/>
        <w:rPr>
          <w:rFonts w:hAnsi="黑体"/>
        </w:rPr>
      </w:pPr>
      <w:bookmarkStart w:id="5" w:name="StdNo0"/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hint="eastAsia" w:ascii="Times New Roman"/>
        </w:rPr>
        <w:t>YS</w:t>
      </w:r>
      <w:r>
        <w:rPr>
          <w:rFonts w:ascii="Times New Roman"/>
        </w:rPr>
        <w:fldChar w:fldCharType="end"/>
      </w:r>
      <w:bookmarkEnd w:id="5"/>
      <w:r>
        <w:rPr>
          <w:rFonts w:ascii="Times New Roman"/>
        </w:rPr>
        <w:t xml:space="preserve">/T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536</w:t>
      </w:r>
      <w:r>
        <w:rPr>
          <w:rFonts w:hAnsi="黑体"/>
        </w:rPr>
        <w:t>.</w:t>
      </w:r>
      <w:r>
        <w:rPr>
          <w:rFonts w:hint="eastAsia" w:hAnsi="黑体"/>
        </w:rPr>
        <w:t>14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20XX</w:t>
      </w:r>
      <w:r>
        <w:rPr>
          <w:rFonts w:hAnsi="黑体"/>
        </w:rPr>
        <w:fldChar w:fldCharType="end"/>
      </w:r>
      <w:bookmarkEnd w:id="7"/>
    </w:p>
    <w:tbl>
      <w:tblPr>
        <w:tblStyle w:val="30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0"/>
            </w:pPr>
            <w:bookmarkStart w:id="8" w:name="DT"/>
            <w: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635" t="0" r="0" b="381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61312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mDyy9YAAAAIAQAADwAAAAAAAAABACAAAAAiAAAA&#10;ZHJzL2Rvd25yZXYueG1sUEsBAhQAFAAAAAgAh07iQOl1ToMJAgAAIAQAAA4AAAAAAAAAAQAgAAAA&#10;JQ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 xml:space="preserve">  </w:t>
            </w:r>
            <w:r>
              <w:fldChar w:fldCharType="end"/>
            </w:r>
            <w:bookmarkEnd w:id="8"/>
          </w:p>
        </w:tc>
      </w:tr>
    </w:tbl>
    <w:p>
      <w:pPr>
        <w:pStyle w:val="70"/>
        <w:rPr>
          <w:rFonts w:hAnsi="黑体"/>
        </w:rPr>
      </w:pPr>
    </w:p>
    <w:p>
      <w:pPr>
        <w:pStyle w:val="70"/>
        <w:rPr>
          <w:rFonts w:hAnsi="黑体"/>
        </w:rPr>
      </w:pPr>
    </w:p>
    <w:p>
      <w:pPr>
        <w:pStyle w:val="48"/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铋化学分析方法 </w:t>
      </w:r>
    </w:p>
    <w:p>
      <w:pPr>
        <w:pStyle w:val="48"/>
      </w:pPr>
      <w:r>
        <w:rPr>
          <w:rFonts w:hint="eastAsia"/>
        </w:rPr>
        <w:t>第14部分：铜、铅、锌、铁、银、砷、碲和锑量的测定</w:t>
      </w:r>
    </w:p>
    <w:p>
      <w:pPr>
        <w:pStyle w:val="48"/>
      </w:pPr>
      <w:r>
        <w:rPr>
          <w:rFonts w:hint="eastAsia"/>
        </w:rPr>
        <w:t>电感耦合等离子体原子发射光谱法</w:t>
      </w:r>
      <w:r>
        <w:t>     </w:t>
      </w:r>
      <w:r>
        <w:fldChar w:fldCharType="end"/>
      </w:r>
      <w:bookmarkEnd w:id="9"/>
    </w:p>
    <w:p>
      <w:pPr>
        <w:pStyle w:val="59"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>Methods for chemical analysis of</w:t>
      </w:r>
      <w:r>
        <w:rPr>
          <w:rFonts w:hint="eastAsia"/>
        </w:rPr>
        <w:t xml:space="preserve"> bismuth—</w:t>
      </w:r>
    </w:p>
    <w:p>
      <w:pPr>
        <w:pStyle w:val="59"/>
      </w:pPr>
      <w:r>
        <w:t>Part 1</w:t>
      </w:r>
      <w:r>
        <w:rPr>
          <w:rFonts w:hint="eastAsia"/>
        </w:rPr>
        <w:t>4</w:t>
      </w:r>
      <w:r>
        <w:t xml:space="preserve">: Determination of </w:t>
      </w:r>
      <w:r>
        <w:rPr>
          <w:rFonts w:hint="eastAsia"/>
        </w:rPr>
        <w:t xml:space="preserve">copper,lead,zinc,iron,silver,arsenic,tellurium and antimony </w:t>
      </w:r>
      <w:r>
        <w:t>content</w:t>
      </w:r>
      <w:r>
        <w:rPr>
          <w:rFonts w:hint="eastAsia"/>
        </w:rPr>
        <w:t>—</w:t>
      </w:r>
    </w:p>
    <w:p>
      <w:pPr>
        <w:pStyle w:val="59"/>
      </w:pPr>
      <w:r>
        <w:t>Inductively coupled plasma atomic emission apectrometry     </w:t>
      </w:r>
      <w:r>
        <w:fldChar w:fldCharType="end"/>
      </w:r>
      <w:bookmarkEnd w:id="10"/>
    </w:p>
    <w:p>
      <w:pPr>
        <w:pStyle w:val="91"/>
      </w:pPr>
      <w:bookmarkStart w:id="11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（</w:t>
      </w:r>
      <w:r>
        <w:rPr>
          <w:rFonts w:hint="eastAsia"/>
          <w:lang w:eastAsia="zh-CN"/>
        </w:rPr>
        <w:t>预审稿</w:t>
      </w:r>
      <w:r>
        <w:rPr>
          <w:rFonts w:hint="eastAsia"/>
        </w:rPr>
        <w:t>）</w:t>
      </w:r>
      <w:r>
        <w:fldChar w:fldCharType="end"/>
      </w:r>
      <w:bookmarkEnd w:id="11"/>
    </w:p>
    <w:tbl>
      <w:tblPr>
        <w:tblStyle w:val="30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2"/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635" t="1905" r="0" b="1270"/>
                      <wp:wrapNone/>
                      <wp:docPr id="4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9264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ia6S1QAAAAoBAAAPAAAAAAAAAAEAIAAAACIAAABk&#10;cnMvZG93bnJldi54bWxQSwECFAAUAAAACACHTuJAbG1PugkCAAAgBAAADgAAAAAAAAABACAAAAAk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1270"/>
                      <wp:wrapNone/>
                      <wp:docPr id="3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60288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+GL5dYAAAAJAQAADwAAAAAAAAABACAAAAAiAAAA&#10;ZHJzL2Rvd25yZXYueG1sUEsBAhQAFAAAAAgAh07iQBxxlwgJAgAAIAQAAA4AAAAAAAAAAQAgAAAA&#10;JQ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3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4"/>
            </w:pPr>
            <w:bookmarkStart w:id="13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>
      <w:pPr>
        <w:pStyle w:val="129"/>
      </w:pPr>
      <w:bookmarkStart w:id="14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lh2s81gAAAAsBAAAPAAAA&#10;AAAAAAEAIAAAACIAAABkcnMvZG93bnJldi54bWxQSwECFAAUAAAACACHTuJAqKWs194BAACt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0"/>
      </w:pPr>
      <w:bookmarkStart w:id="16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113"/>
      </w:pPr>
      <w:bookmarkStart w:id="19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中华人民共和国工业和信息化部</w:t>
      </w:r>
      <w:r>
        <w:t>   </w:t>
      </w:r>
      <w:r>
        <w:fldChar w:fldCharType="end"/>
      </w:r>
      <w:bookmarkEnd w:id="19"/>
      <w:r>
        <w:rPr>
          <w:rFonts w:hint="eastAsia" w:ascii="MS Mincho" w:hAnsi="MS Mincho" w:eastAsia="MS Mincho" w:cs="MS Mincho"/>
        </w:rPr>
        <w:t>   </w:t>
      </w:r>
      <w:r>
        <w:rPr>
          <w:rStyle w:val="41"/>
          <w:rFonts w:hint="eastAsia"/>
        </w:rPr>
        <w:t>发布</w:t>
      </w:r>
    </w:p>
    <w:p>
      <w:pPr>
        <w:pStyle w:val="21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8890" t="6350" r="5080" b="1270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JB4l/XAAAACQEAAA8AAAAA&#10;AAAAAQAgAAAAIgAAAGRycy9kb3ducmV2LnhtbFBLAQIUABQAAAAIAIdO4kCXf0pm3AEAAK0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4"/>
      </w:pPr>
      <w:r>
        <w:rPr>
          <w:rFonts w:hint="eastAsia"/>
        </w:rPr>
        <w:t>前</w:t>
      </w:r>
      <w:bookmarkStart w:id="20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20"/>
    </w:p>
    <w:p>
      <w:pPr>
        <w:pStyle w:val="21"/>
      </w:pPr>
      <w:r>
        <w:rPr>
          <w:rFonts w:hint="eastAsia"/>
        </w:rPr>
        <w:t>YS/T 536-20XX《铋化学分析方法》共分为14部分：</w:t>
      </w:r>
    </w:p>
    <w:p>
      <w:pPr>
        <w:pStyle w:val="21"/>
      </w:pPr>
      <w:r>
        <w:rPr>
          <w:rFonts w:hint="eastAsia"/>
        </w:rPr>
        <w:t>——YS/T 536.1 铋化学分析方法 铜量的测定 双乙醛草酰二腙分光光度法；</w:t>
      </w:r>
    </w:p>
    <w:p>
      <w:pPr>
        <w:pStyle w:val="21"/>
      </w:pPr>
      <w:r>
        <w:rPr>
          <w:rFonts w:hint="eastAsia"/>
        </w:rPr>
        <w:t>——YS/T 536.2 铋化学分析方法 铁量的测定 电热原子吸收光谱法；</w:t>
      </w:r>
    </w:p>
    <w:p>
      <w:pPr>
        <w:pStyle w:val="21"/>
      </w:pPr>
      <w:r>
        <w:rPr>
          <w:rFonts w:hint="eastAsia"/>
        </w:rPr>
        <w:t>——YS/T 536.3 铋化学分析方法 锑量的测定 孔雀绿分光光度法；</w:t>
      </w:r>
    </w:p>
    <w:p>
      <w:pPr>
        <w:pStyle w:val="21"/>
      </w:pPr>
      <w:r>
        <w:rPr>
          <w:rFonts w:hint="eastAsia"/>
        </w:rPr>
        <w:t>——YS/T 536.4 铋化学分析方法 银量的测定 火焰原子吸收光谱法和电热原子吸收光谱法；</w:t>
      </w:r>
    </w:p>
    <w:p>
      <w:pPr>
        <w:pStyle w:val="21"/>
      </w:pPr>
      <w:r>
        <w:rPr>
          <w:rFonts w:hint="eastAsia"/>
        </w:rPr>
        <w:t>——YS/T 536.5 铋化学分析方法 锌量的测定 固液萃取分离-火焰原子吸收光谱法；</w:t>
      </w:r>
    </w:p>
    <w:p>
      <w:pPr>
        <w:pStyle w:val="21"/>
      </w:pPr>
      <w:r>
        <w:rPr>
          <w:rFonts w:hint="eastAsia"/>
        </w:rPr>
        <w:t>——YS/T 536.6 铋化学分析方法 铅量的测定 电热原子吸收光谱法；</w:t>
      </w:r>
    </w:p>
    <w:p>
      <w:pPr>
        <w:pStyle w:val="21"/>
      </w:pPr>
      <w:r>
        <w:rPr>
          <w:rFonts w:hint="eastAsia"/>
        </w:rPr>
        <w:t>——YS/T 536.7 铋化学分析方法 砷量的测定 原子荧光光谱法；</w:t>
      </w:r>
    </w:p>
    <w:p>
      <w:pPr>
        <w:pStyle w:val="21"/>
      </w:pPr>
      <w:r>
        <w:rPr>
          <w:rFonts w:hint="eastAsia"/>
        </w:rPr>
        <w:t>——YS/T 536.8 铋化学分析方法 氯量的测定 硫氰酸汞分光光度法；</w:t>
      </w:r>
    </w:p>
    <w:p>
      <w:pPr>
        <w:pStyle w:val="21"/>
      </w:pPr>
      <w:r>
        <w:rPr>
          <w:rFonts w:hint="eastAsia"/>
        </w:rPr>
        <w:t>——YS/T 536.9 铋化学分析方法 碲量的测定 砷共沉淀-示波极谱法；</w:t>
      </w:r>
    </w:p>
    <w:p>
      <w:pPr>
        <w:pStyle w:val="21"/>
      </w:pPr>
      <w:r>
        <w:rPr>
          <w:rFonts w:hint="eastAsia"/>
        </w:rPr>
        <w:t>——YS/T 536.10 铋化学分析方法 锡量的测定 铍共沉淀-分光光度法；</w:t>
      </w:r>
    </w:p>
    <w:p>
      <w:pPr>
        <w:pStyle w:val="21"/>
      </w:pPr>
      <w:r>
        <w:rPr>
          <w:rFonts w:hint="eastAsia"/>
        </w:rPr>
        <w:t>——YS/T 536.11 铋化学分析方法 汞量的测定 原子荧光光谱法</w:t>
      </w:r>
    </w:p>
    <w:p>
      <w:pPr>
        <w:pStyle w:val="21"/>
      </w:pPr>
      <w:r>
        <w:rPr>
          <w:rFonts w:hint="eastAsia"/>
        </w:rPr>
        <w:t>——YS/T 536.12 铋化学分析方法 镍量的测定 电热原子吸收光谱法。</w:t>
      </w:r>
    </w:p>
    <w:p>
      <w:pPr>
        <w:pStyle w:val="21"/>
      </w:pPr>
      <w:r>
        <w:rPr>
          <w:rFonts w:hint="eastAsia"/>
        </w:rPr>
        <w:t>——YS/T 536.13 铋化学分析方法 镉量的测定 电热原子吸收光谱法</w:t>
      </w:r>
    </w:p>
    <w:p>
      <w:pPr>
        <w:pStyle w:val="21"/>
      </w:pPr>
      <w:r>
        <w:rPr>
          <w:rFonts w:hint="eastAsia"/>
        </w:rPr>
        <w:t>——YS/T 536.14 铋化学分析方法 铜、铅、锌、铁、银、砷、碲和锑量的测定 电感耦合等离子体原子发射光谱法</w:t>
      </w:r>
    </w:p>
    <w:p>
      <w:pPr>
        <w:pStyle w:val="21"/>
      </w:pPr>
      <w:r>
        <w:rPr>
          <w:rFonts w:hint="eastAsia"/>
        </w:rPr>
        <w:t>本部分为YS/T 536-20XX《铋化学分析方法》的第14部分。</w:t>
      </w:r>
    </w:p>
    <w:p>
      <w:pPr>
        <w:pStyle w:val="21"/>
        <w:ind w:firstLine="424" w:firstLineChars="202"/>
      </w:pPr>
      <w:r>
        <w:rPr>
          <w:rFonts w:hint="eastAsia"/>
        </w:rPr>
        <w:t>本标准按照GB/T1.1-2009给出的规则起草。</w:t>
      </w:r>
    </w:p>
    <w:p>
      <w:pPr>
        <w:pStyle w:val="21"/>
        <w:ind w:firstLine="424" w:firstLineChars="202"/>
      </w:pPr>
      <w:r>
        <w:rPr>
          <w:rFonts w:hint="eastAsia"/>
        </w:rPr>
        <w:t>本标准由全国有色金属标准化技术委员会（SAC/TC）提出和归口。</w:t>
      </w:r>
    </w:p>
    <w:p>
      <w:pPr>
        <w:pStyle w:val="21"/>
        <w:ind w:firstLine="424" w:firstLineChars="202"/>
      </w:pPr>
      <w:r>
        <w:rPr>
          <w:rFonts w:hint="eastAsia"/>
        </w:rPr>
        <w:t>本部分起草单位：云南驰宏锌锗股份有限公司、昆明冶金研究院、XXXXXXX。</w:t>
      </w:r>
    </w:p>
    <w:p>
      <w:pPr>
        <w:pStyle w:val="21"/>
        <w:ind w:firstLine="424" w:firstLineChars="202"/>
      </w:pPr>
      <w:r>
        <w:rPr>
          <w:rFonts w:hint="eastAsia"/>
        </w:rPr>
        <w:t>本部分主要起草人：</w:t>
      </w:r>
    </w:p>
    <w:p>
      <w:pPr>
        <w:pStyle w:val="21"/>
        <w:sectPr>
          <w:headerReference r:id="rId9" w:type="default"/>
          <w:footerReference r:id="rId10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29"/>
        <w:adjustRightInd w:val="0"/>
        <w:snapToGrid w:val="0"/>
        <w:spacing w:before="100" w:beforeAutospacing="1" w:after="100" w:afterAutospacing="1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铋化学分析方法 </w:t>
      </w:r>
    </w:p>
    <w:p>
      <w:pPr>
        <w:pStyle w:val="29"/>
        <w:adjustRightInd w:val="0"/>
        <w:snapToGrid w:val="0"/>
        <w:spacing w:before="100" w:beforeAutospacing="1" w:after="100" w:afterAutospacing="1"/>
        <w:rPr>
          <w:b w:val="0"/>
          <w:bCs w:val="0"/>
        </w:rPr>
      </w:pPr>
      <w:r>
        <w:rPr>
          <w:rFonts w:hint="eastAsia"/>
          <w:b w:val="0"/>
          <w:bCs w:val="0"/>
        </w:rPr>
        <w:t>第14部分：铜、铅、锌、铁、银、砷、碲和锑量的测定</w:t>
      </w:r>
    </w:p>
    <w:p>
      <w:pPr>
        <w:pStyle w:val="29"/>
        <w:adjustRightInd w:val="0"/>
        <w:snapToGrid w:val="0"/>
        <w:spacing w:before="100" w:beforeAutospacing="1" w:after="100" w:afterAutospacing="1"/>
        <w:rPr>
          <w:b w:val="0"/>
          <w:bCs w:val="0"/>
        </w:rPr>
      </w:pPr>
      <w:r>
        <w:rPr>
          <w:rFonts w:hint="eastAsia"/>
          <w:b w:val="0"/>
          <w:bCs w:val="0"/>
        </w:rPr>
        <w:t>电感耦合等离子体原子发射光谱法</w:t>
      </w:r>
    </w:p>
    <w:p>
      <w:pPr>
        <w:pStyle w:val="73"/>
      </w:pPr>
      <w:r>
        <w:rPr>
          <w:rFonts w:hint="eastAsia"/>
        </w:rPr>
        <w:t>范围</w:t>
      </w:r>
    </w:p>
    <w:p>
      <w:pPr>
        <w:pStyle w:val="21"/>
      </w:pPr>
      <w:r>
        <w:rPr>
          <w:rFonts w:hint="eastAsia"/>
        </w:rPr>
        <w:t>本部分规定了铋中铜、铅、锌、铁、银、砷、碲和锑量的测定方法。</w:t>
      </w:r>
    </w:p>
    <w:p>
      <w:pPr>
        <w:pStyle w:val="21"/>
      </w:pPr>
      <w:r>
        <w:rPr>
          <w:rFonts w:hint="eastAsia"/>
        </w:rPr>
        <w:t>本部分适用于铋中铜、铅、锌、铁、银、砷、碲和锑量的测定。测定范围见表1。</w:t>
      </w:r>
    </w:p>
    <w:p>
      <w:pPr>
        <w:pStyle w:val="127"/>
        <w:rPr>
          <w:rFonts w:eastAsia="宋体"/>
        </w:rPr>
      </w:pPr>
    </w:p>
    <w:tbl>
      <w:tblPr>
        <w:tblStyle w:val="31"/>
        <w:tblW w:w="8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240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元素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测定范围w/%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元素</w:t>
            </w:r>
          </w:p>
        </w:tc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测定范围w/%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Cu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0.0002-0.0050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Ag</w:t>
            </w:r>
          </w:p>
        </w:tc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0.0002-0.0300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Pb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0.0002-0.0200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As</w:t>
            </w:r>
          </w:p>
        </w:tc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0.0002-0.0040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Zn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0.0002-0.0070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Te</w:t>
            </w:r>
          </w:p>
        </w:tc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0.0002-0.0030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Fe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0.0002-0.0015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Sb</w:t>
            </w:r>
          </w:p>
        </w:tc>
        <w:tc>
          <w:tcPr>
            <w:tcW w:w="198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0.0002-0.0050</w:t>
            </w:r>
          </w:p>
        </w:tc>
      </w:tr>
    </w:tbl>
    <w:p>
      <w:pPr>
        <w:pStyle w:val="21"/>
        <w:ind w:firstLine="0" w:firstLineChars="0"/>
        <w:jc w:val="center"/>
        <w:rPr>
          <w:szCs w:val="22"/>
        </w:rPr>
      </w:pPr>
    </w:p>
    <w:p>
      <w:pPr>
        <w:pStyle w:val="73"/>
      </w:pPr>
      <w:r>
        <w:rPr>
          <w:rFonts w:hint="eastAsia"/>
        </w:rPr>
        <w:t>方法提要</w:t>
      </w:r>
    </w:p>
    <w:p>
      <w:pPr>
        <w:pStyle w:val="21"/>
      </w:pPr>
      <w:r>
        <w:rPr>
          <w:rFonts w:hint="eastAsia"/>
        </w:rPr>
        <w:t>样品经硝酸、盐酸溶解，在一定酸度的情况下，进行仪器参数优化，选择特定元素谱线，采用电感耦合等离子发射光谱仪进行各元素测定,按标准工作曲线法计算各元素的质量分数。</w:t>
      </w:r>
    </w:p>
    <w:p>
      <w:pPr>
        <w:pStyle w:val="73"/>
      </w:pPr>
      <w:r>
        <w:rPr>
          <w:rFonts w:hint="eastAsia"/>
        </w:rPr>
        <w:t>试剂</w:t>
      </w:r>
    </w:p>
    <w:p>
      <w:pPr>
        <w:pStyle w:val="21"/>
      </w:pPr>
      <w:r>
        <w:rPr>
          <w:rFonts w:hint="eastAsia"/>
        </w:rPr>
        <w:t>除非另有说明，在分析中仅使用确认为优级纯的试剂和一级纯度的水（或相当纯度的试剂和水）。</w:t>
      </w:r>
    </w:p>
    <w:p>
      <w:pPr>
        <w:pStyle w:val="126"/>
      </w:pPr>
      <w:r>
        <w:rPr>
          <w:rFonts w:hint="eastAsia"/>
        </w:rPr>
        <w:t>盐酸（ρ 1.19g/mL）。</w:t>
      </w:r>
    </w:p>
    <w:p>
      <w:pPr>
        <w:pStyle w:val="126"/>
      </w:pPr>
      <w:r>
        <w:rPr>
          <w:rFonts w:hint="eastAsia"/>
        </w:rPr>
        <w:t>硝酸（ρ 1.42g/mL）。</w:t>
      </w:r>
    </w:p>
    <w:p>
      <w:pPr>
        <w:pStyle w:val="126"/>
      </w:pPr>
      <w:r>
        <w:rPr>
          <w:rFonts w:hint="eastAsia"/>
        </w:rPr>
        <w:t>盐酸（1+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</w:t>
      </w:r>
    </w:p>
    <w:p>
      <w:pPr>
        <w:pStyle w:val="126"/>
      </w:pPr>
      <w:r>
        <w:rPr>
          <w:rFonts w:hint="eastAsia"/>
        </w:rPr>
        <w:t>硝酸（1+1）</w:t>
      </w:r>
    </w:p>
    <w:p>
      <w:pPr>
        <w:pStyle w:val="126"/>
      </w:pPr>
      <w:r>
        <w:rPr>
          <w:rFonts w:hint="eastAsia"/>
        </w:rPr>
        <w:t>盐酸（2+98）</w:t>
      </w:r>
    </w:p>
    <w:p>
      <w:pPr>
        <w:pStyle w:val="126"/>
      </w:pPr>
      <w:r>
        <w:rPr>
          <w:rFonts w:hint="eastAsia"/>
        </w:rPr>
        <w:t>系列标准贮存溶液：铜、铅、锌、铁、银、砷、碲和锑单元素贮存溶液（有效期内有证国家标准样品或国家标准物质），质量浓度均为1000µg/mL。</w:t>
      </w:r>
    </w:p>
    <w:p>
      <w:pPr>
        <w:pStyle w:val="126"/>
      </w:pPr>
      <w:r>
        <w:rPr>
          <w:rFonts w:hint="eastAsia"/>
        </w:rPr>
        <w:t>系列标准溶液：分别移取铅、锌、铁</w:t>
      </w:r>
      <w:r>
        <w:rPr>
          <w:rFonts w:hint="eastAsia"/>
          <w:lang w:eastAsia="zh-CN"/>
        </w:rPr>
        <w:t>和</w:t>
      </w:r>
      <w:r>
        <w:rPr>
          <w:rFonts w:hint="eastAsia"/>
        </w:rPr>
        <w:t>银标准贮存溶液10mL于</w:t>
      </w:r>
      <w:r>
        <w:rPr>
          <w:rFonts w:hint="eastAsia"/>
          <w:lang w:eastAsia="zh-CN"/>
        </w:rPr>
        <w:t>四个不同的</w:t>
      </w:r>
      <w:r>
        <w:rPr>
          <w:rFonts w:hint="eastAsia"/>
        </w:rPr>
        <w:t>1000mL容量瓶中，</w:t>
      </w:r>
      <w:r>
        <w:rPr>
          <w:rFonts w:hint="eastAsia"/>
          <w:lang w:eastAsia="zh-CN"/>
        </w:rPr>
        <w:t>分别</w:t>
      </w:r>
      <w:r>
        <w:rPr>
          <w:rFonts w:hint="eastAsia"/>
        </w:rPr>
        <w:t>加入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mL</w:t>
      </w:r>
      <w:r>
        <w:rPr>
          <w:rFonts w:hint="eastAsia"/>
          <w:lang w:eastAsia="zh-CN"/>
        </w:rPr>
        <w:t>硝</w:t>
      </w:r>
      <w:r>
        <w:rPr>
          <w:rFonts w:hint="eastAsia"/>
        </w:rPr>
        <w:t>酸（3.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），用水定容至刻度，此</w:t>
      </w:r>
      <w:r>
        <w:rPr>
          <w:rFonts w:hint="eastAsia"/>
          <w:lang w:eastAsia="zh-CN"/>
        </w:rPr>
        <w:t>系列</w:t>
      </w:r>
      <w:r>
        <w:rPr>
          <w:rFonts w:hint="eastAsia"/>
        </w:rPr>
        <w:t>标准溶液的浓度为10µg/mL。</w:t>
      </w:r>
    </w:p>
    <w:p>
      <w:pPr>
        <w:pStyle w:val="126"/>
      </w:pPr>
      <w:r>
        <w:rPr>
          <w:rFonts w:hint="eastAsia"/>
        </w:rPr>
        <w:t>标准溶液：分别移取铜、砷、碲和锑标准贮存溶液10mL于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1000mL容量瓶中，加入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mL</w:t>
      </w:r>
      <w:r>
        <w:rPr>
          <w:rFonts w:hint="eastAsia"/>
          <w:lang w:eastAsia="zh-CN"/>
        </w:rPr>
        <w:t>硝</w:t>
      </w:r>
      <w:r>
        <w:rPr>
          <w:rFonts w:hint="eastAsia"/>
        </w:rPr>
        <w:t>酸（3.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），用水定容至刻度，此标准溶液的浓度为10µg/mL</w:t>
      </w:r>
    </w:p>
    <w:p>
      <w:pPr>
        <w:pStyle w:val="126"/>
      </w:pPr>
      <w:r>
        <w:rPr>
          <w:rFonts w:hint="eastAsia"/>
        </w:rPr>
        <w:t>系列标准溶液：分别移取铅、银标准贮存溶液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3.6</w:t>
      </w:r>
      <w:r>
        <w:rPr>
          <w:rFonts w:hint="eastAsia"/>
          <w:lang w:eastAsia="zh-CN"/>
        </w:rPr>
        <w:t>）</w:t>
      </w:r>
      <w:r>
        <w:rPr>
          <w:rFonts w:hint="eastAsia"/>
        </w:rPr>
        <w:t>10mL于</w:t>
      </w:r>
      <w:r>
        <w:rPr>
          <w:rFonts w:hint="eastAsia"/>
          <w:lang w:eastAsia="zh-CN"/>
        </w:rPr>
        <w:t>两个不同</w:t>
      </w:r>
      <w:r>
        <w:rPr>
          <w:rFonts w:hint="eastAsia"/>
        </w:rPr>
        <w:t>100mL容量瓶中，</w:t>
      </w:r>
      <w:r>
        <w:rPr>
          <w:rFonts w:hint="eastAsia"/>
          <w:lang w:eastAsia="zh-CN"/>
        </w:rPr>
        <w:t>分别</w:t>
      </w:r>
      <w:r>
        <w:rPr>
          <w:rFonts w:hint="eastAsia"/>
        </w:rPr>
        <w:t>加入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mL</w:t>
      </w:r>
      <w:r>
        <w:rPr>
          <w:rFonts w:hint="eastAsia"/>
          <w:lang w:eastAsia="zh-CN"/>
        </w:rPr>
        <w:t>硝</w:t>
      </w:r>
      <w:r>
        <w:rPr>
          <w:rFonts w:hint="eastAsia"/>
        </w:rPr>
        <w:t>酸（3.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），用水定容至刻度，此</w:t>
      </w:r>
      <w:r>
        <w:rPr>
          <w:rFonts w:hint="eastAsia"/>
          <w:lang w:eastAsia="zh-CN"/>
        </w:rPr>
        <w:t>系列</w:t>
      </w:r>
      <w:r>
        <w:rPr>
          <w:rFonts w:hint="eastAsia"/>
        </w:rPr>
        <w:t>标准溶液的浓度为10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µg/mL。</w:t>
      </w:r>
    </w:p>
    <w:p>
      <w:pPr>
        <w:pStyle w:val="73"/>
      </w:pPr>
      <w:r>
        <w:rPr>
          <w:rFonts w:hint="eastAsia"/>
        </w:rPr>
        <w:t>仪器和设备</w:t>
      </w:r>
    </w:p>
    <w:p>
      <w:pPr>
        <w:pStyle w:val="126"/>
      </w:pPr>
      <w:r>
        <w:rPr>
          <w:rFonts w:hint="eastAsia"/>
        </w:rPr>
        <w:t>电感耦合等离子体原子发射光谱仪。</w:t>
      </w:r>
    </w:p>
    <w:p>
      <w:pPr>
        <w:pStyle w:val="126"/>
      </w:pPr>
      <w:r>
        <w:rPr>
          <w:rFonts w:hint="eastAsia"/>
        </w:rPr>
        <w:t>拟推荐元素谱线，见表2。</w:t>
      </w:r>
    </w:p>
    <w:p>
      <w:pPr>
        <w:pStyle w:val="127"/>
        <w:rPr>
          <w:rFonts w:eastAsia="宋体"/>
        </w:rPr>
      </w:pPr>
    </w:p>
    <w:tbl>
      <w:tblPr>
        <w:tblStyle w:val="31"/>
        <w:tblpPr w:leftFromText="180" w:rightFromText="180" w:vertAnchor="text" w:horzAnchor="page" w:tblpXSpec="center" w:tblpY="125"/>
        <w:tblOverlap w:val="never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元素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Cu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Pb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Zn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Fe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Ag</w:t>
            </w:r>
          </w:p>
        </w:tc>
        <w:tc>
          <w:tcPr>
            <w:tcW w:w="1064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As</w:t>
            </w:r>
          </w:p>
        </w:tc>
        <w:tc>
          <w:tcPr>
            <w:tcW w:w="1064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Te</w:t>
            </w:r>
          </w:p>
        </w:tc>
        <w:tc>
          <w:tcPr>
            <w:tcW w:w="1064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谱线/nm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324.7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216.9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213.8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259.9</w:t>
            </w:r>
          </w:p>
        </w:tc>
        <w:tc>
          <w:tcPr>
            <w:tcW w:w="1063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328.0</w:t>
            </w:r>
          </w:p>
        </w:tc>
        <w:tc>
          <w:tcPr>
            <w:tcW w:w="1064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189.0</w:t>
            </w:r>
          </w:p>
        </w:tc>
        <w:tc>
          <w:tcPr>
            <w:tcW w:w="1064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214.2</w:t>
            </w:r>
          </w:p>
        </w:tc>
        <w:tc>
          <w:tcPr>
            <w:tcW w:w="1064" w:type="dxa"/>
            <w:vAlign w:val="center"/>
          </w:tcPr>
          <w:p>
            <w:pPr>
              <w:pStyle w:val="62"/>
              <w:numPr>
                <w:ilvl w:val="0"/>
                <w:numId w:val="0"/>
              </w:numPr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206.8</w:t>
            </w:r>
          </w:p>
        </w:tc>
      </w:tr>
    </w:tbl>
    <w:p>
      <w:pPr>
        <w:pStyle w:val="62"/>
        <w:numPr>
          <w:ilvl w:val="0"/>
          <w:numId w:val="0"/>
        </w:numPr>
      </w:pPr>
    </w:p>
    <w:p>
      <w:pPr>
        <w:pStyle w:val="73"/>
      </w:pPr>
      <w:r>
        <w:rPr>
          <w:rFonts w:hint="eastAsia"/>
        </w:rPr>
        <w:t>样品</w:t>
      </w:r>
    </w:p>
    <w:p>
      <w:pPr>
        <w:pStyle w:val="64"/>
        <w:rPr>
          <w:rFonts w:ascii="Times New Roman"/>
        </w:rPr>
      </w:pPr>
      <w:r>
        <w:rPr>
          <w:rFonts w:hint="eastAsia" w:ascii="Times New Roman"/>
        </w:rPr>
        <w:t>样品状态：</w:t>
      </w:r>
    </w:p>
    <w:p>
      <w:pPr>
        <w:pStyle w:val="64"/>
        <w:numPr>
          <w:ilvl w:val="0"/>
          <w:numId w:val="0"/>
        </w:numPr>
        <w:ind w:firstLine="420" w:firstLineChars="200"/>
        <w:rPr>
          <w:rFonts w:ascii="Times New Roman"/>
        </w:rPr>
      </w:pPr>
      <w:r>
        <w:rPr>
          <w:rFonts w:hint="eastAsia" w:ascii="宋体" w:eastAsia="宋体"/>
          <w:szCs w:val="22"/>
        </w:rPr>
        <w:t>样品为固体颗粒，加工至不大于2mm。</w:t>
      </w:r>
    </w:p>
    <w:p>
      <w:pPr>
        <w:pStyle w:val="64"/>
      </w:pPr>
      <w:r>
        <w:rPr>
          <w:rFonts w:hint="eastAsia"/>
        </w:rPr>
        <w:t>称样量</w:t>
      </w:r>
    </w:p>
    <w:p>
      <w:pPr>
        <w:pStyle w:val="64"/>
        <w:numPr>
          <w:ilvl w:val="1"/>
          <w:numId w:val="0"/>
        </w:numPr>
        <w:spacing w:line="240" w:lineRule="auto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准确</w:t>
      </w:r>
      <w:r>
        <w:rPr>
          <w:rFonts w:hint="eastAsia" w:ascii="宋体" w:hAnsi="宋体" w:eastAsia="宋体" w:cs="宋体"/>
          <w:sz w:val="21"/>
          <w:szCs w:val="21"/>
        </w:rPr>
        <w:t>称取样品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1.0000g</w:t>
      </w:r>
      <w:r>
        <w:rPr>
          <w:rFonts w:hint="eastAsia" w:ascii="宋体" w:hAnsi="宋体" w:eastAsia="宋体" w:cs="宋体"/>
          <w:sz w:val="21"/>
          <w:szCs w:val="21"/>
        </w:rPr>
        <w:t>，精确至0.0001g。</w:t>
      </w:r>
    </w:p>
    <w:p>
      <w:pPr>
        <w:pStyle w:val="73"/>
      </w:pPr>
      <w:r>
        <w:rPr>
          <w:rFonts w:hint="eastAsia"/>
        </w:rPr>
        <w:t>试验步骤</w:t>
      </w:r>
    </w:p>
    <w:p>
      <w:pPr>
        <w:pStyle w:val="64"/>
      </w:pPr>
      <w:r>
        <w:rPr>
          <w:rFonts w:hint="eastAsia"/>
        </w:rPr>
        <w:t>平行试验</w:t>
      </w:r>
    </w:p>
    <w:p>
      <w:pPr>
        <w:pStyle w:val="21"/>
      </w:pPr>
      <w:r>
        <w:rPr>
          <w:rFonts w:hint="eastAsia"/>
        </w:rPr>
        <w:t>独立地进行两次测定，取其平均值。</w:t>
      </w:r>
    </w:p>
    <w:p>
      <w:pPr>
        <w:pStyle w:val="64"/>
      </w:pPr>
      <w:r>
        <w:rPr>
          <w:rFonts w:hint="eastAsia"/>
        </w:rPr>
        <w:t>空白试验</w:t>
      </w:r>
    </w:p>
    <w:p>
      <w:pPr>
        <w:pStyle w:val="21"/>
      </w:pPr>
      <w:r>
        <w:rPr>
          <w:rFonts w:hint="eastAsia"/>
        </w:rPr>
        <w:t>随同试料做空白试验。</w:t>
      </w:r>
    </w:p>
    <w:p>
      <w:pPr>
        <w:pStyle w:val="64"/>
      </w:pPr>
      <w:r>
        <w:rPr>
          <w:rFonts w:hint="eastAsia"/>
        </w:rPr>
        <w:t>测定</w:t>
      </w:r>
    </w:p>
    <w:p>
      <w:pPr>
        <w:pStyle w:val="69"/>
        <w:spacing w:before="156" w:after="156"/>
      </w:pPr>
      <w:r>
        <w:rPr>
          <w:rFonts w:hint="eastAsia"/>
        </w:rPr>
        <w:t>试料的分解</w:t>
      </w:r>
    </w:p>
    <w:p>
      <w:pPr>
        <w:pStyle w:val="21"/>
        <w:rPr>
          <w:rFonts w:ascii="Times New Roman"/>
        </w:rPr>
      </w:pPr>
      <w:r>
        <w:rPr>
          <w:rFonts w:hint="eastAsia" w:ascii="Times New Roman"/>
        </w:rPr>
        <w:t>将样品置于</w:t>
      </w:r>
      <w:r>
        <w:rPr>
          <w:rFonts w:hint="eastAsia" w:ascii="Times New Roman"/>
          <w:lang w:val="en-US" w:eastAsia="zh-CN"/>
        </w:rPr>
        <w:t>250</w:t>
      </w:r>
      <w:r>
        <w:rPr>
          <w:rFonts w:hint="eastAsia" w:ascii="Times New Roman"/>
        </w:rPr>
        <w:t>mL烧杯中，加入</w:t>
      </w:r>
      <w:r>
        <w:rPr>
          <w:rFonts w:hint="eastAsia" w:ascii="Times New Roman"/>
          <w:lang w:val="en-US" w:eastAsia="zh-CN"/>
        </w:rPr>
        <w:t>10</w:t>
      </w:r>
      <w:r>
        <w:rPr>
          <w:rFonts w:hint="eastAsia" w:ascii="Times New Roman"/>
        </w:rPr>
        <w:t>mL硝酸（1+1）在电炉上加热溶解，蒸至剩余2-3ml，取下稍冷，加入10ml浓盐酸，加热蒸发至2-3ml，稍冷，加入</w:t>
      </w:r>
      <w:r>
        <w:rPr>
          <w:rFonts w:hint="eastAsia" w:ascii="Times New Roman"/>
          <w:lang w:val="en-US" w:eastAsia="zh-CN"/>
        </w:rPr>
        <w:t>20</w:t>
      </w:r>
      <w:r>
        <w:rPr>
          <w:rFonts w:hint="eastAsia" w:ascii="Times New Roman"/>
        </w:rPr>
        <w:t>mL盐酸（1+</w:t>
      </w:r>
      <w:r>
        <w:rPr>
          <w:rFonts w:hint="eastAsia" w:ascii="Times New Roman"/>
          <w:lang w:val="en-US" w:eastAsia="zh-CN"/>
        </w:rPr>
        <w:t>1</w:t>
      </w:r>
      <w:r>
        <w:rPr>
          <w:rFonts w:hint="eastAsia" w:ascii="Times New Roman"/>
        </w:rPr>
        <w:t>），加温至完全溶解，煮沸，取下冷却，将其用盐</w:t>
      </w:r>
      <w:r>
        <w:rPr>
          <w:rFonts w:hint="eastAsia" w:ascii="Times New Roman"/>
          <w:color w:val="auto"/>
        </w:rPr>
        <w:t>酸</w:t>
      </w:r>
      <w:r>
        <w:rPr>
          <w:rFonts w:hint="eastAsia" w:ascii="Times New Roman"/>
          <w:color w:val="auto"/>
          <w:lang w:val="en-US" w:eastAsia="zh-CN"/>
        </w:rPr>
        <w:t>(2+98)</w:t>
      </w:r>
      <w:r>
        <w:rPr>
          <w:rFonts w:hint="eastAsia" w:ascii="Times New Roman"/>
          <w:color w:val="auto"/>
        </w:rPr>
        <w:t>定</w:t>
      </w:r>
      <w:r>
        <w:rPr>
          <w:rFonts w:hint="eastAsia" w:ascii="Times New Roman"/>
        </w:rPr>
        <w:t>容至</w:t>
      </w:r>
      <w:r>
        <w:rPr>
          <w:rFonts w:hint="eastAsia" w:ascii="Times New Roman"/>
          <w:lang w:val="en-US" w:eastAsia="zh-CN"/>
        </w:rPr>
        <w:t>50ml</w:t>
      </w:r>
      <w:r>
        <w:rPr>
          <w:rFonts w:hint="eastAsia" w:ascii="Times New Roman"/>
        </w:rPr>
        <w:t>容量瓶中，留做待测液，用于测铜、铅、锌、铁、银、砷、碲和锑。</w:t>
      </w:r>
    </w:p>
    <w:p>
      <w:pPr>
        <w:pStyle w:val="69"/>
        <w:spacing w:before="156" w:after="156"/>
      </w:pPr>
      <w:r>
        <w:rPr>
          <w:rFonts w:hint="eastAsia"/>
        </w:rPr>
        <w:t>工作曲线的绘制</w:t>
      </w:r>
    </w:p>
    <w:p>
      <w:pPr>
        <w:pStyle w:val="21"/>
      </w:pPr>
      <w:r>
        <w:rPr>
          <w:rFonts w:hint="eastAsia"/>
          <w:lang w:eastAsia="zh-CN"/>
        </w:rPr>
        <w:t>按表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移取标准储存溶液</w:t>
      </w:r>
      <w:r>
        <w:rPr>
          <w:rFonts w:hint="eastAsia"/>
        </w:rPr>
        <w:t>于一组100mL容量瓶中，</w:t>
      </w:r>
      <w:r>
        <w:rPr>
          <w:rFonts w:hint="eastAsia"/>
          <w:lang w:eastAsia="zh-CN"/>
        </w:rPr>
        <w:t>加入</w:t>
      </w:r>
      <w:r>
        <w:rPr>
          <w:rFonts w:hint="eastAsia"/>
          <w:lang w:val="en-US" w:eastAsia="zh-CN"/>
        </w:rPr>
        <w:t>2g铋基体（称取2.0000g5N铋粒,按试料分解方法加入2倍试剂溶解）</w:t>
      </w:r>
      <w:r>
        <w:rPr>
          <w:rFonts w:hint="eastAsia"/>
        </w:rPr>
        <w:t>，用</w:t>
      </w:r>
      <w:r>
        <w:rPr>
          <w:rFonts w:hint="eastAsia" w:ascii="Times New Roman"/>
        </w:rPr>
        <w:t>盐</w:t>
      </w:r>
      <w:r>
        <w:rPr>
          <w:rFonts w:hint="eastAsia" w:ascii="Times New Roman"/>
          <w:color w:val="auto"/>
        </w:rPr>
        <w:t>酸</w:t>
      </w:r>
      <w:r>
        <w:rPr>
          <w:rFonts w:hint="eastAsia" w:ascii="Times New Roman"/>
          <w:color w:val="auto"/>
          <w:lang w:val="en-US" w:eastAsia="zh-CN"/>
        </w:rPr>
        <w:t>(2+98)</w:t>
      </w:r>
      <w:r>
        <w:rPr>
          <w:rFonts w:hint="eastAsia"/>
        </w:rPr>
        <w:t>定容至刻度，混匀。在电感耦合等离子体原子发射光谱仪上，于选定的分析谱线处，测量标准系列溶液的发射强度。分别以被测元素的质量浓度为横坐标，发射强度为纵坐标，绘制工作曲线。</w:t>
      </w:r>
    </w:p>
    <w:p>
      <w:pPr>
        <w:pStyle w:val="21"/>
        <w:rPr>
          <w:rFonts w:hint="eastAsia"/>
        </w:rPr>
      </w:pPr>
      <w:r>
        <w:rPr>
          <w:rFonts w:hint="eastAsia"/>
        </w:rPr>
        <w:t>工作曲线的相关系数需达到0.999以上。</w:t>
      </w:r>
    </w:p>
    <w:p>
      <w:pPr>
        <w:pStyle w:val="127"/>
        <w:rPr>
          <w:rFonts w:hint="eastAsia"/>
        </w:rPr>
      </w:pPr>
      <w:r>
        <w:rPr>
          <w:rFonts w:hint="eastAsia"/>
          <w:lang w:eastAsia="zh-CN"/>
        </w:rPr>
        <w:t>标准溶液配制</w:t>
      </w:r>
    </w:p>
    <w:tbl>
      <w:tblPr>
        <w:tblStyle w:val="31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44"/>
        <w:gridCol w:w="788"/>
        <w:gridCol w:w="1144"/>
        <w:gridCol w:w="788"/>
        <w:gridCol w:w="1144"/>
        <w:gridCol w:w="788"/>
        <w:gridCol w:w="1145"/>
        <w:gridCol w:w="787"/>
        <w:gridCol w:w="1143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pStyle w:val="21"/>
              <w:spacing w:line="480" w:lineRule="auto"/>
              <w:ind w:left="0" w:leftChars="0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标准浓度</w:t>
            </w:r>
          </w:p>
        </w:tc>
        <w:tc>
          <w:tcPr>
            <w:tcW w:w="9661" w:type="dxa"/>
            <w:gridSpan w:val="10"/>
            <w:vAlign w:val="center"/>
          </w:tcPr>
          <w:p>
            <w:pPr>
              <w:pStyle w:val="21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eastAsia="zh-CN"/>
              </w:rPr>
              <w:t>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pStyle w:val="21"/>
              <w:jc w:val="center"/>
              <w:rPr>
                <w:rFonts w:hint="eastAsia"/>
                <w:szCs w:val="18"/>
                <w:vertAlign w:val="baseline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Ag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As、Cu、Sb、Te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Fe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Zn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pStyle w:val="21"/>
              <w:jc w:val="center"/>
              <w:rPr>
                <w:rFonts w:hint="eastAsia"/>
                <w:szCs w:val="18"/>
                <w:vertAlign w:val="baseline"/>
              </w:rPr>
            </w:pPr>
          </w:p>
        </w:tc>
        <w:tc>
          <w:tcPr>
            <w:tcW w:w="1144" w:type="dxa"/>
            <w:vAlign w:val="center"/>
          </w:tcPr>
          <w:p>
            <w:pPr>
              <w:pStyle w:val="21"/>
              <w:ind w:left="0" w:leftChars="0" w:right="25" w:rightChars="12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储备液(ug/ml)</w:t>
            </w: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eastAsia="zh-CN"/>
              </w:rPr>
              <w:t>移取量</w:t>
            </w:r>
            <w:r>
              <w:rPr>
                <w:rFonts w:hint="eastAsia"/>
                <w:szCs w:val="18"/>
                <w:vertAlign w:val="baseline"/>
                <w:lang w:val="en-US" w:eastAsia="zh-CN"/>
              </w:rPr>
              <w:t>/ml</w:t>
            </w:r>
          </w:p>
        </w:tc>
        <w:tc>
          <w:tcPr>
            <w:tcW w:w="1144" w:type="dxa"/>
            <w:vAlign w:val="center"/>
          </w:tcPr>
          <w:p>
            <w:pPr>
              <w:pStyle w:val="21"/>
              <w:ind w:left="0" w:leftChars="0" w:right="25" w:rightChars="12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储备液(ug/ml)</w:t>
            </w: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eastAsia="zh-CN"/>
              </w:rPr>
              <w:t>移取量</w:t>
            </w:r>
            <w:r>
              <w:rPr>
                <w:rFonts w:hint="eastAsia"/>
                <w:szCs w:val="18"/>
                <w:vertAlign w:val="baseline"/>
                <w:lang w:val="en-US" w:eastAsia="zh-CN"/>
              </w:rPr>
              <w:t>/ml</w:t>
            </w:r>
          </w:p>
        </w:tc>
        <w:tc>
          <w:tcPr>
            <w:tcW w:w="1144" w:type="dxa"/>
            <w:vAlign w:val="center"/>
          </w:tcPr>
          <w:p>
            <w:pPr>
              <w:pStyle w:val="21"/>
              <w:ind w:left="0" w:leftChars="0" w:right="25" w:rightChars="12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储备液(ug/ml)</w:t>
            </w: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eastAsia="zh-CN"/>
              </w:rPr>
              <w:t>移取量</w:t>
            </w:r>
            <w:r>
              <w:rPr>
                <w:rFonts w:hint="eastAsia"/>
                <w:szCs w:val="18"/>
                <w:vertAlign w:val="baseline"/>
                <w:lang w:val="en-US" w:eastAsia="zh-CN"/>
              </w:rPr>
              <w:t>/ml</w:t>
            </w:r>
          </w:p>
        </w:tc>
        <w:tc>
          <w:tcPr>
            <w:tcW w:w="1145" w:type="dxa"/>
            <w:vAlign w:val="center"/>
          </w:tcPr>
          <w:p>
            <w:pPr>
              <w:pStyle w:val="21"/>
              <w:ind w:left="0" w:leftChars="0" w:right="25" w:rightChars="12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储备液(ug/ml)</w:t>
            </w:r>
          </w:p>
        </w:tc>
        <w:tc>
          <w:tcPr>
            <w:tcW w:w="787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eastAsia="zh-CN"/>
              </w:rPr>
              <w:t>移取量</w:t>
            </w:r>
            <w:r>
              <w:rPr>
                <w:rFonts w:hint="eastAsia"/>
                <w:szCs w:val="18"/>
                <w:vertAlign w:val="baseline"/>
                <w:lang w:val="en-US" w:eastAsia="zh-CN"/>
              </w:rPr>
              <w:t>/ml</w:t>
            </w:r>
          </w:p>
        </w:tc>
        <w:tc>
          <w:tcPr>
            <w:tcW w:w="1143" w:type="dxa"/>
            <w:vAlign w:val="center"/>
          </w:tcPr>
          <w:p>
            <w:pPr>
              <w:pStyle w:val="21"/>
              <w:ind w:left="0" w:leftChars="0" w:right="25" w:rightChars="12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储备液(ug/ml)</w:t>
            </w:r>
          </w:p>
        </w:tc>
        <w:tc>
          <w:tcPr>
            <w:tcW w:w="790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eastAsia="zh-CN"/>
              </w:rPr>
              <w:t>移取量</w:t>
            </w:r>
            <w:r>
              <w:rPr>
                <w:rFonts w:hint="eastAsia"/>
                <w:szCs w:val="18"/>
                <w:vertAlign w:val="baseline"/>
                <w:lang w:val="en-US" w:eastAsia="zh-CN"/>
              </w:rPr>
              <w:t>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9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Std1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pStyle w:val="21"/>
              <w:spacing w:line="480" w:lineRule="auto"/>
              <w:ind w:left="0" w:leftChars="0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（3.7）</w:t>
            </w: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（3.8）</w:t>
            </w: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0.4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（3.7）</w:t>
            </w: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0.4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（3.7）</w:t>
            </w:r>
          </w:p>
        </w:tc>
        <w:tc>
          <w:tcPr>
            <w:tcW w:w="787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0.4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pStyle w:val="21"/>
              <w:spacing w:line="480" w:lineRule="auto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（3.7）</w:t>
            </w:r>
          </w:p>
        </w:tc>
        <w:tc>
          <w:tcPr>
            <w:tcW w:w="790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9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Std2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jc w:val="center"/>
              <w:rPr>
                <w:rFonts w:hint="eastAsia"/>
                <w:szCs w:val="18"/>
                <w:vertAlign w:val="baseline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9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Std3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/>
                <w:szCs w:val="18"/>
                <w:vertAlign w:val="baseline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（3.9）</w:t>
            </w: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4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2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4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（3.9）</w:t>
            </w:r>
          </w:p>
        </w:tc>
        <w:tc>
          <w:tcPr>
            <w:tcW w:w="790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9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Std4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jc w:val="center"/>
              <w:rPr>
                <w:rFonts w:hint="eastAsia"/>
                <w:szCs w:val="18"/>
                <w:vertAlign w:val="baseline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6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3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8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79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/>
                <w:szCs w:val="18"/>
                <w:vertAlign w:val="baseline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Std5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jc w:val="center"/>
              <w:rPr>
                <w:rFonts w:hint="eastAsia"/>
                <w:szCs w:val="18"/>
                <w:vertAlign w:val="baseline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144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1000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（3.6）</w:t>
            </w:r>
          </w:p>
        </w:tc>
        <w:tc>
          <w:tcPr>
            <w:tcW w:w="787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  <w:lang w:val="en-US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0.2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pStyle w:val="21"/>
              <w:ind w:firstLine="420" w:firstLineChars="200"/>
              <w:jc w:val="center"/>
              <w:rPr>
                <w:szCs w:val="18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21"/>
              <w:ind w:left="0" w:leftChars="0"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  <w:vertAlign w:val="baseline"/>
                <w:lang w:val="en-US" w:eastAsia="zh-CN"/>
              </w:rPr>
              <w:t>4</w:t>
            </w:r>
          </w:p>
        </w:tc>
      </w:tr>
    </w:tbl>
    <w:p>
      <w:pPr>
        <w:pStyle w:val="21"/>
        <w:rPr>
          <w:rFonts w:hint="eastAsia"/>
        </w:rPr>
      </w:pPr>
    </w:p>
    <w:p>
      <w:pPr>
        <w:pStyle w:val="69"/>
        <w:spacing w:before="156" w:after="156"/>
      </w:pPr>
      <w:r>
        <w:rPr>
          <w:rFonts w:hint="eastAsia"/>
        </w:rPr>
        <w:t>分析结果的计算测量</w:t>
      </w:r>
    </w:p>
    <w:p>
      <w:pPr>
        <w:pStyle w:val="21"/>
      </w:pPr>
      <w:r>
        <w:rPr>
          <w:rFonts w:hint="eastAsia"/>
        </w:rPr>
        <w:t>在电感耦合等离子体原子发射光谱仪上，选择最优仪器参数，于选定的分析谱线测量待测液及随同试料空白，按标准工作曲线法计算各元素的质量分数。</w:t>
      </w:r>
    </w:p>
    <w:p>
      <w:pPr>
        <w:pStyle w:val="73"/>
      </w:pPr>
      <w:r>
        <w:rPr>
          <w:rFonts w:hint="eastAsia"/>
        </w:rPr>
        <w:t>试验数据处理</w:t>
      </w:r>
    </w:p>
    <w:p>
      <w:pPr>
        <w:pStyle w:val="21"/>
        <w:rPr>
          <w:rFonts w:eastAsiaTheme="minorEastAsia"/>
        </w:rPr>
      </w:pPr>
      <w:r>
        <w:rPr>
          <w:rFonts w:hint="eastAsia" w:eastAsiaTheme="minorEastAsia"/>
        </w:rPr>
        <w:t>各元素的含量以元素的质量分数</w:t>
      </w:r>
      <w:r>
        <w:rPr>
          <w:rFonts w:cs="Arial" w:asciiTheme="minorEastAsia" w:hAnsiTheme="minorEastAsia" w:eastAsiaTheme="minorEastAsia"/>
          <w:color w:val="333333"/>
          <w:szCs w:val="21"/>
          <w:shd w:val="clear" w:color="auto" w:fill="FFFFFF"/>
        </w:rPr>
        <w:t>ω</w:t>
      </w:r>
      <w:r>
        <w:rPr>
          <w:rFonts w:hint="eastAsia" w:cs="Arial" w:asciiTheme="minorEastAsia" w:hAnsiTheme="minorEastAsia" w:eastAsiaTheme="minorEastAsia"/>
          <w:color w:val="333333"/>
          <w:szCs w:val="21"/>
          <w:shd w:val="clear" w:color="auto" w:fill="FFFFFF"/>
        </w:rPr>
        <w:t>计，以%表示，按式（1）计算：</w:t>
      </w:r>
    </w:p>
    <w:p>
      <w:pPr>
        <w:pStyle w:val="21"/>
        <w:jc w:val="right"/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</w:pPr>
      <w:r>
        <w:rPr>
          <w:rFonts w:cs="Arial" w:asciiTheme="minorEastAsia" w:hAnsiTheme="minorEastAsia" w:eastAsiaTheme="minorEastAsia"/>
          <w:color w:val="333333"/>
          <w:szCs w:val="21"/>
          <w:shd w:val="clear" w:color="auto" w:fill="FFFFFF"/>
        </w:rPr>
        <w:t>ω</w:t>
      </w:r>
      <w:r>
        <w:rPr>
          <w:rFonts w:hint="eastAsia" w:cs="Arial" w:asciiTheme="minorEastAsia" w:hAnsiTheme="minorEastAsia" w:eastAsiaTheme="minorEastAsia"/>
          <w:color w:val="333333"/>
          <w:szCs w:val="21"/>
          <w:shd w:val="clear" w:color="auto" w:fill="FFFFFF"/>
        </w:rPr>
        <w:t>=</w:t>
      </w:r>
      <m:oMath>
        <m:f>
          <m:fPr>
            <m:ctrlPr>
              <w:rPr>
                <w:rFonts w:ascii="Cambria Math" w:hAnsi="Cambria Math" w:cs="Arial" w:eastAsiaTheme="minorEastAsia"/>
                <w:color w:val="333333"/>
                <w:szCs w:val="21"/>
                <w:shd w:val="clear" w:color="auto" w:fill="FFFFFF"/>
              </w:rPr>
            </m:ctrlPr>
          </m:fPr>
          <m:num>
            <m:r>
              <w:rPr>
                <w:rFonts w:hint="eastAsia" w:ascii="Cambria Math" w:hAnsi="Cambria Math" w:cs="Arial" w:eastAsiaTheme="minorEastAsia"/>
                <w:color w:val="333333"/>
                <w:szCs w:val="21"/>
                <w:shd w:val="clear" w:color="auto" w:fill="FFFFFF"/>
              </w:rPr>
              <m:t>（</m:t>
            </m:r>
            <m:sSub>
              <m:sSubPr>
                <m:ctrlPr>
                  <w:rPr>
                    <w:rFonts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</m:ctrlPr>
              </m:sSubPr>
              <m:e>
                <m:r>
                  <w:rPr>
                    <w:rFonts w:hint="eastAsia"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  <m:t>C</m:t>
                </m:r>
                <m:ctrlPr>
                  <w:rPr>
                    <w:rFonts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</m:ctrlPr>
              </m:e>
              <m:sub>
                <m:r>
                  <w:rPr>
                    <w:rFonts w:hint="eastAsia"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  <m:t>1</m:t>
                </m:r>
                <m:ctrlPr>
                  <w:rPr>
                    <w:rFonts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</m:ctrlPr>
              </m:sub>
            </m:sSub>
            <m:r>
              <w:rPr>
                <w:rFonts w:hint="eastAsia" w:ascii="MS Gothic" w:hAnsi="MS Gothic" w:eastAsia="MS Gothic" w:cs="MS Gothic"/>
                <w:color w:val="333333"/>
                <w:szCs w:val="21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</m:ctrlPr>
              </m:sSubPr>
              <m:e>
                <m:r>
                  <w:rPr>
                    <w:rFonts w:hint="eastAsia"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  <m:t>C</m:t>
                </m:r>
                <m:ctrlPr>
                  <w:rPr>
                    <w:rFonts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</m:ctrlPr>
              </m:e>
              <m:sub>
                <m:r>
                  <w:rPr>
                    <w:rFonts w:hint="eastAsia"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  <m:t>0</m:t>
                </m:r>
                <m:ctrlPr>
                  <w:rPr>
                    <w:rFonts w:ascii="Cambria Math" w:hAnsi="Cambria Math" w:cs="Arial" w:eastAsiaTheme="minorEastAsia"/>
                    <w:color w:val="333333"/>
                    <w:szCs w:val="21"/>
                    <w:shd w:val="clear" w:color="auto" w:fill="FFFFFF"/>
                  </w:rPr>
                </m:ctrlPr>
              </m:sub>
            </m:sSub>
            <m:r>
              <w:rPr>
                <w:rFonts w:hint="eastAsia" w:ascii="Cambria Math" w:hAnsi="Cambria Math" w:cs="Arial" w:eastAsiaTheme="minorEastAsia"/>
                <w:color w:val="333333"/>
                <w:szCs w:val="21"/>
                <w:shd w:val="clear" w:color="auto" w:fill="FFFFFF"/>
              </w:rPr>
              <m:t>）</m:t>
            </m:r>
            <m:r>
              <m:rPr>
                <m:sty m:val="p"/>
              </m:rPr>
              <w:rPr>
                <w:rFonts w:ascii="Cambria Math" w:hAnsi="Cambria Math" w:cs="Arial" w:eastAsiaTheme="minorEastAsia"/>
                <w:color w:val="333333"/>
                <w:szCs w:val="21"/>
                <w:shd w:val="clear" w:color="auto" w:fill="FFFFFF"/>
              </w:rPr>
              <m:t>×V</m:t>
            </m:r>
            <m:ctrlPr>
              <w:rPr>
                <w:rFonts w:ascii="Cambria Math" w:hAnsi="Cambria Math" w:cs="Arial" w:eastAsiaTheme="minorEastAsia"/>
                <w:color w:val="333333"/>
                <w:szCs w:val="21"/>
                <w:shd w:val="clear" w:color="auto" w:fill="FFFFFF"/>
              </w:rPr>
            </m:ctrlPr>
          </m:num>
          <m:den>
            <m:r>
              <w:rPr>
                <w:rFonts w:ascii="Cambria Math" w:hAnsi="Cambria Math" w:cs="Arial" w:eastAsiaTheme="minorEastAsia"/>
                <w:color w:val="333333"/>
                <w:szCs w:val="21"/>
                <w:shd w:val="clear" w:color="auto" w:fill="FFFFFF"/>
              </w:rPr>
              <m:t>m×1000</m:t>
            </m:r>
            <m:ctrlPr>
              <w:rPr>
                <w:rFonts w:ascii="Cambria Math" w:hAnsi="Cambria Math" w:cs="Arial" w:eastAsiaTheme="minorEastAsia"/>
                <w:color w:val="333333"/>
                <w:szCs w:val="21"/>
                <w:shd w:val="clear" w:color="auto" w:fill="FFFFFF"/>
              </w:rPr>
            </m:ctrlPr>
          </m:den>
        </m:f>
        <m:r>
          <w:rPr>
            <w:rFonts w:ascii="Cambria Math" w:hAnsi="Cambria Math" w:cs="Arial" w:eastAsiaTheme="minorEastAsia"/>
            <w:color w:val="333333"/>
            <w:szCs w:val="21"/>
            <w:shd w:val="clear" w:color="auto" w:fill="FFFFFF"/>
          </w:rPr>
          <m:t>×100%</m:t>
        </m:r>
      </m:oMath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333333"/>
          <w:szCs w:val="21"/>
          <w:shd w:val="clear" w:color="auto" w:fill="FFFFFF"/>
        </w:rPr>
        <w:t>…………………………………………</w:t>
      </w:r>
      <w:r>
        <w:rPr>
          <w:rFonts w:hint="eastAsia" w:ascii="Arial" w:hAnsi="Arial" w:cs="Arial" w:eastAsiaTheme="minorEastAsia"/>
          <w:color w:val="333333"/>
          <w:szCs w:val="21"/>
          <w:shd w:val="clear" w:color="auto" w:fill="FFFFFF"/>
        </w:rPr>
        <w:t>（1）</w:t>
      </w:r>
    </w:p>
    <w:p>
      <w:pPr>
        <w:pStyle w:val="21"/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</w:pP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>式中：</w:t>
      </w:r>
    </w:p>
    <w:p>
      <w:pPr>
        <w:pStyle w:val="21"/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</w:pP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>C</w:t>
      </w: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  <w:vertAlign w:val="subscript"/>
        </w:rPr>
        <w:t xml:space="preserve">0 </w:t>
      </w: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>— 空白溶液中各元素的质量浓度，单位为微克每毫升（</w:t>
      </w:r>
      <w:r>
        <w:rPr>
          <w:rFonts w:hint="eastAsia"/>
        </w:rPr>
        <w:t>µg/mL</w:t>
      </w: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>）；</w:t>
      </w:r>
    </w:p>
    <w:p>
      <w:pPr>
        <w:pStyle w:val="21"/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</w:pP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>C</w:t>
      </w: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  <w:vertAlign w:val="subscript"/>
        </w:rPr>
        <w:t xml:space="preserve">1 </w:t>
      </w: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>— 待测溶液中各元素的质量浓度，单位为微克每毫升（</w:t>
      </w:r>
      <w:r>
        <w:rPr>
          <w:rFonts w:hint="eastAsia"/>
        </w:rPr>
        <w:t>µg/mL</w:t>
      </w: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>）；</w:t>
      </w:r>
    </w:p>
    <w:p>
      <w:pPr>
        <w:pStyle w:val="21"/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</w:pP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>V — 待测溶液的体积，单位为毫升（mL）；</w:t>
      </w:r>
    </w:p>
    <w:p>
      <w:pPr>
        <w:pStyle w:val="21"/>
        <w:rPr>
          <w:rFonts w:asciiTheme="minorEastAsia" w:hAnsiTheme="minorEastAsia" w:eastAsiaTheme="minorEastAsia"/>
          <w:szCs w:val="21"/>
        </w:rPr>
      </w:pPr>
      <w:r>
        <w:rPr>
          <w:rFonts w:hint="eastAsia" w:ascii="Cambria Math" w:hAnsi="Cambria Math" w:cs="Arial" w:eastAsiaTheme="minorEastAsia"/>
          <w:color w:val="333333"/>
          <w:szCs w:val="21"/>
          <w:shd w:val="clear" w:color="auto" w:fill="FFFFFF"/>
        </w:rPr>
        <w:t>m — 样品质量，单位为克（g）。</w:t>
      </w:r>
    </w:p>
    <w:p>
      <w:pPr>
        <w:pStyle w:val="21"/>
      </w:pPr>
      <w:r>
        <w:rPr>
          <w:rFonts w:hint="eastAsia"/>
        </w:rPr>
        <w:t>所得结果表示二位有效数字，若结果第一个有效数字为小数点后第四位，则保留一位有效数字。</w:t>
      </w:r>
    </w:p>
    <w:p>
      <w:pPr>
        <w:pStyle w:val="73"/>
      </w:pPr>
      <w:r>
        <w:rPr>
          <w:rFonts w:hint="eastAsia"/>
        </w:rPr>
        <w:t>精密度</w:t>
      </w:r>
    </w:p>
    <w:p>
      <w:pPr>
        <w:pStyle w:val="64"/>
      </w:pPr>
      <w:r>
        <w:rPr>
          <w:rFonts w:hint="eastAsia"/>
        </w:rPr>
        <w:t>重复性</w:t>
      </w:r>
    </w:p>
    <w:p>
      <w:pPr>
        <w:pStyle w:val="21"/>
      </w:pPr>
      <w:r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>
        <w:t>r</w:t>
      </w:r>
      <w:r>
        <w:rPr>
          <w:rFonts w:hint="eastAsia"/>
        </w:rPr>
        <w:t>），超过重复性限（</w:t>
      </w:r>
      <w:r>
        <w:t>r</w:t>
      </w:r>
      <w:r>
        <w:rPr>
          <w:rFonts w:hint="eastAsia"/>
        </w:rPr>
        <w:t>）的情况不超过</w:t>
      </w:r>
      <w:r>
        <w:t>5%</w:t>
      </w:r>
      <w:r>
        <w:rPr>
          <w:rFonts w:hint="eastAsia"/>
        </w:rPr>
        <w:t>，重复性限（</w:t>
      </w:r>
      <w:r>
        <w:t>r</w:t>
      </w:r>
      <w:r>
        <w:rPr>
          <w:rFonts w:hint="eastAsia"/>
        </w:rPr>
        <w:t>）按表4数据采用线性内插法求得：</w:t>
      </w:r>
    </w:p>
    <w:p>
      <w:pPr>
        <w:pStyle w:val="127"/>
      </w:pPr>
      <w:r>
        <w:rPr>
          <w:rFonts w:hint="eastAsia"/>
        </w:rPr>
        <w:t>重复性限</w:t>
      </w:r>
    </w:p>
    <w:tbl>
      <w:tblPr>
        <w:tblStyle w:val="30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Cu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Pb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Zn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Fe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Ag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As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Te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Sb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</w:tbl>
    <w:p>
      <w:pPr>
        <w:pStyle w:val="64"/>
      </w:pPr>
      <w:r>
        <w:rPr>
          <w:rFonts w:hint="eastAsia"/>
        </w:rPr>
        <w:t>再现性</w:t>
      </w:r>
    </w:p>
    <w:p>
      <w:pPr>
        <w:pStyle w:val="21"/>
      </w:pPr>
      <w:r>
        <w:rPr>
          <w:rFonts w:hint="eastAsia"/>
        </w:rPr>
        <w:t>在再现性条件下获得的两次独立测试结果的测定值，在以下给出的平均值范围内，这两个测试结果的绝对差值不超过再现性限（R），超过再现性限（R）的情况不超过5%，再现性限（R）按表3数据采用线性内插法求得：</w:t>
      </w:r>
    </w:p>
    <w:p>
      <w:pPr>
        <w:pStyle w:val="127"/>
      </w:pPr>
      <w:r>
        <w:rPr>
          <w:rFonts w:hint="eastAsia"/>
        </w:rPr>
        <w:t>再现性限</w:t>
      </w:r>
    </w:p>
    <w:tbl>
      <w:tblPr>
        <w:tblStyle w:val="30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Cu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Pb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Zn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Fe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Ag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As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Te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Sb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ω</w:t>
            </w:r>
            <w:r>
              <w:rPr>
                <w:rFonts w:hint="eastAsia"/>
                <w:szCs w:val="18"/>
              </w:rPr>
              <w:t>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R/%</w:t>
            </w: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  <w:tc>
          <w:tcPr>
            <w:tcW w:w="95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Cs w:val="18"/>
              </w:rPr>
            </w:pPr>
          </w:p>
        </w:tc>
      </w:tr>
    </w:tbl>
    <w:p>
      <w:pPr>
        <w:pStyle w:val="21"/>
      </w:pPr>
    </w:p>
    <w:p>
      <w:pPr>
        <w:pStyle w:val="73"/>
      </w:pPr>
      <w:r>
        <w:rPr>
          <w:rFonts w:hint="eastAsia"/>
        </w:rPr>
        <w:t>试验报告</w:t>
      </w:r>
    </w:p>
    <w:p>
      <w:pPr>
        <w:pStyle w:val="21"/>
      </w:pPr>
      <w:r>
        <w:rPr>
          <w:rFonts w:hint="eastAsia"/>
        </w:rPr>
        <w:t>试验报告至少给出以下几个方面的内容：</w:t>
      </w:r>
    </w:p>
    <w:p>
      <w:pPr>
        <w:pStyle w:val="62"/>
      </w:pPr>
      <w:r>
        <w:rPr>
          <w:rFonts w:hint="eastAsia"/>
        </w:rPr>
        <w:t>试样；</w:t>
      </w:r>
    </w:p>
    <w:p>
      <w:pPr>
        <w:pStyle w:val="62"/>
      </w:pPr>
      <w:r>
        <w:rPr>
          <w:rFonts w:hint="eastAsia"/>
        </w:rPr>
        <w:t>使用的标准；</w:t>
      </w:r>
    </w:p>
    <w:p>
      <w:pPr>
        <w:pStyle w:val="62"/>
      </w:pPr>
      <w:r>
        <w:rPr>
          <w:rFonts w:hint="eastAsia"/>
        </w:rPr>
        <w:t>分析结果及其表示；</w:t>
      </w:r>
    </w:p>
    <w:p>
      <w:pPr>
        <w:pStyle w:val="62"/>
      </w:pPr>
      <w:r>
        <w:rPr>
          <w:rFonts w:hint="eastAsia"/>
        </w:rPr>
        <w:t>与基本分析步骤的差异；</w:t>
      </w:r>
    </w:p>
    <w:p>
      <w:pPr>
        <w:pStyle w:val="62"/>
      </w:pPr>
      <w:r>
        <w:rPr>
          <w:rFonts w:hint="eastAsia"/>
        </w:rPr>
        <w:t>测定中观察到的异常现象；</w:t>
      </w:r>
    </w:p>
    <w:p>
      <w:pPr>
        <w:pStyle w:val="62"/>
      </w:pPr>
      <w:r>
        <w:rPr>
          <w:rFonts w:hint="eastAsia"/>
        </w:rPr>
        <w:t>试验日期。</w:t>
      </w:r>
    </w:p>
    <w:p>
      <w:pPr>
        <w:pStyle w:val="124"/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1"/>
    </w:pPr>
    <w:r>
      <w:t>YS/T .11—201X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8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4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1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44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6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7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6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6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00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62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7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7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63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7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83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4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2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9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0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6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0"/>
  </w:num>
  <w:num w:numId="7">
    <w:abstractNumId w:val="17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  <w:num w:numId="14">
    <w:abstractNumId w:val="12"/>
  </w:num>
  <w:num w:numId="15">
    <w:abstractNumId w:val="8"/>
  </w:num>
  <w:num w:numId="16">
    <w:abstractNumId w:val="16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ksQcnrtc2aqX391/xNL3641uVQ=" w:salt="5CeCdYA5HyR8VHsD4oLSDA==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35AD"/>
    <w:rsid w:val="00035925"/>
    <w:rsid w:val="00067CDF"/>
    <w:rsid w:val="00074FBE"/>
    <w:rsid w:val="00076FC3"/>
    <w:rsid w:val="00081E85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1056DE"/>
    <w:rsid w:val="00107EFD"/>
    <w:rsid w:val="001124C0"/>
    <w:rsid w:val="0013175F"/>
    <w:rsid w:val="001512B4"/>
    <w:rsid w:val="001620A5"/>
    <w:rsid w:val="00164E53"/>
    <w:rsid w:val="00165E32"/>
    <w:rsid w:val="0016699D"/>
    <w:rsid w:val="00175159"/>
    <w:rsid w:val="00176208"/>
    <w:rsid w:val="0018211B"/>
    <w:rsid w:val="001840D3"/>
    <w:rsid w:val="00185FFD"/>
    <w:rsid w:val="00187D82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B744C"/>
    <w:rsid w:val="002C31F1"/>
    <w:rsid w:val="002C6391"/>
    <w:rsid w:val="002C72D8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25926"/>
    <w:rsid w:val="00325BC4"/>
    <w:rsid w:val="00327A41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06AB"/>
    <w:rsid w:val="003B1275"/>
    <w:rsid w:val="003B1778"/>
    <w:rsid w:val="003C11CB"/>
    <w:rsid w:val="003C6279"/>
    <w:rsid w:val="003C75F3"/>
    <w:rsid w:val="003C78A3"/>
    <w:rsid w:val="003E09E1"/>
    <w:rsid w:val="003E1867"/>
    <w:rsid w:val="003E5729"/>
    <w:rsid w:val="003F4EE0"/>
    <w:rsid w:val="00402153"/>
    <w:rsid w:val="00402FC1"/>
    <w:rsid w:val="00425082"/>
    <w:rsid w:val="00431DEB"/>
    <w:rsid w:val="00446B29"/>
    <w:rsid w:val="0045010E"/>
    <w:rsid w:val="00453F9A"/>
    <w:rsid w:val="00471E91"/>
    <w:rsid w:val="00474675"/>
    <w:rsid w:val="0047470C"/>
    <w:rsid w:val="00487BA8"/>
    <w:rsid w:val="004A35F9"/>
    <w:rsid w:val="004B24C1"/>
    <w:rsid w:val="004C292F"/>
    <w:rsid w:val="004D3EDF"/>
    <w:rsid w:val="00510280"/>
    <w:rsid w:val="00513D73"/>
    <w:rsid w:val="00514A43"/>
    <w:rsid w:val="005174E5"/>
    <w:rsid w:val="00522393"/>
    <w:rsid w:val="00522620"/>
    <w:rsid w:val="00525656"/>
    <w:rsid w:val="00525E25"/>
    <w:rsid w:val="00534C02"/>
    <w:rsid w:val="0054264B"/>
    <w:rsid w:val="00543786"/>
    <w:rsid w:val="005533D7"/>
    <w:rsid w:val="005703DE"/>
    <w:rsid w:val="00571806"/>
    <w:rsid w:val="0058464E"/>
    <w:rsid w:val="00593B48"/>
    <w:rsid w:val="005A01CB"/>
    <w:rsid w:val="005A58FF"/>
    <w:rsid w:val="005A5EAF"/>
    <w:rsid w:val="005A64C0"/>
    <w:rsid w:val="005B2AB1"/>
    <w:rsid w:val="005B3C11"/>
    <w:rsid w:val="005B68F3"/>
    <w:rsid w:val="005C1C28"/>
    <w:rsid w:val="005C6DB5"/>
    <w:rsid w:val="005E19E7"/>
    <w:rsid w:val="005F0D35"/>
    <w:rsid w:val="0061716C"/>
    <w:rsid w:val="006243A1"/>
    <w:rsid w:val="00632E56"/>
    <w:rsid w:val="00633D4B"/>
    <w:rsid w:val="00635CBA"/>
    <w:rsid w:val="0064025D"/>
    <w:rsid w:val="0064338B"/>
    <w:rsid w:val="00646542"/>
    <w:rsid w:val="006504F4"/>
    <w:rsid w:val="00653FCE"/>
    <w:rsid w:val="00654BC9"/>
    <w:rsid w:val="006552FD"/>
    <w:rsid w:val="00655658"/>
    <w:rsid w:val="00663AF3"/>
    <w:rsid w:val="00666B6C"/>
    <w:rsid w:val="00675E78"/>
    <w:rsid w:val="00682682"/>
    <w:rsid w:val="00682702"/>
    <w:rsid w:val="00682CAE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6CF4"/>
    <w:rsid w:val="006E3675"/>
    <w:rsid w:val="006E4A7F"/>
    <w:rsid w:val="00704DF6"/>
    <w:rsid w:val="0070651C"/>
    <w:rsid w:val="00712C46"/>
    <w:rsid w:val="007132A3"/>
    <w:rsid w:val="0071642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CAF"/>
    <w:rsid w:val="00835DB3"/>
    <w:rsid w:val="0083617B"/>
    <w:rsid w:val="008371BD"/>
    <w:rsid w:val="008504A8"/>
    <w:rsid w:val="0085282E"/>
    <w:rsid w:val="0087198C"/>
    <w:rsid w:val="00872C1F"/>
    <w:rsid w:val="00873B42"/>
    <w:rsid w:val="008840D7"/>
    <w:rsid w:val="008856D8"/>
    <w:rsid w:val="00887683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016"/>
    <w:rsid w:val="00A36BBE"/>
    <w:rsid w:val="00A4307A"/>
    <w:rsid w:val="00A47EBB"/>
    <w:rsid w:val="00A51CDD"/>
    <w:rsid w:val="00A6730D"/>
    <w:rsid w:val="00A71625"/>
    <w:rsid w:val="00A71B9B"/>
    <w:rsid w:val="00A751C7"/>
    <w:rsid w:val="00A808C9"/>
    <w:rsid w:val="00A834A7"/>
    <w:rsid w:val="00A84230"/>
    <w:rsid w:val="00A87844"/>
    <w:rsid w:val="00AA0291"/>
    <w:rsid w:val="00AA038C"/>
    <w:rsid w:val="00AA3EDD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36BB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0B75"/>
    <w:rsid w:val="00BA2EBE"/>
    <w:rsid w:val="00BB0F28"/>
    <w:rsid w:val="00BB458A"/>
    <w:rsid w:val="00BD00D3"/>
    <w:rsid w:val="00BD1659"/>
    <w:rsid w:val="00BD35C9"/>
    <w:rsid w:val="00BD3AA9"/>
    <w:rsid w:val="00BD4A18"/>
    <w:rsid w:val="00BD6DB2"/>
    <w:rsid w:val="00BE11CF"/>
    <w:rsid w:val="00BE21AB"/>
    <w:rsid w:val="00BE55CB"/>
    <w:rsid w:val="00BF617A"/>
    <w:rsid w:val="00BF6FCE"/>
    <w:rsid w:val="00C0379D"/>
    <w:rsid w:val="00C03931"/>
    <w:rsid w:val="00C04C7B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439FF"/>
    <w:rsid w:val="00C47F1C"/>
    <w:rsid w:val="00C601D2"/>
    <w:rsid w:val="00C65BCC"/>
    <w:rsid w:val="00C66970"/>
    <w:rsid w:val="00C8691C"/>
    <w:rsid w:val="00C95F4F"/>
    <w:rsid w:val="00CA168A"/>
    <w:rsid w:val="00CA357E"/>
    <w:rsid w:val="00CA44F9"/>
    <w:rsid w:val="00CA4A69"/>
    <w:rsid w:val="00CB7556"/>
    <w:rsid w:val="00CC3E0C"/>
    <w:rsid w:val="00CC4A14"/>
    <w:rsid w:val="00CC58D3"/>
    <w:rsid w:val="00CC784D"/>
    <w:rsid w:val="00CE319B"/>
    <w:rsid w:val="00CE4A85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0990"/>
    <w:rsid w:val="00DB5ADF"/>
    <w:rsid w:val="00DB7E6C"/>
    <w:rsid w:val="00DD5A29"/>
    <w:rsid w:val="00DD5D9D"/>
    <w:rsid w:val="00DE35CB"/>
    <w:rsid w:val="00DF00DC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47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01CF"/>
    <w:rsid w:val="00FD320D"/>
    <w:rsid w:val="00FE23DE"/>
    <w:rsid w:val="02BF12EB"/>
    <w:rsid w:val="030075ED"/>
    <w:rsid w:val="05966D9C"/>
    <w:rsid w:val="08A94CC6"/>
    <w:rsid w:val="0EEA2546"/>
    <w:rsid w:val="0F1227A2"/>
    <w:rsid w:val="123712CC"/>
    <w:rsid w:val="137D1A8B"/>
    <w:rsid w:val="15003BEA"/>
    <w:rsid w:val="151863C6"/>
    <w:rsid w:val="180A4CE2"/>
    <w:rsid w:val="19B33EB7"/>
    <w:rsid w:val="1B091EB4"/>
    <w:rsid w:val="1B77378D"/>
    <w:rsid w:val="1B7F13B7"/>
    <w:rsid w:val="1C3E1B42"/>
    <w:rsid w:val="1C935E0F"/>
    <w:rsid w:val="23AB102E"/>
    <w:rsid w:val="2481523A"/>
    <w:rsid w:val="2B075D1B"/>
    <w:rsid w:val="2B176319"/>
    <w:rsid w:val="2B3B281E"/>
    <w:rsid w:val="2B5B5B52"/>
    <w:rsid w:val="2C7A2E24"/>
    <w:rsid w:val="2CB41314"/>
    <w:rsid w:val="2E575CD5"/>
    <w:rsid w:val="33160062"/>
    <w:rsid w:val="33E87027"/>
    <w:rsid w:val="352B58F4"/>
    <w:rsid w:val="35732F06"/>
    <w:rsid w:val="370F1962"/>
    <w:rsid w:val="376B0CC8"/>
    <w:rsid w:val="37754BAE"/>
    <w:rsid w:val="38B93133"/>
    <w:rsid w:val="392C7F4E"/>
    <w:rsid w:val="3964673F"/>
    <w:rsid w:val="396D7F1F"/>
    <w:rsid w:val="3C464C8F"/>
    <w:rsid w:val="3D3D290B"/>
    <w:rsid w:val="3D6F7D14"/>
    <w:rsid w:val="3DC839DE"/>
    <w:rsid w:val="40936D6C"/>
    <w:rsid w:val="4BA24445"/>
    <w:rsid w:val="4DD03900"/>
    <w:rsid w:val="4E09482A"/>
    <w:rsid w:val="520177EA"/>
    <w:rsid w:val="52522B63"/>
    <w:rsid w:val="53265591"/>
    <w:rsid w:val="54856FB1"/>
    <w:rsid w:val="5621436A"/>
    <w:rsid w:val="56325FF2"/>
    <w:rsid w:val="574E0BFB"/>
    <w:rsid w:val="58750EA8"/>
    <w:rsid w:val="594F0101"/>
    <w:rsid w:val="5A7B556D"/>
    <w:rsid w:val="5CA3717F"/>
    <w:rsid w:val="5E5909A0"/>
    <w:rsid w:val="602B4319"/>
    <w:rsid w:val="61630C5D"/>
    <w:rsid w:val="624137B8"/>
    <w:rsid w:val="6291713A"/>
    <w:rsid w:val="689043E7"/>
    <w:rsid w:val="696F0868"/>
    <w:rsid w:val="6A4B6D33"/>
    <w:rsid w:val="6AC33539"/>
    <w:rsid w:val="6B394331"/>
    <w:rsid w:val="6DBE5E1A"/>
    <w:rsid w:val="6E1C22CF"/>
    <w:rsid w:val="73042D46"/>
    <w:rsid w:val="73202D3B"/>
    <w:rsid w:val="73CA0C7F"/>
    <w:rsid w:val="740B0198"/>
    <w:rsid w:val="755234D1"/>
    <w:rsid w:val="76463ADA"/>
    <w:rsid w:val="7C4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29">
    <w:name w:val="Title"/>
    <w:basedOn w:val="1"/>
    <w:next w:val="1"/>
    <w:link w:val="4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semiHidden/>
    <w:qFormat/>
    <w:uiPriority w:val="0"/>
    <w:rPr>
      <w:vertAlign w:val="superscript"/>
    </w:rPr>
  </w:style>
  <w:style w:type="character" w:styleId="34">
    <w:name w:val="page number"/>
    <w:uiPriority w:val="0"/>
    <w:rPr>
      <w:rFonts w:ascii="Times New Roman" w:hAnsi="Times New Roman" w:eastAsia="宋体"/>
      <w:sz w:val="18"/>
    </w:rPr>
  </w:style>
  <w:style w:type="character" w:styleId="35">
    <w:name w:val="FollowedHyperlink"/>
    <w:qFormat/>
    <w:uiPriority w:val="0"/>
    <w:rPr>
      <w:color w:val="800080"/>
      <w:u w:val="single"/>
    </w:rPr>
  </w:style>
  <w:style w:type="character" w:styleId="36">
    <w:name w:val="Hyperlink"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37">
    <w:name w:val="footnote reference"/>
    <w:semiHidden/>
    <w:qFormat/>
    <w:uiPriority w:val="0"/>
    <w:rPr>
      <w:vertAlign w:val="superscript"/>
    </w:rPr>
  </w:style>
  <w:style w:type="character" w:customStyle="1" w:styleId="38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character" w:customStyle="1" w:styleId="39">
    <w:name w:val="附录公式 Char"/>
    <w:basedOn w:val="38"/>
    <w:link w:val="40"/>
    <w:qFormat/>
    <w:uiPriority w:val="0"/>
    <w:rPr>
      <w:rFonts w:ascii="宋体"/>
      <w:sz w:val="21"/>
      <w:lang w:val="en-US" w:eastAsia="zh-CN" w:bidi="ar-SA"/>
    </w:rPr>
  </w:style>
  <w:style w:type="paragraph" w:customStyle="1" w:styleId="40">
    <w:name w:val="附录公式"/>
    <w:basedOn w:val="21"/>
    <w:next w:val="21"/>
    <w:link w:val="39"/>
    <w:qFormat/>
    <w:uiPriority w:val="0"/>
  </w:style>
  <w:style w:type="character" w:customStyle="1" w:styleId="41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42">
    <w:name w:val="首示例 Char"/>
    <w:link w:val="43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3">
    <w:name w:val="首示例"/>
    <w:next w:val="21"/>
    <w:link w:val="42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4">
    <w:name w:val="标题 Char"/>
    <w:link w:val="29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45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6">
    <w:name w:val="附录章标题"/>
    <w:next w:val="21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7">
    <w:name w:val="附录表标号"/>
    <w:basedOn w:val="1"/>
    <w:next w:val="21"/>
    <w:qFormat/>
    <w:uiPriority w:val="0"/>
    <w:pPr>
      <w:numPr>
        <w:ilvl w:val="0"/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4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9">
    <w:name w:val="正文图标题"/>
    <w:next w:val="21"/>
    <w:qFormat/>
    <w:uiPriority w:val="0"/>
    <w:pPr>
      <w:numPr>
        <w:ilvl w:val="0"/>
        <w:numId w:val="5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0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51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2">
    <w:name w:val="附录五级条标题"/>
    <w:basedOn w:val="53"/>
    <w:next w:val="21"/>
    <w:qFormat/>
    <w:uiPriority w:val="0"/>
    <w:pPr>
      <w:numPr>
        <w:ilvl w:val="6"/>
      </w:numPr>
      <w:tabs>
        <w:tab w:val="left" w:pos="360"/>
      </w:tabs>
      <w:outlineLvl w:val="6"/>
    </w:pPr>
  </w:style>
  <w:style w:type="paragraph" w:customStyle="1" w:styleId="53">
    <w:name w:val="附录四级条标题"/>
    <w:basedOn w:val="54"/>
    <w:next w:val="21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54">
    <w:name w:val="附录三级条标题"/>
    <w:basedOn w:val="55"/>
    <w:next w:val="21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55">
    <w:name w:val="附录二级条标题"/>
    <w:basedOn w:val="1"/>
    <w:next w:val="21"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56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57">
    <w:name w:val="注×：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封面标准英文名称"/>
    <w:basedOn w:val="48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60">
    <w:name w:val="注："/>
    <w:next w:val="21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注×：（正文）"/>
    <w:qFormat/>
    <w:uiPriority w:val="0"/>
    <w:pPr>
      <w:numPr>
        <w:ilvl w:val="0"/>
        <w:numId w:val="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列项——（一级）"/>
    <w:qFormat/>
    <w:uiPriority w:val="0"/>
    <w:pPr>
      <w:widowControl w:val="0"/>
      <w:numPr>
        <w:ilvl w:val="0"/>
        <w:numId w:val="9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字母编号列项（一级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一级条标题"/>
    <w:next w:val="21"/>
    <w:qFormat/>
    <w:uiPriority w:val="0"/>
    <w:pPr>
      <w:numPr>
        <w:ilvl w:val="1"/>
        <w:numId w:val="1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5">
    <w:name w:val="注：（正文）"/>
    <w:basedOn w:val="60"/>
    <w:next w:val="21"/>
    <w:qFormat/>
    <w:uiPriority w:val="0"/>
    <w:pPr>
      <w:numPr>
        <w:ilvl w:val="0"/>
        <w:numId w:val="12"/>
      </w:numPr>
    </w:pPr>
  </w:style>
  <w:style w:type="paragraph" w:customStyle="1" w:styleId="66">
    <w:name w:val="五级条标题"/>
    <w:basedOn w:val="67"/>
    <w:next w:val="21"/>
    <w:qFormat/>
    <w:uiPriority w:val="0"/>
    <w:pPr>
      <w:numPr>
        <w:ilvl w:val="5"/>
      </w:numPr>
      <w:outlineLvl w:val="6"/>
    </w:pPr>
  </w:style>
  <w:style w:type="paragraph" w:customStyle="1" w:styleId="67">
    <w:name w:val="四级条标题"/>
    <w:basedOn w:val="68"/>
    <w:next w:val="21"/>
    <w:qFormat/>
    <w:uiPriority w:val="0"/>
    <w:pPr>
      <w:numPr>
        <w:ilvl w:val="4"/>
        <w:numId w:val="11"/>
      </w:numPr>
      <w:outlineLvl w:val="5"/>
    </w:pPr>
  </w:style>
  <w:style w:type="paragraph" w:customStyle="1" w:styleId="68">
    <w:name w:val="三级条标题"/>
    <w:basedOn w:val="69"/>
    <w:next w:val="21"/>
    <w:qFormat/>
    <w:uiPriority w:val="0"/>
    <w:pPr>
      <w:numPr>
        <w:ilvl w:val="0"/>
        <w:numId w:val="0"/>
      </w:numPr>
      <w:outlineLvl w:val="4"/>
    </w:pPr>
  </w:style>
  <w:style w:type="paragraph" w:customStyle="1" w:styleId="69">
    <w:name w:val="二级条标题"/>
    <w:basedOn w:val="64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7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7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3">
    <w:name w:val="章标题"/>
    <w:next w:val="21"/>
    <w:qFormat/>
    <w:uiPriority w:val="0"/>
    <w:pPr>
      <w:numPr>
        <w:ilvl w:val="0"/>
        <w:numId w:val="1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4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数字编号列项（二级）"/>
    <w:qFormat/>
    <w:uiPriority w:val="0"/>
    <w:pPr>
      <w:numPr>
        <w:ilvl w:val="1"/>
        <w:numId w:val="10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6">
    <w:name w:val="列项●（二级）"/>
    <w:qFormat/>
    <w:uiPriority w:val="0"/>
    <w:pPr>
      <w:numPr>
        <w:ilvl w:val="1"/>
        <w:numId w:val="9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7">
    <w:name w:val="列项◆（三级）"/>
    <w:basedOn w:val="1"/>
    <w:uiPriority w:val="0"/>
    <w:pPr>
      <w:numPr>
        <w:ilvl w:val="2"/>
        <w:numId w:val="9"/>
      </w:numPr>
    </w:pPr>
    <w:rPr>
      <w:rFonts w:ascii="宋体"/>
      <w:szCs w:val="21"/>
    </w:rPr>
  </w:style>
  <w:style w:type="paragraph" w:customStyle="1" w:styleId="78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9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80">
    <w:name w:val="二级无"/>
    <w:basedOn w:val="6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8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82">
    <w:name w:val="示例"/>
    <w:next w:val="45"/>
    <w:qFormat/>
    <w:uiPriority w:val="0"/>
    <w:pPr>
      <w:widowControl w:val="0"/>
      <w:numPr>
        <w:ilvl w:val="0"/>
        <w:numId w:val="1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3">
    <w:name w:val="示例×："/>
    <w:basedOn w:val="73"/>
    <w:qFormat/>
    <w:uiPriority w:val="0"/>
    <w:pPr>
      <w:numPr>
        <w:numId w:val="14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8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5">
    <w:name w:val="标准书眉_偶数页"/>
    <w:basedOn w:val="71"/>
    <w:next w:val="1"/>
    <w:qFormat/>
    <w:uiPriority w:val="0"/>
    <w:pPr>
      <w:jc w:val="left"/>
    </w:pPr>
  </w:style>
  <w:style w:type="paragraph" w:customStyle="1" w:styleId="86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7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8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0">
    <w:name w:val="附录一级条标题"/>
    <w:basedOn w:val="46"/>
    <w:next w:val="21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91">
    <w:name w:val="封面一致性程度标识"/>
    <w:basedOn w:val="59"/>
    <w:qFormat/>
    <w:uiPriority w:val="0"/>
    <w:pPr>
      <w:spacing w:before="440"/>
    </w:pPr>
    <w:rPr>
      <w:rFonts w:ascii="宋体" w:eastAsia="宋体"/>
    </w:rPr>
  </w:style>
  <w:style w:type="paragraph" w:customStyle="1" w:styleId="92">
    <w:name w:val="封面标准文稿类别"/>
    <w:basedOn w:val="91"/>
    <w:uiPriority w:val="0"/>
    <w:pPr>
      <w:spacing w:after="160" w:line="240" w:lineRule="auto"/>
    </w:pPr>
    <w:rPr>
      <w:sz w:val="24"/>
    </w:rPr>
  </w:style>
  <w:style w:type="paragraph" w:styleId="93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94">
    <w:name w:val="封面标准文稿编辑信息"/>
    <w:basedOn w:val="92"/>
    <w:qFormat/>
    <w:uiPriority w:val="0"/>
    <w:pPr>
      <w:spacing w:before="180" w:line="180" w:lineRule="exact"/>
    </w:pPr>
    <w:rPr>
      <w:sz w:val="21"/>
    </w:rPr>
  </w:style>
  <w:style w:type="paragraph" w:customStyle="1" w:styleId="9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6">
    <w:name w:val="附录标识"/>
    <w:basedOn w:val="1"/>
    <w:next w:val="21"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99">
    <w:name w:val="附录表标题"/>
    <w:basedOn w:val="1"/>
    <w:next w:val="21"/>
    <w:qFormat/>
    <w:uiPriority w:val="0"/>
    <w:pPr>
      <w:numPr>
        <w:ilvl w:val="1"/>
        <w:numId w:val="4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0">
    <w:name w:val="附录图标号"/>
    <w:basedOn w:val="1"/>
    <w:uiPriority w:val="0"/>
    <w:pPr>
      <w:keepNext/>
      <w:pageBreakBefore/>
      <w:widowControl/>
      <w:numPr>
        <w:ilvl w:val="0"/>
        <w:numId w:val="1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1">
    <w:name w:val="附录二级无"/>
    <w:basedOn w:val="55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2">
    <w:name w:val="附录三级无"/>
    <w:basedOn w:val="5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3">
    <w:name w:val="附录数字编号列项（二级）"/>
    <w:qFormat/>
    <w:uiPriority w:val="0"/>
    <w:pPr>
      <w:numPr>
        <w:ilvl w:val="1"/>
        <w:numId w:val="1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附录四级无"/>
    <w:basedOn w:val="5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5">
    <w:name w:val="附录图标题"/>
    <w:basedOn w:val="1"/>
    <w:next w:val="21"/>
    <w:uiPriority w:val="0"/>
    <w:pPr>
      <w:numPr>
        <w:ilvl w:val="1"/>
        <w:numId w:val="15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6">
    <w:name w:val="附录五级无"/>
    <w:basedOn w:val="52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7">
    <w:name w:val="附录一级无"/>
    <w:basedOn w:val="90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8">
    <w:name w:val="附录字母编号列项（一级）"/>
    <w:qFormat/>
    <w:uiPriority w:val="0"/>
    <w:pPr>
      <w:numPr>
        <w:ilvl w:val="0"/>
        <w:numId w:val="1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0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其他标准标志"/>
    <w:basedOn w:val="79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2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3">
    <w:name w:val="其他发布部门"/>
    <w:basedOn w:val="87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4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5">
    <w:name w:val="三级无"/>
    <w:basedOn w:val="68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6">
    <w:name w:val="实施日期"/>
    <w:basedOn w:val="88"/>
    <w:qFormat/>
    <w:uiPriority w:val="0"/>
    <w:pPr>
      <w:framePr w:vAnchor="page" w:hAnchor="text"/>
      <w:jc w:val="right"/>
    </w:pPr>
  </w:style>
  <w:style w:type="paragraph" w:customStyle="1" w:styleId="117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8">
    <w:name w:val="四级无"/>
    <w:basedOn w:val="67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9">
    <w:name w:val="条文脚注"/>
    <w:basedOn w:val="22"/>
    <w:uiPriority w:val="0"/>
    <w:pPr>
      <w:numPr>
        <w:numId w:val="0"/>
      </w:numPr>
      <w:jc w:val="both"/>
    </w:pPr>
  </w:style>
  <w:style w:type="paragraph" w:customStyle="1" w:styleId="120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1">
    <w:name w:val="图表脚注说明"/>
    <w:basedOn w:val="1"/>
    <w:qFormat/>
    <w:uiPriority w:val="0"/>
    <w:pPr>
      <w:numPr>
        <w:ilvl w:val="0"/>
        <w:numId w:val="17"/>
      </w:numPr>
    </w:pPr>
    <w:rPr>
      <w:rFonts w:ascii="宋体"/>
      <w:sz w:val="18"/>
      <w:szCs w:val="18"/>
    </w:rPr>
  </w:style>
  <w:style w:type="paragraph" w:customStyle="1" w:styleId="122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3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5">
    <w:name w:val="五级无"/>
    <w:basedOn w:val="6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6">
    <w:name w:val="一级无"/>
    <w:basedOn w:val="6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7">
    <w:name w:val="正文表标题"/>
    <w:next w:val="21"/>
    <w:qFormat/>
    <w:uiPriority w:val="0"/>
    <w:pPr>
      <w:numPr>
        <w:ilvl w:val="0"/>
        <w:numId w:val="18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8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9">
    <w:name w:val="其他发布日期"/>
    <w:basedOn w:val="88"/>
    <w:qFormat/>
    <w:uiPriority w:val="0"/>
    <w:pPr>
      <w:framePr w:vAnchor="page" w:hAnchor="text" w:x="1419"/>
    </w:pPr>
  </w:style>
  <w:style w:type="paragraph" w:customStyle="1" w:styleId="130">
    <w:name w:val="其他实施日期"/>
    <w:basedOn w:val="116"/>
    <w:qFormat/>
    <w:uiPriority w:val="0"/>
  </w:style>
  <w:style w:type="paragraph" w:customStyle="1" w:styleId="131">
    <w:name w:val="封面标准名称2"/>
    <w:basedOn w:val="48"/>
    <w:qFormat/>
    <w:uiPriority w:val="0"/>
    <w:pPr>
      <w:framePr w:y="4469"/>
      <w:spacing w:before="630" w:beforeLines="630"/>
    </w:pPr>
  </w:style>
  <w:style w:type="paragraph" w:customStyle="1" w:styleId="132">
    <w:name w:val="封面标准英文名称2"/>
    <w:basedOn w:val="59"/>
    <w:qFormat/>
    <w:uiPriority w:val="0"/>
    <w:pPr>
      <w:framePr w:y="4469"/>
    </w:pPr>
  </w:style>
  <w:style w:type="paragraph" w:customStyle="1" w:styleId="133">
    <w:name w:val="封面一致性程度标识2"/>
    <w:basedOn w:val="91"/>
    <w:uiPriority w:val="0"/>
    <w:pPr>
      <w:framePr w:y="4469"/>
    </w:pPr>
  </w:style>
  <w:style w:type="paragraph" w:customStyle="1" w:styleId="134">
    <w:name w:val="封面标准文稿类别2"/>
    <w:basedOn w:val="92"/>
    <w:uiPriority w:val="0"/>
    <w:pPr>
      <w:framePr w:y="4469"/>
    </w:pPr>
  </w:style>
  <w:style w:type="paragraph" w:customStyle="1" w:styleId="135">
    <w:name w:val="封面标准文稿编辑信息2"/>
    <w:basedOn w:val="94"/>
    <w:qFormat/>
    <w:uiPriority w:val="0"/>
    <w:pPr>
      <w:framePr w:y="4469"/>
    </w:pPr>
  </w:style>
  <w:style w:type="character" w:styleId="136">
    <w:name w:val="Placeholder Text"/>
    <w:basedOn w:val="32"/>
    <w:unhideWhenUsed/>
    <w:qFormat/>
    <w:uiPriority w:val="99"/>
    <w:rPr>
      <w:color w:val="808080"/>
    </w:rPr>
  </w:style>
  <w:style w:type="character" w:customStyle="1" w:styleId="137">
    <w:name w:val="批注框文本 Char"/>
    <w:basedOn w:val="32"/>
    <w:link w:val="1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</Pages>
  <Words>602</Words>
  <Characters>3432</Characters>
  <Lines>28</Lines>
  <Paragraphs>8</Paragraphs>
  <TotalTime>2</TotalTime>
  <ScaleCrop>false</ScaleCrop>
  <LinksUpToDate>false</LinksUpToDate>
  <CharactersWithSpaces>4026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2018-05-09T09:53:00Z</dcterms:created>
  <dc:creator>CNIS</dc:creator>
  <cp:lastModifiedBy>CathayMok</cp:lastModifiedBy>
  <cp:lastPrinted>2019-07-31T03:36:00Z</cp:lastPrinted>
  <dcterms:modified xsi:type="dcterms:W3CDTF">2021-09-06T00:46:27Z</dcterms:modified>
  <dc:title>标准名称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