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8"/>
          <w:szCs w:val="28"/>
        </w:rPr>
      </w:pPr>
      <w:bookmarkStart w:id="1" w:name="_GoBack"/>
      <w:bookmarkEnd w:id="1"/>
      <w:bookmarkStart w:id="0" w:name="_Hlk506193820"/>
      <w:r>
        <w:rPr>
          <w:rFonts w:ascii="黑体" w:hAnsi="黑体"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28"/>
          <w:szCs w:val="28"/>
        </w:rPr>
        <w:instrText xml:space="preserve">ADDIN CNKISM.UserStyle</w:instrText>
      </w:r>
      <w:r>
        <w:rPr>
          <w:rFonts w:ascii="黑体" w:hAnsi="黑体" w:eastAsia="黑体"/>
          <w:sz w:val="28"/>
          <w:szCs w:val="28"/>
        </w:rPr>
        <w:fldChar w:fldCharType="end"/>
      </w: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spacing w:line="400" w:lineRule="exact"/>
        <w:ind w:left="-160" w:leftChars="-76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稀有金属分标委会审定、预审和讨论的标准项目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14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7"/>
        <w:gridCol w:w="2777"/>
        <w:gridCol w:w="5727"/>
        <w:gridCol w:w="1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标准项目名称</w:t>
            </w:r>
          </w:p>
        </w:tc>
        <w:tc>
          <w:tcPr>
            <w:tcW w:w="27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项目计划编号</w:t>
            </w:r>
          </w:p>
        </w:tc>
        <w:tc>
          <w:tcPr>
            <w:tcW w:w="57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钼铼合金化学分析方法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部分：铼含量的测定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丁二酮肟分光光度法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2019-1732T-YS</w:t>
            </w:r>
          </w:p>
        </w:tc>
        <w:tc>
          <w:tcPr>
            <w:tcW w:w="57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合通用测试评价认证股份公司、广东省科学院工业分析检测中心、金堆城钼业股份有限公司、赣州有色冶金研究所、有研亿金新材料有限公司、国合通用（青岛）测试评价有限公司、洛阳栾川钼业集团股份有限公司、浙江华友钴业股份有限公司、紫金矿业集团股份有限公司、西部新锆核材料科技有限公司、紫金铜业有限公司、中铝材料应用研究院有限公司、湖南火神仪器有限公司等</w:t>
            </w:r>
          </w:p>
          <w:p>
            <w:pPr>
              <w:rPr>
                <w:rFonts w:ascii="宋体" w:hAnsi="宋体" w:eastAsia="宋体" w:cstheme="minorEastAsi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钼铼合金化学分析方法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部分：钼含量的测定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钼酸铅重量法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2019-1733T-YS</w:t>
            </w:r>
          </w:p>
        </w:tc>
        <w:tc>
          <w:tcPr>
            <w:tcW w:w="5727" w:type="dxa"/>
            <w:vMerge w:val="continue"/>
            <w:vAlign w:val="center"/>
          </w:tcPr>
          <w:p>
            <w:pPr>
              <w:rPr>
                <w:rFonts w:ascii="宋体" w:hAnsi="宋体" w:eastAsia="宋体" w:cstheme="minorEastAsia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钼铼合金化学分析方法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部分：铝、钙、铜、铁、镁、锰、镍、硅、锡、钛、钨含量的测定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2019-1734T-YS</w:t>
            </w:r>
          </w:p>
        </w:tc>
        <w:tc>
          <w:tcPr>
            <w:tcW w:w="5727" w:type="dxa"/>
            <w:vMerge w:val="continue"/>
            <w:vAlign w:val="center"/>
          </w:tcPr>
          <w:p>
            <w:pPr>
              <w:rPr>
                <w:rFonts w:ascii="宋体" w:hAnsi="宋体" w:eastAsia="宋体" w:cstheme="minorEastAsia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钼铼合金化学分析方法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部分：铝、钙、铜、铁、镁、锰、镍、锡、钛、钨含量的测定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电感耦合等离子体质谱法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2019-1735T-YS</w:t>
            </w:r>
          </w:p>
        </w:tc>
        <w:tc>
          <w:tcPr>
            <w:tcW w:w="5727" w:type="dxa"/>
            <w:vMerge w:val="continue"/>
            <w:vAlign w:val="center"/>
          </w:tcPr>
          <w:p>
            <w:pPr>
              <w:rPr>
                <w:rFonts w:ascii="宋体" w:hAnsi="宋体" w:eastAsia="宋体" w:cstheme="minorEastAsia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钼铼合金化学分析方法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部分：碳和硫含量的测定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高频燃烧红外吸收法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2019-1736T-YS</w:t>
            </w:r>
          </w:p>
        </w:tc>
        <w:tc>
          <w:tcPr>
            <w:tcW w:w="5727" w:type="dxa"/>
            <w:vMerge w:val="continue"/>
            <w:vAlign w:val="center"/>
          </w:tcPr>
          <w:p>
            <w:pPr>
              <w:rPr>
                <w:rFonts w:ascii="宋体" w:hAnsi="宋体" w:eastAsia="宋体" w:cstheme="minorEastAsia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钼铼合金化学分析方法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部分：氧和氮含量的测定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惰性气体熔融</w:t>
            </w:r>
            <w:r>
              <w:rPr>
                <w:rFonts w:ascii="宋体" w:hAnsi="宋体" w:eastAsia="宋体"/>
                <w:color w:val="000000"/>
                <w:sz w:val="22"/>
              </w:rPr>
              <w:t>-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红外吸收法和热导法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2019-1737T-YS</w:t>
            </w:r>
          </w:p>
        </w:tc>
        <w:tc>
          <w:tcPr>
            <w:tcW w:w="5727" w:type="dxa"/>
            <w:vMerge w:val="continue"/>
            <w:vAlign w:val="center"/>
          </w:tcPr>
          <w:p>
            <w:pPr>
              <w:rPr>
                <w:rFonts w:ascii="宋体" w:hAnsi="宋体" w:eastAsia="宋体" w:cstheme="minorEastAsia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钼铼合金化学分析方法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部分：氢含量的测定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惰性气体熔融</w:t>
            </w:r>
            <w:r>
              <w:rPr>
                <w:rFonts w:ascii="宋体" w:hAnsi="宋体" w:eastAsia="宋体"/>
                <w:color w:val="000000"/>
                <w:sz w:val="22"/>
              </w:rPr>
              <w:t>-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红外吸收法和热导法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2019-1738T-YS</w:t>
            </w:r>
          </w:p>
        </w:tc>
        <w:tc>
          <w:tcPr>
            <w:tcW w:w="5727" w:type="dxa"/>
            <w:vMerge w:val="continue"/>
            <w:vAlign w:val="center"/>
          </w:tcPr>
          <w:p>
            <w:pPr>
              <w:rPr>
                <w:rFonts w:ascii="宋体" w:hAnsi="宋体" w:eastAsia="宋体" w:cstheme="minorEastAsia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钨铜合金化学分析方法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部分：铜含量的测定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碘量法</w:t>
            </w:r>
          </w:p>
        </w:tc>
        <w:tc>
          <w:tcPr>
            <w:tcW w:w="2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2019-1739T-YS</w:t>
            </w:r>
          </w:p>
        </w:tc>
        <w:tc>
          <w:tcPr>
            <w:tcW w:w="57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合通用测试评价认证股份公司、广东省科学院工业分析检测中心、金堆城钼业股份有限公司、赣州有色冶金研究所、有研亿金新材料有限公司、国合通用（青岛）测试评价有限公司、洛阳栾川钼业集团股份有限公司、浙江华友钴业股份有限公司、紫金矿业集团股份有限公司、西部新锆核材料科技有限公司、紫金铜业有限公司、中铝材料应用研究院有限公司、湖南火神仪器有限公司等</w:t>
            </w:r>
          </w:p>
          <w:p>
            <w:pPr>
              <w:rPr>
                <w:rFonts w:ascii="宋体" w:hAnsi="宋体" w:eastAsia="宋体" w:cstheme="minorEastAsia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钨铜合金化学分析方法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部分：钨含量的测定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辛克宁重量法</w:t>
            </w:r>
          </w:p>
        </w:tc>
        <w:tc>
          <w:tcPr>
            <w:tcW w:w="2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2019-1740T-YS</w:t>
            </w:r>
          </w:p>
        </w:tc>
        <w:tc>
          <w:tcPr>
            <w:tcW w:w="5727" w:type="dxa"/>
            <w:vMerge w:val="continue"/>
            <w:vAlign w:val="center"/>
          </w:tcPr>
          <w:p>
            <w:pPr>
              <w:rPr>
                <w:rFonts w:ascii="宋体" w:hAnsi="宋体" w:eastAsia="宋体" w:cstheme="minorEastAsia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钨铜合金化学分析方法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部分：钴、铁、镍、锌含量的测定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2019-1741T-YS</w:t>
            </w:r>
          </w:p>
        </w:tc>
        <w:tc>
          <w:tcPr>
            <w:tcW w:w="5727" w:type="dxa"/>
            <w:vMerge w:val="continue"/>
            <w:vAlign w:val="center"/>
          </w:tcPr>
          <w:p>
            <w:pPr>
              <w:rPr>
                <w:rFonts w:ascii="宋体" w:hAnsi="宋体" w:eastAsia="宋体" w:cstheme="minorEastAsia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钨铜合金化学分析方法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部分：碳含量的测定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高频燃烧红外吸收法</w:t>
            </w:r>
          </w:p>
        </w:tc>
        <w:tc>
          <w:tcPr>
            <w:tcW w:w="2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2019-1742T-YS</w:t>
            </w:r>
          </w:p>
        </w:tc>
        <w:tc>
          <w:tcPr>
            <w:tcW w:w="5727" w:type="dxa"/>
            <w:vMerge w:val="continue"/>
            <w:vAlign w:val="center"/>
          </w:tcPr>
          <w:p>
            <w:pPr>
              <w:rPr>
                <w:rFonts w:ascii="宋体" w:hAnsi="宋体" w:eastAsia="宋体" w:cstheme="minorEastAsia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氧化锆、氧化铪化学分析方法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第</w:t>
            </w:r>
            <w:r>
              <w:rPr>
                <w:rFonts w:ascii="宋体" w:hAnsi="宋体" w:eastAsia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部分：氧化锆中硼、钠、镁、铝、硅、钙、钛、钒、铬、锰、铁、钴、镍、铜、锌、钼、镉、铪、铅、铋含量的测定</w:t>
            </w:r>
            <w:r>
              <w:rPr>
                <w:rFonts w:ascii="宋体" w:hAnsi="宋体" w:eastAsia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电感耦合等离子体质谱法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工信厅科函〔2019〕276号  2019-1743T-YS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国合通用测试评价认证股份公司、国核锆铪理化检测有限公司、西部新锆核材料科技有限公司、 国合通用（青岛）测试评价有限公司、 有研亿金新材料有限公司、 广东省科学院工业分析检测中心、 有研资源环境技术研究院（北京）有限公司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锆化合物化学分析方法  钙、铪、钛、钠、铁、铬、镉、锌、锰、铜、镍、铅含量的测定  电感耦合等离子体原子发射光谱法</w:t>
            </w:r>
          </w:p>
        </w:tc>
        <w:tc>
          <w:tcPr>
            <w:tcW w:w="2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国标委发〔2020〕37号20202820-T-610</w:t>
            </w:r>
          </w:p>
        </w:tc>
        <w:tc>
          <w:tcPr>
            <w:tcW w:w="57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国家钨与稀土产品质量监督检验中心、江西晶安高科技股份有限公司、江西金源有色地质测试有限公司、英格瓷(浙江)锆业有限公司、深圳市中金岭南有色金属股份有限公司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钼酸铵化学分析方法  钼含量的测定  钼酸铅重量法</w:t>
            </w:r>
          </w:p>
        </w:tc>
        <w:tc>
          <w:tcPr>
            <w:tcW w:w="2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工信厅科函〔2020〕181号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2020-0700T-YS</w:t>
            </w:r>
          </w:p>
        </w:tc>
        <w:tc>
          <w:tcPr>
            <w:tcW w:w="57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江西铜业股份有限公司、金堆城钼业股份有限公司、铜陵有色金属集团控股有限公司、洛阳栾川钼业集团股份有限公司、国家钨与稀土产品质量监督检验中心、赣州有色冶金研究所、紫金矿业集团股份有限公司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</w:rPr>
            </w:pPr>
            <w:r>
              <w:rPr>
                <w:rFonts w:hint="eastAsia" w:ascii="宋体" w:hAnsi="宋体" w:eastAsia="宋体" w:cstheme="minorEastAsia"/>
                <w:color w:val="000000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铟二次资源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国标委发〔2020〕6号</w:t>
            </w: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20200745-T-610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theme="minorEastAsia"/>
                <w:color w:val="000000"/>
                <w:szCs w:val="21"/>
              </w:rPr>
              <w:t>广东先导稀材股份有限公司、成都中建材光电材料有限公司、广西德邦科技有限公司、广西晶联光电材料有限责任公司、广西壮族自治区冶金产品质量检验站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</w:rPr>
            </w:pPr>
            <w:r>
              <w:rPr>
                <w:rFonts w:hint="eastAsia" w:ascii="宋体" w:hAnsi="宋体" w:eastAsia="宋体" w:cstheme="minorEastAsia"/>
                <w:color w:val="00000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一次柱式锂电池绝缘子</w:t>
            </w:r>
          </w:p>
        </w:tc>
        <w:tc>
          <w:tcPr>
            <w:tcW w:w="2777" w:type="dxa"/>
            <w:vAlign w:val="bottom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国标委发〔2020〕6号</w:t>
            </w: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20200738-T-610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西安赛尔电子材料科技有限公司等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</w:rPr>
            </w:pPr>
            <w:r>
              <w:rPr>
                <w:rFonts w:hint="eastAsia" w:ascii="宋体" w:hAnsi="宋体" w:eastAsia="宋体" w:cstheme="minorEastAsia"/>
                <w:color w:val="00000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钛及钛合金方形和矩形管材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国标委发〔2019〕29号</w:t>
            </w: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20193121-T-610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宝钛集团有限公司、宝鸡钛业股份有限公司、湖南湘投金天新材料有限公司、鑫鹏源智能装备集团有限公司等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</w:rPr>
            </w:pPr>
            <w:r>
              <w:rPr>
                <w:rFonts w:hint="eastAsia" w:ascii="宋体" w:hAnsi="宋体" w:eastAsia="宋体" w:cstheme="minorEastAsia"/>
                <w:color w:val="00000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钨铜合金板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工信厅科函〔2019〕276号  2019-1748T-YS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安泰天龙（天津）钨钼科技有限公司等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</w:rPr>
            </w:pPr>
            <w:r>
              <w:rPr>
                <w:rFonts w:hint="eastAsia" w:ascii="宋体" w:hAnsi="宋体" w:eastAsia="宋体" w:cstheme="minorEastAsia"/>
                <w:color w:val="00000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电解钛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工信厅科函〔2020〕263号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2020-1502T-YS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宁波创润新材料有限公司、宁波诺丁汉大学、有研工程技术研究院有限公司等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钼富集物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工信厅科函〔2020〕181号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2020-0713T-YS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郴州钻石钨制品有限责任公司、江钨世泰科钨品有限公司、柿竹园有色金属有限责任公司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纯三氧化钼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工信厅科函〔2020〕263号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2020-1554T-YS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金堆城钼业股份有限公司、安庆月铜化工有限公司、成都虹波钼业有限公司、锦州新华龙大有钼业股份有限公司等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热电偶用钼管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工信厅科函〔2020〕263号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2020-1555T-YS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金堆城钼业股份有限公司、国核宝钛锆业股份有限公司、洛阳科威钨钼有限公司等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粉冶钼合金顶头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工信厅科函〔2020〕181号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2020-0713T-YS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金堆城钼业股份有限公司等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电子封装用钼铜层状复合材料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工信厅科函〔2020〕263号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2020-1200T-YS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安泰天龙钨钼科技有限公司、安泰科技股份有限公司等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新能源动力电池壳及盖用钛及钛合金板、带材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工信厅科函〔2020〕263号</w:t>
            </w: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2020-1500T-YS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 w:val="22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2"/>
              </w:rPr>
              <w:t>宝鸡钛业股份有限公司、宝钛集团有限公司、湖南金天钛业科技公司等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theme="minorEastAsia"/>
                <w:color w:val="000000"/>
                <w:szCs w:val="21"/>
              </w:rPr>
              <w:t>讨论</w:t>
            </w:r>
          </w:p>
        </w:tc>
      </w:tr>
      <w:bookmarkEnd w:id="0"/>
    </w:tbl>
    <w:p>
      <w:pPr>
        <w:widowControl/>
        <w:jc w:val="left"/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AA79"/>
    <w:multiLevelType w:val="multilevel"/>
    <w:tmpl w:val="3EB1AA79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EA52D3D"/>
    <w:multiLevelType w:val="multilevel"/>
    <w:tmpl w:val="5EA52D3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51"/>
    <w:rsid w:val="000062EE"/>
    <w:rsid w:val="000A6333"/>
    <w:rsid w:val="000C187C"/>
    <w:rsid w:val="000C7F67"/>
    <w:rsid w:val="000D0526"/>
    <w:rsid w:val="0012321A"/>
    <w:rsid w:val="0012403B"/>
    <w:rsid w:val="00132EE7"/>
    <w:rsid w:val="00206881"/>
    <w:rsid w:val="0026406C"/>
    <w:rsid w:val="0026722C"/>
    <w:rsid w:val="00275581"/>
    <w:rsid w:val="002D0522"/>
    <w:rsid w:val="003077FD"/>
    <w:rsid w:val="00341F8F"/>
    <w:rsid w:val="003B205A"/>
    <w:rsid w:val="003C37D8"/>
    <w:rsid w:val="003D34D6"/>
    <w:rsid w:val="003D7585"/>
    <w:rsid w:val="00423E8F"/>
    <w:rsid w:val="005C5387"/>
    <w:rsid w:val="006008D2"/>
    <w:rsid w:val="0061272B"/>
    <w:rsid w:val="00614A10"/>
    <w:rsid w:val="00624C33"/>
    <w:rsid w:val="00627FCD"/>
    <w:rsid w:val="006728F2"/>
    <w:rsid w:val="006D3341"/>
    <w:rsid w:val="00713805"/>
    <w:rsid w:val="00755EE9"/>
    <w:rsid w:val="00756A50"/>
    <w:rsid w:val="00761C31"/>
    <w:rsid w:val="007B0317"/>
    <w:rsid w:val="008622AC"/>
    <w:rsid w:val="008E6A94"/>
    <w:rsid w:val="009432F8"/>
    <w:rsid w:val="00947D87"/>
    <w:rsid w:val="009A624A"/>
    <w:rsid w:val="00A82F24"/>
    <w:rsid w:val="00AC5CFF"/>
    <w:rsid w:val="00B66A35"/>
    <w:rsid w:val="00C11A51"/>
    <w:rsid w:val="00E124C1"/>
    <w:rsid w:val="00E17C8A"/>
    <w:rsid w:val="00E55709"/>
    <w:rsid w:val="00E83DE5"/>
    <w:rsid w:val="00E95715"/>
    <w:rsid w:val="00ED075F"/>
    <w:rsid w:val="00F725E4"/>
    <w:rsid w:val="0B037D86"/>
    <w:rsid w:val="142256E2"/>
    <w:rsid w:val="15CD2CE0"/>
    <w:rsid w:val="2A7741F4"/>
    <w:rsid w:val="33BC63FF"/>
    <w:rsid w:val="3AFD5A00"/>
    <w:rsid w:val="3BEB3651"/>
    <w:rsid w:val="492923DF"/>
    <w:rsid w:val="4CAF2148"/>
    <w:rsid w:val="5B254CC2"/>
    <w:rsid w:val="5D161AFC"/>
    <w:rsid w:val="65133A80"/>
    <w:rsid w:val="674E5797"/>
    <w:rsid w:val="6AB37BDA"/>
    <w:rsid w:val="6FA70341"/>
    <w:rsid w:val="6FC3445D"/>
    <w:rsid w:val="71E0593C"/>
    <w:rsid w:val="75285A64"/>
    <w:rsid w:val="7F2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9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9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9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9">
    <w:name w:val="批注框文本 Char"/>
    <w:basedOn w:val="16"/>
    <w:link w:val="11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6"/>
    <w:link w:val="13"/>
    <w:qFormat/>
    <w:uiPriority w:val="99"/>
    <w:rPr>
      <w:sz w:val="18"/>
      <w:szCs w:val="18"/>
    </w:rPr>
  </w:style>
  <w:style w:type="character" w:customStyle="1" w:styleId="22">
    <w:name w:val="页脚 Char"/>
    <w:basedOn w:val="16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404</Words>
  <Characters>2309</Characters>
  <Lines>19</Lines>
  <Paragraphs>5</Paragraphs>
  <TotalTime>78</TotalTime>
  <ScaleCrop>false</ScaleCrop>
  <LinksUpToDate>false</LinksUpToDate>
  <CharactersWithSpaces>2708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2019-03-13T06:13:00Z</dcterms:created>
  <dc:creator>HYB</dc:creator>
  <cp:lastModifiedBy>CathayMok</cp:lastModifiedBy>
  <cp:lastPrinted>2021-03-11T08:44:00Z</cp:lastPrinted>
  <dcterms:modified xsi:type="dcterms:W3CDTF">2021-09-06T08:10:04Z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90B68BD6E8E54D4EAFE6C90B0B32F76D</vt:lpwstr>
  </property>
</Properties>
</file>