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rPr>
      </w:pPr>
      <w:bookmarkStart w:id="1" w:name="_GoBack"/>
      <w:bookmarkEnd w:id="1"/>
      <w:r>
        <mc:AlternateContent>
          <mc:Choice Requires="wps">
            <w:drawing>
              <wp:anchor distT="0" distB="0" distL="114300" distR="114300" simplePos="0" relativeHeight="251663360" behindDoc="0" locked="0" layoutInCell="1" allowOverlap="1">
                <wp:simplePos x="0" y="0"/>
                <wp:positionH relativeFrom="column">
                  <wp:posOffset>-263525</wp:posOffset>
                </wp:positionH>
                <wp:positionV relativeFrom="paragraph">
                  <wp:posOffset>0</wp:posOffset>
                </wp:positionV>
                <wp:extent cx="1243330" cy="487680"/>
                <wp:effectExtent l="0" t="0" r="0" b="0"/>
                <wp:wrapSquare wrapText="bothSides"/>
                <wp:docPr id="6" name="文本框 2"/>
                <wp:cNvGraphicFramePr/>
                <a:graphic xmlns:a="http://schemas.openxmlformats.org/drawingml/2006/main">
                  <a:graphicData uri="http://schemas.microsoft.com/office/word/2010/wordprocessingShape">
                    <wps:wsp>
                      <wps:cNvSpPr txBox="1"/>
                      <wps:spPr>
                        <a:xfrm>
                          <a:off x="0" y="0"/>
                          <a:ext cx="1243330" cy="487680"/>
                        </a:xfrm>
                        <a:prstGeom prst="rect">
                          <a:avLst/>
                        </a:prstGeom>
                        <a:solidFill>
                          <a:srgbClr val="FFFFFF"/>
                        </a:solidFill>
                        <a:ln w="9525">
                          <a:noFill/>
                        </a:ln>
                      </wps:spPr>
                      <wps:txbx>
                        <w:txbxContent>
                          <w:p>
                            <w:pPr>
                              <w:jc w:val="left"/>
                              <w:rPr>
                                <w:rFonts w:ascii="黑体" w:eastAsia="黑体"/>
                                <w:szCs w:val="21"/>
                              </w:rPr>
                            </w:pPr>
                            <w:r>
                              <w:rPr>
                                <w:rFonts w:hint="eastAsia" w:ascii="黑体" w:eastAsia="黑体"/>
                                <w:szCs w:val="21"/>
                              </w:rPr>
                              <w:t xml:space="preserve">ICS </w:t>
                            </w:r>
                            <w:r>
                              <w:rPr>
                                <w:rFonts w:ascii="黑体" w:eastAsia="黑体"/>
                                <w:szCs w:val="21"/>
                              </w:rPr>
                              <w:t>27.010</w:t>
                            </w:r>
                          </w:p>
                          <w:p>
                            <w:pPr>
                              <w:jc w:val="left"/>
                              <w:rPr>
                                <w:rFonts w:ascii="黑体" w:eastAsia="黑体"/>
                                <w:szCs w:val="21"/>
                              </w:rPr>
                            </w:pPr>
                            <w:r>
                              <w:rPr>
                                <w:rFonts w:hint="eastAsia" w:ascii="黑体" w:eastAsia="黑体"/>
                                <w:szCs w:val="21"/>
                              </w:rPr>
                              <w:t xml:space="preserve">CCS </w:t>
                            </w:r>
                            <w:r>
                              <w:t>H01</w:t>
                            </w:r>
                          </w:p>
                        </w:txbxContent>
                      </wps:txbx>
                      <wps:bodyPr wrap="square" upright="1">
                        <a:spAutoFit/>
                      </wps:bodyPr>
                    </wps:wsp>
                  </a:graphicData>
                </a:graphic>
              </wp:anchor>
            </w:drawing>
          </mc:Choice>
          <mc:Fallback>
            <w:pict>
              <v:shape id="文本框 2" o:spid="_x0000_s1026" o:spt="202" type="#_x0000_t202" style="position:absolute;left:0pt;margin-left:-20.75pt;margin-top:0pt;height:38.4pt;width:97.9pt;mso-wrap-distance-bottom:0pt;mso-wrap-distance-left:9pt;mso-wrap-distance-right:9pt;mso-wrap-distance-top:0pt;z-index:251663360;mso-width-relative:page;mso-height-relative:page;" fillcolor="#FFFFFF" filled="t" stroked="f" coordsize="21600,21600" o:gfxdata="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Db271QAAAAcBAAAPAAAA&#10;AAAAAAEAIAAAACIAAABkcnMvZG93bnJldi54bWxQSwECFAAUAAAACACHTuJApSeQAd8BAACoAwAA&#10;DgAAAAAAAAABACAAAAAkAQAAZHJzL2Uyb0RvYy54bWxQSwUGAAAAAAYABgBZAQAAdQUAAAAA&#10;">
                <v:fill on="t" focussize="0,0"/>
                <v:stroke on="f"/>
                <v:imagedata o:title=""/>
                <o:lock v:ext="edit" aspectratio="f"/>
                <v:textbox style="mso-fit-shape-to-text:t;">
                  <w:txbxContent>
                    <w:p>
                      <w:pPr>
                        <w:jc w:val="left"/>
                        <w:rPr>
                          <w:rFonts w:ascii="黑体" w:eastAsia="黑体"/>
                          <w:szCs w:val="21"/>
                        </w:rPr>
                      </w:pPr>
                      <w:r>
                        <w:rPr>
                          <w:rFonts w:hint="eastAsia" w:ascii="黑体" w:eastAsia="黑体"/>
                          <w:szCs w:val="21"/>
                        </w:rPr>
                        <w:t xml:space="preserve">ICS </w:t>
                      </w:r>
                      <w:r>
                        <w:rPr>
                          <w:rFonts w:ascii="黑体" w:eastAsia="黑体"/>
                          <w:szCs w:val="21"/>
                        </w:rPr>
                        <w:t>27.010</w:t>
                      </w:r>
                    </w:p>
                    <w:p>
                      <w:pPr>
                        <w:jc w:val="left"/>
                        <w:rPr>
                          <w:rFonts w:ascii="黑体" w:eastAsia="黑体"/>
                          <w:szCs w:val="21"/>
                        </w:rPr>
                      </w:pPr>
                      <w:r>
                        <w:rPr>
                          <w:rFonts w:hint="eastAsia" w:ascii="黑体" w:eastAsia="黑体"/>
                          <w:szCs w:val="21"/>
                        </w:rPr>
                        <w:t xml:space="preserve">CCS </w:t>
                      </w:r>
                      <w:r>
                        <w:t>H01</w:t>
                      </w:r>
                    </w:p>
                  </w:txbxContent>
                </v:textbox>
                <w10:wrap type="square"/>
              </v:shape>
            </w:pict>
          </mc:Fallback>
        </mc:AlternateContent>
      </w:r>
      <w:r>
        <w:rPr>
          <w:b/>
          <w:sz w:val="20"/>
        </w:rPr>
        <w:drawing>
          <wp:anchor distT="0" distB="0" distL="114935" distR="114935" simplePos="0" relativeHeight="251659264" behindDoc="0" locked="1" layoutInCell="1" allowOverlap="1">
            <wp:simplePos x="0" y="0"/>
            <wp:positionH relativeFrom="margin">
              <wp:posOffset>4267200</wp:posOffset>
            </wp:positionH>
            <wp:positionV relativeFrom="margin">
              <wp:posOffset>171450</wp:posOffset>
            </wp:positionV>
            <wp:extent cx="1403350" cy="720090"/>
            <wp:effectExtent l="0" t="0" r="6350" b="3810"/>
            <wp:wrapNone/>
            <wp:docPr id="2" name="图片 3" descr="GB"/>
            <wp:cNvGraphicFramePr/>
            <a:graphic xmlns:a="http://schemas.openxmlformats.org/drawingml/2006/main">
              <a:graphicData uri="http://schemas.openxmlformats.org/drawingml/2006/picture">
                <pic:pic xmlns:pic="http://schemas.openxmlformats.org/drawingml/2006/picture">
                  <pic:nvPicPr>
                    <pic:cNvPr id="2" name="图片 3" descr="GB"/>
                    <pic:cNvPicPr/>
                  </pic:nvPicPr>
                  <pic:blipFill>
                    <a:blip r:embed="rId16"/>
                    <a:stretch>
                      <a:fillRect/>
                    </a:stretch>
                  </pic:blipFill>
                  <pic:spPr>
                    <a:xfrm>
                      <a:off x="0" y="0"/>
                      <a:ext cx="1403350" cy="720090"/>
                    </a:xfrm>
                    <a:prstGeom prst="rect">
                      <a:avLst/>
                    </a:prstGeom>
                    <a:noFill/>
                    <a:ln w="9525">
                      <a:noFill/>
                    </a:ln>
                  </pic:spPr>
                </pic:pic>
              </a:graphicData>
            </a:graphic>
          </wp:anchor>
        </w:drawing>
      </w:r>
      <w:r>
        <w:rPr>
          <w:b/>
          <w:sz w:val="20"/>
        </w:rPr>
        <mc:AlternateContent>
          <mc:Choice Requires="wps">
            <w:drawing>
              <wp:anchor distT="0" distB="0" distL="114935" distR="114935" simplePos="0" relativeHeight="251658240" behindDoc="0" locked="1" layoutInCell="1" allowOverlap="1">
                <wp:simplePos x="0" y="0"/>
                <wp:positionH relativeFrom="margin">
                  <wp:posOffset>-400050</wp:posOffset>
                </wp:positionH>
                <wp:positionV relativeFrom="margin">
                  <wp:posOffset>1010920</wp:posOffset>
                </wp:positionV>
                <wp:extent cx="6120130" cy="391160"/>
                <wp:effectExtent l="0" t="0" r="13970" b="8890"/>
                <wp:wrapNone/>
                <wp:docPr id="1"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wps:spPr>
                      <wps:txbx>
                        <w:txbxContent>
                          <w:p>
                            <w:pPr>
                              <w:pStyle w:val="34"/>
                            </w:pPr>
                            <w:r>
                              <w:rPr>
                                <w:rFonts w:hint="eastAsia"/>
                              </w:rPr>
                              <w:t>中华人民共和国国家标准</w:t>
                            </w:r>
                          </w:p>
                        </w:txbxContent>
                      </wps:txbx>
                      <wps:bodyPr wrap="square" lIns="0" tIns="0" rIns="0" bIns="0" upright="1"/>
                    </wps:wsp>
                  </a:graphicData>
                </a:graphic>
              </wp:anchor>
            </w:drawing>
          </mc:Choice>
          <mc:Fallback>
            <w:pict>
              <v:shape id="文本框 4" o:spid="_x0000_s1026" o:spt="202" type="#_x0000_t202" style="position:absolute;left:0pt;margin-left:-31.5pt;margin-top:79.6pt;height:30.8pt;width:481.9pt;mso-position-horizontal-relative:margin;mso-position-vertical-relative:margin;z-index:251658240;mso-width-relative:page;mso-height-relative:page;" fillcolor="#FFFFFF" filled="t" stroked="f" coordsize="21600,21600" o:gfxdata="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HKiEnZAAAACwEA&#10;AA8AAAAAAAAAAQAgAAAAIgAAAGRycy9kb3ducmV2LnhtbFBLAQIUABQAAAAIAIdO4kAJ+oIf4AEA&#10;ALIDAAAOAAAAAAAAAAEAIAAAACgBAABkcnMvZTJvRG9jLnhtbFBLBQYAAAAABgAGAFkBAAB6BQAA&#10;AAA=&#10;">
                <v:fill on="t" focussize="0,0"/>
                <v:stroke on="f"/>
                <v:imagedata o:title=""/>
                <o:lock v:ext="edit" aspectratio="f"/>
                <v:textbox inset="0mm,0mm,0mm,0mm">
                  <w:txbxContent>
                    <w:p>
                      <w:pPr>
                        <w:pStyle w:val="34"/>
                      </w:pPr>
                      <w:r>
                        <w:rPr>
                          <w:rFonts w:hint="eastAsia"/>
                        </w:rPr>
                        <w:t>中华人民共和国国家标准</w:t>
                      </w:r>
                    </w:p>
                  </w:txbxContent>
                </v:textbox>
                <w10:anchorlock/>
              </v:shape>
            </w:pict>
          </mc:Fallback>
        </mc:AlternateContent>
      </w:r>
    </w:p>
    <w:p>
      <w:pPr>
        <w:jc w:val="center"/>
        <w:rPr>
          <w:b/>
          <w:sz w:val="52"/>
        </w:rPr>
      </w:pPr>
    </w:p>
    <w:p>
      <w:pPr>
        <w:jc w:val="center"/>
        <w:rPr>
          <w:b/>
          <w:lang w:val="de-DE"/>
        </w:rPr>
      </w:pPr>
      <w:r>
        <w:rPr>
          <w:b/>
          <w:lang w:val="de-DE"/>
        </w:rPr>
        <w:t xml:space="preserve">                                                   </w:t>
      </w:r>
    </w:p>
    <w:p>
      <w:pPr>
        <w:jc w:val="center"/>
        <w:rPr>
          <w:b/>
          <w:lang w:val="de-DE"/>
        </w:rPr>
      </w:pPr>
    </w:p>
    <w:p>
      <w:pPr>
        <w:pStyle w:val="53"/>
        <w:widowControl w:val="0"/>
        <w:tabs>
          <w:tab w:val="clear" w:pos="4154"/>
          <w:tab w:val="clear" w:pos="8306"/>
        </w:tabs>
        <w:wordWrap w:val="0"/>
        <w:spacing w:after="0" w:line="240" w:lineRule="exact"/>
        <w:ind w:right="-1098"/>
        <w:rPr>
          <w:sz w:val="28"/>
          <w:lang w:val="de-DE"/>
        </w:rPr>
      </w:pPr>
    </w:p>
    <w:p>
      <w:pPr>
        <w:ind w:right="-297"/>
        <w:jc w:val="right"/>
        <w:outlineLvl w:val="0"/>
        <w:rPr>
          <w:rFonts w:eastAsia="黑体"/>
          <w:sz w:val="28"/>
          <w:szCs w:val="28"/>
          <w:lang w:val="de-DE"/>
        </w:rPr>
      </w:pPr>
      <w:r>
        <w:rPr>
          <w:rFonts w:eastAsia="黑体"/>
          <w:sz w:val="28"/>
          <w:szCs w:val="28"/>
          <w:lang w:val="de-DE"/>
        </w:rPr>
        <w:t>GB/T ××</w:t>
      </w:r>
      <w:r>
        <w:rPr>
          <w:rFonts w:eastAsia="黑体"/>
          <w:sz w:val="28"/>
          <w:lang w:val="de-DE"/>
        </w:rPr>
        <w:t>—</w:t>
      </w:r>
      <w:r>
        <w:rPr>
          <w:rFonts w:eastAsia="黑体"/>
          <w:sz w:val="28"/>
          <w:szCs w:val="28"/>
          <w:lang w:val="de-DE"/>
        </w:rPr>
        <w:t>202×</w:t>
      </w:r>
    </w:p>
    <w:p>
      <w:pPr>
        <w:jc w:val="center"/>
        <w:rPr>
          <w:spacing w:val="-2"/>
          <w:sz w:val="52"/>
          <w:lang w:val="de-DE"/>
        </w:rPr>
      </w:pPr>
      <w:r>
        <w:rPr>
          <w:b/>
          <w:sz w:val="20"/>
        </w:rPr>
        <mc:AlternateContent>
          <mc:Choice Requires="wps">
            <w:drawing>
              <wp:anchor distT="0" distB="0" distL="114935" distR="114935" simplePos="0" relativeHeight="251661312" behindDoc="0" locked="0" layoutInCell="1" allowOverlap="1">
                <wp:simplePos x="0" y="0"/>
                <wp:positionH relativeFrom="column">
                  <wp:posOffset>-400050</wp:posOffset>
                </wp:positionH>
                <wp:positionV relativeFrom="paragraph">
                  <wp:posOffset>0</wp:posOffset>
                </wp:positionV>
                <wp:extent cx="6200775" cy="0"/>
                <wp:effectExtent l="0" t="0" r="0" b="0"/>
                <wp:wrapNone/>
                <wp:docPr id="4" name="直线 5"/>
                <wp:cNvGraphicFramePr/>
                <a:graphic xmlns:a="http://schemas.openxmlformats.org/drawingml/2006/main">
                  <a:graphicData uri="http://schemas.microsoft.com/office/word/2010/wordprocessingShape">
                    <wps:wsp>
                      <wps:cNvCnPr/>
                      <wps:spPr>
                        <a:xfrm flipH="1">
                          <a:off x="0" y="0"/>
                          <a:ext cx="62007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flip:x;margin-left:-31.5pt;margin-top:0pt;height:0pt;width:488.25pt;z-index:251661312;mso-width-relative:page;mso-height-relative:page;" filled="f" stroked="t" coordsize="21600,21600" o:gfxdata="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Qs+e9QAAAAF&#10;AQAADwAAAAAAAAABACAAAAAiAAAAZHJzL2Rvd25yZXYueG1sUEsBAhQAFAAAAAgAh07iQPBQcXPn&#10;AQAA2gMAAA4AAAAAAAAAAQAgAAAAIwEAAGRycy9lMm9Eb2MueG1sUEsFBgAAAAAGAAYAWQEAAHwF&#10;AAAAAA==&#10;">
                <v:fill on="f" focussize="0,0"/>
                <v:stroke weight="1.5pt" color="#000000" joinstyle="round"/>
                <v:imagedata o:title=""/>
                <o:lock v:ext="edit" aspectratio="f"/>
              </v:line>
            </w:pict>
          </mc:Fallback>
        </mc:AlternateContent>
      </w:r>
    </w:p>
    <w:p>
      <w:pPr>
        <w:tabs>
          <w:tab w:val="left" w:pos="4025"/>
        </w:tabs>
        <w:jc w:val="center"/>
        <w:rPr>
          <w:sz w:val="52"/>
          <w:lang w:val="de-DE"/>
        </w:rPr>
      </w:pPr>
    </w:p>
    <w:p>
      <w:pPr>
        <w:jc w:val="center"/>
        <w:rPr>
          <w:rFonts w:eastAsia="黑体"/>
          <w:sz w:val="52"/>
        </w:rPr>
      </w:pPr>
      <w:r>
        <w:rPr>
          <w:rFonts w:eastAsia="黑体"/>
          <w:sz w:val="52"/>
        </w:rPr>
        <w:t>铋冶炼企业单位产品能源消耗限额</w:t>
      </w:r>
      <w:bookmarkStart w:id="0" w:name="OLE_LINK23"/>
    </w:p>
    <w:p>
      <w:pPr>
        <w:jc w:val="center"/>
        <w:rPr>
          <w:rFonts w:eastAsia="黑体"/>
          <w:sz w:val="28"/>
          <w:szCs w:val="28"/>
          <w:lang w:val="de-DE"/>
        </w:rPr>
      </w:pPr>
      <w:r>
        <w:rPr>
          <w:rFonts w:eastAsia="黑体"/>
          <w:sz w:val="28"/>
          <w:szCs w:val="28"/>
        </w:rPr>
        <w:t>The norm of energy consumption per unit product of bismuth smelting enterprise</w:t>
      </w:r>
      <w:bookmarkEnd w:id="0"/>
      <w:r>
        <w:rPr>
          <w:rFonts w:eastAsia="黑体"/>
          <w:sz w:val="28"/>
          <w:szCs w:val="28"/>
        </w:rPr>
        <w:t>s</w:t>
      </w:r>
    </w:p>
    <w:p>
      <w:pPr>
        <w:jc w:val="center"/>
        <w:rPr>
          <w:rFonts w:eastAsia="黑体"/>
          <w:sz w:val="30"/>
          <w:szCs w:val="30"/>
          <w:lang w:val="de-DE"/>
        </w:rPr>
      </w:pPr>
      <w:r>
        <w:rPr>
          <w:rFonts w:eastAsia="黑体"/>
          <w:sz w:val="30"/>
          <w:szCs w:val="30"/>
          <w:lang w:val="de-DE"/>
        </w:rPr>
        <w:t>（</w:t>
      </w:r>
      <w:r>
        <w:rPr>
          <w:rFonts w:hint="eastAsia" w:eastAsia="黑体"/>
          <w:sz w:val="30"/>
          <w:szCs w:val="30"/>
        </w:rPr>
        <w:t>审定</w:t>
      </w:r>
      <w:r>
        <w:rPr>
          <w:rFonts w:eastAsia="黑体"/>
          <w:sz w:val="30"/>
          <w:szCs w:val="30"/>
        </w:rPr>
        <w:t>稿</w:t>
      </w:r>
      <w:r>
        <w:rPr>
          <w:rFonts w:eastAsia="黑体"/>
          <w:sz w:val="30"/>
          <w:szCs w:val="30"/>
          <w:lang w:val="de-DE"/>
        </w:rPr>
        <w:t>）</w:t>
      </w:r>
    </w:p>
    <w:p>
      <w:pPr>
        <w:jc w:val="center"/>
        <w:rPr>
          <w:rFonts w:eastAsia="黑体"/>
          <w:sz w:val="28"/>
          <w:lang w:val="de-DE"/>
        </w:rPr>
      </w:pPr>
    </w:p>
    <w:p>
      <w:pPr>
        <w:pStyle w:val="20"/>
        <w:jc w:val="center"/>
        <w:rPr>
          <w:sz w:val="28"/>
          <w:szCs w:val="28"/>
          <w:lang w:val="de-DE"/>
        </w:rPr>
      </w:pPr>
    </w:p>
    <w:p>
      <w:pPr>
        <w:pStyle w:val="20"/>
        <w:jc w:val="center"/>
        <w:rPr>
          <w:sz w:val="28"/>
          <w:szCs w:val="28"/>
          <w:lang w:val="de-DE"/>
        </w:rPr>
      </w:pPr>
    </w:p>
    <w:p>
      <w:pPr>
        <w:pStyle w:val="20"/>
        <w:jc w:val="center"/>
        <w:rPr>
          <w:sz w:val="28"/>
          <w:szCs w:val="28"/>
          <w:lang w:val="de-DE"/>
        </w:rPr>
      </w:pPr>
    </w:p>
    <w:p>
      <w:pPr>
        <w:pStyle w:val="20"/>
        <w:rPr>
          <w:lang w:val="de-DE"/>
        </w:rPr>
      </w:pPr>
    </w:p>
    <w:p>
      <w:pPr>
        <w:pStyle w:val="20"/>
        <w:spacing w:after="0" w:line="280" w:lineRule="exact"/>
        <w:ind w:right="-1308"/>
        <w:rPr>
          <w:sz w:val="28"/>
          <w:lang w:val="de-DE"/>
        </w:rPr>
      </w:pPr>
      <w:r>
        <w:rPr>
          <w:sz w:val="20"/>
        </w:rPr>
        <mc:AlternateContent>
          <mc:Choice Requires="wps">
            <w:drawing>
              <wp:anchor distT="0" distB="0" distL="114935" distR="114935" simplePos="0" relativeHeight="251660288" behindDoc="0" locked="1" layoutInCell="1" allowOverlap="1">
                <wp:simplePos x="0" y="0"/>
                <wp:positionH relativeFrom="page">
                  <wp:posOffset>847090</wp:posOffset>
                </wp:positionH>
                <wp:positionV relativeFrom="margin">
                  <wp:posOffset>8124825</wp:posOffset>
                </wp:positionV>
                <wp:extent cx="5867400" cy="69342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867400" cy="693420"/>
                        </a:xfrm>
                        <a:prstGeom prst="rect">
                          <a:avLst/>
                        </a:prstGeom>
                        <a:solidFill>
                          <a:srgbClr val="FFFFFF"/>
                        </a:solidFill>
                        <a:ln w="9525">
                          <a:noFill/>
                        </a:ln>
                      </wps:spPr>
                      <wps:txbx>
                        <w:txbxContent>
                          <w:p>
                            <w:pPr>
                              <w:pStyle w:val="50"/>
                              <w:spacing w:line="0" w:lineRule="atLeast"/>
                              <w:rPr>
                                <w:rFonts w:eastAsiaTheme="minorEastAsia"/>
                                <w:spacing w:val="22"/>
                                <w:sz w:val="32"/>
                                <w:szCs w:val="32"/>
                              </w:rPr>
                            </w:pPr>
                            <w:r>
                              <w:rPr>
                                <w:rFonts w:hint="eastAsia" w:eastAsiaTheme="minorEastAsia"/>
                                <w:spacing w:val="22"/>
                                <w:sz w:val="32"/>
                                <w:szCs w:val="32"/>
                              </w:rPr>
                              <w:t>国家市场监督管理</w:t>
                            </w:r>
                            <w:r>
                              <w:rPr>
                                <w:rFonts w:hint="eastAsia"/>
                                <w:spacing w:val="22"/>
                                <w:sz w:val="32"/>
                                <w:szCs w:val="32"/>
                              </w:rPr>
                              <w:t>总局</w:t>
                            </w:r>
                          </w:p>
                          <w:p>
                            <w:pPr>
                              <w:pStyle w:val="50"/>
                              <w:spacing w:line="0" w:lineRule="atLeast"/>
                              <w:rPr>
                                <w:spacing w:val="-20"/>
                                <w:sz w:val="32"/>
                                <w:szCs w:val="32"/>
                              </w:rPr>
                            </w:pPr>
                            <w:r>
                              <w:rPr>
                                <w:rFonts w:hint="eastAsia" w:eastAsiaTheme="minorEastAsia"/>
                                <w:spacing w:val="22"/>
                                <w:sz w:val="32"/>
                                <w:szCs w:val="32"/>
                              </w:rPr>
                              <w:t>国家标准化管理委员会</w:t>
                            </w:r>
                            <w:r>
                              <w:rPr>
                                <w:rFonts w:hint="eastAsia"/>
                                <w:spacing w:val="0"/>
                                <w:sz w:val="32"/>
                                <w:szCs w:val="32"/>
                              </w:rPr>
                              <w:br w:type="textWrapping"/>
                            </w:r>
                          </w:p>
                        </w:txbxContent>
                      </wps:txbx>
                      <wps:bodyPr wrap="square" lIns="0" tIns="0" rIns="0" bIns="0" upright="1"/>
                    </wps:wsp>
                  </a:graphicData>
                </a:graphic>
              </wp:anchor>
            </w:drawing>
          </mc:Choice>
          <mc:Fallback>
            <w:pict>
              <v:shape id="文本框 6" o:spid="_x0000_s1026" o:spt="202" type="#_x0000_t202" style="position:absolute;left:0pt;margin-left:66.7pt;margin-top:639.75pt;height:54.6pt;width:462pt;mso-position-horizontal-relative:page;mso-position-vertical-relative:margin;z-index:251660288;mso-width-relative:page;mso-height-relative:page;" fillcolor="#FFFFFF" filled="t" stroked="f" coordsize="21600,21600" o:gfxdata="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G729sA&#10;AAAOAQAADwAAAAAAAAABACAAAAAiAAAAZHJzL2Rvd25yZXYueG1sUEsBAhQAFAAAAAgAh07iQAvs&#10;ZebjAQAAsgMAAA4AAAAAAAAAAQAgAAAAKgEAAGRycy9lMm9Eb2MueG1sUEsFBgAAAAAGAAYAWQEA&#10;AH8FAAAAAA==&#10;">
                <v:fill on="t" focussize="0,0"/>
                <v:stroke on="f"/>
                <v:imagedata o:title=""/>
                <o:lock v:ext="edit" aspectratio="f"/>
                <v:textbox inset="0mm,0mm,0mm,0mm">
                  <w:txbxContent>
                    <w:p>
                      <w:pPr>
                        <w:pStyle w:val="50"/>
                        <w:spacing w:line="0" w:lineRule="atLeast"/>
                        <w:rPr>
                          <w:rFonts w:eastAsiaTheme="minorEastAsia"/>
                          <w:spacing w:val="22"/>
                          <w:sz w:val="32"/>
                          <w:szCs w:val="32"/>
                        </w:rPr>
                      </w:pPr>
                      <w:r>
                        <w:rPr>
                          <w:rFonts w:hint="eastAsia" w:eastAsiaTheme="minorEastAsia"/>
                          <w:spacing w:val="22"/>
                          <w:sz w:val="32"/>
                          <w:szCs w:val="32"/>
                        </w:rPr>
                        <w:t>国家市场监督管理</w:t>
                      </w:r>
                      <w:r>
                        <w:rPr>
                          <w:rFonts w:hint="eastAsia"/>
                          <w:spacing w:val="22"/>
                          <w:sz w:val="32"/>
                          <w:szCs w:val="32"/>
                        </w:rPr>
                        <w:t>总局</w:t>
                      </w:r>
                    </w:p>
                    <w:p>
                      <w:pPr>
                        <w:pStyle w:val="50"/>
                        <w:spacing w:line="0" w:lineRule="atLeast"/>
                        <w:rPr>
                          <w:spacing w:val="-20"/>
                          <w:sz w:val="32"/>
                          <w:szCs w:val="32"/>
                        </w:rPr>
                      </w:pPr>
                      <w:r>
                        <w:rPr>
                          <w:rFonts w:hint="eastAsia" w:eastAsiaTheme="minorEastAsia"/>
                          <w:spacing w:val="22"/>
                          <w:sz w:val="32"/>
                          <w:szCs w:val="32"/>
                        </w:rPr>
                        <w:t>国家标准化管理委员会</w:t>
                      </w:r>
                      <w:r>
                        <w:rPr>
                          <w:rFonts w:hint="eastAsia"/>
                          <w:spacing w:val="0"/>
                          <w:sz w:val="32"/>
                          <w:szCs w:val="32"/>
                        </w:rPr>
                        <w:br w:type="textWrapping"/>
                      </w:r>
                    </w:p>
                  </w:txbxContent>
                </v:textbox>
                <w10:anchorlock/>
              </v:shape>
            </w:pict>
          </mc:Fallback>
        </mc:AlternateContent>
      </w:r>
    </w:p>
    <w:p>
      <w:pPr>
        <w:pStyle w:val="20"/>
        <w:spacing w:after="0" w:line="280" w:lineRule="exact"/>
        <w:ind w:right="-1308"/>
        <w:rPr>
          <w:sz w:val="28"/>
          <w:lang w:val="de-DE"/>
        </w:rPr>
      </w:pPr>
    </w:p>
    <w:p>
      <w:pPr>
        <w:pStyle w:val="20"/>
        <w:spacing w:after="0" w:line="280" w:lineRule="exact"/>
        <w:ind w:right="-1308"/>
        <w:rPr>
          <w:sz w:val="28"/>
          <w:lang w:val="de-DE"/>
        </w:rPr>
      </w:pPr>
    </w:p>
    <w:p>
      <w:pPr>
        <w:pStyle w:val="20"/>
        <w:spacing w:after="0" w:line="280" w:lineRule="exact"/>
        <w:ind w:right="-1308"/>
        <w:rPr>
          <w:sz w:val="28"/>
          <w:lang w:val="de-DE"/>
        </w:rPr>
      </w:pPr>
    </w:p>
    <w:p>
      <w:pPr>
        <w:pStyle w:val="20"/>
        <w:spacing w:after="0" w:line="280" w:lineRule="exact"/>
        <w:ind w:right="-1308"/>
        <w:rPr>
          <w:rFonts w:eastAsia="黑体"/>
          <w:lang w:val="de-DE"/>
        </w:rPr>
      </w:pPr>
      <w:r>
        <w:rPr>
          <w:rFonts w:eastAsia="黑体"/>
        </w:rPr>
        <mc:AlternateContent>
          <mc:Choice Requires="wps">
            <w:drawing>
              <wp:anchor distT="0" distB="0" distL="114300" distR="114300" simplePos="0" relativeHeight="251664384" behindDoc="0" locked="0" layoutInCell="1" allowOverlap="1">
                <wp:simplePos x="0" y="0"/>
                <wp:positionH relativeFrom="column">
                  <wp:posOffset>4277995</wp:posOffset>
                </wp:positionH>
                <wp:positionV relativeFrom="paragraph">
                  <wp:posOffset>443230</wp:posOffset>
                </wp:positionV>
                <wp:extent cx="657225" cy="4953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657225" cy="495300"/>
                        </a:xfrm>
                        <a:prstGeom prst="rect">
                          <a:avLst/>
                        </a:prstGeom>
                        <a:solidFill>
                          <a:srgbClr val="FFFFFF"/>
                        </a:solidFill>
                        <a:ln w="9525">
                          <a:noFill/>
                        </a:ln>
                      </wps:spPr>
                      <wps:txbx>
                        <w:txbxContent>
                          <w:p>
                            <w:pPr>
                              <w:rPr>
                                <w:rFonts w:ascii="黑体" w:eastAsia="黑体"/>
                                <w:sz w:val="28"/>
                                <w:szCs w:val="28"/>
                              </w:rPr>
                            </w:pPr>
                            <w:r>
                              <w:rPr>
                                <w:rFonts w:hint="eastAsia" w:ascii="黑体" w:eastAsia="黑体"/>
                                <w:spacing w:val="-20"/>
                                <w:sz w:val="28"/>
                                <w:szCs w:val="28"/>
                              </w:rPr>
                              <w:t>发  布</w:t>
                            </w:r>
                          </w:p>
                        </w:txbxContent>
                      </wps:txbx>
                      <wps:bodyPr wrap="square" upright="1"/>
                    </wps:wsp>
                  </a:graphicData>
                </a:graphic>
              </wp:anchor>
            </w:drawing>
          </mc:Choice>
          <mc:Fallback>
            <w:pict>
              <v:shape id="_x0000_s1026" o:spid="_x0000_s1026" o:spt="202" type="#_x0000_t202" style="position:absolute;left:0pt;margin-left:336.85pt;margin-top:34.9pt;height:39pt;width:51.75pt;z-index:251664384;mso-width-relative:page;mso-height-relative:page;" fillcolor="#FFFFFF" filled="t" stroked="f" coordsize="21600,21600" o:gfxdata="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x6be1wAAAAoBAAAPAAAAAAAAAAEAIAAA&#10;ACIAAABkcnMvZG93bnJldi54bWxQSwECFAAUAAAACACHTuJAQqQdB9QBAACNAwAADgAAAAAAAAAB&#10;ACAAAAAmAQAAZHJzL2Uyb0RvYy54bWxQSwUGAAAAAAYABgBZAQAAbAUAAAAA&#10;">
                <v:fill on="t" focussize="0,0"/>
                <v:stroke on="f"/>
                <v:imagedata o:title=""/>
                <o:lock v:ext="edit" aspectratio="f"/>
                <v:textbox>
                  <w:txbxContent>
                    <w:p>
                      <w:pPr>
                        <w:rPr>
                          <w:rFonts w:ascii="黑体" w:eastAsia="黑体"/>
                          <w:sz w:val="28"/>
                          <w:szCs w:val="28"/>
                        </w:rPr>
                      </w:pPr>
                      <w:r>
                        <w:rPr>
                          <w:rFonts w:hint="eastAsia" w:ascii="黑体" w:eastAsia="黑体"/>
                          <w:spacing w:val="-20"/>
                          <w:sz w:val="28"/>
                          <w:szCs w:val="28"/>
                        </w:rPr>
                        <w:t>发  布</w:t>
                      </w:r>
                    </w:p>
                  </w:txbxContent>
                </v:textbox>
              </v:shape>
            </w:pict>
          </mc:Fallback>
        </mc:AlternateContent>
      </w:r>
      <w:r>
        <w:rPr>
          <w:rFonts w:eastAsia="黑体"/>
        </w:rPr>
        <mc:AlternateContent>
          <mc:Choice Requires="wps">
            <w:drawing>
              <wp:anchor distT="0" distB="0" distL="114935" distR="114935" simplePos="0" relativeHeight="251656192" behindDoc="0" locked="0" layoutInCell="1" allowOverlap="1">
                <wp:simplePos x="0" y="0"/>
                <wp:positionH relativeFrom="column">
                  <wp:posOffset>-266700</wp:posOffset>
                </wp:positionH>
                <wp:positionV relativeFrom="paragraph">
                  <wp:posOffset>320040</wp:posOffset>
                </wp:positionV>
                <wp:extent cx="6200775" cy="0"/>
                <wp:effectExtent l="0" t="0" r="0" b="0"/>
                <wp:wrapNone/>
                <wp:docPr id="5" name="直线 8"/>
                <wp:cNvGraphicFramePr/>
                <a:graphic xmlns:a="http://schemas.openxmlformats.org/drawingml/2006/main">
                  <a:graphicData uri="http://schemas.microsoft.com/office/word/2010/wordprocessingShape">
                    <wps:wsp>
                      <wps:cNvCnPr/>
                      <wps:spPr>
                        <a:xfrm flipH="1">
                          <a:off x="0" y="0"/>
                          <a:ext cx="62007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x;margin-left:-21pt;margin-top:25.2pt;height:0pt;width:488.25pt;z-index:251656192;mso-width-relative:page;mso-height-relative:page;" filled="f" stroked="t" coordsize="21600,21600" o:gfxdata="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NVdytcA&#10;AAAJAQAADwAAAAAAAAABACAAAAAiAAAAZHJzL2Rvd25yZXYueG1sUEsBAhQAFAAAAAgAh07iQO4y&#10;myXnAQAA2gMAAA4AAAAAAAAAAQAgAAAAJgEAAGRycy9lMm9Eb2MueG1sUEsFBgAAAAAGAAYAWQEA&#10;AH8FAAAAAA==&#10;">
                <v:fill on="f" focussize="0,0"/>
                <v:stroke weight="1.5pt" color="#000000" joinstyle="round"/>
                <v:imagedata o:title=""/>
                <o:lock v:ext="edit" aspectratio="f"/>
              </v:line>
            </w:pict>
          </mc:Fallback>
        </mc:AlternateContent>
      </w:r>
      <w:r>
        <w:rPr>
          <w:rFonts w:eastAsia="黑体"/>
          <w:sz w:val="28"/>
          <w:lang w:val="de-DE"/>
        </w:rPr>
        <w:t>202X-XX-XX</w:t>
      </w:r>
      <w:r>
        <w:rPr>
          <w:rFonts w:eastAsia="黑体"/>
          <w:sz w:val="28"/>
        </w:rPr>
        <w:t>发布</w:t>
      </w:r>
      <w:r>
        <w:rPr>
          <w:rFonts w:eastAsia="黑体"/>
          <w:lang w:val="de-DE"/>
        </w:rPr>
        <w:t xml:space="preserve">                                              </w:t>
      </w:r>
      <w:r>
        <w:rPr>
          <w:rFonts w:eastAsia="黑体"/>
          <w:sz w:val="28"/>
          <w:lang w:val="de-DE"/>
        </w:rPr>
        <w:t>202X-XX-XX</w:t>
      </w:r>
      <w:r>
        <w:rPr>
          <w:rFonts w:eastAsia="黑体"/>
          <w:sz w:val="28"/>
        </w:rPr>
        <w:t>实施</w:t>
      </w:r>
    </w:p>
    <w:p>
      <w:pPr>
        <w:pStyle w:val="20"/>
        <w:spacing w:after="0"/>
        <w:jc w:val="right"/>
        <w:rPr>
          <w:rFonts w:eastAsia="黑体"/>
          <w:b/>
          <w:sz w:val="24"/>
          <w:lang w:val="de-DE"/>
        </w:rPr>
        <w:sectPr>
          <w:footerReference r:id="rId5" w:type="first"/>
          <w:headerReference r:id="rId3" w:type="default"/>
          <w:headerReference r:id="rId4" w:type="even"/>
          <w:pgSz w:w="11907" w:h="16840"/>
          <w:pgMar w:top="1440" w:right="1302" w:bottom="1440" w:left="1797" w:header="851" w:footer="992" w:gutter="0"/>
          <w:pgNumType w:start="0"/>
          <w:cols w:space="720" w:num="1"/>
          <w:titlePg/>
          <w:docGrid w:type="lines" w:linePitch="312" w:charSpace="0"/>
        </w:sectPr>
      </w:pPr>
    </w:p>
    <w:p>
      <w:pPr>
        <w:pStyle w:val="55"/>
        <w:keepNext/>
        <w:pageBreakBefore/>
        <w:outlineLvl w:val="0"/>
        <w:rPr>
          <w:rFonts w:ascii="Times New Roman"/>
          <w:lang w:val="de-DE"/>
        </w:rPr>
      </w:pPr>
      <w:r>
        <w:rPr>
          <w:rFonts w:ascii="Times New Roman"/>
        </w:rPr>
        <w:t>前</w:t>
      </w:r>
      <w:r>
        <w:rPr>
          <w:rFonts w:ascii="Times New Roman"/>
          <w:lang w:val="de-DE"/>
        </w:rPr>
        <w:t xml:space="preserve"> </w:t>
      </w:r>
      <w:r>
        <w:rPr>
          <w:rFonts w:ascii="Times New Roman"/>
        </w:rPr>
        <w:t>言</w:t>
      </w:r>
    </w:p>
    <w:p>
      <w:pPr>
        <w:spacing w:line="360" w:lineRule="exact"/>
        <w:ind w:firstLine="420" w:firstLineChars="200"/>
        <w:rPr>
          <w:rFonts w:eastAsiaTheme="minorEastAsia"/>
          <w:kern w:val="0"/>
          <w:szCs w:val="21"/>
        </w:rPr>
      </w:pPr>
      <w:r>
        <w:rPr>
          <w:rFonts w:eastAsiaTheme="minorEastAsia"/>
          <w:kern w:val="0"/>
          <w:szCs w:val="21"/>
        </w:rPr>
        <w:t>本文件按照GB/T 1.1-2020《标准化工作导则 第1部分：标准化文件的结构和起草规则》的规定起草。</w:t>
      </w:r>
    </w:p>
    <w:p>
      <w:pPr>
        <w:spacing w:line="360" w:lineRule="exact"/>
        <w:ind w:firstLine="420" w:firstLineChars="200"/>
        <w:rPr>
          <w:rFonts w:eastAsiaTheme="minorEastAsia"/>
          <w:kern w:val="0"/>
          <w:szCs w:val="21"/>
        </w:rPr>
      </w:pPr>
      <w:r>
        <w:rPr>
          <w:rFonts w:hint="eastAsia" w:eastAsiaTheme="minorEastAsia"/>
          <w:kern w:val="0"/>
          <w:szCs w:val="21"/>
        </w:rPr>
        <w:t>本文件由全国有色金属标准化技术委员会（</w:t>
      </w:r>
      <w:r>
        <w:rPr>
          <w:rFonts w:eastAsiaTheme="minorEastAsia"/>
          <w:kern w:val="0"/>
          <w:szCs w:val="21"/>
        </w:rPr>
        <w:t>SAC/TC 243</w:t>
      </w:r>
      <w:r>
        <w:rPr>
          <w:rFonts w:hint="eastAsia" w:eastAsiaTheme="minorEastAsia"/>
          <w:kern w:val="0"/>
          <w:szCs w:val="21"/>
        </w:rPr>
        <w:t>）提出并归口</w:t>
      </w:r>
    </w:p>
    <w:p>
      <w:pPr>
        <w:spacing w:line="360" w:lineRule="exact"/>
        <w:ind w:firstLine="420" w:firstLineChars="200"/>
        <w:rPr>
          <w:rFonts w:eastAsiaTheme="minorEastAsia"/>
          <w:kern w:val="0"/>
          <w:szCs w:val="21"/>
        </w:rPr>
      </w:pPr>
      <w:r>
        <w:rPr>
          <w:rFonts w:eastAsiaTheme="minorEastAsia"/>
          <w:kern w:val="0"/>
          <w:szCs w:val="21"/>
        </w:rPr>
        <w:t>本文件起草单位：阳谷祥光铜业有限公司、</w:t>
      </w:r>
      <w:r>
        <w:rPr>
          <w:rFonts w:hint="eastAsia" w:eastAsiaTheme="minorEastAsia"/>
          <w:kern w:val="0"/>
          <w:szCs w:val="21"/>
        </w:rPr>
        <w:t>湖南柿竹园有色金属有限责任公司、</w:t>
      </w:r>
      <w:r>
        <w:rPr>
          <w:rFonts w:eastAsiaTheme="minorEastAsia"/>
          <w:kern w:val="0"/>
          <w:szCs w:val="21"/>
        </w:rPr>
        <w:t>XX</w:t>
      </w:r>
      <w:r>
        <w:rPr>
          <w:rFonts w:hint="eastAsia" w:eastAsiaTheme="minorEastAsia"/>
          <w:kern w:val="0"/>
          <w:szCs w:val="21"/>
        </w:rPr>
        <w:t>、</w:t>
      </w:r>
      <w:r>
        <w:rPr>
          <w:rFonts w:eastAsiaTheme="minorEastAsia"/>
          <w:kern w:val="0"/>
          <w:szCs w:val="21"/>
        </w:rPr>
        <w:t>XX</w:t>
      </w:r>
    </w:p>
    <w:p>
      <w:pPr>
        <w:spacing w:line="360" w:lineRule="exact"/>
        <w:ind w:firstLine="420" w:firstLineChars="200"/>
        <w:rPr>
          <w:rFonts w:eastAsiaTheme="minorEastAsia"/>
          <w:kern w:val="0"/>
          <w:szCs w:val="21"/>
        </w:rPr>
      </w:pPr>
      <w:r>
        <w:rPr>
          <w:rFonts w:eastAsiaTheme="minorEastAsia"/>
          <w:kern w:val="0"/>
          <w:szCs w:val="21"/>
        </w:rPr>
        <w:t>本文件主要起草人：XX。</w:t>
      </w: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rPr>
          <w:rFonts w:eastAsia="黑体"/>
          <w:sz w:val="32"/>
        </w:rPr>
      </w:pPr>
    </w:p>
    <w:p>
      <w:pPr>
        <w:pStyle w:val="20"/>
        <w:spacing w:after="0" w:line="240" w:lineRule="auto"/>
        <w:ind w:right="-993" w:firstLine="629"/>
      </w:pPr>
    </w:p>
    <w:p>
      <w:pPr>
        <w:pStyle w:val="20"/>
        <w:spacing w:after="0" w:line="240" w:lineRule="auto"/>
        <w:ind w:right="-993"/>
        <w:rPr>
          <w:rFonts w:eastAsiaTheme="minorEastAsia"/>
          <w:lang w:val="de-DE"/>
        </w:rPr>
        <w:sectPr>
          <w:footerReference r:id="rId10" w:type="first"/>
          <w:headerReference r:id="rId6" w:type="default"/>
          <w:footerReference r:id="rId8" w:type="default"/>
          <w:headerReference r:id="rId7" w:type="even"/>
          <w:footerReference r:id="rId9" w:type="even"/>
          <w:pgSz w:w="11907" w:h="16840"/>
          <w:pgMar w:top="1440" w:right="1474" w:bottom="1077" w:left="1797" w:header="851" w:footer="992" w:gutter="0"/>
          <w:pgNumType w:fmt="upperRoman" w:start="1"/>
          <w:cols w:space="720" w:num="1"/>
          <w:docGrid w:type="linesAndChars" w:linePitch="312" w:charSpace="0"/>
        </w:sectPr>
      </w:pPr>
    </w:p>
    <w:p>
      <w:pPr>
        <w:pStyle w:val="67"/>
        <w:rPr>
          <w:rFonts w:ascii="Times New Roman" w:hAnsi="Times New Roman" w:eastAsia="黑体" w:cs="Times New Roman"/>
          <w:b/>
          <w:szCs w:val="32"/>
          <w:lang w:val="de-DE"/>
        </w:rPr>
      </w:pPr>
      <w:r>
        <w:rPr>
          <w:rFonts w:ascii="Times New Roman" w:hAnsi="Times New Roman" w:eastAsia="黑体" w:cs="Times New Roman"/>
          <w:b/>
          <w:szCs w:val="32"/>
          <w:lang w:val="de-DE"/>
        </w:rPr>
        <w:t>铋冶炼企业单位产品能源消耗限额</w:t>
      </w:r>
    </w:p>
    <w:p>
      <w:pPr>
        <w:rPr>
          <w:rStyle w:val="60"/>
          <w:rFonts w:ascii="黑体" w:hAnsi="黑体" w:eastAsia="黑体"/>
        </w:rPr>
      </w:pPr>
      <w:r>
        <w:rPr>
          <w:rStyle w:val="60"/>
          <w:rFonts w:ascii="黑体" w:hAnsi="黑体" w:eastAsia="黑体"/>
        </w:rPr>
        <w:t>1 范围</w:t>
      </w:r>
    </w:p>
    <w:p>
      <w:pPr>
        <w:spacing w:line="400" w:lineRule="exact"/>
        <w:ind w:firstLine="420" w:firstLineChars="200"/>
        <w:rPr>
          <w:rStyle w:val="60"/>
          <w:rFonts w:eastAsia="宋体"/>
        </w:rPr>
      </w:pPr>
      <w:r>
        <w:rPr>
          <w:rStyle w:val="60"/>
          <w:rFonts w:eastAsia="宋体"/>
        </w:rPr>
        <w:t>本文件规定了铋冶炼企业单位产品的能源消耗（以下简称能耗）限额的技术要求、统计范围、计算方法。</w:t>
      </w:r>
    </w:p>
    <w:p>
      <w:pPr>
        <w:spacing w:line="400" w:lineRule="exact"/>
        <w:ind w:firstLine="420" w:firstLineChars="200"/>
        <w:rPr>
          <w:rStyle w:val="60"/>
          <w:rFonts w:eastAsia="宋体"/>
        </w:rPr>
      </w:pPr>
      <w:r>
        <w:rPr>
          <w:rStyle w:val="60"/>
          <w:rFonts w:eastAsia="宋体"/>
        </w:rPr>
        <w:t>本文件适用于以</w:t>
      </w:r>
      <w:r>
        <w:rPr>
          <w:rStyle w:val="60"/>
          <w:rFonts w:hint="eastAsia" w:eastAsia="宋体"/>
        </w:rPr>
        <w:t>硫化</w:t>
      </w:r>
      <w:r>
        <w:rPr>
          <w:rStyle w:val="60"/>
          <w:rFonts w:eastAsia="宋体"/>
        </w:rPr>
        <w:t>铋精矿、</w:t>
      </w:r>
      <w:r>
        <w:rPr>
          <w:rStyle w:val="60"/>
          <w:rFonts w:hint="eastAsia" w:eastAsia="宋体"/>
        </w:rPr>
        <w:t>氧化铋精矿</w:t>
      </w:r>
      <w:r>
        <w:rPr>
          <w:rStyle w:val="60"/>
          <w:rFonts w:eastAsia="宋体"/>
        </w:rPr>
        <w:t>为原料的铋冶炼火法、湿法冶炼企业产品能耗的计算、考核。</w:t>
      </w:r>
    </w:p>
    <w:p>
      <w:pPr>
        <w:rPr>
          <w:rStyle w:val="60"/>
          <w:rFonts w:ascii="黑体" w:hAnsi="黑体" w:eastAsia="黑体"/>
        </w:rPr>
      </w:pPr>
      <w:r>
        <w:rPr>
          <w:rStyle w:val="60"/>
          <w:rFonts w:ascii="黑体" w:hAnsi="黑体" w:eastAsia="黑体"/>
        </w:rPr>
        <w:t>2 规范性引用文件</w:t>
      </w:r>
    </w:p>
    <w:p>
      <w:pPr>
        <w:spacing w:line="400" w:lineRule="exact"/>
        <w:ind w:firstLine="420" w:firstLineChars="200"/>
        <w:rPr>
          <w:rStyle w:val="60"/>
          <w:rFonts w:eastAsia="宋体"/>
        </w:rPr>
      </w:pPr>
      <w:r>
        <w:rPr>
          <w:rStyle w:val="60"/>
          <w:rFonts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rStyle w:val="60"/>
          <w:rFonts w:eastAsia="宋体"/>
        </w:rPr>
      </w:pPr>
      <w:r>
        <w:rPr>
          <w:rStyle w:val="60"/>
          <w:rFonts w:eastAsia="宋体"/>
        </w:rPr>
        <w:t>GB/T 2589      综合能耗计算通则</w:t>
      </w:r>
    </w:p>
    <w:p>
      <w:pPr>
        <w:spacing w:line="400" w:lineRule="exact"/>
        <w:ind w:firstLine="420" w:firstLineChars="200"/>
        <w:rPr>
          <w:rStyle w:val="60"/>
          <w:rFonts w:eastAsia="宋体"/>
        </w:rPr>
      </w:pPr>
      <w:r>
        <w:rPr>
          <w:rStyle w:val="60"/>
          <w:rFonts w:eastAsia="宋体"/>
        </w:rPr>
        <w:t>GB/T 12723     单位产品能源消耗限额编制通则</w:t>
      </w:r>
    </w:p>
    <w:p>
      <w:pPr>
        <w:spacing w:line="400" w:lineRule="exact"/>
        <w:ind w:firstLine="420" w:firstLineChars="200"/>
        <w:rPr>
          <w:rStyle w:val="60"/>
          <w:rFonts w:eastAsia="宋体"/>
        </w:rPr>
      </w:pPr>
      <w:r>
        <w:rPr>
          <w:rStyle w:val="60"/>
          <w:rFonts w:eastAsia="宋体"/>
        </w:rPr>
        <w:t xml:space="preserve">YS/T 321       </w:t>
      </w:r>
      <w:r>
        <w:rPr>
          <w:rStyle w:val="60"/>
          <w:rFonts w:hint="eastAsia" w:eastAsia="宋体"/>
        </w:rPr>
        <w:t>铋精矿</w:t>
      </w:r>
    </w:p>
    <w:p>
      <w:pPr>
        <w:rPr>
          <w:rStyle w:val="60"/>
          <w:rFonts w:ascii="黑体" w:hAnsi="黑体" w:eastAsia="黑体"/>
        </w:rPr>
      </w:pPr>
      <w:r>
        <w:rPr>
          <w:rStyle w:val="60"/>
          <w:rFonts w:ascii="黑体" w:hAnsi="黑体" w:eastAsia="黑体"/>
        </w:rPr>
        <w:t>3 术语和定义</w:t>
      </w:r>
    </w:p>
    <w:p>
      <w:pPr>
        <w:spacing w:line="400" w:lineRule="exact"/>
        <w:ind w:firstLine="420" w:firstLineChars="200"/>
        <w:rPr>
          <w:rStyle w:val="60"/>
          <w:rFonts w:eastAsia="宋体"/>
        </w:rPr>
      </w:pPr>
      <w:r>
        <w:rPr>
          <w:rStyle w:val="60"/>
          <w:rFonts w:eastAsia="宋体"/>
        </w:rPr>
        <w:t>下列术语和定义适用于本标准。</w:t>
      </w:r>
    </w:p>
    <w:p>
      <w:pPr>
        <w:spacing w:line="400" w:lineRule="exact"/>
        <w:rPr>
          <w:rStyle w:val="60"/>
          <w:rFonts w:ascii="黑体" w:hAnsi="黑体" w:eastAsia="Gungsuh"/>
        </w:rPr>
      </w:pPr>
      <w:r>
        <w:rPr>
          <w:rStyle w:val="60"/>
          <w:rFonts w:ascii="黑体" w:hAnsi="黑体" w:eastAsia="Gungsuh"/>
        </w:rPr>
        <w:t>3.1</w:t>
      </w:r>
    </w:p>
    <w:p>
      <w:pPr>
        <w:spacing w:line="400" w:lineRule="exact"/>
        <w:ind w:firstLine="424" w:firstLineChars="202"/>
        <w:rPr>
          <w:rStyle w:val="60"/>
          <w:rFonts w:ascii="黑体" w:hAnsi="黑体" w:eastAsia="Gungsuh"/>
        </w:rPr>
      </w:pPr>
      <w:r>
        <w:rPr>
          <w:rStyle w:val="60"/>
          <w:rFonts w:hint="eastAsia" w:ascii="黑体" w:hAnsi="黑体" w:eastAsia="黑体"/>
        </w:rPr>
        <w:t xml:space="preserve">铋冶炼单位产品综合能耗 </w:t>
      </w:r>
      <w:r>
        <w:rPr>
          <w:rStyle w:val="60"/>
          <w:rFonts w:ascii="黑体" w:hAnsi="黑体" w:eastAsia="黑体"/>
        </w:rPr>
        <w:t>energy consumption per unit product of bismuth smelting</w:t>
      </w:r>
    </w:p>
    <w:p>
      <w:pPr>
        <w:spacing w:line="400" w:lineRule="exact"/>
        <w:ind w:firstLine="420" w:firstLineChars="200"/>
        <w:rPr>
          <w:rStyle w:val="60"/>
          <w:rFonts w:eastAsia="宋体"/>
        </w:rPr>
      </w:pPr>
      <w:r>
        <w:rPr>
          <w:rStyle w:val="60"/>
          <w:rFonts w:hint="eastAsia" w:eastAsia="宋体"/>
        </w:rPr>
        <w:t>统计报告期内，铋冶炼企业从处理硫化铋精矿、氧化铋精矿等原料到产出合格铋的生产过程的综合能耗与同期该合格产品产量的比值。</w:t>
      </w:r>
    </w:p>
    <w:p>
      <w:pPr>
        <w:spacing w:line="400" w:lineRule="exact"/>
        <w:rPr>
          <w:rStyle w:val="60"/>
          <w:rFonts w:ascii="黑体" w:hAnsi="黑体" w:eastAsia="Gungsuh"/>
        </w:rPr>
      </w:pPr>
      <w:r>
        <w:rPr>
          <w:rStyle w:val="60"/>
          <w:rFonts w:ascii="黑体" w:hAnsi="黑体" w:eastAsia="Gungsuh"/>
        </w:rPr>
        <w:t>3.2</w:t>
      </w:r>
    </w:p>
    <w:p>
      <w:pPr>
        <w:spacing w:line="400" w:lineRule="exact"/>
        <w:ind w:firstLine="424" w:firstLineChars="202"/>
        <w:rPr>
          <w:rStyle w:val="60"/>
          <w:rFonts w:ascii="黑体" w:hAnsi="黑体" w:eastAsia="微软雅黑"/>
        </w:rPr>
      </w:pPr>
      <w:r>
        <w:rPr>
          <w:rStyle w:val="60"/>
          <w:rFonts w:hint="eastAsia" w:ascii="黑体" w:hAnsi="黑体" w:eastAsia="黑体"/>
        </w:rPr>
        <w:t>硫化铋精矿 b</w:t>
      </w:r>
      <w:r>
        <w:rPr>
          <w:rStyle w:val="60"/>
          <w:rFonts w:ascii="黑体" w:hAnsi="黑体" w:eastAsia="黑体"/>
        </w:rPr>
        <w:t>ismuth sulphide concentrate</w:t>
      </w:r>
    </w:p>
    <w:p>
      <w:pPr>
        <w:spacing w:line="400" w:lineRule="exact"/>
        <w:ind w:firstLine="420" w:firstLineChars="200"/>
        <w:rPr>
          <w:rStyle w:val="60"/>
          <w:rFonts w:eastAsia="宋体"/>
        </w:rPr>
      </w:pPr>
      <w:r>
        <w:rPr>
          <w:rStyle w:val="60"/>
          <w:rFonts w:hint="eastAsia" w:eastAsia="宋体"/>
        </w:rPr>
        <w:t>各种铋原矿及钨、锡、铜、钼等与铋共生矿经选矿富集的含铋物料，符合</w:t>
      </w:r>
      <w:r>
        <w:rPr>
          <w:rStyle w:val="60"/>
          <w:rFonts w:eastAsia="宋体"/>
        </w:rPr>
        <w:t>YS/T 321</w:t>
      </w:r>
      <w:r>
        <w:rPr>
          <w:rStyle w:val="60"/>
          <w:rFonts w:hint="eastAsia" w:eastAsia="宋体"/>
        </w:rPr>
        <w:t>规定要求的含铋物料。</w:t>
      </w:r>
    </w:p>
    <w:p>
      <w:pPr>
        <w:spacing w:line="400" w:lineRule="exact"/>
        <w:rPr>
          <w:rStyle w:val="60"/>
          <w:rFonts w:ascii="黑体" w:hAnsi="黑体" w:eastAsia="Gungsuh"/>
        </w:rPr>
      </w:pPr>
      <w:r>
        <w:rPr>
          <w:rStyle w:val="60"/>
          <w:rFonts w:ascii="黑体" w:hAnsi="黑体" w:eastAsia="Gungsuh"/>
        </w:rPr>
        <w:t>3.3</w:t>
      </w:r>
    </w:p>
    <w:p>
      <w:pPr>
        <w:spacing w:line="400" w:lineRule="exact"/>
        <w:ind w:firstLine="424" w:firstLineChars="202"/>
        <w:rPr>
          <w:rStyle w:val="60"/>
          <w:rFonts w:ascii="黑体" w:hAnsi="黑体" w:eastAsia="Gungsuh"/>
        </w:rPr>
      </w:pPr>
      <w:r>
        <w:rPr>
          <w:rStyle w:val="60"/>
          <w:rFonts w:hint="eastAsia" w:ascii="黑体" w:hAnsi="黑体" w:eastAsia="黑体"/>
        </w:rPr>
        <w:t>氧化铋精矿 b</w:t>
      </w:r>
      <w:r>
        <w:rPr>
          <w:rStyle w:val="60"/>
          <w:rFonts w:ascii="黑体" w:hAnsi="黑体" w:eastAsia="黑体"/>
        </w:rPr>
        <w:t>ismuth oxide concentrate</w:t>
      </w:r>
    </w:p>
    <w:p>
      <w:pPr>
        <w:spacing w:line="400" w:lineRule="exact"/>
        <w:ind w:firstLine="420" w:firstLineChars="200"/>
        <w:rPr>
          <w:rStyle w:val="60"/>
          <w:rFonts w:eastAsia="宋体"/>
        </w:rPr>
      </w:pPr>
      <w:r>
        <w:rPr>
          <w:rStyle w:val="60"/>
          <w:rFonts w:hint="eastAsia" w:eastAsia="宋体"/>
        </w:rPr>
        <w:t>通过火法、湿法冶炼</w:t>
      </w:r>
      <w:r>
        <w:rPr>
          <w:rStyle w:val="60"/>
          <w:rFonts w:eastAsia="宋体"/>
        </w:rPr>
        <w:t>铜</w:t>
      </w:r>
      <w:r>
        <w:rPr>
          <w:rStyle w:val="60"/>
          <w:rFonts w:hint="eastAsia" w:eastAsia="宋体"/>
        </w:rPr>
        <w:t>、</w:t>
      </w:r>
      <w:r>
        <w:rPr>
          <w:rStyle w:val="60"/>
          <w:rFonts w:eastAsia="宋体"/>
        </w:rPr>
        <w:t>铅</w:t>
      </w:r>
      <w:r>
        <w:rPr>
          <w:rStyle w:val="60"/>
          <w:rFonts w:hint="eastAsia" w:eastAsia="宋体"/>
        </w:rPr>
        <w:t>、锌、镍等金属过程产生含铋物料，通过化学富集后符合</w:t>
      </w:r>
      <w:r>
        <w:rPr>
          <w:rStyle w:val="60"/>
          <w:rFonts w:eastAsia="宋体"/>
        </w:rPr>
        <w:t>YS/T 321</w:t>
      </w:r>
      <w:r>
        <w:rPr>
          <w:rStyle w:val="60"/>
          <w:rFonts w:hint="eastAsia" w:eastAsia="宋体"/>
        </w:rPr>
        <w:t>规定要求的含铋物料。</w:t>
      </w:r>
    </w:p>
    <w:p>
      <w:pPr>
        <w:rPr>
          <w:rStyle w:val="60"/>
          <w:rFonts w:ascii="黑体" w:hAnsi="黑体" w:eastAsia="黑体"/>
        </w:rPr>
      </w:pPr>
      <w:r>
        <w:rPr>
          <w:rStyle w:val="60"/>
          <w:rFonts w:ascii="黑体" w:hAnsi="黑体" w:eastAsia="黑体"/>
        </w:rPr>
        <w:t>4 规范性技术要求</w:t>
      </w:r>
    </w:p>
    <w:p>
      <w:pPr>
        <w:spacing w:line="400" w:lineRule="exact"/>
        <w:rPr>
          <w:rStyle w:val="60"/>
          <w:rFonts w:ascii="黑体" w:hAnsi="黑体" w:eastAsia="黑体"/>
        </w:rPr>
      </w:pPr>
      <w:r>
        <w:rPr>
          <w:rStyle w:val="60"/>
          <w:rFonts w:hint="eastAsia" w:ascii="黑体" w:hAnsi="黑体" w:eastAsia="黑体"/>
        </w:rPr>
        <w:t>4</w:t>
      </w:r>
      <w:r>
        <w:rPr>
          <w:rStyle w:val="60"/>
          <w:rFonts w:ascii="黑体" w:hAnsi="黑体" w:eastAsia="黑体"/>
        </w:rPr>
        <w:t xml:space="preserve">.1 </w:t>
      </w:r>
      <w:r>
        <w:rPr>
          <w:rStyle w:val="60"/>
          <w:rFonts w:hint="eastAsia" w:ascii="黑体" w:hAnsi="黑体" w:eastAsia="黑体"/>
        </w:rPr>
        <w:t>现有铋冶炼企业单位产品能耗限定值</w:t>
      </w:r>
    </w:p>
    <w:p>
      <w:pPr>
        <w:spacing w:line="400" w:lineRule="exact"/>
        <w:ind w:firstLine="420" w:firstLineChars="200"/>
        <w:rPr>
          <w:rFonts w:eastAsia="宋体"/>
        </w:rPr>
      </w:pPr>
      <w:r>
        <w:rPr>
          <w:rFonts w:hint="eastAsia" w:eastAsia="宋体"/>
        </w:rPr>
        <w:t>现有</w:t>
      </w:r>
      <w:r>
        <w:rPr>
          <w:rFonts w:eastAsia="宋体"/>
        </w:rPr>
        <w:t>铋冶炼企业单位产品能耗限定值应符合表1的要求。单位产品能源消耗限额的取值原则遵循GB/T 12723。</w:t>
      </w:r>
    </w:p>
    <w:p>
      <w:pPr>
        <w:spacing w:line="400" w:lineRule="exact"/>
        <w:jc w:val="center"/>
        <w:rPr>
          <w:rFonts w:ascii="宋体" w:hAnsi="宋体" w:cs="宋体"/>
        </w:rPr>
      </w:pPr>
      <w:r>
        <w:rPr>
          <w:rFonts w:ascii="宋体" w:hAnsi="宋体" w:cs="宋体" w:eastAsiaTheme="minorEastAsia"/>
        </w:rPr>
        <w:t>表1铋冶炼企业单位产品能耗限定值</w:t>
      </w:r>
    </w:p>
    <w:tbl>
      <w:tblPr>
        <w:tblStyle w:val="23"/>
        <w:tblpPr w:leftFromText="180" w:rightFromText="180" w:vertAnchor="text" w:horzAnchor="margin" w:tblpY="2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7"/>
        <w:gridCol w:w="3436"/>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868" w:type="pct"/>
            <w:vAlign w:val="center"/>
          </w:tcPr>
          <w:p>
            <w:pPr>
              <w:widowControl/>
              <w:autoSpaceDE w:val="0"/>
              <w:autoSpaceDN w:val="0"/>
              <w:jc w:val="center"/>
              <w:rPr>
                <w:rFonts w:ascii="宋体" w:eastAsia="宋体"/>
                <w:kern w:val="0"/>
              </w:rPr>
            </w:pPr>
            <w:r>
              <w:rPr>
                <w:rFonts w:hint="eastAsia" w:ascii="宋体" w:eastAsia="宋体" w:hAnsiTheme="minorHAnsi" w:cstheme="minorBidi"/>
                <w:kern w:val="0"/>
              </w:rPr>
              <w:t>指标名称</w:t>
            </w:r>
          </w:p>
        </w:tc>
        <w:tc>
          <w:tcPr>
            <w:tcW w:w="1941" w:type="pct"/>
            <w:vAlign w:val="center"/>
          </w:tcPr>
          <w:p>
            <w:pPr>
              <w:widowControl/>
              <w:autoSpaceDE w:val="0"/>
              <w:autoSpaceDN w:val="0"/>
              <w:jc w:val="center"/>
              <w:rPr>
                <w:rFonts w:ascii="宋体" w:eastAsia="宋体"/>
                <w:kern w:val="0"/>
                <w:szCs w:val="22"/>
              </w:rPr>
            </w:pPr>
            <w:r>
              <w:rPr>
                <w:rFonts w:ascii="宋体" w:eastAsia="宋体"/>
                <w:kern w:val="0"/>
                <w:szCs w:val="22"/>
              </w:rPr>
              <w:t>原料</w:t>
            </w:r>
          </w:p>
        </w:tc>
        <w:tc>
          <w:tcPr>
            <w:tcW w:w="1191" w:type="pct"/>
            <w:tcBorders>
              <w:right w:val="single" w:color="auto" w:sz="4" w:space="0"/>
            </w:tcBorders>
            <w:shd w:val="clear" w:color="auto" w:fill="auto"/>
            <w:vAlign w:val="center"/>
          </w:tcPr>
          <w:p>
            <w:pPr>
              <w:widowControl/>
              <w:autoSpaceDE w:val="0"/>
              <w:autoSpaceDN w:val="0"/>
              <w:jc w:val="center"/>
              <w:rPr>
                <w:rFonts w:ascii="宋体" w:eastAsia="宋体"/>
                <w:kern w:val="0"/>
                <w:szCs w:val="22"/>
              </w:rPr>
            </w:pPr>
            <w:r>
              <w:rPr>
                <w:rFonts w:ascii="宋体" w:eastAsia="宋体"/>
                <w:kern w:val="0"/>
                <w:szCs w:val="22"/>
              </w:rPr>
              <w:t>限定值</w:t>
            </w:r>
            <w:r>
              <w:rPr>
                <w:rFonts w:ascii="宋体" w:eastAsia="宋体" w:hAnsiTheme="minorHAnsi" w:cstheme="minorBidi"/>
                <w:kern w:val="0"/>
              </w:rPr>
              <w:t>（kgce/t）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widowControl/>
              <w:autoSpaceDE w:val="0"/>
              <w:autoSpaceDN w:val="0"/>
              <w:jc w:val="center"/>
              <w:rPr>
                <w:rFonts w:ascii="宋体" w:eastAsia="宋体"/>
                <w:kern w:val="0"/>
              </w:rPr>
            </w:pPr>
            <w:r>
              <w:rPr>
                <w:rFonts w:hint="eastAsia" w:ascii="宋体" w:eastAsia="宋体" w:hAnsiTheme="minorHAnsi" w:cstheme="minorBidi"/>
                <w:kern w:val="0"/>
              </w:rPr>
              <w:t>单位产品综合能耗</w:t>
            </w:r>
          </w:p>
        </w:tc>
        <w:tc>
          <w:tcPr>
            <w:tcW w:w="1941" w:type="pct"/>
            <w:tcBorders>
              <w:right w:val="single" w:color="auto" w:sz="4" w:space="0"/>
            </w:tcBorders>
            <w:vAlign w:val="center"/>
          </w:tcPr>
          <w:p>
            <w:pPr>
              <w:widowControl/>
              <w:autoSpaceDE w:val="0"/>
              <w:autoSpaceDN w:val="0"/>
              <w:jc w:val="center"/>
              <w:rPr>
                <w:rFonts w:ascii="宋体" w:eastAsia="宋体"/>
                <w:kern w:val="0"/>
                <w:szCs w:val="22"/>
              </w:rPr>
            </w:pPr>
            <w:r>
              <w:rPr>
                <w:rFonts w:ascii="宋体" w:eastAsia="宋体"/>
                <w:kern w:val="0"/>
              </w:rPr>
              <w:t>硫化铋精矿</w:t>
            </w:r>
          </w:p>
        </w:tc>
        <w:tc>
          <w:tcPr>
            <w:tcW w:w="1191" w:type="pct"/>
            <w:shd w:val="clear" w:color="auto" w:fill="auto"/>
            <w:vAlign w:val="center"/>
          </w:tcPr>
          <w:p>
            <w:pPr>
              <w:widowControl/>
              <w:autoSpaceDE w:val="0"/>
              <w:autoSpaceDN w:val="0"/>
              <w:jc w:val="center"/>
              <w:rPr>
                <w:rFonts w:ascii="宋体" w:eastAsia="宋体"/>
                <w:kern w:val="0"/>
              </w:rPr>
            </w:pPr>
            <w:r>
              <w:rPr>
                <w:rFonts w:ascii="宋体" w:eastAsia="宋体"/>
                <w:kern w:val="0"/>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widowControl/>
              <w:autoSpaceDE w:val="0"/>
              <w:autoSpaceDN w:val="0"/>
              <w:jc w:val="center"/>
              <w:rPr>
                <w:rFonts w:ascii="宋体" w:eastAsia="宋体"/>
                <w:kern w:val="0"/>
              </w:rPr>
            </w:pPr>
          </w:p>
        </w:tc>
        <w:tc>
          <w:tcPr>
            <w:tcW w:w="1941" w:type="pct"/>
            <w:tcBorders>
              <w:left w:val="single" w:color="auto" w:sz="4" w:space="0"/>
            </w:tcBorders>
            <w:vAlign w:val="center"/>
          </w:tcPr>
          <w:p>
            <w:pPr>
              <w:widowControl/>
              <w:autoSpaceDE w:val="0"/>
              <w:autoSpaceDN w:val="0"/>
              <w:jc w:val="center"/>
              <w:rPr>
                <w:rFonts w:ascii="宋体" w:eastAsia="宋体"/>
                <w:kern w:val="0"/>
                <w:szCs w:val="22"/>
              </w:rPr>
            </w:pPr>
            <w:r>
              <w:rPr>
                <w:rFonts w:ascii="宋体" w:eastAsia="宋体"/>
                <w:kern w:val="0"/>
              </w:rPr>
              <w:t>氧化铋</w:t>
            </w:r>
            <w:r>
              <w:rPr>
                <w:rFonts w:hint="eastAsia" w:ascii="宋体" w:eastAsia="宋体"/>
                <w:kern w:val="0"/>
              </w:rPr>
              <w:t>精矿</w:t>
            </w:r>
          </w:p>
        </w:tc>
        <w:tc>
          <w:tcPr>
            <w:tcW w:w="1191" w:type="pct"/>
            <w:shd w:val="clear" w:color="auto" w:fill="auto"/>
            <w:vAlign w:val="center"/>
          </w:tcPr>
          <w:p>
            <w:pPr>
              <w:widowControl/>
              <w:autoSpaceDE w:val="0"/>
              <w:autoSpaceDN w:val="0"/>
              <w:jc w:val="center"/>
              <w:rPr>
                <w:rFonts w:ascii="宋体" w:eastAsia="宋体"/>
                <w:kern w:val="0"/>
                <w:szCs w:val="22"/>
              </w:rPr>
            </w:pPr>
            <w:r>
              <w:rPr>
                <w:rFonts w:ascii="宋体" w:eastAsia="宋体"/>
                <w:kern w:val="0"/>
                <w:szCs w:val="22"/>
              </w:rPr>
              <w:t>3000</w:t>
            </w:r>
          </w:p>
        </w:tc>
      </w:tr>
    </w:tbl>
    <w:p>
      <w:pPr>
        <w:spacing w:line="400" w:lineRule="exact"/>
        <w:rPr>
          <w:rStyle w:val="60"/>
          <w:rFonts w:ascii="黑体" w:hAnsi="黑体" w:eastAsia="黑体"/>
        </w:rPr>
      </w:pPr>
      <w:r>
        <w:rPr>
          <w:rStyle w:val="60"/>
          <w:rFonts w:hint="eastAsia" w:ascii="黑体" w:hAnsi="黑体" w:eastAsia="黑体"/>
        </w:rPr>
        <w:t>4</w:t>
      </w:r>
      <w:r>
        <w:rPr>
          <w:rStyle w:val="60"/>
          <w:rFonts w:ascii="黑体" w:hAnsi="黑体" w:eastAsia="黑体"/>
        </w:rPr>
        <w:t xml:space="preserve">.2 </w:t>
      </w:r>
      <w:r>
        <w:rPr>
          <w:rStyle w:val="60"/>
          <w:rFonts w:hint="eastAsia" w:ascii="黑体" w:hAnsi="黑体" w:eastAsia="黑体"/>
        </w:rPr>
        <w:t>新建铋冶炼企业单位产品能耗准入值</w:t>
      </w:r>
    </w:p>
    <w:p>
      <w:pPr>
        <w:spacing w:line="400" w:lineRule="exact"/>
        <w:ind w:firstLine="420" w:firstLineChars="200"/>
        <w:rPr>
          <w:rFonts w:eastAsia="宋体"/>
        </w:rPr>
      </w:pPr>
      <w:r>
        <w:rPr>
          <w:rFonts w:hint="eastAsia" w:eastAsia="宋体"/>
        </w:rPr>
        <w:t>新建</w:t>
      </w:r>
      <w:r>
        <w:rPr>
          <w:rFonts w:eastAsia="宋体"/>
        </w:rPr>
        <w:t>铋冶炼企业单位产品能耗</w:t>
      </w:r>
      <w:r>
        <w:rPr>
          <w:rFonts w:hint="eastAsia" w:eastAsia="宋体"/>
        </w:rPr>
        <w:t>准入</w:t>
      </w:r>
      <w:r>
        <w:rPr>
          <w:rFonts w:eastAsia="宋体"/>
        </w:rPr>
        <w:t>值应符合表2的要求。单位产品能源消耗</w:t>
      </w:r>
      <w:r>
        <w:rPr>
          <w:rFonts w:hint="eastAsia" w:eastAsia="宋体"/>
        </w:rPr>
        <w:t>准入</w:t>
      </w:r>
      <w:r>
        <w:rPr>
          <w:rFonts w:eastAsia="宋体"/>
        </w:rPr>
        <w:t>额的取值原则遵循GB/T 12723。</w:t>
      </w:r>
    </w:p>
    <w:p>
      <w:pPr>
        <w:spacing w:line="400" w:lineRule="exact"/>
        <w:jc w:val="center"/>
        <w:rPr>
          <w:rFonts w:eastAsia="宋体"/>
        </w:rPr>
      </w:pPr>
      <w:r>
        <w:rPr>
          <w:rFonts w:hint="eastAsia" w:eastAsia="宋体"/>
        </w:rPr>
        <w:t>表</w:t>
      </w:r>
      <w:r>
        <w:rPr>
          <w:rFonts w:eastAsia="宋体"/>
        </w:rPr>
        <w:t>2</w:t>
      </w:r>
      <w:r>
        <w:rPr>
          <w:rFonts w:hint="eastAsia" w:eastAsia="宋体"/>
        </w:rPr>
        <w:t>新建铋冶炼企业单位产品能耗准入值</w:t>
      </w:r>
    </w:p>
    <w:tbl>
      <w:tblPr>
        <w:tblStyle w:val="23"/>
        <w:tblpPr w:leftFromText="180" w:rightFromText="180" w:vertAnchor="text" w:horzAnchor="margin" w:tblpY="1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7"/>
        <w:gridCol w:w="3436"/>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868" w:type="pct"/>
            <w:vAlign w:val="center"/>
          </w:tcPr>
          <w:p>
            <w:pPr>
              <w:widowControl/>
              <w:autoSpaceDE w:val="0"/>
              <w:autoSpaceDN w:val="0"/>
              <w:jc w:val="center"/>
              <w:rPr>
                <w:rFonts w:ascii="宋体"/>
                <w:kern w:val="0"/>
              </w:rPr>
            </w:pPr>
            <w:r>
              <w:rPr>
                <w:rFonts w:hint="eastAsia" w:ascii="宋体" w:hAnsi="宋体" w:eastAsia="宋体" w:cs="宋体"/>
                <w:kern w:val="0"/>
              </w:rPr>
              <w:t>指标名称</w:t>
            </w:r>
          </w:p>
        </w:tc>
        <w:tc>
          <w:tcPr>
            <w:tcW w:w="1941" w:type="pct"/>
            <w:vAlign w:val="center"/>
          </w:tcPr>
          <w:p>
            <w:pPr>
              <w:widowControl/>
              <w:autoSpaceDE w:val="0"/>
              <w:autoSpaceDN w:val="0"/>
              <w:jc w:val="center"/>
              <w:rPr>
                <w:rFonts w:eastAsia="宋体"/>
                <w:spacing w:val="30"/>
                <w:kern w:val="0"/>
                <w:szCs w:val="18"/>
              </w:rPr>
            </w:pPr>
            <w:r>
              <w:rPr>
                <w:rFonts w:eastAsia="宋体"/>
                <w:spacing w:val="30"/>
                <w:kern w:val="0"/>
                <w:szCs w:val="18"/>
              </w:rPr>
              <w:t>原料</w:t>
            </w:r>
          </w:p>
        </w:tc>
        <w:tc>
          <w:tcPr>
            <w:tcW w:w="1191" w:type="pct"/>
            <w:tcBorders>
              <w:right w:val="single" w:color="auto" w:sz="4" w:space="0"/>
            </w:tcBorders>
            <w:shd w:val="clear" w:color="auto" w:fill="auto"/>
            <w:vAlign w:val="center"/>
          </w:tcPr>
          <w:p>
            <w:pPr>
              <w:pStyle w:val="38"/>
              <w:ind w:firstLine="0" w:firstLineChars="0"/>
              <w:jc w:val="center"/>
              <w:rPr>
                <w:rFonts w:eastAsia="宋体"/>
                <w:spacing w:val="30"/>
                <w:szCs w:val="18"/>
              </w:rPr>
            </w:pPr>
            <w:r>
              <w:rPr>
                <w:rStyle w:val="60"/>
                <w:rFonts w:hint="eastAsia" w:eastAsia="宋体"/>
                <w:szCs w:val="22"/>
              </w:rPr>
              <w:t>准入</w:t>
            </w:r>
            <w:r>
              <w:rPr>
                <w:rStyle w:val="60"/>
                <w:rFonts w:eastAsia="宋体"/>
                <w:szCs w:val="22"/>
              </w:rPr>
              <w:t>值（kgce/t）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widowControl/>
              <w:autoSpaceDE w:val="0"/>
              <w:autoSpaceDN w:val="0"/>
              <w:jc w:val="center"/>
              <w:rPr>
                <w:rFonts w:ascii="宋体" w:hAnsi="宋体" w:eastAsia="宋体" w:cs="宋体"/>
                <w:kern w:val="0"/>
              </w:rPr>
            </w:pPr>
            <w:r>
              <w:rPr>
                <w:rFonts w:hint="eastAsia" w:ascii="宋体" w:hAnsi="宋体" w:eastAsia="宋体" w:cs="宋体"/>
                <w:kern w:val="0"/>
              </w:rPr>
              <w:t>单位产品综合能耗</w:t>
            </w:r>
          </w:p>
        </w:tc>
        <w:tc>
          <w:tcPr>
            <w:tcW w:w="1941" w:type="pct"/>
            <w:tcBorders>
              <w:right w:val="single" w:color="auto" w:sz="4" w:space="0"/>
            </w:tcBorders>
            <w:vAlign w:val="center"/>
          </w:tcPr>
          <w:p>
            <w:pPr>
              <w:widowControl/>
              <w:autoSpaceDE w:val="0"/>
              <w:autoSpaceDN w:val="0"/>
              <w:jc w:val="center"/>
              <w:rPr>
                <w:rFonts w:ascii="宋体" w:hAnsi="宋体" w:eastAsia="宋体" w:cs="宋体"/>
                <w:kern w:val="0"/>
                <w:szCs w:val="22"/>
              </w:rPr>
            </w:pPr>
            <w:r>
              <w:rPr>
                <w:rFonts w:ascii="宋体" w:hAnsi="宋体" w:eastAsia="宋体" w:cs="宋体"/>
                <w:kern w:val="0"/>
              </w:rPr>
              <w:t>硫化铋精矿</w:t>
            </w:r>
          </w:p>
        </w:tc>
        <w:tc>
          <w:tcPr>
            <w:tcW w:w="1191" w:type="pct"/>
            <w:shd w:val="clear" w:color="auto" w:fill="auto"/>
            <w:vAlign w:val="center"/>
          </w:tcPr>
          <w:p>
            <w:pPr>
              <w:widowControl/>
              <w:autoSpaceDE w:val="0"/>
              <w:autoSpaceDN w:val="0"/>
              <w:jc w:val="center"/>
              <w:rPr>
                <w:rFonts w:ascii="宋体" w:hAnsi="宋体" w:eastAsia="宋体" w:cs="宋体"/>
                <w:kern w:val="0"/>
              </w:rPr>
            </w:pPr>
            <w:r>
              <w:rPr>
                <w:rFonts w:hint="eastAsia" w:ascii="宋体" w:hAnsi="宋体" w:eastAsia="宋体" w:cs="宋体"/>
                <w:kern w:val="0"/>
              </w:rPr>
              <w:t>3</w:t>
            </w:r>
            <w:r>
              <w:rPr>
                <w:rFonts w:ascii="宋体" w:hAnsi="宋体" w:eastAsia="宋体" w:cs="宋体"/>
                <w:kern w:val="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widowControl/>
              <w:autoSpaceDE w:val="0"/>
              <w:autoSpaceDN w:val="0"/>
              <w:jc w:val="center"/>
              <w:rPr>
                <w:rFonts w:ascii="宋体" w:eastAsia="宋体"/>
                <w:kern w:val="0"/>
              </w:rPr>
            </w:pPr>
          </w:p>
        </w:tc>
        <w:tc>
          <w:tcPr>
            <w:tcW w:w="1941" w:type="pct"/>
            <w:tcBorders>
              <w:left w:val="single" w:color="auto" w:sz="4" w:space="0"/>
            </w:tcBorders>
            <w:vAlign w:val="center"/>
          </w:tcPr>
          <w:p>
            <w:pPr>
              <w:widowControl/>
              <w:autoSpaceDE w:val="0"/>
              <w:autoSpaceDN w:val="0"/>
              <w:jc w:val="center"/>
              <w:rPr>
                <w:rFonts w:eastAsia="宋体"/>
                <w:spacing w:val="30"/>
                <w:kern w:val="0"/>
                <w:szCs w:val="18"/>
              </w:rPr>
            </w:pPr>
            <w:r>
              <w:rPr>
                <w:rFonts w:ascii="宋体" w:eastAsia="宋体"/>
                <w:kern w:val="0"/>
              </w:rPr>
              <w:t>氧化铋</w:t>
            </w:r>
            <w:r>
              <w:rPr>
                <w:rFonts w:hint="eastAsia" w:ascii="宋体" w:eastAsia="宋体"/>
                <w:kern w:val="0"/>
              </w:rPr>
              <w:t>精矿</w:t>
            </w:r>
          </w:p>
        </w:tc>
        <w:tc>
          <w:tcPr>
            <w:tcW w:w="1191" w:type="pct"/>
            <w:shd w:val="clear" w:color="auto" w:fill="auto"/>
            <w:vAlign w:val="center"/>
          </w:tcPr>
          <w:p>
            <w:pPr>
              <w:widowControl/>
              <w:autoSpaceDE w:val="0"/>
              <w:autoSpaceDN w:val="0"/>
              <w:jc w:val="center"/>
              <w:rPr>
                <w:rFonts w:eastAsia="宋体"/>
                <w:spacing w:val="30"/>
                <w:kern w:val="0"/>
                <w:szCs w:val="18"/>
              </w:rPr>
            </w:pPr>
            <w:r>
              <w:rPr>
                <w:rFonts w:hint="eastAsia" w:ascii="宋体" w:hAnsi="宋体" w:eastAsia="宋体" w:cs="宋体"/>
                <w:kern w:val="0"/>
              </w:rPr>
              <w:t>2</w:t>
            </w:r>
            <w:r>
              <w:rPr>
                <w:rFonts w:ascii="宋体" w:hAnsi="宋体" w:eastAsia="宋体" w:cs="宋体"/>
                <w:kern w:val="0"/>
              </w:rPr>
              <w:t>500</w:t>
            </w:r>
          </w:p>
        </w:tc>
      </w:tr>
    </w:tbl>
    <w:p>
      <w:pPr>
        <w:spacing w:line="400" w:lineRule="exact"/>
        <w:rPr>
          <w:rStyle w:val="60"/>
          <w:rFonts w:eastAsia="黑体"/>
        </w:rPr>
      </w:pPr>
      <w:r>
        <w:rPr>
          <w:rStyle w:val="60"/>
          <w:rFonts w:hint="eastAsia" w:ascii="黑体" w:hAnsi="黑体" w:eastAsia="黑体"/>
        </w:rPr>
        <w:t>4</w:t>
      </w:r>
      <w:r>
        <w:rPr>
          <w:rStyle w:val="60"/>
          <w:rFonts w:ascii="黑体" w:hAnsi="黑体" w:eastAsia="黑体"/>
        </w:rPr>
        <w:t>.3</w:t>
      </w:r>
      <w:r>
        <w:rPr>
          <w:rStyle w:val="60"/>
          <w:rFonts w:hint="eastAsia" w:ascii="黑体" w:hAnsi="黑体" w:eastAsia="黑体"/>
        </w:rPr>
        <w:t>铋冶炼企业单位产品能耗先进值</w:t>
      </w:r>
    </w:p>
    <w:p>
      <w:pPr>
        <w:spacing w:line="400" w:lineRule="exact"/>
        <w:ind w:firstLine="420" w:firstLineChars="200"/>
        <w:rPr>
          <w:rStyle w:val="60"/>
          <w:rFonts w:eastAsia="宋体"/>
        </w:rPr>
      </w:pPr>
      <w:r>
        <w:rPr>
          <w:rStyle w:val="60"/>
          <w:rFonts w:eastAsia="宋体"/>
        </w:rPr>
        <w:t>铋冶炼企业单位产品能耗</w:t>
      </w:r>
      <w:r>
        <w:rPr>
          <w:rStyle w:val="60"/>
          <w:rFonts w:hint="eastAsia" w:eastAsia="宋体"/>
        </w:rPr>
        <w:t>先进</w:t>
      </w:r>
      <w:r>
        <w:rPr>
          <w:rStyle w:val="60"/>
          <w:rFonts w:eastAsia="宋体"/>
        </w:rPr>
        <w:t>值应符合表3的要求。单位产品能源消耗</w:t>
      </w:r>
      <w:r>
        <w:rPr>
          <w:rStyle w:val="60"/>
          <w:rFonts w:hint="eastAsia" w:eastAsia="宋体"/>
        </w:rPr>
        <w:t>先进</w:t>
      </w:r>
      <w:r>
        <w:rPr>
          <w:rStyle w:val="60"/>
          <w:rFonts w:eastAsia="宋体"/>
        </w:rPr>
        <w:t>额的取值原则遵循GB/T 12723。</w:t>
      </w:r>
    </w:p>
    <w:p>
      <w:pPr>
        <w:spacing w:line="400" w:lineRule="exact"/>
        <w:jc w:val="center"/>
        <w:rPr>
          <w:rFonts w:ascii="宋体" w:hAnsi="宋体" w:cs="宋体"/>
        </w:rPr>
      </w:pPr>
      <w:r>
        <w:rPr>
          <w:rFonts w:ascii="宋体" w:hAnsi="宋体" w:cs="宋体" w:eastAsiaTheme="minorEastAsia"/>
        </w:rPr>
        <w:t>表3铋冶炼企业单位产品能耗</w:t>
      </w:r>
      <w:r>
        <w:rPr>
          <w:rFonts w:hint="eastAsia" w:ascii="宋体" w:hAnsi="宋体" w:cs="宋体" w:eastAsiaTheme="minorEastAsia"/>
        </w:rPr>
        <w:t>先进</w:t>
      </w:r>
      <w:r>
        <w:rPr>
          <w:rFonts w:ascii="宋体" w:hAnsi="宋体" w:cs="宋体" w:eastAsiaTheme="minorEastAsia"/>
        </w:rPr>
        <w:t>值</w:t>
      </w:r>
    </w:p>
    <w:tbl>
      <w:tblPr>
        <w:tblStyle w:val="23"/>
        <w:tblpPr w:leftFromText="180" w:rightFromText="180" w:vertAnchor="text" w:horzAnchor="margin" w:tblpY="19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7"/>
        <w:gridCol w:w="3436"/>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868" w:type="pct"/>
            <w:vAlign w:val="center"/>
          </w:tcPr>
          <w:p>
            <w:pPr>
              <w:pStyle w:val="38"/>
              <w:ind w:firstLine="0" w:firstLineChars="0"/>
              <w:jc w:val="center"/>
              <w:rPr>
                <w:rStyle w:val="60"/>
                <w:rFonts w:eastAsia="宋体"/>
              </w:rPr>
            </w:pPr>
            <w:r>
              <w:rPr>
                <w:rStyle w:val="60"/>
                <w:rFonts w:hint="eastAsia" w:eastAsia="宋体" w:hAnsiTheme="minorHAnsi" w:cstheme="minorBidi"/>
              </w:rPr>
              <w:t>指标名称</w:t>
            </w:r>
          </w:p>
        </w:tc>
        <w:tc>
          <w:tcPr>
            <w:tcW w:w="1941" w:type="pct"/>
            <w:vAlign w:val="center"/>
          </w:tcPr>
          <w:p>
            <w:pPr>
              <w:pStyle w:val="38"/>
              <w:ind w:firstLine="0" w:firstLineChars="0"/>
              <w:jc w:val="center"/>
              <w:rPr>
                <w:rStyle w:val="60"/>
                <w:rFonts w:eastAsia="宋体"/>
                <w:szCs w:val="22"/>
              </w:rPr>
            </w:pPr>
            <w:r>
              <w:rPr>
                <w:rStyle w:val="60"/>
                <w:rFonts w:eastAsia="宋体"/>
                <w:szCs w:val="22"/>
              </w:rPr>
              <w:t>原料</w:t>
            </w:r>
          </w:p>
        </w:tc>
        <w:tc>
          <w:tcPr>
            <w:tcW w:w="1191" w:type="pct"/>
            <w:tcBorders>
              <w:right w:val="single" w:color="auto" w:sz="4" w:space="0"/>
            </w:tcBorders>
            <w:shd w:val="clear" w:color="auto" w:fill="auto"/>
            <w:vAlign w:val="center"/>
          </w:tcPr>
          <w:p>
            <w:pPr>
              <w:pStyle w:val="38"/>
              <w:ind w:firstLine="0" w:firstLineChars="0"/>
              <w:jc w:val="center"/>
              <w:rPr>
                <w:rStyle w:val="60"/>
                <w:rFonts w:eastAsia="宋体"/>
                <w:szCs w:val="22"/>
              </w:rPr>
            </w:pPr>
            <w:r>
              <w:rPr>
                <w:rStyle w:val="60"/>
                <w:rFonts w:hint="eastAsia" w:eastAsia="宋体"/>
                <w:szCs w:val="22"/>
              </w:rPr>
              <w:t>先进</w:t>
            </w:r>
            <w:r>
              <w:rPr>
                <w:rStyle w:val="60"/>
                <w:rFonts w:eastAsia="宋体"/>
                <w:szCs w:val="22"/>
              </w:rPr>
              <w:t>值</w:t>
            </w:r>
            <w:r>
              <w:rPr>
                <w:rStyle w:val="60"/>
                <w:rFonts w:eastAsia="宋体" w:hAnsiTheme="minorHAnsi" w:cstheme="minorBidi"/>
              </w:rPr>
              <w:t>（kgce/</w:t>
            </w:r>
            <w:r>
              <w:rPr>
                <w:rStyle w:val="60"/>
                <w:rFonts w:hint="eastAsia" w:eastAsia="宋体" w:hAnsiTheme="minorHAnsi" w:cstheme="minorBidi"/>
              </w:rPr>
              <w:t>t</w:t>
            </w:r>
            <w:r>
              <w:rPr>
                <w:rStyle w:val="60"/>
                <w:rFonts w:eastAsia="宋体" w:hAnsiTheme="minorHAnsi" w:cstheme="minorBid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pStyle w:val="38"/>
              <w:ind w:firstLine="0" w:firstLineChars="0"/>
              <w:jc w:val="center"/>
              <w:rPr>
                <w:rStyle w:val="60"/>
                <w:rFonts w:eastAsia="宋体"/>
              </w:rPr>
            </w:pPr>
            <w:r>
              <w:rPr>
                <w:rStyle w:val="60"/>
                <w:rFonts w:hint="eastAsia" w:eastAsia="宋体" w:hAnsiTheme="minorHAnsi" w:cstheme="minorBidi"/>
              </w:rPr>
              <w:t>单位产品综合能耗</w:t>
            </w:r>
          </w:p>
        </w:tc>
        <w:tc>
          <w:tcPr>
            <w:tcW w:w="1941" w:type="pct"/>
            <w:tcBorders>
              <w:right w:val="single" w:color="auto" w:sz="4" w:space="0"/>
            </w:tcBorders>
            <w:vAlign w:val="center"/>
          </w:tcPr>
          <w:p>
            <w:pPr>
              <w:pStyle w:val="38"/>
              <w:ind w:firstLine="0" w:firstLineChars="0"/>
              <w:jc w:val="center"/>
              <w:rPr>
                <w:rStyle w:val="60"/>
                <w:rFonts w:eastAsia="宋体"/>
                <w:szCs w:val="22"/>
              </w:rPr>
            </w:pPr>
            <w:r>
              <w:rPr>
                <w:rStyle w:val="60"/>
                <w:rFonts w:eastAsia="宋体"/>
              </w:rPr>
              <w:t>硫化铋精矿</w:t>
            </w:r>
          </w:p>
        </w:tc>
        <w:tc>
          <w:tcPr>
            <w:tcW w:w="1191" w:type="pct"/>
            <w:shd w:val="clear" w:color="auto" w:fill="auto"/>
            <w:vAlign w:val="center"/>
          </w:tcPr>
          <w:p>
            <w:pPr>
              <w:pStyle w:val="38"/>
              <w:ind w:firstLine="0" w:firstLineChars="0"/>
              <w:jc w:val="center"/>
              <w:rPr>
                <w:rStyle w:val="60"/>
                <w:rFonts w:eastAsia="宋体"/>
              </w:rPr>
            </w:pPr>
            <w:r>
              <w:rPr>
                <w:rStyle w:val="60"/>
                <w:rFonts w:hint="eastAsia" w:eastAsia="宋体"/>
              </w:rPr>
              <w:t>2</w:t>
            </w:r>
            <w:r>
              <w:rPr>
                <w:rStyle w:val="60"/>
                <w:rFonts w:eastAsia="宋体"/>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pStyle w:val="38"/>
              <w:ind w:firstLine="0" w:firstLineChars="0"/>
              <w:jc w:val="center"/>
              <w:rPr>
                <w:rStyle w:val="60"/>
                <w:rFonts w:eastAsia="宋体"/>
              </w:rPr>
            </w:pPr>
          </w:p>
        </w:tc>
        <w:tc>
          <w:tcPr>
            <w:tcW w:w="1941" w:type="pct"/>
            <w:tcBorders>
              <w:left w:val="single" w:color="auto" w:sz="4" w:space="0"/>
            </w:tcBorders>
            <w:vAlign w:val="center"/>
          </w:tcPr>
          <w:p>
            <w:pPr>
              <w:pStyle w:val="38"/>
              <w:ind w:firstLine="0" w:firstLineChars="0"/>
              <w:jc w:val="center"/>
              <w:rPr>
                <w:rStyle w:val="60"/>
                <w:rFonts w:eastAsia="宋体"/>
                <w:szCs w:val="22"/>
              </w:rPr>
            </w:pPr>
            <w:r>
              <w:rPr>
                <w:rStyle w:val="60"/>
                <w:rFonts w:eastAsia="宋体"/>
              </w:rPr>
              <w:t>氧化铋</w:t>
            </w:r>
            <w:r>
              <w:rPr>
                <w:rStyle w:val="60"/>
                <w:rFonts w:hint="eastAsia" w:eastAsia="宋体"/>
              </w:rPr>
              <w:t>精矿</w:t>
            </w:r>
          </w:p>
        </w:tc>
        <w:tc>
          <w:tcPr>
            <w:tcW w:w="1191" w:type="pct"/>
            <w:shd w:val="clear" w:color="auto" w:fill="auto"/>
            <w:vAlign w:val="center"/>
          </w:tcPr>
          <w:p>
            <w:pPr>
              <w:pStyle w:val="38"/>
              <w:ind w:firstLine="0" w:firstLineChars="0"/>
              <w:jc w:val="center"/>
              <w:rPr>
                <w:rStyle w:val="60"/>
                <w:rFonts w:eastAsia="宋体"/>
                <w:szCs w:val="22"/>
              </w:rPr>
            </w:pPr>
            <w:r>
              <w:rPr>
                <w:rStyle w:val="60"/>
                <w:rFonts w:hint="eastAsia" w:eastAsia="宋体"/>
                <w:szCs w:val="22"/>
              </w:rPr>
              <w:t>2</w:t>
            </w:r>
            <w:r>
              <w:rPr>
                <w:rStyle w:val="60"/>
                <w:rFonts w:eastAsia="宋体"/>
                <w:szCs w:val="22"/>
              </w:rPr>
              <w:t>200</w:t>
            </w:r>
          </w:p>
        </w:tc>
      </w:tr>
    </w:tbl>
    <w:p>
      <w:pPr>
        <w:rPr>
          <w:rStyle w:val="60"/>
          <w:rFonts w:ascii="黑体" w:hAnsi="黑体" w:eastAsia="黑体"/>
        </w:rPr>
      </w:pPr>
      <w:r>
        <w:rPr>
          <w:rStyle w:val="60"/>
          <w:rFonts w:ascii="黑体" w:hAnsi="黑体" w:eastAsia="黑体"/>
        </w:rPr>
        <w:t>5统计范围、计算方法</w:t>
      </w:r>
      <w:r>
        <w:rPr>
          <w:rStyle w:val="60"/>
          <w:rFonts w:hint="eastAsia" w:ascii="黑体" w:hAnsi="黑体" w:eastAsia="黑体"/>
        </w:rPr>
        <w:t>及计算范围</w:t>
      </w:r>
    </w:p>
    <w:p>
      <w:pPr>
        <w:spacing w:line="400" w:lineRule="exact"/>
        <w:rPr>
          <w:rStyle w:val="60"/>
          <w:rFonts w:ascii="黑体" w:hAnsi="黑体" w:eastAsia="黑体"/>
        </w:rPr>
      </w:pPr>
      <w:r>
        <w:rPr>
          <w:rStyle w:val="60"/>
          <w:rFonts w:ascii="黑体" w:hAnsi="黑体" w:eastAsia="黑体"/>
        </w:rPr>
        <w:t>5.1统计范围</w:t>
      </w:r>
    </w:p>
    <w:p>
      <w:pPr>
        <w:rPr>
          <w:rStyle w:val="60"/>
          <w:rFonts w:ascii="黑体" w:hAnsi="黑体" w:eastAsia="黑体"/>
        </w:rPr>
      </w:pPr>
      <w:r>
        <w:rPr>
          <w:rStyle w:val="60"/>
          <w:rFonts w:ascii="黑体" w:hAnsi="黑体" w:eastAsia="黑体"/>
        </w:rPr>
        <w:t>5.</w:t>
      </w:r>
      <w:r>
        <w:rPr>
          <w:rStyle w:val="60"/>
          <w:rFonts w:hint="eastAsia" w:ascii="黑体" w:hAnsi="黑体" w:eastAsia="黑体"/>
        </w:rPr>
        <w:t>1.</w:t>
      </w:r>
      <w:r>
        <w:rPr>
          <w:rStyle w:val="60"/>
          <w:rFonts w:ascii="黑体" w:hAnsi="黑体" w:eastAsia="黑体"/>
        </w:rPr>
        <w:t>1 统计方法</w:t>
      </w:r>
    </w:p>
    <w:p>
      <w:pPr>
        <w:rPr>
          <w:rStyle w:val="60"/>
          <w:rFonts w:ascii="黑体" w:hAnsi="黑体" w:eastAsia="黑体"/>
        </w:rPr>
      </w:pPr>
      <w:r>
        <w:rPr>
          <w:rStyle w:val="60"/>
          <w:rFonts w:ascii="黑体" w:hAnsi="黑体" w:eastAsia="黑体"/>
        </w:rPr>
        <w:t>5.</w:t>
      </w:r>
      <w:r>
        <w:rPr>
          <w:rStyle w:val="60"/>
          <w:rFonts w:hint="eastAsia" w:ascii="黑体" w:hAnsi="黑体" w:eastAsia="黑体"/>
        </w:rPr>
        <w:t>1.</w:t>
      </w:r>
      <w:r>
        <w:rPr>
          <w:rStyle w:val="60"/>
          <w:rFonts w:ascii="黑体" w:hAnsi="黑体" w:eastAsia="黑体"/>
        </w:rPr>
        <w:t>1.1 产品产量</w:t>
      </w:r>
    </w:p>
    <w:p>
      <w:pPr>
        <w:spacing w:line="400" w:lineRule="exact"/>
        <w:ind w:firstLine="420" w:firstLineChars="200"/>
        <w:rPr>
          <w:rStyle w:val="60"/>
          <w:rFonts w:eastAsia="宋体"/>
        </w:rPr>
      </w:pPr>
      <w:r>
        <w:rPr>
          <w:rStyle w:val="60"/>
          <w:rFonts w:eastAsia="宋体"/>
        </w:rPr>
        <w:t>所有产品产量，取自本企业计划统计部门按月统计上报的数据，年产品产量为各月产量之和统计。</w:t>
      </w:r>
    </w:p>
    <w:p>
      <w:pPr>
        <w:rPr>
          <w:rStyle w:val="60"/>
          <w:rFonts w:ascii="黑体" w:hAnsi="黑体" w:eastAsia="黑体"/>
        </w:rPr>
      </w:pPr>
      <w:r>
        <w:rPr>
          <w:rStyle w:val="60"/>
          <w:rFonts w:ascii="黑体" w:hAnsi="黑体" w:eastAsia="黑体"/>
        </w:rPr>
        <w:t>5.</w:t>
      </w:r>
      <w:r>
        <w:rPr>
          <w:rStyle w:val="60"/>
          <w:rFonts w:hint="eastAsia" w:ascii="黑体" w:hAnsi="黑体" w:eastAsia="黑体"/>
        </w:rPr>
        <w:t>1.</w:t>
      </w:r>
      <w:r>
        <w:rPr>
          <w:rStyle w:val="60"/>
          <w:rFonts w:ascii="黑体" w:hAnsi="黑体" w:eastAsia="黑体"/>
        </w:rPr>
        <w:t>1.2 各能源消耗量</w:t>
      </w:r>
    </w:p>
    <w:p>
      <w:pPr>
        <w:spacing w:line="400" w:lineRule="exact"/>
        <w:ind w:firstLine="420" w:firstLineChars="200"/>
        <w:rPr>
          <w:rStyle w:val="60"/>
          <w:rFonts w:eastAsia="宋体"/>
        </w:rPr>
      </w:pPr>
      <w:r>
        <w:rPr>
          <w:rStyle w:val="60"/>
          <w:rFonts w:eastAsia="宋体"/>
        </w:rPr>
        <w:t>能源实物月消耗量，取自本企业能源购进、消耗与库存动态月报表消耗的数据，能源实物年耗量为各月能源实物耗量之和统计。</w:t>
      </w:r>
    </w:p>
    <w:p>
      <w:pPr>
        <w:spacing w:line="400" w:lineRule="exact"/>
        <w:ind w:firstLine="420" w:firstLineChars="200"/>
        <w:rPr>
          <w:rStyle w:val="60"/>
          <w:rFonts w:eastAsia="宋体"/>
        </w:rPr>
      </w:pPr>
      <w:r>
        <w:rPr>
          <w:rStyle w:val="60"/>
          <w:rFonts w:eastAsia="宋体"/>
        </w:rPr>
        <w:t>各月能源消耗量则以实物月消耗量，按规定的折算系数计算能源月消耗量，总能源消耗量为各月能源消耗量之和。</w:t>
      </w:r>
    </w:p>
    <w:p>
      <w:pPr>
        <w:rPr>
          <w:rStyle w:val="60"/>
          <w:rFonts w:ascii="黑体" w:hAnsi="黑体" w:eastAsia="黑体"/>
        </w:rPr>
      </w:pPr>
      <w:r>
        <w:rPr>
          <w:rStyle w:val="60"/>
          <w:rFonts w:ascii="黑体" w:hAnsi="黑体" w:eastAsia="黑体"/>
        </w:rPr>
        <w:t>5.</w:t>
      </w:r>
      <w:r>
        <w:rPr>
          <w:rStyle w:val="60"/>
          <w:rFonts w:hint="eastAsia" w:ascii="黑体" w:hAnsi="黑体" w:eastAsia="黑体"/>
        </w:rPr>
        <w:t>1.</w:t>
      </w:r>
      <w:r>
        <w:rPr>
          <w:rStyle w:val="60"/>
          <w:rFonts w:ascii="黑体" w:hAnsi="黑体" w:eastAsia="黑体"/>
        </w:rPr>
        <w:t>1.3 铋冶炼企业单位产品能源消耗</w:t>
      </w:r>
    </w:p>
    <w:p>
      <w:pPr>
        <w:spacing w:line="400" w:lineRule="exact"/>
        <w:ind w:firstLine="420" w:firstLineChars="200"/>
        <w:rPr>
          <w:rStyle w:val="60"/>
          <w:rFonts w:eastAsia="宋体"/>
        </w:rPr>
      </w:pPr>
      <w:r>
        <w:rPr>
          <w:rStyle w:val="60"/>
          <w:rFonts w:eastAsia="宋体"/>
        </w:rPr>
        <w:t>铋冶炼企业单位产品能源消耗年数据是以各月能源消耗量之和除以各月产量的加权平均计算而得。</w:t>
      </w:r>
    </w:p>
    <w:p>
      <w:pPr>
        <w:rPr>
          <w:rStyle w:val="60"/>
          <w:rFonts w:ascii="黑体" w:hAnsi="黑体" w:eastAsia="黑体"/>
        </w:rPr>
      </w:pPr>
      <w:r>
        <w:rPr>
          <w:rStyle w:val="60"/>
          <w:rFonts w:ascii="黑体" w:hAnsi="黑体" w:eastAsia="黑体"/>
        </w:rPr>
        <w:t>5.</w:t>
      </w:r>
      <w:r>
        <w:rPr>
          <w:rStyle w:val="60"/>
          <w:rFonts w:hint="eastAsia" w:ascii="黑体" w:hAnsi="黑体" w:eastAsia="黑体"/>
        </w:rPr>
        <w:t>1</w:t>
      </w:r>
      <w:r>
        <w:rPr>
          <w:rStyle w:val="60"/>
          <w:rFonts w:ascii="黑体" w:hAnsi="黑体" w:eastAsia="黑体"/>
        </w:rPr>
        <w:t>.2 企业生产实际消耗的各种能源</w:t>
      </w:r>
    </w:p>
    <w:p>
      <w:pPr>
        <w:spacing w:line="400" w:lineRule="exact"/>
        <w:ind w:firstLine="420" w:firstLineChars="200"/>
        <w:rPr>
          <w:rStyle w:val="60"/>
          <w:rFonts w:eastAsia="宋体"/>
        </w:rPr>
      </w:pPr>
      <w:r>
        <w:rPr>
          <w:rStyle w:val="60"/>
          <w:rFonts w:eastAsia="宋体"/>
        </w:rPr>
        <w:t>企业实际消耗的各种能源，系指用于生产活动的各种能源。它包括：一次能源（包括：原煤、原油、天然气、水力、风力、太阳能、生物质能等）、二次能源（包括：洗精煤、其他煤基、洗煤、型煤、焦炭、焦炉煤气、其他煤气、汽油、煤油、柴油、燃料油、液化石油气、炼厂干气、其他石油制品、热力、电力等）和生产使用的耗能工质（包括：新水、软化水、压缩空气、氧气、氮气、氦气、乙炔、电石等）所消耗的能源。其主要用于生产系统、辅助生产系统和附属生产系统；不包括生活用能和批准的基建项目用能。在企业实际消耗的能源中，用作原料的能源也应包括在内。</w:t>
      </w:r>
    </w:p>
    <w:p>
      <w:pPr>
        <w:spacing w:line="400" w:lineRule="exact"/>
        <w:ind w:firstLine="420" w:firstLineChars="200"/>
        <w:rPr>
          <w:rStyle w:val="60"/>
          <w:rFonts w:eastAsia="宋体"/>
        </w:rPr>
      </w:pPr>
      <w:r>
        <w:rPr>
          <w:rStyle w:val="60"/>
          <w:rFonts w:eastAsia="宋体"/>
        </w:rPr>
        <w:t>二次能源或耗能工质所消耗的各种能源应按能量的等价值原则折算成一次能源的能量。</w:t>
      </w:r>
    </w:p>
    <w:p>
      <w:pPr>
        <w:spacing w:line="400" w:lineRule="exact"/>
        <w:ind w:firstLine="420" w:firstLineChars="200"/>
        <w:rPr>
          <w:rStyle w:val="60"/>
          <w:rFonts w:eastAsia="宋体"/>
        </w:rPr>
      </w:pPr>
      <w:r>
        <w:rPr>
          <w:rStyle w:val="60"/>
          <w:rFonts w:eastAsia="宋体"/>
        </w:rPr>
        <w:t>生活用能指企业系统内的宿舍、学校、文化娱乐、医疗保健、商业服务和托儿幼教等方面用能。</w:t>
      </w:r>
    </w:p>
    <w:p>
      <w:pPr>
        <w:rPr>
          <w:rStyle w:val="60"/>
          <w:rFonts w:ascii="黑体" w:hAnsi="黑体" w:eastAsia="黑体"/>
        </w:rPr>
      </w:pPr>
      <w:r>
        <w:rPr>
          <w:rStyle w:val="60"/>
          <w:rFonts w:ascii="黑体" w:hAnsi="黑体" w:eastAsia="黑体"/>
        </w:rPr>
        <w:t>5.1.3 企业计划统计期内的能源或燃料能源实物消耗量和能源消耗量</w:t>
      </w:r>
    </w:p>
    <w:p>
      <w:pPr>
        <w:spacing w:line="400" w:lineRule="exact"/>
        <w:ind w:firstLine="420" w:firstLineChars="200"/>
        <w:rPr>
          <w:rStyle w:val="60"/>
          <w:rFonts w:eastAsia="宋体"/>
        </w:rPr>
      </w:pPr>
      <w:r>
        <w:rPr>
          <w:rStyle w:val="60"/>
          <w:rFonts w:eastAsia="宋体"/>
        </w:rPr>
        <w:t>企业计划统计期内的某种能源或燃料能源实物消耗量的计算，应符合式（1）：</w:t>
      </w:r>
    </w:p>
    <w:p>
      <w:pPr>
        <w:jc w:val="right"/>
        <w:rPr>
          <w:rStyle w:val="60"/>
          <w:rFonts w:eastAsia="宋体"/>
          <w:bCs/>
        </w:rPr>
      </w:pPr>
      <w:r>
        <w:rPr>
          <w:rStyle w:val="60"/>
          <w:rFonts w:eastAsia="宋体"/>
          <w:bCs/>
          <w:i/>
        </w:rPr>
        <w:t>e</w:t>
      </w:r>
      <w:r>
        <w:rPr>
          <w:rStyle w:val="60"/>
          <w:rFonts w:eastAsia="宋体"/>
          <w:bCs/>
          <w:i/>
          <w:vertAlign w:val="subscript"/>
        </w:rPr>
        <w:t>h</w:t>
      </w:r>
      <w:r>
        <w:rPr>
          <w:rStyle w:val="60"/>
          <w:rFonts w:eastAsia="宋体"/>
          <w:bCs/>
          <w:i/>
        </w:rPr>
        <w:t>=e</w:t>
      </w:r>
      <w:r>
        <w:rPr>
          <w:rStyle w:val="60"/>
          <w:rFonts w:eastAsia="宋体"/>
          <w:bCs/>
          <w:i/>
          <w:vertAlign w:val="subscript"/>
        </w:rPr>
        <w:t>1</w:t>
      </w:r>
      <w:r>
        <w:rPr>
          <w:rStyle w:val="60"/>
          <w:rFonts w:eastAsia="宋体"/>
          <w:bCs/>
          <w:i/>
        </w:rPr>
        <w:t>+e</w:t>
      </w:r>
      <w:r>
        <w:rPr>
          <w:rStyle w:val="60"/>
          <w:rFonts w:eastAsia="宋体"/>
          <w:bCs/>
          <w:i/>
          <w:vertAlign w:val="subscript"/>
        </w:rPr>
        <w:t>2</w:t>
      </w:r>
      <w:r>
        <w:rPr>
          <w:rStyle w:val="60"/>
          <w:rFonts w:eastAsia="宋体"/>
          <w:bCs/>
          <w:i/>
        </w:rPr>
        <w:t>-e</w:t>
      </w:r>
      <w:r>
        <w:rPr>
          <w:rStyle w:val="60"/>
          <w:rFonts w:eastAsia="宋体"/>
          <w:bCs/>
          <w:i/>
          <w:vertAlign w:val="subscript"/>
        </w:rPr>
        <w:t>3</w:t>
      </w:r>
      <w:r>
        <w:rPr>
          <w:rStyle w:val="60"/>
          <w:rFonts w:eastAsia="宋体"/>
          <w:bCs/>
          <w:i/>
        </w:rPr>
        <w:t>-e</w:t>
      </w:r>
      <w:r>
        <w:rPr>
          <w:rStyle w:val="60"/>
          <w:rFonts w:eastAsia="宋体"/>
          <w:bCs/>
          <w:i/>
          <w:vertAlign w:val="subscript"/>
        </w:rPr>
        <w:t>4</w:t>
      </w:r>
      <w:r>
        <w:rPr>
          <w:rStyle w:val="60"/>
          <w:rFonts w:eastAsia="宋体"/>
          <w:bCs/>
          <w:i/>
        </w:rPr>
        <w:t>-e</w:t>
      </w:r>
      <w:r>
        <w:rPr>
          <w:rStyle w:val="60"/>
          <w:rFonts w:eastAsia="宋体"/>
          <w:bCs/>
          <w:i/>
          <w:vertAlign w:val="subscript"/>
        </w:rPr>
        <w:t>5</w:t>
      </w:r>
      <w:r>
        <w:rPr>
          <w:rFonts w:eastAsia="宋体"/>
          <w:spacing w:val="30"/>
          <w:szCs w:val="21"/>
        </w:rPr>
        <w:t>···································</w:t>
      </w:r>
      <w:r>
        <w:rPr>
          <w:rStyle w:val="60"/>
          <w:rFonts w:eastAsia="宋体"/>
          <w:bCs/>
        </w:rPr>
        <w:t>（1）</w:t>
      </w:r>
    </w:p>
    <w:p>
      <w:pPr>
        <w:ind w:firstLine="420" w:firstLineChars="200"/>
        <w:rPr>
          <w:rStyle w:val="60"/>
          <w:rFonts w:eastAsia="宋体"/>
          <w:bCs/>
        </w:rPr>
      </w:pPr>
      <w:r>
        <w:rPr>
          <w:rStyle w:val="60"/>
          <w:rFonts w:eastAsia="宋体"/>
          <w:bCs/>
        </w:rPr>
        <w:t>式中：</w:t>
      </w:r>
    </w:p>
    <w:p>
      <w:pPr>
        <w:ind w:firstLine="420" w:firstLineChars="200"/>
        <w:rPr>
          <w:rStyle w:val="60"/>
          <w:rFonts w:eastAsia="宋体"/>
          <w:bCs/>
        </w:rPr>
      </w:pPr>
      <w:r>
        <w:rPr>
          <w:rStyle w:val="60"/>
          <w:rFonts w:eastAsia="宋体"/>
          <w:bCs/>
          <w:i/>
        </w:rPr>
        <w:t>e</w:t>
      </w:r>
      <w:r>
        <w:rPr>
          <w:rStyle w:val="60"/>
          <w:rFonts w:eastAsia="宋体"/>
          <w:bCs/>
          <w:i/>
          <w:vertAlign w:val="subscript"/>
        </w:rPr>
        <w:t>h</w:t>
      </w:r>
      <w:r>
        <w:rPr>
          <w:rStyle w:val="60"/>
          <w:rFonts w:eastAsia="宋体"/>
          <w:bCs/>
        </w:rPr>
        <w:t>——企业的能源实物消耗量；</w:t>
      </w:r>
    </w:p>
    <w:p>
      <w:pPr>
        <w:ind w:firstLine="420" w:firstLineChars="200"/>
        <w:rPr>
          <w:rStyle w:val="60"/>
          <w:rFonts w:eastAsia="宋体"/>
          <w:bCs/>
        </w:rPr>
      </w:pPr>
      <w:r>
        <w:rPr>
          <w:rStyle w:val="60"/>
          <w:rFonts w:eastAsia="宋体"/>
          <w:bCs/>
          <w:i/>
        </w:rPr>
        <w:t>e</w:t>
      </w:r>
      <w:r>
        <w:rPr>
          <w:rStyle w:val="60"/>
          <w:rFonts w:eastAsia="宋体"/>
          <w:bCs/>
          <w:i/>
          <w:vertAlign w:val="subscript"/>
        </w:rPr>
        <w:t>1</w:t>
      </w:r>
      <w:r>
        <w:rPr>
          <w:rStyle w:val="60"/>
          <w:rFonts w:eastAsia="宋体"/>
          <w:bCs/>
        </w:rPr>
        <w:t>——企业购入能源实物量；</w:t>
      </w:r>
    </w:p>
    <w:p>
      <w:pPr>
        <w:ind w:firstLine="420" w:firstLineChars="200"/>
        <w:rPr>
          <w:rStyle w:val="60"/>
          <w:rFonts w:eastAsia="宋体"/>
          <w:bCs/>
        </w:rPr>
      </w:pPr>
      <w:r>
        <w:rPr>
          <w:rStyle w:val="60"/>
          <w:rFonts w:eastAsia="宋体"/>
          <w:bCs/>
          <w:i/>
        </w:rPr>
        <w:t>e</w:t>
      </w:r>
      <w:r>
        <w:rPr>
          <w:rStyle w:val="60"/>
          <w:rFonts w:eastAsia="宋体"/>
          <w:bCs/>
          <w:i/>
          <w:vertAlign w:val="subscript"/>
        </w:rPr>
        <w:t>2</w:t>
      </w:r>
      <w:r>
        <w:rPr>
          <w:rStyle w:val="60"/>
          <w:rFonts w:eastAsia="宋体"/>
          <w:bCs/>
        </w:rPr>
        <w:t>——期初、末库存能源增减实物量；</w:t>
      </w:r>
    </w:p>
    <w:p>
      <w:pPr>
        <w:ind w:firstLine="420" w:firstLineChars="200"/>
        <w:rPr>
          <w:rStyle w:val="60"/>
          <w:rFonts w:eastAsia="宋体"/>
          <w:bCs/>
        </w:rPr>
      </w:pPr>
      <w:r>
        <w:rPr>
          <w:rStyle w:val="60"/>
          <w:rFonts w:eastAsia="宋体"/>
          <w:bCs/>
          <w:i/>
        </w:rPr>
        <w:t>e</w:t>
      </w:r>
      <w:r>
        <w:rPr>
          <w:rStyle w:val="60"/>
          <w:rFonts w:eastAsia="宋体"/>
          <w:bCs/>
          <w:i/>
          <w:vertAlign w:val="subscript"/>
        </w:rPr>
        <w:t>3</w:t>
      </w:r>
      <w:r>
        <w:rPr>
          <w:rStyle w:val="60"/>
          <w:rFonts w:eastAsia="宋体"/>
          <w:bCs/>
        </w:rPr>
        <w:t>——外销能源实物量；</w:t>
      </w:r>
    </w:p>
    <w:p>
      <w:pPr>
        <w:ind w:firstLine="420" w:firstLineChars="200"/>
        <w:rPr>
          <w:rStyle w:val="60"/>
          <w:rFonts w:eastAsia="宋体"/>
          <w:bCs/>
        </w:rPr>
      </w:pPr>
      <w:r>
        <w:rPr>
          <w:rStyle w:val="60"/>
          <w:rFonts w:eastAsia="宋体"/>
          <w:bCs/>
          <w:i/>
        </w:rPr>
        <w:t>e</w:t>
      </w:r>
      <w:r>
        <w:rPr>
          <w:rStyle w:val="60"/>
          <w:rFonts w:eastAsia="宋体"/>
          <w:bCs/>
          <w:i/>
          <w:vertAlign w:val="subscript"/>
        </w:rPr>
        <w:t>4</w:t>
      </w:r>
      <w:r>
        <w:rPr>
          <w:rStyle w:val="60"/>
          <w:rFonts w:eastAsia="宋体"/>
          <w:bCs/>
        </w:rPr>
        <w:t>——生活用能源实物量；</w:t>
      </w:r>
    </w:p>
    <w:p>
      <w:pPr>
        <w:ind w:firstLine="420" w:firstLineChars="200"/>
        <w:rPr>
          <w:rStyle w:val="60"/>
          <w:rFonts w:eastAsia="宋体"/>
          <w:bCs/>
        </w:rPr>
      </w:pPr>
      <w:r>
        <w:rPr>
          <w:rStyle w:val="60"/>
          <w:rFonts w:eastAsia="宋体"/>
          <w:bCs/>
          <w:i/>
        </w:rPr>
        <w:t>e</w:t>
      </w:r>
      <w:r>
        <w:rPr>
          <w:rStyle w:val="60"/>
          <w:rFonts w:eastAsia="宋体"/>
          <w:bCs/>
          <w:i/>
          <w:vertAlign w:val="subscript"/>
        </w:rPr>
        <w:t>5</w:t>
      </w:r>
      <w:r>
        <w:rPr>
          <w:rStyle w:val="60"/>
          <w:rFonts w:eastAsia="宋体"/>
          <w:bCs/>
        </w:rPr>
        <w:t>——企业工程建设用能源量。</w:t>
      </w:r>
    </w:p>
    <w:p>
      <w:pPr>
        <w:spacing w:line="400" w:lineRule="exact"/>
        <w:ind w:firstLine="420" w:firstLineChars="200"/>
        <w:rPr>
          <w:rStyle w:val="60"/>
          <w:rFonts w:eastAsia="宋体"/>
        </w:rPr>
      </w:pPr>
      <w:r>
        <w:rPr>
          <w:rStyle w:val="60"/>
          <w:rFonts w:eastAsia="宋体"/>
        </w:rPr>
        <w:t>企业计划统计期内的能源消耗量的计算，应符合式（2）：</w:t>
      </w:r>
    </w:p>
    <w:p>
      <w:pPr>
        <w:jc w:val="right"/>
        <w:rPr>
          <w:rStyle w:val="60"/>
          <w:rFonts w:eastAsia="宋体"/>
          <w:bCs/>
          <w:i/>
        </w:rPr>
      </w:pPr>
      <w:r>
        <w:rPr>
          <w:rStyle w:val="60"/>
          <w:rFonts w:eastAsia="宋体"/>
          <w:bCs/>
          <w:i/>
        </w:rPr>
        <w:t>E=E</w:t>
      </w:r>
      <w:r>
        <w:rPr>
          <w:rStyle w:val="60"/>
          <w:rFonts w:eastAsia="宋体"/>
          <w:bCs/>
          <w:i/>
          <w:vertAlign w:val="subscript"/>
        </w:rPr>
        <w:t>1</w:t>
      </w:r>
      <w:r>
        <w:rPr>
          <w:rStyle w:val="60"/>
          <w:rFonts w:eastAsia="宋体"/>
          <w:bCs/>
          <w:i/>
        </w:rPr>
        <w:t>+E</w:t>
      </w:r>
      <w:r>
        <w:rPr>
          <w:rStyle w:val="60"/>
          <w:rFonts w:eastAsia="宋体"/>
          <w:bCs/>
          <w:i/>
          <w:vertAlign w:val="subscript"/>
        </w:rPr>
        <w:t>2</w:t>
      </w:r>
      <w:r>
        <w:rPr>
          <w:rStyle w:val="60"/>
          <w:rFonts w:eastAsia="宋体"/>
          <w:bCs/>
          <w:i/>
        </w:rPr>
        <w:t>-E</w:t>
      </w:r>
      <w:r>
        <w:rPr>
          <w:rStyle w:val="60"/>
          <w:rFonts w:eastAsia="宋体"/>
          <w:bCs/>
          <w:i/>
          <w:vertAlign w:val="subscript"/>
        </w:rPr>
        <w:t>3</w:t>
      </w:r>
      <w:r>
        <w:rPr>
          <w:rStyle w:val="60"/>
          <w:rFonts w:eastAsia="宋体"/>
          <w:bCs/>
          <w:i/>
        </w:rPr>
        <w:t>-E</w:t>
      </w:r>
      <w:r>
        <w:rPr>
          <w:rStyle w:val="60"/>
          <w:rFonts w:eastAsia="宋体"/>
          <w:bCs/>
          <w:i/>
          <w:vertAlign w:val="subscript"/>
        </w:rPr>
        <w:t>4</w:t>
      </w:r>
      <w:r>
        <w:rPr>
          <w:rStyle w:val="60"/>
          <w:rFonts w:eastAsia="宋体"/>
          <w:bCs/>
          <w:i/>
        </w:rPr>
        <w:t>-E</w:t>
      </w:r>
      <w:r>
        <w:rPr>
          <w:rStyle w:val="60"/>
          <w:rFonts w:eastAsia="宋体"/>
          <w:bCs/>
          <w:i/>
          <w:vertAlign w:val="subscript"/>
        </w:rPr>
        <w:t>5</w:t>
      </w:r>
      <w:r>
        <w:rPr>
          <w:rFonts w:eastAsia="宋体"/>
          <w:spacing w:val="30"/>
          <w:szCs w:val="21"/>
        </w:rPr>
        <w:t>···································</w:t>
      </w:r>
      <w:r>
        <w:rPr>
          <w:rStyle w:val="60"/>
          <w:rFonts w:eastAsia="宋体"/>
          <w:bCs/>
        </w:rPr>
        <w:t>（2）</w:t>
      </w:r>
    </w:p>
    <w:p>
      <w:pPr>
        <w:ind w:firstLine="420" w:firstLineChars="200"/>
        <w:rPr>
          <w:rStyle w:val="60"/>
          <w:rFonts w:eastAsia="宋体"/>
          <w:bCs/>
        </w:rPr>
      </w:pPr>
      <w:r>
        <w:rPr>
          <w:rStyle w:val="60"/>
          <w:rFonts w:eastAsia="宋体"/>
          <w:bCs/>
          <w:i/>
        </w:rPr>
        <w:t>E</w:t>
      </w:r>
      <w:r>
        <w:rPr>
          <w:rStyle w:val="60"/>
          <w:rFonts w:eastAsia="宋体"/>
          <w:bCs/>
        </w:rPr>
        <w:t>——企业计划统计期内能源消耗量；</w:t>
      </w:r>
    </w:p>
    <w:p>
      <w:pPr>
        <w:ind w:firstLine="420" w:firstLineChars="200"/>
        <w:rPr>
          <w:rStyle w:val="60"/>
          <w:rFonts w:eastAsia="宋体"/>
          <w:bCs/>
        </w:rPr>
      </w:pPr>
      <w:r>
        <w:rPr>
          <w:rStyle w:val="60"/>
          <w:rFonts w:eastAsia="宋体"/>
          <w:bCs/>
          <w:i/>
        </w:rPr>
        <w:t>E</w:t>
      </w:r>
      <w:r>
        <w:rPr>
          <w:rStyle w:val="60"/>
          <w:rFonts w:eastAsia="宋体"/>
          <w:bCs/>
          <w:i/>
          <w:vertAlign w:val="subscript"/>
        </w:rPr>
        <w:t>1</w:t>
      </w:r>
      <w:r>
        <w:rPr>
          <w:rStyle w:val="60"/>
          <w:rFonts w:eastAsia="宋体"/>
          <w:bCs/>
        </w:rPr>
        <w:t>——购入能源量；</w:t>
      </w:r>
    </w:p>
    <w:p>
      <w:pPr>
        <w:ind w:firstLine="420" w:firstLineChars="200"/>
        <w:rPr>
          <w:rStyle w:val="60"/>
          <w:rFonts w:eastAsia="宋体"/>
          <w:bCs/>
        </w:rPr>
      </w:pPr>
      <w:r>
        <w:rPr>
          <w:rStyle w:val="60"/>
          <w:rFonts w:eastAsia="宋体"/>
          <w:bCs/>
          <w:i/>
        </w:rPr>
        <w:t>E</w:t>
      </w:r>
      <w:r>
        <w:rPr>
          <w:rStyle w:val="60"/>
          <w:rFonts w:eastAsia="宋体"/>
          <w:bCs/>
          <w:i/>
          <w:vertAlign w:val="subscript"/>
        </w:rPr>
        <w:t>2</w:t>
      </w:r>
      <w:r>
        <w:rPr>
          <w:rStyle w:val="60"/>
          <w:rFonts w:eastAsia="宋体"/>
          <w:bCs/>
        </w:rPr>
        <w:t>——期初、末库存能源增减量；</w:t>
      </w:r>
    </w:p>
    <w:p>
      <w:pPr>
        <w:ind w:firstLine="420" w:firstLineChars="200"/>
        <w:rPr>
          <w:rStyle w:val="60"/>
          <w:rFonts w:eastAsia="宋体"/>
          <w:bCs/>
        </w:rPr>
      </w:pPr>
      <w:r>
        <w:rPr>
          <w:rStyle w:val="60"/>
          <w:rFonts w:eastAsia="宋体"/>
          <w:bCs/>
          <w:i/>
        </w:rPr>
        <w:t>E</w:t>
      </w:r>
      <w:r>
        <w:rPr>
          <w:rStyle w:val="60"/>
          <w:rFonts w:eastAsia="宋体"/>
          <w:bCs/>
          <w:i/>
          <w:vertAlign w:val="subscript"/>
        </w:rPr>
        <w:t>3</w:t>
      </w:r>
      <w:r>
        <w:rPr>
          <w:rStyle w:val="60"/>
          <w:rFonts w:eastAsia="宋体"/>
          <w:bCs/>
        </w:rPr>
        <w:t>——外销能源量；</w:t>
      </w:r>
    </w:p>
    <w:p>
      <w:pPr>
        <w:ind w:firstLine="420" w:firstLineChars="200"/>
        <w:rPr>
          <w:rStyle w:val="60"/>
          <w:rFonts w:eastAsia="宋体"/>
          <w:bCs/>
        </w:rPr>
      </w:pPr>
      <w:r>
        <w:rPr>
          <w:rStyle w:val="60"/>
          <w:rFonts w:eastAsia="宋体"/>
          <w:bCs/>
          <w:i/>
        </w:rPr>
        <w:t>E</w:t>
      </w:r>
      <w:r>
        <w:rPr>
          <w:rStyle w:val="60"/>
          <w:rFonts w:eastAsia="宋体"/>
          <w:bCs/>
          <w:i/>
          <w:vertAlign w:val="subscript"/>
        </w:rPr>
        <w:t>4</w:t>
      </w:r>
      <w:r>
        <w:rPr>
          <w:rStyle w:val="60"/>
          <w:rFonts w:eastAsia="宋体"/>
          <w:bCs/>
        </w:rPr>
        <w:t>——生活用能源量；</w:t>
      </w:r>
    </w:p>
    <w:p>
      <w:pPr>
        <w:ind w:firstLine="420" w:firstLineChars="200"/>
        <w:rPr>
          <w:rStyle w:val="60"/>
          <w:rFonts w:eastAsia="宋体"/>
          <w:bCs/>
        </w:rPr>
      </w:pPr>
      <w:r>
        <w:rPr>
          <w:rStyle w:val="60"/>
          <w:rFonts w:eastAsia="宋体"/>
          <w:bCs/>
          <w:i/>
        </w:rPr>
        <w:t>E</w:t>
      </w:r>
      <w:r>
        <w:rPr>
          <w:rStyle w:val="60"/>
          <w:rFonts w:eastAsia="宋体"/>
          <w:bCs/>
          <w:i/>
          <w:vertAlign w:val="subscript"/>
        </w:rPr>
        <w:t>5</w:t>
      </w:r>
      <w:r>
        <w:rPr>
          <w:rStyle w:val="60"/>
          <w:rFonts w:eastAsia="宋体"/>
          <w:bCs/>
        </w:rPr>
        <w:t>——企业工程建设用能源量。</w:t>
      </w:r>
    </w:p>
    <w:p>
      <w:pPr>
        <w:spacing w:line="400" w:lineRule="exact"/>
        <w:ind w:firstLine="420" w:firstLineChars="200"/>
        <w:rPr>
          <w:rStyle w:val="60"/>
          <w:rFonts w:eastAsia="宋体"/>
        </w:rPr>
      </w:pPr>
      <w:r>
        <w:rPr>
          <w:rStyle w:val="60"/>
          <w:rFonts w:eastAsia="宋体"/>
        </w:rPr>
        <w:t>所消耗的各种能源不得重计或漏计。存在供需关系时，输入、输出双方在计算中量值上应保持一致。设备停炉大修的能源消耗也应计算在内，且按检修后设备的运行周期逐月平均分摊。</w:t>
      </w:r>
    </w:p>
    <w:p>
      <w:pPr>
        <w:spacing w:line="400" w:lineRule="exact"/>
        <w:ind w:firstLine="420" w:firstLineChars="200"/>
        <w:rPr>
          <w:rStyle w:val="60"/>
          <w:rFonts w:eastAsia="宋体"/>
        </w:rPr>
      </w:pPr>
      <w:r>
        <w:rPr>
          <w:rStyle w:val="60"/>
          <w:rFonts w:eastAsia="宋体"/>
        </w:rPr>
        <w:t>企业综合能耗的计算按GB/T 2589的规定进行。</w:t>
      </w:r>
    </w:p>
    <w:p>
      <w:pPr>
        <w:rPr>
          <w:rStyle w:val="60"/>
          <w:rFonts w:ascii="黑体" w:hAnsi="黑体" w:eastAsia="黑体"/>
        </w:rPr>
      </w:pPr>
      <w:r>
        <w:rPr>
          <w:rStyle w:val="60"/>
          <w:rFonts w:ascii="黑体" w:hAnsi="黑体" w:eastAsia="黑体"/>
        </w:rPr>
        <w:t>5.1.4 能源实物量及能耗量的计算单位</w:t>
      </w:r>
    </w:p>
    <w:p>
      <w:pPr>
        <w:spacing w:line="400" w:lineRule="exact"/>
        <w:ind w:firstLine="420" w:firstLineChars="200"/>
        <w:rPr>
          <w:rStyle w:val="60"/>
          <w:rFonts w:eastAsia="宋体"/>
        </w:rPr>
      </w:pPr>
      <w:r>
        <w:rPr>
          <w:rStyle w:val="60"/>
          <w:rFonts w:eastAsia="宋体"/>
        </w:rPr>
        <w:t>能源实物量及能耗量的计算单位如下：</w:t>
      </w:r>
    </w:p>
    <w:p>
      <w:pPr>
        <w:spacing w:line="400" w:lineRule="exact"/>
        <w:ind w:firstLine="420" w:firstLineChars="200"/>
        <w:rPr>
          <w:rStyle w:val="60"/>
          <w:rFonts w:eastAsia="宋体"/>
        </w:rPr>
      </w:pPr>
      <w:r>
        <w:rPr>
          <w:rStyle w:val="60"/>
          <w:rFonts w:eastAsia="宋体"/>
        </w:rPr>
        <w:t>——水的单位为：m</w:t>
      </w:r>
      <w:r>
        <w:rPr>
          <w:rStyle w:val="60"/>
          <w:rFonts w:eastAsia="宋体"/>
          <w:vertAlign w:val="subscript"/>
        </w:rPr>
        <w:t>3</w:t>
      </w:r>
      <w:r>
        <w:rPr>
          <w:rStyle w:val="60"/>
          <w:rFonts w:eastAsia="宋体"/>
        </w:rPr>
        <w:t>（立方米）；</w:t>
      </w:r>
    </w:p>
    <w:p>
      <w:pPr>
        <w:spacing w:line="400" w:lineRule="exact"/>
        <w:ind w:firstLine="420" w:firstLineChars="200"/>
        <w:rPr>
          <w:rStyle w:val="60"/>
          <w:rFonts w:eastAsia="宋体"/>
        </w:rPr>
      </w:pPr>
      <w:r>
        <w:rPr>
          <w:rStyle w:val="60"/>
          <w:rFonts w:eastAsia="宋体"/>
        </w:rPr>
        <w:t>——企业生产能耗量的单位为：kgce（千克标煤）；</w:t>
      </w:r>
    </w:p>
    <w:p>
      <w:pPr>
        <w:spacing w:line="400" w:lineRule="exact"/>
        <w:ind w:firstLine="420" w:firstLineChars="200"/>
        <w:rPr>
          <w:rStyle w:val="60"/>
          <w:rFonts w:eastAsia="宋体"/>
        </w:rPr>
      </w:pPr>
      <w:r>
        <w:rPr>
          <w:rStyle w:val="60"/>
          <w:rFonts w:eastAsia="宋体"/>
        </w:rPr>
        <w:t>——产品工艺能耗量（或称产品直接综合能耗）、产品综合能耗量的单位均为：kgce/kg（千克标煤每千克）。</w:t>
      </w:r>
    </w:p>
    <w:p>
      <w:pPr>
        <w:rPr>
          <w:rStyle w:val="60"/>
          <w:rFonts w:ascii="黑体" w:hAnsi="黑体" w:eastAsia="黑体"/>
        </w:rPr>
      </w:pPr>
      <w:r>
        <w:rPr>
          <w:rStyle w:val="60"/>
          <w:rFonts w:ascii="黑体" w:hAnsi="黑体" w:eastAsia="黑体"/>
        </w:rPr>
        <w:t>5.1.5 各种能源（包括生产耗能工质消耗的能源）折算标煤量方法</w:t>
      </w:r>
    </w:p>
    <w:p>
      <w:pPr>
        <w:spacing w:line="400" w:lineRule="exact"/>
        <w:rPr>
          <w:rStyle w:val="60"/>
          <w:rFonts w:eastAsia="宋体"/>
        </w:rPr>
      </w:pPr>
      <w:r>
        <w:rPr>
          <w:rStyle w:val="60"/>
          <w:rFonts w:eastAsia="宋体"/>
        </w:rPr>
        <w:t>5.1.5.1 企业实际消耗的燃料能源应以其低（位）发热量为计算基础折算为标准煤量。低（位）发热量等于29307.6千焦（kJ）的燃料，统称为1千克标准煤（1 kgce）。29307.6千焦（kJ）=1千克标准煤（1 kgce）。</w:t>
      </w:r>
    </w:p>
    <w:p>
      <w:pPr>
        <w:spacing w:line="400" w:lineRule="exact"/>
        <w:rPr>
          <w:rStyle w:val="60"/>
          <w:rFonts w:eastAsia="宋体"/>
        </w:rPr>
      </w:pPr>
      <w:r>
        <w:rPr>
          <w:rStyle w:val="60"/>
          <w:rFonts w:eastAsia="宋体"/>
        </w:rPr>
        <w:t>5.1.5.2 外购燃料能源可取实测的低（位）发热量或供货单位提供的实测值为计算基础，或用国家统计部门的折算系数折算。除了电按当量值折算外，其他二次能源及耗能工质均按相应能源等价值折算。企业能源转换自产时，按实际投入的能源实物量折算标煤量；由集中生产单位外销供应时，其能源等价值应经主管部门规定；外购外销时，其能源等价值应相同；当未提供能源等价值时，可按国家统计部门的折算系数折算。余热发电统一按电力的折算系数。</w:t>
      </w:r>
    </w:p>
    <w:p>
      <w:pPr>
        <w:rPr>
          <w:rStyle w:val="60"/>
          <w:rFonts w:ascii="黑体" w:hAnsi="黑体" w:eastAsia="黑体"/>
        </w:rPr>
      </w:pPr>
      <w:r>
        <w:rPr>
          <w:rStyle w:val="60"/>
          <w:rFonts w:ascii="黑体" w:hAnsi="黑体" w:eastAsia="黑体"/>
        </w:rPr>
        <w:t>5.1.6 单位产品能耗的产品产量的规定</w:t>
      </w:r>
    </w:p>
    <w:p>
      <w:pPr>
        <w:rPr>
          <w:rStyle w:val="60"/>
          <w:rFonts w:ascii="黑体" w:hAnsi="黑体" w:eastAsia="黑体"/>
        </w:rPr>
      </w:pPr>
      <w:r>
        <w:rPr>
          <w:rStyle w:val="60"/>
          <w:rFonts w:ascii="黑体" w:hAnsi="黑体" w:eastAsia="黑体"/>
        </w:rPr>
        <w:t>5.1.6.1 计算单位产品能耗，应采用同一计划统计期内产出的合格产品产量。</w:t>
      </w:r>
    </w:p>
    <w:p>
      <w:pPr>
        <w:rPr>
          <w:rStyle w:val="60"/>
          <w:rFonts w:ascii="黑体" w:hAnsi="黑体" w:eastAsia="黑体"/>
        </w:rPr>
      </w:pPr>
      <w:r>
        <w:rPr>
          <w:rStyle w:val="60"/>
          <w:rFonts w:ascii="黑体" w:hAnsi="黑体" w:eastAsia="黑体"/>
        </w:rPr>
        <w:t>5.1.6.2 所有产品产量，均以企业计划统计部门正式上报的数据为准。</w:t>
      </w:r>
    </w:p>
    <w:p>
      <w:pPr>
        <w:rPr>
          <w:rStyle w:val="60"/>
          <w:rFonts w:ascii="黑体" w:hAnsi="黑体" w:eastAsia="黑体"/>
        </w:rPr>
      </w:pPr>
      <w:r>
        <w:rPr>
          <w:rStyle w:val="60"/>
          <w:rFonts w:ascii="黑体" w:hAnsi="黑体" w:eastAsia="黑体"/>
        </w:rPr>
        <w:t>5.1.7 余热利用能耗的计算原则</w:t>
      </w:r>
    </w:p>
    <w:p>
      <w:pPr>
        <w:spacing w:line="400" w:lineRule="exact"/>
        <w:ind w:firstLine="420" w:firstLineChars="200"/>
        <w:rPr>
          <w:rStyle w:val="60"/>
          <w:rFonts w:eastAsia="宋体"/>
        </w:rPr>
      </w:pPr>
      <w:r>
        <w:rPr>
          <w:rStyle w:val="60"/>
          <w:rFonts w:eastAsia="宋体"/>
        </w:rPr>
        <w:t>企业回收的余热，属于节约能源循环利用，不属于外购能源，在计算能耗时，应避免和外购能源重复计算。余热回收装置用能应计入该工序或工艺能耗。各工序或工艺中余热回收的热量和发电量，若输出本工序或工艺时应予以扣除；若回收的热量或发电量在本工序或工艺中消耗或使用，则在本工序或工艺中无扣减能源消耗量。不得重复计算扣除的余热回收量；提供其他工序时，在所用工序以正常能源消耗计入；回收的能源折标煤后应在回收余热的工序、工艺中扣除。如未扣除回收余热的能耗指标、应标明“未扣除余热回收能源”。</w:t>
      </w:r>
    </w:p>
    <w:p>
      <w:pPr>
        <w:rPr>
          <w:rStyle w:val="60"/>
          <w:rFonts w:ascii="黑体" w:hAnsi="黑体" w:eastAsia="黑体"/>
        </w:rPr>
      </w:pPr>
      <w:r>
        <w:rPr>
          <w:rStyle w:val="60"/>
          <w:rFonts w:ascii="黑体" w:hAnsi="黑体" w:eastAsia="黑体"/>
        </w:rPr>
        <w:t>5.1.8 其他</w:t>
      </w:r>
    </w:p>
    <w:p>
      <w:pPr>
        <w:spacing w:line="400" w:lineRule="exact"/>
        <w:ind w:firstLine="420" w:firstLineChars="200"/>
        <w:rPr>
          <w:rStyle w:val="60"/>
          <w:rFonts w:eastAsia="宋体"/>
        </w:rPr>
      </w:pPr>
      <w:r>
        <w:rPr>
          <w:rStyle w:val="60"/>
          <w:rFonts w:eastAsia="宋体"/>
        </w:rPr>
        <w:t>间接的辅助、附属生产系统的能源消耗量和能源及耗能工质在企业内部贮存、转换与分配供应及外销中的损耗，及间接综合能耗，应根据各产品工艺能耗占企业生产工艺能耗量的比例，分摊给各个产品。</w:t>
      </w:r>
    </w:p>
    <w:p>
      <w:pPr>
        <w:rPr>
          <w:rStyle w:val="60"/>
          <w:rFonts w:ascii="黑体" w:hAnsi="黑体" w:eastAsia="黑体"/>
        </w:rPr>
      </w:pPr>
      <w:r>
        <w:rPr>
          <w:rStyle w:val="60"/>
          <w:rFonts w:ascii="黑体" w:hAnsi="黑体" w:eastAsia="黑体"/>
        </w:rPr>
        <w:t>5.2 计算方法</w:t>
      </w:r>
    </w:p>
    <w:p>
      <w:pPr>
        <w:rPr>
          <w:rStyle w:val="60"/>
          <w:rFonts w:ascii="黑体" w:hAnsi="黑体" w:eastAsia="黑体"/>
        </w:rPr>
      </w:pPr>
      <w:r>
        <w:rPr>
          <w:rStyle w:val="60"/>
          <w:rFonts w:ascii="黑体" w:hAnsi="黑体" w:eastAsia="黑体"/>
        </w:rPr>
        <w:t>5.2.1 工序（工艺）实物单耗的计算</w:t>
      </w:r>
    </w:p>
    <w:p>
      <w:pPr>
        <w:spacing w:line="400" w:lineRule="exact"/>
        <w:ind w:firstLine="420" w:firstLineChars="200"/>
        <w:rPr>
          <w:rStyle w:val="60"/>
          <w:rFonts w:eastAsia="宋体"/>
        </w:rPr>
      </w:pPr>
      <w:r>
        <w:rPr>
          <w:rStyle w:val="60"/>
          <w:rFonts w:eastAsia="宋体"/>
        </w:rPr>
        <w:t>工序（工艺）实物单耗按式（3）计算。</w:t>
      </w:r>
    </w:p>
    <w:p>
      <w:pPr>
        <w:spacing w:line="400" w:lineRule="exact"/>
        <w:ind w:firstLine="420" w:firstLineChars="200"/>
        <w:jc w:val="right"/>
        <w:rPr>
          <w:rFonts w:eastAsia="方正行楷简体"/>
          <w:spacing w:val="30"/>
          <w:szCs w:val="21"/>
        </w:rPr>
      </w:pPr>
      <m:oMath>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S</m:t>
            </m:r>
            <m:ctrlPr>
              <w:rPr>
                <w:rFonts w:ascii="Cambria Math" w:hAnsi="Cambria Math"/>
                <w:i/>
              </w:rPr>
            </m:ctrlP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ctrlPr>
                  <w:rPr>
                    <w:rFonts w:ascii="Cambria Math" w:hAnsi="Cambria Math"/>
                    <w:i/>
                  </w:rPr>
                </m:ctrlPr>
              </m:e>
              <m:sub>
                <m:r>
                  <m:rPr>
                    <m:sty m:val="p"/>
                  </m:rPr>
                  <w:rPr>
                    <w:rFonts w:ascii="Cambria Math" w:hAnsi="Cambria Math"/>
                  </w:rPr>
                  <m:t>S</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Z</m:t>
                </m:r>
                <m:ctrlPr>
                  <w:rPr>
                    <w:rFonts w:ascii="Cambria Math" w:hAnsi="Cambria Math"/>
                    <w:i/>
                  </w:rPr>
                </m:ctrlPr>
              </m:sub>
            </m:sSub>
            <m:ctrlPr>
              <w:rPr>
                <w:rFonts w:ascii="Cambria Math" w:hAnsi="Cambria Math"/>
              </w:rPr>
            </m:ctrlPr>
          </m:den>
        </m:f>
      </m:oMath>
      <w:r>
        <w:rPr>
          <w:rFonts w:eastAsia="方正行楷简体"/>
          <w:spacing w:val="30"/>
          <w:sz w:val="32"/>
          <w:szCs w:val="32"/>
        </w:rPr>
        <w:fldChar w:fldCharType="begin"/>
      </w:r>
      <w:r>
        <w:rPr>
          <w:rFonts w:eastAsia="方正行楷简体"/>
          <w:spacing w:val="30"/>
          <w:sz w:val="32"/>
          <w:szCs w:val="32"/>
        </w:rPr>
        <w:instrText xml:space="preserve"> QUOTE </w:instrText>
      </w:r>
      <m:oMath>
        <m:sSub>
          <m:sSubPr>
            <m:ctrlPr>
              <w:rPr>
                <w:rFonts w:ascii="Cambria Math" w:hAnsi="Cambria Math"/>
                <w:szCs w:val="21"/>
              </w:rPr>
            </m:ctrlPr>
          </m:sSubPr>
          <m:e>
            <m:r>
              <m:rPr>
                <m:sty m:val="p"/>
              </m:rPr>
              <w:rPr>
                <w:rFonts w:ascii="Cambria Math" w:hAnsi="Cambria Math"/>
                <w:szCs w:val="21"/>
              </w:rPr>
              <m:t xml:space="preserve">E</m:t>
            </m:r>
            <m:ctrlPr>
              <w:rPr>
                <w:rFonts w:ascii="Cambria Math" w:hAnsi="Cambria Math"/>
                <w:szCs w:val="21"/>
              </w:rPr>
            </m:ctrlPr>
          </m:e>
          <m:sub>
            <m:r>
              <m:rPr>
                <m:sty m:val="p"/>
              </m:rPr>
              <w:rPr>
                <w:rFonts w:ascii="Cambria Math" w:hAnsi="Cambria Math"/>
                <w:szCs w:val="21"/>
              </w:rPr>
              <m:t xml:space="preserve">S</m:t>
            </m:r>
            <m:ctrlPr>
              <w:rPr>
                <w:rFonts w:ascii="Cambria Math" w:hAnsi="Cambria Math"/>
                <w:szCs w:val="21"/>
              </w:rPr>
            </m:ctrlPr>
          </m:sub>
        </m:sSub>
        <m:r>
          <m:rPr>
            <m:sty m:val="p"/>
          </m:rPr>
          <w:rPr>
            <w:rFonts w:ascii="Cambria Math" w:hAnsi="Cambria Math"/>
            <w:szCs w:val="21"/>
          </w:rPr>
          <m:t xml:space="preserve">=</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 xml:space="preserve">M</m:t>
                </m:r>
                <m:ctrlPr>
                  <w:rPr>
                    <w:rFonts w:ascii="Cambria Math" w:hAnsi="Cambria Math"/>
                    <w:szCs w:val="21"/>
                  </w:rPr>
                </m:ctrlPr>
              </m:e>
              <m:sub>
                <m:r>
                  <m:rPr>
                    <m:sty m:val="p"/>
                  </m:rPr>
                  <w:rPr>
                    <w:rFonts w:ascii="Cambria Math" w:hAnsi="Cambria Math"/>
                    <w:szCs w:val="21"/>
                  </w:rPr>
                  <m:t xml:space="preserve">S</m:t>
                </m:r>
                <m:ctrlPr>
                  <w:rPr>
                    <w:rFonts w:ascii="Cambria Math" w:hAnsi="Cambria Math"/>
                    <w:szCs w:val="21"/>
                  </w:rPr>
                </m:ctrlPr>
              </m:sub>
            </m:sSub>
            <m:ctrlPr>
              <w:rPr>
                <w:rFonts w:ascii="Cambria Math" w:hAnsi="Cambria Math"/>
                <w:szCs w:val="21"/>
              </w:rPr>
            </m:ctrlPr>
          </m:num>
          <m:den>
            <m:sSub>
              <m:sSubPr>
                <m:ctrlPr>
                  <w:rPr>
                    <w:rFonts w:ascii="Cambria Math" w:hAnsi="Cambria Math"/>
                    <w:szCs w:val="21"/>
                  </w:rPr>
                </m:ctrlPr>
              </m:sSubPr>
              <m:e>
                <m:r>
                  <m:rPr>
                    <m:sty m:val="p"/>
                  </m:rPr>
                  <w:rPr>
                    <w:rFonts w:ascii="Cambria Math" w:hAnsi="Cambria Math"/>
                    <w:szCs w:val="21"/>
                  </w:rPr>
                  <m:t xml:space="preserve">P</m:t>
                </m:r>
                <m:ctrlPr>
                  <w:rPr>
                    <w:rFonts w:ascii="Cambria Math" w:hAnsi="Cambria Math"/>
                    <w:szCs w:val="21"/>
                  </w:rPr>
                </m:ctrlPr>
              </m:e>
              <m:sub>
                <m:r>
                  <m:rPr>
                    <m:sty m:val="p"/>
                  </m:rPr>
                  <w:rPr>
                    <w:rFonts w:ascii="Cambria Math" w:hAnsi="Cambria Math"/>
                    <w:szCs w:val="21"/>
                  </w:rPr>
                  <m:t xml:space="preserve">Z</m:t>
                </m:r>
                <m:ctrlPr>
                  <w:rPr>
                    <w:rFonts w:ascii="Cambria Math" w:hAnsi="Cambria Math"/>
                    <w:szCs w:val="21"/>
                  </w:rPr>
                </m:ctrlPr>
              </m:sub>
            </m:sSub>
            <m:ctrlPr>
              <w:rPr>
                <w:rFonts w:ascii="Cambria Math" w:hAnsi="Cambria Math"/>
                <w:szCs w:val="21"/>
              </w:rPr>
            </m:ctrlPr>
          </m:den>
        </m:f>
      </m:oMath>
      <w:r>
        <w:rPr>
          <w:rFonts w:eastAsia="方正行楷简体"/>
          <w:spacing w:val="30"/>
          <w:sz w:val="32"/>
          <w:szCs w:val="32"/>
        </w:rPr>
        <w:instrText xml:space="preserve"> </w:instrText>
      </w:r>
      <w:r>
        <w:rPr>
          <w:rFonts w:eastAsia="方正行楷简体"/>
          <w:spacing w:val="30"/>
          <w:sz w:val="32"/>
          <w:szCs w:val="32"/>
        </w:rPr>
        <w:fldChar w:fldCharType="end"/>
      </w:r>
      <w:r>
        <w:rPr>
          <w:rFonts w:eastAsia="方正行楷简体"/>
          <w:spacing w:val="30"/>
          <w:szCs w:val="21"/>
        </w:rPr>
        <w:t>·····································（3）</w:t>
      </w:r>
    </w:p>
    <w:p>
      <w:pPr>
        <w:spacing w:line="400" w:lineRule="exact"/>
        <w:ind w:firstLine="420" w:firstLineChars="200"/>
        <w:rPr>
          <w:rStyle w:val="60"/>
          <w:rFonts w:eastAsia="宋体"/>
        </w:rPr>
      </w:pPr>
      <w:r>
        <w:rPr>
          <w:rStyle w:val="60"/>
          <w:rFonts w:eastAsia="宋体"/>
        </w:rPr>
        <w:t>式中：</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S</w:t>
      </w:r>
      <w:r>
        <w:rPr>
          <w:rStyle w:val="60"/>
          <w:rFonts w:eastAsia="宋体"/>
        </w:rPr>
        <w:t>——</w:t>
      </w:r>
      <w:r>
        <w:rPr>
          <w:rStyle w:val="60"/>
          <w:rFonts w:hint="eastAsia" w:eastAsia="宋体"/>
        </w:rPr>
        <w:t>铋冶炼</w:t>
      </w:r>
      <w:r>
        <w:rPr>
          <w:rStyle w:val="60"/>
          <w:rFonts w:eastAsia="宋体"/>
        </w:rPr>
        <w:t>工序（工艺）的实物单耗，单位为千克每千克（kg/kg）、千瓦时每千克（kW·h/kg）立方米每千克（m3/千克）；</w:t>
      </w:r>
    </w:p>
    <w:p>
      <w:pPr>
        <w:spacing w:line="400" w:lineRule="exact"/>
        <w:ind w:firstLine="420" w:firstLineChars="200"/>
        <w:rPr>
          <w:rStyle w:val="60"/>
          <w:rFonts w:eastAsia="宋体"/>
        </w:rPr>
      </w:pPr>
      <w:r>
        <w:rPr>
          <w:rStyle w:val="60"/>
          <w:rFonts w:eastAsia="宋体"/>
          <w:i/>
        </w:rPr>
        <w:t>M</w:t>
      </w:r>
      <w:r>
        <w:rPr>
          <w:rStyle w:val="60"/>
          <w:rFonts w:eastAsia="宋体"/>
          <w:i/>
          <w:vertAlign w:val="subscript"/>
        </w:rPr>
        <w:t>S</w:t>
      </w:r>
      <w:r>
        <w:rPr>
          <w:rStyle w:val="60"/>
          <w:rFonts w:eastAsia="宋体"/>
        </w:rPr>
        <w:t>——</w:t>
      </w:r>
      <w:r>
        <w:rPr>
          <w:rStyle w:val="60"/>
          <w:rFonts w:hint="eastAsia" w:eastAsia="宋体"/>
        </w:rPr>
        <w:t>铋冶炼</w:t>
      </w:r>
      <w:r>
        <w:rPr>
          <w:rStyle w:val="60"/>
          <w:rFonts w:eastAsia="宋体"/>
        </w:rPr>
        <w:t>工序（工艺）直接消耗的某种能源实物总量，单位为千克（kg）、千瓦时（kW·h）、立方米（m3）；</w:t>
      </w:r>
    </w:p>
    <w:p>
      <w:pPr>
        <w:spacing w:line="400" w:lineRule="exact"/>
        <w:ind w:firstLine="420" w:firstLineChars="200"/>
        <w:rPr>
          <w:rStyle w:val="60"/>
          <w:rFonts w:eastAsia="宋体"/>
        </w:rPr>
      </w:pPr>
      <w:r>
        <w:rPr>
          <w:rStyle w:val="60"/>
          <w:rFonts w:eastAsia="宋体"/>
          <w:i/>
        </w:rPr>
        <w:t>P</w:t>
      </w:r>
      <w:r>
        <w:rPr>
          <w:rStyle w:val="60"/>
          <w:rFonts w:eastAsia="宋体"/>
          <w:i/>
          <w:vertAlign w:val="subscript"/>
        </w:rPr>
        <w:t>Z</w:t>
      </w:r>
      <w:r>
        <w:rPr>
          <w:rStyle w:val="60"/>
          <w:rFonts w:eastAsia="宋体"/>
        </w:rPr>
        <w:t>——</w:t>
      </w:r>
      <w:r>
        <w:rPr>
          <w:rStyle w:val="60"/>
          <w:rFonts w:hint="eastAsia" w:eastAsia="宋体"/>
        </w:rPr>
        <w:t>铋冶炼</w:t>
      </w:r>
      <w:r>
        <w:rPr>
          <w:rStyle w:val="60"/>
          <w:rFonts w:eastAsia="宋体"/>
        </w:rPr>
        <w:t>工序（工艺）产出的合格产品总量，单位为千克（kg）。</w:t>
      </w:r>
    </w:p>
    <w:p>
      <w:pPr>
        <w:rPr>
          <w:rStyle w:val="60"/>
          <w:rFonts w:ascii="黑体" w:hAnsi="黑体" w:eastAsia="黑体"/>
        </w:rPr>
      </w:pPr>
      <w:r>
        <w:rPr>
          <w:rStyle w:val="60"/>
          <w:rFonts w:ascii="黑体" w:hAnsi="黑体" w:eastAsia="黑体"/>
        </w:rPr>
        <w:t>5.2.2 工序（工艺）能源单耗的计算</w:t>
      </w:r>
    </w:p>
    <w:p>
      <w:pPr>
        <w:spacing w:line="400" w:lineRule="exact"/>
        <w:ind w:firstLine="420" w:firstLineChars="200"/>
        <w:rPr>
          <w:rStyle w:val="60"/>
          <w:rFonts w:eastAsia="宋体"/>
        </w:rPr>
      </w:pPr>
      <w:r>
        <w:rPr>
          <w:rStyle w:val="60"/>
          <w:rFonts w:eastAsia="宋体"/>
        </w:rPr>
        <w:t>工序（工艺）能源单耗按式（4）计算。</w:t>
      </w:r>
    </w:p>
    <w:p>
      <w:pPr>
        <w:spacing w:line="400" w:lineRule="exact"/>
        <w:ind w:firstLine="420" w:firstLineChars="200"/>
        <w:jc w:val="right"/>
        <w:rPr>
          <w:rStyle w:val="60"/>
          <w:rFonts w:eastAsia="宋体"/>
        </w:rPr>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Z</m:t>
                </m:r>
                <m:ctrlPr>
                  <w:rPr>
                    <w:rFonts w:ascii="Cambria Math" w:hAnsi="Cambria Math"/>
                    <w:i/>
                  </w:rPr>
                </m:ctrlPr>
              </m:sub>
            </m:sSub>
            <m:ctrlPr>
              <w:rPr>
                <w:rFonts w:ascii="Cambria Math" w:hAnsi="Cambria Math"/>
                <w:i/>
              </w:rPr>
            </m:ctrlPr>
          </m:den>
        </m:f>
      </m:oMath>
      <w:r>
        <w:rPr>
          <w:rFonts w:eastAsia="方正行楷简体"/>
          <w:spacing w:val="30"/>
          <w:szCs w:val="21"/>
        </w:rPr>
        <w:fldChar w:fldCharType="begin"/>
      </w:r>
      <w:r>
        <w:rPr>
          <w:rFonts w:eastAsia="方正行楷简体"/>
          <w:spacing w:val="30"/>
          <w:szCs w:val="21"/>
        </w:rPr>
        <w:instrText xml:space="preserve"> QUOTE </w:instrText>
      </w:r>
      <m:oMath>
        <m:sSub>
          <m:sSubPr>
            <m:ctrlPr>
              <w:rPr>
                <w:rFonts w:ascii="Cambria Math" w:hAnsi="Cambria Math"/>
              </w:rPr>
            </m:ctrlPr>
          </m:sSubPr>
          <m:e>
            <m:r>
              <m:rPr>
                <m:sty m:val="p"/>
              </m:rPr>
              <w:rPr>
                <w:rFonts w:ascii="Cambria Math" w:hAnsi="Cambria Math"/>
              </w:rPr>
              <m:t xml:space="preserve">E</m:t>
            </m:r>
            <m:ctrlPr>
              <w:rPr>
                <w:rFonts w:ascii="Cambria Math" w:hAnsi="Cambria Math"/>
              </w:rPr>
            </m:ctrlPr>
          </m:e>
          <m:sub>
            <m:r>
              <m:rPr>
                <m:sty m:val="p"/>
              </m:rPr>
              <w:rPr>
                <w:rFonts w:ascii="Cambria Math" w:hAnsi="Cambria Math"/>
              </w:rPr>
              <m:t xml:space="preserve">1</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E</m:t>
                </m:r>
                <m:ctrlPr>
                  <w:rPr>
                    <w:rFonts w:ascii="Cambria Math" w:hAnsi="Cambria Math"/>
                    <w:i/>
                  </w:rPr>
                </m:ctrlPr>
              </m:e>
              <m:sub>
                <m:r>
                  <m:rPr>
                    <m:sty m:val="p"/>
                  </m:rPr>
                  <w:rPr>
                    <w:rFonts w:ascii="Cambria Math" w:hAnsi="Cambria Math"/>
                  </w:rPr>
                  <m:t xml:space="preserve">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ctrlPr>
              <w:rPr>
                <w:rFonts w:ascii="Cambria Math" w:hAnsi="Cambria Math"/>
                <w:i/>
              </w:rPr>
            </m:ctrlPr>
          </m:den>
        </m:f>
      </m:oMath>
      <w:r>
        <w:rPr>
          <w:rFonts w:eastAsia="方正行楷简体"/>
          <w:spacing w:val="30"/>
          <w:szCs w:val="21"/>
        </w:rPr>
        <w:instrText xml:space="preserve"> </w:instrText>
      </w:r>
      <w:r>
        <w:rPr>
          <w:rFonts w:eastAsia="方正行楷简体"/>
          <w:spacing w:val="30"/>
          <w:szCs w:val="21"/>
        </w:rPr>
        <w:fldChar w:fldCharType="end"/>
      </w:r>
      <w:r>
        <w:rPr>
          <w:rFonts w:eastAsia="方正行楷简体"/>
          <w:spacing w:val="30"/>
          <w:szCs w:val="21"/>
        </w:rPr>
        <w:t>····································（4）</w:t>
      </w:r>
    </w:p>
    <w:p>
      <w:pPr>
        <w:spacing w:line="400" w:lineRule="exact"/>
        <w:ind w:firstLine="420" w:firstLineChars="200"/>
        <w:rPr>
          <w:rStyle w:val="60"/>
          <w:rFonts w:eastAsia="宋体"/>
        </w:rPr>
      </w:pPr>
      <w:r>
        <w:rPr>
          <w:rStyle w:val="60"/>
          <w:rFonts w:eastAsia="宋体"/>
        </w:rPr>
        <w:t>式中：</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1</w:t>
      </w:r>
      <w:r>
        <w:rPr>
          <w:rStyle w:val="60"/>
          <w:rFonts w:eastAsia="宋体"/>
        </w:rPr>
        <w:t>——</w:t>
      </w:r>
      <w:r>
        <w:rPr>
          <w:rStyle w:val="60"/>
          <w:rFonts w:hint="eastAsia" w:eastAsia="宋体"/>
        </w:rPr>
        <w:t>铋冶炼</w:t>
      </w:r>
      <w:r>
        <w:rPr>
          <w:rStyle w:val="60"/>
          <w:rFonts w:eastAsia="宋体"/>
        </w:rPr>
        <w:t>工序（工艺）能源单耗，单位为千克标煤每千克（kgce/千克）；</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H</w:t>
      </w:r>
      <w:r>
        <w:rPr>
          <w:rStyle w:val="60"/>
          <w:rFonts w:eastAsia="宋体"/>
        </w:rPr>
        <w:t>——</w:t>
      </w:r>
      <w:r>
        <w:rPr>
          <w:rStyle w:val="60"/>
          <w:rFonts w:hint="eastAsia" w:eastAsia="宋体"/>
        </w:rPr>
        <w:t>铋冶炼</w:t>
      </w:r>
      <w:r>
        <w:rPr>
          <w:rStyle w:val="60"/>
          <w:rFonts w:eastAsia="宋体"/>
        </w:rPr>
        <w:t>工序（工艺）直接消耗的各种能源实物量折标煤之和，单位为千克标煤（kgce）；</w:t>
      </w:r>
    </w:p>
    <w:p>
      <w:pPr>
        <w:spacing w:line="400" w:lineRule="exact"/>
        <w:ind w:firstLine="420" w:firstLineChars="200"/>
        <w:rPr>
          <w:rStyle w:val="60"/>
          <w:rFonts w:eastAsia="宋体"/>
        </w:rPr>
      </w:pPr>
      <w:r>
        <w:rPr>
          <w:rStyle w:val="60"/>
          <w:rFonts w:eastAsia="宋体"/>
          <w:i/>
        </w:rPr>
        <w:t>P</w:t>
      </w:r>
      <w:r>
        <w:rPr>
          <w:rStyle w:val="60"/>
          <w:rFonts w:eastAsia="宋体"/>
          <w:i/>
          <w:vertAlign w:val="subscript"/>
        </w:rPr>
        <w:t>Z</w:t>
      </w:r>
      <w:r>
        <w:rPr>
          <w:rStyle w:val="60"/>
          <w:rFonts w:eastAsia="宋体"/>
        </w:rPr>
        <w:t>——</w:t>
      </w:r>
      <w:r>
        <w:rPr>
          <w:rStyle w:val="60"/>
          <w:rFonts w:hint="eastAsia" w:eastAsia="宋体"/>
        </w:rPr>
        <w:t>铋冶炼</w:t>
      </w:r>
      <w:r>
        <w:rPr>
          <w:rStyle w:val="60"/>
          <w:rFonts w:eastAsia="宋体"/>
        </w:rPr>
        <w:t>工序（工艺）产出的合格产品总量，单位为千克（kg）。</w:t>
      </w:r>
    </w:p>
    <w:p>
      <w:pPr>
        <w:spacing w:line="400" w:lineRule="exact"/>
        <w:ind w:firstLine="420" w:firstLineChars="200"/>
        <w:rPr>
          <w:rStyle w:val="60"/>
          <w:rFonts w:eastAsia="宋体"/>
        </w:rPr>
      </w:pPr>
      <w:r>
        <w:rPr>
          <w:rStyle w:val="60"/>
          <w:rFonts w:eastAsia="宋体"/>
        </w:rPr>
        <w:t>注：该工序直接消耗的各种能源实物量折标煤量之和为代数和，当含回收余热时，按5.1.7处理，以免回收余热和外购能源重复计算。</w:t>
      </w:r>
    </w:p>
    <w:p>
      <w:pPr>
        <w:rPr>
          <w:rStyle w:val="60"/>
          <w:rFonts w:ascii="黑体" w:hAnsi="黑体" w:eastAsia="黑体"/>
        </w:rPr>
      </w:pPr>
      <w:r>
        <w:rPr>
          <w:rStyle w:val="60"/>
          <w:rFonts w:ascii="黑体" w:hAnsi="黑体" w:eastAsia="黑体"/>
        </w:rPr>
        <w:t>5.2.3 工序（工艺）综合能源单耗的计算</w:t>
      </w:r>
    </w:p>
    <w:p>
      <w:pPr>
        <w:spacing w:line="400" w:lineRule="exact"/>
        <w:ind w:firstLine="420" w:firstLineChars="200"/>
        <w:rPr>
          <w:rStyle w:val="60"/>
          <w:rFonts w:eastAsia="宋体"/>
        </w:rPr>
      </w:pPr>
      <w:r>
        <w:rPr>
          <w:rStyle w:val="60"/>
          <w:rFonts w:eastAsia="宋体"/>
        </w:rPr>
        <w:t>工序（工艺）综合能源单耗按式（5）计算。</w:t>
      </w:r>
    </w:p>
    <w:p>
      <w:pPr>
        <w:wordWrap w:val="0"/>
        <w:jc w:val="right"/>
        <w:rPr>
          <w:rStyle w:val="60"/>
          <w:rFonts w:eastAsia="宋体"/>
        </w:rPr>
      </w:pPr>
      <m:oMath>
        <m:sSub>
          <m:sSubPr>
            <m:ctrlPr>
              <w:rPr>
                <w:rStyle w:val="60"/>
                <w:rFonts w:ascii="Cambria Math" w:hAnsi="Cambria Math" w:eastAsia="宋体"/>
              </w:rPr>
            </m:ctrlPr>
          </m:sSubPr>
          <m:e>
            <m:r>
              <w:rPr>
                <w:rStyle w:val="60"/>
                <w:rFonts w:ascii="Cambria Math" w:hAnsi="Cambria Math" w:eastAsia="宋体"/>
              </w:rPr>
              <m:t>E</m:t>
            </m:r>
            <m:ctrlPr>
              <w:rPr>
                <w:rStyle w:val="60"/>
                <w:rFonts w:ascii="Cambria Math" w:hAnsi="Cambria Math" w:eastAsia="宋体"/>
              </w:rPr>
            </m:ctrlPr>
          </m:e>
          <m:sub>
            <m:r>
              <m:rPr>
                <m:sty m:val="p"/>
              </m:rPr>
              <w:rPr>
                <w:rStyle w:val="60"/>
                <w:rFonts w:ascii="Cambria Math" w:hAnsi="Cambria Math" w:eastAsia="宋体"/>
              </w:rPr>
              <m:t>Z</m:t>
            </m:r>
            <m:ctrlPr>
              <w:rPr>
                <w:rStyle w:val="60"/>
                <w:rFonts w:ascii="Cambria Math" w:hAnsi="Cambria Math" w:eastAsia="宋体"/>
              </w:rPr>
            </m:ctrlPr>
          </m:sub>
        </m:sSub>
        <m:r>
          <m:rPr>
            <m:sty m:val="p"/>
          </m:rPr>
          <w:rPr>
            <w:rStyle w:val="60"/>
            <w:rFonts w:ascii="Cambria Math" w:hAnsi="Cambria Math" w:eastAsia="宋体"/>
          </w:rPr>
          <m:t>=</m:t>
        </m:r>
        <m:sSub>
          <m:sSubPr>
            <m:ctrlPr>
              <w:rPr>
                <w:rStyle w:val="60"/>
                <w:rFonts w:ascii="Cambria Math" w:hAnsi="Cambria Math" w:eastAsia="宋体"/>
              </w:rPr>
            </m:ctrlPr>
          </m:sSubPr>
          <m:e>
            <m:r>
              <w:rPr>
                <w:rStyle w:val="60"/>
                <w:rFonts w:ascii="Cambria Math" w:hAnsi="Cambria Math" w:eastAsia="宋体"/>
              </w:rPr>
              <m:t>E</m:t>
            </m:r>
            <m:ctrlPr>
              <w:rPr>
                <w:rStyle w:val="60"/>
                <w:rFonts w:ascii="Cambria Math" w:hAnsi="Cambria Math" w:eastAsia="宋体"/>
              </w:rPr>
            </m:ctrlPr>
          </m:e>
          <m:sub>
            <m:r>
              <m:rPr>
                <m:sty m:val="p"/>
              </m:rPr>
              <w:rPr>
                <w:rStyle w:val="60"/>
                <w:rFonts w:ascii="Cambria Math" w:hAnsi="Cambria Math" w:eastAsia="宋体"/>
              </w:rPr>
              <m:t>1</m:t>
            </m:r>
            <m:ctrlPr>
              <w:rPr>
                <w:rStyle w:val="60"/>
                <w:rFonts w:ascii="Cambria Math" w:hAnsi="Cambria Math" w:eastAsia="宋体"/>
              </w:rPr>
            </m:ctrlPr>
          </m:sub>
        </m:sSub>
        <m:r>
          <m:rPr>
            <m:sty m:val="p"/>
          </m:rPr>
          <w:rPr>
            <w:rStyle w:val="60"/>
            <w:rFonts w:ascii="Cambria Math" w:hAnsi="Cambria Math" w:eastAsia="宋体"/>
          </w:rPr>
          <m:t>+</m:t>
        </m:r>
        <m:sSub>
          <m:sSubPr>
            <m:ctrlPr>
              <w:rPr>
                <w:rStyle w:val="60"/>
                <w:rFonts w:ascii="Cambria Math" w:hAnsi="Cambria Math" w:eastAsia="宋体"/>
              </w:rPr>
            </m:ctrlPr>
          </m:sSubPr>
          <m:e>
            <m:r>
              <w:rPr>
                <w:rStyle w:val="60"/>
                <w:rFonts w:ascii="Cambria Math" w:hAnsi="Cambria Math" w:eastAsia="宋体"/>
              </w:rPr>
              <m:t>E</m:t>
            </m:r>
            <m:ctrlPr>
              <w:rPr>
                <w:rStyle w:val="60"/>
                <w:rFonts w:ascii="Cambria Math" w:hAnsi="Cambria Math" w:eastAsia="宋体"/>
              </w:rPr>
            </m:ctrlPr>
          </m:e>
          <m:sub>
            <m:r>
              <m:rPr>
                <m:sty m:val="p"/>
              </m:rPr>
              <w:rPr>
                <w:rStyle w:val="60"/>
                <w:rFonts w:ascii="Cambria Math" w:hAnsi="Cambria Math" w:eastAsia="宋体"/>
              </w:rPr>
              <m:t>F</m:t>
            </m:r>
            <m:ctrlPr>
              <w:rPr>
                <w:rStyle w:val="60"/>
                <w:rFonts w:ascii="Cambria Math" w:hAnsi="Cambria Math" w:eastAsia="宋体"/>
              </w:rPr>
            </m:ctrlPr>
          </m:sub>
        </m:sSub>
      </m:oMath>
      <w:r>
        <w:rPr>
          <w:rStyle w:val="60"/>
          <w:rFonts w:eastAsia="宋体"/>
        </w:rPr>
        <w:t xml:space="preserve">  ……………………………………（5）</w:t>
      </w:r>
    </w:p>
    <w:p>
      <w:pPr>
        <w:spacing w:line="400" w:lineRule="exact"/>
        <w:ind w:firstLine="420" w:firstLineChars="200"/>
        <w:rPr>
          <w:rStyle w:val="60"/>
          <w:rFonts w:eastAsia="宋体"/>
        </w:rPr>
      </w:pPr>
      <w:r>
        <w:rPr>
          <w:rStyle w:val="60"/>
          <w:rFonts w:eastAsia="宋体"/>
        </w:rPr>
        <w:t>式中：</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Z</w:t>
      </w:r>
      <w:r>
        <w:rPr>
          <w:rStyle w:val="60"/>
          <w:rFonts w:eastAsia="宋体"/>
        </w:rPr>
        <w:t>——</w:t>
      </w:r>
      <w:r>
        <w:rPr>
          <w:rStyle w:val="60"/>
          <w:rFonts w:hint="eastAsia" w:eastAsia="宋体"/>
        </w:rPr>
        <w:t>铋</w:t>
      </w:r>
      <w:r>
        <w:rPr>
          <w:rStyle w:val="60"/>
          <w:rFonts w:eastAsia="宋体"/>
        </w:rPr>
        <w:t>产品综合能源单耗，单位为千克标煤每千克（kgce/kg）；</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1</w:t>
      </w:r>
      <w:r>
        <w:rPr>
          <w:rStyle w:val="60"/>
          <w:rFonts w:eastAsia="宋体"/>
        </w:rPr>
        <w:t>——</w:t>
      </w:r>
      <w:r>
        <w:rPr>
          <w:rStyle w:val="60"/>
          <w:rFonts w:hint="eastAsia" w:eastAsia="宋体"/>
        </w:rPr>
        <w:t>铋</w:t>
      </w:r>
      <w:r>
        <w:rPr>
          <w:rStyle w:val="60"/>
          <w:rFonts w:eastAsia="宋体"/>
        </w:rPr>
        <w:t>产品工艺（工序）能源单耗，单位为千克标煤每千克（kgce/kg）；</w:t>
      </w:r>
    </w:p>
    <w:p>
      <w:pPr>
        <w:spacing w:line="400" w:lineRule="exact"/>
        <w:ind w:firstLine="420" w:firstLineChars="200"/>
        <w:rPr>
          <w:rStyle w:val="60"/>
          <w:rFonts w:eastAsia="宋体"/>
        </w:rPr>
      </w:pPr>
      <w:r>
        <w:rPr>
          <w:rStyle w:val="60"/>
          <w:rFonts w:eastAsia="宋体"/>
          <w:i/>
        </w:rPr>
        <w:t>E</w:t>
      </w:r>
      <w:r>
        <w:rPr>
          <w:rStyle w:val="60"/>
          <w:rFonts w:eastAsia="宋体"/>
          <w:i/>
          <w:vertAlign w:val="subscript"/>
        </w:rPr>
        <w:t>F</w:t>
      </w:r>
      <w:r>
        <w:rPr>
          <w:rStyle w:val="60"/>
          <w:rFonts w:eastAsia="宋体"/>
        </w:rPr>
        <w:t>——</w:t>
      </w:r>
      <w:r>
        <w:rPr>
          <w:rStyle w:val="60"/>
          <w:rFonts w:hint="eastAsia" w:eastAsia="宋体"/>
        </w:rPr>
        <w:t>铋</w:t>
      </w:r>
      <w:r>
        <w:rPr>
          <w:rStyle w:val="60"/>
          <w:rFonts w:eastAsia="宋体"/>
        </w:rPr>
        <w:t>产品间接辅助能耗及损耗分摊量，单位为千克标煤每千克（kgce/kg）。</w:t>
      </w:r>
    </w:p>
    <w:p>
      <w:pPr>
        <w:spacing w:before="240"/>
        <w:rPr>
          <w:rStyle w:val="60"/>
          <w:rFonts w:eastAsia="黑体"/>
        </w:rPr>
      </w:pPr>
      <w:r>
        <w:rPr>
          <w:rStyle w:val="60"/>
          <w:rFonts w:hint="eastAsia" w:eastAsia="黑体"/>
        </w:rPr>
        <w:t>5.</w:t>
      </w:r>
      <w:r>
        <w:rPr>
          <w:rStyle w:val="60"/>
          <w:rFonts w:eastAsia="黑体"/>
        </w:rPr>
        <w:t xml:space="preserve">3 </w:t>
      </w:r>
      <w:r>
        <w:rPr>
          <w:rStyle w:val="60"/>
          <w:rFonts w:hint="eastAsia" w:eastAsia="黑体"/>
        </w:rPr>
        <w:t>计算范围</w:t>
      </w:r>
    </w:p>
    <w:p>
      <w:pPr>
        <w:rPr>
          <w:rStyle w:val="60"/>
          <w:rFonts w:ascii="黑体" w:hAnsi="黑体" w:eastAsia="黑体"/>
        </w:rPr>
      </w:pPr>
      <w:r>
        <w:rPr>
          <w:rStyle w:val="60"/>
          <w:rFonts w:hint="eastAsia" w:ascii="黑体" w:hAnsi="黑体" w:eastAsia="黑体"/>
        </w:rPr>
        <w:t>5</w:t>
      </w:r>
      <w:r>
        <w:rPr>
          <w:rStyle w:val="60"/>
          <w:rFonts w:ascii="黑体" w:hAnsi="黑体" w:eastAsia="黑体"/>
        </w:rPr>
        <w:t xml:space="preserve">.3.1 </w:t>
      </w:r>
      <w:r>
        <w:rPr>
          <w:rStyle w:val="60"/>
          <w:rFonts w:hint="eastAsia" w:ascii="黑体" w:hAnsi="黑体" w:eastAsia="黑体"/>
        </w:rPr>
        <w:t>氧化铋精矿为原料能耗计算范围</w:t>
      </w:r>
    </w:p>
    <w:p>
      <w:pPr>
        <w:spacing w:line="400" w:lineRule="exact"/>
        <w:ind w:firstLine="420" w:firstLineChars="200"/>
        <w:rPr>
          <w:rStyle w:val="60"/>
          <w:rFonts w:eastAsia="宋体"/>
        </w:rPr>
      </w:pPr>
      <w:r>
        <w:rPr>
          <w:rStyle w:val="60"/>
          <w:rFonts w:hint="eastAsia" w:eastAsia="宋体"/>
        </w:rPr>
        <w:t>氧化铋精矿物料处理工艺生产系统能耗计算范围为从以氧化铋精矿为原料通过火法精炼除杂、铅铋合金电解精炼除铅、铅阳极泥处理得到粗铋，后续经过进一步精炼浇铸得到铋锭产品过程中各生产环节所实际消耗的各种能源。</w:t>
      </w:r>
    </w:p>
    <w:p>
      <w:pPr>
        <w:rPr>
          <w:rStyle w:val="60"/>
          <w:rFonts w:ascii="黑体" w:hAnsi="黑体" w:eastAsia="黑体"/>
        </w:rPr>
      </w:pPr>
      <w:r>
        <w:rPr>
          <w:rStyle w:val="60"/>
          <w:rFonts w:ascii="黑体" w:hAnsi="黑体" w:eastAsia="黑体"/>
        </w:rPr>
        <w:t>5.3.2</w:t>
      </w:r>
      <w:r>
        <w:rPr>
          <w:rStyle w:val="60"/>
          <w:rFonts w:hint="eastAsia" w:ascii="黑体" w:hAnsi="黑体" w:eastAsia="黑体"/>
        </w:rPr>
        <w:t>硫化铋精矿为原料能耗计算范围</w:t>
      </w:r>
    </w:p>
    <w:p>
      <w:pPr>
        <w:spacing w:line="400" w:lineRule="exact"/>
        <w:ind w:firstLine="420" w:firstLineChars="200"/>
        <w:rPr>
          <w:rStyle w:val="60"/>
          <w:rFonts w:eastAsia="宋体"/>
        </w:rPr>
      </w:pPr>
      <w:r>
        <w:rPr>
          <w:rStyle w:val="60"/>
          <w:rFonts w:hint="eastAsia" w:eastAsia="宋体"/>
        </w:rPr>
        <w:t>硫化铋精矿物料处理工艺生产系统能耗计算范围为从以硫化铋精矿为原料通过熔炼，产出渣、冰铜与粗铋，粗铋经各种除杂工序后制备出精铋，后续经过浇铸得到铋锭产品过程中各生产环节所实际消耗的各种能源。</w:t>
      </w: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spacing w:line="400" w:lineRule="exact"/>
        <w:ind w:firstLine="420" w:firstLineChars="200"/>
        <w:rPr>
          <w:rStyle w:val="60"/>
          <w:rFonts w:eastAsia="宋体"/>
        </w:rPr>
      </w:pPr>
    </w:p>
    <w:p>
      <w:pPr>
        <w:ind w:right="26"/>
        <w:jc w:val="center"/>
        <w:rPr>
          <w:rFonts w:ascii="黑体" w:eastAsia="黑体"/>
          <w:b/>
          <w:color w:val="000000"/>
        </w:rPr>
      </w:pPr>
      <w:r>
        <w:rPr>
          <w:rFonts w:hint="eastAsia" w:ascii="黑体" w:eastAsia="黑体"/>
          <w:b/>
          <w:color w:val="000000"/>
        </w:rPr>
        <w:t>附  录  A</w:t>
      </w:r>
    </w:p>
    <w:p>
      <w:pPr>
        <w:jc w:val="center"/>
        <w:rPr>
          <w:rFonts w:ascii="黑体" w:eastAsia="黑体"/>
          <w:b/>
          <w:color w:val="000000"/>
        </w:rPr>
      </w:pPr>
      <w:r>
        <w:rPr>
          <w:rFonts w:hint="eastAsia" w:ascii="黑体" w:eastAsia="黑体"/>
          <w:b/>
          <w:color w:val="000000"/>
        </w:rPr>
        <w:t>（资料性附录）</w:t>
      </w:r>
    </w:p>
    <w:p>
      <w:pPr>
        <w:jc w:val="center"/>
        <w:rPr>
          <w:rFonts w:ascii="黑体" w:eastAsia="黑体"/>
          <w:b/>
          <w:color w:val="000000"/>
        </w:rPr>
      </w:pPr>
      <w:r>
        <w:rPr>
          <w:rFonts w:hint="eastAsia" w:ascii="黑体" w:eastAsia="黑体"/>
          <w:b/>
          <w:color w:val="000000"/>
        </w:rPr>
        <w:t>常用能源品种现行参考折标煤系数</w:t>
      </w:r>
    </w:p>
    <w:p>
      <w:pPr>
        <w:spacing w:line="360" w:lineRule="exact"/>
        <w:jc w:val="center"/>
        <w:rPr>
          <w:rFonts w:ascii="黑体" w:eastAsia="黑体"/>
          <w:color w:val="000000"/>
        </w:rPr>
      </w:pPr>
    </w:p>
    <w:p>
      <w:pPr>
        <w:spacing w:line="360" w:lineRule="exact"/>
        <w:ind w:firstLine="420" w:firstLineChars="200"/>
        <w:rPr>
          <w:rFonts w:ascii="宋体" w:hAnsi="宋体"/>
          <w:color w:val="000000"/>
        </w:rPr>
      </w:pPr>
      <w:r>
        <w:rPr>
          <w:rFonts w:hint="eastAsia" w:ascii="宋体" w:hAnsi="宋体"/>
          <w:color w:val="000000"/>
        </w:rPr>
        <w:t>常用能源品种现行折标煤系数见表A.1。</w:t>
      </w:r>
    </w:p>
    <w:p>
      <w:pPr>
        <w:spacing w:line="360" w:lineRule="exact"/>
        <w:ind w:firstLine="3120" w:firstLineChars="1486"/>
        <w:rPr>
          <w:rFonts w:ascii="黑体" w:hAnsi="宋体" w:eastAsia="黑体"/>
          <w:b/>
          <w:color w:val="000000"/>
          <w:szCs w:val="21"/>
        </w:rPr>
      </w:pPr>
      <w:r>
        <w:rPr>
          <w:rFonts w:hint="eastAsia" w:ascii="黑体" w:hAnsi="宋体" w:eastAsia="黑体"/>
          <w:b/>
          <w:color w:val="000000"/>
          <w:szCs w:val="21"/>
        </w:rPr>
        <w:t>表A.1  常用能源品种现行折标煤系数</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08"/>
        <w:gridCol w:w="3085"/>
        <w:gridCol w:w="3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能源名称</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平均低位发热量</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折标准煤系数及单位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原煤</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20 908 kJ/kg（5 000 kcal/kg）</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0.714 3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焦炭</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28 435 kJ/kg（6 800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0.971 4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原油</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41 816 kJ/kg（10 000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1.428 6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燃料油</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41 816 kJ/kg（10 000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1.428 6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汽油</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43 070 kJ/kg（10 300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1.471 4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煤油</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43 070 kJ/kg（10 300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1.471 4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64"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ind w:firstLine="810" w:firstLineChars="450"/>
              <w:jc w:val="left"/>
              <w:rPr>
                <w:rFonts w:ascii="宋体" w:hAnsi="宋体"/>
                <w:color w:val="000000"/>
                <w:sz w:val="18"/>
                <w:szCs w:val="18"/>
              </w:rPr>
            </w:pPr>
            <w:r>
              <w:rPr>
                <w:rFonts w:hint="eastAsia" w:ascii="宋体" w:hAnsi="宋体"/>
                <w:color w:val="000000"/>
                <w:sz w:val="18"/>
                <w:szCs w:val="18"/>
              </w:rPr>
              <w:t>重油</w:t>
            </w:r>
          </w:p>
        </w:tc>
        <w:tc>
          <w:tcPr>
            <w:tcW w:w="3242"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color w:val="000000"/>
                <w:sz w:val="18"/>
                <w:szCs w:val="18"/>
              </w:rPr>
            </w:pPr>
            <w:r>
              <w:rPr>
                <w:rFonts w:hint="eastAsia" w:ascii="宋体" w:hAnsi="宋体"/>
                <w:color w:val="000000"/>
                <w:sz w:val="18"/>
                <w:szCs w:val="18"/>
              </w:rPr>
              <w:t>41 816 KJ/kg（10 000 kcal/kg）</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olor w:val="000000"/>
                <w:sz w:val="18"/>
                <w:szCs w:val="18"/>
              </w:rPr>
              <w:t>1.428 6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ind w:firstLine="720" w:firstLineChars="400"/>
              <w:jc w:val="left"/>
              <w:rPr>
                <w:rFonts w:ascii="宋体" w:hAnsi="宋体"/>
                <w:color w:val="000000"/>
                <w:sz w:val="18"/>
                <w:szCs w:val="18"/>
              </w:rPr>
            </w:pPr>
            <w:r>
              <w:rPr>
                <w:rFonts w:hint="eastAsia" w:ascii="宋体" w:hAnsi="宋体"/>
                <w:color w:val="000000"/>
                <w:sz w:val="18"/>
                <w:szCs w:val="18"/>
              </w:rPr>
              <w:t>洗精煤</w:t>
            </w:r>
          </w:p>
        </w:tc>
        <w:tc>
          <w:tcPr>
            <w:tcW w:w="310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color w:val="000000"/>
                <w:sz w:val="18"/>
                <w:szCs w:val="18"/>
              </w:rPr>
            </w:pPr>
            <w:r>
              <w:rPr>
                <w:rFonts w:hint="eastAsia" w:ascii="宋体" w:hAnsi="宋体"/>
                <w:color w:val="000000"/>
                <w:sz w:val="18"/>
                <w:szCs w:val="18"/>
              </w:rPr>
              <w:t>26 344 KJ/kg（6 300 kcal/kg）</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olor w:val="000000"/>
                <w:sz w:val="18"/>
                <w:szCs w:val="18"/>
              </w:rPr>
              <w:t>0.900 0 Kgce/kg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ind w:firstLine="810" w:firstLineChars="450"/>
              <w:jc w:val="left"/>
              <w:rPr>
                <w:rFonts w:ascii="宋体" w:hAnsi="宋体"/>
                <w:color w:val="000000"/>
                <w:sz w:val="18"/>
                <w:szCs w:val="18"/>
              </w:rPr>
            </w:pPr>
            <w:r>
              <w:rPr>
                <w:rFonts w:hint="eastAsia" w:ascii="宋体" w:hAnsi="宋体"/>
                <w:color w:val="000000"/>
                <w:sz w:val="18"/>
                <w:szCs w:val="18"/>
              </w:rPr>
              <w:t>煤气</w:t>
            </w:r>
          </w:p>
        </w:tc>
        <w:tc>
          <w:tcPr>
            <w:tcW w:w="310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color w:val="000000"/>
                <w:sz w:val="18"/>
                <w:szCs w:val="18"/>
              </w:rPr>
            </w:pPr>
            <w:r>
              <w:rPr>
                <w:rFonts w:hint="eastAsia" w:ascii="宋体" w:hAnsi="宋体"/>
                <w:color w:val="000000"/>
                <w:sz w:val="18"/>
                <w:szCs w:val="18"/>
              </w:rPr>
              <w:t>1250×4.1868kj/m</w:t>
            </w:r>
            <w:r>
              <w:rPr>
                <w:rFonts w:hint="eastAsia" w:ascii="宋体" w:hAnsi="宋体"/>
                <w:color w:val="000000"/>
                <w:sz w:val="18"/>
                <w:szCs w:val="18"/>
                <w:vertAlign w:val="superscript"/>
              </w:rPr>
              <w:t>3</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olor w:val="000000"/>
                <w:sz w:val="18"/>
                <w:szCs w:val="18"/>
              </w:rPr>
              <w:t>1.786Tce/10</w:t>
            </w:r>
            <w:r>
              <w:rPr>
                <w:rFonts w:hint="eastAsia" w:ascii="宋体" w:hAnsi="宋体"/>
                <w:color w:val="000000"/>
                <w:sz w:val="18"/>
                <w:szCs w:val="18"/>
                <w:vertAlign w:val="superscript"/>
              </w:rPr>
              <w:t>4</w:t>
            </w:r>
            <w:r>
              <w:rPr>
                <w:rFonts w:hint="eastAsia" w:ascii="宋体" w:hAnsi="宋体"/>
                <w:color w:val="000000"/>
                <w:sz w:val="18"/>
                <w:szCs w:val="18"/>
              </w:rPr>
              <w:t>m</w:t>
            </w:r>
            <w:r>
              <w:rPr>
                <w:rFonts w:hint="eastAsia" w:ascii="宋体" w:hAnsi="宋体"/>
                <w:color w:val="00000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ind w:firstLine="720" w:firstLineChars="400"/>
              <w:jc w:val="left"/>
              <w:rPr>
                <w:rFonts w:ascii="宋体" w:hAnsi="宋体"/>
                <w:color w:val="000000"/>
                <w:sz w:val="18"/>
                <w:szCs w:val="18"/>
              </w:rPr>
            </w:pPr>
            <w:r>
              <w:rPr>
                <w:rFonts w:hint="eastAsia" w:ascii="宋体" w:hAnsi="宋体"/>
                <w:color w:val="000000"/>
                <w:sz w:val="18"/>
                <w:szCs w:val="18"/>
              </w:rPr>
              <w:t>天然气</w:t>
            </w:r>
          </w:p>
        </w:tc>
        <w:tc>
          <w:tcPr>
            <w:tcW w:w="3101"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color w:val="000000"/>
                <w:sz w:val="18"/>
                <w:szCs w:val="18"/>
              </w:rPr>
            </w:pPr>
            <w:r>
              <w:rPr>
                <w:rFonts w:hint="eastAsia" w:ascii="宋体" w:hAnsi="宋体"/>
                <w:color w:val="000000"/>
                <w:sz w:val="18"/>
                <w:szCs w:val="18"/>
              </w:rPr>
              <w:t>38931kj/m</w:t>
            </w:r>
            <w:r>
              <w:rPr>
                <w:rFonts w:hint="eastAsia" w:ascii="宋体" w:hAnsi="宋体"/>
                <w:color w:val="000000"/>
                <w:sz w:val="18"/>
                <w:szCs w:val="18"/>
                <w:vertAlign w:val="superscript"/>
              </w:rPr>
              <w:t>3</w:t>
            </w:r>
            <w:r>
              <w:rPr>
                <w:rFonts w:hint="eastAsia" w:ascii="宋体" w:hAnsi="宋体"/>
                <w:color w:val="000000"/>
                <w:sz w:val="18"/>
                <w:szCs w:val="18"/>
              </w:rPr>
              <w:t>(9310kcal/m</w:t>
            </w:r>
            <w:r>
              <w:rPr>
                <w:rFonts w:hint="eastAsia" w:ascii="宋体" w:hAnsi="宋体"/>
                <w:color w:val="000000"/>
                <w:sz w:val="18"/>
                <w:szCs w:val="18"/>
                <w:vertAlign w:val="superscript"/>
              </w:rPr>
              <w:t>3</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olor w:val="000000"/>
                <w:sz w:val="18"/>
                <w:szCs w:val="18"/>
              </w:rPr>
              <w:t>1.3300Tce/10</w:t>
            </w:r>
            <w:r>
              <w:rPr>
                <w:rFonts w:hint="eastAsia" w:ascii="宋体" w:hAnsi="宋体"/>
                <w:color w:val="000000"/>
                <w:sz w:val="18"/>
                <w:szCs w:val="18"/>
                <w:vertAlign w:val="superscript"/>
              </w:rPr>
              <w:t>3</w:t>
            </w:r>
            <w:r>
              <w:rPr>
                <w:rFonts w:hint="eastAsia" w:ascii="宋体" w:hAnsi="宋体"/>
                <w:color w:val="000000"/>
                <w:sz w:val="18"/>
                <w:szCs w:val="18"/>
              </w:rPr>
              <w:t>m</w:t>
            </w:r>
            <w:r>
              <w:rPr>
                <w:rFonts w:hint="eastAsia" w:ascii="宋体" w:hAnsi="宋体"/>
                <w:color w:val="00000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发生炉煤气</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5 227 kJ/kg（1 250 kcal/ m3）</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0.178 6 kgce/ m3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电力（当量值）</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3 600 kJ/（kW·h）[860 kcal/（kW·h）]</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0.122 9 kgce/（kW·h）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80" w:firstLineChars="100"/>
              <w:rPr>
                <w:rFonts w:ascii="宋体" w:hAnsi="宋体" w:cs="宋体"/>
                <w:color w:val="000000"/>
                <w:kern w:val="0"/>
                <w:sz w:val="18"/>
                <w:szCs w:val="18"/>
              </w:rPr>
            </w:pPr>
            <w:r>
              <w:rPr>
                <w:rFonts w:hint="eastAsia" w:ascii="宋体" w:hAnsi="宋体"/>
                <w:color w:val="000000"/>
                <w:sz w:val="18"/>
                <w:szCs w:val="18"/>
              </w:rPr>
              <w:t>注：本附录中折标煤系数随国家统计部门规定发生变化，能耗等级指标则应另行设定。</w:t>
            </w:r>
          </w:p>
        </w:tc>
      </w:tr>
    </w:tbl>
    <w:p>
      <w:pPr>
        <w:spacing w:line="360" w:lineRule="exact"/>
        <w:ind w:right="446"/>
        <w:rPr>
          <w:rStyle w:val="26"/>
          <w:rFonts w:ascii="宋体" w:hAnsi="宋体"/>
          <w:b w:val="0"/>
          <w:color w:val="000000"/>
          <w:szCs w:val="21"/>
        </w:rPr>
      </w:pPr>
    </w:p>
    <w:p>
      <w:pPr>
        <w:spacing w:line="360" w:lineRule="exact"/>
        <w:ind w:right="446"/>
        <w:rPr>
          <w:rStyle w:val="26"/>
          <w:rFonts w:ascii="宋体" w:hAnsi="宋体"/>
          <w:b w:val="0"/>
          <w:color w:val="000000"/>
          <w:szCs w:val="21"/>
        </w:rPr>
      </w:pPr>
    </w:p>
    <w:p>
      <w:pPr>
        <w:spacing w:line="360" w:lineRule="exact"/>
        <w:ind w:right="446"/>
        <w:rPr>
          <w:rStyle w:val="26"/>
          <w:rFonts w:ascii="宋体" w:hAnsi="宋体"/>
          <w:b w:val="0"/>
          <w:color w:val="000000"/>
          <w:szCs w:val="21"/>
        </w:rPr>
      </w:pPr>
    </w:p>
    <w:p>
      <w:pPr>
        <w:spacing w:line="360" w:lineRule="exact"/>
        <w:ind w:right="446"/>
        <w:rPr>
          <w:rStyle w:val="26"/>
          <w:rFonts w:ascii="宋体" w:hAnsi="宋体"/>
          <w:b w:val="0"/>
          <w:color w:val="000000"/>
          <w:szCs w:val="21"/>
        </w:rPr>
      </w:pPr>
    </w:p>
    <w:p>
      <w:pPr>
        <w:spacing w:line="360" w:lineRule="exact"/>
        <w:ind w:right="446"/>
        <w:rPr>
          <w:rStyle w:val="26"/>
          <w:rFonts w:ascii="宋体" w:hAnsi="宋体" w:eastAsiaTheme="minorEastAsia"/>
          <w:b w:val="0"/>
          <w:color w:val="000000"/>
          <w:szCs w:val="21"/>
        </w:rPr>
      </w:pPr>
    </w:p>
    <w:p>
      <w:pPr>
        <w:spacing w:line="360" w:lineRule="exact"/>
        <w:ind w:right="446"/>
        <w:rPr>
          <w:rStyle w:val="26"/>
          <w:rFonts w:ascii="宋体" w:hAnsi="宋体" w:eastAsiaTheme="minorEastAsia"/>
          <w:b w:val="0"/>
          <w:color w:val="000000"/>
          <w:szCs w:val="21"/>
        </w:rPr>
      </w:pPr>
    </w:p>
    <w:p>
      <w:pPr>
        <w:spacing w:line="360" w:lineRule="exact"/>
        <w:ind w:right="446"/>
        <w:rPr>
          <w:rStyle w:val="26"/>
          <w:rFonts w:ascii="宋体" w:hAnsi="宋体"/>
          <w:b w:val="0"/>
          <w:color w:val="000000"/>
          <w:szCs w:val="21"/>
        </w:rPr>
      </w:pPr>
    </w:p>
    <w:p>
      <w:pPr>
        <w:spacing w:line="360" w:lineRule="exact"/>
        <w:ind w:right="446"/>
        <w:rPr>
          <w:rStyle w:val="26"/>
          <w:rFonts w:ascii="宋体" w:hAnsi="宋体" w:eastAsiaTheme="minorEastAsia"/>
          <w:b w:val="0"/>
          <w:color w:val="000000"/>
          <w:szCs w:val="21"/>
        </w:rPr>
      </w:pPr>
    </w:p>
    <w:p>
      <w:pPr>
        <w:spacing w:line="360" w:lineRule="exact"/>
        <w:ind w:right="446"/>
        <w:rPr>
          <w:rStyle w:val="26"/>
          <w:rFonts w:ascii="宋体" w:hAnsi="宋体"/>
          <w:b w:val="0"/>
          <w:color w:val="000000"/>
          <w:szCs w:val="21"/>
        </w:rPr>
      </w:pPr>
    </w:p>
    <w:p>
      <w:pPr>
        <w:spacing w:line="360" w:lineRule="exact"/>
        <w:ind w:right="446"/>
        <w:rPr>
          <w:rStyle w:val="26"/>
          <w:rFonts w:ascii="宋体" w:hAnsi="宋体"/>
          <w:b w:val="0"/>
          <w:color w:val="000000"/>
          <w:szCs w:val="21"/>
        </w:rPr>
      </w:pPr>
    </w:p>
    <w:p>
      <w:pPr>
        <w:spacing w:line="360" w:lineRule="exact"/>
        <w:ind w:right="446" w:firstLine="7560" w:firstLineChars="3600"/>
        <w:rPr>
          <w:rFonts w:ascii="宋体" w:hAnsi="宋体" w:eastAsiaTheme="minorEastAsia"/>
          <w:color w:val="000000"/>
          <w:szCs w:val="21"/>
        </w:rPr>
      </w:pPr>
    </w:p>
    <w:p>
      <w:pPr>
        <w:spacing w:line="360" w:lineRule="exact"/>
        <w:ind w:right="446" w:firstLine="7560" w:firstLineChars="3600"/>
        <w:rPr>
          <w:rFonts w:ascii="宋体" w:hAnsi="宋体" w:eastAsiaTheme="minorEastAsia"/>
          <w:color w:val="000000"/>
          <w:szCs w:val="21"/>
        </w:rPr>
      </w:pPr>
    </w:p>
    <w:p>
      <w:pPr>
        <w:spacing w:line="360" w:lineRule="exact"/>
        <w:ind w:right="446" w:firstLine="7560" w:firstLineChars="3600"/>
        <w:rPr>
          <w:rFonts w:ascii="宋体" w:hAnsi="宋体" w:eastAsiaTheme="minorEastAsia"/>
          <w:color w:val="000000"/>
          <w:szCs w:val="21"/>
        </w:rPr>
      </w:pPr>
    </w:p>
    <w:p>
      <w:pPr>
        <w:spacing w:line="360" w:lineRule="exact"/>
        <w:ind w:right="446" w:firstLine="7560" w:firstLineChars="3600"/>
        <w:rPr>
          <w:rFonts w:ascii="宋体" w:hAnsi="宋体" w:eastAsiaTheme="minorEastAsia"/>
          <w:color w:val="000000"/>
          <w:szCs w:val="21"/>
        </w:rPr>
      </w:pPr>
    </w:p>
    <w:p>
      <w:pPr>
        <w:spacing w:line="360" w:lineRule="exact"/>
        <w:ind w:right="446" w:firstLine="7560" w:firstLineChars="3600"/>
        <w:rPr>
          <w:rFonts w:ascii="宋体" w:hAnsi="宋体"/>
          <w:color w:val="000000"/>
          <w:szCs w:val="21"/>
        </w:rPr>
      </w:pPr>
    </w:p>
    <w:p>
      <w:pPr>
        <w:spacing w:line="360" w:lineRule="exact"/>
        <w:ind w:right="446" w:firstLine="7560" w:firstLineChars="3600"/>
        <w:rPr>
          <w:rFonts w:ascii="宋体" w:hAnsi="宋体"/>
          <w:color w:val="000000"/>
          <w:szCs w:val="21"/>
        </w:rPr>
      </w:pPr>
    </w:p>
    <w:p>
      <w:pPr>
        <w:jc w:val="center"/>
        <w:rPr>
          <w:rFonts w:ascii="黑体" w:eastAsia="黑体"/>
          <w:b/>
          <w:color w:val="000000"/>
        </w:rPr>
      </w:pPr>
      <w:r>
        <w:rPr>
          <w:rFonts w:hint="eastAsia" w:ascii="黑体" w:eastAsia="黑体"/>
          <w:b/>
          <w:color w:val="000000"/>
        </w:rPr>
        <w:t>附  录  B</w:t>
      </w:r>
    </w:p>
    <w:p>
      <w:pPr>
        <w:jc w:val="center"/>
        <w:rPr>
          <w:rFonts w:ascii="黑体" w:eastAsia="黑体"/>
          <w:b/>
          <w:color w:val="000000"/>
        </w:rPr>
      </w:pPr>
      <w:r>
        <w:rPr>
          <w:rFonts w:hint="eastAsia" w:ascii="黑体" w:eastAsia="黑体"/>
          <w:b/>
          <w:color w:val="000000"/>
        </w:rPr>
        <w:t>（资料性附录）</w:t>
      </w:r>
    </w:p>
    <w:p>
      <w:pPr>
        <w:jc w:val="center"/>
        <w:rPr>
          <w:rFonts w:ascii="黑体" w:eastAsia="黑体"/>
          <w:color w:val="000000"/>
        </w:rPr>
      </w:pPr>
      <w:r>
        <w:rPr>
          <w:rFonts w:hint="eastAsia" w:ascii="黑体" w:eastAsia="黑体"/>
          <w:b/>
          <w:color w:val="000000"/>
        </w:rPr>
        <w:t>耗能工质能源等价参考值</w:t>
      </w:r>
    </w:p>
    <w:p>
      <w:pPr>
        <w:spacing w:line="360" w:lineRule="exact"/>
        <w:rPr>
          <w:color w:val="000000"/>
        </w:rPr>
      </w:pPr>
    </w:p>
    <w:p>
      <w:pPr>
        <w:spacing w:line="360" w:lineRule="exact"/>
        <w:rPr>
          <w:rFonts w:ascii="宋体" w:hAnsi="宋体"/>
          <w:color w:val="000000"/>
        </w:rPr>
      </w:pPr>
      <w:r>
        <w:rPr>
          <w:rFonts w:hint="eastAsia" w:ascii="宋体" w:hAnsi="宋体"/>
          <w:color w:val="000000"/>
        </w:rPr>
        <w:t>常用耗能工质能源等价值见表B.1。</w:t>
      </w:r>
    </w:p>
    <w:p>
      <w:pPr>
        <w:spacing w:line="360" w:lineRule="exact"/>
        <w:ind w:firstLine="3322" w:firstLineChars="1582"/>
        <w:rPr>
          <w:rFonts w:ascii="黑体" w:hAnsi="宋体" w:eastAsia="黑体"/>
          <w:b/>
          <w:color w:val="000000"/>
          <w:szCs w:val="21"/>
        </w:rPr>
      </w:pPr>
      <w:r>
        <w:rPr>
          <w:rFonts w:hint="eastAsia" w:ascii="黑体" w:hAnsi="宋体" w:eastAsia="黑体"/>
          <w:b/>
          <w:color w:val="000000"/>
          <w:szCs w:val="21"/>
        </w:rPr>
        <w:t>表B.1  常用耗能工质能源等价值</w:t>
      </w:r>
    </w:p>
    <w:tbl>
      <w:tblPr>
        <w:tblStyle w:val="2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216"/>
        <w:gridCol w:w="2105"/>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品  种</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单位耗能工质耗能量</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折标准煤系数</w:t>
            </w:r>
            <w:r>
              <w:rPr>
                <w:rFonts w:hint="eastAsia" w:ascii="宋体" w:hAnsi="宋体" w:cs="宋体"/>
                <w:color w:val="000000"/>
                <w:kern w:val="0"/>
                <w:sz w:val="18"/>
                <w:szCs w:val="18"/>
              </w:rPr>
              <w:t>及单位</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新水</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2.51 MJ/t（600 kcal/t）</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0.085 7 kgce/t</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olor w:val="000000"/>
                <w:sz w:val="18"/>
                <w:szCs w:val="18"/>
              </w:rPr>
              <w:t>指尚未使用过的自来水，按平均耗电计算。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软水</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14.23 MJ/t（3 400 kcal/t）</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0.485 7 kgce/t</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除氧水</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28.45 MJ/t（6 800 kcal/t）</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0.971 4 kgce/t</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压缩空气</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1.17 MJ/m3（280 kcal/ m3）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0.040 0 kgce/ m3</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鼓风</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0.88 MJ/m3 （210 kcal/ m3）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0.030 0 kgce/ m3</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氧气</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11.72 MJ/m3（2 800 kcal/ m3）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0.400 0 kgce/ m3</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二氧化碳气</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6.28 MJ/m3（1 500 kcal/t）</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0.214 3 kgce/ m3</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乙炔</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243.67 MJ/ m3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8.314 3 kgce/ m3</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olor w:val="000000"/>
                <w:sz w:val="18"/>
                <w:szCs w:val="18"/>
              </w:rPr>
              <w:t>按耗电石计算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432"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电石</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60.92 MJ/kg</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2.078 6 kgce/kg</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olor w:val="000000"/>
                <w:sz w:val="18"/>
                <w:szCs w:val="18"/>
              </w:rPr>
              <w:t>按平均耗焦炭、电等计算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r>
              <w:rPr>
                <w:rFonts w:hint="eastAsia" w:ascii="宋体" w:hAnsi="宋体"/>
                <w:color w:val="000000"/>
                <w:sz w:val="18"/>
                <w:szCs w:val="18"/>
              </w:rPr>
              <w:t>注：本附录中的能源等价值如有变动，以国家统计部门最新公布的数据为准。</w:t>
            </w:r>
          </w:p>
        </w:tc>
        <w:tc>
          <w:tcPr>
            <w:tcW w:w="3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536870458" w:lineRule="auto"/>
              <w:jc w:val="center"/>
              <w:rPr>
                <w:rFonts w:ascii="宋体" w:hAnsi="宋体" w:cs="宋体"/>
                <w:bCs/>
                <w:color w:val="000000"/>
                <w:kern w:val="0"/>
                <w:sz w:val="18"/>
                <w:szCs w:val="18"/>
              </w:rPr>
            </w:pPr>
          </w:p>
        </w:tc>
      </w:tr>
    </w:tbl>
    <w:p>
      <w:pPr>
        <w:spacing w:line="360" w:lineRule="exact"/>
        <w:ind w:firstLine="420" w:firstLineChars="200"/>
        <w:rPr>
          <w:color w:val="000000"/>
        </w:rPr>
      </w:pPr>
      <w:r>
        <w:rPr>
          <w:rFonts w:hint="eastAsia" w:ascii="宋体" w:hAnsi="宋体" w:cs="宋体"/>
          <w:color w:val="000000"/>
          <w:kern w:val="0"/>
          <w:szCs w:val="21"/>
        </w:rPr>
        <w:t>说明：</w:t>
      </w:r>
      <w:r>
        <w:rPr>
          <w:rFonts w:ascii="宋体" w:hAnsi="宋体" w:cs="宋体"/>
          <w:color w:val="000000"/>
          <w:kern w:val="0"/>
          <w:szCs w:val="21"/>
        </w:rPr>
        <w:t>当无法获得各种燃料能源的低（位）发热量实测值和单位耗能工质的耗能量时，可参照附录A和附录B。</w:t>
      </w:r>
    </w:p>
    <w:p>
      <w:pPr>
        <w:spacing w:line="360" w:lineRule="exact"/>
        <w:ind w:firstLine="420" w:firstLineChars="200"/>
        <w:rPr>
          <w:color w:val="000000"/>
        </w:rPr>
      </w:pPr>
    </w:p>
    <w:p>
      <w:pPr>
        <w:spacing w:line="360" w:lineRule="exact"/>
        <w:rPr>
          <w:rFonts w:ascii="黑体" w:hAnsi="宋体" w:eastAsia="黑体"/>
          <w:color w:val="000000"/>
          <w:sz w:val="32"/>
          <w:szCs w:val="32"/>
          <w:u w:val="single"/>
        </w:rPr>
      </w:pPr>
      <w:r>
        <w:rPr>
          <w:rFonts w:hint="eastAsia" w:ascii="黑体" w:hAnsi="宋体" w:eastAsia="黑体"/>
          <w:color w:val="000000"/>
          <w:sz w:val="32"/>
          <w:szCs w:val="32"/>
        </w:rPr>
        <w:t xml:space="preserve">                       </w:t>
      </w:r>
      <w:r>
        <w:rPr>
          <w:rFonts w:hint="eastAsia" w:ascii="黑体" w:hAnsi="宋体" w:eastAsia="黑体"/>
          <w:color w:val="000000"/>
          <w:sz w:val="32"/>
          <w:szCs w:val="32"/>
          <w:u w:val="single"/>
        </w:rPr>
        <w:t xml:space="preserve">                  </w:t>
      </w:r>
    </w:p>
    <w:p>
      <w:pPr>
        <w:spacing w:line="360" w:lineRule="exact"/>
        <w:rPr>
          <w:rFonts w:ascii="黑体" w:hAnsi="宋体" w:eastAsia="黑体"/>
          <w:color w:val="000000"/>
          <w:sz w:val="32"/>
          <w:szCs w:val="32"/>
        </w:rPr>
      </w:pPr>
    </w:p>
    <w:p>
      <w:pPr>
        <w:spacing w:line="400" w:lineRule="exact"/>
        <w:ind w:firstLine="420" w:firstLineChars="200"/>
        <w:rPr>
          <w:rStyle w:val="60"/>
          <w:rFonts w:eastAsia="宋体"/>
        </w:rPr>
      </w:pPr>
    </w:p>
    <w:sectPr>
      <w:headerReference r:id="rId11" w:type="first"/>
      <w:footerReference r:id="rId14" w:type="first"/>
      <w:footerReference r:id="rId12" w:type="default"/>
      <w:footerReference r:id="rId13" w:type="even"/>
      <w:pgSz w:w="11907" w:h="16840"/>
      <w:pgMar w:top="1440" w:right="1474" w:bottom="1077" w:left="1797"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行楷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Gungsuh">
    <w:altName w:val="Adobe Myungjo Std M"/>
    <w:panose1 w:val="00000000000000000000"/>
    <w:charset w:val="81"/>
    <w:family w:val="roman"/>
    <w:pitch w:val="default"/>
    <w:sig w:usb0="00000000" w:usb1="00000000" w:usb2="00000030" w:usb3="00000000" w:csb0="4008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w:t>
                          </w:r>
                          <w:r>
                            <w:rPr>
                              <w:rFonts w:hint="eastAsia" w:eastAsia="宋体"/>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W7E7HXAQAArQMAAA4AAAAAAAAAAQAgAAAA&#10;HgEAAGRycy9lMm9Eb2MueG1sUEsFBgAAAAAGAAYAWQEAAGcFA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II</w:t>
                          </w:r>
                          <w:r>
                            <w:rPr>
                              <w:rFonts w:hint="eastAsia" w:eastAsia="宋体"/>
                            </w:rPr>
                            <w:fldChar w:fldCharType="end"/>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6RlKn2AEAAK4DAAAOAAAAAAAAAAEAIAAA&#10;AB4BAABkcnMvZTJvRG9jLnhtbFBLBQYAAAAABgAGAFkBAABoBQ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II</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QBPx0NkBAACuAwAADgAAAAAAAAABACAA&#10;AAAeAQAAZHJzL2Uyb0RvYy54bWxQSwUGAAAAAAYABgBZAQAAaQU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NnHLAQAAlwMAAA4AAAAAAAAAAQAgAAAAHgEAAGRycy9lMm9E&#10;b2MueG1sUEsFBgAAAAAGAAYAWQEAAFsFA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m2/vsoBAACXAwAADgAAAAAAAAABACAAAAAeAQAAZHJzL2Uyb0Rv&#10;Yy54bWxQSwUGAAAAAAYABgBZAQAAWgU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755DLAQAAlwMAAA4AAAAAAAAAAQAgAAAAHgEAAGRycy9lMm9E&#10;b2MueG1sUEsFBgAAAAAGAAYAWQEAAFsFAAAAAA==&#10;">
              <v:fill on="f" focussize="0,0"/>
              <v:stroke on="f"/>
              <v:imagedata o:title=""/>
              <o:lock v:ext="edit" aspectratio="f"/>
              <v:textbox inset="0mm,0mm,0mm,0mm" style="mso-fit-shape-to-text:t;">
                <w:txbxContent>
                  <w:p>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GB/T××××-××××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GB/T ××××</w:t>
    </w:r>
    <w:r>
      <w:rPr>
        <w:rFonts w:hint="eastAsia" w:ascii="黑体" w:hAnsi="宋体" w:eastAsia="黑体"/>
        <w:sz w:val="28"/>
        <w:lang w:val="de-DE"/>
      </w:rPr>
      <w:t>—</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rPr>
    </w:pPr>
    <w:r>
      <w:rPr>
        <w:rFonts w:eastAsia="黑体"/>
      </w:rPr>
      <w:t xml:space="preserve">GB/T </w:t>
    </w:r>
    <w:r>
      <w:rPr>
        <w:rFonts w:ascii="黑体" w:hAnsi="黑体" w:eastAsia="黑体"/>
      </w:rPr>
      <w:t>××—202×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720" w:firstLineChars="3200"/>
      <w:rPr>
        <w:rFonts w:eastAsia="黑体"/>
      </w:rPr>
    </w:pPr>
    <w:r>
      <w:rPr>
        <w:rFonts w:eastAsia="黑体"/>
      </w:rPr>
      <w:t xml:space="preserve">GB/T </w:t>
    </w:r>
    <w:r>
      <w:rPr>
        <w:rFonts w:ascii="黑体" w:hAnsi="黑体" w:eastAsia="黑体"/>
      </w:rPr>
      <w:t>××—202×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rPr>
    </w:pPr>
    <w:r>
      <w:rPr>
        <w:rFonts w:eastAsia="黑体"/>
        <w:lang w:val="de-DE"/>
      </w:rPr>
      <w:t xml:space="preserve">GB/T </w:t>
    </w:r>
    <w:r>
      <w:rPr>
        <w:rFonts w:ascii="黑体" w:hAnsi="黑体" w:eastAsia="黑体"/>
        <w:lang w:val="de-DE"/>
      </w:rPr>
      <w:t>×××—202×</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E0EBE"/>
    <w:multiLevelType w:val="multilevel"/>
    <w:tmpl w:val="248E0EBE"/>
    <w:lvl w:ilvl="0" w:tentative="0">
      <w:start w:val="1"/>
      <w:numFmt w:val="decimal"/>
      <w:pStyle w:val="6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7"/>
    <w:rsid w:val="00004024"/>
    <w:rsid w:val="00010F47"/>
    <w:rsid w:val="0001191F"/>
    <w:rsid w:val="000120DD"/>
    <w:rsid w:val="00012667"/>
    <w:rsid w:val="0001288F"/>
    <w:rsid w:val="0001294E"/>
    <w:rsid w:val="00016EA0"/>
    <w:rsid w:val="0002108B"/>
    <w:rsid w:val="0002324F"/>
    <w:rsid w:val="00023B65"/>
    <w:rsid w:val="000260BD"/>
    <w:rsid w:val="000357E4"/>
    <w:rsid w:val="000369E4"/>
    <w:rsid w:val="0003724C"/>
    <w:rsid w:val="0004004F"/>
    <w:rsid w:val="00040423"/>
    <w:rsid w:val="00042E13"/>
    <w:rsid w:val="00045CCA"/>
    <w:rsid w:val="00046CCE"/>
    <w:rsid w:val="00047AD3"/>
    <w:rsid w:val="00052E34"/>
    <w:rsid w:val="00060370"/>
    <w:rsid w:val="000626DC"/>
    <w:rsid w:val="0006452A"/>
    <w:rsid w:val="00066F26"/>
    <w:rsid w:val="000676A7"/>
    <w:rsid w:val="00075C43"/>
    <w:rsid w:val="00075E9E"/>
    <w:rsid w:val="00077599"/>
    <w:rsid w:val="0008072E"/>
    <w:rsid w:val="00081F91"/>
    <w:rsid w:val="00081FC4"/>
    <w:rsid w:val="00082FC1"/>
    <w:rsid w:val="00084985"/>
    <w:rsid w:val="00086BF5"/>
    <w:rsid w:val="00087EBA"/>
    <w:rsid w:val="00093B07"/>
    <w:rsid w:val="00094038"/>
    <w:rsid w:val="000953AE"/>
    <w:rsid w:val="00096C9C"/>
    <w:rsid w:val="000A371E"/>
    <w:rsid w:val="000A4B5E"/>
    <w:rsid w:val="000A6039"/>
    <w:rsid w:val="000B161A"/>
    <w:rsid w:val="000C3E42"/>
    <w:rsid w:val="000C423F"/>
    <w:rsid w:val="000C46A6"/>
    <w:rsid w:val="000C4AE5"/>
    <w:rsid w:val="000C5463"/>
    <w:rsid w:val="000D0E82"/>
    <w:rsid w:val="000D107C"/>
    <w:rsid w:val="000E4831"/>
    <w:rsid w:val="000E5234"/>
    <w:rsid w:val="000E61BE"/>
    <w:rsid w:val="000E6E52"/>
    <w:rsid w:val="000F07B3"/>
    <w:rsid w:val="000F1DC1"/>
    <w:rsid w:val="000F34E5"/>
    <w:rsid w:val="000F4F39"/>
    <w:rsid w:val="0010069B"/>
    <w:rsid w:val="0010279C"/>
    <w:rsid w:val="00102C0D"/>
    <w:rsid w:val="00105CCA"/>
    <w:rsid w:val="00111161"/>
    <w:rsid w:val="00112570"/>
    <w:rsid w:val="001136C4"/>
    <w:rsid w:val="0011378D"/>
    <w:rsid w:val="001155CA"/>
    <w:rsid w:val="001173CA"/>
    <w:rsid w:val="00117EB1"/>
    <w:rsid w:val="001206A3"/>
    <w:rsid w:val="00120DC1"/>
    <w:rsid w:val="00121FCE"/>
    <w:rsid w:val="001252CB"/>
    <w:rsid w:val="0012632A"/>
    <w:rsid w:val="0012672A"/>
    <w:rsid w:val="00127886"/>
    <w:rsid w:val="00127E1D"/>
    <w:rsid w:val="00130C65"/>
    <w:rsid w:val="001315D9"/>
    <w:rsid w:val="001327A5"/>
    <w:rsid w:val="0013448E"/>
    <w:rsid w:val="0013491B"/>
    <w:rsid w:val="00135826"/>
    <w:rsid w:val="00141637"/>
    <w:rsid w:val="00143F95"/>
    <w:rsid w:val="00150158"/>
    <w:rsid w:val="00152371"/>
    <w:rsid w:val="0015306A"/>
    <w:rsid w:val="001562DE"/>
    <w:rsid w:val="00157EE3"/>
    <w:rsid w:val="001617B7"/>
    <w:rsid w:val="00164DF4"/>
    <w:rsid w:val="00170947"/>
    <w:rsid w:val="001728F4"/>
    <w:rsid w:val="00172A27"/>
    <w:rsid w:val="00173011"/>
    <w:rsid w:val="0017377D"/>
    <w:rsid w:val="00174B47"/>
    <w:rsid w:val="001841C9"/>
    <w:rsid w:val="00185DC3"/>
    <w:rsid w:val="0018640B"/>
    <w:rsid w:val="00186F7D"/>
    <w:rsid w:val="00190A86"/>
    <w:rsid w:val="00192726"/>
    <w:rsid w:val="001931F1"/>
    <w:rsid w:val="00195955"/>
    <w:rsid w:val="001A26D0"/>
    <w:rsid w:val="001A2BE7"/>
    <w:rsid w:val="001A3FB1"/>
    <w:rsid w:val="001A47C9"/>
    <w:rsid w:val="001B23C7"/>
    <w:rsid w:val="001B28CE"/>
    <w:rsid w:val="001B4528"/>
    <w:rsid w:val="001B54EC"/>
    <w:rsid w:val="001B60C2"/>
    <w:rsid w:val="001B792A"/>
    <w:rsid w:val="001C3A9A"/>
    <w:rsid w:val="001C5895"/>
    <w:rsid w:val="001C67A5"/>
    <w:rsid w:val="001C7C84"/>
    <w:rsid w:val="001D2513"/>
    <w:rsid w:val="001D2B59"/>
    <w:rsid w:val="001D2EC7"/>
    <w:rsid w:val="001E0808"/>
    <w:rsid w:val="001E3A84"/>
    <w:rsid w:val="001E4C66"/>
    <w:rsid w:val="001E5112"/>
    <w:rsid w:val="001E562F"/>
    <w:rsid w:val="001E6B58"/>
    <w:rsid w:val="001F04EE"/>
    <w:rsid w:val="001F39CA"/>
    <w:rsid w:val="001F5F05"/>
    <w:rsid w:val="00204A8D"/>
    <w:rsid w:val="002051E2"/>
    <w:rsid w:val="0021285A"/>
    <w:rsid w:val="002134AA"/>
    <w:rsid w:val="00214795"/>
    <w:rsid w:val="0022134D"/>
    <w:rsid w:val="002227F8"/>
    <w:rsid w:val="002235C1"/>
    <w:rsid w:val="002271F2"/>
    <w:rsid w:val="00227247"/>
    <w:rsid w:val="002278F7"/>
    <w:rsid w:val="00231D8F"/>
    <w:rsid w:val="0023453A"/>
    <w:rsid w:val="00234D70"/>
    <w:rsid w:val="00236272"/>
    <w:rsid w:val="00236F36"/>
    <w:rsid w:val="00237861"/>
    <w:rsid w:val="00240C8C"/>
    <w:rsid w:val="00241CA9"/>
    <w:rsid w:val="00247429"/>
    <w:rsid w:val="00250D25"/>
    <w:rsid w:val="0025375E"/>
    <w:rsid w:val="00256150"/>
    <w:rsid w:val="0026041C"/>
    <w:rsid w:val="002614A2"/>
    <w:rsid w:val="002745C0"/>
    <w:rsid w:val="00277942"/>
    <w:rsid w:val="00282C80"/>
    <w:rsid w:val="00284700"/>
    <w:rsid w:val="00285E59"/>
    <w:rsid w:val="00290623"/>
    <w:rsid w:val="00290B45"/>
    <w:rsid w:val="00290F99"/>
    <w:rsid w:val="002917E0"/>
    <w:rsid w:val="00293234"/>
    <w:rsid w:val="0029501E"/>
    <w:rsid w:val="00295739"/>
    <w:rsid w:val="0029616B"/>
    <w:rsid w:val="002A26A1"/>
    <w:rsid w:val="002A6CC7"/>
    <w:rsid w:val="002A7882"/>
    <w:rsid w:val="002A7E14"/>
    <w:rsid w:val="002B0DBE"/>
    <w:rsid w:val="002B2AB4"/>
    <w:rsid w:val="002B4B51"/>
    <w:rsid w:val="002B5E70"/>
    <w:rsid w:val="002B61BB"/>
    <w:rsid w:val="002C1D0A"/>
    <w:rsid w:val="002C380B"/>
    <w:rsid w:val="002D5F2E"/>
    <w:rsid w:val="002E13C2"/>
    <w:rsid w:val="002E1587"/>
    <w:rsid w:val="002E37B3"/>
    <w:rsid w:val="002E6BE0"/>
    <w:rsid w:val="002F683A"/>
    <w:rsid w:val="002F69F0"/>
    <w:rsid w:val="002F7375"/>
    <w:rsid w:val="0030022F"/>
    <w:rsid w:val="0030419C"/>
    <w:rsid w:val="00310036"/>
    <w:rsid w:val="00313F65"/>
    <w:rsid w:val="0031440B"/>
    <w:rsid w:val="00316B24"/>
    <w:rsid w:val="0032079E"/>
    <w:rsid w:val="003245B5"/>
    <w:rsid w:val="00324FCF"/>
    <w:rsid w:val="00326E48"/>
    <w:rsid w:val="003321AC"/>
    <w:rsid w:val="00333066"/>
    <w:rsid w:val="0033498B"/>
    <w:rsid w:val="003362FD"/>
    <w:rsid w:val="00337AC0"/>
    <w:rsid w:val="00341687"/>
    <w:rsid w:val="00341A2C"/>
    <w:rsid w:val="0034246F"/>
    <w:rsid w:val="00342515"/>
    <w:rsid w:val="00343967"/>
    <w:rsid w:val="0034585A"/>
    <w:rsid w:val="00345C43"/>
    <w:rsid w:val="00347758"/>
    <w:rsid w:val="00355235"/>
    <w:rsid w:val="00355B6B"/>
    <w:rsid w:val="00360D70"/>
    <w:rsid w:val="00361F15"/>
    <w:rsid w:val="00362275"/>
    <w:rsid w:val="00362423"/>
    <w:rsid w:val="003659C8"/>
    <w:rsid w:val="00366D22"/>
    <w:rsid w:val="00374E27"/>
    <w:rsid w:val="003754B0"/>
    <w:rsid w:val="00375F72"/>
    <w:rsid w:val="00375FEF"/>
    <w:rsid w:val="00376726"/>
    <w:rsid w:val="00381144"/>
    <w:rsid w:val="0038613E"/>
    <w:rsid w:val="003868F2"/>
    <w:rsid w:val="00390CA5"/>
    <w:rsid w:val="003917CB"/>
    <w:rsid w:val="00392609"/>
    <w:rsid w:val="003A37A8"/>
    <w:rsid w:val="003A5A83"/>
    <w:rsid w:val="003A67FF"/>
    <w:rsid w:val="003A70A3"/>
    <w:rsid w:val="003B16F0"/>
    <w:rsid w:val="003B2424"/>
    <w:rsid w:val="003B3FFE"/>
    <w:rsid w:val="003B65B3"/>
    <w:rsid w:val="003C2BED"/>
    <w:rsid w:val="003D1478"/>
    <w:rsid w:val="003D5DFA"/>
    <w:rsid w:val="003D6020"/>
    <w:rsid w:val="003E0B51"/>
    <w:rsid w:val="003F41FF"/>
    <w:rsid w:val="003F4E20"/>
    <w:rsid w:val="003F522B"/>
    <w:rsid w:val="003F5BC1"/>
    <w:rsid w:val="00401734"/>
    <w:rsid w:val="00403F19"/>
    <w:rsid w:val="00403F84"/>
    <w:rsid w:val="00410FB1"/>
    <w:rsid w:val="0041297B"/>
    <w:rsid w:val="0041606F"/>
    <w:rsid w:val="00416920"/>
    <w:rsid w:val="004205C4"/>
    <w:rsid w:val="00421FEE"/>
    <w:rsid w:val="00423553"/>
    <w:rsid w:val="00424EF2"/>
    <w:rsid w:val="00425B41"/>
    <w:rsid w:val="00437E0E"/>
    <w:rsid w:val="00440241"/>
    <w:rsid w:val="00440F91"/>
    <w:rsid w:val="00442E77"/>
    <w:rsid w:val="0044364B"/>
    <w:rsid w:val="00443944"/>
    <w:rsid w:val="004440DE"/>
    <w:rsid w:val="00444B30"/>
    <w:rsid w:val="0044658C"/>
    <w:rsid w:val="00450140"/>
    <w:rsid w:val="004548AC"/>
    <w:rsid w:val="0045631E"/>
    <w:rsid w:val="004569F0"/>
    <w:rsid w:val="004579D6"/>
    <w:rsid w:val="00463C6B"/>
    <w:rsid w:val="00464643"/>
    <w:rsid w:val="00465EA8"/>
    <w:rsid w:val="00466261"/>
    <w:rsid w:val="00466955"/>
    <w:rsid w:val="0046777E"/>
    <w:rsid w:val="004677F5"/>
    <w:rsid w:val="00467F17"/>
    <w:rsid w:val="0047278A"/>
    <w:rsid w:val="0047294A"/>
    <w:rsid w:val="004731F3"/>
    <w:rsid w:val="004745D3"/>
    <w:rsid w:val="004751F1"/>
    <w:rsid w:val="00476CAF"/>
    <w:rsid w:val="00476D10"/>
    <w:rsid w:val="00484474"/>
    <w:rsid w:val="00484D65"/>
    <w:rsid w:val="00486AC1"/>
    <w:rsid w:val="00492D56"/>
    <w:rsid w:val="00492F32"/>
    <w:rsid w:val="0049663D"/>
    <w:rsid w:val="00497E83"/>
    <w:rsid w:val="004A01C4"/>
    <w:rsid w:val="004A0E3B"/>
    <w:rsid w:val="004A109E"/>
    <w:rsid w:val="004A2925"/>
    <w:rsid w:val="004A4D03"/>
    <w:rsid w:val="004B06C6"/>
    <w:rsid w:val="004B6802"/>
    <w:rsid w:val="004B7193"/>
    <w:rsid w:val="004B771C"/>
    <w:rsid w:val="004C2FD3"/>
    <w:rsid w:val="004C40A2"/>
    <w:rsid w:val="004C4493"/>
    <w:rsid w:val="004C6652"/>
    <w:rsid w:val="004D0D2C"/>
    <w:rsid w:val="004D447D"/>
    <w:rsid w:val="004D4C65"/>
    <w:rsid w:val="004E0CC4"/>
    <w:rsid w:val="004E0EF3"/>
    <w:rsid w:val="004E4C15"/>
    <w:rsid w:val="004E595A"/>
    <w:rsid w:val="004E636D"/>
    <w:rsid w:val="004E6BF4"/>
    <w:rsid w:val="004F181C"/>
    <w:rsid w:val="004F4D6A"/>
    <w:rsid w:val="00502851"/>
    <w:rsid w:val="005059D7"/>
    <w:rsid w:val="00510EFC"/>
    <w:rsid w:val="005119B2"/>
    <w:rsid w:val="00512CD0"/>
    <w:rsid w:val="00512F22"/>
    <w:rsid w:val="00513D46"/>
    <w:rsid w:val="00517219"/>
    <w:rsid w:val="005172CA"/>
    <w:rsid w:val="005214B0"/>
    <w:rsid w:val="00525078"/>
    <w:rsid w:val="005251FB"/>
    <w:rsid w:val="00525EF2"/>
    <w:rsid w:val="00526209"/>
    <w:rsid w:val="00530246"/>
    <w:rsid w:val="005318A2"/>
    <w:rsid w:val="005321DA"/>
    <w:rsid w:val="005363D2"/>
    <w:rsid w:val="00540AB8"/>
    <w:rsid w:val="0054214D"/>
    <w:rsid w:val="00547E86"/>
    <w:rsid w:val="00550CA2"/>
    <w:rsid w:val="00550FCD"/>
    <w:rsid w:val="0055365F"/>
    <w:rsid w:val="00553CF3"/>
    <w:rsid w:val="00554C55"/>
    <w:rsid w:val="005626FC"/>
    <w:rsid w:val="005657DA"/>
    <w:rsid w:val="0057078F"/>
    <w:rsid w:val="0057385D"/>
    <w:rsid w:val="00575B02"/>
    <w:rsid w:val="0057686C"/>
    <w:rsid w:val="00577EE1"/>
    <w:rsid w:val="0058169D"/>
    <w:rsid w:val="00584E76"/>
    <w:rsid w:val="00585E7E"/>
    <w:rsid w:val="00586C53"/>
    <w:rsid w:val="0058717C"/>
    <w:rsid w:val="00587A51"/>
    <w:rsid w:val="00592E67"/>
    <w:rsid w:val="00594987"/>
    <w:rsid w:val="00596F6D"/>
    <w:rsid w:val="005A1F31"/>
    <w:rsid w:val="005A5952"/>
    <w:rsid w:val="005B5305"/>
    <w:rsid w:val="005B6EB6"/>
    <w:rsid w:val="005C3D91"/>
    <w:rsid w:val="005C4AEE"/>
    <w:rsid w:val="005C4E94"/>
    <w:rsid w:val="005D2743"/>
    <w:rsid w:val="005D3D41"/>
    <w:rsid w:val="005E0139"/>
    <w:rsid w:val="005E0F04"/>
    <w:rsid w:val="005E2767"/>
    <w:rsid w:val="005E69D8"/>
    <w:rsid w:val="005E74CC"/>
    <w:rsid w:val="005F0FFF"/>
    <w:rsid w:val="005F1FD8"/>
    <w:rsid w:val="005F250C"/>
    <w:rsid w:val="005F49A5"/>
    <w:rsid w:val="005F6944"/>
    <w:rsid w:val="00601678"/>
    <w:rsid w:val="00602659"/>
    <w:rsid w:val="00602DD9"/>
    <w:rsid w:val="00606B91"/>
    <w:rsid w:val="00607185"/>
    <w:rsid w:val="00610213"/>
    <w:rsid w:val="0061086F"/>
    <w:rsid w:val="00611727"/>
    <w:rsid w:val="006174F7"/>
    <w:rsid w:val="00617C0D"/>
    <w:rsid w:val="00620027"/>
    <w:rsid w:val="006221B8"/>
    <w:rsid w:val="006223B0"/>
    <w:rsid w:val="00622DB8"/>
    <w:rsid w:val="006232DC"/>
    <w:rsid w:val="00625EF8"/>
    <w:rsid w:val="00626A7D"/>
    <w:rsid w:val="00627B40"/>
    <w:rsid w:val="006325B9"/>
    <w:rsid w:val="00640600"/>
    <w:rsid w:val="0064174F"/>
    <w:rsid w:val="00646423"/>
    <w:rsid w:val="00646D6A"/>
    <w:rsid w:val="006545A4"/>
    <w:rsid w:val="006555CA"/>
    <w:rsid w:val="00655D33"/>
    <w:rsid w:val="00664C0C"/>
    <w:rsid w:val="00667C4E"/>
    <w:rsid w:val="0067263C"/>
    <w:rsid w:val="006770E1"/>
    <w:rsid w:val="00680A38"/>
    <w:rsid w:val="00680C5A"/>
    <w:rsid w:val="00687117"/>
    <w:rsid w:val="006910E2"/>
    <w:rsid w:val="006926A0"/>
    <w:rsid w:val="0069382D"/>
    <w:rsid w:val="0069475C"/>
    <w:rsid w:val="006A1F8B"/>
    <w:rsid w:val="006B027D"/>
    <w:rsid w:val="006B0F84"/>
    <w:rsid w:val="006B4AD7"/>
    <w:rsid w:val="006B55E7"/>
    <w:rsid w:val="006B62B2"/>
    <w:rsid w:val="006C040A"/>
    <w:rsid w:val="006C2A01"/>
    <w:rsid w:val="006C3F8F"/>
    <w:rsid w:val="006C607F"/>
    <w:rsid w:val="006C6BE9"/>
    <w:rsid w:val="006D114A"/>
    <w:rsid w:val="006D1612"/>
    <w:rsid w:val="006D21FD"/>
    <w:rsid w:val="006D4C29"/>
    <w:rsid w:val="006E79BE"/>
    <w:rsid w:val="006F1CCE"/>
    <w:rsid w:val="006F6458"/>
    <w:rsid w:val="006F64C9"/>
    <w:rsid w:val="006F67A8"/>
    <w:rsid w:val="007008D7"/>
    <w:rsid w:val="00703DBC"/>
    <w:rsid w:val="00704369"/>
    <w:rsid w:val="007118BF"/>
    <w:rsid w:val="00715BD0"/>
    <w:rsid w:val="00717A6F"/>
    <w:rsid w:val="00720348"/>
    <w:rsid w:val="007211F5"/>
    <w:rsid w:val="0072182C"/>
    <w:rsid w:val="007223BB"/>
    <w:rsid w:val="00737BA1"/>
    <w:rsid w:val="007416CB"/>
    <w:rsid w:val="0074350F"/>
    <w:rsid w:val="0074537E"/>
    <w:rsid w:val="007469EE"/>
    <w:rsid w:val="00747A56"/>
    <w:rsid w:val="00747B0D"/>
    <w:rsid w:val="00751B56"/>
    <w:rsid w:val="00751E31"/>
    <w:rsid w:val="00753FBC"/>
    <w:rsid w:val="0075566C"/>
    <w:rsid w:val="00757B37"/>
    <w:rsid w:val="00766C10"/>
    <w:rsid w:val="007742F5"/>
    <w:rsid w:val="00775BBF"/>
    <w:rsid w:val="00776F26"/>
    <w:rsid w:val="00785BDD"/>
    <w:rsid w:val="00786C5D"/>
    <w:rsid w:val="00786D9A"/>
    <w:rsid w:val="00787E8A"/>
    <w:rsid w:val="00791E1F"/>
    <w:rsid w:val="00792F88"/>
    <w:rsid w:val="007933D3"/>
    <w:rsid w:val="00794901"/>
    <w:rsid w:val="00796E89"/>
    <w:rsid w:val="007A2428"/>
    <w:rsid w:val="007A4885"/>
    <w:rsid w:val="007B0A2C"/>
    <w:rsid w:val="007B3A48"/>
    <w:rsid w:val="007C18FD"/>
    <w:rsid w:val="007C28CE"/>
    <w:rsid w:val="007C5E53"/>
    <w:rsid w:val="007C6615"/>
    <w:rsid w:val="007C7C32"/>
    <w:rsid w:val="007D1ABA"/>
    <w:rsid w:val="007D5F82"/>
    <w:rsid w:val="007D6AD3"/>
    <w:rsid w:val="007D6C30"/>
    <w:rsid w:val="007D6CE7"/>
    <w:rsid w:val="007D6F2C"/>
    <w:rsid w:val="007D7BE9"/>
    <w:rsid w:val="007E32A5"/>
    <w:rsid w:val="007E421F"/>
    <w:rsid w:val="007E5510"/>
    <w:rsid w:val="007E5AFE"/>
    <w:rsid w:val="007E68FC"/>
    <w:rsid w:val="007E6B4B"/>
    <w:rsid w:val="007F35A6"/>
    <w:rsid w:val="007F4BB6"/>
    <w:rsid w:val="008038F7"/>
    <w:rsid w:val="00804084"/>
    <w:rsid w:val="008044DF"/>
    <w:rsid w:val="008056C6"/>
    <w:rsid w:val="008059F1"/>
    <w:rsid w:val="00814905"/>
    <w:rsid w:val="00814F36"/>
    <w:rsid w:val="00815DB3"/>
    <w:rsid w:val="00816AA6"/>
    <w:rsid w:val="00820D24"/>
    <w:rsid w:val="00823764"/>
    <w:rsid w:val="008241B9"/>
    <w:rsid w:val="0083072A"/>
    <w:rsid w:val="008342A7"/>
    <w:rsid w:val="00834693"/>
    <w:rsid w:val="00840721"/>
    <w:rsid w:val="00840D40"/>
    <w:rsid w:val="008441E7"/>
    <w:rsid w:val="00850CC9"/>
    <w:rsid w:val="008553BE"/>
    <w:rsid w:val="00861824"/>
    <w:rsid w:val="00863699"/>
    <w:rsid w:val="008655BE"/>
    <w:rsid w:val="00872250"/>
    <w:rsid w:val="00874625"/>
    <w:rsid w:val="0087486D"/>
    <w:rsid w:val="00876499"/>
    <w:rsid w:val="0088013F"/>
    <w:rsid w:val="008817A3"/>
    <w:rsid w:val="008852EE"/>
    <w:rsid w:val="00886A65"/>
    <w:rsid w:val="008906AB"/>
    <w:rsid w:val="00890A5A"/>
    <w:rsid w:val="00891854"/>
    <w:rsid w:val="008947E3"/>
    <w:rsid w:val="00894CA0"/>
    <w:rsid w:val="00895FB6"/>
    <w:rsid w:val="00896EDF"/>
    <w:rsid w:val="008A020B"/>
    <w:rsid w:val="008A23EF"/>
    <w:rsid w:val="008A2B7B"/>
    <w:rsid w:val="008B03E3"/>
    <w:rsid w:val="008B0810"/>
    <w:rsid w:val="008B0A8B"/>
    <w:rsid w:val="008B57E6"/>
    <w:rsid w:val="008B6E7F"/>
    <w:rsid w:val="008C07FC"/>
    <w:rsid w:val="008C0CC1"/>
    <w:rsid w:val="008C2DAD"/>
    <w:rsid w:val="008C2E6D"/>
    <w:rsid w:val="008C5598"/>
    <w:rsid w:val="008C5BC0"/>
    <w:rsid w:val="008C6382"/>
    <w:rsid w:val="008C7FF2"/>
    <w:rsid w:val="008D194E"/>
    <w:rsid w:val="008D1C7A"/>
    <w:rsid w:val="008E0FCF"/>
    <w:rsid w:val="008E1130"/>
    <w:rsid w:val="008E3504"/>
    <w:rsid w:val="008E3E38"/>
    <w:rsid w:val="008E4900"/>
    <w:rsid w:val="008F0C58"/>
    <w:rsid w:val="008F2F5F"/>
    <w:rsid w:val="008F4D74"/>
    <w:rsid w:val="008F649A"/>
    <w:rsid w:val="00902431"/>
    <w:rsid w:val="00902588"/>
    <w:rsid w:val="00903BCE"/>
    <w:rsid w:val="009069AC"/>
    <w:rsid w:val="00910647"/>
    <w:rsid w:val="00912080"/>
    <w:rsid w:val="00913515"/>
    <w:rsid w:val="00913839"/>
    <w:rsid w:val="00915041"/>
    <w:rsid w:val="00925EF5"/>
    <w:rsid w:val="00931781"/>
    <w:rsid w:val="00934384"/>
    <w:rsid w:val="00934AFE"/>
    <w:rsid w:val="009355B1"/>
    <w:rsid w:val="009359BE"/>
    <w:rsid w:val="00935DE7"/>
    <w:rsid w:val="00936A02"/>
    <w:rsid w:val="00941405"/>
    <w:rsid w:val="00944FD2"/>
    <w:rsid w:val="00950FEE"/>
    <w:rsid w:val="00951045"/>
    <w:rsid w:val="00952AEC"/>
    <w:rsid w:val="00952E3C"/>
    <w:rsid w:val="009563C1"/>
    <w:rsid w:val="009573D7"/>
    <w:rsid w:val="00961283"/>
    <w:rsid w:val="0096425F"/>
    <w:rsid w:val="009649C3"/>
    <w:rsid w:val="00964CB8"/>
    <w:rsid w:val="00964CDC"/>
    <w:rsid w:val="00965109"/>
    <w:rsid w:val="00972E90"/>
    <w:rsid w:val="00973B0F"/>
    <w:rsid w:val="009760ED"/>
    <w:rsid w:val="009832F8"/>
    <w:rsid w:val="00983FA1"/>
    <w:rsid w:val="00984076"/>
    <w:rsid w:val="009844D6"/>
    <w:rsid w:val="00992792"/>
    <w:rsid w:val="00996A90"/>
    <w:rsid w:val="00996C51"/>
    <w:rsid w:val="009A31CE"/>
    <w:rsid w:val="009A4662"/>
    <w:rsid w:val="009A725D"/>
    <w:rsid w:val="009B0B77"/>
    <w:rsid w:val="009B0D55"/>
    <w:rsid w:val="009B2565"/>
    <w:rsid w:val="009B3173"/>
    <w:rsid w:val="009B5D0A"/>
    <w:rsid w:val="009B65CD"/>
    <w:rsid w:val="009C52AF"/>
    <w:rsid w:val="009D000C"/>
    <w:rsid w:val="009D058C"/>
    <w:rsid w:val="009D2FBD"/>
    <w:rsid w:val="009D3849"/>
    <w:rsid w:val="009D4FA5"/>
    <w:rsid w:val="009E03AE"/>
    <w:rsid w:val="009E524E"/>
    <w:rsid w:val="009E74B1"/>
    <w:rsid w:val="009E78E5"/>
    <w:rsid w:val="009F0243"/>
    <w:rsid w:val="009F1FBF"/>
    <w:rsid w:val="009F236F"/>
    <w:rsid w:val="009F2376"/>
    <w:rsid w:val="009F267F"/>
    <w:rsid w:val="009F537F"/>
    <w:rsid w:val="009F699B"/>
    <w:rsid w:val="009F755A"/>
    <w:rsid w:val="009F75B5"/>
    <w:rsid w:val="00A03562"/>
    <w:rsid w:val="00A0547E"/>
    <w:rsid w:val="00A13685"/>
    <w:rsid w:val="00A14353"/>
    <w:rsid w:val="00A1449D"/>
    <w:rsid w:val="00A14935"/>
    <w:rsid w:val="00A15091"/>
    <w:rsid w:val="00A15233"/>
    <w:rsid w:val="00A166D1"/>
    <w:rsid w:val="00A167C2"/>
    <w:rsid w:val="00A23A10"/>
    <w:rsid w:val="00A24239"/>
    <w:rsid w:val="00A25A13"/>
    <w:rsid w:val="00A3225B"/>
    <w:rsid w:val="00A32F81"/>
    <w:rsid w:val="00A371D2"/>
    <w:rsid w:val="00A37780"/>
    <w:rsid w:val="00A37D78"/>
    <w:rsid w:val="00A4028C"/>
    <w:rsid w:val="00A409D4"/>
    <w:rsid w:val="00A43AC1"/>
    <w:rsid w:val="00A44119"/>
    <w:rsid w:val="00A4707F"/>
    <w:rsid w:val="00A4799E"/>
    <w:rsid w:val="00A52363"/>
    <w:rsid w:val="00A53D9D"/>
    <w:rsid w:val="00A54641"/>
    <w:rsid w:val="00A55703"/>
    <w:rsid w:val="00A570FC"/>
    <w:rsid w:val="00A61F6E"/>
    <w:rsid w:val="00A62EF0"/>
    <w:rsid w:val="00A66A52"/>
    <w:rsid w:val="00A67E8D"/>
    <w:rsid w:val="00A7131A"/>
    <w:rsid w:val="00A735D3"/>
    <w:rsid w:val="00A77FAB"/>
    <w:rsid w:val="00A82395"/>
    <w:rsid w:val="00A85414"/>
    <w:rsid w:val="00A877B3"/>
    <w:rsid w:val="00A90B90"/>
    <w:rsid w:val="00A9140D"/>
    <w:rsid w:val="00A929F7"/>
    <w:rsid w:val="00A951C0"/>
    <w:rsid w:val="00A96E8D"/>
    <w:rsid w:val="00A97D49"/>
    <w:rsid w:val="00AA43E3"/>
    <w:rsid w:val="00AA4830"/>
    <w:rsid w:val="00AA5FCD"/>
    <w:rsid w:val="00AA7B88"/>
    <w:rsid w:val="00AB0AD1"/>
    <w:rsid w:val="00AB30DD"/>
    <w:rsid w:val="00AB3274"/>
    <w:rsid w:val="00AB345B"/>
    <w:rsid w:val="00AB3605"/>
    <w:rsid w:val="00AB7459"/>
    <w:rsid w:val="00AC091E"/>
    <w:rsid w:val="00AC1BD6"/>
    <w:rsid w:val="00AC44A7"/>
    <w:rsid w:val="00AC45D7"/>
    <w:rsid w:val="00AC53B1"/>
    <w:rsid w:val="00AC5A5C"/>
    <w:rsid w:val="00AD0B36"/>
    <w:rsid w:val="00AD2B54"/>
    <w:rsid w:val="00AD3072"/>
    <w:rsid w:val="00AD32E9"/>
    <w:rsid w:val="00AD4A0E"/>
    <w:rsid w:val="00AD6943"/>
    <w:rsid w:val="00AE4311"/>
    <w:rsid w:val="00AF2122"/>
    <w:rsid w:val="00AF76FA"/>
    <w:rsid w:val="00B0092B"/>
    <w:rsid w:val="00B017F9"/>
    <w:rsid w:val="00B01977"/>
    <w:rsid w:val="00B027BF"/>
    <w:rsid w:val="00B02DE2"/>
    <w:rsid w:val="00B045FB"/>
    <w:rsid w:val="00B05B72"/>
    <w:rsid w:val="00B06423"/>
    <w:rsid w:val="00B0785F"/>
    <w:rsid w:val="00B101DB"/>
    <w:rsid w:val="00B10910"/>
    <w:rsid w:val="00B1109A"/>
    <w:rsid w:val="00B14AD7"/>
    <w:rsid w:val="00B15136"/>
    <w:rsid w:val="00B158A4"/>
    <w:rsid w:val="00B173F5"/>
    <w:rsid w:val="00B17AF0"/>
    <w:rsid w:val="00B2230C"/>
    <w:rsid w:val="00B247F4"/>
    <w:rsid w:val="00B32313"/>
    <w:rsid w:val="00B341AD"/>
    <w:rsid w:val="00B348AB"/>
    <w:rsid w:val="00B361E6"/>
    <w:rsid w:val="00B37458"/>
    <w:rsid w:val="00B37BC1"/>
    <w:rsid w:val="00B4184E"/>
    <w:rsid w:val="00B45429"/>
    <w:rsid w:val="00B62BC7"/>
    <w:rsid w:val="00B64CC1"/>
    <w:rsid w:val="00B6518F"/>
    <w:rsid w:val="00B655D1"/>
    <w:rsid w:val="00B666B2"/>
    <w:rsid w:val="00B73E87"/>
    <w:rsid w:val="00B80309"/>
    <w:rsid w:val="00B81801"/>
    <w:rsid w:val="00B83360"/>
    <w:rsid w:val="00B84460"/>
    <w:rsid w:val="00B84E5F"/>
    <w:rsid w:val="00B8517F"/>
    <w:rsid w:val="00B90413"/>
    <w:rsid w:val="00B94022"/>
    <w:rsid w:val="00B94494"/>
    <w:rsid w:val="00BA01CD"/>
    <w:rsid w:val="00BA25D2"/>
    <w:rsid w:val="00BA37E6"/>
    <w:rsid w:val="00BA65B8"/>
    <w:rsid w:val="00BA73DB"/>
    <w:rsid w:val="00BB1B2D"/>
    <w:rsid w:val="00BB1F6F"/>
    <w:rsid w:val="00BB363B"/>
    <w:rsid w:val="00BB55BC"/>
    <w:rsid w:val="00BB79B5"/>
    <w:rsid w:val="00BC022F"/>
    <w:rsid w:val="00BC52DA"/>
    <w:rsid w:val="00BC698B"/>
    <w:rsid w:val="00BD0FE2"/>
    <w:rsid w:val="00BD6A62"/>
    <w:rsid w:val="00BE09F1"/>
    <w:rsid w:val="00BE17BA"/>
    <w:rsid w:val="00BE3C7B"/>
    <w:rsid w:val="00BE68CD"/>
    <w:rsid w:val="00BF0EC9"/>
    <w:rsid w:val="00BF3C4D"/>
    <w:rsid w:val="00BF4DA6"/>
    <w:rsid w:val="00C02153"/>
    <w:rsid w:val="00C0764D"/>
    <w:rsid w:val="00C12001"/>
    <w:rsid w:val="00C13370"/>
    <w:rsid w:val="00C14B52"/>
    <w:rsid w:val="00C15276"/>
    <w:rsid w:val="00C20EA7"/>
    <w:rsid w:val="00C233A2"/>
    <w:rsid w:val="00C23BC5"/>
    <w:rsid w:val="00C3529B"/>
    <w:rsid w:val="00C37302"/>
    <w:rsid w:val="00C37A52"/>
    <w:rsid w:val="00C416CC"/>
    <w:rsid w:val="00C46A44"/>
    <w:rsid w:val="00C47BDD"/>
    <w:rsid w:val="00C53891"/>
    <w:rsid w:val="00C551B7"/>
    <w:rsid w:val="00C552CE"/>
    <w:rsid w:val="00C61B10"/>
    <w:rsid w:val="00C62252"/>
    <w:rsid w:val="00C63725"/>
    <w:rsid w:val="00C6796B"/>
    <w:rsid w:val="00C73782"/>
    <w:rsid w:val="00C74307"/>
    <w:rsid w:val="00C77933"/>
    <w:rsid w:val="00C820D0"/>
    <w:rsid w:val="00C8280F"/>
    <w:rsid w:val="00C83016"/>
    <w:rsid w:val="00C836AE"/>
    <w:rsid w:val="00C865F3"/>
    <w:rsid w:val="00C9226A"/>
    <w:rsid w:val="00C929FC"/>
    <w:rsid w:val="00C94445"/>
    <w:rsid w:val="00C945D1"/>
    <w:rsid w:val="00C94F88"/>
    <w:rsid w:val="00C97902"/>
    <w:rsid w:val="00CA17B0"/>
    <w:rsid w:val="00CA209F"/>
    <w:rsid w:val="00CA5EED"/>
    <w:rsid w:val="00CB32E7"/>
    <w:rsid w:val="00CB4611"/>
    <w:rsid w:val="00CB4C2C"/>
    <w:rsid w:val="00CB6D17"/>
    <w:rsid w:val="00CC0568"/>
    <w:rsid w:val="00CC32D7"/>
    <w:rsid w:val="00CC4368"/>
    <w:rsid w:val="00CC6CF7"/>
    <w:rsid w:val="00CE1EE5"/>
    <w:rsid w:val="00CE29C3"/>
    <w:rsid w:val="00CE3E79"/>
    <w:rsid w:val="00CE6D96"/>
    <w:rsid w:val="00CF0DD5"/>
    <w:rsid w:val="00CF2B76"/>
    <w:rsid w:val="00CF62CB"/>
    <w:rsid w:val="00D00E18"/>
    <w:rsid w:val="00D015F2"/>
    <w:rsid w:val="00D02589"/>
    <w:rsid w:val="00D03007"/>
    <w:rsid w:val="00D074CD"/>
    <w:rsid w:val="00D11721"/>
    <w:rsid w:val="00D1287E"/>
    <w:rsid w:val="00D13AFA"/>
    <w:rsid w:val="00D14F0B"/>
    <w:rsid w:val="00D16F8B"/>
    <w:rsid w:val="00D20333"/>
    <w:rsid w:val="00D2054C"/>
    <w:rsid w:val="00D21D88"/>
    <w:rsid w:val="00D23870"/>
    <w:rsid w:val="00D264E6"/>
    <w:rsid w:val="00D2756B"/>
    <w:rsid w:val="00D27C67"/>
    <w:rsid w:val="00D36924"/>
    <w:rsid w:val="00D47098"/>
    <w:rsid w:val="00D471A8"/>
    <w:rsid w:val="00D479C8"/>
    <w:rsid w:val="00D51116"/>
    <w:rsid w:val="00D552E3"/>
    <w:rsid w:val="00D56B91"/>
    <w:rsid w:val="00D56FFC"/>
    <w:rsid w:val="00D57050"/>
    <w:rsid w:val="00D60CC5"/>
    <w:rsid w:val="00D634BD"/>
    <w:rsid w:val="00D6456F"/>
    <w:rsid w:val="00D65973"/>
    <w:rsid w:val="00D67104"/>
    <w:rsid w:val="00D70369"/>
    <w:rsid w:val="00D70E97"/>
    <w:rsid w:val="00D7410F"/>
    <w:rsid w:val="00D74E48"/>
    <w:rsid w:val="00D82A87"/>
    <w:rsid w:val="00D848F9"/>
    <w:rsid w:val="00D92806"/>
    <w:rsid w:val="00D93173"/>
    <w:rsid w:val="00D96478"/>
    <w:rsid w:val="00D97606"/>
    <w:rsid w:val="00D97DED"/>
    <w:rsid w:val="00DA7C9C"/>
    <w:rsid w:val="00DB2F70"/>
    <w:rsid w:val="00DC11EF"/>
    <w:rsid w:val="00DC288E"/>
    <w:rsid w:val="00DC2C57"/>
    <w:rsid w:val="00DD1BB8"/>
    <w:rsid w:val="00DD1C37"/>
    <w:rsid w:val="00DD7B9C"/>
    <w:rsid w:val="00DE06AA"/>
    <w:rsid w:val="00DE17CC"/>
    <w:rsid w:val="00DE2020"/>
    <w:rsid w:val="00DE2C37"/>
    <w:rsid w:val="00DE2E5B"/>
    <w:rsid w:val="00DE3DC3"/>
    <w:rsid w:val="00DE6C33"/>
    <w:rsid w:val="00DE74E8"/>
    <w:rsid w:val="00DE7D1D"/>
    <w:rsid w:val="00DF06EA"/>
    <w:rsid w:val="00DF448A"/>
    <w:rsid w:val="00E04066"/>
    <w:rsid w:val="00E063A1"/>
    <w:rsid w:val="00E104EF"/>
    <w:rsid w:val="00E11F18"/>
    <w:rsid w:val="00E131A2"/>
    <w:rsid w:val="00E13837"/>
    <w:rsid w:val="00E20CF3"/>
    <w:rsid w:val="00E21C78"/>
    <w:rsid w:val="00E27805"/>
    <w:rsid w:val="00E35D00"/>
    <w:rsid w:val="00E37AD7"/>
    <w:rsid w:val="00E44ECF"/>
    <w:rsid w:val="00E50C69"/>
    <w:rsid w:val="00E52DF9"/>
    <w:rsid w:val="00E54560"/>
    <w:rsid w:val="00E57191"/>
    <w:rsid w:val="00E60567"/>
    <w:rsid w:val="00E626B3"/>
    <w:rsid w:val="00E62DD0"/>
    <w:rsid w:val="00E6329A"/>
    <w:rsid w:val="00E65860"/>
    <w:rsid w:val="00E67DD3"/>
    <w:rsid w:val="00E72874"/>
    <w:rsid w:val="00E742DB"/>
    <w:rsid w:val="00E7599F"/>
    <w:rsid w:val="00E7602C"/>
    <w:rsid w:val="00E761DE"/>
    <w:rsid w:val="00E813A6"/>
    <w:rsid w:val="00E813E7"/>
    <w:rsid w:val="00E81956"/>
    <w:rsid w:val="00E85114"/>
    <w:rsid w:val="00E865F4"/>
    <w:rsid w:val="00E927F4"/>
    <w:rsid w:val="00E955EB"/>
    <w:rsid w:val="00EA0491"/>
    <w:rsid w:val="00EA20D1"/>
    <w:rsid w:val="00EA4F74"/>
    <w:rsid w:val="00EB0D1A"/>
    <w:rsid w:val="00EB1254"/>
    <w:rsid w:val="00EB1A0A"/>
    <w:rsid w:val="00EB3ADC"/>
    <w:rsid w:val="00EB4F1E"/>
    <w:rsid w:val="00EB55BF"/>
    <w:rsid w:val="00EB6C3E"/>
    <w:rsid w:val="00EB7A51"/>
    <w:rsid w:val="00EC3488"/>
    <w:rsid w:val="00ED13F6"/>
    <w:rsid w:val="00ED26E7"/>
    <w:rsid w:val="00ED3200"/>
    <w:rsid w:val="00ED34F8"/>
    <w:rsid w:val="00ED3E17"/>
    <w:rsid w:val="00ED54B1"/>
    <w:rsid w:val="00EE1FA6"/>
    <w:rsid w:val="00EE2AE4"/>
    <w:rsid w:val="00EE4DC6"/>
    <w:rsid w:val="00EE6489"/>
    <w:rsid w:val="00EE7928"/>
    <w:rsid w:val="00EF11B7"/>
    <w:rsid w:val="00EF18BC"/>
    <w:rsid w:val="00EF6608"/>
    <w:rsid w:val="00EF6B14"/>
    <w:rsid w:val="00EF7467"/>
    <w:rsid w:val="00F014E8"/>
    <w:rsid w:val="00F04032"/>
    <w:rsid w:val="00F065BB"/>
    <w:rsid w:val="00F071BE"/>
    <w:rsid w:val="00F10E4C"/>
    <w:rsid w:val="00F11177"/>
    <w:rsid w:val="00F11F29"/>
    <w:rsid w:val="00F120CB"/>
    <w:rsid w:val="00F14117"/>
    <w:rsid w:val="00F1533B"/>
    <w:rsid w:val="00F158AC"/>
    <w:rsid w:val="00F1634F"/>
    <w:rsid w:val="00F1641E"/>
    <w:rsid w:val="00F1722F"/>
    <w:rsid w:val="00F17972"/>
    <w:rsid w:val="00F21933"/>
    <w:rsid w:val="00F25D46"/>
    <w:rsid w:val="00F3002F"/>
    <w:rsid w:val="00F325F1"/>
    <w:rsid w:val="00F334EF"/>
    <w:rsid w:val="00F33868"/>
    <w:rsid w:val="00F3513E"/>
    <w:rsid w:val="00F36ACC"/>
    <w:rsid w:val="00F40170"/>
    <w:rsid w:val="00F40644"/>
    <w:rsid w:val="00F415E4"/>
    <w:rsid w:val="00F4644B"/>
    <w:rsid w:val="00F50087"/>
    <w:rsid w:val="00F53A86"/>
    <w:rsid w:val="00F63164"/>
    <w:rsid w:val="00F66D37"/>
    <w:rsid w:val="00F673F7"/>
    <w:rsid w:val="00F7383F"/>
    <w:rsid w:val="00F73A6F"/>
    <w:rsid w:val="00F7440F"/>
    <w:rsid w:val="00F76AE9"/>
    <w:rsid w:val="00F85D03"/>
    <w:rsid w:val="00F9189F"/>
    <w:rsid w:val="00F91FAB"/>
    <w:rsid w:val="00F92974"/>
    <w:rsid w:val="00F94CFA"/>
    <w:rsid w:val="00F95EDA"/>
    <w:rsid w:val="00FA1165"/>
    <w:rsid w:val="00FA3366"/>
    <w:rsid w:val="00FB1239"/>
    <w:rsid w:val="00FB3493"/>
    <w:rsid w:val="00FB34DD"/>
    <w:rsid w:val="00FB4053"/>
    <w:rsid w:val="00FB5A5C"/>
    <w:rsid w:val="00FB5BBA"/>
    <w:rsid w:val="00FB712B"/>
    <w:rsid w:val="00FB78E6"/>
    <w:rsid w:val="00FC01A5"/>
    <w:rsid w:val="00FC02C7"/>
    <w:rsid w:val="00FC0F7A"/>
    <w:rsid w:val="00FC4653"/>
    <w:rsid w:val="00FC5F47"/>
    <w:rsid w:val="00FD04AA"/>
    <w:rsid w:val="00FD6BA2"/>
    <w:rsid w:val="00FD6DC2"/>
    <w:rsid w:val="00FE4534"/>
    <w:rsid w:val="00FE4B37"/>
    <w:rsid w:val="00FE4F9C"/>
    <w:rsid w:val="00FE7F43"/>
    <w:rsid w:val="00FF02FB"/>
    <w:rsid w:val="00FF1C66"/>
    <w:rsid w:val="00FF2260"/>
    <w:rsid w:val="00FF2766"/>
    <w:rsid w:val="00FF3962"/>
    <w:rsid w:val="00FF4031"/>
    <w:rsid w:val="02DC207D"/>
    <w:rsid w:val="04701BB7"/>
    <w:rsid w:val="09EA6D07"/>
    <w:rsid w:val="0A3C081C"/>
    <w:rsid w:val="0CD31FC3"/>
    <w:rsid w:val="11376561"/>
    <w:rsid w:val="13C4419E"/>
    <w:rsid w:val="1CBA5BAC"/>
    <w:rsid w:val="1D207072"/>
    <w:rsid w:val="1D78202D"/>
    <w:rsid w:val="208307A3"/>
    <w:rsid w:val="25194393"/>
    <w:rsid w:val="276156D7"/>
    <w:rsid w:val="29127C94"/>
    <w:rsid w:val="2A390BBA"/>
    <w:rsid w:val="2E68750F"/>
    <w:rsid w:val="360B5776"/>
    <w:rsid w:val="37DA4B74"/>
    <w:rsid w:val="423538E6"/>
    <w:rsid w:val="42F118BE"/>
    <w:rsid w:val="46E57D98"/>
    <w:rsid w:val="49F07C68"/>
    <w:rsid w:val="4AE75708"/>
    <w:rsid w:val="4CA75E36"/>
    <w:rsid w:val="540E1CD7"/>
    <w:rsid w:val="62F32DA5"/>
    <w:rsid w:val="63BC07D0"/>
    <w:rsid w:val="666964E2"/>
    <w:rsid w:val="6BE539C3"/>
    <w:rsid w:val="6C4F67A7"/>
    <w:rsid w:val="6CB23A62"/>
    <w:rsid w:val="70E8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qFormat/>
    <w:uiPriority w:val="0"/>
    <w:pPr>
      <w:keepNext/>
      <w:snapToGrid w:val="0"/>
      <w:jc w:val="center"/>
      <w:outlineLvl w:val="0"/>
    </w:pPr>
    <w:rPr>
      <w:rFonts w:ascii="黑体" w:eastAsia="黑体"/>
      <w:sz w:val="32"/>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hint="eastAsia"/>
    </w:rPr>
  </w:style>
  <w:style w:type="paragraph" w:styleId="6">
    <w:name w:val="caption"/>
    <w:basedOn w:val="1"/>
    <w:next w:val="1"/>
    <w:qFormat/>
    <w:uiPriority w:val="0"/>
    <w:pPr>
      <w:spacing w:before="152" w:after="160"/>
    </w:pPr>
    <w:rPr>
      <w:rFonts w:ascii="Arial" w:hAnsi="Arial" w:eastAsia="黑体"/>
    </w:rPr>
  </w:style>
  <w:style w:type="paragraph" w:styleId="7">
    <w:name w:val="Document Map"/>
    <w:basedOn w:val="1"/>
    <w:uiPriority w:val="0"/>
    <w:pPr>
      <w:shd w:val="clear" w:color="auto" w:fill="000080"/>
    </w:pPr>
  </w:style>
  <w:style w:type="paragraph" w:styleId="8">
    <w:name w:val="annotation text"/>
    <w:basedOn w:val="1"/>
    <w:qFormat/>
    <w:uiPriority w:val="0"/>
    <w:pPr>
      <w:jc w:val="left"/>
    </w:pPr>
  </w:style>
  <w:style w:type="paragraph" w:styleId="9">
    <w:name w:val="Body Text"/>
    <w:basedOn w:val="1"/>
    <w:qFormat/>
    <w:uiPriority w:val="0"/>
    <w:pPr>
      <w:jc w:val="center"/>
    </w:pPr>
    <w:rPr>
      <w:rFonts w:ascii="宋体" w:hAnsi="宋体"/>
      <w:sz w:val="18"/>
    </w:rPr>
  </w:style>
  <w:style w:type="paragraph" w:styleId="10">
    <w:name w:val="Body Text Indent"/>
    <w:basedOn w:val="1"/>
    <w:qFormat/>
    <w:uiPriority w:val="0"/>
    <w:pPr>
      <w:snapToGrid w:val="0"/>
      <w:spacing w:line="340" w:lineRule="atLeast"/>
      <w:ind w:firstLine="420"/>
    </w:pPr>
  </w:style>
  <w:style w:type="paragraph" w:styleId="11">
    <w:name w:val="Date"/>
    <w:basedOn w:val="1"/>
    <w:next w:val="1"/>
    <w:qFormat/>
    <w:uiPriority w:val="0"/>
  </w:style>
  <w:style w:type="paragraph" w:styleId="12">
    <w:name w:val="Body Text Indent 2"/>
    <w:basedOn w:val="1"/>
    <w:qFormat/>
    <w:uiPriority w:val="0"/>
    <w:pPr>
      <w:snapToGrid w:val="0"/>
      <w:spacing w:before="240"/>
      <w:ind w:firstLine="435"/>
    </w:pPr>
    <w:rPr>
      <w:rFonts w:eastAsia="方正行楷简体"/>
    </w:rPr>
  </w:style>
  <w:style w:type="paragraph" w:styleId="13">
    <w:name w:val="endnote text"/>
    <w:basedOn w:val="1"/>
    <w:qFormat/>
    <w:uiPriority w:val="0"/>
    <w:pPr>
      <w:snapToGrid w:val="0"/>
      <w:jc w:val="left"/>
    </w:p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rPr>
      <w:rFonts w:ascii="黑体" w:hAnsi="宋体" w:eastAsia="黑体"/>
      <w:sz w:val="18"/>
    </w:r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snapToGrid w:val="0"/>
      <w:spacing w:line="320" w:lineRule="exact"/>
      <w:ind w:firstLine="420"/>
    </w:pPr>
    <w:rPr>
      <w:sz w:val="24"/>
    </w:rPr>
  </w:style>
  <w:style w:type="paragraph" w:styleId="20">
    <w:name w:val="Body Text 2"/>
    <w:basedOn w:val="1"/>
    <w:qFormat/>
    <w:uiPriority w:val="0"/>
    <w:pPr>
      <w:spacing w:after="120" w:line="480" w:lineRule="auto"/>
    </w:pPr>
  </w:style>
  <w:style w:type="paragraph" w:styleId="21">
    <w:name w:val="annotation subject"/>
    <w:basedOn w:val="8"/>
    <w:next w:val="8"/>
    <w:qFormat/>
    <w:uiPriority w:val="0"/>
    <w:rPr>
      <w:b/>
      <w:bCs/>
    </w:rPr>
  </w:style>
  <w:style w:type="paragraph" w:styleId="22">
    <w:name w:val="Body Text First Indent"/>
    <w:basedOn w:val="9"/>
    <w:qFormat/>
    <w:uiPriority w:val="0"/>
    <w:pPr>
      <w:spacing w:after="120"/>
      <w:ind w:firstLine="420" w:firstLineChars="100"/>
      <w:jc w:val="both"/>
    </w:pPr>
    <w:rPr>
      <w:rFonts w:ascii="Times New Roman" w:hAnsi="Times New Roman"/>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endnote reference"/>
    <w:qFormat/>
    <w:uiPriority w:val="0"/>
    <w:rPr>
      <w:vertAlign w:val="superscript"/>
    </w:rPr>
  </w:style>
  <w:style w:type="character" w:styleId="28">
    <w:name w:val="page number"/>
    <w:basedOn w:val="25"/>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paragraph" w:customStyle="1" w:styleId="33">
    <w:name w:val="Char Char Char Char Char Char"/>
    <w:basedOn w:val="1"/>
    <w:qFormat/>
    <w:uiPriority w:val="0"/>
    <w:pPr>
      <w:adjustRightInd w:val="0"/>
      <w:snapToGrid w:val="0"/>
      <w:spacing w:line="360" w:lineRule="auto"/>
      <w:ind w:firstLine="640" w:firstLineChars="200"/>
    </w:pPr>
    <w:rPr>
      <w:rFonts w:eastAsia="仿宋_GB2312"/>
      <w:sz w:val="32"/>
      <w:szCs w:val="32"/>
    </w:rPr>
  </w:style>
  <w:style w:type="paragraph" w:customStyle="1" w:styleId="34">
    <w:name w:val="标准称谓"/>
    <w:next w:val="1"/>
    <w:qFormat/>
    <w:uiPriority w:val="0"/>
    <w:pPr>
      <w:widowControl w:val="0"/>
      <w:kinsoku w:val="0"/>
      <w:overflowPunct w:val="0"/>
      <w:autoSpaceDE w:val="0"/>
      <w:autoSpaceDN w:val="0"/>
      <w:spacing w:line="0" w:lineRule="atLeast"/>
      <w:jc w:val="distribute"/>
    </w:pPr>
    <w:rPr>
      <w:rFonts w:ascii="宋体" w:hAnsi="Times New Roman" w:eastAsia="Times New Roman" w:cs="Times New Roman"/>
      <w:b/>
      <w:spacing w:val="20"/>
      <w:w w:val="148"/>
      <w:sz w:val="52"/>
      <w:lang w:val="en-US" w:eastAsia="zh-CN" w:bidi="ar-SA"/>
    </w:rPr>
  </w:style>
  <w:style w:type="paragraph" w:customStyle="1" w:styleId="35">
    <w:name w:val="三级条标题"/>
    <w:basedOn w:val="36"/>
    <w:next w:val="38"/>
    <w:qFormat/>
    <w:uiPriority w:val="0"/>
    <w:pPr>
      <w:tabs>
        <w:tab w:val="left" w:pos="720"/>
      </w:tabs>
      <w:ind w:left="0" w:firstLine="0"/>
    </w:pPr>
  </w:style>
  <w:style w:type="paragraph" w:customStyle="1" w:styleId="36">
    <w:name w:val="二级条标题"/>
    <w:basedOn w:val="37"/>
    <w:next w:val="1"/>
    <w:qFormat/>
    <w:uiPriority w:val="0"/>
    <w:pPr>
      <w:tabs>
        <w:tab w:val="left" w:pos="720"/>
      </w:tabs>
      <w:ind w:left="720" w:hanging="720"/>
    </w:pPr>
  </w:style>
  <w:style w:type="paragraph" w:customStyle="1" w:styleId="37">
    <w:name w:val="一级条标题"/>
    <w:basedOn w:val="1"/>
    <w:next w:val="1"/>
    <w:qFormat/>
    <w:uiPriority w:val="0"/>
    <w:pPr>
      <w:widowControl/>
    </w:pPr>
    <w:rPr>
      <w:rFonts w:ascii="黑体" w:eastAsia="黑体"/>
      <w:kern w:val="0"/>
    </w:rPr>
  </w:style>
  <w:style w:type="paragraph" w:customStyle="1" w:styleId="38">
    <w:name w:val="段"/>
    <w:link w:val="6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9">
    <w:name w:val="封面正文"/>
    <w:qFormat/>
    <w:uiPriority w:val="0"/>
    <w:pPr>
      <w:jc w:val="both"/>
    </w:pPr>
    <w:rPr>
      <w:rFonts w:ascii="Times New Roman" w:hAnsi="Times New Roman" w:eastAsia="Times New Roman" w:cs="Times New Roman"/>
      <w:lang w:val="en-US" w:eastAsia="zh-CN" w:bidi="ar-SA"/>
    </w:rPr>
  </w:style>
  <w:style w:type="paragraph" w:customStyle="1" w:styleId="40">
    <w:name w:val="附录三级条标题"/>
    <w:basedOn w:val="41"/>
    <w:next w:val="38"/>
    <w:qFormat/>
    <w:uiPriority w:val="0"/>
    <w:pPr>
      <w:tabs>
        <w:tab w:val="left" w:pos="360"/>
      </w:tabs>
    </w:pPr>
  </w:style>
  <w:style w:type="paragraph" w:customStyle="1" w:styleId="41">
    <w:name w:val="附录二级条标题"/>
    <w:basedOn w:val="42"/>
    <w:next w:val="38"/>
    <w:qFormat/>
    <w:uiPriority w:val="0"/>
    <w:pPr>
      <w:tabs>
        <w:tab w:val="left" w:pos="360"/>
      </w:tabs>
      <w:ind w:left="0"/>
    </w:pPr>
  </w:style>
  <w:style w:type="paragraph" w:customStyle="1" w:styleId="42">
    <w:name w:val="附录一级条标题"/>
    <w:basedOn w:val="43"/>
    <w:next w:val="38"/>
    <w:qFormat/>
    <w:uiPriority w:val="0"/>
    <w:pPr>
      <w:autoSpaceDN w:val="0"/>
      <w:spacing w:before="0" w:after="0"/>
      <w:ind w:left="1050"/>
    </w:pPr>
  </w:style>
  <w:style w:type="paragraph" w:customStyle="1" w:styleId="43">
    <w:name w:val="附录章标题"/>
    <w:next w:val="38"/>
    <w:uiPriority w:val="0"/>
    <w:pPr>
      <w:wordWrap w:val="0"/>
      <w:overflowPunct w:val="0"/>
      <w:autoSpaceDE w:val="0"/>
      <w:spacing w:before="50" w:after="50"/>
      <w:jc w:val="both"/>
      <w:textAlignment w:val="baseline"/>
    </w:pPr>
    <w:rPr>
      <w:rFonts w:ascii="黑体" w:hAnsi="Times New Roman" w:eastAsia="黑体" w:cs="Times New Roman"/>
      <w:kern w:val="21"/>
      <w:sz w:val="21"/>
      <w:lang w:val="en-US" w:eastAsia="zh-CN" w:bidi="ar-SA"/>
    </w:rPr>
  </w:style>
  <w:style w:type="paragraph" w:customStyle="1" w:styleId="44">
    <w:name w:val="附录四级条标题"/>
    <w:basedOn w:val="40"/>
    <w:next w:val="38"/>
    <w:qFormat/>
    <w:uiPriority w:val="0"/>
  </w:style>
  <w:style w:type="paragraph" w:customStyle="1" w:styleId="45">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46">
    <w:name w:val="五级条标题"/>
    <w:basedOn w:val="47"/>
    <w:next w:val="38"/>
    <w:qFormat/>
    <w:uiPriority w:val="0"/>
    <w:pPr>
      <w:tabs>
        <w:tab w:val="left" w:pos="720"/>
      </w:tabs>
    </w:pPr>
  </w:style>
  <w:style w:type="paragraph" w:customStyle="1" w:styleId="47">
    <w:name w:val="四级条标题"/>
    <w:basedOn w:val="35"/>
    <w:next w:val="38"/>
    <w:qFormat/>
    <w:uiPriority w:val="0"/>
  </w:style>
  <w:style w:type="paragraph" w:customStyle="1" w:styleId="48">
    <w:name w:val="附录五级条标题"/>
    <w:basedOn w:val="44"/>
    <w:next w:val="38"/>
    <w:qFormat/>
    <w:uiPriority w:val="0"/>
  </w:style>
  <w:style w:type="paragraph" w:customStyle="1" w:styleId="49">
    <w:name w:val="章标题"/>
    <w:next w:val="38"/>
    <w:qFormat/>
    <w:uiPriority w:val="0"/>
    <w:pPr>
      <w:spacing w:before="50" w:after="50"/>
      <w:jc w:val="both"/>
    </w:pPr>
    <w:rPr>
      <w:rFonts w:ascii="黑体" w:hAnsi="Times New Roman" w:eastAsia="黑体" w:cs="Times New Roman"/>
      <w:sz w:val="21"/>
      <w:lang w:val="en-US" w:eastAsia="zh-CN" w:bidi="ar-SA"/>
    </w:rPr>
  </w:style>
  <w:style w:type="paragraph" w:customStyle="1" w:styleId="50">
    <w:name w:val="发布部门"/>
    <w:next w:val="1"/>
    <w:qFormat/>
    <w:uiPriority w:val="0"/>
    <w:pPr>
      <w:jc w:val="center"/>
    </w:pPr>
    <w:rPr>
      <w:rFonts w:ascii="宋体" w:hAnsi="Times New Roman" w:eastAsia="Times New Roman" w:cs="Times New Roman"/>
      <w:b/>
      <w:spacing w:val="20"/>
      <w:w w:val="135"/>
      <w:sz w:val="36"/>
      <w:lang w:val="en-US" w:eastAsia="zh-CN" w:bidi="ar-SA"/>
    </w:rPr>
  </w:style>
  <w:style w:type="paragraph" w:customStyle="1" w:styleId="51">
    <w:name w:val="标准书脚_奇数页"/>
    <w:qFormat/>
    <w:uiPriority w:val="0"/>
    <w:pPr>
      <w:spacing w:before="120"/>
      <w:jc w:val="right"/>
    </w:pPr>
    <w:rPr>
      <w:rFonts w:ascii="Times New Roman" w:hAnsi="Times New Roman" w:eastAsia="Times New Roman" w:cs="Times New Roman"/>
      <w:sz w:val="18"/>
      <w:lang w:val="en-US" w:eastAsia="zh-CN" w:bidi="ar-SA"/>
    </w:rPr>
  </w:style>
  <w:style w:type="paragraph" w:customStyle="1" w:styleId="52">
    <w:name w:val="标准书脚_偶数页"/>
    <w:qFormat/>
    <w:uiPriority w:val="0"/>
    <w:pPr>
      <w:spacing w:before="120"/>
    </w:pPr>
    <w:rPr>
      <w:rFonts w:ascii="Times New Roman" w:hAnsi="Times New Roman" w:eastAsia="Times New Roman"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Times New Roman" w:cs="Times New Roman"/>
      <w:sz w:val="21"/>
      <w:lang w:val="en-US" w:eastAsia="zh-CN" w:bidi="ar-SA"/>
    </w:rPr>
  </w:style>
  <w:style w:type="paragraph" w:customStyle="1" w:styleId="54">
    <w:name w:val="附录标识"/>
    <w:basedOn w:val="55"/>
    <w:qFormat/>
    <w:uiPriority w:val="0"/>
    <w:pPr>
      <w:tabs>
        <w:tab w:val="left" w:pos="6405"/>
      </w:tabs>
      <w:spacing w:after="200"/>
    </w:pPr>
    <w:rPr>
      <w:sz w:val="21"/>
    </w:rPr>
  </w:style>
  <w:style w:type="paragraph" w:customStyle="1" w:styleId="55">
    <w:name w:val="前言、引言标题"/>
    <w:next w:val="1"/>
    <w:qFormat/>
    <w:uiPriority w:val="0"/>
    <w:pPr>
      <w:shd w:val="clear" w:color="FFFFFF" w:fill="FFFFFF"/>
      <w:spacing w:before="640" w:after="560"/>
      <w:jc w:val="center"/>
    </w:pPr>
    <w:rPr>
      <w:rFonts w:ascii="黑体" w:hAnsi="Times New Roman" w:eastAsia="黑体" w:cs="Times New Roman"/>
      <w:sz w:val="32"/>
      <w:lang w:val="en-US" w:eastAsia="zh-CN" w:bidi="ar-SA"/>
    </w:rPr>
  </w:style>
  <w:style w:type="paragraph" w:customStyle="1" w:styleId="56">
    <w:name w:val="标准书眉一"/>
    <w:qFormat/>
    <w:uiPriority w:val="0"/>
    <w:pPr>
      <w:jc w:val="both"/>
    </w:pPr>
    <w:rPr>
      <w:rFonts w:ascii="Times New Roman" w:hAnsi="Times New Roman" w:eastAsia="Times New Roman" w:cs="Times New Roman"/>
      <w:lang w:val="en-US" w:eastAsia="zh-CN" w:bidi="ar-SA"/>
    </w:rPr>
  </w:style>
  <w:style w:type="paragraph" w:customStyle="1" w:styleId="57">
    <w:name w:val="标准书眉_偶数页"/>
    <w:basedOn w:val="53"/>
    <w:next w:val="1"/>
    <w:qFormat/>
    <w:uiPriority w:val="0"/>
    <w:pPr>
      <w:jc w:val="left"/>
    </w:pPr>
  </w:style>
  <w:style w:type="paragraph" w:customStyle="1" w:styleId="58">
    <w:name w:val="文献分类号"/>
    <w:qFormat/>
    <w:uiPriority w:val="0"/>
    <w:pPr>
      <w:widowControl w:val="0"/>
      <w:textAlignment w:val="center"/>
    </w:pPr>
    <w:rPr>
      <w:rFonts w:ascii="Times New Roman" w:hAnsi="Times New Roman" w:eastAsia="黑体" w:cs="Times New Roman"/>
      <w:sz w:val="21"/>
      <w:lang w:val="en-US" w:eastAsia="zh-CN" w:bidi="ar-SA"/>
    </w:rPr>
  </w:style>
  <w:style w:type="character" w:customStyle="1" w:styleId="59">
    <w:name w:val="highlight1"/>
    <w:qFormat/>
    <w:uiPriority w:val="0"/>
    <w:rPr>
      <w:shd w:val="clear" w:color="auto" w:fill="FFFF00"/>
    </w:rPr>
  </w:style>
  <w:style w:type="character" w:customStyle="1" w:styleId="60">
    <w:name w:val="bluetxt1"/>
    <w:basedOn w:val="25"/>
    <w:qFormat/>
    <w:uiPriority w:val="0"/>
  </w:style>
  <w:style w:type="character" w:customStyle="1" w:styleId="61">
    <w:name w:val="段 Char"/>
    <w:link w:val="38"/>
    <w:qFormat/>
    <w:uiPriority w:val="0"/>
    <w:rPr>
      <w:rFonts w:ascii="宋体" w:eastAsia="Times New Roman"/>
      <w:sz w:val="21"/>
    </w:rPr>
  </w:style>
  <w:style w:type="paragraph" w:customStyle="1" w:styleId="62">
    <w:name w:val="注："/>
    <w:next w:val="38"/>
    <w:qFormat/>
    <w:uiPriority w:val="0"/>
    <w:pPr>
      <w:widowControl w:val="0"/>
      <w:numPr>
        <w:ilvl w:val="0"/>
        <w:numId w:val="1"/>
      </w:numPr>
      <w:autoSpaceDE w:val="0"/>
      <w:autoSpaceDN w:val="0"/>
      <w:jc w:val="both"/>
    </w:pPr>
    <w:rPr>
      <w:rFonts w:ascii="宋体" w:hAnsi="Calibri" w:eastAsia="宋体" w:cs="Calibri"/>
      <w:sz w:val="18"/>
      <w:szCs w:val="18"/>
      <w:lang w:val="en-US" w:eastAsia="zh-CN" w:bidi="ar-SA"/>
    </w:rPr>
  </w:style>
  <w:style w:type="paragraph" w:customStyle="1" w:styleId="63">
    <w:name w:val="注×："/>
    <w:qFormat/>
    <w:uiPriority w:val="0"/>
    <w:pPr>
      <w:widowControl w:val="0"/>
      <w:tabs>
        <w:tab w:val="left" w:pos="720"/>
      </w:tabs>
      <w:autoSpaceDE w:val="0"/>
      <w:autoSpaceDN w:val="0"/>
      <w:ind w:left="720" w:hanging="720"/>
      <w:jc w:val="both"/>
    </w:pPr>
    <w:rPr>
      <w:rFonts w:ascii="宋体" w:hAnsi="Calibri" w:eastAsia="宋体" w:cs="Calibri"/>
      <w:sz w:val="18"/>
      <w:szCs w:val="18"/>
      <w:lang w:val="en-US" w:eastAsia="zh-CN" w:bidi="ar-SA"/>
    </w:rPr>
  </w:style>
  <w:style w:type="paragraph" w:customStyle="1" w:styleId="64">
    <w:name w:val="正文公式编号制表符"/>
    <w:basedOn w:val="38"/>
    <w:next w:val="38"/>
    <w:qFormat/>
    <w:uiPriority w:val="0"/>
    <w:pPr>
      <w:tabs>
        <w:tab w:val="center" w:pos="4201"/>
        <w:tab w:val="right" w:leader="dot" w:pos="9298"/>
      </w:tabs>
      <w:ind w:firstLine="0" w:firstLineChars="0"/>
    </w:pPr>
    <w:rPr>
      <w:rFonts w:hAnsi="Calibri" w:eastAsia="宋体" w:cs="Calibri"/>
    </w:rPr>
  </w:style>
  <w:style w:type="paragraph" w:styleId="65">
    <w:name w:val="List Paragraph"/>
    <w:basedOn w:val="1"/>
    <w:qFormat/>
    <w:uiPriority w:val="99"/>
    <w:pPr>
      <w:ind w:firstLine="420" w:firstLineChars="200"/>
    </w:pPr>
  </w:style>
  <w:style w:type="paragraph" w:customStyle="1" w:styleId="66">
    <w:name w:val="封面标准英文名称"/>
    <w:qFormat/>
    <w:uiPriority w:val="0"/>
    <w:pPr>
      <w:widowControl w:val="0"/>
      <w:spacing w:before="370" w:line="400" w:lineRule="exact"/>
      <w:jc w:val="center"/>
    </w:pPr>
    <w:rPr>
      <w:rFonts w:ascii="MingLiU" w:hAnsi="MingLiU" w:eastAsia="Gungsuh" w:cs="MingLiU"/>
      <w:sz w:val="28"/>
      <w:lang w:val="en-US" w:eastAsia="zh-CN" w:bidi="ar-SA"/>
    </w:rPr>
  </w:style>
  <w:style w:type="paragraph" w:customStyle="1" w:styleId="67">
    <w:name w:val="目次、标准名称标题"/>
    <w:basedOn w:val="55"/>
    <w:next w:val="38"/>
    <w:uiPriority w:val="0"/>
    <w:pPr>
      <w:spacing w:line="460" w:lineRule="exact"/>
      <w:outlineLvl w:val="0"/>
    </w:pPr>
    <w:rPr>
      <w:rFonts w:ascii="Cambria Math" w:hAnsi="MingLiU" w:eastAsia="Cambria Math" w:cs="MingLiU"/>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904</Words>
  <Characters>5154</Characters>
  <Lines>42</Lines>
  <Paragraphs>12</Paragraphs>
  <TotalTime>2370</TotalTime>
  <ScaleCrop>false</ScaleCrop>
  <LinksUpToDate>false</LinksUpToDate>
  <CharactersWithSpaces>6046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2020-01-03T02:45:00Z</dcterms:created>
  <dc:creator>Liu Guiqing</dc:creator>
  <cp:lastModifiedBy>CathayMok</cp:lastModifiedBy>
  <cp:lastPrinted>2020-09-09T05:41:00Z</cp:lastPrinted>
  <dcterms:modified xsi:type="dcterms:W3CDTF">2021-08-31T00:58:52Z</dcterms:modified>
  <dc:title>铂锭</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2052-11.1.0.10314</vt:lpwstr>
  </property>
</Properties>
</file>