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附件：</w:t>
      </w:r>
    </w:p>
    <w:p>
      <w:pPr>
        <w:spacing w:line="360" w:lineRule="auto"/>
        <w:ind w:firstLine="560" w:firstLineChars="200"/>
        <w:jc w:val="both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国家标准《铅精矿化学分析方法 第11部分：汞含量的测定 原子荧光光谱法和固体进样直接法》任务落实会议纪要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/>
          <w:sz w:val="24"/>
        </w:rPr>
        <w:t>2021年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1日</w:t>
      </w:r>
      <w:r>
        <w:rPr>
          <w:rFonts w:ascii="宋体" w:hAnsi="宋体"/>
          <w:sz w:val="24"/>
        </w:rPr>
        <w:t>，全国有色金属标准化技术委员会</w:t>
      </w:r>
      <w:r>
        <w:rPr>
          <w:rFonts w:hint="eastAsia" w:ascii="宋体" w:hAnsi="宋体"/>
          <w:sz w:val="24"/>
          <w:lang w:val="en-US" w:eastAsia="zh-CN"/>
        </w:rPr>
        <w:t>在甘肃省张掖市</w:t>
      </w:r>
      <w:r>
        <w:rPr>
          <w:rFonts w:ascii="宋体" w:hAnsi="宋体"/>
          <w:sz w:val="24"/>
        </w:rPr>
        <w:t>召开了</w:t>
      </w:r>
      <w:r>
        <w:rPr>
          <w:rFonts w:hint="eastAsia" w:ascii="宋体" w:hAnsi="宋体"/>
          <w:sz w:val="24"/>
        </w:rPr>
        <w:t>国家标准《铅精矿化学分析方法 第11部分：汞含量的测定 原子荧光光谱法和固体进样直接法》任务落实会议纪要</w:t>
      </w:r>
      <w:r>
        <w:rPr>
          <w:rFonts w:hint="eastAsia" w:ascii="宋体" w:hAnsi="宋体"/>
          <w:color w:val="auto"/>
          <w:sz w:val="24"/>
        </w:rPr>
        <w:t>。来自</w:t>
      </w:r>
      <w:bookmarkStart w:id="0" w:name="OLE_LINK1"/>
      <w:r>
        <w:rPr>
          <w:rFonts w:hint="eastAsia" w:ascii="宋体" w:hAnsi="宋体"/>
          <w:color w:val="auto"/>
          <w:sz w:val="24"/>
        </w:rPr>
        <w:t>北矿检测技术有限公司、福建紫金矿冶测试技术有限公司</w:t>
      </w:r>
      <w:r>
        <w:rPr>
          <w:rFonts w:hint="eastAsia" w:ascii="宋体" w:hAnsi="宋体"/>
          <w:color w:val="auto"/>
          <w:sz w:val="24"/>
          <w:lang w:val="en-US" w:eastAsia="zh-CN"/>
        </w:rPr>
        <w:t>厦门分公司</w:t>
      </w:r>
      <w:r>
        <w:rPr>
          <w:rFonts w:hint="eastAsia" w:ascii="宋体" w:hAnsi="宋体"/>
          <w:color w:val="auto"/>
          <w:sz w:val="24"/>
        </w:rPr>
        <w:t>、昆明冶金研究院有限公司、中国有色桂林矿产地质研究院有限公司、广东先导稀材股份有限公司、</w:t>
      </w:r>
      <w:bookmarkEnd w:id="0"/>
      <w:r>
        <w:rPr>
          <w:rFonts w:hint="eastAsia" w:ascii="宋体" w:hAnsi="宋体"/>
          <w:color w:val="auto"/>
          <w:sz w:val="24"/>
          <w:lang w:val="en-US" w:eastAsia="zh-CN"/>
        </w:rPr>
        <w:t>成都中建材光电材料有限公司、广东省科学院工业分析检测中心、广西冶金产品质量检验站、广西壮族自治区分析测试研究中心、江西铜业铅锌金属有限公司、辽宁连石检验检测有限公司、</w:t>
      </w:r>
      <w:r>
        <w:rPr>
          <w:rFonts w:hint="eastAsia" w:ascii="宋体" w:hAnsi="宋体"/>
          <w:color w:val="auto"/>
          <w:sz w:val="24"/>
        </w:rPr>
        <w:t>深圳市中金岭南有色金属股份有限公司、深圳市中金岭南有色金属股份有限公司韶关冶炼厂、深圳市中金岭南有色金属股份有限公司</w:t>
      </w:r>
      <w:r>
        <w:rPr>
          <w:rFonts w:hint="eastAsia" w:ascii="宋体" w:hAnsi="宋体"/>
          <w:color w:val="auto"/>
          <w:sz w:val="24"/>
          <w:lang w:val="en-US" w:eastAsia="zh-CN"/>
        </w:rPr>
        <w:t>丹霞</w:t>
      </w:r>
      <w:r>
        <w:rPr>
          <w:rFonts w:hint="eastAsia" w:ascii="宋体" w:hAnsi="宋体"/>
          <w:color w:val="auto"/>
          <w:sz w:val="24"/>
        </w:rPr>
        <w:t>冶炼厂、</w:t>
      </w:r>
      <w:r>
        <w:rPr>
          <w:rFonts w:hint="eastAsia" w:ascii="宋体" w:hAnsi="宋体"/>
          <w:color w:val="auto"/>
          <w:sz w:val="24"/>
          <w:lang w:val="en-US" w:eastAsia="zh-CN"/>
        </w:rPr>
        <w:t>云南省科学技术院、云南云铜锌业股份有限公司、云锡文山锌铟冶炼有限公司</w:t>
      </w:r>
      <w:r>
        <w:rPr>
          <w:rFonts w:hint="eastAsia" w:ascii="宋体" w:hAnsi="宋体"/>
          <w:color w:val="auto"/>
          <w:sz w:val="24"/>
        </w:rPr>
        <w:t>等</w:t>
      </w:r>
      <w:r>
        <w:rPr>
          <w:rFonts w:hint="eastAsia" w:ascii="宋体" w:hAnsi="宋体"/>
          <w:color w:val="auto"/>
          <w:sz w:val="24"/>
          <w:lang w:val="en-US" w:eastAsia="zh-CN"/>
        </w:rPr>
        <w:t>10</w:t>
      </w:r>
      <w:r>
        <w:rPr>
          <w:rFonts w:hint="eastAsia" w:ascii="宋体" w:hAnsi="宋体"/>
          <w:color w:val="auto"/>
          <w:sz w:val="24"/>
        </w:rPr>
        <w:t>多家单位的</w:t>
      </w:r>
      <w:r>
        <w:rPr>
          <w:rFonts w:hint="eastAsia" w:ascii="宋体" w:hAnsi="宋体"/>
          <w:color w:val="auto"/>
          <w:sz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</w:rPr>
        <w:t>余位代表参加了</w:t>
      </w:r>
      <w:r>
        <w:rPr>
          <w:rFonts w:hint="eastAsia" w:ascii="宋体" w:hAnsi="宋体"/>
          <w:color w:val="auto"/>
          <w:sz w:val="24"/>
          <w:lang w:val="en-US" w:eastAsia="zh-CN"/>
        </w:rPr>
        <w:t>现场</w:t>
      </w:r>
      <w:r>
        <w:rPr>
          <w:rFonts w:hint="eastAsia" w:ascii="宋体" w:hAnsi="宋体"/>
          <w:color w:val="auto"/>
          <w:sz w:val="24"/>
        </w:rPr>
        <w:t>会议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  <w:r>
        <w:rPr>
          <w:rFonts w:hint="eastAsia" w:ascii="宋体" w:hAnsi="宋体"/>
          <w:color w:val="auto"/>
          <w:sz w:val="24"/>
        </w:rPr>
        <w:t>防城海关综合技术服务中心</w:t>
      </w:r>
      <w:r>
        <w:rPr>
          <w:rFonts w:hint="eastAsia" w:ascii="宋体" w:hAnsi="宋体"/>
          <w:color w:val="auto"/>
          <w:sz w:val="24"/>
          <w:lang w:eastAsia="zh-CN"/>
        </w:rPr>
        <w:t>、中国检验认证集团广西有限公司、铜陵有色金属集团控股有限公司检测研究中心、大冶有色设计研究院有限公司、连云港</w:t>
      </w:r>
      <w:r>
        <w:rPr>
          <w:rFonts w:hint="eastAsia" w:ascii="宋体" w:hAnsi="宋体"/>
          <w:color w:val="auto"/>
          <w:sz w:val="24"/>
          <w:lang w:val="en-US" w:eastAsia="zh-CN"/>
        </w:rPr>
        <w:t>海关</w:t>
      </w:r>
      <w:r>
        <w:rPr>
          <w:rFonts w:hint="eastAsia" w:ascii="宋体" w:hAnsi="宋体"/>
          <w:color w:val="auto"/>
          <w:sz w:val="24"/>
          <w:lang w:eastAsia="zh-CN"/>
        </w:rPr>
        <w:t>综合技术中心</w:t>
      </w:r>
      <w:r>
        <w:rPr>
          <w:rFonts w:hint="eastAsia" w:ascii="宋体" w:hAnsi="宋体"/>
          <w:color w:val="auto"/>
          <w:sz w:val="24"/>
          <w:lang w:val="en-US" w:eastAsia="zh-CN"/>
        </w:rPr>
        <w:t>等5家单位的5位代表参加了视频会议。</w:t>
      </w:r>
    </w:p>
    <w:p>
      <w:pPr>
        <w:snapToGrid w:val="0"/>
        <w:spacing w:before="120" w:beforeLines="50" w:line="360" w:lineRule="auto"/>
        <w:ind w:firstLine="480" w:firstLineChars="200"/>
        <w:rPr>
          <w:rFonts w:ascii="宋体" w:hAnsi="宋体"/>
          <w:sz w:val="24"/>
        </w:rPr>
        <w:sectPr>
          <w:pgSz w:w="11906" w:h="16838"/>
          <w:pgMar w:top="1418" w:right="992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auto"/>
          <w:sz w:val="24"/>
        </w:rPr>
        <w:t>会议对</w:t>
      </w:r>
      <w:r>
        <w:rPr>
          <w:rFonts w:hint="eastAsia" w:ascii="宋体" w:hAnsi="宋体"/>
          <w:color w:val="auto"/>
          <w:sz w:val="24"/>
          <w:lang w:val="en-US" w:eastAsia="zh-CN"/>
        </w:rPr>
        <w:t>国家标准</w:t>
      </w:r>
      <w:r>
        <w:rPr>
          <w:rFonts w:hint="eastAsia" w:ascii="宋体" w:hAnsi="宋体"/>
          <w:color w:val="auto"/>
          <w:sz w:val="24"/>
        </w:rPr>
        <w:t>《铅精矿化学分析方法</w:t>
      </w:r>
      <w:r>
        <w:rPr>
          <w:rFonts w:hint="eastAsia" w:ascii="宋体" w:hAnsi="宋体"/>
          <w:sz w:val="24"/>
        </w:rPr>
        <w:t xml:space="preserve"> 第11部分：汞含量的测定 原子荧光光谱法和固体进样直接法》进行了任务落实</w:t>
      </w:r>
      <w:r>
        <w:rPr>
          <w:rFonts w:hint="eastAsia" w:ascii="宋体" w:hAnsi="宋体"/>
          <w:sz w:val="24"/>
          <w:lang w:val="en-US" w:eastAsia="zh-CN"/>
        </w:rPr>
        <w:t>，具体分工</w:t>
      </w:r>
      <w:r>
        <w:rPr>
          <w:rFonts w:hint="eastAsia" w:ascii="宋体" w:hAnsi="宋体"/>
          <w:sz w:val="24"/>
        </w:rPr>
        <w:t>如下：</w:t>
      </w:r>
    </w:p>
    <w:tbl>
      <w:tblPr>
        <w:tblStyle w:val="3"/>
        <w:tblpPr w:leftFromText="180" w:rightFromText="180" w:vertAnchor="page" w:horzAnchor="page" w:tblpX="1544" w:tblpY="1522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69"/>
        <w:gridCol w:w="2717"/>
        <w:gridCol w:w="2300"/>
        <w:gridCol w:w="2471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7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69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《铅精矿化学分析方法 第11部分：汞含量的测定 原子荧光光谱法和固体进样直接法》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方法1：</w:t>
            </w:r>
            <w:r>
              <w:rPr>
                <w:rFonts w:hint="eastAsia"/>
                <w:szCs w:val="21"/>
              </w:rPr>
              <w:t>原子荧光光谱法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不做技术性修订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>；</w:t>
            </w:r>
          </w:p>
          <w:p>
            <w:pPr>
              <w:spacing w:line="300" w:lineRule="exac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汞 0.0001%~0.50%（即1</w:t>
            </w:r>
            <w:r>
              <w:rPr>
                <w:rFonts w:hint="eastAsia"/>
              </w:rPr>
              <w:t>μg/g</w:t>
            </w:r>
            <w:r>
              <w:rPr>
                <w:rFonts w:hint="eastAsia"/>
                <w:lang w:val="en-US" w:eastAsia="zh-CN"/>
              </w:rPr>
              <w:t>~5000</w:t>
            </w:r>
            <w:r>
              <w:rPr>
                <w:rFonts w:hint="eastAsia"/>
              </w:rPr>
              <w:t>μg/g</w:t>
            </w:r>
            <w:r>
              <w:rPr>
                <w:rFonts w:hint="eastAsia"/>
                <w:szCs w:val="21"/>
                <w:lang w:val="en-US" w:eastAsia="zh-CN"/>
              </w:rPr>
              <w:t>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株洲冶炼集团股份有限公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司、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深圳市中金岭南有色金属股份有限公司韶关冶炼厂、葫芦岛锌业股份有限公司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—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817" w:type="dxa"/>
            <w:vMerge w:val="continue"/>
            <w:noWrap w:val="0"/>
            <w:vAlign w:val="center"/>
          </w:tcPr>
          <w:p/>
        </w:tc>
        <w:tc>
          <w:tcPr>
            <w:tcW w:w="2469" w:type="dxa"/>
            <w:vMerge w:val="continue"/>
            <w:noWrap w:val="0"/>
            <w:vAlign w:val="center"/>
          </w:tcPr>
          <w:p/>
        </w:tc>
        <w:tc>
          <w:tcPr>
            <w:tcW w:w="271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方法二：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固体进样直接法：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0.01μg/g～220μg/g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防城海关综合技术服务中心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中国检验认证集团广西有限公司、深圳市中金岭南有色金属股份有限公司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兰州海关技术中心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广西冶金产品质量检验站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广西壮族自治区分析测试研究中心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中国有色桂林矿产地质研究院有限公司、连云港海关综合技术中心、山东省地质矿产勘查开发局第六地质大队、大冶有色设计研究院有限公司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锦州海关综合技术服务中心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286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0572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完成样品的准备，</w:t>
            </w:r>
            <w:r>
              <w:rPr>
                <w:rFonts w:hint="eastAsia"/>
                <w:szCs w:val="21"/>
                <w:lang w:val="en-US" w:eastAsia="zh-CN"/>
              </w:rPr>
              <w:t>完成试验报告，</w:t>
            </w:r>
            <w:r>
              <w:rPr>
                <w:rFonts w:hint="eastAsia"/>
                <w:szCs w:val="21"/>
              </w:rPr>
              <w:t>进行验证。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022年1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月审定。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286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0572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left"/>
            </w:pPr>
            <w:r>
              <w:rPr>
                <w:rFonts w:hint="eastAsia"/>
                <w:szCs w:val="21"/>
              </w:rPr>
              <w:t>防城海关综合技术服务中心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深圳市中金岭南有色金属股份有限公司</w:t>
            </w:r>
          </w:p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t>选择具有适当质量分数间隔（梯度</w:t>
            </w:r>
            <w:r>
              <w:rPr>
                <w:rFonts w:hint="eastAsia"/>
              </w:rPr>
              <w:t>选择要能覆盖最低点和最高点且尽可能分布均匀</w:t>
            </w:r>
            <w:r>
              <w:t>）</w:t>
            </w:r>
            <w:r>
              <w:rPr>
                <w:rFonts w:hint="eastAsia"/>
                <w:lang w:val="en-US" w:eastAsia="zh-CN"/>
              </w:rPr>
              <w:t>的7个点的试验样品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286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备注</w:t>
            </w:r>
          </w:p>
        </w:tc>
        <w:tc>
          <w:tcPr>
            <w:tcW w:w="10572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方法1和方法2检测范围交叉部分的仲裁法由验证样品最终测试结果的精密度确定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snapToGrid w:val="0"/>
        <w:spacing w:line="400" w:lineRule="atLeast"/>
        <w:ind w:right="-1"/>
        <w:rPr>
          <w:rFonts w:hint="eastAsia" w:ascii="宋体" w:hAnsi="宋体"/>
          <w:sz w:val="24"/>
        </w:rPr>
        <w:sectPr>
          <w:headerReference r:id="rId3" w:type="default"/>
          <w:headerReference r:id="rId4" w:type="even"/>
          <w:pgSz w:w="16838" w:h="11906" w:orient="landscape"/>
          <w:pgMar w:top="1418" w:right="1418" w:bottom="992" w:left="1418" w:header="851" w:footer="992" w:gutter="0"/>
          <w:cols w:space="720" w:num="1"/>
          <w:docGrid w:linePitch="312" w:charSpace="0"/>
        </w:sectPr>
      </w:pPr>
      <w:bookmarkStart w:id="1" w:name="_GoBack"/>
      <w:bookmarkEnd w:id="1"/>
    </w:p>
    <w:p>
      <w:pPr>
        <w:pStyle w:val="5"/>
        <w:spacing w:after="120" w:afterLines="50"/>
        <w:ind w:firstLine="0" w:firstLineChars="0"/>
        <w:rPr>
          <w:rFonts w:hint="eastAsia"/>
        </w:rPr>
      </w:pPr>
    </w:p>
    <w:p/>
    <w:sectPr>
      <w:headerReference r:id="rId5" w:type="default"/>
      <w:headerReference r:id="rId6" w:type="even"/>
      <w:type w:val="continuous"/>
      <w:pgSz w:w="11906" w:h="16838"/>
      <w:pgMar w:top="1418" w:right="1418" w:bottom="1418" w:left="99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A032A"/>
    <w:rsid w:val="16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2021-08-02T08:18:00Z</dcterms:created>
  <dc:creator>CathayMok</dc:creator>
  <cp:lastModifiedBy>CathayMok</cp:lastModifiedBy>
  <dcterms:modified xsi:type="dcterms:W3CDTF">2021-08-02T08:18:57Z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