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Ansi="黑体" w:eastAsia="黑体"/>
          <w:w w:val="90"/>
          <w:sz w:val="32"/>
          <w:szCs w:val="32"/>
        </w:rPr>
      </w:pPr>
      <w:r>
        <w:rPr>
          <w:rFonts w:hAnsi="黑体" w:eastAsia="黑体"/>
          <w:w w:val="90"/>
          <w:sz w:val="32"/>
          <w:szCs w:val="32"/>
        </w:rPr>
        <w:t>稀土国家标准《</w:t>
      </w:r>
      <w:r>
        <w:rPr>
          <w:rFonts w:hint="eastAsia" w:hAnsi="黑体" w:eastAsia="黑体"/>
          <w:w w:val="90"/>
          <w:sz w:val="32"/>
          <w:szCs w:val="32"/>
        </w:rPr>
        <w:t>稀土铁合金化学分析方法 第4部分：铁量的测定</w:t>
      </w:r>
    </w:p>
    <w:p>
      <w:pPr>
        <w:spacing w:line="312" w:lineRule="auto"/>
        <w:jc w:val="center"/>
        <w:rPr>
          <w:rFonts w:eastAsia="黑体"/>
          <w:sz w:val="32"/>
          <w:szCs w:val="32"/>
        </w:rPr>
      </w:pPr>
      <w:r>
        <w:rPr>
          <w:rFonts w:hint="eastAsia" w:hAnsi="黑体" w:eastAsia="黑体"/>
          <w:w w:val="90"/>
          <w:sz w:val="32"/>
          <w:szCs w:val="32"/>
        </w:rPr>
        <w:t>-重铬酸钾滴定法</w:t>
      </w:r>
      <w:r>
        <w:rPr>
          <w:rFonts w:hAnsi="黑体" w:eastAsia="黑体"/>
          <w:w w:val="90"/>
          <w:sz w:val="32"/>
          <w:szCs w:val="32"/>
        </w:rPr>
        <w:t>》（</w:t>
      </w:r>
      <w:r>
        <w:rPr>
          <w:rFonts w:hint="eastAsia" w:hAnsi="黑体" w:eastAsia="黑体"/>
          <w:w w:val="90"/>
          <w:sz w:val="32"/>
          <w:szCs w:val="32"/>
          <w:lang w:eastAsia="zh-CN"/>
        </w:rPr>
        <w:t>送审</w:t>
      </w:r>
      <w:r>
        <w:rPr>
          <w:rFonts w:hAnsi="黑体" w:eastAsia="黑体"/>
          <w:w w:val="90"/>
          <w:sz w:val="32"/>
          <w:szCs w:val="32"/>
        </w:rPr>
        <w:t>稿）编制说明</w:t>
      </w:r>
    </w:p>
    <w:p>
      <w:pPr>
        <w:spacing w:beforeLines="50" w:afterLines="50" w:line="312" w:lineRule="auto"/>
        <w:rPr>
          <w:rFonts w:eastAsia="黑体"/>
          <w:bCs/>
          <w:sz w:val="24"/>
        </w:rPr>
      </w:pPr>
      <w:r>
        <w:rPr>
          <w:rFonts w:eastAsia="黑体"/>
          <w:bCs/>
          <w:sz w:val="24"/>
        </w:rPr>
        <w:t>一、工作简况</w:t>
      </w:r>
    </w:p>
    <w:p>
      <w:pPr>
        <w:pStyle w:val="120"/>
        <w:tabs>
          <w:tab w:val="clear" w:pos="675"/>
        </w:tabs>
        <w:spacing w:beforeLines="50" w:afterLines="50" w:line="312" w:lineRule="auto"/>
        <w:ind w:left="0" w:firstLine="0"/>
        <w:rPr>
          <w:rFonts w:ascii="Times New Roman"/>
        </w:rPr>
      </w:pPr>
      <w:r>
        <w:rPr>
          <w:rFonts w:ascii="Times New Roman" w:hAnsi="黑体"/>
        </w:rPr>
        <w:t>（一）任务来源</w:t>
      </w:r>
    </w:p>
    <w:p>
      <w:pPr>
        <w:spacing w:line="312" w:lineRule="auto"/>
        <w:ind w:firstLine="420" w:firstLineChars="200"/>
      </w:pPr>
      <w:r>
        <w:rPr>
          <w:rFonts w:hint="eastAsia"/>
          <w:szCs w:val="21"/>
        </w:rPr>
        <w:t>2020</w:t>
      </w:r>
      <w:r>
        <w:rPr>
          <w:szCs w:val="21"/>
        </w:rPr>
        <w:t>年</w:t>
      </w:r>
      <w:r>
        <w:rPr>
          <w:rFonts w:hint="eastAsia"/>
          <w:szCs w:val="21"/>
        </w:rPr>
        <w:t>5</w:t>
      </w:r>
      <w:r>
        <w:rPr>
          <w:szCs w:val="21"/>
        </w:rPr>
        <w:t>月，根据《</w:t>
      </w:r>
      <w:r>
        <w:rPr>
          <w:rFonts w:hint="eastAsia"/>
          <w:szCs w:val="21"/>
        </w:rPr>
        <w:t>关于发送《各向异性钕铁硼磁粉》等18项稀土国家标准及外文版项目任务落实会纪要的通知</w:t>
      </w:r>
      <w:r>
        <w:rPr>
          <w:szCs w:val="21"/>
        </w:rPr>
        <w:t>》（国标委发函[</w:t>
      </w:r>
      <w:r>
        <w:rPr>
          <w:rFonts w:hint="eastAsia"/>
          <w:szCs w:val="21"/>
        </w:rPr>
        <w:t>2020</w:t>
      </w:r>
      <w:r>
        <w:rPr>
          <w:szCs w:val="21"/>
        </w:rPr>
        <w:t>]</w:t>
      </w:r>
      <w:r>
        <w:rPr>
          <w:rFonts w:hint="eastAsia"/>
          <w:szCs w:val="21"/>
        </w:rPr>
        <w:t>16</w:t>
      </w:r>
      <w:r>
        <w:rPr>
          <w:szCs w:val="21"/>
        </w:rPr>
        <w:t>号）文件，国家标准</w:t>
      </w:r>
      <w:r>
        <w:t xml:space="preserve">GB/T </w:t>
      </w:r>
      <w:r>
        <w:rPr>
          <w:rFonts w:hint="eastAsia"/>
        </w:rPr>
        <w:t>26416</w:t>
      </w:r>
      <w:r>
        <w:t>.</w:t>
      </w:r>
      <w:r>
        <w:rPr>
          <w:rFonts w:hint="eastAsia"/>
        </w:rPr>
        <w:t>4</w:t>
      </w:r>
      <w:r>
        <w:t>《</w:t>
      </w:r>
      <w:r>
        <w:rPr>
          <w:rFonts w:hint="eastAsia"/>
        </w:rPr>
        <w:t>稀土铁合金化学分析方法 第4部分：铁量的测定-重铬酸钾滴定法</w:t>
      </w:r>
      <w:r>
        <w:t>》</w:t>
      </w:r>
      <w:r>
        <w:rPr>
          <w:rFonts w:hint="eastAsia"/>
        </w:rPr>
        <w:t>制</w:t>
      </w:r>
      <w:r>
        <w:t>订计划下达，项目由全国稀土标准化技术委员会（SAC/TC 229）提出并归口，由包头稀土研究院负责</w:t>
      </w:r>
      <w:r>
        <w:rPr>
          <w:szCs w:val="21"/>
        </w:rPr>
        <w:t>起草，</w:t>
      </w:r>
      <w:r>
        <w:t>项目计划编号为</w:t>
      </w:r>
      <w:r>
        <w:rPr>
          <w:rFonts w:hint="eastAsia"/>
        </w:rPr>
        <w:t>20200860-T-469</w:t>
      </w:r>
      <w:r>
        <w:t>，周期为</w:t>
      </w:r>
      <w:r>
        <w:rPr>
          <w:rFonts w:hint="eastAsia"/>
        </w:rPr>
        <w:t>12</w:t>
      </w:r>
      <w:r>
        <w:t>个月。</w:t>
      </w:r>
    </w:p>
    <w:p>
      <w:pPr>
        <w:pStyle w:val="120"/>
        <w:tabs>
          <w:tab w:val="clear" w:pos="675"/>
        </w:tabs>
        <w:spacing w:beforeLines="50" w:afterLines="50" w:line="312" w:lineRule="auto"/>
        <w:ind w:left="0" w:firstLine="0"/>
        <w:rPr>
          <w:rFonts w:ascii="Times New Roman"/>
        </w:rPr>
      </w:pPr>
      <w:r>
        <w:rPr>
          <w:rFonts w:ascii="Times New Roman" w:hAnsi="黑体"/>
        </w:rPr>
        <w:t>（二）</w:t>
      </w:r>
      <w:bookmarkStart w:id="0" w:name="_Toc451633880"/>
      <w:r>
        <w:rPr>
          <w:rFonts w:ascii="Times New Roman" w:hAnsi="黑体"/>
        </w:rPr>
        <w:t>主要参加单位和工作成员及其所做的工作</w:t>
      </w:r>
      <w:bookmarkEnd w:id="0"/>
    </w:p>
    <w:p>
      <w:pPr>
        <w:spacing w:afterLines="50" w:line="312" w:lineRule="auto"/>
        <w:rPr>
          <w:rFonts w:eastAsia="黑体"/>
        </w:rPr>
      </w:pPr>
      <w:bookmarkStart w:id="1" w:name="_Toc451633881"/>
      <w:r>
        <w:rPr>
          <w:rFonts w:eastAsia="黑体"/>
        </w:rPr>
        <w:t>1</w:t>
      </w:r>
      <w:r>
        <w:rPr>
          <w:rFonts w:hAnsi="黑体" w:eastAsia="黑体"/>
        </w:rPr>
        <w:t>、主要参加单位情况</w:t>
      </w:r>
      <w:bookmarkEnd w:id="1"/>
      <w:bookmarkStart w:id="2" w:name="_GoBack"/>
      <w:bookmarkEnd w:id="2"/>
    </w:p>
    <w:p>
      <w:pPr>
        <w:spacing w:line="312" w:lineRule="auto"/>
        <w:ind w:firstLine="420"/>
      </w:pPr>
      <w:r>
        <w:t>本文件由包头稀土研究院、</w:t>
      </w:r>
      <w:r>
        <w:rPr>
          <w:rFonts w:hint="eastAsia"/>
        </w:rPr>
        <w:t>国标（北京）检验认证有限公司、虔东稀土集团股份有限公司、湖南稀土金属材料研究院、南方稀土高技术股份有限公司、淄博加华新材料资源有限公司、天津包钢稀土研究院有限责任公司共七</w:t>
      </w:r>
      <w:r>
        <w:t>家单位共同编制。</w:t>
      </w:r>
    </w:p>
    <w:p>
      <w:pPr>
        <w:adjustRightInd w:val="0"/>
        <w:snapToGrid w:val="0"/>
        <w:spacing w:line="312" w:lineRule="auto"/>
        <w:ind w:firstLine="420"/>
      </w:pPr>
      <w:r>
        <w:t>包头稀土研究院是本项目负责起草单位，其成立于1963年，直属原冶金工业部。1992年进入包钢（集团）公司，是以稀土资源的综合开发、利用为宗旨，以稀土冶金、环境保护、新型稀土功能材料及在高新技术领域的应用、稀土提升传统产业的技术水平、稀土分析检测、稀土情报信息为研究重点的多专业、多学科的综合性研发机构。包头稀土研究院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pPr>
        <w:adjustRightInd w:val="0"/>
        <w:snapToGrid w:val="0"/>
        <w:spacing w:line="312" w:lineRule="auto"/>
        <w:ind w:firstLine="420"/>
        <w:rPr>
          <w:szCs w:val="21"/>
        </w:rPr>
      </w:pPr>
      <w:r>
        <w:rPr>
          <w:rFonts w:hint="eastAsia"/>
        </w:rPr>
        <w:t>国标（北京）检验认证有限公司</w:t>
      </w:r>
      <w:r>
        <w:rPr>
          <w:szCs w:val="21"/>
        </w:rPr>
        <w:t>是</w:t>
      </w:r>
      <w:r>
        <w:rPr>
          <w:rFonts w:hint="eastAsia"/>
          <w:szCs w:val="21"/>
        </w:rPr>
        <w:t>本项目</w:t>
      </w:r>
      <w:r>
        <w:rPr>
          <w:szCs w:val="21"/>
        </w:rPr>
        <w:t>的一验单位。</w:t>
      </w:r>
      <w:r>
        <w:rPr>
          <w:rFonts w:hint="eastAsia"/>
          <w:szCs w:val="21"/>
        </w:rPr>
        <w:t>其前身为北京有色金属研究总院分析测试技术研究所，主营业务涉及第三方检测服务，分析测试仪器装备及配件的研制和销售、标准物质/样品、无损检测设备检定、分析检测人员培训、实验室规划设计、特种功能材料研发与生产等领域。</w:t>
      </w:r>
      <w:r>
        <w:t>在标准起草期间，该单位按</w:t>
      </w:r>
      <w:r>
        <w:rPr>
          <w:szCs w:val="21"/>
        </w:rPr>
        <w:t>照试验报告提供的方法对公共样品进行了分析，完成验证提供验证报告及意见，同时提供了精密度数据。</w:t>
      </w:r>
    </w:p>
    <w:p>
      <w:pPr>
        <w:adjustRightInd w:val="0"/>
        <w:snapToGrid w:val="0"/>
        <w:spacing w:line="312" w:lineRule="auto"/>
        <w:ind w:firstLine="420"/>
        <w:rPr>
          <w:szCs w:val="21"/>
        </w:rPr>
      </w:pPr>
      <w:r>
        <w:rPr>
          <w:rFonts w:hint="eastAsia"/>
        </w:rPr>
        <w:t>虔东稀土集团股份有限公司</w:t>
      </w:r>
      <w:r>
        <w:rPr>
          <w:szCs w:val="21"/>
        </w:rPr>
        <w:t>是</w:t>
      </w:r>
      <w:r>
        <w:rPr>
          <w:rFonts w:hint="eastAsia"/>
          <w:szCs w:val="21"/>
        </w:rPr>
        <w:t>本项目的</w:t>
      </w:r>
      <w:r>
        <w:rPr>
          <w:szCs w:val="21"/>
        </w:rPr>
        <w:t>一验单位。</w:t>
      </w:r>
      <w:r>
        <w:rPr>
          <w:rFonts w:hint="eastAsia"/>
          <w:szCs w:val="21"/>
        </w:rPr>
        <w:t>其始创于1988年，现拥有控股子公司14家，致力于稀土资源及其应用产品开发和产业化，是稀土基础材料、稀土功能材料及应用、稀土加工装备等领域的高科技企业。已建立了较完整的科研、试验、生产、检测体系，具有国内先进水平的稀土分离、金属、磁性材料、结构陶瓷、发光材料、催化剂材料、资源回收和加工设备制造等生产线，主要生产稀土化合物、稀土金属、稀土合金等60余种产品。</w:t>
      </w:r>
      <w:r>
        <w:t>在标准起草期间，该单位按</w:t>
      </w:r>
      <w:r>
        <w:rPr>
          <w:szCs w:val="21"/>
        </w:rPr>
        <w:t>照试验报告提供的方法对公共样品进行了分析，完成验证提供验证报告及意见，同时提供了精密度数据。</w:t>
      </w:r>
    </w:p>
    <w:p>
      <w:pPr>
        <w:adjustRightInd w:val="0"/>
        <w:snapToGrid w:val="0"/>
        <w:spacing w:line="312" w:lineRule="auto"/>
        <w:ind w:firstLine="420"/>
        <w:rPr>
          <w:bCs/>
        </w:rPr>
      </w:pPr>
      <w:r>
        <w:rPr>
          <w:rFonts w:hint="eastAsia"/>
        </w:rPr>
        <w:t>湖南稀土金属材料研究院、江西南方稀土高技术股份有限公司、淄博加华新材料资源有限公司、天津包钢稀土研究院有限责任公司</w:t>
      </w:r>
      <w:r>
        <w:rPr>
          <w:szCs w:val="21"/>
        </w:rPr>
        <w:t>是</w:t>
      </w:r>
      <w:r>
        <w:rPr>
          <w:rFonts w:hint="eastAsia"/>
          <w:szCs w:val="21"/>
        </w:rPr>
        <w:t>本项目</w:t>
      </w:r>
      <w:r>
        <w:rPr>
          <w:szCs w:val="21"/>
        </w:rPr>
        <w:t>的二验单位。上述单位按照试验报告提供的方法对公共样品进行了分析，提供了精密度数据。</w:t>
      </w:r>
    </w:p>
    <w:p>
      <w:pPr>
        <w:pStyle w:val="81"/>
        <w:adjustRightInd w:val="0"/>
        <w:snapToGrid w:val="0"/>
        <w:spacing w:before="0" w:beforeAutospacing="0" w:after="0" w:afterAutospacing="0" w:line="312" w:lineRule="auto"/>
        <w:ind w:firstLine="437"/>
        <w:jc w:val="both"/>
        <w:rPr>
          <w:rFonts w:ascii="Times New Roman" w:hAnsi="Times New Roman" w:cs="Times New Roman"/>
          <w:kern w:val="2"/>
          <w:sz w:val="21"/>
        </w:rPr>
      </w:pPr>
      <w:r>
        <w:rPr>
          <w:rFonts w:ascii="Times New Roman" w:hAnsi="Times New Roman" w:cs="Times New Roman"/>
          <w:kern w:val="2"/>
          <w:sz w:val="21"/>
        </w:rPr>
        <w:t>在上述起草及验证单位的共同努力下，GB/T</w:t>
      </w:r>
      <w:r>
        <w:rPr>
          <w:rFonts w:ascii="Times New Roman" w:hAnsi="Times New Roman" w:cs="Times New Roman"/>
          <w:color w:val="FF0000"/>
          <w:kern w:val="2"/>
          <w:sz w:val="21"/>
        </w:rPr>
        <w:t xml:space="preserve"> </w:t>
      </w:r>
      <w:r>
        <w:rPr>
          <w:rFonts w:hint="eastAsia"/>
        </w:rPr>
        <w:t>26416</w:t>
      </w:r>
      <w:r>
        <w:rPr>
          <w:rFonts w:ascii="Times New Roman" w:hAnsi="Times New Roman" w:cs="Times New Roman"/>
          <w:kern w:val="2"/>
          <w:sz w:val="21"/>
        </w:rPr>
        <w:t>.</w:t>
      </w:r>
      <w:r>
        <w:rPr>
          <w:rFonts w:hint="eastAsia" w:ascii="Times New Roman" w:hAnsi="Times New Roman" w:cs="Times New Roman"/>
          <w:kern w:val="2"/>
          <w:sz w:val="21"/>
        </w:rPr>
        <w:t>4</w:t>
      </w:r>
      <w:r>
        <w:rPr>
          <w:rFonts w:ascii="Times New Roman" w:hAnsi="Times New Roman" w:cs="Times New Roman"/>
          <w:kern w:val="2"/>
          <w:sz w:val="21"/>
        </w:rPr>
        <w:t>《</w:t>
      </w:r>
      <w:r>
        <w:rPr>
          <w:rFonts w:hint="eastAsia"/>
        </w:rPr>
        <w:t>稀土铁合金化学分析方法 第4部分：铁量的测定-重铬酸钾滴定法</w:t>
      </w:r>
      <w:r>
        <w:rPr>
          <w:rFonts w:ascii="Times New Roman" w:hAnsi="Times New Roman" w:cs="Times New Roman"/>
          <w:kern w:val="2"/>
          <w:sz w:val="21"/>
        </w:rPr>
        <w:t>》必将顺利、高质量的完成。</w:t>
      </w:r>
    </w:p>
    <w:p>
      <w:pPr>
        <w:spacing w:afterLines="50" w:line="312" w:lineRule="auto"/>
        <w:rPr>
          <w:rFonts w:eastAsia="黑体"/>
        </w:rPr>
      </w:pPr>
      <w:r>
        <w:rPr>
          <w:rFonts w:eastAsia="黑体"/>
        </w:rPr>
        <w:t>2</w:t>
      </w:r>
      <w:r>
        <w:rPr>
          <w:rFonts w:hAnsi="黑体" w:eastAsia="黑体"/>
        </w:rPr>
        <w:t>、主要工作成员所负责的工作情况</w:t>
      </w:r>
    </w:p>
    <w:p>
      <w:pPr>
        <w:pStyle w:val="81"/>
        <w:numPr>
          <w:ilvl w:val="255"/>
          <w:numId w:val="0"/>
        </w:numPr>
        <w:adjustRightInd w:val="0"/>
        <w:snapToGrid w:val="0"/>
        <w:spacing w:before="0" w:beforeAutospacing="0" w:after="0" w:afterAutospacing="0" w:line="312" w:lineRule="auto"/>
        <w:ind w:firstLine="420" w:firstLineChars="200"/>
        <w:jc w:val="both"/>
        <w:rPr>
          <w:rFonts w:ascii="Times New Roman" w:hAnsi="Times New Roman" w:cs="Times New Roman"/>
          <w:kern w:val="2"/>
          <w:sz w:val="21"/>
        </w:rPr>
      </w:pPr>
      <w:r>
        <w:rPr>
          <w:rFonts w:ascii="Times New Roman" w:hAnsi="Times New Roman" w:cs="Times New Roman"/>
          <w:kern w:val="2"/>
          <w:sz w:val="21"/>
        </w:rPr>
        <w:t>本标准主要起草人及工作职责见表1。</w:t>
      </w:r>
    </w:p>
    <w:p>
      <w:pPr>
        <w:spacing w:line="312" w:lineRule="auto"/>
        <w:ind w:firstLine="435"/>
        <w:jc w:val="center"/>
        <w:rPr>
          <w:rFonts w:eastAsia="黑体"/>
          <w:szCs w:val="21"/>
        </w:rPr>
      </w:pPr>
      <w:r>
        <w:rPr>
          <w:rFonts w:hAnsi="黑体" w:eastAsia="黑体"/>
          <w:szCs w:val="21"/>
        </w:rPr>
        <w:t>表</w:t>
      </w:r>
      <w:r>
        <w:rPr>
          <w:rFonts w:eastAsia="黑体"/>
          <w:szCs w:val="21"/>
        </w:rPr>
        <w:t xml:space="preserve">1  </w:t>
      </w:r>
      <w:r>
        <w:rPr>
          <w:rFonts w:hAnsi="黑体" w:eastAsia="黑体"/>
          <w:szCs w:val="21"/>
        </w:rPr>
        <w:t>主要起草人及工作职责</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spacing w:line="312" w:lineRule="auto"/>
              <w:ind w:firstLine="435"/>
              <w:jc w:val="center"/>
              <w:rPr>
                <w:rFonts w:eastAsia="黑体"/>
                <w:color w:val="000000" w:themeColor="text1"/>
                <w:sz w:val="18"/>
                <w:szCs w:val="18"/>
              </w:rPr>
            </w:pPr>
            <w:r>
              <w:rPr>
                <w:rFonts w:hAnsi="黑体" w:eastAsia="黑体"/>
                <w:color w:val="000000" w:themeColor="text1"/>
                <w:sz w:val="18"/>
                <w:szCs w:val="18"/>
              </w:rPr>
              <w:t>起草人</w:t>
            </w:r>
          </w:p>
        </w:tc>
        <w:tc>
          <w:tcPr>
            <w:tcW w:w="6637" w:type="dxa"/>
            <w:vAlign w:val="center"/>
          </w:tcPr>
          <w:p>
            <w:pPr>
              <w:spacing w:line="312" w:lineRule="auto"/>
              <w:ind w:firstLine="435"/>
              <w:jc w:val="center"/>
              <w:rPr>
                <w:rFonts w:eastAsia="黑体"/>
                <w:color w:val="000000" w:themeColor="text1"/>
                <w:sz w:val="18"/>
                <w:szCs w:val="18"/>
              </w:rPr>
            </w:pPr>
            <w:r>
              <w:rPr>
                <w:rFonts w:hAnsi="黑体" w:eastAsia="黑体"/>
                <w:color w:val="000000" w:themeColor="text1"/>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pStyle w:val="81"/>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sz w:val="18"/>
                <w:szCs w:val="18"/>
              </w:rPr>
              <w:t>常诚</w:t>
            </w:r>
          </w:p>
        </w:tc>
        <w:tc>
          <w:tcPr>
            <w:tcW w:w="6637" w:type="dxa"/>
            <w:vAlign w:val="center"/>
          </w:tcPr>
          <w:p>
            <w:pPr>
              <w:pStyle w:val="81"/>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kern w:val="2"/>
                <w:sz w:val="18"/>
                <w:szCs w:val="18"/>
              </w:rPr>
              <w:t>负责方法的起草，各阶段标准文本、编制说明的编写、数据统计及组织协调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pStyle w:val="81"/>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hint="eastAsia" w:ascii="Times New Roman" w:hAnsi="Times New Roman" w:cs="Times New Roman"/>
                <w:kern w:val="2"/>
                <w:sz w:val="18"/>
                <w:szCs w:val="18"/>
              </w:rPr>
              <w:t>张翼明、龙旭东</w:t>
            </w:r>
          </w:p>
        </w:tc>
        <w:tc>
          <w:tcPr>
            <w:tcW w:w="6637" w:type="dxa"/>
            <w:vAlign w:val="center"/>
          </w:tcPr>
          <w:p>
            <w:pPr>
              <w:pStyle w:val="81"/>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kern w:val="2"/>
                <w:sz w:val="18"/>
                <w:szCs w:val="18"/>
              </w:rPr>
              <w:t>协助完成方法起草，协助完成精密度实验数据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pStyle w:val="81"/>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hint="eastAsia" w:ascii="Times New Roman" w:hAnsi="Times New Roman" w:cs="Times New Roman"/>
                <w:sz w:val="18"/>
                <w:szCs w:val="18"/>
              </w:rPr>
              <w:t>修迎、温斌、田佳、朱霓</w:t>
            </w:r>
          </w:p>
        </w:tc>
        <w:tc>
          <w:tcPr>
            <w:tcW w:w="6637" w:type="dxa"/>
            <w:vAlign w:val="center"/>
          </w:tcPr>
          <w:p>
            <w:pPr>
              <w:pStyle w:val="81"/>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kern w:val="2"/>
                <w:sz w:val="18"/>
                <w:szCs w:val="18"/>
              </w:rPr>
              <w:t>标准方法</w:t>
            </w:r>
            <w:r>
              <w:rPr>
                <w:rFonts w:ascii="Times New Roman" w:hAnsi="Times New Roman" w:cs="Times New Roman"/>
                <w:sz w:val="18"/>
                <w:szCs w:val="18"/>
              </w:rPr>
              <w:t>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9" w:type="dxa"/>
            <w:vAlign w:val="center"/>
          </w:tcPr>
          <w:p>
            <w:pPr>
              <w:pStyle w:val="81"/>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hint="eastAsia" w:ascii="Times New Roman" w:hAnsi="Times New Roman" w:cs="Times New Roman"/>
                <w:kern w:val="2"/>
                <w:sz w:val="18"/>
                <w:szCs w:val="18"/>
              </w:rPr>
              <w:t>刘荣丽、陈绯宇、刘延谟、王安丽</w:t>
            </w:r>
          </w:p>
        </w:tc>
        <w:tc>
          <w:tcPr>
            <w:tcW w:w="6637" w:type="dxa"/>
            <w:vAlign w:val="center"/>
          </w:tcPr>
          <w:p>
            <w:pPr>
              <w:pStyle w:val="81"/>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pPr>
        <w:pStyle w:val="120"/>
        <w:tabs>
          <w:tab w:val="clear" w:pos="675"/>
        </w:tabs>
        <w:spacing w:before="312" w:afterLines="50" w:line="312" w:lineRule="auto"/>
        <w:ind w:left="0" w:firstLine="0"/>
        <w:rPr>
          <w:rFonts w:ascii="Times New Roman"/>
        </w:rPr>
      </w:pPr>
      <w:r>
        <w:rPr>
          <w:rFonts w:ascii="Times New Roman" w:hAnsi="黑体"/>
        </w:rPr>
        <w:t>（三）主要工作过程</w:t>
      </w:r>
    </w:p>
    <w:p>
      <w:pPr>
        <w:spacing w:beforeLines="50" w:afterLines="50" w:line="312" w:lineRule="auto"/>
        <w:rPr>
          <w:rFonts w:eastAsia="黑体"/>
        </w:rPr>
      </w:pPr>
      <w:r>
        <w:rPr>
          <w:rFonts w:eastAsia="黑体"/>
        </w:rPr>
        <w:t>1</w:t>
      </w:r>
      <w:r>
        <w:rPr>
          <w:rFonts w:hAnsi="黑体" w:eastAsia="黑体"/>
        </w:rPr>
        <w:t>、起草阶段</w:t>
      </w:r>
    </w:p>
    <w:p>
      <w:pPr>
        <w:adjustRightInd w:val="0"/>
        <w:snapToGrid w:val="0"/>
        <w:spacing w:line="312" w:lineRule="auto"/>
        <w:ind w:firstLine="420" w:firstLineChars="200"/>
        <w:rPr>
          <w:rFonts w:eastAsiaTheme="minorEastAsia"/>
          <w:szCs w:val="21"/>
        </w:rPr>
      </w:pPr>
      <w:r>
        <w:rPr>
          <w:rFonts w:hint="eastAsia"/>
        </w:rPr>
        <w:t>2020</w:t>
      </w:r>
      <w:r>
        <w:t>年</w:t>
      </w:r>
      <w:r>
        <w:rPr>
          <w:rFonts w:hint="eastAsia"/>
        </w:rPr>
        <w:t>5</w:t>
      </w:r>
      <w:r>
        <w:t>月</w:t>
      </w:r>
      <w:r>
        <w:rPr>
          <w:rFonts w:hint="eastAsia"/>
        </w:rPr>
        <w:t>7</w:t>
      </w:r>
      <w:r>
        <w:t>日全国稀土标准化技术委员会召开了</w:t>
      </w:r>
      <w:r>
        <w:rPr>
          <w:rFonts w:hint="eastAsia"/>
          <w:szCs w:val="21"/>
        </w:rPr>
        <w:t>各向异性钕铁硼磁粉》等18项稀土国家标准及外文版项目任务落实会</w:t>
      </w:r>
      <w:r>
        <w:t>，会议上对本项目进行任务落实。会议确定负责起草单位为包头稀土研究院</w:t>
      </w:r>
      <w:r>
        <w:rPr>
          <w:rFonts w:hint="eastAsia"/>
        </w:rPr>
        <w:t>，国标（北京）检验认证有限公司、虔东稀土集团股份有限公司</w:t>
      </w:r>
      <w:r>
        <w:t>等</w:t>
      </w:r>
      <w:r>
        <w:rPr>
          <w:rFonts w:hint="eastAsia"/>
        </w:rPr>
        <w:t>6</w:t>
      </w:r>
      <w:r>
        <w:t>家单位参与起草。会议确定了项目的时间进度安排，</w:t>
      </w:r>
      <w:r>
        <w:rPr>
          <w:rFonts w:hint="eastAsia"/>
        </w:rPr>
        <w:t>2020</w:t>
      </w:r>
      <w:r>
        <w:t>年</w:t>
      </w:r>
      <w:r>
        <w:rPr>
          <w:rFonts w:hint="eastAsia"/>
        </w:rPr>
        <w:t>12</w:t>
      </w:r>
      <w:r>
        <w:t>月召开审定会。</w:t>
      </w:r>
    </w:p>
    <w:p>
      <w:pPr>
        <w:spacing w:line="312" w:lineRule="auto"/>
      </w:pPr>
      <w:r>
        <w:tab/>
      </w:r>
      <w:r>
        <w:t>包头稀土研究院接受任务后，立即成立了</w:t>
      </w:r>
      <w:r>
        <w:rPr>
          <w:rFonts w:hint="eastAsia"/>
        </w:rPr>
        <w:t>GB/T 26416.4《稀土铁合金化学分析方法 第4部分：铁量的测定-重铬酸钾滴定法》</w:t>
      </w:r>
      <w:r>
        <w:t>研发小组，认真总结了前期的工作经验，针对</w:t>
      </w:r>
      <w:r>
        <w:rPr>
          <w:rFonts w:hint="eastAsia"/>
        </w:rPr>
        <w:t>不同稀土铁合金样品的溶解方法、含量范围、试剂用量及加入顺序等</w:t>
      </w:r>
      <w:r>
        <w:t>问题查阅了大量的文献，利用现有</w:t>
      </w:r>
      <w:r>
        <w:rPr>
          <w:rFonts w:hint="eastAsia"/>
        </w:rPr>
        <w:t>镧铁、铈铁、镝铁、钬铁、钆铁、钇铁、钕铁、镧铈铁</w:t>
      </w:r>
      <w:r>
        <w:t>等稀土产品进行条件试验摸索，形成试验方法。</w:t>
      </w:r>
    </w:p>
    <w:p>
      <w:pPr>
        <w:spacing w:line="312" w:lineRule="auto"/>
        <w:ind w:firstLine="420"/>
      </w:pPr>
      <w:r>
        <w:rPr>
          <w:rFonts w:eastAsiaTheme="minorEastAsia"/>
          <w:szCs w:val="21"/>
        </w:rPr>
        <w:t>20</w:t>
      </w:r>
      <w:r>
        <w:rPr>
          <w:rFonts w:hint="eastAsia" w:eastAsiaTheme="minorEastAsia"/>
          <w:szCs w:val="21"/>
        </w:rPr>
        <w:t>20</w:t>
      </w:r>
      <w:r>
        <w:rPr>
          <w:rFonts w:eastAsiaTheme="minorEastAsia"/>
          <w:szCs w:val="21"/>
        </w:rPr>
        <w:t>年</w:t>
      </w:r>
      <w:r>
        <w:rPr>
          <w:rFonts w:hint="eastAsia" w:eastAsiaTheme="minorEastAsia"/>
          <w:szCs w:val="21"/>
        </w:rPr>
        <w:t>9</w:t>
      </w:r>
      <w:r>
        <w:rPr>
          <w:rFonts w:eastAsiaTheme="minorEastAsia"/>
          <w:szCs w:val="21"/>
        </w:rPr>
        <w:t>月31日</w:t>
      </w:r>
      <w:r>
        <w:t>，包头稀土研究院完成对各参与起草单位筹集的公共样品的精密度、加标回收等试验，完成实验数据进行整理，编写了</w:t>
      </w:r>
      <w:r>
        <w:rPr>
          <w:rFonts w:hint="eastAsia"/>
        </w:rPr>
        <w:t>GB/T 26416.4《稀土铁合金化学分析方法 第4部分：铁量的测定-重铬酸钾滴定法》</w:t>
      </w:r>
      <w:r>
        <w:t>方法研究报告，并将样品和方法研究报告邮寄给验证单位进行数据的验证工作。</w:t>
      </w:r>
    </w:p>
    <w:p>
      <w:pPr>
        <w:spacing w:line="312" w:lineRule="auto"/>
        <w:ind w:firstLine="420"/>
      </w:pPr>
      <w:r>
        <w:t>2020年</w:t>
      </w:r>
      <w:r>
        <w:rPr>
          <w:rFonts w:hint="eastAsia"/>
        </w:rPr>
        <w:t>11</w:t>
      </w:r>
      <w:r>
        <w:t xml:space="preserve">月15日，一验证单位完成验证实验，并将验证报告返回至起草单位。 </w:t>
      </w:r>
    </w:p>
    <w:p>
      <w:pPr>
        <w:spacing w:line="312" w:lineRule="auto"/>
        <w:ind w:firstLine="420"/>
      </w:pPr>
      <w:r>
        <w:t>2020年</w:t>
      </w:r>
      <w:r>
        <w:rPr>
          <w:rFonts w:hint="eastAsia"/>
        </w:rPr>
        <w:t>12</w:t>
      </w:r>
      <w:r>
        <w:t>月</w:t>
      </w:r>
      <w:r>
        <w:rPr>
          <w:rFonts w:hint="eastAsia"/>
        </w:rPr>
        <w:t>15</w:t>
      </w:r>
      <w:r>
        <w:t>日，在一验单位验证无疑义后，二验单位完成公共样品精密度实验，提出精密度数据，并返回至起草单位。</w:t>
      </w:r>
    </w:p>
    <w:p>
      <w:pPr>
        <w:spacing w:line="312" w:lineRule="auto"/>
        <w:ind w:firstLine="420"/>
      </w:pPr>
      <w:r>
        <w:t>在标准的起草过程中，各单位广泛提出意见。截止2020年</w:t>
      </w:r>
      <w:r>
        <w:rPr>
          <w:rFonts w:hint="eastAsia"/>
        </w:rPr>
        <w:t>12</w:t>
      </w:r>
      <w:r>
        <w:t>月</w:t>
      </w:r>
      <w:r>
        <w:rPr>
          <w:rFonts w:hint="eastAsia"/>
        </w:rPr>
        <w:t>低</w:t>
      </w:r>
      <w:r>
        <w:t>，各验证单位陆续完成标准的验证工作并返回验证报告。</w:t>
      </w:r>
    </w:p>
    <w:p>
      <w:pPr>
        <w:spacing w:line="312" w:lineRule="auto"/>
        <w:ind w:firstLine="420"/>
      </w:pPr>
      <w:r>
        <w:rPr>
          <w:rFonts w:hint="eastAsia"/>
        </w:rPr>
        <w:t>除文字上的修改，</w:t>
      </w:r>
      <w:r>
        <w:t>在验证过程中各验证单位提出意见如下：</w:t>
      </w:r>
    </w:p>
    <w:p>
      <w:pPr>
        <w:pStyle w:val="136"/>
        <w:numPr>
          <w:ilvl w:val="0"/>
          <w:numId w:val="2"/>
        </w:numPr>
        <w:spacing w:line="312" w:lineRule="auto"/>
        <w:ind w:left="0" w:firstLine="420" w:firstLineChars="0"/>
        <w:rPr>
          <w:szCs w:val="21"/>
        </w:rPr>
      </w:pPr>
      <w:r>
        <w:rPr>
          <w:rFonts w:hint="eastAsia"/>
        </w:rPr>
        <w:t>国标（北京）检验认证有限公司提出研究报告 “2.2试剂和材料”中试剂的编写顺序应按照浓度由浓到稀编写</w:t>
      </w:r>
      <w:r>
        <w:rPr>
          <w:rFonts w:hint="eastAsia"/>
          <w:bCs/>
          <w:szCs w:val="21"/>
        </w:rPr>
        <w:t>。采纳后按GB/T20001.4标准规定顺序排列</w:t>
      </w:r>
      <w:r>
        <w:rPr>
          <w:rFonts w:hint="eastAsia"/>
          <w:szCs w:val="21"/>
        </w:rPr>
        <w:t>。</w:t>
      </w:r>
    </w:p>
    <w:p>
      <w:pPr>
        <w:pStyle w:val="136"/>
        <w:numPr>
          <w:ilvl w:val="0"/>
          <w:numId w:val="2"/>
        </w:numPr>
        <w:spacing w:line="312" w:lineRule="auto"/>
        <w:ind w:left="0" w:firstLine="420" w:firstLineChars="0"/>
      </w:pPr>
      <w:r>
        <w:rPr>
          <w:rFonts w:hint="eastAsia"/>
        </w:rPr>
        <w:t>国标（北京）检验认证有限公司提出研究报告 “2.5.4.1将试料置于300ml三角瓶中……溶解后定容于100ml容量瓶” 中三角瓶改为烧杯更合适。采纳后改为“300mL烧杯”。</w:t>
      </w:r>
    </w:p>
    <w:p>
      <w:pPr>
        <w:pStyle w:val="136"/>
        <w:numPr>
          <w:ilvl w:val="0"/>
          <w:numId w:val="2"/>
        </w:numPr>
        <w:spacing w:line="312" w:lineRule="auto"/>
        <w:ind w:left="0" w:firstLine="420" w:firstLineChars="0"/>
      </w:pPr>
      <w:r>
        <w:rPr>
          <w:rFonts w:hint="eastAsia"/>
        </w:rPr>
        <w:t>国标（北京）检验认证有限公司提出研究报告“3.4 氯化亚锡还原实验”即使不加氯化亚锡，也只是后面三氯化钛用得多一点，不会影响实验结果。而氯化亚锡加入量过量会直接影响后续实验结果，建议不加氯化亚锡。因测定高含量铁的样品时不采用氯化亚锡预还原Fe</w:t>
      </w:r>
      <w:r>
        <w:rPr>
          <w:rFonts w:hint="eastAsia"/>
          <w:vertAlign w:val="superscript"/>
        </w:rPr>
        <w:t>3+</w:t>
      </w:r>
      <w:r>
        <w:rPr>
          <w:rFonts w:hint="eastAsia"/>
        </w:rPr>
        <w:t>离子，会导致后续三氯化钛用量激增，引起酸度等条件的变化，影响测定准确性，同时采用氯化亚锡预还原只要控制好用量并不会影响后续测定，故不采纳。</w:t>
      </w:r>
    </w:p>
    <w:p>
      <w:pPr>
        <w:pStyle w:val="136"/>
        <w:numPr>
          <w:ilvl w:val="0"/>
          <w:numId w:val="2"/>
        </w:numPr>
        <w:spacing w:line="312" w:lineRule="auto"/>
        <w:ind w:left="0" w:firstLine="420" w:firstLineChars="0"/>
      </w:pPr>
      <w:r>
        <w:rPr>
          <w:rFonts w:hint="eastAsia"/>
        </w:rPr>
        <w:t>国标（北京）检验认证有限公司、南方稀土高技术股份有限公司提出研究报告“2.6 分析结果的计算与表述”中公式（1）有误，稀释倍数未在公式中体现。采纳后修改公式增添稀释倍数。</w:t>
      </w:r>
    </w:p>
    <w:p>
      <w:pPr>
        <w:pStyle w:val="136"/>
        <w:numPr>
          <w:ilvl w:val="0"/>
          <w:numId w:val="2"/>
        </w:numPr>
        <w:spacing w:line="312" w:lineRule="auto"/>
        <w:ind w:left="0" w:firstLine="420" w:firstLineChars="0"/>
      </w:pPr>
      <w:r>
        <w:rPr>
          <w:rFonts w:hint="eastAsia"/>
        </w:rPr>
        <w:t>国标（北京）检验认证有限公司、南方稀土高技术股份有限公司建议分取体积适当增大，使滴定体积在20ml以上，以减少误差。采纳后调整为“铁含量10%~20% 分取50mL，铁含量21%~50% 分取20mL，铁含量51%~90% 分取10mL。</w:t>
      </w:r>
    </w:p>
    <w:p>
      <w:pPr>
        <w:pStyle w:val="136"/>
        <w:numPr>
          <w:ilvl w:val="0"/>
          <w:numId w:val="2"/>
        </w:numPr>
        <w:spacing w:line="312" w:lineRule="auto"/>
        <w:ind w:left="0" w:firstLine="420" w:firstLineChars="0"/>
      </w:pPr>
      <w:r>
        <w:rPr>
          <w:rFonts w:hint="eastAsia"/>
        </w:rPr>
        <w:t>虔东稀土集团股份有限公司认为不加过氧化氢与加过氧化氢大部分样品溶样时间基本相同，且不加过氧化氢可以省略用氯化亚锡调成淡黄色，结果对比一致，建议一般情况不加过氧化氢溶样。因根据不同铁合金的工艺不同，其产品质量有所区别，同时为保证样品不被氧化，通常制备样品金属屑或颗粒均比较大，如不加过氧化氢会导致部分样品溶解缓慢或有残渣，故不采纳。</w:t>
      </w:r>
    </w:p>
    <w:p>
      <w:pPr>
        <w:spacing w:line="312" w:lineRule="auto"/>
      </w:pPr>
      <w:r>
        <w:rPr>
          <w:color w:val="FF0000"/>
        </w:rPr>
        <w:tab/>
      </w:r>
      <w:r>
        <w:t>综合各验证单位反馈的意见，起草单位对讨论稿及研究报告进行修改完善，形成了</w:t>
      </w:r>
      <w:r>
        <w:rPr>
          <w:rFonts w:hint="eastAsia"/>
        </w:rPr>
        <w:t xml:space="preserve">GB/T </w:t>
      </w:r>
      <w:r>
        <w:t>26416</w:t>
      </w:r>
      <w:r>
        <w:rPr>
          <w:rFonts w:hint="eastAsia"/>
        </w:rPr>
        <w:t>.4《稀土铁合金化学分析方法 第4部分：铁量的测定-重铬酸钾滴定法》</w:t>
      </w:r>
      <w:r>
        <w:t>（征求意见稿）。</w:t>
      </w:r>
    </w:p>
    <w:p>
      <w:pPr>
        <w:spacing w:beforeLines="50" w:afterLines="50" w:line="312" w:lineRule="auto"/>
        <w:rPr>
          <w:rFonts w:eastAsia="黑体"/>
        </w:rPr>
      </w:pPr>
      <w:r>
        <w:rPr>
          <w:rFonts w:eastAsia="黑体"/>
        </w:rPr>
        <w:t>2</w:t>
      </w:r>
      <w:r>
        <w:rPr>
          <w:rFonts w:hAnsi="黑体" w:eastAsia="黑体"/>
        </w:rPr>
        <w:t>、征求意见阶段</w:t>
      </w:r>
    </w:p>
    <w:p>
      <w:pPr>
        <w:spacing w:line="312" w:lineRule="auto"/>
        <w:ind w:firstLine="420"/>
      </w:pPr>
      <w:r>
        <w:t>编制组通过发函、中国有色金属标准质量信息网上公开、会议等形式对《</w:t>
      </w:r>
      <w:r>
        <w:rPr>
          <w:rFonts w:hint="eastAsia"/>
        </w:rPr>
        <w:t>稀土铁合金化学分析方法 第4部分：铁量的测定-重铬酸钾滴定法》</w:t>
      </w:r>
      <w:r>
        <w:t>（征求意见稿）征询意见。</w:t>
      </w:r>
    </w:p>
    <w:p>
      <w:pPr>
        <w:spacing w:line="312" w:lineRule="auto"/>
        <w:ind w:firstLine="420"/>
      </w:pPr>
      <w:r>
        <w:t>2021年</w:t>
      </w:r>
      <w:r>
        <w:rPr>
          <w:rFonts w:hint="eastAsia"/>
        </w:rPr>
        <w:t>4</w:t>
      </w:r>
      <w:r>
        <w:t>月</w:t>
      </w:r>
      <w:r>
        <w:rPr>
          <w:rFonts w:hint="eastAsia"/>
        </w:rPr>
        <w:t>19</w:t>
      </w:r>
      <w:r>
        <w:t>日《</w:t>
      </w:r>
      <w:r>
        <w:rPr>
          <w:rFonts w:hint="eastAsia"/>
        </w:rPr>
        <w:t>稀土铁合金化学分析方法 第4部分：铁量的测定-重铬酸钾滴定法》</w:t>
      </w:r>
      <w:r>
        <w:t>在中国有色金属标准质量信息网上公开征求意见。</w:t>
      </w:r>
    </w:p>
    <w:p>
      <w:pPr>
        <w:spacing w:line="312" w:lineRule="auto"/>
        <w:ind w:firstLine="420"/>
      </w:pPr>
      <w:r>
        <w:t>2021年4月26日~29日在</w:t>
      </w:r>
      <w:r>
        <w:rPr>
          <w:rFonts w:hint="eastAsia"/>
        </w:rPr>
        <w:t>在湖南省长沙市召开了2021年第一次工作会议</w:t>
      </w:r>
      <w:r>
        <w:t>，会上对</w:t>
      </w:r>
      <w:r>
        <w:rPr>
          <w:szCs w:val="21"/>
        </w:rPr>
        <w:t>《</w:t>
      </w:r>
      <w:r>
        <w:rPr>
          <w:rFonts w:hint="eastAsia"/>
        </w:rPr>
        <w:t>稀土铁合金化学分析方法 第4部分 铁量的测定</w:t>
      </w:r>
      <w:r>
        <w:rPr>
          <w:szCs w:val="21"/>
        </w:rPr>
        <w:t>》（征求意见稿）</w:t>
      </w:r>
      <w:r>
        <w:t>进行意见征询。会上</w:t>
      </w:r>
      <w:r>
        <w:rPr>
          <w:szCs w:val="21"/>
        </w:rPr>
        <w:t>专家对此方法标准的预审稿进行详细的审阅，并提出许多宝贵意见和建议，具体内容如下：</w:t>
      </w:r>
    </w:p>
    <w:p>
      <w:pPr>
        <w:pStyle w:val="136"/>
        <w:numPr>
          <w:ilvl w:val="0"/>
          <w:numId w:val="3"/>
        </w:numPr>
        <w:spacing w:line="312" w:lineRule="auto"/>
        <w:ind w:firstLineChars="0"/>
      </w:pPr>
      <w:r>
        <w:rPr>
          <w:rFonts w:hint="eastAsia"/>
        </w:rPr>
        <w:t>标准文本中原理描述里面出现了很多符号，建议使用文字描述。采纳后改为文字描述。</w:t>
      </w:r>
    </w:p>
    <w:p>
      <w:pPr>
        <w:pStyle w:val="136"/>
        <w:numPr>
          <w:ilvl w:val="0"/>
          <w:numId w:val="3"/>
        </w:numPr>
        <w:spacing w:line="312" w:lineRule="auto"/>
        <w:ind w:firstLineChars="0"/>
      </w:pPr>
      <w:r>
        <w:rPr>
          <w:rFonts w:hint="eastAsia"/>
        </w:rPr>
        <w:t>标准文本中空白试验和样品测定部分的公式中使用的符号重复，需按要求修改。同时对预审稿中出现的其它编辑性错误进行修改。采纳后对公式符号和文字性错误进行修改。</w:t>
      </w:r>
    </w:p>
    <w:p>
      <w:pPr>
        <w:pStyle w:val="136"/>
        <w:numPr>
          <w:ilvl w:val="0"/>
          <w:numId w:val="3"/>
        </w:numPr>
        <w:spacing w:line="312" w:lineRule="auto"/>
        <w:ind w:firstLineChars="0"/>
      </w:pPr>
      <w:r>
        <w:rPr>
          <w:rFonts w:hint="eastAsia"/>
        </w:rPr>
        <w:t>建议在样品测定过程中，将氯化亚锡还原的操作放在样品分取之后。因氯化亚锡还原需要加热条件下进行，放在分取之后会增添操作步骤，且在溶解样品之后加入氯化亚锡更容易观察铁被还原的颜色变化，避免还原过量，故不采纳。</w:t>
      </w:r>
    </w:p>
    <w:p>
      <w:pPr>
        <w:pStyle w:val="136"/>
        <w:numPr>
          <w:ilvl w:val="0"/>
          <w:numId w:val="3"/>
        </w:numPr>
        <w:spacing w:line="312" w:lineRule="auto"/>
        <w:ind w:firstLineChars="0"/>
      </w:pPr>
      <w:r>
        <w:rPr>
          <w:rFonts w:hint="eastAsia"/>
        </w:rPr>
        <w:t>建议确认不同含量样品的分取体积，要保证标准溶液的滴定体积，必要的话可以进行细分。采纳后调整不用含量样品的分取体积，保证标准溶液消耗量均在</w:t>
      </w:r>
      <w:r>
        <w:t>15-45</w:t>
      </w:r>
      <w:r>
        <w:rPr>
          <w:rFonts w:hint="eastAsia"/>
        </w:rPr>
        <w:t>mL之间。</w:t>
      </w:r>
    </w:p>
    <w:p>
      <w:pPr>
        <w:pStyle w:val="136"/>
        <w:numPr>
          <w:ilvl w:val="0"/>
          <w:numId w:val="3"/>
        </w:numPr>
        <w:spacing w:line="312" w:lineRule="auto"/>
        <w:ind w:firstLineChars="0"/>
      </w:pPr>
      <w:r>
        <w:rPr>
          <w:rFonts w:hint="eastAsia"/>
        </w:rPr>
        <w:t>在试样溶解时，建议对过氧化氢的使用根据不同样品进行限制，即“必要时使用”。采纳更改操作步骤为“</w:t>
      </w:r>
      <w:r>
        <w:rPr>
          <w:rFonts w:hint="eastAsia"/>
          <w:color w:val="000000"/>
          <w:kern w:val="0"/>
          <w:szCs w:val="20"/>
        </w:rPr>
        <w:t>如遇试料较难溶解，则加入0</w:t>
      </w:r>
      <w:r>
        <w:rPr>
          <w:color w:val="000000"/>
          <w:kern w:val="0"/>
          <w:szCs w:val="20"/>
        </w:rPr>
        <w:t>.5</w:t>
      </w:r>
      <w:r>
        <w:rPr>
          <w:rFonts w:hint="eastAsia"/>
          <w:color w:val="000000"/>
          <w:kern w:val="0"/>
          <w:szCs w:val="20"/>
        </w:rPr>
        <w:t>mL过氧化氢溶液（5.4）助溶，待样品完全溶解后，趁热滴加氯化亚锡溶液（5.10），并充分摇动，至溶液成浅黄色，</w:t>
      </w:r>
      <w:r>
        <w:rPr>
          <w:color w:val="000000"/>
          <w:kern w:val="0"/>
          <w:szCs w:val="20"/>
        </w:rPr>
        <w:t>冷却至室温，移入</w:t>
      </w:r>
      <w:r>
        <w:rPr>
          <w:rFonts w:hint="eastAsia"/>
          <w:color w:val="000000"/>
          <w:kern w:val="0"/>
          <w:szCs w:val="20"/>
        </w:rPr>
        <w:t>10</w:t>
      </w:r>
      <w:r>
        <w:rPr>
          <w:color w:val="000000"/>
          <w:kern w:val="0"/>
          <w:szCs w:val="20"/>
        </w:rPr>
        <w:t>0mL容量瓶中稀释至刻度，混匀。</w:t>
      </w:r>
      <w:r>
        <w:rPr>
          <w:rFonts w:hint="eastAsia"/>
        </w:rPr>
        <w:t>”</w:t>
      </w:r>
    </w:p>
    <w:p>
      <w:pPr>
        <w:pStyle w:val="136"/>
        <w:numPr>
          <w:ilvl w:val="0"/>
          <w:numId w:val="3"/>
        </w:numPr>
        <w:spacing w:line="312" w:lineRule="auto"/>
        <w:ind w:firstLineChars="0"/>
      </w:pPr>
      <w:r>
        <w:rPr>
          <w:rFonts w:hint="eastAsia"/>
        </w:rPr>
        <w:t>建议关注《稀土术语》中对稀土铁合金的定义问题，在“规范性应用文件”或适用范围中进行描述。采纳建议，对标准的适用范围进行限定，限定为</w:t>
      </w:r>
      <w:r>
        <w:rPr>
          <w:rFonts w:hint="eastAsia"/>
          <w:szCs w:val="20"/>
        </w:rPr>
        <w:t>包含</w:t>
      </w:r>
      <w:r>
        <w:rPr>
          <w:rFonts w:hint="eastAsia"/>
        </w:rPr>
        <w:t>镧铁、铈铁、镝铁、钬铁、钆铁、钇铁、钕铁、镧铈铁的稀土铁合金。</w:t>
      </w:r>
    </w:p>
    <w:p>
      <w:pPr>
        <w:spacing w:line="312" w:lineRule="auto"/>
        <w:ind w:firstLine="420"/>
      </w:pPr>
      <w:r>
        <w:t>征求意见阶段共发送《</w:t>
      </w:r>
      <w:r>
        <w:rPr>
          <w:rFonts w:hint="eastAsia"/>
        </w:rPr>
        <w:t>稀土铁合金化学分析方法 第4部分 铁量的测定</w:t>
      </w:r>
      <w:r>
        <w:t>》（征求意见稿）的单位数25个，收到回函的单位数25个，回函并有建议或意见的单位数</w:t>
      </w:r>
      <w:r>
        <w:rPr>
          <w:rFonts w:hint="eastAsia"/>
        </w:rPr>
        <w:t>8</w:t>
      </w:r>
      <w:r>
        <w:t>个，详见《征求意见稿 意见汇总处理表》。征求意见范围广泛且具代表性，编制组根据征求到的专家意见对《征求意见稿》进行修改完善，于2021年7月形成了《</w:t>
      </w:r>
      <w:r>
        <w:rPr>
          <w:rFonts w:hint="eastAsia"/>
        </w:rPr>
        <w:t>稀土铁合金化学分析方法 第4部分 铁量的测定</w:t>
      </w:r>
      <w:r>
        <w:t>》（送审稿）。</w:t>
      </w:r>
    </w:p>
    <w:p>
      <w:pPr>
        <w:spacing w:beforeLines="50" w:afterLines="50" w:line="312" w:lineRule="auto"/>
        <w:rPr>
          <w:rFonts w:eastAsia="黑体"/>
        </w:rPr>
      </w:pPr>
      <w:r>
        <w:rPr>
          <w:rFonts w:eastAsia="黑体"/>
        </w:rPr>
        <w:t>3</w:t>
      </w:r>
      <w:r>
        <w:rPr>
          <w:rFonts w:hAnsi="黑体" w:eastAsia="黑体"/>
        </w:rPr>
        <w:t>、审定阶段</w:t>
      </w:r>
    </w:p>
    <w:p>
      <w:pPr>
        <w:spacing w:line="312" w:lineRule="auto"/>
      </w:pPr>
    </w:p>
    <w:p>
      <w:pPr>
        <w:spacing w:beforeLines="50" w:afterLines="50" w:line="312" w:lineRule="auto"/>
        <w:rPr>
          <w:rFonts w:hAnsi="黑体" w:eastAsia="黑体"/>
        </w:rPr>
      </w:pPr>
      <w:r>
        <w:rPr>
          <w:rFonts w:eastAsia="黑体"/>
        </w:rPr>
        <w:t>4</w:t>
      </w:r>
      <w:r>
        <w:rPr>
          <w:rFonts w:hAnsi="黑体" w:eastAsia="黑体"/>
        </w:rPr>
        <w:t>、报批阶段</w:t>
      </w:r>
    </w:p>
    <w:p>
      <w:pPr>
        <w:spacing w:beforeLines="50" w:afterLines="50" w:line="312" w:lineRule="auto"/>
        <w:rPr>
          <w:rFonts w:eastAsia="黑体"/>
          <w:color w:val="FF0000"/>
        </w:rPr>
      </w:pPr>
    </w:p>
    <w:p>
      <w:pPr>
        <w:spacing w:beforeLines="50" w:afterLines="50" w:line="312" w:lineRule="auto"/>
        <w:rPr>
          <w:rFonts w:eastAsia="黑体"/>
          <w:bCs/>
          <w:sz w:val="24"/>
        </w:rPr>
      </w:pPr>
      <w:r>
        <w:rPr>
          <w:rFonts w:eastAsia="黑体"/>
          <w:bCs/>
          <w:sz w:val="24"/>
        </w:rPr>
        <w:t>二、标准编制原则</w:t>
      </w:r>
    </w:p>
    <w:p>
      <w:pPr>
        <w:tabs>
          <w:tab w:val="center" w:pos="5086"/>
        </w:tabs>
        <w:spacing w:line="312" w:lineRule="auto"/>
        <w:ind w:firstLine="420"/>
      </w:pPr>
      <w:r>
        <w:t>本标准起草过程中遵循以下原则：</w:t>
      </w:r>
    </w:p>
    <w:p>
      <w:pPr>
        <w:tabs>
          <w:tab w:val="center" w:pos="5086"/>
        </w:tabs>
        <w:spacing w:line="312" w:lineRule="auto"/>
      </w:pPr>
      <w:r>
        <w:t>（一）规范性原则：本标准是根据GB/T 1.1-2020《标准化工作导则 第1部分:标准化文件的结构和起草规则》和GB/T 20001.4-2015《标准编写规则 第4部分：试验方法标准》的要求进行编写的；</w:t>
      </w:r>
    </w:p>
    <w:p>
      <w:pPr>
        <w:tabs>
          <w:tab w:val="center" w:pos="5086"/>
        </w:tabs>
        <w:spacing w:line="312" w:lineRule="auto"/>
      </w:pPr>
      <w:r>
        <w:t>（二）先进性：</w:t>
      </w:r>
      <w:r>
        <w:rPr>
          <w:rFonts w:hint="eastAsia"/>
        </w:rPr>
        <w:t>制</w:t>
      </w:r>
      <w:r>
        <w:t>订后的标准</w:t>
      </w:r>
      <w:r>
        <w:rPr>
          <w:rFonts w:hint="eastAsia"/>
        </w:rPr>
        <w:t>涵盖了镧铁、铈铁、镝铁、钬铁、钆铁、钇铁、钕铁、镧铈铁</w:t>
      </w:r>
      <w:r>
        <w:t>等</w:t>
      </w:r>
      <w:r>
        <w:rPr>
          <w:rFonts w:hint="eastAsia"/>
        </w:rPr>
        <w:t>全部稀土铁合金铁量的测定，</w:t>
      </w:r>
      <w:r>
        <w:t>体现了检测技术的进步，适应稀土产业的发展，对国内稀土生产企业及相关行业的技术进步产生积极的促进作用。</w:t>
      </w:r>
    </w:p>
    <w:p>
      <w:pPr>
        <w:tabs>
          <w:tab w:val="center" w:pos="5086"/>
        </w:tabs>
        <w:spacing w:line="312" w:lineRule="auto"/>
        <w:rPr>
          <w:szCs w:val="21"/>
        </w:rPr>
      </w:pPr>
      <w:r>
        <w:t>（三）适用性：本标准以满足我国稀土产品实际检测需求为原则，宜于应用，能够满足企业需求。</w:t>
      </w:r>
      <w:r>
        <w:rPr>
          <w:rFonts w:hint="eastAsia"/>
        </w:rPr>
        <w:t>制定的方法针对不同种类，不同含量的稀土铁合金提供了一种统一的、准确的快速的铁量测定方法，</w:t>
      </w:r>
      <w:r>
        <w:rPr>
          <w:szCs w:val="20"/>
        </w:rPr>
        <w:t>更好的满足客户对检测时效的要求</w:t>
      </w:r>
      <w:r>
        <w:rPr>
          <w:szCs w:val="21"/>
        </w:rPr>
        <w:t>。</w:t>
      </w:r>
    </w:p>
    <w:p>
      <w:pPr>
        <w:tabs>
          <w:tab w:val="center" w:pos="5086"/>
        </w:tabs>
        <w:spacing w:line="312" w:lineRule="auto"/>
        <w:rPr>
          <w:szCs w:val="21"/>
        </w:rPr>
      </w:pPr>
      <w:r>
        <w:t>（四）</w:t>
      </w:r>
      <w:r>
        <w:rPr>
          <w:szCs w:val="21"/>
        </w:rPr>
        <w:t>充分考虑国家法律、安全、卫生、环保法规的要求。</w:t>
      </w:r>
    </w:p>
    <w:p>
      <w:pPr>
        <w:spacing w:beforeLines="50" w:afterLines="50" w:line="312" w:lineRule="auto"/>
        <w:rPr>
          <w:rFonts w:eastAsia="黑体"/>
          <w:bCs/>
          <w:sz w:val="24"/>
        </w:rPr>
      </w:pPr>
      <w:r>
        <w:rPr>
          <w:rFonts w:eastAsia="黑体"/>
          <w:bCs/>
          <w:sz w:val="24"/>
        </w:rPr>
        <w:t>三、标准主要内容、确定依据及主要试验和验证情况分析</w:t>
      </w:r>
    </w:p>
    <w:p>
      <w:pPr>
        <w:spacing w:beforeLines="50" w:afterLines="50" w:line="312" w:lineRule="auto"/>
        <w:rPr>
          <w:rFonts w:eastAsia="黑体"/>
          <w:bCs/>
          <w:sz w:val="24"/>
        </w:rPr>
      </w:pPr>
      <w:r>
        <w:rPr>
          <w:rFonts w:eastAsia="黑体"/>
          <w:bCs/>
          <w:sz w:val="24"/>
        </w:rPr>
        <w:t>（一）标准的主要内容、确定的依据</w:t>
      </w:r>
    </w:p>
    <w:p>
      <w:pPr>
        <w:spacing w:beforeLines="50" w:afterLines="50" w:line="312" w:lineRule="auto"/>
        <w:ind w:firstLine="480" w:firstLineChars="200"/>
        <w:rPr>
          <w:rFonts w:eastAsia="黑体"/>
          <w:bCs/>
          <w:sz w:val="24"/>
        </w:rPr>
      </w:pPr>
      <w:r>
        <w:rPr>
          <w:rFonts w:eastAsia="黑体"/>
          <w:bCs/>
          <w:sz w:val="24"/>
        </w:rPr>
        <w:t>本标准为修订标准，因此在标准的修订过程中主要对以下几个方面进行了确认：</w:t>
      </w:r>
    </w:p>
    <w:p>
      <w:pPr>
        <w:pStyle w:val="120"/>
        <w:numPr>
          <w:ilvl w:val="0"/>
          <w:numId w:val="4"/>
        </w:numPr>
        <w:tabs>
          <w:tab w:val="clear" w:pos="675"/>
        </w:tabs>
        <w:spacing w:beforeLines="50" w:afterLines="50" w:line="312" w:lineRule="auto"/>
        <w:ind w:left="0" w:firstLine="0"/>
        <w:rPr>
          <w:rFonts w:ascii="Times New Roman"/>
        </w:rPr>
      </w:pPr>
      <w:r>
        <w:rPr>
          <w:rFonts w:ascii="Times New Roman" w:hAnsi="黑体"/>
        </w:rPr>
        <w:t>测定方法</w:t>
      </w:r>
    </w:p>
    <w:p>
      <w:pPr>
        <w:pStyle w:val="121"/>
        <w:tabs>
          <w:tab w:val="center" w:pos="4201"/>
          <w:tab w:val="right" w:leader="dot" w:pos="9298"/>
        </w:tabs>
        <w:adjustRightInd w:val="0"/>
        <w:snapToGrid w:val="0"/>
        <w:spacing w:beforeLines="50" w:afterLines="50" w:line="312" w:lineRule="auto"/>
        <w:ind w:firstLine="420"/>
        <w:rPr>
          <w:rFonts w:ascii="Times New Roman" w:hAnsi="Times New Roman"/>
        </w:rPr>
      </w:pPr>
      <w:r>
        <w:rPr>
          <w:rFonts w:hint="eastAsia" w:ascii="Times New Roman" w:hAnsi="Times New Roman"/>
          <w:kern w:val="2"/>
          <w:szCs w:val="24"/>
        </w:rPr>
        <w:t>本</w:t>
      </w:r>
      <w:r>
        <w:rPr>
          <w:rFonts w:ascii="Times New Roman" w:hAnsi="Times New Roman"/>
          <w:kern w:val="2"/>
          <w:szCs w:val="24"/>
        </w:rPr>
        <w:t>项目提出</w:t>
      </w:r>
      <w:r>
        <w:rPr>
          <w:rFonts w:hint="eastAsia" w:ascii="Times New Roman" w:hAnsi="Times New Roman"/>
          <w:kern w:val="2"/>
          <w:szCs w:val="24"/>
        </w:rPr>
        <w:t>制定</w:t>
      </w:r>
      <w:r>
        <w:rPr>
          <w:rFonts w:ascii="Times New Roman" w:hAnsi="Times New Roman"/>
          <w:kern w:val="2"/>
          <w:szCs w:val="24"/>
        </w:rPr>
        <w:t>时，</w:t>
      </w:r>
      <w:r>
        <w:rPr>
          <w:rFonts w:hint="eastAsia" w:ascii="Times New Roman" w:hAnsi="Times New Roman"/>
          <w:kern w:val="2"/>
          <w:szCs w:val="24"/>
        </w:rPr>
        <w:t>参考现有GB/T 26416-2010《镝铁合金化学分析》、XB/T 616-2012《钆铁合金化学分析》等</w:t>
      </w:r>
      <w:r>
        <w:rPr>
          <w:rFonts w:ascii="Times New Roman" w:hAnsi="Times New Roman"/>
          <w:kern w:val="2"/>
          <w:szCs w:val="24"/>
        </w:rPr>
        <w:t>标准中</w:t>
      </w:r>
      <w:r>
        <w:rPr>
          <w:rFonts w:hint="eastAsia" w:ascii="Times New Roman" w:hAnsi="Times New Roman"/>
          <w:kern w:val="2"/>
          <w:szCs w:val="24"/>
        </w:rPr>
        <w:t>铁含量的测定方法</w:t>
      </w:r>
      <w:r>
        <w:rPr>
          <w:rFonts w:ascii="Times New Roman"/>
        </w:rPr>
        <w:t>，</w:t>
      </w:r>
      <w:r>
        <w:rPr>
          <w:rFonts w:hint="eastAsia" w:ascii="Times New Roman"/>
        </w:rPr>
        <w:t>充分考虑随着稀土应用领域的拓展而日益增多的稀土铁合金种类，采取经典的重铬酸钾滴定法，结合不同稀土铁合金的特点及含量范围，建立一种精炼的、统一的、易推广的推荐性国家标准，解决稀土铁合金检测领域标准技术内容的交叉、重叠、标准数量多，以及与对应的产品标准要求指标不匹配的问题</w:t>
      </w:r>
      <w:r>
        <w:rPr>
          <w:rFonts w:ascii="Times New Roman" w:hAnsi="Times New Roman"/>
          <w:kern w:val="2"/>
          <w:szCs w:val="24"/>
        </w:rPr>
        <w:t>。</w:t>
      </w:r>
    </w:p>
    <w:p>
      <w:pPr>
        <w:pStyle w:val="120"/>
        <w:tabs>
          <w:tab w:val="clear" w:pos="675"/>
        </w:tabs>
        <w:spacing w:beforeLines="50" w:afterLines="50" w:line="312" w:lineRule="auto"/>
        <w:ind w:left="0" w:firstLine="0"/>
        <w:rPr>
          <w:rFonts w:ascii="Times New Roman"/>
        </w:rPr>
      </w:pPr>
      <w:r>
        <w:rPr>
          <w:rFonts w:ascii="Times New Roman"/>
        </w:rPr>
        <w:t>2</w:t>
      </w:r>
      <w:r>
        <w:rPr>
          <w:rFonts w:ascii="Times New Roman" w:hAnsi="黑体"/>
        </w:rPr>
        <w:t>、适用范围</w:t>
      </w:r>
    </w:p>
    <w:p>
      <w:pPr>
        <w:spacing w:line="312" w:lineRule="auto"/>
      </w:pPr>
      <w:r>
        <w:tab/>
      </w:r>
      <w:r>
        <w:rPr>
          <w:rFonts w:hint="eastAsia"/>
        </w:rPr>
        <w:t xml:space="preserve">GB/T </w:t>
      </w:r>
      <w:r>
        <w:t>26416</w:t>
      </w:r>
      <w:r>
        <w:rPr>
          <w:rFonts w:hint="eastAsia"/>
        </w:rPr>
        <w:t>.4《稀土铁合金化学分析方法 第4部分：铁量的测定-重铬酸钾滴定法》</w:t>
      </w:r>
      <w:r>
        <w:rPr>
          <w:szCs w:val="20"/>
        </w:rPr>
        <w:t>适用于</w:t>
      </w:r>
      <w:r>
        <w:rPr>
          <w:rFonts w:hint="eastAsia"/>
          <w:szCs w:val="20"/>
        </w:rPr>
        <w:t>稀土铁合金中铁</w:t>
      </w:r>
      <w:r>
        <w:rPr>
          <w:szCs w:val="20"/>
        </w:rPr>
        <w:t>含量的测定</w:t>
      </w:r>
      <w:r>
        <w:rPr>
          <w:rFonts w:hint="eastAsia"/>
          <w:szCs w:val="20"/>
        </w:rPr>
        <w:t>，</w:t>
      </w:r>
      <w:r>
        <w:rPr>
          <w:szCs w:val="20"/>
        </w:rPr>
        <w:t>其测定范围： 10.00%～</w:t>
      </w:r>
      <w:r>
        <w:rPr>
          <w:rFonts w:hint="eastAsia"/>
          <w:szCs w:val="20"/>
        </w:rPr>
        <w:t>9</w:t>
      </w:r>
      <w:r>
        <w:rPr>
          <w:szCs w:val="20"/>
        </w:rPr>
        <w:t>0.00%。</w:t>
      </w:r>
    </w:p>
    <w:p>
      <w:pPr>
        <w:spacing w:beforeLines="50" w:afterLines="50" w:line="312" w:lineRule="auto"/>
        <w:rPr>
          <w:rFonts w:eastAsia="黑体"/>
          <w:bCs/>
          <w:sz w:val="24"/>
        </w:rPr>
      </w:pPr>
      <w:r>
        <w:rPr>
          <w:rFonts w:eastAsia="黑体"/>
          <w:bCs/>
          <w:sz w:val="24"/>
        </w:rPr>
        <w:t>（二）主要试验和验证情况分析</w:t>
      </w:r>
    </w:p>
    <w:p>
      <w:pPr>
        <w:pStyle w:val="120"/>
        <w:tabs>
          <w:tab w:val="clear" w:pos="675"/>
        </w:tabs>
        <w:spacing w:beforeLines="50" w:afterLines="50" w:line="312" w:lineRule="auto"/>
        <w:ind w:left="0" w:firstLine="0"/>
        <w:rPr>
          <w:rFonts w:ascii="Times New Roman" w:eastAsia="宋体"/>
          <w:kern w:val="2"/>
          <w:szCs w:val="24"/>
        </w:rPr>
      </w:pPr>
      <w:r>
        <w:rPr>
          <w:rFonts w:hint="eastAsia" w:ascii="Times New Roman" w:eastAsia="宋体"/>
          <w:kern w:val="2"/>
          <w:szCs w:val="24"/>
        </w:rPr>
        <w:t>1</w:t>
      </w:r>
      <w:r>
        <w:rPr>
          <w:rFonts w:ascii="Times New Roman" w:eastAsia="宋体"/>
          <w:kern w:val="2"/>
          <w:szCs w:val="24"/>
        </w:rPr>
        <w:t xml:space="preserve"> 方法原理</w:t>
      </w:r>
    </w:p>
    <w:p>
      <w:pPr>
        <w:tabs>
          <w:tab w:val="center" w:pos="5086"/>
        </w:tabs>
        <w:spacing w:line="312" w:lineRule="auto"/>
        <w:ind w:firstLine="420" w:firstLineChars="200"/>
      </w:pPr>
      <w:r>
        <w:t>试料用盐酸</w:t>
      </w:r>
      <w:r>
        <w:rPr>
          <w:rFonts w:hint="eastAsia"/>
        </w:rPr>
        <w:t>加过氧化氢</w:t>
      </w:r>
      <w:r>
        <w:t>溶解后，</w:t>
      </w:r>
      <w:r>
        <w:rPr>
          <w:rFonts w:hint="eastAsia"/>
        </w:rPr>
        <w:t>以氯化亚锡将大部分Fe</w:t>
      </w:r>
      <w:r>
        <w:rPr>
          <w:rFonts w:hint="eastAsia"/>
          <w:vertAlign w:val="superscript"/>
        </w:rPr>
        <w:t>3+</w:t>
      </w:r>
      <w:r>
        <w:rPr>
          <w:rFonts w:hint="eastAsia"/>
        </w:rPr>
        <w:t>还原成</w:t>
      </w:r>
      <w:r>
        <w:t>Fe</w:t>
      </w:r>
      <w:r>
        <w:rPr>
          <w:rFonts w:hint="eastAsia"/>
          <w:vertAlign w:val="superscript"/>
        </w:rPr>
        <w:t>2+</w:t>
      </w:r>
      <w:r>
        <w:rPr>
          <w:rFonts w:hint="eastAsia"/>
        </w:rPr>
        <w:t>，</w:t>
      </w:r>
      <w:r>
        <w:t>以钨酸钠为指示剂，加入硫磷混酸调节酸度</w:t>
      </w:r>
      <w:r>
        <w:rPr>
          <w:rFonts w:hint="eastAsia"/>
        </w:rPr>
        <w:t>至2.5mol/L左右</w:t>
      </w:r>
      <w:r>
        <w:t>，同时降低Fe</w:t>
      </w:r>
      <w:r>
        <w:rPr>
          <w:rFonts w:hint="eastAsia"/>
          <w:vertAlign w:val="superscript"/>
        </w:rPr>
        <w:t>2+</w:t>
      </w:r>
      <w:r>
        <w:rPr>
          <w:rFonts w:hint="eastAsia"/>
        </w:rPr>
        <w:t>/Fe</w:t>
      </w:r>
      <w:r>
        <w:rPr>
          <w:rFonts w:hint="eastAsia"/>
          <w:vertAlign w:val="superscript"/>
        </w:rPr>
        <w:t>3+</w:t>
      </w:r>
      <w:r>
        <w:rPr>
          <w:rFonts w:hint="eastAsia"/>
        </w:rPr>
        <w:t>电极电位，</w:t>
      </w:r>
      <w:r>
        <w:t>用三氯化钛将</w:t>
      </w:r>
      <w:r>
        <w:rPr>
          <w:rFonts w:hint="eastAsia"/>
        </w:rPr>
        <w:t>剩余</w:t>
      </w:r>
      <w:r>
        <w:t>Fe</w:t>
      </w:r>
      <w:r>
        <w:rPr>
          <w:vertAlign w:val="superscript"/>
        </w:rPr>
        <w:t>3+</w:t>
      </w:r>
      <w:r>
        <w:t>还原成Fe</w:t>
      </w:r>
      <w:r>
        <w:rPr>
          <w:vertAlign w:val="superscript"/>
        </w:rPr>
        <w:t>2+</w:t>
      </w:r>
      <w:r>
        <w:rPr>
          <w:rFonts w:hint="eastAsia"/>
        </w:rPr>
        <w:t>至</w:t>
      </w:r>
      <w:r>
        <w:t>生成”钨蓝”，</w:t>
      </w:r>
      <w:r>
        <w:rPr>
          <w:rFonts w:hint="eastAsia"/>
        </w:rPr>
        <w:t>用</w:t>
      </w:r>
      <w:r>
        <w:t>重铬酸钾初调溶液氧化过量的三价钛</w:t>
      </w:r>
      <w:r>
        <w:rPr>
          <w:rFonts w:hint="eastAsia"/>
        </w:rPr>
        <w:t>，</w:t>
      </w:r>
      <w:r>
        <w:t>以二苯胺磺酸钠为指示剂，用重铬酸钾标准溶液滴定至紫色为终点。</w:t>
      </w:r>
    </w:p>
    <w:p>
      <w:pPr>
        <w:pStyle w:val="120"/>
        <w:tabs>
          <w:tab w:val="clear" w:pos="675"/>
        </w:tabs>
        <w:spacing w:beforeLines="50" w:afterLines="50" w:line="312" w:lineRule="auto"/>
        <w:ind w:left="0" w:firstLine="0"/>
        <w:rPr>
          <w:rFonts w:ascii="Times New Roman" w:eastAsia="宋体"/>
          <w:kern w:val="2"/>
          <w:szCs w:val="24"/>
        </w:rPr>
      </w:pPr>
      <w:r>
        <w:rPr>
          <w:rFonts w:hint="eastAsia" w:ascii="Times New Roman" w:eastAsia="宋体"/>
          <w:kern w:val="2"/>
          <w:szCs w:val="24"/>
        </w:rPr>
        <w:t>2</w:t>
      </w:r>
      <w:r>
        <w:rPr>
          <w:rFonts w:ascii="Times New Roman" w:eastAsia="宋体"/>
          <w:kern w:val="2"/>
          <w:szCs w:val="24"/>
        </w:rPr>
        <w:t xml:space="preserve"> 条件实验</w:t>
      </w:r>
    </w:p>
    <w:p>
      <w:pPr>
        <w:tabs>
          <w:tab w:val="center" w:pos="5086"/>
        </w:tabs>
        <w:spacing w:line="312" w:lineRule="auto"/>
      </w:pPr>
      <w:r>
        <w:t>2.</w:t>
      </w:r>
      <w:r>
        <w:rPr>
          <w:rFonts w:hint="eastAsia"/>
        </w:rPr>
        <w:t>1</w:t>
      </w:r>
      <w:r>
        <w:t xml:space="preserve"> </w:t>
      </w:r>
      <w:r>
        <w:rPr>
          <w:rFonts w:hint="eastAsia"/>
        </w:rPr>
        <w:t>称样量确定实验</w:t>
      </w:r>
    </w:p>
    <w:p>
      <w:pPr>
        <w:tabs>
          <w:tab w:val="center" w:pos="5086"/>
        </w:tabs>
        <w:spacing w:line="312" w:lineRule="auto"/>
        <w:ind w:firstLine="420" w:firstLineChars="200"/>
      </w:pPr>
      <w:r>
        <w:rPr>
          <w:rFonts w:hint="eastAsia"/>
        </w:rPr>
        <w:t>金属样品较容易出现偏析现象，因此被测元素的含量有时与样品称样量多少有关。为保证样品中被测元素含量均匀，试验了镧铁、镝铁、钬铁、钆铁、钇铁、钕铁、镧铈铁、铈铁等不同种类稀土金属和铁含量从10%到90%范围的称样量对测定结果的影响。随着金属熔炼水平的提高，且大部分稀土金属均采用二次熔炼工艺，偏析现象减少。由结果可知，对于稀土金属样品，称样量0.2g的测定结果与0.50 g、1.0 g、2.0g的测定结果有一定偏差，故稀土金属最少应称样量0.5g，同时考虑到测定含量范围要求，确定称样量为1.0g更为合适，且可以保证样品所测元素含量的均匀。</w:t>
      </w:r>
    </w:p>
    <w:p>
      <w:pPr>
        <w:tabs>
          <w:tab w:val="center" w:pos="5086"/>
        </w:tabs>
        <w:spacing w:line="312" w:lineRule="auto"/>
      </w:pPr>
      <w:r>
        <w:rPr>
          <w:rFonts w:hint="eastAsia"/>
        </w:rPr>
        <w:t>2.2</w:t>
      </w:r>
      <w:r>
        <w:t xml:space="preserve"> </w:t>
      </w:r>
      <w:r>
        <w:rPr>
          <w:rFonts w:hint="eastAsia"/>
        </w:rPr>
        <w:t>溶样条件选择实验</w:t>
      </w:r>
    </w:p>
    <w:p>
      <w:pPr>
        <w:tabs>
          <w:tab w:val="center" w:pos="5086"/>
        </w:tabs>
        <w:spacing w:line="312" w:lineRule="auto"/>
        <w:ind w:firstLine="420" w:firstLineChars="200"/>
      </w:pPr>
      <w:r>
        <w:rPr>
          <w:rFonts w:hint="eastAsia"/>
        </w:rPr>
        <w:t>分别称取1.0g（精确到0.0001g）的镝铁（Fe=20.15%）、钕铁（Fe=55.18%）、镧铁（Fe=79.49%）合金样品各6份，分别用20mL盐酸、盐酸双氧水、王水、硝酸、硫酸（1+1）、硫酸（1+1）溶解完全，移入100mL容量瓶中，稀释到刻度，摇匀。按照含量各分取适当试液于300mL三角瓶中，以下按标准步骤进行操作。结果可知测定不同稀土铁合金的铁量时，采用盐酸加过氧化氢溶样速度快、溶液清亮，但加入双氧水氧化体系会导致后续TiCl3的用量增加。</w:t>
      </w:r>
    </w:p>
    <w:p>
      <w:pPr>
        <w:tabs>
          <w:tab w:val="center" w:pos="5086"/>
        </w:tabs>
        <w:spacing w:line="312" w:lineRule="auto"/>
        <w:ind w:firstLine="420" w:firstLineChars="200"/>
      </w:pPr>
      <w:r>
        <w:rPr>
          <w:rFonts w:hint="eastAsia"/>
        </w:rPr>
        <w:t>为保证盐酸加过氧化氢溶解样品的方法适合用于其他稀土铁合金样品，参照相关产品标准选取不同类型及含量的样品分别用HCl+H</w:t>
      </w:r>
      <w:r>
        <w:rPr>
          <w:rFonts w:hint="eastAsia"/>
          <w:vertAlign w:val="subscript"/>
        </w:rPr>
        <w:t>2</w:t>
      </w:r>
      <w:r>
        <w:rPr>
          <w:rFonts w:hint="eastAsia"/>
        </w:rPr>
        <w:t>O</w:t>
      </w:r>
      <w:r>
        <w:rPr>
          <w:rFonts w:hint="eastAsia"/>
          <w:vertAlign w:val="subscript"/>
        </w:rPr>
        <w:t>2</w:t>
      </w:r>
      <w:r>
        <w:rPr>
          <w:rFonts w:hint="eastAsia"/>
        </w:rPr>
        <w:t>进行溶解实验。结果显示加入过氧化氢溶解效果良好，满足定量检测要求。</w:t>
      </w:r>
    </w:p>
    <w:p>
      <w:pPr>
        <w:tabs>
          <w:tab w:val="center" w:pos="5086"/>
        </w:tabs>
        <w:spacing w:line="312" w:lineRule="auto"/>
      </w:pPr>
      <w:r>
        <w:rPr>
          <w:rFonts w:hint="eastAsia"/>
        </w:rPr>
        <w:t>2.3</w:t>
      </w:r>
      <w:r>
        <w:t xml:space="preserve"> </w:t>
      </w:r>
      <w:r>
        <w:rPr>
          <w:rFonts w:hint="eastAsia"/>
        </w:rPr>
        <w:t>溶解试剂用量实验</w:t>
      </w:r>
    </w:p>
    <w:p>
      <w:pPr>
        <w:tabs>
          <w:tab w:val="center" w:pos="5086"/>
        </w:tabs>
        <w:spacing w:line="312" w:lineRule="auto"/>
        <w:ind w:firstLine="420"/>
      </w:pPr>
      <w:r>
        <w:rPr>
          <w:rFonts w:hint="eastAsia"/>
        </w:rPr>
        <w:t>分别称取1.0g（精确到0.0001g）的镧铈铁（Fe=89.50%）样品4份，加入不同量的盐酸和过氧化氢进行溶解实验。从实验结果可得，5mL盐酸加0.5mL过氧化氢即可较快速的溶解样品，但为保证能完全溶解各类稀土铁合金，决定采用10mL盐酸加0.5mL过氧化氢为实验条件。</w:t>
      </w:r>
    </w:p>
    <w:p>
      <w:pPr>
        <w:tabs>
          <w:tab w:val="center" w:pos="5086"/>
        </w:tabs>
        <w:spacing w:line="312" w:lineRule="auto"/>
      </w:pPr>
      <w:r>
        <w:rPr>
          <w:rFonts w:hint="eastAsia"/>
        </w:rPr>
        <w:t>2.4</w:t>
      </w:r>
      <w:r>
        <w:t xml:space="preserve"> </w:t>
      </w:r>
      <w:r>
        <w:rPr>
          <w:rFonts w:hint="eastAsia"/>
        </w:rPr>
        <w:t>氯化亚锡还原实验</w:t>
      </w:r>
    </w:p>
    <w:p>
      <w:pPr>
        <w:tabs>
          <w:tab w:val="center" w:pos="5086"/>
        </w:tabs>
        <w:spacing w:line="312" w:lineRule="auto"/>
        <w:ind w:firstLine="420" w:firstLineChars="200"/>
      </w:pPr>
      <w:r>
        <w:rPr>
          <w:rFonts w:hint="eastAsia"/>
        </w:rPr>
        <w:t>分别称取1.0g（精确到0.0001g）的镧铁（Fe=79.49%）样品，置于300mL烧杯中，少量水润洗，加10mL盐酸和0.5mL过氧化氢溶液，低温加热至试料完全溶解，趁热滴加氯化亚锡溶液，并充分摇动，至溶液成深黄色、浅黄色、无色，冷却移入100mL容量瓶中，稀释到刻度，摇匀。各分取5mL试液于300mL三角瓶中，以下按实验步骤进行操作。由结果可知，用氯化亚锡将部分Fe</w:t>
      </w:r>
      <w:r>
        <w:rPr>
          <w:rFonts w:hint="eastAsia"/>
          <w:vertAlign w:val="superscript"/>
        </w:rPr>
        <w:t>3+</w:t>
      </w:r>
      <w:r>
        <w:rPr>
          <w:rFonts w:hint="eastAsia"/>
        </w:rPr>
        <w:t>还原至Fe</w:t>
      </w:r>
      <w:r>
        <w:rPr>
          <w:rFonts w:hint="eastAsia"/>
          <w:vertAlign w:val="superscript"/>
        </w:rPr>
        <w:t>2+</w:t>
      </w:r>
      <w:r>
        <w:rPr>
          <w:rFonts w:hint="eastAsia"/>
        </w:rPr>
        <w:t>可减少后续三氯化钛用量。滴加氯化亚锡使溶液由橘黄色变为浅黄色，并保持加热状态下黄色不消失即可。如溶液变为无色则说明二氯化锡加入过量，导致结果偏高，</w:t>
      </w:r>
    </w:p>
    <w:p>
      <w:pPr>
        <w:tabs>
          <w:tab w:val="center" w:pos="5086"/>
        </w:tabs>
        <w:spacing w:line="312" w:lineRule="auto"/>
      </w:pPr>
      <w:r>
        <w:rPr>
          <w:rFonts w:hint="eastAsia"/>
        </w:rPr>
        <w:t>2.5</w:t>
      </w:r>
      <w:r>
        <w:t xml:space="preserve"> </w:t>
      </w:r>
      <w:r>
        <w:rPr>
          <w:rFonts w:hint="eastAsia"/>
        </w:rPr>
        <w:t>试剂加入顺序实验</w:t>
      </w:r>
    </w:p>
    <w:p>
      <w:pPr>
        <w:tabs>
          <w:tab w:val="center" w:pos="5086"/>
        </w:tabs>
        <w:spacing w:line="312" w:lineRule="auto"/>
        <w:ind w:firstLine="420"/>
      </w:pPr>
      <w:r>
        <w:rPr>
          <w:rFonts w:hint="eastAsia"/>
        </w:rPr>
        <w:t>分别移取2.2中采用HCl+H2O2溶解的镧铁试液5mL于300mL三角瓶中，以下按操作步骤进行，分别按照“硫磷混酸-钨酸钠-TiCl3-指示剂”、“钨酸钠-硫磷混酸-TiCl3-指示剂”、“钨酸钠- TiCl3-硫磷混酸-指示剂”、“钨酸钠-TiCl3-指示剂-硫磷混酸”的顺序加入试剂进行测定。结果可知重铬酸钾法测定铁时，只有钨酸钠必须在TiCl3前加入，其余的试剂加入顺序对测定结果无影响，但是调完“钨蓝”后加入硫磷混酸会导致因酸度不足导致溶液变浑浊，影响滴定终点的观测。所以本实验确定试剂加入顺序采用硫磷混酸-钨酸钠-TiCl 3-指示剂。</w:t>
      </w:r>
    </w:p>
    <w:p>
      <w:pPr>
        <w:tabs>
          <w:tab w:val="center" w:pos="5086"/>
        </w:tabs>
        <w:spacing w:line="312" w:lineRule="auto"/>
      </w:pPr>
      <w:r>
        <w:rPr>
          <w:rFonts w:hint="eastAsia"/>
        </w:rPr>
        <w:t>2.6</w:t>
      </w:r>
      <w:r>
        <w:t xml:space="preserve"> </w:t>
      </w:r>
      <w:r>
        <w:rPr>
          <w:rFonts w:hint="eastAsia"/>
        </w:rPr>
        <w:t>精密度实验</w:t>
      </w:r>
    </w:p>
    <w:p>
      <w:pPr>
        <w:tabs>
          <w:tab w:val="center" w:pos="5086"/>
        </w:tabs>
        <w:spacing w:line="312" w:lineRule="auto"/>
        <w:ind w:firstLine="420" w:firstLineChars="200"/>
      </w:pPr>
      <w:r>
        <w:rPr>
          <w:rFonts w:hint="eastAsia"/>
        </w:rPr>
        <w:t>准确称取镧铁、钆铁、钇铁（合成）、钕铁（合成）、镧铈铁五个统一样品，置于300mL烧杯中，按照实验方法对统一样进行11次测定，计算样品测定的标准偏差和相对标准偏差，结果RSD%在0.13%~0.55%之间，此方法稳定可靠。</w:t>
      </w:r>
    </w:p>
    <w:p>
      <w:pPr>
        <w:tabs>
          <w:tab w:val="center" w:pos="5086"/>
        </w:tabs>
        <w:spacing w:line="312" w:lineRule="auto"/>
      </w:pPr>
      <w:r>
        <w:rPr>
          <w:rFonts w:hint="eastAsia"/>
        </w:rPr>
        <w:t>2.7</w:t>
      </w:r>
      <w:r>
        <w:t xml:space="preserve"> </w:t>
      </w:r>
      <w:r>
        <w:rPr>
          <w:rFonts w:hint="eastAsia"/>
        </w:rPr>
        <w:t>标准加入回收实验</w:t>
      </w:r>
    </w:p>
    <w:p>
      <w:pPr>
        <w:tabs>
          <w:tab w:val="center" w:pos="5086"/>
        </w:tabs>
        <w:spacing w:line="312" w:lineRule="auto"/>
        <w:ind w:firstLine="420"/>
      </w:pPr>
      <w:r>
        <w:rPr>
          <w:rFonts w:hint="eastAsia"/>
        </w:rPr>
        <w:t>准确称取镧铁、钆铁、钇铁（合成）、钕铁（合成）、镧铈铁五个统一样品，置于300mL烧杯中，按实验方法溶解样品并定容。按含量范围分取不同体积试液于300mL三角瓶中，向试液中加入不同量的纯铁液，进行回收率实验，回收率为98.8～101.3％，表明本方法的准确度令人满意。</w:t>
      </w:r>
    </w:p>
    <w:p>
      <w:pPr>
        <w:pStyle w:val="120"/>
        <w:tabs>
          <w:tab w:val="clear" w:pos="675"/>
        </w:tabs>
        <w:spacing w:beforeLines="50" w:afterLines="50" w:line="312" w:lineRule="auto"/>
        <w:ind w:left="0" w:firstLine="0"/>
        <w:rPr>
          <w:rFonts w:ascii="Times New Roman" w:eastAsia="宋体"/>
          <w:kern w:val="2"/>
          <w:szCs w:val="24"/>
        </w:rPr>
      </w:pPr>
      <w:r>
        <w:rPr>
          <w:rFonts w:hint="eastAsia" w:ascii="Times New Roman" w:eastAsia="宋体"/>
          <w:kern w:val="2"/>
          <w:szCs w:val="24"/>
        </w:rPr>
        <w:t>3</w:t>
      </w:r>
      <w:r>
        <w:rPr>
          <w:rFonts w:ascii="Times New Roman" w:eastAsia="宋体"/>
          <w:kern w:val="2"/>
          <w:szCs w:val="24"/>
        </w:rPr>
        <w:t xml:space="preserve"> </w:t>
      </w:r>
      <w:r>
        <w:rPr>
          <w:rFonts w:hint="eastAsia" w:ascii="Times New Roman" w:eastAsia="宋体"/>
          <w:kern w:val="2"/>
          <w:szCs w:val="24"/>
        </w:rPr>
        <w:t>结论</w:t>
      </w:r>
    </w:p>
    <w:p>
      <w:pPr>
        <w:tabs>
          <w:tab w:val="center" w:pos="5086"/>
        </w:tabs>
        <w:spacing w:line="312" w:lineRule="auto"/>
        <w:ind w:firstLine="420" w:firstLineChars="200"/>
      </w:pPr>
      <w:r>
        <w:rPr>
          <w:rFonts w:hint="eastAsia"/>
        </w:rPr>
        <w:t>本方法确定铁含量的测定范围：10%~90%，试料用盐酸加过氧化氢溶解能保证样品快速完全溶解，以二氯化锡预还原Fe3+，</w:t>
      </w:r>
      <w:r>
        <w:t>加入硫磷混酸</w:t>
      </w:r>
      <w:r>
        <w:rPr>
          <w:rFonts w:hint="eastAsia"/>
        </w:rPr>
        <w:t>调节酸度至2.5mol/L左右，以钨酸钠为指示剂</w:t>
      </w:r>
      <w:r>
        <w:t>用三氯化钛将</w:t>
      </w:r>
      <w:r>
        <w:rPr>
          <w:rFonts w:hint="eastAsia"/>
        </w:rPr>
        <w:t>剩余</w:t>
      </w:r>
      <w:r>
        <w:t>Fe3+还原成Fe2+至生成”钨蓝”，再滴加重铬酸钾初调溶液氧化过量的三价钛</w:t>
      </w:r>
      <w:r>
        <w:rPr>
          <w:rFonts w:hint="eastAsia"/>
        </w:rPr>
        <w:t>，</w:t>
      </w:r>
      <w:r>
        <w:t>以二苯胺磺酸钠为指示剂，用重铬酸钾标准溶液滴定至紫色为终点。</w:t>
      </w:r>
      <w:r>
        <w:rPr>
          <w:rFonts w:hint="eastAsia"/>
        </w:rPr>
        <w:t>该方法回收率在98.8%~101.3%，</w:t>
      </w:r>
      <w:r>
        <w:t>RSD</w:t>
      </w:r>
      <w:r>
        <w:rPr>
          <w:rFonts w:hint="eastAsia"/>
        </w:rPr>
        <w:t>在0.13%~0.55%，适用于所有稀土铁合金中铁的含量的测定。</w:t>
      </w:r>
    </w:p>
    <w:p>
      <w:pPr>
        <w:spacing w:beforeLines="50" w:afterLines="50" w:line="312" w:lineRule="auto"/>
        <w:rPr>
          <w:rFonts w:eastAsia="黑体"/>
          <w:bCs/>
          <w:sz w:val="24"/>
        </w:rPr>
      </w:pPr>
      <w:r>
        <w:rPr>
          <w:rFonts w:eastAsia="黑体"/>
          <w:bCs/>
          <w:sz w:val="24"/>
        </w:rPr>
        <w:t>（三）</w:t>
      </w:r>
      <w:r>
        <w:rPr>
          <w:rFonts w:hint="eastAsia" w:eastAsia="黑体"/>
          <w:bCs/>
          <w:sz w:val="24"/>
        </w:rPr>
        <w:t>修订的技术内容及依据</w:t>
      </w:r>
    </w:p>
    <w:p>
      <w:pPr>
        <w:spacing w:beforeLines="50" w:afterLines="50" w:line="312" w:lineRule="auto"/>
        <w:ind w:firstLine="420"/>
      </w:pPr>
      <w:r>
        <w:rPr>
          <w:rFonts w:hint="eastAsia"/>
        </w:rPr>
        <w:t>通过系统的对不同含量、不同种类的稀土铁合金测定条件实验及验证，</w:t>
      </w:r>
      <w:r>
        <w:rPr>
          <w:rFonts w:hint="eastAsia"/>
          <w:szCs w:val="21"/>
        </w:rPr>
        <w:t>修改标准应用范围为</w:t>
      </w:r>
      <w:r>
        <w:rPr>
          <w:rFonts w:hint="eastAsia"/>
          <w:szCs w:val="20"/>
        </w:rPr>
        <w:t>稀土铁合金中铁含量的测定，测定范围：10%~90%；修改了方法的测定原理。</w:t>
      </w:r>
    </w:p>
    <w:p>
      <w:pPr>
        <w:spacing w:beforeLines="50" w:afterLines="50" w:line="312" w:lineRule="auto"/>
        <w:ind w:firstLine="420"/>
      </w:pPr>
      <w:r>
        <w:t>依照GB/T 1.1—2020的要求</w:t>
      </w:r>
      <w:r>
        <w:rPr>
          <w:rFonts w:hint="eastAsia"/>
        </w:rPr>
        <w:t>，</w:t>
      </w:r>
      <w:r>
        <w:t>标准中增加了规范引用文件</w:t>
      </w:r>
      <w:r>
        <w:rPr>
          <w:rFonts w:hint="eastAsia"/>
        </w:rPr>
        <w:t>、</w:t>
      </w:r>
      <w:r>
        <w:t>增加了术语和定义</w:t>
      </w:r>
      <w:r>
        <w:rPr>
          <w:rFonts w:hint="eastAsia"/>
        </w:rPr>
        <w:t>，</w:t>
      </w:r>
      <w:r>
        <w:rPr>
          <w:szCs w:val="21"/>
        </w:rPr>
        <w:t>将</w:t>
      </w:r>
      <w:r>
        <w:rPr>
          <w:rFonts w:hint="eastAsia"/>
          <w:szCs w:val="21"/>
        </w:rPr>
        <w:t>“</w:t>
      </w:r>
      <w:r>
        <w:rPr>
          <w:szCs w:val="21"/>
        </w:rPr>
        <w:t>允许差</w:t>
      </w:r>
      <w:r>
        <w:rPr>
          <w:rFonts w:hint="eastAsia"/>
          <w:szCs w:val="21"/>
        </w:rPr>
        <w:t>”</w:t>
      </w:r>
      <w:r>
        <w:rPr>
          <w:szCs w:val="21"/>
        </w:rPr>
        <w:t>修改为</w:t>
      </w:r>
      <w:r>
        <w:rPr>
          <w:rFonts w:hint="eastAsia"/>
          <w:szCs w:val="21"/>
        </w:rPr>
        <w:t>“</w:t>
      </w:r>
      <w:r>
        <w:rPr>
          <w:szCs w:val="21"/>
        </w:rPr>
        <w:t>再现性</w:t>
      </w:r>
      <w:r>
        <w:rPr>
          <w:rFonts w:hint="eastAsia"/>
          <w:szCs w:val="21"/>
        </w:rPr>
        <w:t>”，</w:t>
      </w:r>
      <w:r>
        <w:rPr>
          <w:szCs w:val="21"/>
        </w:rPr>
        <w:t>删除了质量保证和控制</w:t>
      </w:r>
      <w:r>
        <w:t>。</w:t>
      </w:r>
    </w:p>
    <w:p>
      <w:pPr>
        <w:spacing w:beforeLines="50" w:afterLines="50" w:line="312" w:lineRule="auto"/>
        <w:ind w:firstLine="420"/>
        <w:rPr>
          <w:szCs w:val="21"/>
        </w:rPr>
      </w:pPr>
      <w:r>
        <w:rPr>
          <w:rFonts w:hint="eastAsia"/>
        </w:rPr>
        <w:t>通过称样量确定实验，</w:t>
      </w:r>
      <w:r>
        <w:rPr>
          <w:rFonts w:hint="eastAsia"/>
          <w:szCs w:val="21"/>
        </w:rPr>
        <w:t>更改了试料的称取量，由5g改为1g。</w:t>
      </w:r>
    </w:p>
    <w:p>
      <w:pPr>
        <w:spacing w:beforeLines="50" w:afterLines="50" w:line="312" w:lineRule="auto"/>
        <w:ind w:firstLine="420"/>
        <w:rPr>
          <w:szCs w:val="21"/>
        </w:rPr>
      </w:pPr>
      <w:r>
        <w:rPr>
          <w:rFonts w:hint="eastAsia"/>
        </w:rPr>
        <w:t>通过溶解试剂用量条件实验及氯化亚锡还原实验，</w:t>
      </w:r>
      <w:r>
        <w:rPr>
          <w:rFonts w:hint="eastAsia"/>
          <w:szCs w:val="21"/>
        </w:rPr>
        <w:t>更改了试料的溶解方法，增加了</w:t>
      </w:r>
      <w:r>
        <w:rPr>
          <w:rFonts w:hint="eastAsia"/>
          <w:color w:val="000000"/>
        </w:rPr>
        <w:t>如遇试料较难溶解，则加入0</w:t>
      </w:r>
      <w:r>
        <w:rPr>
          <w:color w:val="000000"/>
        </w:rPr>
        <w:t>.5</w:t>
      </w:r>
      <w:r>
        <w:rPr>
          <w:rFonts w:hint="eastAsia"/>
          <w:color w:val="000000"/>
        </w:rPr>
        <w:t>mL过氧化氢溶液助溶，并趁热滴加氯化亚锡溶液还原</w:t>
      </w:r>
      <w:r>
        <w:rPr>
          <w:rFonts w:hint="eastAsia"/>
          <w:szCs w:val="21"/>
        </w:rPr>
        <w:t>的步骤。</w:t>
      </w:r>
    </w:p>
    <w:p>
      <w:pPr>
        <w:spacing w:beforeLines="50" w:afterLines="50" w:line="312" w:lineRule="auto"/>
        <w:ind w:firstLine="420"/>
        <w:rPr>
          <w:szCs w:val="21"/>
        </w:rPr>
      </w:pPr>
      <w:r>
        <w:rPr>
          <w:rFonts w:hint="eastAsia"/>
        </w:rPr>
        <w:t>根据方法称样量、测定范围、标准溶液浓度、测定误差等，</w:t>
      </w:r>
      <w:r>
        <w:rPr>
          <w:rFonts w:hint="eastAsia"/>
          <w:szCs w:val="21"/>
        </w:rPr>
        <w:t>增加了不同铁含量的样品对应的分取体积。</w:t>
      </w:r>
    </w:p>
    <w:p>
      <w:pPr>
        <w:spacing w:beforeLines="50" w:afterLines="50" w:line="312" w:lineRule="auto"/>
        <w:ind w:firstLine="420"/>
        <w:rPr>
          <w:szCs w:val="21"/>
        </w:rPr>
      </w:pPr>
      <w:r>
        <w:rPr>
          <w:rFonts w:hint="eastAsia"/>
          <w:szCs w:val="21"/>
        </w:rPr>
        <w:t>通过</w:t>
      </w:r>
      <w:r>
        <w:rPr>
          <w:rFonts w:hint="eastAsia"/>
        </w:rPr>
        <w:t>试剂加入顺序实验，</w:t>
      </w:r>
      <w:r>
        <w:rPr>
          <w:rFonts w:hint="eastAsia"/>
          <w:szCs w:val="21"/>
        </w:rPr>
        <w:t>更改了试剂的加入顺序为“硫磷混酸-钨酸钠-TiCl</w:t>
      </w:r>
      <w:r>
        <w:rPr>
          <w:rFonts w:hint="eastAsia"/>
          <w:szCs w:val="21"/>
          <w:vertAlign w:val="subscript"/>
        </w:rPr>
        <w:t>3</w:t>
      </w:r>
      <w:r>
        <w:rPr>
          <w:rFonts w:hint="eastAsia"/>
          <w:szCs w:val="21"/>
        </w:rPr>
        <w:t>-指示剂”。</w:t>
      </w:r>
    </w:p>
    <w:p>
      <w:pPr>
        <w:spacing w:beforeLines="50" w:afterLines="50" w:line="312" w:lineRule="auto"/>
        <w:ind w:firstLine="420"/>
      </w:pPr>
      <w:r>
        <w:t>依照GB/T 1.1—2020的要求</w:t>
      </w:r>
      <w:r>
        <w:rPr>
          <w:szCs w:val="21"/>
        </w:rPr>
        <w:t>增加了精密度试验原始数据。</w:t>
      </w:r>
      <w:r>
        <w:rPr>
          <w:rFonts w:hint="eastAsia"/>
        </w:rPr>
        <w:t>标准</w:t>
      </w:r>
      <w:r>
        <w:t>重复性限、再现性限的确定建立在</w:t>
      </w:r>
      <w:r>
        <w:rPr>
          <w:rFonts w:hint="eastAsia"/>
        </w:rPr>
        <w:t>7</w:t>
      </w:r>
      <w:r>
        <w:t>家试验室</w:t>
      </w:r>
      <w:r>
        <w:rPr>
          <w:rFonts w:hint="eastAsia"/>
        </w:rPr>
        <w:t>5</w:t>
      </w:r>
      <w:r>
        <w:t>个水平样品数据的统计分析基础上，数据统计过程见附件A。</w:t>
      </w:r>
    </w:p>
    <w:p>
      <w:pPr>
        <w:spacing w:beforeLines="50" w:afterLines="50" w:line="312" w:lineRule="auto"/>
        <w:rPr>
          <w:rFonts w:eastAsia="黑体"/>
          <w:bCs/>
          <w:sz w:val="24"/>
        </w:rPr>
      </w:pPr>
      <w:r>
        <w:rPr>
          <w:rFonts w:eastAsia="黑体"/>
          <w:bCs/>
          <w:sz w:val="24"/>
        </w:rPr>
        <w:t>四、标准中涉及专利的情况</w:t>
      </w:r>
    </w:p>
    <w:p>
      <w:pPr>
        <w:spacing w:beforeLines="50" w:afterLines="50" w:line="312" w:lineRule="auto"/>
        <w:ind w:firstLine="420" w:firstLineChars="200"/>
      </w:pPr>
      <w:r>
        <w:t>本标准不涉及专利和知识产权问题。</w:t>
      </w:r>
    </w:p>
    <w:p>
      <w:pPr>
        <w:spacing w:beforeLines="50" w:afterLines="50" w:line="312" w:lineRule="auto"/>
        <w:rPr>
          <w:rFonts w:eastAsia="黑体"/>
          <w:bCs/>
          <w:sz w:val="24"/>
        </w:rPr>
      </w:pPr>
      <w:r>
        <w:rPr>
          <w:rFonts w:eastAsia="黑体"/>
          <w:bCs/>
          <w:sz w:val="24"/>
        </w:rPr>
        <w:t>五、预期达到的社会效益</w:t>
      </w:r>
    </w:p>
    <w:p>
      <w:pPr>
        <w:spacing w:beforeLines="50" w:afterLines="50" w:line="312" w:lineRule="auto"/>
        <w:rPr>
          <w:rFonts w:eastAsia="黑体"/>
          <w:bCs/>
          <w:sz w:val="24"/>
        </w:rPr>
      </w:pPr>
      <w:r>
        <w:rPr>
          <w:rFonts w:eastAsia="黑体"/>
          <w:bCs/>
          <w:sz w:val="24"/>
        </w:rPr>
        <w:t>（一）项目的必要性简述</w:t>
      </w:r>
    </w:p>
    <w:p>
      <w:pPr>
        <w:spacing w:beforeLines="50" w:afterLines="50" w:line="312" w:lineRule="auto"/>
        <w:ind w:firstLine="420" w:firstLineChars="200"/>
      </w:pPr>
      <w:r>
        <w:rPr>
          <w:rFonts w:hint="eastAsia"/>
        </w:rPr>
        <w:t>稀土铁合金为稀土元素与铁元素的中间合金。随着稀土应用领域的拓展，稀土铁合金种类日益增多，市场需求越来越大，</w:t>
      </w:r>
      <w:r>
        <w:rPr>
          <w:rFonts w:hint="eastAsia" w:hAnsi="宋体"/>
          <w:szCs w:val="21"/>
        </w:rPr>
        <w:t>供需双方对标准的需求日益明显。目前，现行有效的稀土铁合金产品标准有GB/T 26415-2010《镝铁合金》、XB/T 403-2012《钆铁合金》、XB/T 405-2016《铈铁合金》、XB/T 404-2015《钬铁合金》等，对应的行业化学成分分析标准16个，包括GB/T 26416-2010《镝铁合金化学分析》（5个部分）、XB/T 616-2012《钆铁合金化学分析》（5个部分）等。由于任一稀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如果针对不同的稀土铁合金均建立产品标准和检测方法标准，那么，仅仅在稀土铁合金领域拟提出的标准计划将超过30项，其中90%以上为化学成分分析标准，标准内容中存在技术内容的交叉和重复问题，或不能充分满足产品标准的技术要求问题等。因此建立一系列精炼、统一的推荐性国家标准，以解决稀土铁合金检测领域标准技术内容的交叉、重叠、标准数量过于庞大，检测项目不完整，与对应的产品标准要求指标不匹配等问题</w:t>
      </w:r>
      <w:r>
        <w:t>势在必行。</w:t>
      </w:r>
    </w:p>
    <w:p>
      <w:pPr>
        <w:spacing w:beforeLines="50" w:afterLines="50" w:line="312" w:lineRule="auto"/>
        <w:rPr>
          <w:rFonts w:eastAsia="黑体"/>
          <w:bCs/>
          <w:sz w:val="24"/>
        </w:rPr>
      </w:pPr>
      <w:r>
        <w:rPr>
          <w:rFonts w:eastAsia="黑体"/>
          <w:bCs/>
          <w:sz w:val="24"/>
        </w:rPr>
        <w:t>（二）项目的可行性简述</w:t>
      </w:r>
    </w:p>
    <w:p>
      <w:pPr>
        <w:spacing w:line="312" w:lineRule="auto"/>
        <w:ind w:firstLine="420"/>
      </w:pPr>
      <w:r>
        <w:rPr>
          <w:rFonts w:hint="eastAsia"/>
        </w:rPr>
        <w:t>重铬酸钾滴定法测定铁含量的方法作为经典的分析方法被广泛应用于各类化合物、矿物产品的检测之中，</w:t>
      </w:r>
      <w:r>
        <w:rPr>
          <w:rFonts w:hint="eastAsia" w:hAnsi="宋体"/>
          <w:szCs w:val="21"/>
        </w:rPr>
        <w:t>GB/T 26416-2010《镝铁合金化学分析》、XB/T 616-2012《钆铁合金化学分析》等部分稀土铁合金标准已经采用其方法进行铁含量的测定。通过系统的实验、调整方法参数、进行系列科学论证，从而将重铬酸钾滴定法应用于全系稀土铁合金产品的铁量测定必定可行。</w:t>
      </w:r>
    </w:p>
    <w:p>
      <w:pPr>
        <w:spacing w:line="312" w:lineRule="auto"/>
        <w:ind w:firstLine="420"/>
        <w:rPr>
          <w:highlight w:val="yellow"/>
        </w:rPr>
      </w:pPr>
      <w:r>
        <w:t>随着技术的进步，包头稀土研究院已将</w:t>
      </w:r>
      <w:r>
        <w:rPr>
          <w:rFonts w:hint="eastAsia" w:hAnsi="宋体"/>
          <w:szCs w:val="21"/>
        </w:rPr>
        <w:t>重铬酸钾滴定法</w:t>
      </w:r>
      <w:r>
        <w:t>应用于</w:t>
      </w:r>
      <w:r>
        <w:rPr>
          <w:rFonts w:hint="eastAsia"/>
        </w:rPr>
        <w:t>钕铁、铈铁、镧铁等</w:t>
      </w:r>
      <w:r>
        <w:t>稀土</w:t>
      </w:r>
      <w:r>
        <w:rPr>
          <w:rFonts w:hint="eastAsia"/>
        </w:rPr>
        <w:t>铁合金铁</w:t>
      </w:r>
      <w:r>
        <w:t>含量的测定，因为没有相关的国家标准或行业标准而仅仅局限于企业内部使用。本项目的完成将完成方法的标准化，同时通过方法比对、验证试验等试验数据验证方法的可靠性，为方法日后推广打下基础。</w:t>
      </w:r>
    </w:p>
    <w:p>
      <w:pPr>
        <w:spacing w:beforeLines="50" w:afterLines="50" w:line="312" w:lineRule="auto"/>
        <w:rPr>
          <w:rFonts w:eastAsia="黑体"/>
          <w:bCs/>
          <w:sz w:val="24"/>
        </w:rPr>
      </w:pPr>
      <w:r>
        <w:rPr>
          <w:rFonts w:eastAsia="黑体"/>
          <w:bCs/>
          <w:sz w:val="24"/>
        </w:rPr>
        <w:t>（三）标准的先进性、创新性、标准实施后预期产生的经济效益和社会效益</w:t>
      </w:r>
    </w:p>
    <w:p>
      <w:pPr>
        <w:spacing w:line="312" w:lineRule="auto"/>
        <w:ind w:firstLine="420"/>
      </w:pPr>
      <w:r>
        <w:rPr>
          <w:rFonts w:hint="eastAsia"/>
        </w:rPr>
        <w:t>铁</w:t>
      </w:r>
      <w:r>
        <w:t>含量是确定稀土</w:t>
      </w:r>
      <w:r>
        <w:rPr>
          <w:rFonts w:hint="eastAsia"/>
        </w:rPr>
        <w:t>铁合金</w:t>
      </w:r>
      <w:r>
        <w:t>产品牌号、等级的重要参数之一。</w:t>
      </w:r>
      <w:r>
        <w:rPr>
          <w:rFonts w:hint="eastAsia"/>
        </w:rPr>
        <w:t>采用重铬酸钾滴定法测定稀土铁合金中铁含量</w:t>
      </w:r>
      <w:r>
        <w:t>作为经典化学分析手段，在检测方面具有</w:t>
      </w:r>
      <w:r>
        <w:rPr>
          <w:rFonts w:hint="eastAsia"/>
        </w:rPr>
        <w:t>操作简单、快速、准确的优势。本方法的制定覆盖了不同含量的全系稀土铁合金产品铁量测定的范围，</w:t>
      </w:r>
      <w:r>
        <w:rPr>
          <w:rFonts w:hint="eastAsia" w:hAnsi="宋体"/>
          <w:szCs w:val="21"/>
        </w:rPr>
        <w:t>解决稀土铁合金检测领域标准技术内容的交叉、重叠、标准数量过于庞大，检测项目不完整，与对应的产品标准要求指标不匹配的问题。</w:t>
      </w:r>
      <w:r>
        <w:rPr>
          <w:kern w:val="0"/>
          <w:szCs w:val="20"/>
        </w:rPr>
        <w:t>本标</w:t>
      </w:r>
      <w:r>
        <w:rPr>
          <w:rFonts w:hint="eastAsia"/>
          <w:kern w:val="0"/>
          <w:szCs w:val="20"/>
        </w:rPr>
        <w:t>采用经典的重铬酸钾滴定法</w:t>
      </w:r>
      <w:r>
        <w:rPr>
          <w:kern w:val="0"/>
          <w:szCs w:val="20"/>
        </w:rPr>
        <w:t>，有利于在各类检测机构推广应用，对于促进我国稀土产品的生产、贸易具有重要意义。</w:t>
      </w:r>
    </w:p>
    <w:p>
      <w:pPr>
        <w:spacing w:line="312" w:lineRule="auto"/>
        <w:ind w:firstLine="420" w:firstLineChars="200"/>
      </w:pPr>
      <w:r>
        <w:t>标准审定会上专家认为本标准</w:t>
      </w:r>
      <w:r>
        <w:rPr>
          <w:rFonts w:hint="eastAsia"/>
        </w:rPr>
        <w:t>实验方法</w:t>
      </w:r>
      <w:r>
        <w:t>经典，实验数据充分，各验证单位认真参与标准的验证过程，征求意见广泛，经多次修改完善后标准文本内容详实，操作性强。</w:t>
      </w:r>
      <w:r>
        <w:rPr>
          <w:kern w:val="0"/>
        </w:rPr>
        <w:t>未检索到ISO、ASTM等国际标准。</w:t>
      </w:r>
      <w:r>
        <w:t>专家一致认为</w:t>
      </w:r>
      <w:r>
        <w:rPr>
          <w:rFonts w:hint="eastAsia"/>
        </w:rPr>
        <w:t>《稀土铁合金化学分析方法 第4部分：铁量的测定-重铬酸钾滴定法》</w:t>
      </w:r>
      <w:r>
        <w:t>达到国际先进水平。</w:t>
      </w:r>
    </w:p>
    <w:p>
      <w:pPr>
        <w:spacing w:beforeLines="50" w:afterLines="50" w:line="312" w:lineRule="auto"/>
        <w:rPr>
          <w:rFonts w:eastAsia="黑体"/>
          <w:bCs/>
          <w:sz w:val="24"/>
        </w:rPr>
      </w:pPr>
      <w:r>
        <w:rPr>
          <w:rFonts w:eastAsia="黑体"/>
          <w:bCs/>
          <w:sz w:val="24"/>
        </w:rPr>
        <w:t>六、采用国际标准和国外先进标准的情况</w:t>
      </w:r>
    </w:p>
    <w:p>
      <w:pPr>
        <w:spacing w:beforeLines="50" w:afterLines="50" w:line="312" w:lineRule="auto"/>
        <w:ind w:firstLine="420" w:firstLineChars="200"/>
        <w:rPr>
          <w:rFonts w:eastAsia="黑体"/>
          <w:bCs/>
          <w:sz w:val="24"/>
        </w:rPr>
      </w:pPr>
      <w:r>
        <w:t>经查，国外无相同类型的标准。本标准未采用（包括等同采用、修改采用及非等效采用）国际标准或国外先进标准。</w:t>
      </w:r>
    </w:p>
    <w:p>
      <w:pPr>
        <w:spacing w:beforeLines="50" w:afterLines="50" w:line="312" w:lineRule="auto"/>
        <w:rPr>
          <w:rFonts w:eastAsia="黑体"/>
          <w:bCs/>
          <w:sz w:val="24"/>
        </w:rPr>
      </w:pPr>
      <w:r>
        <w:rPr>
          <w:rFonts w:eastAsia="黑体"/>
          <w:bCs/>
          <w:sz w:val="24"/>
        </w:rPr>
        <w:t>七、与现行法律、法规、强制性国家标准及相关标准的关系</w:t>
      </w:r>
    </w:p>
    <w:p>
      <w:pPr>
        <w:spacing w:beforeLines="50" w:afterLines="50" w:line="312" w:lineRule="auto"/>
        <w:ind w:firstLine="420" w:firstLineChars="200"/>
      </w:pPr>
      <w:r>
        <w:t>本标准属于稀土</w:t>
      </w:r>
      <w:r>
        <w:rPr>
          <w:rFonts w:hint="eastAsia"/>
        </w:rPr>
        <w:t>铁合金的</w:t>
      </w:r>
      <w:r>
        <w:t>化学分析方法标准。本标准与现行法律、法规和相关标准相协调、无冲突。</w:t>
      </w:r>
    </w:p>
    <w:p>
      <w:pPr>
        <w:spacing w:beforeLines="50" w:afterLines="50" w:line="312" w:lineRule="auto"/>
        <w:rPr>
          <w:rFonts w:eastAsia="黑体"/>
          <w:bCs/>
          <w:sz w:val="24"/>
        </w:rPr>
      </w:pPr>
      <w:r>
        <w:rPr>
          <w:rFonts w:eastAsia="黑体"/>
          <w:bCs/>
          <w:sz w:val="24"/>
        </w:rPr>
        <w:t>八、重大分歧意见的处理和依据</w:t>
      </w:r>
    </w:p>
    <w:p>
      <w:pPr>
        <w:spacing w:beforeLines="50" w:afterLines="50" w:line="312" w:lineRule="auto"/>
        <w:ind w:firstLine="420" w:firstLineChars="200"/>
      </w:pPr>
      <w:r>
        <w:t>无重大分歧。</w:t>
      </w:r>
    </w:p>
    <w:p>
      <w:pPr>
        <w:spacing w:beforeLines="50" w:afterLines="50" w:line="312" w:lineRule="auto"/>
        <w:rPr>
          <w:rFonts w:eastAsia="黑体"/>
          <w:bCs/>
          <w:sz w:val="24"/>
        </w:rPr>
      </w:pPr>
      <w:r>
        <w:rPr>
          <w:rFonts w:eastAsia="黑体"/>
          <w:bCs/>
          <w:sz w:val="24"/>
        </w:rPr>
        <w:t>九、标准作为强制性或推荐性国家（或行业）标准的建议</w:t>
      </w:r>
    </w:p>
    <w:p>
      <w:pPr>
        <w:pStyle w:val="121"/>
        <w:tabs>
          <w:tab w:val="center" w:pos="4201"/>
          <w:tab w:val="right" w:leader="dot" w:pos="9298"/>
        </w:tabs>
        <w:spacing w:line="312" w:lineRule="auto"/>
        <w:ind w:firstLine="420"/>
        <w:rPr>
          <w:rFonts w:ascii="Times New Roman" w:hAnsi="Times New Roman"/>
        </w:rPr>
      </w:pPr>
      <w:r>
        <w:rPr>
          <w:rFonts w:ascii="Times New Roman" w:hAnsi="Times New Roman"/>
        </w:rPr>
        <w:t>建议该标准为推荐性国家标准。</w:t>
      </w:r>
    </w:p>
    <w:p>
      <w:pPr>
        <w:spacing w:beforeLines="50" w:afterLines="50" w:line="312" w:lineRule="auto"/>
        <w:rPr>
          <w:rFonts w:eastAsia="黑体"/>
          <w:bCs/>
          <w:sz w:val="24"/>
        </w:rPr>
      </w:pPr>
      <w:r>
        <w:rPr>
          <w:rFonts w:eastAsia="黑体"/>
          <w:bCs/>
          <w:sz w:val="24"/>
        </w:rPr>
        <w:t>十、贯彻标准的要求和措施建议</w:t>
      </w:r>
    </w:p>
    <w:p>
      <w:pPr>
        <w:spacing w:line="312" w:lineRule="auto"/>
        <w:ind w:firstLine="420" w:firstLineChars="200"/>
        <w:rPr>
          <w:rFonts w:eastAsia="黑体"/>
          <w:sz w:val="24"/>
        </w:rPr>
      </w:pPr>
      <w:r>
        <w:rPr>
          <w:kern w:val="0"/>
          <w:szCs w:val="20"/>
        </w:rPr>
        <w:t>建议稀土产品的生产和检测单位积极组织本标准的学习与宣贯，可向企业、公司和科研院校（所）推荐本标准。</w:t>
      </w:r>
    </w:p>
    <w:p>
      <w:pPr>
        <w:spacing w:beforeLines="50" w:afterLines="50" w:line="312" w:lineRule="auto"/>
        <w:rPr>
          <w:rFonts w:eastAsia="黑体"/>
          <w:bCs/>
          <w:sz w:val="24"/>
        </w:rPr>
      </w:pPr>
      <w:r>
        <w:rPr>
          <w:rFonts w:eastAsia="黑体"/>
          <w:bCs/>
          <w:sz w:val="24"/>
        </w:rPr>
        <w:t>十一、废止现行有关标准的建议</w:t>
      </w:r>
    </w:p>
    <w:p>
      <w:pPr>
        <w:pStyle w:val="121"/>
        <w:spacing w:line="312" w:lineRule="auto"/>
        <w:ind w:firstLine="420"/>
        <w:rPr>
          <w:rFonts w:ascii="Times New Roman" w:hAnsi="Times New Roman"/>
        </w:rPr>
      </w:pPr>
      <w:r>
        <w:rPr>
          <w:rFonts w:ascii="Times New Roman" w:hAnsi="Times New Roman"/>
        </w:rPr>
        <w:t>本标准</w:t>
      </w:r>
      <w:r>
        <w:rPr>
          <w:rFonts w:hint="eastAsia" w:ascii="Times New Roman" w:hAnsi="Times New Roman"/>
        </w:rPr>
        <w:t>涵盖各类稀土铁合金铁量的测定，</w:t>
      </w:r>
      <w:r>
        <w:rPr>
          <w:rFonts w:ascii="Times New Roman" w:hAnsi="Times New Roman"/>
        </w:rPr>
        <w:t>颁布标准实施后</w:t>
      </w:r>
      <w:r>
        <w:rPr>
          <w:rFonts w:hint="eastAsia" w:ascii="Times New Roman" w:hAnsi="Times New Roman"/>
        </w:rPr>
        <w:t>建议废止GB/T 26416.4-2010、XB/T 616.4-2012。</w:t>
      </w:r>
    </w:p>
    <w:p>
      <w:pPr>
        <w:spacing w:beforeLines="50" w:afterLines="50" w:line="312" w:lineRule="auto"/>
        <w:rPr>
          <w:rFonts w:eastAsia="黑体"/>
          <w:bCs/>
          <w:sz w:val="24"/>
        </w:rPr>
      </w:pPr>
      <w:r>
        <w:rPr>
          <w:rFonts w:eastAsia="黑体"/>
          <w:bCs/>
          <w:sz w:val="24"/>
        </w:rPr>
        <w:t>十二、其它应予说明的事项</w:t>
      </w:r>
    </w:p>
    <w:p>
      <w:pPr>
        <w:spacing w:line="312" w:lineRule="auto"/>
        <w:ind w:firstLine="480" w:firstLineChars="200"/>
        <w:rPr>
          <w:rFonts w:eastAsia="黑体"/>
          <w:sz w:val="24"/>
        </w:rPr>
      </w:pPr>
      <w:r>
        <w:rPr>
          <w:rFonts w:eastAsia="黑体"/>
          <w:sz w:val="24"/>
        </w:rPr>
        <w:t>无。</w:t>
      </w:r>
    </w:p>
    <w:p>
      <w:pPr>
        <w:spacing w:line="312" w:lineRule="auto"/>
        <w:rPr>
          <w:rFonts w:eastAsia="黑体"/>
          <w:sz w:val="24"/>
        </w:rPr>
      </w:pPr>
    </w:p>
    <w:p>
      <w:pPr>
        <w:widowControl/>
        <w:spacing w:beforeLines="50" w:afterLines="50" w:line="312" w:lineRule="auto"/>
        <w:rPr>
          <w:rFonts w:eastAsia="黑体"/>
          <w:bCs/>
          <w:sz w:val="24"/>
        </w:rPr>
      </w:pPr>
      <w:r>
        <w:rPr>
          <w:rFonts w:eastAsia="黑体"/>
          <w:bCs/>
          <w:sz w:val="24"/>
        </w:rPr>
        <w:t>附件A：精密度数据统计</w:t>
      </w:r>
    </w:p>
    <w:p>
      <w:pPr>
        <w:spacing w:line="312" w:lineRule="auto"/>
        <w:ind w:firstLine="480" w:firstLineChars="200"/>
        <w:rPr>
          <w:rFonts w:eastAsia="黑体"/>
          <w:sz w:val="24"/>
        </w:rPr>
      </w:pPr>
    </w:p>
    <w:p>
      <w:pPr>
        <w:spacing w:line="312" w:lineRule="auto"/>
        <w:ind w:firstLine="480" w:firstLineChars="200"/>
        <w:rPr>
          <w:rFonts w:eastAsia="黑体"/>
          <w:sz w:val="24"/>
        </w:rPr>
      </w:pPr>
    </w:p>
    <w:p>
      <w:pPr>
        <w:pStyle w:val="117"/>
        <w:spacing w:before="0" w:line="312" w:lineRule="auto"/>
        <w:ind w:left="5250" w:leftChars="2500" w:firstLine="900" w:firstLineChars="300"/>
        <w:jc w:val="both"/>
        <w:rPr>
          <w:sz w:val="21"/>
          <w:szCs w:val="21"/>
        </w:rPr>
      </w:pPr>
      <w:r>
        <w:rPr>
          <w:rFonts w:eastAsia="黑体"/>
          <w:sz w:val="30"/>
          <w:szCs w:val="30"/>
        </w:rPr>
        <w:t xml:space="preserve">   </w:t>
      </w:r>
      <w:r>
        <w:rPr>
          <w:sz w:val="21"/>
          <w:szCs w:val="21"/>
        </w:rPr>
        <w:t xml:space="preserve"> 包头稀土研究院</w:t>
      </w:r>
    </w:p>
    <w:p>
      <w:pPr>
        <w:pStyle w:val="117"/>
        <w:spacing w:before="0" w:line="312" w:lineRule="auto"/>
        <w:ind w:firstLine="6499" w:firstLineChars="3095"/>
        <w:jc w:val="both"/>
        <w:rPr>
          <w:sz w:val="21"/>
          <w:szCs w:val="21"/>
        </w:rPr>
      </w:pPr>
      <w:r>
        <w:rPr>
          <w:sz w:val="21"/>
          <w:szCs w:val="21"/>
        </w:rPr>
        <w:t>202</w:t>
      </w:r>
      <w:r>
        <w:rPr>
          <w:rFonts w:hint="eastAsia"/>
          <w:sz w:val="21"/>
          <w:szCs w:val="21"/>
        </w:rPr>
        <w:t>1</w:t>
      </w:r>
      <w:r>
        <w:rPr>
          <w:sz w:val="21"/>
          <w:szCs w:val="21"/>
        </w:rPr>
        <w:t>年</w:t>
      </w:r>
      <w:r>
        <w:rPr>
          <w:rFonts w:hint="eastAsia"/>
          <w:sz w:val="21"/>
          <w:szCs w:val="21"/>
        </w:rPr>
        <w:t>1</w:t>
      </w:r>
      <w:r>
        <w:rPr>
          <w:sz w:val="21"/>
          <w:szCs w:val="21"/>
        </w:rPr>
        <w:t>月</w:t>
      </w:r>
      <w:r>
        <w:rPr>
          <w:rFonts w:hint="eastAsia"/>
          <w:sz w:val="21"/>
          <w:szCs w:val="21"/>
        </w:rPr>
        <w:t>5</w:t>
      </w:r>
      <w:r>
        <w:rPr>
          <w:sz w:val="21"/>
          <w:szCs w:val="21"/>
        </w:rPr>
        <w:t>日</w:t>
      </w:r>
    </w:p>
    <w:p>
      <w:pPr>
        <w:widowControl/>
        <w:spacing w:line="312" w:lineRule="auto"/>
        <w:ind w:left="5250" w:leftChars="2500"/>
        <w:rPr>
          <w:szCs w:val="21"/>
        </w:rPr>
        <w:sectPr>
          <w:headerReference r:id="rId3" w:type="default"/>
          <w:pgSz w:w="11850" w:h="16783"/>
          <w:pgMar w:top="1134" w:right="1077" w:bottom="1213" w:left="1077" w:header="851" w:footer="992" w:gutter="0"/>
          <w:cols w:space="425" w:num="1"/>
          <w:docGrid w:type="lines" w:linePitch="312" w:charSpace="0"/>
        </w:sectPr>
      </w:pPr>
    </w:p>
    <w:p>
      <w:pPr>
        <w:widowControl/>
        <w:spacing w:line="312" w:lineRule="auto"/>
        <w:rPr>
          <w:b/>
          <w:bCs/>
          <w:szCs w:val="21"/>
        </w:rPr>
      </w:pPr>
      <w:r>
        <w:rPr>
          <w:rFonts w:hint="eastAsia"/>
          <w:b/>
          <w:bCs/>
          <w:szCs w:val="21"/>
        </w:rPr>
        <w:t>附件A：精密度数据统计</w:t>
      </w:r>
    </w:p>
    <w:p>
      <w:pPr>
        <w:widowControl/>
        <w:spacing w:line="312" w:lineRule="auto"/>
        <w:rPr>
          <w:b/>
          <w:szCs w:val="21"/>
        </w:rPr>
      </w:pPr>
      <w:r>
        <w:rPr>
          <w:rFonts w:hint="eastAsia"/>
          <w:b/>
          <w:szCs w:val="21"/>
        </w:rPr>
        <w:t>1、</w:t>
      </w:r>
      <w:r>
        <w:rPr>
          <w:rFonts w:ascii="黑体" w:hAnsi="黑体" w:eastAsia="黑体"/>
          <w:szCs w:val="21"/>
        </w:rPr>
        <w:t>各实验室实验数据</w:t>
      </w:r>
    </w:p>
    <w:p>
      <w:pPr>
        <w:spacing w:line="312" w:lineRule="auto"/>
        <w:jc w:val="center"/>
        <w:rPr>
          <w:szCs w:val="21"/>
        </w:rPr>
      </w:pPr>
      <w:r>
        <w:rPr>
          <w:rFonts w:hint="eastAsia"/>
          <w:szCs w:val="21"/>
        </w:rPr>
        <w:t>表A.1</w:t>
      </w:r>
      <w:r>
        <w:rPr>
          <w:szCs w:val="21"/>
        </w:rPr>
        <w:t xml:space="preserve">  各实验室原始测定数据（%）</w:t>
      </w:r>
    </w:p>
    <w:tbl>
      <w:tblPr>
        <w:tblStyle w:val="88"/>
        <w:tblW w:w="5000" w:type="pct"/>
        <w:jc w:val="center"/>
        <w:tblLayout w:type="autofit"/>
        <w:tblCellMar>
          <w:top w:w="0" w:type="dxa"/>
          <w:left w:w="108" w:type="dxa"/>
          <w:bottom w:w="0" w:type="dxa"/>
          <w:right w:w="108" w:type="dxa"/>
        </w:tblCellMar>
      </w:tblPr>
      <w:tblGrid>
        <w:gridCol w:w="3351"/>
        <w:gridCol w:w="1439"/>
        <w:gridCol w:w="1226"/>
        <w:gridCol w:w="1346"/>
        <w:gridCol w:w="1304"/>
        <w:gridCol w:w="1302"/>
      </w:tblGrid>
      <w:tr>
        <w:tblPrEx>
          <w:tblCellMar>
            <w:top w:w="0" w:type="dxa"/>
            <w:left w:w="108" w:type="dxa"/>
            <w:bottom w:w="0" w:type="dxa"/>
            <w:right w:w="108" w:type="dxa"/>
          </w:tblCellMar>
        </w:tblPrEx>
        <w:trPr>
          <w:trHeight w:val="312" w:hRule="exact"/>
          <w:tblHeader/>
          <w:jc w:val="center"/>
        </w:trPr>
        <w:tc>
          <w:tcPr>
            <w:tcW w:w="16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kern w:val="0"/>
                <w:sz w:val="18"/>
                <w:szCs w:val="22"/>
              </w:rPr>
            </w:pPr>
            <w:r>
              <w:rPr>
                <w:rFonts w:hint="eastAsia" w:eastAsiaTheme="minorEastAsia"/>
                <w:kern w:val="0"/>
                <w:sz w:val="18"/>
                <w:szCs w:val="18"/>
              </w:rPr>
              <w:t>实验室</w:t>
            </w:r>
          </w:p>
        </w:tc>
        <w:tc>
          <w:tcPr>
            <w:tcW w:w="722" w:type="pct"/>
            <w:tcBorders>
              <w:top w:val="single" w:color="auto" w:sz="4" w:space="0"/>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hint="eastAsia" w:cs="宋体"/>
                <w:color w:val="000000"/>
                <w:kern w:val="0"/>
                <w:sz w:val="18"/>
                <w:szCs w:val="22"/>
              </w:rPr>
              <w:t>水平1</w:t>
            </w:r>
          </w:p>
        </w:tc>
        <w:tc>
          <w:tcPr>
            <w:tcW w:w="615" w:type="pct"/>
            <w:tcBorders>
              <w:top w:val="single" w:color="auto" w:sz="4" w:space="0"/>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hint="eastAsia" w:cs="宋体"/>
                <w:color w:val="000000"/>
                <w:kern w:val="0"/>
                <w:sz w:val="18"/>
                <w:szCs w:val="22"/>
              </w:rPr>
              <w:t>水平2</w:t>
            </w:r>
          </w:p>
        </w:tc>
        <w:tc>
          <w:tcPr>
            <w:tcW w:w="675" w:type="pct"/>
            <w:tcBorders>
              <w:top w:val="single" w:color="auto" w:sz="4" w:space="0"/>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hint="eastAsia" w:cs="宋体"/>
                <w:color w:val="000000"/>
                <w:kern w:val="0"/>
                <w:sz w:val="18"/>
                <w:szCs w:val="22"/>
              </w:rPr>
              <w:t>水平3</w:t>
            </w:r>
          </w:p>
        </w:tc>
        <w:tc>
          <w:tcPr>
            <w:tcW w:w="654" w:type="pct"/>
            <w:tcBorders>
              <w:top w:val="single" w:color="auto" w:sz="4" w:space="0"/>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hint="eastAsia" w:cs="宋体"/>
                <w:color w:val="000000"/>
                <w:kern w:val="0"/>
                <w:sz w:val="18"/>
                <w:szCs w:val="22"/>
              </w:rPr>
              <w:t>水平4</w:t>
            </w:r>
          </w:p>
        </w:tc>
        <w:tc>
          <w:tcPr>
            <w:tcW w:w="653" w:type="pct"/>
            <w:tcBorders>
              <w:top w:val="single" w:color="auto" w:sz="4" w:space="0"/>
              <w:left w:val="nil"/>
              <w:bottom w:val="single" w:color="auto" w:sz="4" w:space="0"/>
              <w:right w:val="single" w:color="auto" w:sz="4" w:space="0"/>
            </w:tcBorders>
          </w:tcPr>
          <w:p>
            <w:pPr>
              <w:widowControl/>
              <w:jc w:val="center"/>
              <w:rPr>
                <w:rFonts w:cs="宋体"/>
                <w:color w:val="000000"/>
                <w:kern w:val="0"/>
                <w:sz w:val="18"/>
                <w:szCs w:val="22"/>
              </w:rPr>
            </w:pPr>
            <w:r>
              <w:rPr>
                <w:rFonts w:hint="eastAsia" w:cs="宋体"/>
                <w:color w:val="000000"/>
                <w:kern w:val="0"/>
                <w:sz w:val="18"/>
                <w:szCs w:val="22"/>
              </w:rPr>
              <w:t>水平5</w:t>
            </w:r>
          </w:p>
        </w:tc>
      </w:tr>
      <w:tr>
        <w:tblPrEx>
          <w:tblCellMar>
            <w:top w:w="0" w:type="dxa"/>
            <w:left w:w="108" w:type="dxa"/>
            <w:bottom w:w="0" w:type="dxa"/>
            <w:right w:w="108" w:type="dxa"/>
          </w:tblCellMar>
        </w:tblPrEx>
        <w:trPr>
          <w:trHeight w:val="312" w:hRule="exact"/>
          <w:jc w:val="center"/>
        </w:trPr>
        <w:tc>
          <w:tcPr>
            <w:tcW w:w="168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kern w:val="0"/>
                <w:sz w:val="18"/>
                <w:szCs w:val="22"/>
              </w:rPr>
            </w:pPr>
            <w:r>
              <w:rPr>
                <w:rFonts w:hint="eastAsia" w:cs="宋体"/>
                <w:color w:val="000000"/>
                <w:kern w:val="0"/>
                <w:sz w:val="18"/>
                <w:szCs w:val="22"/>
              </w:rPr>
              <w:t>包头稀土研究研究</w:t>
            </w: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13.967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28.839</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50.398</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70.730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89.581</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13.902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28.620</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50.783</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70.843</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89.493</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13.925</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28.643</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50.225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70.607</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89.365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14.025</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28.832</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50.490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70.925</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89.502</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13.953</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28.724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50.515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70.751</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89.295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14.052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28.770</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50.575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70.669</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89.366</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14.032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28.499</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50.290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70.761</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89.373</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13.823</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28.769</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50.318</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70.700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89.904</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14.027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28.888</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50.379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70.597</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89.698</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13.997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28.846</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50.358</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70.556</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89.606</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13.987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28.770</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50.556</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70.884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89.691</w:t>
            </w:r>
          </w:p>
        </w:tc>
      </w:tr>
      <w:tr>
        <w:tblPrEx>
          <w:tblCellMar>
            <w:top w:w="0" w:type="dxa"/>
            <w:left w:w="108" w:type="dxa"/>
            <w:bottom w:w="0" w:type="dxa"/>
            <w:right w:w="108" w:type="dxa"/>
          </w:tblCellMar>
        </w:tblPrEx>
        <w:trPr>
          <w:trHeight w:val="312" w:hRule="exact"/>
          <w:jc w:val="center"/>
        </w:trPr>
        <w:tc>
          <w:tcPr>
            <w:tcW w:w="168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kern w:val="0"/>
                <w:sz w:val="18"/>
                <w:szCs w:val="22"/>
              </w:rPr>
            </w:pPr>
            <w:r>
              <w:rPr>
                <w:rFonts w:hint="eastAsia" w:cs="宋体"/>
                <w:color w:val="000000"/>
                <w:kern w:val="0"/>
                <w:sz w:val="18"/>
                <w:szCs w:val="22"/>
              </w:rPr>
              <w:t>国标（北京）检验认证有限公司</w:t>
            </w: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13.839</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28.874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50.600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70.666</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89.429</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13.858</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28.848</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50.390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70.558</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89.446</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13.902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28.774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50.580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70.593</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89.748</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13.875</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28.881</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50.432</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70.880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89.502</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13.888</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28.884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50.625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70.711</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89.567</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13.892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28.775</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50.458</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70.556</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89.438</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13.881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28.669</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50.552</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70.752</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89.553</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13.709</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28.779</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50.575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70.689</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89.612</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13.714</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28.796</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50.498</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70.598</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89.719</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13.789</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28.828</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50.612</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70.677</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89.666</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13.854</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28.688</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50.379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70.752</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89.718</w:t>
            </w:r>
          </w:p>
        </w:tc>
      </w:tr>
      <w:tr>
        <w:tblPrEx>
          <w:tblCellMar>
            <w:top w:w="0" w:type="dxa"/>
            <w:left w:w="108" w:type="dxa"/>
            <w:bottom w:w="0" w:type="dxa"/>
            <w:right w:w="108" w:type="dxa"/>
          </w:tblCellMar>
        </w:tblPrEx>
        <w:trPr>
          <w:trHeight w:val="312" w:hRule="exact"/>
          <w:jc w:val="center"/>
        </w:trPr>
        <w:tc>
          <w:tcPr>
            <w:tcW w:w="168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kern w:val="0"/>
                <w:sz w:val="18"/>
                <w:szCs w:val="22"/>
              </w:rPr>
            </w:pPr>
            <w:r>
              <w:rPr>
                <w:rFonts w:hint="eastAsia" w:cs="宋体"/>
                <w:color w:val="000000"/>
                <w:kern w:val="0"/>
                <w:sz w:val="18"/>
                <w:szCs w:val="22"/>
              </w:rPr>
              <w:t>虔东稀土集团股份有限公司</w:t>
            </w: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13.590</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28.825</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50.530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71.180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89.640</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13.601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28.406</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50.270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70.910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89.550</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13.480</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28.964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50.287</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71.180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89.740</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13.611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28.764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50.270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70.840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89.740</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13.507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28.834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50.376</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70.910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89.449</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13.627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28.755</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50.200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71.040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89.556</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13.469</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28.768</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50.265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70.796</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89.747</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13.418</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28.903</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50.198</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70.575</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89.440</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13.457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28.750</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50.265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70.815</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89.560</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13.579</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28.684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50.197</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70.737</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89.655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13.492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28.705</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50.365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70.840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89.438</w:t>
            </w:r>
          </w:p>
        </w:tc>
      </w:tr>
      <w:tr>
        <w:tblPrEx>
          <w:tblCellMar>
            <w:top w:w="0" w:type="dxa"/>
            <w:left w:w="108" w:type="dxa"/>
            <w:bottom w:w="0" w:type="dxa"/>
            <w:right w:w="108" w:type="dxa"/>
          </w:tblCellMar>
        </w:tblPrEx>
        <w:trPr>
          <w:trHeight w:val="312" w:hRule="exact"/>
          <w:jc w:val="center"/>
        </w:trPr>
        <w:tc>
          <w:tcPr>
            <w:tcW w:w="168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kern w:val="0"/>
                <w:sz w:val="18"/>
                <w:szCs w:val="22"/>
              </w:rPr>
            </w:pPr>
            <w:r>
              <w:rPr>
                <w:rFonts w:hint="eastAsia" w:cs="宋体"/>
                <w:color w:val="000000"/>
                <w:kern w:val="0"/>
                <w:sz w:val="18"/>
                <w:szCs w:val="22"/>
              </w:rPr>
              <w:t>湖南稀土金属材料研究院</w:t>
            </w: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14.104</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28.935</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50.342</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71.138</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89.525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14.031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28.948</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50.404</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71.033</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89.723</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14.028</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28.843</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50.382</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70.991</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89.629</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14.027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28.936</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50.384</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71.026</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89.716</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13.985</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28.784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50.495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70.922</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90.069</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13.947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28.767</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50.210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70.531</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89.501</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13.862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28.862</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50.017</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70.596</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89.105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13.909</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28.864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50.410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70.881</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89.741</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14.125</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28.978</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50.138</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70.624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89.870</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14.023</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28.913</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50.199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70.954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89.669</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14.021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28.852</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50.291</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70.634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89.959</w:t>
            </w:r>
          </w:p>
        </w:tc>
      </w:tr>
      <w:tr>
        <w:tblPrEx>
          <w:tblCellMar>
            <w:top w:w="0" w:type="dxa"/>
            <w:left w:w="108" w:type="dxa"/>
            <w:bottom w:w="0" w:type="dxa"/>
            <w:right w:w="108" w:type="dxa"/>
          </w:tblCellMar>
        </w:tblPrEx>
        <w:trPr>
          <w:trHeight w:val="312" w:hRule="exact"/>
          <w:jc w:val="center"/>
        </w:trPr>
        <w:tc>
          <w:tcPr>
            <w:tcW w:w="168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kern w:val="0"/>
                <w:sz w:val="18"/>
                <w:szCs w:val="22"/>
              </w:rPr>
            </w:pPr>
            <w:r>
              <w:rPr>
                <w:rFonts w:hint="eastAsia" w:cs="宋体"/>
                <w:color w:val="000000"/>
                <w:kern w:val="0"/>
                <w:sz w:val="18"/>
                <w:szCs w:val="22"/>
              </w:rPr>
              <w:t>南方稀土高技术股份有限公司</w:t>
            </w: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13.603</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28.765</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50.516</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70.926</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89.260</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13.649</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28.696</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50.349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70.874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89.293</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13.618</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28.789</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50.181</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71.075</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89.824</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13.699</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28.721</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50.416</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70.874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89.370</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13.634</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28.747</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50.282</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70.673</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89.726</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13.705</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28.734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50.463</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70.957</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89.572</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13.602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28.687</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50.396</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70.622</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89.313</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13.656</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28.825</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50.329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71.058</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89.526</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13.648</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28.703</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50.506</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70.838</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89.513</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13.597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28.627</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50.406</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70.778</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89.225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13.712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28.834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50.339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70.800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89.638</w:t>
            </w:r>
          </w:p>
        </w:tc>
      </w:tr>
      <w:tr>
        <w:tblPrEx>
          <w:tblCellMar>
            <w:top w:w="0" w:type="dxa"/>
            <w:left w:w="108" w:type="dxa"/>
            <w:bottom w:w="0" w:type="dxa"/>
            <w:right w:w="108" w:type="dxa"/>
          </w:tblCellMar>
        </w:tblPrEx>
        <w:trPr>
          <w:trHeight w:val="312" w:hRule="exact"/>
          <w:jc w:val="center"/>
        </w:trPr>
        <w:tc>
          <w:tcPr>
            <w:tcW w:w="168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kern w:val="0"/>
                <w:sz w:val="18"/>
                <w:szCs w:val="22"/>
              </w:rPr>
            </w:pPr>
            <w:r>
              <w:rPr>
                <w:rFonts w:hint="eastAsia" w:cs="宋体"/>
                <w:color w:val="000000"/>
                <w:kern w:val="0"/>
                <w:sz w:val="18"/>
                <w:szCs w:val="22"/>
              </w:rPr>
              <w:t>淄博加华新材料资源有限公司</w:t>
            </w: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13.898</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28.950</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50.430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71.114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90.519</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13.824</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29.011</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50.430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71.369</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90.715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13.683</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28.794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50.601</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71.482</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90.789</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13.717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29.036</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50.259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71.310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90.452</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13.871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28.928</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50.430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70.944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91.091</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13.811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29.211</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50.259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70.944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90.475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13.760</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29.056</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50.259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71.369</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90.577</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13.762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28.978</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50.261</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71.009</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90.638</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13.811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29.274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50.361</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70.956</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90.995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13.858</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29.212</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50.265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70.988</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90.733</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13.881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28.945</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50.311</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71.429</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91.242</w:t>
            </w:r>
          </w:p>
        </w:tc>
      </w:tr>
      <w:tr>
        <w:tblPrEx>
          <w:tblCellMar>
            <w:top w:w="0" w:type="dxa"/>
            <w:left w:w="108" w:type="dxa"/>
            <w:bottom w:w="0" w:type="dxa"/>
            <w:right w:w="108" w:type="dxa"/>
          </w:tblCellMar>
        </w:tblPrEx>
        <w:trPr>
          <w:trHeight w:val="312" w:hRule="exact"/>
          <w:jc w:val="center"/>
        </w:trPr>
        <w:tc>
          <w:tcPr>
            <w:tcW w:w="168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kern w:val="0"/>
                <w:sz w:val="18"/>
                <w:szCs w:val="22"/>
              </w:rPr>
            </w:pPr>
            <w:r>
              <w:rPr>
                <w:rFonts w:hint="eastAsia" w:cs="宋体"/>
                <w:color w:val="000000"/>
                <w:kern w:val="0"/>
                <w:sz w:val="18"/>
                <w:szCs w:val="22"/>
              </w:rPr>
              <w:t>天津包钢稀土研究院有限责任公司</w:t>
            </w: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13.842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28.753</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50.422</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70.614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90.135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13.964</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29.114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50.198</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70.999</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90.364</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13.941</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29.086</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50.381</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71.100</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90.282</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14.023</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28.892</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50.469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70.574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90.241</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14.033</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28.963</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50.135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70.782</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90.032</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13.945</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28.891</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50.269</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70.861</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89.854</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13.877</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28.944</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50.700</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70.945</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90.311</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13.965</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28.873</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50.448</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70.834</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90.138</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14.012</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28.836</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50.265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71.043</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90.215</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13.869</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29.055</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50.396</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70.878</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89.994</w:t>
            </w:r>
          </w:p>
        </w:tc>
      </w:tr>
      <w:tr>
        <w:tblPrEx>
          <w:tblCellMar>
            <w:top w:w="0" w:type="dxa"/>
            <w:left w:w="108" w:type="dxa"/>
            <w:bottom w:w="0" w:type="dxa"/>
            <w:right w:w="108" w:type="dxa"/>
          </w:tblCellMar>
        </w:tblPrEx>
        <w:trPr>
          <w:trHeight w:val="312" w:hRule="exact"/>
          <w:jc w:val="center"/>
        </w:trPr>
        <w:tc>
          <w:tcPr>
            <w:tcW w:w="1681" w:type="pct"/>
            <w:vMerge w:val="continue"/>
            <w:tcBorders>
              <w:top w:val="nil"/>
              <w:left w:val="single" w:color="auto" w:sz="4" w:space="0"/>
              <w:bottom w:val="single" w:color="auto" w:sz="4" w:space="0"/>
              <w:right w:val="single" w:color="auto" w:sz="4" w:space="0"/>
            </w:tcBorders>
            <w:vAlign w:val="center"/>
          </w:tcPr>
          <w:p>
            <w:pPr>
              <w:widowControl/>
              <w:jc w:val="center"/>
              <w:rPr>
                <w:rFonts w:cs="宋体"/>
                <w:color w:val="000000"/>
                <w:kern w:val="0"/>
                <w:sz w:val="18"/>
                <w:szCs w:val="22"/>
              </w:rPr>
            </w:pPr>
          </w:p>
        </w:tc>
        <w:tc>
          <w:tcPr>
            <w:tcW w:w="722"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13.958</w:t>
            </w:r>
          </w:p>
        </w:tc>
        <w:tc>
          <w:tcPr>
            <w:tcW w:w="61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29.010</w:t>
            </w:r>
          </w:p>
        </w:tc>
        <w:tc>
          <w:tcPr>
            <w:tcW w:w="67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50.155</w:t>
            </w:r>
          </w:p>
        </w:tc>
        <w:tc>
          <w:tcPr>
            <w:tcW w:w="654"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70.922</w:t>
            </w:r>
          </w:p>
        </w:tc>
        <w:tc>
          <w:tcPr>
            <w:tcW w:w="653"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90.037</w:t>
            </w:r>
          </w:p>
        </w:tc>
      </w:tr>
    </w:tbl>
    <w:p>
      <w:pPr>
        <w:spacing w:line="312" w:lineRule="auto"/>
        <w:rPr>
          <w:szCs w:val="21"/>
        </w:rPr>
      </w:pPr>
    </w:p>
    <w:p>
      <w:pPr>
        <w:spacing w:line="312" w:lineRule="auto"/>
        <w:jc w:val="center"/>
        <w:rPr>
          <w:szCs w:val="21"/>
        </w:rPr>
      </w:pPr>
      <w:r>
        <w:rPr>
          <w:rFonts w:hint="eastAsia"/>
          <w:szCs w:val="21"/>
        </w:rPr>
        <w:t>表A.</w:t>
      </w:r>
      <w:r>
        <w:rPr>
          <w:szCs w:val="21"/>
        </w:rPr>
        <w:t>2</w:t>
      </w:r>
      <w:r>
        <w:rPr>
          <w:rFonts w:hint="eastAsia"/>
          <w:szCs w:val="21"/>
        </w:rPr>
        <w:t xml:space="preserve"> 各单元平均值（%）</w:t>
      </w:r>
    </w:p>
    <w:tbl>
      <w:tblPr>
        <w:tblStyle w:val="88"/>
        <w:tblW w:w="5000" w:type="pct"/>
        <w:tblInd w:w="0" w:type="dxa"/>
        <w:tblLayout w:type="autofit"/>
        <w:tblCellMar>
          <w:top w:w="0" w:type="dxa"/>
          <w:left w:w="108" w:type="dxa"/>
          <w:bottom w:w="0" w:type="dxa"/>
          <w:right w:w="108" w:type="dxa"/>
        </w:tblCellMar>
      </w:tblPr>
      <w:tblGrid>
        <w:gridCol w:w="3352"/>
        <w:gridCol w:w="1326"/>
        <w:gridCol w:w="1328"/>
        <w:gridCol w:w="1322"/>
        <w:gridCol w:w="1320"/>
        <w:gridCol w:w="1320"/>
      </w:tblGrid>
      <w:tr>
        <w:tblPrEx>
          <w:tblCellMar>
            <w:top w:w="0" w:type="dxa"/>
            <w:left w:w="108" w:type="dxa"/>
            <w:bottom w:w="0" w:type="dxa"/>
            <w:right w:w="108" w:type="dxa"/>
          </w:tblCellMar>
        </w:tblPrEx>
        <w:trPr>
          <w:trHeight w:val="360" w:hRule="atLeast"/>
          <w:tblHeader/>
        </w:trPr>
        <w:tc>
          <w:tcPr>
            <w:tcW w:w="16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 w:val="18"/>
                <w:szCs w:val="18"/>
              </w:rPr>
            </w:pPr>
            <w:r>
              <w:rPr>
                <w:rFonts w:hint="eastAsia" w:eastAsiaTheme="minorEastAsia"/>
                <w:kern w:val="0"/>
                <w:sz w:val="18"/>
                <w:szCs w:val="18"/>
              </w:rPr>
              <w:t>实验室</w:t>
            </w:r>
          </w:p>
        </w:tc>
        <w:tc>
          <w:tcPr>
            <w:tcW w:w="66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18"/>
                <w:szCs w:val="18"/>
              </w:rPr>
            </w:pPr>
            <w:r>
              <w:rPr>
                <w:rFonts w:hint="eastAsia" w:eastAsiaTheme="minorEastAsia"/>
                <w:kern w:val="0"/>
                <w:sz w:val="18"/>
                <w:szCs w:val="18"/>
              </w:rPr>
              <w:t>水平1</w:t>
            </w:r>
          </w:p>
        </w:tc>
        <w:tc>
          <w:tcPr>
            <w:tcW w:w="6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18"/>
                <w:szCs w:val="18"/>
              </w:rPr>
            </w:pPr>
            <w:r>
              <w:rPr>
                <w:rFonts w:hint="eastAsia" w:eastAsiaTheme="minorEastAsia"/>
                <w:kern w:val="0"/>
                <w:sz w:val="18"/>
                <w:szCs w:val="18"/>
              </w:rPr>
              <w:t>水平2</w:t>
            </w:r>
          </w:p>
        </w:tc>
        <w:tc>
          <w:tcPr>
            <w:tcW w:w="6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 w:val="18"/>
                <w:szCs w:val="18"/>
              </w:rPr>
            </w:pPr>
            <w:r>
              <w:rPr>
                <w:rFonts w:hint="eastAsia" w:eastAsiaTheme="minorEastAsia"/>
                <w:kern w:val="0"/>
                <w:sz w:val="18"/>
                <w:szCs w:val="18"/>
              </w:rPr>
              <w:t>水平3</w:t>
            </w:r>
          </w:p>
        </w:tc>
        <w:tc>
          <w:tcPr>
            <w:tcW w:w="662" w:type="pct"/>
            <w:tcBorders>
              <w:top w:val="single" w:color="auto" w:sz="4" w:space="0"/>
              <w:left w:val="nil"/>
              <w:bottom w:val="single" w:color="auto" w:sz="4" w:space="0"/>
              <w:right w:val="single" w:color="auto" w:sz="4" w:space="0"/>
            </w:tcBorders>
          </w:tcPr>
          <w:p>
            <w:pPr>
              <w:widowControl/>
              <w:jc w:val="center"/>
              <w:rPr>
                <w:rFonts w:eastAsiaTheme="minorEastAsia"/>
                <w:kern w:val="0"/>
                <w:sz w:val="18"/>
                <w:szCs w:val="18"/>
              </w:rPr>
            </w:pPr>
            <w:r>
              <w:rPr>
                <w:rFonts w:hint="eastAsia" w:eastAsiaTheme="minorEastAsia"/>
                <w:kern w:val="0"/>
                <w:sz w:val="18"/>
                <w:szCs w:val="18"/>
              </w:rPr>
              <w:t>水平4</w:t>
            </w:r>
          </w:p>
        </w:tc>
        <w:tc>
          <w:tcPr>
            <w:tcW w:w="662" w:type="pct"/>
            <w:tcBorders>
              <w:top w:val="single" w:color="auto" w:sz="4" w:space="0"/>
              <w:left w:val="nil"/>
              <w:bottom w:val="single" w:color="auto" w:sz="4" w:space="0"/>
              <w:right w:val="single" w:color="auto" w:sz="4" w:space="0"/>
            </w:tcBorders>
          </w:tcPr>
          <w:p>
            <w:pPr>
              <w:widowControl/>
              <w:jc w:val="center"/>
              <w:rPr>
                <w:rFonts w:eastAsiaTheme="minorEastAsia"/>
                <w:kern w:val="0"/>
                <w:sz w:val="18"/>
                <w:szCs w:val="18"/>
              </w:rPr>
            </w:pPr>
            <w:r>
              <w:rPr>
                <w:rFonts w:hint="eastAsia" w:eastAsiaTheme="minorEastAsia"/>
                <w:kern w:val="0"/>
                <w:sz w:val="18"/>
                <w:szCs w:val="18"/>
              </w:rPr>
              <w:t>水平5</w:t>
            </w:r>
          </w:p>
        </w:tc>
      </w:tr>
      <w:tr>
        <w:tblPrEx>
          <w:tblCellMar>
            <w:top w:w="0" w:type="dxa"/>
            <w:left w:w="108" w:type="dxa"/>
            <w:bottom w:w="0" w:type="dxa"/>
            <w:right w:w="108" w:type="dxa"/>
          </w:tblCellMar>
        </w:tblPrEx>
        <w:trPr>
          <w:trHeight w:val="360"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color w:val="000000"/>
                <w:kern w:val="0"/>
                <w:sz w:val="18"/>
                <w:szCs w:val="22"/>
              </w:rPr>
            </w:pPr>
            <w:r>
              <w:rPr>
                <w:rFonts w:hint="eastAsia"/>
                <w:color w:val="000000"/>
                <w:sz w:val="20"/>
                <w:szCs w:val="20"/>
              </w:rPr>
              <w:t>包头稀土研究研究</w:t>
            </w:r>
          </w:p>
        </w:tc>
        <w:tc>
          <w:tcPr>
            <w:tcW w:w="66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13.9718</w:t>
            </w:r>
          </w:p>
        </w:tc>
        <w:tc>
          <w:tcPr>
            <w:tcW w:w="666"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28.7455</w:t>
            </w:r>
          </w:p>
        </w:tc>
        <w:tc>
          <w:tcPr>
            <w:tcW w:w="663"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50.4443</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70.7294</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89.5340</w:t>
            </w:r>
          </w:p>
        </w:tc>
      </w:tr>
      <w:tr>
        <w:tblPrEx>
          <w:tblCellMar>
            <w:top w:w="0" w:type="dxa"/>
            <w:left w:w="108" w:type="dxa"/>
            <w:bottom w:w="0" w:type="dxa"/>
            <w:right w:w="108" w:type="dxa"/>
          </w:tblCellMar>
        </w:tblPrEx>
        <w:trPr>
          <w:trHeight w:val="360"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color w:val="000000"/>
                <w:kern w:val="0"/>
                <w:sz w:val="18"/>
                <w:szCs w:val="22"/>
              </w:rPr>
            </w:pPr>
            <w:r>
              <w:rPr>
                <w:rFonts w:hint="eastAsia"/>
                <w:color w:val="000000"/>
                <w:sz w:val="20"/>
                <w:szCs w:val="20"/>
              </w:rPr>
              <w:t>国标（北京）检验认证有限公司</w:t>
            </w:r>
          </w:p>
        </w:tc>
        <w:tc>
          <w:tcPr>
            <w:tcW w:w="66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13.8365</w:t>
            </w:r>
          </w:p>
        </w:tc>
        <w:tc>
          <w:tcPr>
            <w:tcW w:w="666"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28.7996</w:t>
            </w:r>
          </w:p>
        </w:tc>
        <w:tc>
          <w:tcPr>
            <w:tcW w:w="663"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50.5183</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70.6756</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89.5816</w:t>
            </w:r>
          </w:p>
        </w:tc>
      </w:tr>
      <w:tr>
        <w:tblPrEx>
          <w:tblCellMar>
            <w:top w:w="0" w:type="dxa"/>
            <w:left w:w="108" w:type="dxa"/>
            <w:bottom w:w="0" w:type="dxa"/>
            <w:right w:w="108" w:type="dxa"/>
          </w:tblCellMar>
        </w:tblPrEx>
        <w:trPr>
          <w:trHeight w:val="360"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color w:val="000000"/>
                <w:kern w:val="0"/>
                <w:sz w:val="18"/>
                <w:szCs w:val="22"/>
              </w:rPr>
            </w:pPr>
            <w:r>
              <w:rPr>
                <w:rFonts w:hint="eastAsia"/>
                <w:color w:val="000000"/>
                <w:sz w:val="20"/>
                <w:szCs w:val="20"/>
              </w:rPr>
              <w:t>虔东稀土集团股份有限公司</w:t>
            </w:r>
          </w:p>
        </w:tc>
        <w:tc>
          <w:tcPr>
            <w:tcW w:w="66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13.5301</w:t>
            </w:r>
          </w:p>
        </w:tc>
        <w:tc>
          <w:tcPr>
            <w:tcW w:w="666"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28.7598</w:t>
            </w:r>
          </w:p>
        </w:tc>
        <w:tc>
          <w:tcPr>
            <w:tcW w:w="663"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50.2930</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70.8930</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89.5923</w:t>
            </w:r>
          </w:p>
        </w:tc>
      </w:tr>
      <w:tr>
        <w:tblPrEx>
          <w:tblCellMar>
            <w:top w:w="0" w:type="dxa"/>
            <w:left w:w="108" w:type="dxa"/>
            <w:bottom w:w="0" w:type="dxa"/>
            <w:right w:w="108" w:type="dxa"/>
          </w:tblCellMar>
        </w:tblPrEx>
        <w:trPr>
          <w:trHeight w:val="360"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color w:val="000000"/>
                <w:kern w:val="0"/>
                <w:sz w:val="18"/>
                <w:szCs w:val="22"/>
              </w:rPr>
            </w:pPr>
            <w:r>
              <w:rPr>
                <w:rFonts w:hint="eastAsia"/>
                <w:color w:val="000000"/>
                <w:sz w:val="20"/>
                <w:szCs w:val="20"/>
              </w:rPr>
              <w:t>湖南稀土金属材料研究院</w:t>
            </w:r>
          </w:p>
        </w:tc>
        <w:tc>
          <w:tcPr>
            <w:tcW w:w="66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14.0056</w:t>
            </w:r>
          </w:p>
        </w:tc>
        <w:tc>
          <w:tcPr>
            <w:tcW w:w="666"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28.8802</w:t>
            </w:r>
          </w:p>
        </w:tc>
        <w:tc>
          <w:tcPr>
            <w:tcW w:w="663"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50.2975</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70.8482</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89.6825</w:t>
            </w:r>
          </w:p>
        </w:tc>
      </w:tr>
      <w:tr>
        <w:tblPrEx>
          <w:tblCellMar>
            <w:top w:w="0" w:type="dxa"/>
            <w:left w:w="108" w:type="dxa"/>
            <w:bottom w:w="0" w:type="dxa"/>
            <w:right w:w="108" w:type="dxa"/>
          </w:tblCellMar>
        </w:tblPrEx>
        <w:trPr>
          <w:trHeight w:val="360"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color w:val="000000"/>
                <w:kern w:val="0"/>
                <w:sz w:val="18"/>
                <w:szCs w:val="22"/>
              </w:rPr>
            </w:pPr>
            <w:r>
              <w:rPr>
                <w:rFonts w:hint="eastAsia"/>
                <w:color w:val="000000"/>
                <w:sz w:val="20"/>
                <w:szCs w:val="20"/>
              </w:rPr>
              <w:t>南方稀土高技术股份有限公司</w:t>
            </w:r>
          </w:p>
        </w:tc>
        <w:tc>
          <w:tcPr>
            <w:tcW w:w="66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13.6475</w:t>
            </w:r>
          </w:p>
        </w:tc>
        <w:tc>
          <w:tcPr>
            <w:tcW w:w="666"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28.7389</w:t>
            </w:r>
          </w:p>
        </w:tc>
        <w:tc>
          <w:tcPr>
            <w:tcW w:w="663"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50.3803</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70.8614</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89.4782</w:t>
            </w:r>
          </w:p>
        </w:tc>
      </w:tr>
      <w:tr>
        <w:tblPrEx>
          <w:tblCellMar>
            <w:top w:w="0" w:type="dxa"/>
            <w:left w:w="108" w:type="dxa"/>
            <w:bottom w:w="0" w:type="dxa"/>
            <w:right w:w="108" w:type="dxa"/>
          </w:tblCellMar>
        </w:tblPrEx>
        <w:trPr>
          <w:trHeight w:val="360"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color w:val="000000"/>
                <w:kern w:val="0"/>
                <w:sz w:val="18"/>
                <w:szCs w:val="22"/>
              </w:rPr>
            </w:pPr>
            <w:r>
              <w:rPr>
                <w:rFonts w:hint="eastAsia"/>
                <w:color w:val="000000"/>
                <w:sz w:val="20"/>
                <w:szCs w:val="20"/>
              </w:rPr>
              <w:t>淄博加华新材料资源有限公司</w:t>
            </w:r>
          </w:p>
        </w:tc>
        <w:tc>
          <w:tcPr>
            <w:tcW w:w="66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13.8069</w:t>
            </w:r>
          </w:p>
        </w:tc>
        <w:tc>
          <w:tcPr>
            <w:tcW w:w="666"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29.0359</w:t>
            </w:r>
          </w:p>
        </w:tc>
        <w:tc>
          <w:tcPr>
            <w:tcW w:w="663"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50.3515</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71.1740</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90.7478</w:t>
            </w:r>
          </w:p>
        </w:tc>
      </w:tr>
      <w:tr>
        <w:tblPrEx>
          <w:tblCellMar>
            <w:top w:w="0" w:type="dxa"/>
            <w:left w:w="108" w:type="dxa"/>
            <w:bottom w:w="0" w:type="dxa"/>
            <w:right w:w="108" w:type="dxa"/>
          </w:tblCellMar>
        </w:tblPrEx>
        <w:trPr>
          <w:trHeight w:val="360" w:hRule="atLeast"/>
        </w:trPr>
        <w:tc>
          <w:tcPr>
            <w:tcW w:w="1681" w:type="pct"/>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cs="宋体"/>
                <w:color w:val="000000"/>
                <w:kern w:val="0"/>
                <w:sz w:val="18"/>
                <w:szCs w:val="22"/>
              </w:rPr>
            </w:pPr>
            <w:r>
              <w:rPr>
                <w:rFonts w:hint="eastAsia"/>
                <w:color w:val="000000"/>
                <w:sz w:val="20"/>
                <w:szCs w:val="20"/>
              </w:rPr>
              <w:t>天津包钢稀土研究院有限责任公司</w:t>
            </w:r>
          </w:p>
        </w:tc>
        <w:tc>
          <w:tcPr>
            <w:tcW w:w="665"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13.9481</w:t>
            </w:r>
          </w:p>
        </w:tc>
        <w:tc>
          <w:tcPr>
            <w:tcW w:w="666"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28.9470</w:t>
            </w:r>
          </w:p>
        </w:tc>
        <w:tc>
          <w:tcPr>
            <w:tcW w:w="663" w:type="pct"/>
            <w:tcBorders>
              <w:top w:val="nil"/>
              <w:left w:val="nil"/>
              <w:bottom w:val="single" w:color="auto" w:sz="4" w:space="0"/>
              <w:right w:val="single" w:color="auto" w:sz="4" w:space="0"/>
            </w:tcBorders>
            <w:shd w:val="clear" w:color="auto" w:fill="auto"/>
            <w:noWrap/>
          </w:tcPr>
          <w:p>
            <w:pPr>
              <w:widowControl/>
              <w:jc w:val="center"/>
              <w:rPr>
                <w:rFonts w:cs="宋体"/>
                <w:color w:val="000000"/>
                <w:kern w:val="0"/>
                <w:sz w:val="18"/>
                <w:szCs w:val="22"/>
              </w:rPr>
            </w:pPr>
            <w:r>
              <w:rPr>
                <w:rFonts w:cs="宋体"/>
                <w:color w:val="000000"/>
                <w:kern w:val="0"/>
                <w:sz w:val="18"/>
                <w:szCs w:val="22"/>
              </w:rPr>
              <w:t>50.3489</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70.8684</w:t>
            </w:r>
          </w:p>
        </w:tc>
        <w:tc>
          <w:tcPr>
            <w:tcW w:w="662" w:type="pct"/>
            <w:tcBorders>
              <w:top w:val="nil"/>
              <w:left w:val="nil"/>
              <w:bottom w:val="single" w:color="auto" w:sz="4" w:space="0"/>
              <w:right w:val="single" w:color="auto" w:sz="4" w:space="0"/>
            </w:tcBorders>
          </w:tcPr>
          <w:p>
            <w:pPr>
              <w:widowControl/>
              <w:jc w:val="center"/>
              <w:rPr>
                <w:rFonts w:cs="宋体"/>
                <w:color w:val="000000"/>
                <w:kern w:val="0"/>
                <w:sz w:val="18"/>
                <w:szCs w:val="22"/>
              </w:rPr>
            </w:pPr>
            <w:r>
              <w:rPr>
                <w:rFonts w:cs="宋体"/>
                <w:color w:val="000000"/>
                <w:kern w:val="0"/>
                <w:sz w:val="18"/>
                <w:szCs w:val="22"/>
              </w:rPr>
              <w:t>90.1457</w:t>
            </w:r>
          </w:p>
        </w:tc>
      </w:tr>
    </w:tbl>
    <w:p>
      <w:pPr>
        <w:spacing w:line="312" w:lineRule="auto"/>
        <w:rPr>
          <w:szCs w:val="21"/>
        </w:rPr>
      </w:pPr>
    </w:p>
    <w:p>
      <w:pPr>
        <w:spacing w:line="312" w:lineRule="auto"/>
        <w:jc w:val="center"/>
        <w:rPr>
          <w:szCs w:val="21"/>
        </w:rPr>
      </w:pPr>
      <w:r>
        <w:rPr>
          <w:rFonts w:hint="eastAsia"/>
          <w:szCs w:val="21"/>
        </w:rPr>
        <w:t>表A.</w:t>
      </w:r>
      <w:r>
        <w:rPr>
          <w:szCs w:val="21"/>
        </w:rPr>
        <w:t>3</w:t>
      </w:r>
      <w:r>
        <w:rPr>
          <w:rFonts w:hint="eastAsia"/>
          <w:szCs w:val="21"/>
        </w:rPr>
        <w:t xml:space="preserve"> 各单元的标准差</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1449"/>
        <w:gridCol w:w="1445"/>
        <w:gridCol w:w="1262"/>
        <w:gridCol w:w="126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noWrap/>
          </w:tcPr>
          <w:p>
            <w:pPr>
              <w:widowControl/>
              <w:jc w:val="center"/>
              <w:rPr>
                <w:kern w:val="0"/>
                <w:sz w:val="18"/>
                <w:szCs w:val="18"/>
              </w:rPr>
            </w:pPr>
            <w:r>
              <w:rPr>
                <w:rFonts w:hint="eastAsia"/>
                <w:kern w:val="0"/>
                <w:sz w:val="18"/>
                <w:szCs w:val="18"/>
              </w:rPr>
              <w:t>实验室</w:t>
            </w:r>
          </w:p>
        </w:tc>
        <w:tc>
          <w:tcPr>
            <w:tcW w:w="727" w:type="pct"/>
            <w:noWrap/>
          </w:tcPr>
          <w:p>
            <w:pPr>
              <w:widowControl/>
              <w:jc w:val="center"/>
              <w:rPr>
                <w:kern w:val="0"/>
                <w:sz w:val="18"/>
                <w:szCs w:val="18"/>
              </w:rPr>
            </w:pPr>
            <w:r>
              <w:rPr>
                <w:rFonts w:hint="eastAsia"/>
                <w:kern w:val="0"/>
                <w:sz w:val="18"/>
                <w:szCs w:val="18"/>
              </w:rPr>
              <w:t>水平1</w:t>
            </w:r>
          </w:p>
        </w:tc>
        <w:tc>
          <w:tcPr>
            <w:tcW w:w="725" w:type="pct"/>
            <w:noWrap/>
          </w:tcPr>
          <w:p>
            <w:pPr>
              <w:widowControl/>
              <w:jc w:val="center"/>
              <w:rPr>
                <w:kern w:val="0"/>
                <w:sz w:val="18"/>
                <w:szCs w:val="18"/>
              </w:rPr>
            </w:pPr>
            <w:r>
              <w:rPr>
                <w:rFonts w:hint="eastAsia"/>
                <w:kern w:val="0"/>
                <w:sz w:val="18"/>
                <w:szCs w:val="18"/>
              </w:rPr>
              <w:t>水平2</w:t>
            </w:r>
          </w:p>
        </w:tc>
        <w:tc>
          <w:tcPr>
            <w:tcW w:w="633" w:type="pct"/>
            <w:noWrap/>
          </w:tcPr>
          <w:p>
            <w:pPr>
              <w:widowControl/>
              <w:jc w:val="center"/>
              <w:rPr>
                <w:kern w:val="0"/>
                <w:sz w:val="18"/>
                <w:szCs w:val="18"/>
              </w:rPr>
            </w:pPr>
            <w:r>
              <w:rPr>
                <w:rFonts w:hint="eastAsia"/>
                <w:kern w:val="0"/>
                <w:sz w:val="18"/>
                <w:szCs w:val="18"/>
              </w:rPr>
              <w:t>水平3</w:t>
            </w:r>
          </w:p>
        </w:tc>
        <w:tc>
          <w:tcPr>
            <w:tcW w:w="632" w:type="pct"/>
          </w:tcPr>
          <w:p>
            <w:pPr>
              <w:widowControl/>
              <w:jc w:val="center"/>
              <w:rPr>
                <w:kern w:val="0"/>
                <w:sz w:val="18"/>
                <w:szCs w:val="18"/>
              </w:rPr>
            </w:pPr>
            <w:r>
              <w:rPr>
                <w:rFonts w:hint="eastAsia"/>
                <w:kern w:val="0"/>
                <w:sz w:val="18"/>
                <w:szCs w:val="18"/>
              </w:rPr>
              <w:t>水平4</w:t>
            </w:r>
          </w:p>
        </w:tc>
        <w:tc>
          <w:tcPr>
            <w:tcW w:w="632" w:type="pct"/>
          </w:tcPr>
          <w:p>
            <w:pPr>
              <w:widowControl/>
              <w:jc w:val="center"/>
              <w:rPr>
                <w:kern w:val="0"/>
                <w:sz w:val="18"/>
                <w:szCs w:val="18"/>
              </w:rPr>
            </w:pPr>
            <w:r>
              <w:rPr>
                <w:rFonts w:hint="eastAsia" w:eastAsiaTheme="minorEastAsia"/>
                <w:kern w:val="0"/>
                <w:sz w:val="18"/>
                <w:szCs w:val="18"/>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noWrap/>
            <w:vAlign w:val="center"/>
          </w:tcPr>
          <w:p>
            <w:pPr>
              <w:widowControl/>
              <w:jc w:val="center"/>
              <w:rPr>
                <w:kern w:val="0"/>
                <w:sz w:val="18"/>
                <w:szCs w:val="18"/>
              </w:rPr>
            </w:pPr>
            <w:r>
              <w:rPr>
                <w:rFonts w:hint="eastAsia"/>
                <w:color w:val="000000"/>
                <w:sz w:val="20"/>
                <w:szCs w:val="20"/>
              </w:rPr>
              <w:t>包头稀土研究研究</w:t>
            </w:r>
          </w:p>
        </w:tc>
        <w:tc>
          <w:tcPr>
            <w:tcW w:w="727" w:type="pct"/>
            <w:noWrap/>
            <w:vAlign w:val="center"/>
          </w:tcPr>
          <w:p>
            <w:pPr>
              <w:jc w:val="center"/>
              <w:rPr>
                <w:sz w:val="18"/>
                <w:szCs w:val="18"/>
              </w:rPr>
            </w:pPr>
            <w:r>
              <w:rPr>
                <w:sz w:val="18"/>
                <w:szCs w:val="18"/>
              </w:rPr>
              <w:t>0.068103</w:t>
            </w:r>
          </w:p>
        </w:tc>
        <w:tc>
          <w:tcPr>
            <w:tcW w:w="725" w:type="pct"/>
            <w:noWrap/>
            <w:vAlign w:val="center"/>
          </w:tcPr>
          <w:p>
            <w:pPr>
              <w:jc w:val="center"/>
              <w:rPr>
                <w:sz w:val="18"/>
                <w:szCs w:val="18"/>
              </w:rPr>
            </w:pPr>
            <w:r>
              <w:rPr>
                <w:sz w:val="18"/>
                <w:szCs w:val="18"/>
              </w:rPr>
              <w:t>0.116561</w:t>
            </w:r>
          </w:p>
        </w:tc>
        <w:tc>
          <w:tcPr>
            <w:tcW w:w="633" w:type="pct"/>
            <w:noWrap/>
            <w:vAlign w:val="center"/>
          </w:tcPr>
          <w:p>
            <w:pPr>
              <w:jc w:val="center"/>
              <w:rPr>
                <w:sz w:val="18"/>
                <w:szCs w:val="18"/>
              </w:rPr>
            </w:pPr>
            <w:r>
              <w:rPr>
                <w:sz w:val="18"/>
                <w:szCs w:val="18"/>
              </w:rPr>
              <w:t>0.159082</w:t>
            </w:r>
          </w:p>
        </w:tc>
        <w:tc>
          <w:tcPr>
            <w:tcW w:w="632" w:type="pct"/>
            <w:vAlign w:val="center"/>
          </w:tcPr>
          <w:p>
            <w:pPr>
              <w:jc w:val="center"/>
              <w:rPr>
                <w:sz w:val="18"/>
                <w:szCs w:val="18"/>
              </w:rPr>
            </w:pPr>
            <w:r>
              <w:rPr>
                <w:sz w:val="18"/>
                <w:szCs w:val="18"/>
              </w:rPr>
              <w:t>0.119843</w:t>
            </w:r>
          </w:p>
        </w:tc>
        <w:tc>
          <w:tcPr>
            <w:tcW w:w="632" w:type="pct"/>
            <w:vAlign w:val="center"/>
          </w:tcPr>
          <w:p>
            <w:pPr>
              <w:widowControl/>
              <w:jc w:val="center"/>
              <w:rPr>
                <w:sz w:val="18"/>
                <w:szCs w:val="18"/>
              </w:rPr>
            </w:pPr>
            <w:r>
              <w:rPr>
                <w:rFonts w:hint="eastAsia"/>
                <w:sz w:val="18"/>
                <w:szCs w:val="18"/>
              </w:rPr>
              <w:t>0.183921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noWrap/>
            <w:vAlign w:val="center"/>
          </w:tcPr>
          <w:p>
            <w:pPr>
              <w:widowControl/>
              <w:jc w:val="center"/>
              <w:rPr>
                <w:kern w:val="0"/>
                <w:sz w:val="18"/>
                <w:szCs w:val="18"/>
              </w:rPr>
            </w:pPr>
            <w:r>
              <w:rPr>
                <w:rFonts w:hint="eastAsia"/>
                <w:color w:val="000000"/>
                <w:sz w:val="20"/>
                <w:szCs w:val="20"/>
              </w:rPr>
              <w:t>国标（北京）检验认证有限公司</w:t>
            </w:r>
          </w:p>
        </w:tc>
        <w:tc>
          <w:tcPr>
            <w:tcW w:w="727" w:type="pct"/>
            <w:noWrap/>
            <w:vAlign w:val="center"/>
          </w:tcPr>
          <w:p>
            <w:pPr>
              <w:jc w:val="center"/>
              <w:rPr>
                <w:sz w:val="18"/>
                <w:szCs w:val="18"/>
              </w:rPr>
            </w:pPr>
            <w:r>
              <w:rPr>
                <w:sz w:val="18"/>
                <w:szCs w:val="18"/>
              </w:rPr>
              <w:t>0.069122</w:t>
            </w:r>
          </w:p>
        </w:tc>
        <w:tc>
          <w:tcPr>
            <w:tcW w:w="725" w:type="pct"/>
            <w:noWrap/>
            <w:vAlign w:val="center"/>
          </w:tcPr>
          <w:p>
            <w:pPr>
              <w:jc w:val="center"/>
              <w:rPr>
                <w:sz w:val="18"/>
                <w:szCs w:val="18"/>
              </w:rPr>
            </w:pPr>
            <w:r>
              <w:rPr>
                <w:sz w:val="18"/>
                <w:szCs w:val="18"/>
              </w:rPr>
              <w:t>0.073241</w:t>
            </w:r>
          </w:p>
        </w:tc>
        <w:tc>
          <w:tcPr>
            <w:tcW w:w="633" w:type="pct"/>
            <w:noWrap/>
            <w:vAlign w:val="center"/>
          </w:tcPr>
          <w:p>
            <w:pPr>
              <w:jc w:val="center"/>
              <w:rPr>
                <w:sz w:val="18"/>
                <w:szCs w:val="18"/>
              </w:rPr>
            </w:pPr>
            <w:r>
              <w:rPr>
                <w:sz w:val="18"/>
                <w:szCs w:val="18"/>
              </w:rPr>
              <w:t>0.090751</w:t>
            </w:r>
          </w:p>
        </w:tc>
        <w:tc>
          <w:tcPr>
            <w:tcW w:w="632" w:type="pct"/>
            <w:vAlign w:val="center"/>
          </w:tcPr>
          <w:p>
            <w:pPr>
              <w:widowControl/>
              <w:jc w:val="center"/>
              <w:rPr>
                <w:sz w:val="18"/>
                <w:szCs w:val="18"/>
              </w:rPr>
            </w:pPr>
            <w:r>
              <w:rPr>
                <w:sz w:val="18"/>
                <w:szCs w:val="18"/>
              </w:rPr>
              <w:t>0.097958</w:t>
            </w:r>
          </w:p>
        </w:tc>
        <w:tc>
          <w:tcPr>
            <w:tcW w:w="632" w:type="pct"/>
            <w:vAlign w:val="center"/>
          </w:tcPr>
          <w:p>
            <w:pPr>
              <w:widowControl/>
              <w:jc w:val="center"/>
              <w:rPr>
                <w:sz w:val="18"/>
                <w:szCs w:val="18"/>
              </w:rPr>
            </w:pPr>
            <w:r>
              <w:rPr>
                <w:rFonts w:hint="eastAsia"/>
                <w:sz w:val="18"/>
                <w:szCs w:val="18"/>
              </w:rPr>
              <w:t>0.119533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noWrap/>
            <w:vAlign w:val="center"/>
          </w:tcPr>
          <w:p>
            <w:pPr>
              <w:widowControl/>
              <w:jc w:val="center"/>
              <w:rPr>
                <w:kern w:val="0"/>
                <w:sz w:val="18"/>
                <w:szCs w:val="18"/>
              </w:rPr>
            </w:pPr>
            <w:r>
              <w:rPr>
                <w:rFonts w:hint="eastAsia"/>
                <w:color w:val="000000"/>
                <w:sz w:val="20"/>
                <w:szCs w:val="20"/>
              </w:rPr>
              <w:t>虔东稀土集团股份有限公司</w:t>
            </w:r>
          </w:p>
        </w:tc>
        <w:tc>
          <w:tcPr>
            <w:tcW w:w="727" w:type="pct"/>
            <w:noWrap/>
            <w:vAlign w:val="center"/>
          </w:tcPr>
          <w:p>
            <w:pPr>
              <w:jc w:val="center"/>
              <w:rPr>
                <w:sz w:val="18"/>
                <w:szCs w:val="18"/>
              </w:rPr>
            </w:pPr>
            <w:r>
              <w:rPr>
                <w:sz w:val="18"/>
                <w:szCs w:val="18"/>
              </w:rPr>
              <w:t>0.072855</w:t>
            </w:r>
          </w:p>
        </w:tc>
        <w:tc>
          <w:tcPr>
            <w:tcW w:w="725" w:type="pct"/>
            <w:noWrap/>
            <w:vAlign w:val="center"/>
          </w:tcPr>
          <w:p>
            <w:pPr>
              <w:jc w:val="center"/>
              <w:rPr>
                <w:sz w:val="18"/>
                <w:szCs w:val="18"/>
              </w:rPr>
            </w:pPr>
            <w:r>
              <w:rPr>
                <w:sz w:val="18"/>
                <w:szCs w:val="18"/>
              </w:rPr>
              <w:t>0.143558</w:t>
            </w:r>
          </w:p>
        </w:tc>
        <w:tc>
          <w:tcPr>
            <w:tcW w:w="633" w:type="pct"/>
            <w:noWrap/>
            <w:vAlign w:val="center"/>
          </w:tcPr>
          <w:p>
            <w:pPr>
              <w:jc w:val="center"/>
              <w:rPr>
                <w:sz w:val="18"/>
                <w:szCs w:val="18"/>
              </w:rPr>
            </w:pPr>
            <w:r>
              <w:rPr>
                <w:sz w:val="18"/>
                <w:szCs w:val="18"/>
              </w:rPr>
              <w:t>0.098891</w:t>
            </w:r>
          </w:p>
        </w:tc>
        <w:tc>
          <w:tcPr>
            <w:tcW w:w="632" w:type="pct"/>
            <w:vAlign w:val="center"/>
          </w:tcPr>
          <w:p>
            <w:pPr>
              <w:widowControl/>
              <w:jc w:val="center"/>
              <w:rPr>
                <w:sz w:val="18"/>
                <w:szCs w:val="18"/>
              </w:rPr>
            </w:pPr>
            <w:r>
              <w:rPr>
                <w:sz w:val="18"/>
                <w:szCs w:val="18"/>
              </w:rPr>
              <w:t>0.182619</w:t>
            </w:r>
          </w:p>
        </w:tc>
        <w:tc>
          <w:tcPr>
            <w:tcW w:w="632" w:type="pct"/>
            <w:vAlign w:val="center"/>
          </w:tcPr>
          <w:p>
            <w:pPr>
              <w:widowControl/>
              <w:jc w:val="center"/>
              <w:rPr>
                <w:sz w:val="18"/>
                <w:szCs w:val="18"/>
              </w:rPr>
            </w:pPr>
            <w:r>
              <w:rPr>
                <w:rFonts w:hint="eastAsia"/>
                <w:sz w:val="18"/>
                <w:szCs w:val="18"/>
              </w:rPr>
              <w:t>0.120606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noWrap/>
            <w:vAlign w:val="center"/>
          </w:tcPr>
          <w:p>
            <w:pPr>
              <w:widowControl/>
              <w:jc w:val="center"/>
              <w:rPr>
                <w:kern w:val="0"/>
                <w:sz w:val="18"/>
                <w:szCs w:val="18"/>
              </w:rPr>
            </w:pPr>
            <w:r>
              <w:rPr>
                <w:rFonts w:hint="eastAsia"/>
                <w:color w:val="000000"/>
                <w:sz w:val="20"/>
                <w:szCs w:val="20"/>
              </w:rPr>
              <w:t>湖南稀土金属材料研究院</w:t>
            </w:r>
          </w:p>
        </w:tc>
        <w:tc>
          <w:tcPr>
            <w:tcW w:w="727" w:type="pct"/>
            <w:noWrap/>
            <w:vAlign w:val="center"/>
          </w:tcPr>
          <w:p>
            <w:pPr>
              <w:jc w:val="center"/>
              <w:rPr>
                <w:sz w:val="18"/>
                <w:szCs w:val="18"/>
              </w:rPr>
            </w:pPr>
            <w:r>
              <w:rPr>
                <w:sz w:val="18"/>
                <w:szCs w:val="18"/>
              </w:rPr>
              <w:t>0.077392</w:t>
            </w:r>
          </w:p>
        </w:tc>
        <w:tc>
          <w:tcPr>
            <w:tcW w:w="725" w:type="pct"/>
            <w:noWrap/>
            <w:vAlign w:val="center"/>
          </w:tcPr>
          <w:p>
            <w:pPr>
              <w:jc w:val="center"/>
              <w:rPr>
                <w:sz w:val="18"/>
                <w:szCs w:val="18"/>
              </w:rPr>
            </w:pPr>
            <w:r>
              <w:rPr>
                <w:sz w:val="18"/>
                <w:szCs w:val="18"/>
              </w:rPr>
              <w:t>0.067967</w:t>
            </w:r>
          </w:p>
        </w:tc>
        <w:tc>
          <w:tcPr>
            <w:tcW w:w="633" w:type="pct"/>
            <w:noWrap/>
            <w:vAlign w:val="center"/>
          </w:tcPr>
          <w:p>
            <w:pPr>
              <w:jc w:val="center"/>
              <w:rPr>
                <w:sz w:val="18"/>
                <w:szCs w:val="18"/>
              </w:rPr>
            </w:pPr>
            <w:r>
              <w:rPr>
                <w:sz w:val="18"/>
                <w:szCs w:val="18"/>
              </w:rPr>
              <w:t>0.141820</w:t>
            </w:r>
          </w:p>
        </w:tc>
        <w:tc>
          <w:tcPr>
            <w:tcW w:w="632" w:type="pct"/>
            <w:vAlign w:val="center"/>
          </w:tcPr>
          <w:p>
            <w:pPr>
              <w:widowControl/>
              <w:jc w:val="center"/>
              <w:rPr>
                <w:sz w:val="18"/>
                <w:szCs w:val="18"/>
              </w:rPr>
            </w:pPr>
            <w:r>
              <w:rPr>
                <w:sz w:val="18"/>
                <w:szCs w:val="18"/>
              </w:rPr>
              <w:t>0.211713</w:t>
            </w:r>
          </w:p>
        </w:tc>
        <w:tc>
          <w:tcPr>
            <w:tcW w:w="632" w:type="pct"/>
            <w:vAlign w:val="center"/>
          </w:tcPr>
          <w:p>
            <w:pPr>
              <w:widowControl/>
              <w:jc w:val="center"/>
              <w:rPr>
                <w:sz w:val="18"/>
                <w:szCs w:val="18"/>
              </w:rPr>
            </w:pPr>
            <w:r>
              <w:rPr>
                <w:rFonts w:hint="eastAsia"/>
                <w:sz w:val="18"/>
                <w:szCs w:val="18"/>
              </w:rPr>
              <w:t>0.257192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noWrap/>
            <w:vAlign w:val="center"/>
          </w:tcPr>
          <w:p>
            <w:pPr>
              <w:widowControl/>
              <w:jc w:val="center"/>
              <w:rPr>
                <w:kern w:val="0"/>
                <w:sz w:val="18"/>
                <w:szCs w:val="18"/>
              </w:rPr>
            </w:pPr>
            <w:r>
              <w:rPr>
                <w:rFonts w:hint="eastAsia"/>
                <w:color w:val="000000"/>
                <w:sz w:val="20"/>
                <w:szCs w:val="20"/>
              </w:rPr>
              <w:t>南方稀土高技术股份有限公司</w:t>
            </w:r>
          </w:p>
        </w:tc>
        <w:tc>
          <w:tcPr>
            <w:tcW w:w="727" w:type="pct"/>
            <w:noWrap/>
            <w:vAlign w:val="center"/>
          </w:tcPr>
          <w:p>
            <w:pPr>
              <w:jc w:val="center"/>
              <w:rPr>
                <w:sz w:val="18"/>
                <w:szCs w:val="18"/>
              </w:rPr>
            </w:pPr>
            <w:r>
              <w:rPr>
                <w:sz w:val="18"/>
                <w:szCs w:val="18"/>
              </w:rPr>
              <w:t>0.042245</w:t>
            </w:r>
          </w:p>
        </w:tc>
        <w:tc>
          <w:tcPr>
            <w:tcW w:w="725" w:type="pct"/>
            <w:noWrap/>
            <w:vAlign w:val="center"/>
          </w:tcPr>
          <w:p>
            <w:pPr>
              <w:jc w:val="center"/>
              <w:rPr>
                <w:sz w:val="18"/>
                <w:szCs w:val="18"/>
              </w:rPr>
            </w:pPr>
            <w:r>
              <w:rPr>
                <w:sz w:val="18"/>
                <w:szCs w:val="18"/>
              </w:rPr>
              <w:t>0.061970</w:t>
            </w:r>
          </w:p>
        </w:tc>
        <w:tc>
          <w:tcPr>
            <w:tcW w:w="633" w:type="pct"/>
            <w:noWrap/>
            <w:vAlign w:val="center"/>
          </w:tcPr>
          <w:p>
            <w:pPr>
              <w:jc w:val="center"/>
              <w:rPr>
                <w:sz w:val="18"/>
                <w:szCs w:val="18"/>
              </w:rPr>
            </w:pPr>
            <w:r>
              <w:rPr>
                <w:sz w:val="18"/>
                <w:szCs w:val="18"/>
              </w:rPr>
              <w:t>0.098963</w:t>
            </w:r>
          </w:p>
        </w:tc>
        <w:tc>
          <w:tcPr>
            <w:tcW w:w="632" w:type="pct"/>
            <w:vAlign w:val="center"/>
          </w:tcPr>
          <w:p>
            <w:pPr>
              <w:widowControl/>
              <w:jc w:val="center"/>
              <w:rPr>
                <w:sz w:val="18"/>
                <w:szCs w:val="18"/>
              </w:rPr>
            </w:pPr>
            <w:r>
              <w:rPr>
                <w:sz w:val="18"/>
                <w:szCs w:val="18"/>
              </w:rPr>
              <w:t>0.142122</w:t>
            </w:r>
          </w:p>
        </w:tc>
        <w:tc>
          <w:tcPr>
            <w:tcW w:w="632" w:type="pct"/>
            <w:vAlign w:val="center"/>
          </w:tcPr>
          <w:p>
            <w:pPr>
              <w:widowControl/>
              <w:jc w:val="center"/>
              <w:rPr>
                <w:sz w:val="18"/>
                <w:szCs w:val="18"/>
              </w:rPr>
            </w:pPr>
            <w:r>
              <w:rPr>
                <w:rFonts w:hint="eastAsia"/>
                <w:sz w:val="18"/>
                <w:szCs w:val="18"/>
              </w:rPr>
              <w:t>0.200956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noWrap/>
            <w:vAlign w:val="center"/>
          </w:tcPr>
          <w:p>
            <w:pPr>
              <w:widowControl/>
              <w:jc w:val="center"/>
              <w:rPr>
                <w:kern w:val="0"/>
                <w:sz w:val="18"/>
                <w:szCs w:val="18"/>
              </w:rPr>
            </w:pPr>
            <w:r>
              <w:rPr>
                <w:rFonts w:hint="eastAsia"/>
                <w:color w:val="000000"/>
                <w:sz w:val="20"/>
                <w:szCs w:val="20"/>
              </w:rPr>
              <w:t>淄博加华新材料资源有限公司</w:t>
            </w:r>
          </w:p>
        </w:tc>
        <w:tc>
          <w:tcPr>
            <w:tcW w:w="727" w:type="pct"/>
            <w:noWrap/>
            <w:vAlign w:val="center"/>
          </w:tcPr>
          <w:p>
            <w:pPr>
              <w:jc w:val="center"/>
              <w:rPr>
                <w:sz w:val="18"/>
                <w:szCs w:val="18"/>
              </w:rPr>
            </w:pPr>
            <w:r>
              <w:rPr>
                <w:sz w:val="18"/>
                <w:szCs w:val="18"/>
              </w:rPr>
              <w:t>0.069631</w:t>
            </w:r>
          </w:p>
        </w:tc>
        <w:tc>
          <w:tcPr>
            <w:tcW w:w="725" w:type="pct"/>
            <w:noWrap/>
            <w:vAlign w:val="center"/>
          </w:tcPr>
          <w:p>
            <w:pPr>
              <w:jc w:val="center"/>
              <w:rPr>
                <w:sz w:val="18"/>
                <w:szCs w:val="18"/>
              </w:rPr>
            </w:pPr>
            <w:r>
              <w:rPr>
                <w:sz w:val="18"/>
                <w:szCs w:val="18"/>
              </w:rPr>
              <w:t>0.144409</w:t>
            </w:r>
          </w:p>
        </w:tc>
        <w:tc>
          <w:tcPr>
            <w:tcW w:w="633" w:type="pct"/>
            <w:noWrap/>
            <w:vAlign w:val="center"/>
          </w:tcPr>
          <w:p>
            <w:pPr>
              <w:jc w:val="center"/>
              <w:rPr>
                <w:sz w:val="18"/>
                <w:szCs w:val="18"/>
              </w:rPr>
            </w:pPr>
            <w:r>
              <w:rPr>
                <w:sz w:val="18"/>
                <w:szCs w:val="18"/>
              </w:rPr>
              <w:t>0.111269</w:t>
            </w:r>
          </w:p>
        </w:tc>
        <w:tc>
          <w:tcPr>
            <w:tcW w:w="632" w:type="pct"/>
            <w:vAlign w:val="center"/>
          </w:tcPr>
          <w:p>
            <w:pPr>
              <w:widowControl/>
              <w:jc w:val="center"/>
              <w:rPr>
                <w:sz w:val="18"/>
                <w:szCs w:val="18"/>
              </w:rPr>
            </w:pPr>
            <w:r>
              <w:rPr>
                <w:sz w:val="18"/>
                <w:szCs w:val="18"/>
              </w:rPr>
              <w:t>0.217527</w:t>
            </w:r>
          </w:p>
        </w:tc>
        <w:tc>
          <w:tcPr>
            <w:tcW w:w="632" w:type="pct"/>
            <w:vAlign w:val="center"/>
          </w:tcPr>
          <w:p>
            <w:pPr>
              <w:widowControl/>
              <w:jc w:val="center"/>
              <w:rPr>
                <w:sz w:val="18"/>
                <w:szCs w:val="18"/>
              </w:rPr>
            </w:pPr>
            <w:r>
              <w:rPr>
                <w:rFonts w:hint="eastAsia"/>
                <w:sz w:val="18"/>
                <w:szCs w:val="18"/>
              </w:rPr>
              <w:t>0.261078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noWrap/>
            <w:vAlign w:val="center"/>
          </w:tcPr>
          <w:p>
            <w:pPr>
              <w:widowControl/>
              <w:jc w:val="center"/>
              <w:rPr>
                <w:kern w:val="0"/>
                <w:sz w:val="18"/>
                <w:szCs w:val="18"/>
              </w:rPr>
            </w:pPr>
            <w:r>
              <w:rPr>
                <w:rFonts w:hint="eastAsia"/>
                <w:color w:val="000000"/>
                <w:sz w:val="20"/>
                <w:szCs w:val="20"/>
              </w:rPr>
              <w:t>天津包钢稀土研究院有限责任公司</w:t>
            </w:r>
          </w:p>
        </w:tc>
        <w:tc>
          <w:tcPr>
            <w:tcW w:w="727" w:type="pct"/>
            <w:noWrap/>
            <w:vAlign w:val="center"/>
          </w:tcPr>
          <w:p>
            <w:pPr>
              <w:jc w:val="center"/>
              <w:rPr>
                <w:sz w:val="18"/>
                <w:szCs w:val="18"/>
              </w:rPr>
            </w:pPr>
            <w:r>
              <w:rPr>
                <w:sz w:val="18"/>
                <w:szCs w:val="18"/>
              </w:rPr>
              <w:t>0.063377</w:t>
            </w:r>
          </w:p>
        </w:tc>
        <w:tc>
          <w:tcPr>
            <w:tcW w:w="725" w:type="pct"/>
            <w:noWrap/>
            <w:vAlign w:val="center"/>
          </w:tcPr>
          <w:p>
            <w:pPr>
              <w:jc w:val="center"/>
              <w:rPr>
                <w:sz w:val="18"/>
                <w:szCs w:val="18"/>
              </w:rPr>
            </w:pPr>
            <w:r>
              <w:rPr>
                <w:sz w:val="18"/>
                <w:szCs w:val="18"/>
              </w:rPr>
              <w:t>0.111670</w:t>
            </w:r>
          </w:p>
        </w:tc>
        <w:tc>
          <w:tcPr>
            <w:tcW w:w="633" w:type="pct"/>
            <w:noWrap/>
            <w:vAlign w:val="center"/>
          </w:tcPr>
          <w:p>
            <w:pPr>
              <w:jc w:val="center"/>
              <w:rPr>
                <w:sz w:val="18"/>
                <w:szCs w:val="18"/>
              </w:rPr>
            </w:pPr>
            <w:r>
              <w:rPr>
                <w:sz w:val="18"/>
                <w:szCs w:val="18"/>
              </w:rPr>
              <w:t>0.166028</w:t>
            </w:r>
          </w:p>
        </w:tc>
        <w:tc>
          <w:tcPr>
            <w:tcW w:w="632" w:type="pct"/>
            <w:vAlign w:val="center"/>
          </w:tcPr>
          <w:p>
            <w:pPr>
              <w:widowControl/>
              <w:jc w:val="center"/>
              <w:rPr>
                <w:sz w:val="18"/>
                <w:szCs w:val="18"/>
              </w:rPr>
            </w:pPr>
            <w:r>
              <w:rPr>
                <w:sz w:val="18"/>
                <w:szCs w:val="18"/>
              </w:rPr>
              <w:t>0.164349</w:t>
            </w:r>
          </w:p>
        </w:tc>
        <w:tc>
          <w:tcPr>
            <w:tcW w:w="632" w:type="pct"/>
            <w:vAlign w:val="center"/>
          </w:tcPr>
          <w:p>
            <w:pPr>
              <w:widowControl/>
              <w:jc w:val="center"/>
              <w:rPr>
                <w:sz w:val="18"/>
                <w:szCs w:val="18"/>
              </w:rPr>
            </w:pPr>
            <w:r>
              <w:rPr>
                <w:rFonts w:hint="eastAsia"/>
                <w:sz w:val="18"/>
                <w:szCs w:val="18"/>
              </w:rPr>
              <w:t>0.155068</w:t>
            </w:r>
          </w:p>
        </w:tc>
      </w:tr>
    </w:tbl>
    <w:p>
      <w:pPr>
        <w:spacing w:line="312" w:lineRule="auto"/>
        <w:rPr>
          <w:rFonts w:ascii="黑体" w:hAnsi="黑体" w:eastAsia="黑体"/>
          <w:szCs w:val="21"/>
        </w:rPr>
      </w:pPr>
    </w:p>
    <w:p>
      <w:pPr>
        <w:spacing w:line="312" w:lineRule="auto"/>
        <w:rPr>
          <w:rFonts w:ascii="黑体" w:hAnsi="黑体" w:eastAsia="黑体"/>
          <w:szCs w:val="21"/>
        </w:rPr>
      </w:pPr>
      <w:r>
        <w:rPr>
          <w:rFonts w:ascii="黑体" w:hAnsi="黑体" w:eastAsia="黑体"/>
          <w:szCs w:val="21"/>
        </w:rPr>
        <w:t xml:space="preserve">2 </w:t>
      </w:r>
      <w:r>
        <w:rPr>
          <w:rFonts w:hint="eastAsia" w:ascii="黑体" w:hAnsi="黑体" w:eastAsia="黑体"/>
          <w:szCs w:val="21"/>
        </w:rPr>
        <w:t xml:space="preserve"> </w:t>
      </w:r>
      <w:r>
        <w:rPr>
          <w:rFonts w:ascii="黑体" w:hAnsi="黑体" w:eastAsia="黑体"/>
          <w:szCs w:val="21"/>
        </w:rPr>
        <w:t>一致性和离群值的检查</w:t>
      </w:r>
    </w:p>
    <w:p>
      <w:pPr>
        <w:spacing w:line="312" w:lineRule="auto"/>
        <w:rPr>
          <w:rFonts w:ascii="黑体" w:hAnsi="黑体" w:eastAsia="黑体"/>
          <w:szCs w:val="21"/>
        </w:rPr>
      </w:pPr>
      <w:r>
        <w:rPr>
          <w:rFonts w:ascii="黑体" w:hAnsi="黑体" w:eastAsia="黑体"/>
          <w:szCs w:val="21"/>
        </w:rPr>
        <w:t xml:space="preserve">2.1 </w:t>
      </w:r>
      <w:r>
        <w:rPr>
          <w:rFonts w:hint="eastAsia" w:ascii="黑体" w:hAnsi="黑体" w:eastAsia="黑体"/>
          <w:szCs w:val="21"/>
        </w:rPr>
        <w:t xml:space="preserve"> </w:t>
      </w:r>
      <w:r>
        <w:rPr>
          <w:rFonts w:ascii="黑体" w:hAnsi="黑体" w:eastAsia="黑体"/>
          <w:szCs w:val="21"/>
        </w:rPr>
        <w:t>柯克伦检验</w:t>
      </w:r>
    </w:p>
    <w:p>
      <w:pPr>
        <w:spacing w:line="312" w:lineRule="auto"/>
        <w:ind w:firstLine="420" w:firstLineChars="200"/>
        <w:rPr>
          <w:szCs w:val="21"/>
        </w:rPr>
      </w:pPr>
      <w:r>
        <w:rPr>
          <w:rFonts w:hint="eastAsia"/>
          <w:szCs w:val="21"/>
        </w:rPr>
        <w:t>按柯克伦检验统计量计算结果如表A.</w:t>
      </w:r>
      <w:r>
        <w:rPr>
          <w:szCs w:val="21"/>
        </w:rPr>
        <w:t>4</w:t>
      </w:r>
      <w:r>
        <w:rPr>
          <w:rFonts w:hint="eastAsia"/>
          <w:szCs w:val="21"/>
        </w:rPr>
        <w:t>。</w:t>
      </w:r>
    </w:p>
    <w:p>
      <w:pPr>
        <w:spacing w:line="312" w:lineRule="auto"/>
        <w:jc w:val="center"/>
        <w:rPr>
          <w:szCs w:val="21"/>
        </w:rPr>
      </w:pPr>
      <w:r>
        <w:rPr>
          <w:rFonts w:hint="eastAsia"/>
          <w:szCs w:val="21"/>
        </w:rPr>
        <w:t>表A.</w:t>
      </w:r>
      <w:r>
        <w:rPr>
          <w:szCs w:val="21"/>
        </w:rPr>
        <w:t>4</w:t>
      </w:r>
      <w:r>
        <w:rPr>
          <w:rFonts w:hint="eastAsia"/>
          <w:szCs w:val="21"/>
        </w:rPr>
        <w:t xml:space="preserve"> 柯克伦检验</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637"/>
        <w:gridCol w:w="1637"/>
        <w:gridCol w:w="1637"/>
        <w:gridCol w:w="1637"/>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pPr>
              <w:jc w:val="center"/>
              <w:rPr>
                <w:sz w:val="18"/>
                <w:szCs w:val="18"/>
              </w:rPr>
            </w:pPr>
            <w:r>
              <w:rPr>
                <w:rFonts w:hint="eastAsia"/>
                <w:sz w:val="18"/>
                <w:szCs w:val="18"/>
              </w:rPr>
              <w:t>实验室i</w:t>
            </w:r>
          </w:p>
        </w:tc>
        <w:tc>
          <w:tcPr>
            <w:tcW w:w="821" w:type="pct"/>
            <w:vAlign w:val="center"/>
          </w:tcPr>
          <w:p>
            <w:pPr>
              <w:widowControl/>
              <w:jc w:val="center"/>
              <w:rPr>
                <w:sz w:val="18"/>
                <w:szCs w:val="18"/>
              </w:rPr>
            </w:pPr>
            <w:r>
              <w:rPr>
                <w:rFonts w:hint="eastAsia"/>
                <w:sz w:val="18"/>
                <w:szCs w:val="18"/>
              </w:rPr>
              <w:t>水平1</w:t>
            </w:r>
          </w:p>
        </w:tc>
        <w:tc>
          <w:tcPr>
            <w:tcW w:w="821" w:type="pct"/>
            <w:vAlign w:val="center"/>
          </w:tcPr>
          <w:p>
            <w:pPr>
              <w:widowControl/>
              <w:jc w:val="center"/>
              <w:rPr>
                <w:sz w:val="18"/>
                <w:szCs w:val="18"/>
              </w:rPr>
            </w:pPr>
            <w:r>
              <w:rPr>
                <w:rFonts w:hint="eastAsia"/>
                <w:sz w:val="18"/>
                <w:szCs w:val="18"/>
              </w:rPr>
              <w:t>水平2</w:t>
            </w:r>
          </w:p>
        </w:tc>
        <w:tc>
          <w:tcPr>
            <w:tcW w:w="821" w:type="pct"/>
            <w:vAlign w:val="center"/>
          </w:tcPr>
          <w:p>
            <w:pPr>
              <w:widowControl/>
              <w:jc w:val="center"/>
              <w:rPr>
                <w:sz w:val="18"/>
                <w:szCs w:val="18"/>
              </w:rPr>
            </w:pPr>
            <w:r>
              <w:rPr>
                <w:rFonts w:hint="eastAsia"/>
                <w:sz w:val="18"/>
                <w:szCs w:val="18"/>
              </w:rPr>
              <w:t>水平3</w:t>
            </w:r>
          </w:p>
        </w:tc>
        <w:tc>
          <w:tcPr>
            <w:tcW w:w="821" w:type="pct"/>
            <w:vAlign w:val="center"/>
          </w:tcPr>
          <w:p>
            <w:pPr>
              <w:widowControl/>
              <w:jc w:val="center"/>
              <w:rPr>
                <w:sz w:val="18"/>
                <w:szCs w:val="18"/>
              </w:rPr>
            </w:pPr>
            <w:r>
              <w:rPr>
                <w:rFonts w:hint="eastAsia"/>
                <w:sz w:val="18"/>
                <w:szCs w:val="18"/>
              </w:rPr>
              <w:t>水平4</w:t>
            </w:r>
          </w:p>
        </w:tc>
        <w:tc>
          <w:tcPr>
            <w:tcW w:w="821" w:type="pct"/>
            <w:vAlign w:val="center"/>
          </w:tcPr>
          <w:p>
            <w:pPr>
              <w:widowControl/>
              <w:jc w:val="center"/>
              <w:rPr>
                <w:sz w:val="18"/>
                <w:szCs w:val="18"/>
              </w:rPr>
            </w:pPr>
            <w:r>
              <w:rPr>
                <w:rFonts w:hint="eastAsia"/>
                <w:sz w:val="18"/>
                <w:szCs w:val="18"/>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pPr>
              <w:jc w:val="center"/>
              <w:rPr>
                <w:sz w:val="18"/>
                <w:szCs w:val="18"/>
              </w:rPr>
            </w:pPr>
            <w:r>
              <w:rPr>
                <w:rFonts w:hint="eastAsia"/>
                <w:sz w:val="18"/>
                <w:szCs w:val="18"/>
              </w:rPr>
              <w:t>Smax实验室</w:t>
            </w:r>
          </w:p>
        </w:tc>
        <w:tc>
          <w:tcPr>
            <w:tcW w:w="821" w:type="pct"/>
            <w:vAlign w:val="center"/>
          </w:tcPr>
          <w:p>
            <w:pPr>
              <w:jc w:val="center"/>
              <w:rPr>
                <w:sz w:val="18"/>
                <w:szCs w:val="18"/>
              </w:rPr>
            </w:pPr>
            <w:r>
              <w:rPr>
                <w:rFonts w:hint="eastAsia"/>
                <w:sz w:val="18"/>
                <w:szCs w:val="18"/>
              </w:rPr>
              <w:t>4</w:t>
            </w:r>
          </w:p>
        </w:tc>
        <w:tc>
          <w:tcPr>
            <w:tcW w:w="821" w:type="pct"/>
            <w:vAlign w:val="center"/>
          </w:tcPr>
          <w:p>
            <w:pPr>
              <w:jc w:val="center"/>
              <w:rPr>
                <w:sz w:val="18"/>
                <w:szCs w:val="18"/>
              </w:rPr>
            </w:pPr>
            <w:r>
              <w:rPr>
                <w:rFonts w:hint="eastAsia"/>
                <w:sz w:val="18"/>
                <w:szCs w:val="18"/>
              </w:rPr>
              <w:t>6</w:t>
            </w:r>
          </w:p>
        </w:tc>
        <w:tc>
          <w:tcPr>
            <w:tcW w:w="821" w:type="pct"/>
            <w:vAlign w:val="center"/>
          </w:tcPr>
          <w:p>
            <w:pPr>
              <w:jc w:val="center"/>
              <w:rPr>
                <w:sz w:val="18"/>
                <w:szCs w:val="18"/>
              </w:rPr>
            </w:pPr>
            <w:r>
              <w:rPr>
                <w:rFonts w:hint="eastAsia"/>
                <w:sz w:val="18"/>
                <w:szCs w:val="18"/>
              </w:rPr>
              <w:t>7</w:t>
            </w:r>
          </w:p>
        </w:tc>
        <w:tc>
          <w:tcPr>
            <w:tcW w:w="821" w:type="pct"/>
            <w:vAlign w:val="center"/>
          </w:tcPr>
          <w:p>
            <w:pPr>
              <w:widowControl/>
              <w:jc w:val="center"/>
              <w:rPr>
                <w:sz w:val="18"/>
                <w:szCs w:val="18"/>
              </w:rPr>
            </w:pPr>
            <w:r>
              <w:rPr>
                <w:rFonts w:hint="eastAsia"/>
                <w:sz w:val="18"/>
                <w:szCs w:val="18"/>
              </w:rPr>
              <w:t>4</w:t>
            </w:r>
          </w:p>
        </w:tc>
        <w:tc>
          <w:tcPr>
            <w:tcW w:w="821" w:type="pct"/>
            <w:vAlign w:val="center"/>
          </w:tcPr>
          <w:p>
            <w:pPr>
              <w:widowControl/>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pPr>
              <w:jc w:val="center"/>
              <w:rPr>
                <w:sz w:val="18"/>
                <w:szCs w:val="18"/>
              </w:rPr>
            </w:pPr>
            <w:r>
              <w:rPr>
                <w:rFonts w:hint="eastAsia"/>
                <w:sz w:val="18"/>
                <w:szCs w:val="18"/>
              </w:rPr>
              <w:t>Smax值</w:t>
            </w:r>
          </w:p>
        </w:tc>
        <w:tc>
          <w:tcPr>
            <w:tcW w:w="821" w:type="pct"/>
            <w:vAlign w:val="center"/>
          </w:tcPr>
          <w:p>
            <w:pPr>
              <w:jc w:val="center"/>
              <w:rPr>
                <w:sz w:val="18"/>
                <w:szCs w:val="18"/>
              </w:rPr>
            </w:pPr>
            <w:r>
              <w:rPr>
                <w:sz w:val="18"/>
                <w:szCs w:val="18"/>
              </w:rPr>
              <w:t xml:space="preserve">0.077392 </w:t>
            </w:r>
          </w:p>
        </w:tc>
        <w:tc>
          <w:tcPr>
            <w:tcW w:w="821" w:type="pct"/>
            <w:vAlign w:val="center"/>
          </w:tcPr>
          <w:p>
            <w:pPr>
              <w:jc w:val="center"/>
              <w:rPr>
                <w:sz w:val="18"/>
                <w:szCs w:val="18"/>
              </w:rPr>
            </w:pPr>
            <w:r>
              <w:rPr>
                <w:sz w:val="18"/>
                <w:szCs w:val="18"/>
              </w:rPr>
              <w:t xml:space="preserve">0.144409 </w:t>
            </w:r>
          </w:p>
        </w:tc>
        <w:tc>
          <w:tcPr>
            <w:tcW w:w="821" w:type="pct"/>
            <w:vAlign w:val="center"/>
          </w:tcPr>
          <w:p>
            <w:pPr>
              <w:jc w:val="center"/>
              <w:rPr>
                <w:sz w:val="18"/>
                <w:szCs w:val="18"/>
              </w:rPr>
            </w:pPr>
            <w:r>
              <w:rPr>
                <w:sz w:val="18"/>
                <w:szCs w:val="18"/>
              </w:rPr>
              <w:t xml:space="preserve">0.166028 </w:t>
            </w:r>
          </w:p>
        </w:tc>
        <w:tc>
          <w:tcPr>
            <w:tcW w:w="821" w:type="pct"/>
            <w:vAlign w:val="center"/>
          </w:tcPr>
          <w:p>
            <w:pPr>
              <w:jc w:val="center"/>
              <w:rPr>
                <w:sz w:val="18"/>
                <w:szCs w:val="18"/>
              </w:rPr>
            </w:pPr>
            <w:r>
              <w:rPr>
                <w:sz w:val="18"/>
                <w:szCs w:val="18"/>
              </w:rPr>
              <w:t xml:space="preserve">0.217527 </w:t>
            </w:r>
          </w:p>
        </w:tc>
        <w:tc>
          <w:tcPr>
            <w:tcW w:w="821" w:type="pct"/>
            <w:vAlign w:val="center"/>
          </w:tcPr>
          <w:p>
            <w:pPr>
              <w:jc w:val="center"/>
              <w:rPr>
                <w:sz w:val="18"/>
                <w:szCs w:val="18"/>
              </w:rPr>
            </w:pPr>
            <w:r>
              <w:rPr>
                <w:sz w:val="18"/>
                <w:szCs w:val="18"/>
              </w:rPr>
              <w:t xml:space="preserve">0.261078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pPr>
              <w:jc w:val="center"/>
              <w:rPr>
                <w:sz w:val="18"/>
                <w:szCs w:val="18"/>
              </w:rPr>
            </w:pPr>
            <w:r>
              <w:rPr>
                <w:rFonts w:hint="eastAsia"/>
                <w:sz w:val="18"/>
                <w:szCs w:val="18"/>
              </w:rPr>
              <w:t>∑S</w:t>
            </w:r>
            <w:r>
              <w:rPr>
                <w:sz w:val="18"/>
                <w:szCs w:val="18"/>
                <w:vertAlign w:val="superscript"/>
              </w:rPr>
              <w:t>2</w:t>
            </w:r>
          </w:p>
        </w:tc>
        <w:tc>
          <w:tcPr>
            <w:tcW w:w="821" w:type="pct"/>
          </w:tcPr>
          <w:p>
            <w:pPr>
              <w:jc w:val="center"/>
              <w:rPr>
                <w:sz w:val="18"/>
                <w:szCs w:val="18"/>
              </w:rPr>
            </w:pPr>
            <w:r>
              <w:rPr>
                <w:sz w:val="18"/>
                <w:szCs w:val="18"/>
              </w:rPr>
              <w:t>3.1363E-02</w:t>
            </w:r>
          </w:p>
        </w:tc>
        <w:tc>
          <w:tcPr>
            <w:tcW w:w="821" w:type="pct"/>
          </w:tcPr>
          <w:p>
            <w:pPr>
              <w:jc w:val="center"/>
              <w:rPr>
                <w:sz w:val="18"/>
                <w:szCs w:val="18"/>
              </w:rPr>
            </w:pPr>
            <w:r>
              <w:rPr>
                <w:sz w:val="18"/>
                <w:szCs w:val="18"/>
              </w:rPr>
              <w:t>8.1343E-02</w:t>
            </w:r>
          </w:p>
        </w:tc>
        <w:tc>
          <w:tcPr>
            <w:tcW w:w="821" w:type="pct"/>
          </w:tcPr>
          <w:p>
            <w:pPr>
              <w:jc w:val="center"/>
              <w:rPr>
                <w:sz w:val="18"/>
                <w:szCs w:val="18"/>
              </w:rPr>
            </w:pPr>
            <w:r>
              <w:rPr>
                <w:sz w:val="18"/>
                <w:szCs w:val="18"/>
              </w:rPr>
              <w:t>1.1318E-01</w:t>
            </w:r>
          </w:p>
        </w:tc>
        <w:tc>
          <w:tcPr>
            <w:tcW w:w="821" w:type="pct"/>
          </w:tcPr>
          <w:p>
            <w:pPr>
              <w:jc w:val="center"/>
              <w:rPr>
                <w:sz w:val="18"/>
                <w:szCs w:val="18"/>
              </w:rPr>
            </w:pPr>
            <w:r>
              <w:rPr>
                <w:sz w:val="18"/>
                <w:szCs w:val="18"/>
              </w:rPr>
              <w:t>1.9666E-01</w:t>
            </w:r>
          </w:p>
        </w:tc>
        <w:tc>
          <w:tcPr>
            <w:tcW w:w="821" w:type="pct"/>
          </w:tcPr>
          <w:p>
            <w:pPr>
              <w:jc w:val="center"/>
              <w:rPr>
                <w:sz w:val="18"/>
                <w:szCs w:val="18"/>
              </w:rPr>
            </w:pPr>
            <w:r>
              <w:rPr>
                <w:sz w:val="18"/>
                <w:szCs w:val="18"/>
              </w:rPr>
              <w:t>2.6140E-01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pPr>
              <w:jc w:val="center"/>
              <w:rPr>
                <w:sz w:val="18"/>
                <w:szCs w:val="18"/>
              </w:rPr>
            </w:pPr>
            <w:r>
              <w:rPr>
                <w:sz w:val="18"/>
                <w:szCs w:val="18"/>
              </w:rPr>
              <w:t>C</w:t>
            </w:r>
          </w:p>
        </w:tc>
        <w:tc>
          <w:tcPr>
            <w:tcW w:w="821" w:type="pct"/>
            <w:vAlign w:val="center"/>
          </w:tcPr>
          <w:p>
            <w:pPr>
              <w:jc w:val="center"/>
              <w:rPr>
                <w:sz w:val="18"/>
                <w:szCs w:val="18"/>
              </w:rPr>
            </w:pPr>
            <w:r>
              <w:rPr>
                <w:rFonts w:hint="eastAsia"/>
                <w:sz w:val="18"/>
                <w:szCs w:val="18"/>
              </w:rPr>
              <w:t>0.1910</w:t>
            </w:r>
          </w:p>
        </w:tc>
        <w:tc>
          <w:tcPr>
            <w:tcW w:w="821" w:type="pct"/>
            <w:vAlign w:val="center"/>
          </w:tcPr>
          <w:p>
            <w:pPr>
              <w:jc w:val="center"/>
              <w:rPr>
                <w:sz w:val="18"/>
                <w:szCs w:val="18"/>
              </w:rPr>
            </w:pPr>
            <w:r>
              <w:rPr>
                <w:rFonts w:hint="eastAsia"/>
                <w:sz w:val="18"/>
                <w:szCs w:val="18"/>
              </w:rPr>
              <w:t>0.2564</w:t>
            </w:r>
          </w:p>
        </w:tc>
        <w:tc>
          <w:tcPr>
            <w:tcW w:w="821" w:type="pct"/>
            <w:vAlign w:val="center"/>
          </w:tcPr>
          <w:p>
            <w:pPr>
              <w:jc w:val="center"/>
              <w:rPr>
                <w:sz w:val="18"/>
                <w:szCs w:val="18"/>
              </w:rPr>
            </w:pPr>
            <w:r>
              <w:rPr>
                <w:rFonts w:hint="eastAsia"/>
                <w:sz w:val="18"/>
                <w:szCs w:val="18"/>
              </w:rPr>
              <w:t>0.2436</w:t>
            </w:r>
          </w:p>
        </w:tc>
        <w:tc>
          <w:tcPr>
            <w:tcW w:w="821" w:type="pct"/>
            <w:vAlign w:val="center"/>
          </w:tcPr>
          <w:p>
            <w:pPr>
              <w:jc w:val="center"/>
              <w:rPr>
                <w:sz w:val="18"/>
                <w:szCs w:val="18"/>
              </w:rPr>
            </w:pPr>
            <w:r>
              <w:rPr>
                <w:rFonts w:hint="eastAsia"/>
                <w:sz w:val="18"/>
                <w:szCs w:val="18"/>
              </w:rPr>
              <w:t>0.2406</w:t>
            </w:r>
          </w:p>
        </w:tc>
        <w:tc>
          <w:tcPr>
            <w:tcW w:w="821" w:type="pct"/>
            <w:vAlign w:val="center"/>
          </w:tcPr>
          <w:p>
            <w:pPr>
              <w:jc w:val="center"/>
              <w:rPr>
                <w:sz w:val="18"/>
                <w:szCs w:val="18"/>
              </w:rPr>
            </w:pPr>
            <w:r>
              <w:rPr>
                <w:rFonts w:hint="eastAsia"/>
                <w:sz w:val="18"/>
                <w:szCs w:val="18"/>
              </w:rPr>
              <w:t>0.2608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pPr>
              <w:jc w:val="center"/>
              <w:rPr>
                <w:sz w:val="18"/>
                <w:szCs w:val="18"/>
              </w:rPr>
            </w:pPr>
            <w:r>
              <w:rPr>
                <w:rFonts w:hint="eastAsia"/>
                <w:sz w:val="18"/>
                <w:szCs w:val="18"/>
              </w:rPr>
              <w:t>离群值（Y/N）</w:t>
            </w:r>
          </w:p>
        </w:tc>
        <w:tc>
          <w:tcPr>
            <w:tcW w:w="821" w:type="pct"/>
            <w:vAlign w:val="center"/>
          </w:tcPr>
          <w:p>
            <w:pPr>
              <w:jc w:val="center"/>
              <w:rPr>
                <w:sz w:val="18"/>
                <w:szCs w:val="18"/>
              </w:rPr>
            </w:pPr>
            <w:r>
              <w:rPr>
                <w:sz w:val="18"/>
                <w:szCs w:val="18"/>
              </w:rPr>
              <w:t>N</w:t>
            </w:r>
          </w:p>
        </w:tc>
        <w:tc>
          <w:tcPr>
            <w:tcW w:w="821" w:type="pct"/>
            <w:vAlign w:val="center"/>
          </w:tcPr>
          <w:p>
            <w:pPr>
              <w:jc w:val="center"/>
              <w:rPr>
                <w:sz w:val="18"/>
                <w:szCs w:val="18"/>
              </w:rPr>
            </w:pPr>
            <w:r>
              <w:rPr>
                <w:sz w:val="18"/>
                <w:szCs w:val="18"/>
              </w:rPr>
              <w:t>N</w:t>
            </w:r>
          </w:p>
        </w:tc>
        <w:tc>
          <w:tcPr>
            <w:tcW w:w="821" w:type="pct"/>
            <w:vAlign w:val="center"/>
          </w:tcPr>
          <w:p>
            <w:pPr>
              <w:jc w:val="center"/>
              <w:rPr>
                <w:sz w:val="18"/>
                <w:szCs w:val="18"/>
              </w:rPr>
            </w:pPr>
            <w:r>
              <w:rPr>
                <w:sz w:val="18"/>
                <w:szCs w:val="18"/>
              </w:rPr>
              <w:t>N</w:t>
            </w:r>
          </w:p>
        </w:tc>
        <w:tc>
          <w:tcPr>
            <w:tcW w:w="821" w:type="pct"/>
            <w:vAlign w:val="center"/>
          </w:tcPr>
          <w:p>
            <w:pPr>
              <w:jc w:val="center"/>
              <w:rPr>
                <w:sz w:val="18"/>
                <w:szCs w:val="18"/>
              </w:rPr>
            </w:pPr>
            <w:r>
              <w:rPr>
                <w:sz w:val="18"/>
                <w:szCs w:val="18"/>
              </w:rPr>
              <w:t>N</w:t>
            </w:r>
          </w:p>
        </w:tc>
        <w:tc>
          <w:tcPr>
            <w:tcW w:w="821" w:type="pct"/>
            <w:vAlign w:val="center"/>
          </w:tcPr>
          <w:p>
            <w:pPr>
              <w:jc w:val="center"/>
              <w:rPr>
                <w:sz w:val="18"/>
                <w:szCs w:val="18"/>
              </w:rPr>
            </w:pPr>
            <w:r>
              <w:rPr>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pPr>
              <w:jc w:val="center"/>
              <w:rPr>
                <w:sz w:val="18"/>
                <w:szCs w:val="18"/>
              </w:rPr>
            </w:pPr>
            <w:r>
              <w:rPr>
                <w:rFonts w:hint="eastAsia"/>
                <w:sz w:val="18"/>
                <w:szCs w:val="18"/>
              </w:rPr>
              <w:t>歧离值（Y/N）</w:t>
            </w:r>
          </w:p>
        </w:tc>
        <w:tc>
          <w:tcPr>
            <w:tcW w:w="821" w:type="pct"/>
            <w:vAlign w:val="center"/>
          </w:tcPr>
          <w:p>
            <w:pPr>
              <w:jc w:val="center"/>
              <w:rPr>
                <w:sz w:val="18"/>
                <w:szCs w:val="18"/>
              </w:rPr>
            </w:pPr>
            <w:r>
              <w:rPr>
                <w:sz w:val="18"/>
                <w:szCs w:val="18"/>
              </w:rPr>
              <w:t>N</w:t>
            </w:r>
          </w:p>
        </w:tc>
        <w:tc>
          <w:tcPr>
            <w:tcW w:w="821" w:type="pct"/>
            <w:vAlign w:val="center"/>
          </w:tcPr>
          <w:p>
            <w:pPr>
              <w:jc w:val="center"/>
              <w:rPr>
                <w:sz w:val="18"/>
                <w:szCs w:val="18"/>
              </w:rPr>
            </w:pPr>
            <w:r>
              <w:rPr>
                <w:sz w:val="18"/>
                <w:szCs w:val="18"/>
              </w:rPr>
              <w:t>N</w:t>
            </w:r>
          </w:p>
        </w:tc>
        <w:tc>
          <w:tcPr>
            <w:tcW w:w="821" w:type="pct"/>
            <w:vAlign w:val="center"/>
          </w:tcPr>
          <w:p>
            <w:pPr>
              <w:jc w:val="center"/>
              <w:rPr>
                <w:sz w:val="18"/>
                <w:szCs w:val="18"/>
              </w:rPr>
            </w:pPr>
            <w:r>
              <w:rPr>
                <w:sz w:val="18"/>
                <w:szCs w:val="18"/>
              </w:rPr>
              <w:t>N</w:t>
            </w:r>
          </w:p>
        </w:tc>
        <w:tc>
          <w:tcPr>
            <w:tcW w:w="821" w:type="pct"/>
            <w:vAlign w:val="center"/>
          </w:tcPr>
          <w:p>
            <w:pPr>
              <w:jc w:val="center"/>
              <w:rPr>
                <w:sz w:val="18"/>
                <w:szCs w:val="18"/>
              </w:rPr>
            </w:pPr>
            <w:r>
              <w:rPr>
                <w:sz w:val="18"/>
                <w:szCs w:val="18"/>
              </w:rPr>
              <w:t>N</w:t>
            </w:r>
          </w:p>
        </w:tc>
        <w:tc>
          <w:tcPr>
            <w:tcW w:w="821" w:type="pct"/>
            <w:vAlign w:val="center"/>
          </w:tcPr>
          <w:p>
            <w:pPr>
              <w:jc w:val="center"/>
              <w:rPr>
                <w:sz w:val="18"/>
                <w:szCs w:val="18"/>
              </w:rPr>
            </w:pPr>
            <w:r>
              <w:rPr>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pPr>
              <w:jc w:val="center"/>
              <w:rPr>
                <w:sz w:val="18"/>
                <w:szCs w:val="18"/>
              </w:rPr>
            </w:pPr>
            <w:r>
              <w:rPr>
                <w:rFonts w:hint="eastAsia"/>
                <w:sz w:val="18"/>
                <w:szCs w:val="18"/>
              </w:rPr>
              <w:t>C临界</w:t>
            </w:r>
          </w:p>
        </w:tc>
        <w:tc>
          <w:tcPr>
            <w:tcW w:w="4103" w:type="pct"/>
            <w:gridSpan w:val="5"/>
            <w:vAlign w:val="center"/>
          </w:tcPr>
          <w:p>
            <w:pPr>
              <w:jc w:val="center"/>
              <w:rPr>
                <w:sz w:val="18"/>
                <w:szCs w:val="18"/>
              </w:rPr>
            </w:pPr>
            <w:r>
              <w:rPr>
                <w:rFonts w:hint="eastAsia"/>
                <w:sz w:val="18"/>
                <w:szCs w:val="18"/>
              </w:rPr>
              <w:t>实验室数p=7，n=11时，科克伦检验5%临界值为0.2616，1%临界值为0.3068。</w:t>
            </w:r>
          </w:p>
        </w:tc>
      </w:tr>
    </w:tbl>
    <w:p>
      <w:pPr>
        <w:spacing w:line="312" w:lineRule="auto"/>
        <w:ind w:firstLine="420" w:firstLineChars="200"/>
        <w:rPr>
          <w:szCs w:val="21"/>
        </w:rPr>
      </w:pPr>
      <w:r>
        <w:rPr>
          <w:rFonts w:hint="eastAsia"/>
          <w:szCs w:val="21"/>
        </w:rPr>
        <w:t>柯克伦检验的结果表明，所有实验室的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pPr>
        <w:spacing w:beforeLines="100" w:line="312" w:lineRule="auto"/>
        <w:rPr>
          <w:rFonts w:ascii="黑体" w:hAnsi="黑体" w:eastAsia="黑体"/>
          <w:szCs w:val="21"/>
        </w:rPr>
      </w:pPr>
      <w:r>
        <w:rPr>
          <w:rFonts w:ascii="黑体" w:hAnsi="黑体" w:eastAsia="黑体"/>
          <w:szCs w:val="21"/>
        </w:rPr>
        <w:t>2.2</w:t>
      </w:r>
      <w:r>
        <w:rPr>
          <w:rFonts w:hint="eastAsia" w:ascii="黑体" w:hAnsi="黑体" w:eastAsia="黑体"/>
          <w:szCs w:val="21"/>
        </w:rPr>
        <w:t xml:space="preserve"> </w:t>
      </w:r>
      <w:r>
        <w:rPr>
          <w:rFonts w:ascii="黑体" w:hAnsi="黑体" w:eastAsia="黑体"/>
          <w:szCs w:val="21"/>
        </w:rPr>
        <w:t xml:space="preserve"> 格拉布斯检验</w:t>
      </w:r>
    </w:p>
    <w:p>
      <w:pPr>
        <w:spacing w:line="312" w:lineRule="auto"/>
        <w:jc w:val="center"/>
        <w:rPr>
          <w:szCs w:val="21"/>
        </w:rPr>
      </w:pPr>
      <w:r>
        <w:rPr>
          <w:szCs w:val="21"/>
        </w:rPr>
        <w:t>表</w:t>
      </w:r>
      <w:r>
        <w:rPr>
          <w:rFonts w:hint="eastAsia"/>
          <w:szCs w:val="21"/>
        </w:rPr>
        <w:t>A.</w:t>
      </w:r>
      <w:r>
        <w:rPr>
          <w:szCs w:val="21"/>
        </w:rPr>
        <w:t>5</w:t>
      </w:r>
      <w:r>
        <w:rPr>
          <w:rFonts w:hint="eastAsia"/>
          <w:szCs w:val="21"/>
        </w:rPr>
        <w:t xml:space="preserve"> </w:t>
      </w:r>
      <w:r>
        <w:rPr>
          <w:szCs w:val="21"/>
        </w:rPr>
        <w:t xml:space="preserve"> 格拉布斯检验</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631"/>
        <w:gridCol w:w="1631"/>
        <w:gridCol w:w="1631"/>
        <w:gridCol w:w="163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09" w:type="pct"/>
            <w:vAlign w:val="center"/>
          </w:tcPr>
          <w:p>
            <w:pPr>
              <w:jc w:val="center"/>
              <w:rPr>
                <w:sz w:val="18"/>
                <w:szCs w:val="18"/>
              </w:rPr>
            </w:pPr>
            <w:r>
              <w:rPr>
                <w:rFonts w:hint="eastAsia"/>
                <w:sz w:val="18"/>
                <w:szCs w:val="18"/>
              </w:rPr>
              <w:t>统计量</w:t>
            </w:r>
          </w:p>
        </w:tc>
        <w:tc>
          <w:tcPr>
            <w:tcW w:w="818" w:type="pct"/>
            <w:vAlign w:val="center"/>
          </w:tcPr>
          <w:p>
            <w:pPr>
              <w:widowControl/>
              <w:jc w:val="center"/>
              <w:rPr>
                <w:sz w:val="18"/>
                <w:szCs w:val="18"/>
              </w:rPr>
            </w:pPr>
            <w:r>
              <w:rPr>
                <w:rFonts w:hint="eastAsia"/>
                <w:sz w:val="18"/>
                <w:szCs w:val="18"/>
              </w:rPr>
              <w:t>水平1</w:t>
            </w:r>
          </w:p>
        </w:tc>
        <w:tc>
          <w:tcPr>
            <w:tcW w:w="818" w:type="pct"/>
            <w:vAlign w:val="center"/>
          </w:tcPr>
          <w:p>
            <w:pPr>
              <w:widowControl/>
              <w:jc w:val="center"/>
              <w:rPr>
                <w:sz w:val="18"/>
                <w:szCs w:val="18"/>
              </w:rPr>
            </w:pPr>
            <w:r>
              <w:rPr>
                <w:rFonts w:hint="eastAsia"/>
                <w:sz w:val="18"/>
                <w:szCs w:val="18"/>
              </w:rPr>
              <w:t>水平2</w:t>
            </w:r>
          </w:p>
        </w:tc>
        <w:tc>
          <w:tcPr>
            <w:tcW w:w="818" w:type="pct"/>
            <w:vAlign w:val="center"/>
          </w:tcPr>
          <w:p>
            <w:pPr>
              <w:widowControl/>
              <w:jc w:val="center"/>
              <w:rPr>
                <w:sz w:val="18"/>
                <w:szCs w:val="18"/>
              </w:rPr>
            </w:pPr>
            <w:r>
              <w:rPr>
                <w:rFonts w:hint="eastAsia"/>
                <w:sz w:val="18"/>
                <w:szCs w:val="18"/>
              </w:rPr>
              <w:t>水平3</w:t>
            </w:r>
          </w:p>
        </w:tc>
        <w:tc>
          <w:tcPr>
            <w:tcW w:w="818" w:type="pct"/>
            <w:vAlign w:val="center"/>
          </w:tcPr>
          <w:p>
            <w:pPr>
              <w:widowControl/>
              <w:jc w:val="center"/>
              <w:rPr>
                <w:sz w:val="18"/>
                <w:szCs w:val="18"/>
              </w:rPr>
            </w:pPr>
            <w:r>
              <w:rPr>
                <w:rFonts w:hint="eastAsia"/>
                <w:sz w:val="18"/>
                <w:szCs w:val="18"/>
              </w:rPr>
              <w:t>水平4</w:t>
            </w:r>
          </w:p>
        </w:tc>
        <w:tc>
          <w:tcPr>
            <w:tcW w:w="818" w:type="pct"/>
            <w:vAlign w:val="center"/>
          </w:tcPr>
          <w:p>
            <w:pPr>
              <w:widowControl/>
              <w:jc w:val="center"/>
              <w:rPr>
                <w:sz w:val="18"/>
                <w:szCs w:val="18"/>
              </w:rPr>
            </w:pPr>
            <w:r>
              <w:rPr>
                <w:rFonts w:hint="eastAsia"/>
                <w:sz w:val="18"/>
                <w:szCs w:val="18"/>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pPr>
              <w:jc w:val="center"/>
              <w:rPr>
                <w:sz w:val="18"/>
                <w:szCs w:val="18"/>
              </w:rPr>
            </w:pPr>
            <w:r>
              <w:rPr>
                <w:rFonts w:hint="eastAsia"/>
                <w:sz w:val="18"/>
                <w:szCs w:val="18"/>
              </w:rPr>
              <w:t>均值的平均值</w:t>
            </w:r>
          </w:p>
        </w:tc>
        <w:tc>
          <w:tcPr>
            <w:tcW w:w="818" w:type="pct"/>
            <w:vAlign w:val="center"/>
          </w:tcPr>
          <w:p>
            <w:pPr>
              <w:jc w:val="center"/>
              <w:rPr>
                <w:sz w:val="18"/>
                <w:szCs w:val="18"/>
              </w:rPr>
            </w:pPr>
            <w:r>
              <w:rPr>
                <w:sz w:val="18"/>
                <w:szCs w:val="18"/>
              </w:rPr>
              <w:t>13.8209</w:t>
            </w:r>
          </w:p>
        </w:tc>
        <w:tc>
          <w:tcPr>
            <w:tcW w:w="818" w:type="pct"/>
            <w:vAlign w:val="center"/>
          </w:tcPr>
          <w:p>
            <w:pPr>
              <w:jc w:val="center"/>
              <w:rPr>
                <w:sz w:val="18"/>
                <w:szCs w:val="18"/>
              </w:rPr>
            </w:pPr>
            <w:r>
              <w:rPr>
                <w:sz w:val="18"/>
                <w:szCs w:val="18"/>
              </w:rPr>
              <w:t>28.8438</w:t>
            </w:r>
          </w:p>
        </w:tc>
        <w:tc>
          <w:tcPr>
            <w:tcW w:w="818" w:type="pct"/>
            <w:vAlign w:val="center"/>
          </w:tcPr>
          <w:p>
            <w:pPr>
              <w:jc w:val="center"/>
              <w:rPr>
                <w:sz w:val="18"/>
                <w:szCs w:val="18"/>
              </w:rPr>
            </w:pPr>
            <w:r>
              <w:rPr>
                <w:sz w:val="18"/>
                <w:szCs w:val="18"/>
              </w:rPr>
              <w:t>50.3762</w:t>
            </w:r>
          </w:p>
        </w:tc>
        <w:tc>
          <w:tcPr>
            <w:tcW w:w="818" w:type="pct"/>
            <w:vAlign w:val="center"/>
          </w:tcPr>
          <w:p>
            <w:pPr>
              <w:jc w:val="center"/>
              <w:rPr>
                <w:sz w:val="18"/>
                <w:szCs w:val="18"/>
              </w:rPr>
            </w:pPr>
            <w:r>
              <w:rPr>
                <w:sz w:val="18"/>
                <w:szCs w:val="18"/>
              </w:rPr>
              <w:t>70.8643</w:t>
            </w:r>
          </w:p>
        </w:tc>
        <w:tc>
          <w:tcPr>
            <w:tcW w:w="818" w:type="pct"/>
            <w:vAlign w:val="center"/>
          </w:tcPr>
          <w:p>
            <w:pPr>
              <w:jc w:val="center"/>
              <w:rPr>
                <w:sz w:val="18"/>
                <w:szCs w:val="18"/>
              </w:rPr>
            </w:pPr>
            <w:r>
              <w:rPr>
                <w:sz w:val="18"/>
                <w:szCs w:val="18"/>
              </w:rPr>
              <w:t>89.8232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pPr>
              <w:jc w:val="center"/>
              <w:rPr>
                <w:sz w:val="18"/>
                <w:szCs w:val="18"/>
              </w:rPr>
            </w:pPr>
            <w:r>
              <w:rPr>
                <w:rFonts w:hint="eastAsia"/>
                <w:sz w:val="18"/>
                <w:szCs w:val="18"/>
              </w:rPr>
              <w:t>均值的标准差</w:t>
            </w:r>
          </w:p>
        </w:tc>
        <w:tc>
          <w:tcPr>
            <w:tcW w:w="818" w:type="pct"/>
            <w:vAlign w:val="center"/>
          </w:tcPr>
          <w:p>
            <w:pPr>
              <w:jc w:val="center"/>
              <w:rPr>
                <w:sz w:val="18"/>
                <w:szCs w:val="18"/>
              </w:rPr>
            </w:pPr>
            <w:r>
              <w:rPr>
                <w:sz w:val="18"/>
                <w:szCs w:val="18"/>
              </w:rPr>
              <w:t>1.7708E-01</w:t>
            </w:r>
          </w:p>
        </w:tc>
        <w:tc>
          <w:tcPr>
            <w:tcW w:w="818" w:type="pct"/>
            <w:vAlign w:val="center"/>
          </w:tcPr>
          <w:p>
            <w:pPr>
              <w:jc w:val="center"/>
              <w:rPr>
                <w:sz w:val="18"/>
                <w:szCs w:val="18"/>
              </w:rPr>
            </w:pPr>
            <w:r>
              <w:rPr>
                <w:sz w:val="18"/>
                <w:szCs w:val="18"/>
              </w:rPr>
              <w:t>1.1442E-01</w:t>
            </w:r>
          </w:p>
        </w:tc>
        <w:tc>
          <w:tcPr>
            <w:tcW w:w="818" w:type="pct"/>
            <w:vAlign w:val="center"/>
          </w:tcPr>
          <w:p>
            <w:pPr>
              <w:jc w:val="center"/>
              <w:rPr>
                <w:sz w:val="18"/>
                <w:szCs w:val="18"/>
              </w:rPr>
            </w:pPr>
            <w:r>
              <w:rPr>
                <w:sz w:val="18"/>
                <w:szCs w:val="18"/>
              </w:rPr>
              <w:t>8.0948E-02</w:t>
            </w:r>
          </w:p>
        </w:tc>
        <w:tc>
          <w:tcPr>
            <w:tcW w:w="818" w:type="pct"/>
            <w:vAlign w:val="center"/>
          </w:tcPr>
          <w:p>
            <w:pPr>
              <w:jc w:val="center"/>
              <w:rPr>
                <w:sz w:val="18"/>
                <w:szCs w:val="18"/>
              </w:rPr>
            </w:pPr>
            <w:r>
              <w:rPr>
                <w:sz w:val="18"/>
                <w:szCs w:val="18"/>
              </w:rPr>
              <w:t>1.5855E-01</w:t>
            </w:r>
          </w:p>
        </w:tc>
        <w:tc>
          <w:tcPr>
            <w:tcW w:w="818" w:type="pct"/>
            <w:vAlign w:val="center"/>
          </w:tcPr>
          <w:p>
            <w:pPr>
              <w:jc w:val="center"/>
              <w:rPr>
                <w:sz w:val="18"/>
                <w:szCs w:val="18"/>
              </w:rPr>
            </w:pPr>
            <w:r>
              <w:rPr>
                <w:sz w:val="18"/>
                <w:szCs w:val="18"/>
              </w:rPr>
              <w:t>4.6424E-01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pPr>
              <w:jc w:val="center"/>
              <w:rPr>
                <w:sz w:val="18"/>
                <w:szCs w:val="18"/>
              </w:rPr>
            </w:pPr>
            <w:r>
              <w:rPr>
                <w:rFonts w:hint="eastAsia"/>
                <w:sz w:val="18"/>
                <w:szCs w:val="18"/>
              </w:rPr>
              <w:t>最大均值</w:t>
            </w:r>
          </w:p>
        </w:tc>
        <w:tc>
          <w:tcPr>
            <w:tcW w:w="818" w:type="pct"/>
            <w:vAlign w:val="center"/>
          </w:tcPr>
          <w:p>
            <w:pPr>
              <w:jc w:val="center"/>
              <w:rPr>
                <w:sz w:val="18"/>
                <w:szCs w:val="18"/>
              </w:rPr>
            </w:pPr>
            <w:r>
              <w:rPr>
                <w:sz w:val="18"/>
                <w:szCs w:val="18"/>
              </w:rPr>
              <w:t>14.0056</w:t>
            </w:r>
          </w:p>
        </w:tc>
        <w:tc>
          <w:tcPr>
            <w:tcW w:w="818" w:type="pct"/>
            <w:vAlign w:val="center"/>
          </w:tcPr>
          <w:p>
            <w:pPr>
              <w:jc w:val="center"/>
              <w:rPr>
                <w:sz w:val="18"/>
                <w:szCs w:val="18"/>
              </w:rPr>
            </w:pPr>
            <w:r>
              <w:rPr>
                <w:sz w:val="18"/>
                <w:szCs w:val="18"/>
              </w:rPr>
              <w:t>29.0359</w:t>
            </w:r>
          </w:p>
        </w:tc>
        <w:tc>
          <w:tcPr>
            <w:tcW w:w="818" w:type="pct"/>
            <w:vAlign w:val="center"/>
          </w:tcPr>
          <w:p>
            <w:pPr>
              <w:jc w:val="center"/>
              <w:rPr>
                <w:sz w:val="18"/>
                <w:szCs w:val="18"/>
              </w:rPr>
            </w:pPr>
            <w:r>
              <w:rPr>
                <w:sz w:val="18"/>
                <w:szCs w:val="18"/>
              </w:rPr>
              <w:t>50.5183</w:t>
            </w:r>
          </w:p>
        </w:tc>
        <w:tc>
          <w:tcPr>
            <w:tcW w:w="818" w:type="pct"/>
            <w:vAlign w:val="center"/>
          </w:tcPr>
          <w:p>
            <w:pPr>
              <w:jc w:val="center"/>
              <w:rPr>
                <w:sz w:val="18"/>
                <w:szCs w:val="18"/>
              </w:rPr>
            </w:pPr>
            <w:r>
              <w:rPr>
                <w:sz w:val="18"/>
                <w:szCs w:val="18"/>
              </w:rPr>
              <w:t>71.1740</w:t>
            </w:r>
          </w:p>
        </w:tc>
        <w:tc>
          <w:tcPr>
            <w:tcW w:w="818" w:type="pct"/>
            <w:vAlign w:val="center"/>
          </w:tcPr>
          <w:p>
            <w:pPr>
              <w:jc w:val="center"/>
              <w:rPr>
                <w:sz w:val="18"/>
                <w:szCs w:val="18"/>
              </w:rPr>
            </w:pPr>
            <w:r>
              <w:rPr>
                <w:sz w:val="18"/>
                <w:szCs w:val="18"/>
              </w:rPr>
              <w:t>90.7478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pPr>
              <w:jc w:val="center"/>
              <w:rPr>
                <w:sz w:val="18"/>
                <w:szCs w:val="18"/>
              </w:rPr>
            </w:pPr>
            <w:r>
              <w:rPr>
                <w:rFonts w:hint="eastAsia"/>
                <w:sz w:val="18"/>
                <w:szCs w:val="18"/>
              </w:rPr>
              <w:t>最小均值</w:t>
            </w:r>
          </w:p>
        </w:tc>
        <w:tc>
          <w:tcPr>
            <w:tcW w:w="818" w:type="pct"/>
            <w:vAlign w:val="center"/>
          </w:tcPr>
          <w:p>
            <w:pPr>
              <w:jc w:val="center"/>
              <w:rPr>
                <w:sz w:val="18"/>
                <w:szCs w:val="18"/>
              </w:rPr>
            </w:pPr>
            <w:r>
              <w:rPr>
                <w:sz w:val="18"/>
                <w:szCs w:val="18"/>
              </w:rPr>
              <w:t>13.5301</w:t>
            </w:r>
          </w:p>
        </w:tc>
        <w:tc>
          <w:tcPr>
            <w:tcW w:w="818" w:type="pct"/>
            <w:vAlign w:val="center"/>
          </w:tcPr>
          <w:p>
            <w:pPr>
              <w:jc w:val="center"/>
              <w:rPr>
                <w:sz w:val="18"/>
                <w:szCs w:val="18"/>
              </w:rPr>
            </w:pPr>
            <w:r>
              <w:rPr>
                <w:sz w:val="18"/>
                <w:szCs w:val="18"/>
              </w:rPr>
              <w:t>28.7389</w:t>
            </w:r>
          </w:p>
        </w:tc>
        <w:tc>
          <w:tcPr>
            <w:tcW w:w="818" w:type="pct"/>
            <w:vAlign w:val="center"/>
          </w:tcPr>
          <w:p>
            <w:pPr>
              <w:jc w:val="center"/>
              <w:rPr>
                <w:sz w:val="18"/>
                <w:szCs w:val="18"/>
              </w:rPr>
            </w:pPr>
            <w:r>
              <w:rPr>
                <w:sz w:val="18"/>
                <w:szCs w:val="18"/>
              </w:rPr>
              <w:t>50.2930</w:t>
            </w:r>
          </w:p>
        </w:tc>
        <w:tc>
          <w:tcPr>
            <w:tcW w:w="818" w:type="pct"/>
            <w:vAlign w:val="center"/>
          </w:tcPr>
          <w:p>
            <w:pPr>
              <w:jc w:val="center"/>
              <w:rPr>
                <w:sz w:val="18"/>
                <w:szCs w:val="18"/>
              </w:rPr>
            </w:pPr>
            <w:r>
              <w:rPr>
                <w:sz w:val="18"/>
                <w:szCs w:val="18"/>
              </w:rPr>
              <w:t>70.6756</w:t>
            </w:r>
          </w:p>
        </w:tc>
        <w:tc>
          <w:tcPr>
            <w:tcW w:w="818" w:type="pct"/>
            <w:vAlign w:val="center"/>
          </w:tcPr>
          <w:p>
            <w:pPr>
              <w:jc w:val="center"/>
              <w:rPr>
                <w:sz w:val="18"/>
                <w:szCs w:val="18"/>
              </w:rPr>
            </w:pPr>
            <w:r>
              <w:rPr>
                <w:sz w:val="18"/>
                <w:szCs w:val="18"/>
              </w:rPr>
              <w:t>89.4782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pPr>
              <w:jc w:val="center"/>
              <w:rPr>
                <w:sz w:val="18"/>
                <w:szCs w:val="18"/>
              </w:rPr>
            </w:pPr>
            <w:r>
              <w:rPr>
                <w:sz w:val="18"/>
                <w:szCs w:val="18"/>
              </w:rPr>
              <w:t>Gmax</w:t>
            </w:r>
          </w:p>
        </w:tc>
        <w:tc>
          <w:tcPr>
            <w:tcW w:w="818" w:type="pct"/>
            <w:vAlign w:val="center"/>
          </w:tcPr>
          <w:p>
            <w:pPr>
              <w:jc w:val="center"/>
              <w:rPr>
                <w:sz w:val="18"/>
                <w:szCs w:val="18"/>
              </w:rPr>
            </w:pPr>
            <w:r>
              <w:rPr>
                <w:sz w:val="18"/>
                <w:szCs w:val="18"/>
              </w:rPr>
              <w:t>1.043</w:t>
            </w:r>
          </w:p>
        </w:tc>
        <w:tc>
          <w:tcPr>
            <w:tcW w:w="818" w:type="pct"/>
            <w:vAlign w:val="center"/>
          </w:tcPr>
          <w:p>
            <w:pPr>
              <w:jc w:val="center"/>
              <w:rPr>
                <w:sz w:val="18"/>
                <w:szCs w:val="18"/>
              </w:rPr>
            </w:pPr>
            <w:r>
              <w:rPr>
                <w:sz w:val="18"/>
                <w:szCs w:val="18"/>
              </w:rPr>
              <w:t>1.679</w:t>
            </w:r>
          </w:p>
        </w:tc>
        <w:tc>
          <w:tcPr>
            <w:tcW w:w="818" w:type="pct"/>
            <w:vAlign w:val="center"/>
          </w:tcPr>
          <w:p>
            <w:pPr>
              <w:jc w:val="center"/>
              <w:rPr>
                <w:sz w:val="18"/>
                <w:szCs w:val="18"/>
              </w:rPr>
            </w:pPr>
            <w:r>
              <w:rPr>
                <w:sz w:val="18"/>
                <w:szCs w:val="18"/>
              </w:rPr>
              <w:t>1.755</w:t>
            </w:r>
          </w:p>
        </w:tc>
        <w:tc>
          <w:tcPr>
            <w:tcW w:w="818" w:type="pct"/>
            <w:vAlign w:val="center"/>
          </w:tcPr>
          <w:p>
            <w:pPr>
              <w:jc w:val="center"/>
              <w:rPr>
                <w:sz w:val="18"/>
                <w:szCs w:val="18"/>
              </w:rPr>
            </w:pPr>
            <w:r>
              <w:rPr>
                <w:sz w:val="18"/>
                <w:szCs w:val="18"/>
              </w:rPr>
              <w:t>1.954</w:t>
            </w:r>
          </w:p>
        </w:tc>
        <w:tc>
          <w:tcPr>
            <w:tcW w:w="818" w:type="pct"/>
            <w:vAlign w:val="center"/>
          </w:tcPr>
          <w:p>
            <w:pPr>
              <w:jc w:val="center"/>
              <w:rPr>
                <w:sz w:val="18"/>
                <w:szCs w:val="18"/>
              </w:rPr>
            </w:pPr>
            <w:r>
              <w:rPr>
                <w:sz w:val="18"/>
                <w:szCs w:val="18"/>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pPr>
              <w:jc w:val="center"/>
              <w:rPr>
                <w:sz w:val="18"/>
                <w:szCs w:val="18"/>
              </w:rPr>
            </w:pPr>
            <w:r>
              <w:rPr>
                <w:sz w:val="18"/>
                <w:szCs w:val="18"/>
              </w:rPr>
              <w:t>Gmin</w:t>
            </w:r>
          </w:p>
        </w:tc>
        <w:tc>
          <w:tcPr>
            <w:tcW w:w="818" w:type="pct"/>
            <w:vAlign w:val="center"/>
          </w:tcPr>
          <w:p>
            <w:pPr>
              <w:jc w:val="center"/>
              <w:rPr>
                <w:sz w:val="18"/>
                <w:szCs w:val="18"/>
              </w:rPr>
            </w:pPr>
            <w:r>
              <w:rPr>
                <w:sz w:val="18"/>
                <w:szCs w:val="18"/>
              </w:rPr>
              <w:t>1.642</w:t>
            </w:r>
          </w:p>
        </w:tc>
        <w:tc>
          <w:tcPr>
            <w:tcW w:w="818" w:type="pct"/>
            <w:vAlign w:val="center"/>
          </w:tcPr>
          <w:p>
            <w:pPr>
              <w:jc w:val="center"/>
              <w:rPr>
                <w:sz w:val="18"/>
                <w:szCs w:val="18"/>
              </w:rPr>
            </w:pPr>
            <w:r>
              <w:rPr>
                <w:sz w:val="18"/>
                <w:szCs w:val="18"/>
              </w:rPr>
              <w:t>0.917</w:t>
            </w:r>
          </w:p>
        </w:tc>
        <w:tc>
          <w:tcPr>
            <w:tcW w:w="818" w:type="pct"/>
            <w:vAlign w:val="center"/>
          </w:tcPr>
          <w:p>
            <w:pPr>
              <w:jc w:val="center"/>
              <w:rPr>
                <w:sz w:val="18"/>
                <w:szCs w:val="18"/>
              </w:rPr>
            </w:pPr>
            <w:r>
              <w:rPr>
                <w:sz w:val="18"/>
                <w:szCs w:val="18"/>
              </w:rPr>
              <w:t>1.028</w:t>
            </w:r>
          </w:p>
        </w:tc>
        <w:tc>
          <w:tcPr>
            <w:tcW w:w="818" w:type="pct"/>
            <w:vAlign w:val="center"/>
          </w:tcPr>
          <w:p>
            <w:pPr>
              <w:jc w:val="center"/>
              <w:rPr>
                <w:sz w:val="18"/>
                <w:szCs w:val="18"/>
              </w:rPr>
            </w:pPr>
            <w:r>
              <w:rPr>
                <w:sz w:val="18"/>
                <w:szCs w:val="18"/>
              </w:rPr>
              <w:t>1.190</w:t>
            </w:r>
          </w:p>
        </w:tc>
        <w:tc>
          <w:tcPr>
            <w:tcW w:w="818" w:type="pct"/>
            <w:vAlign w:val="center"/>
          </w:tcPr>
          <w:p>
            <w:pPr>
              <w:jc w:val="center"/>
              <w:rPr>
                <w:sz w:val="18"/>
                <w:szCs w:val="18"/>
              </w:rPr>
            </w:pPr>
            <w:r>
              <w:rPr>
                <w:sz w:val="18"/>
                <w:szCs w:val="18"/>
              </w:rPr>
              <w:t>0.743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09" w:type="pct"/>
            <w:vAlign w:val="center"/>
          </w:tcPr>
          <w:p>
            <w:pPr>
              <w:jc w:val="center"/>
              <w:rPr>
                <w:sz w:val="18"/>
                <w:szCs w:val="18"/>
              </w:rPr>
            </w:pPr>
            <w:r>
              <w:rPr>
                <w:rFonts w:hint="eastAsia"/>
                <w:sz w:val="18"/>
                <w:szCs w:val="18"/>
              </w:rPr>
              <w:t>G临界值</w:t>
            </w:r>
          </w:p>
        </w:tc>
        <w:tc>
          <w:tcPr>
            <w:tcW w:w="4091" w:type="pct"/>
            <w:gridSpan w:val="5"/>
            <w:vAlign w:val="center"/>
          </w:tcPr>
          <w:p>
            <w:pPr>
              <w:jc w:val="center"/>
              <w:rPr>
                <w:sz w:val="18"/>
                <w:szCs w:val="18"/>
              </w:rPr>
            </w:pPr>
            <w:r>
              <w:rPr>
                <w:rFonts w:hint="eastAsia"/>
                <w:sz w:val="18"/>
                <w:szCs w:val="18"/>
              </w:rPr>
              <w:t>实验室数p=8时，G临界值：上1%点时为2.139；上5%点时为2.020。</w:t>
            </w:r>
          </w:p>
        </w:tc>
      </w:tr>
    </w:tbl>
    <w:p>
      <w:pPr>
        <w:spacing w:line="312" w:lineRule="auto"/>
        <w:ind w:firstLine="420" w:firstLineChars="200"/>
        <w:rPr>
          <w:szCs w:val="21"/>
        </w:rPr>
      </w:pPr>
      <w:r>
        <w:rPr>
          <w:szCs w:val="21"/>
        </w:rPr>
        <w:t>格拉布斯检验显示，</w:t>
      </w:r>
      <w:r>
        <w:rPr>
          <w:rFonts w:hint="eastAsia"/>
          <w:szCs w:val="21"/>
        </w:rPr>
        <w:t>无离群值，无歧离值。</w:t>
      </w:r>
    </w:p>
    <w:p>
      <w:pPr>
        <w:spacing w:beforeLines="50" w:afterLines="50" w:line="312" w:lineRule="auto"/>
        <w:rPr>
          <w:rFonts w:ascii="黑体" w:hAnsi="黑体" w:eastAsia="黑体"/>
          <w:szCs w:val="21"/>
        </w:rPr>
      </w:pPr>
      <w:r>
        <w:rPr>
          <w:rFonts w:ascii="黑体" w:hAnsi="黑体" w:eastAsia="黑体"/>
          <w:szCs w:val="21"/>
        </w:rPr>
        <w:t>2</w:t>
      </w:r>
      <w:r>
        <w:rPr>
          <w:rFonts w:hint="eastAsia" w:ascii="黑体" w:hAnsi="黑体" w:eastAsia="黑体"/>
          <w:szCs w:val="21"/>
        </w:rPr>
        <w:t>.3</w:t>
      </w:r>
      <w:r>
        <w:rPr>
          <w:rFonts w:hint="eastAsia" w:ascii="黑体" w:hAnsi="黑体" w:eastAsia="黑体"/>
          <w:szCs w:val="21"/>
        </w:rPr>
        <w:tab/>
      </w:r>
      <w:r>
        <w:rPr>
          <w:rFonts w:eastAsia="黑体"/>
          <w:szCs w:val="21"/>
        </w:rPr>
        <w:t>S</w:t>
      </w:r>
      <w:r>
        <w:rPr>
          <w:rFonts w:eastAsia="黑体"/>
          <w:szCs w:val="21"/>
          <w:vertAlign w:val="subscript"/>
        </w:rPr>
        <w:t>r</w:t>
      </w:r>
      <w:r>
        <w:rPr>
          <w:rFonts w:hAnsi="黑体" w:eastAsia="黑体"/>
          <w:szCs w:val="21"/>
        </w:rPr>
        <w:t>、</w:t>
      </w:r>
      <w:r>
        <w:rPr>
          <w:rFonts w:eastAsia="黑体"/>
          <w:szCs w:val="21"/>
        </w:rPr>
        <w:t>S</w:t>
      </w:r>
      <w:r>
        <w:rPr>
          <w:rFonts w:eastAsia="黑体"/>
          <w:szCs w:val="21"/>
          <w:vertAlign w:val="subscript"/>
        </w:rPr>
        <w:t>R</w:t>
      </w:r>
      <w:r>
        <w:rPr>
          <w:rFonts w:hAnsi="黑体" w:eastAsia="黑体"/>
          <w:szCs w:val="21"/>
        </w:rPr>
        <w:t>、</w:t>
      </w:r>
      <w:r>
        <w:rPr>
          <w:rFonts w:eastAsia="黑体"/>
          <w:szCs w:val="21"/>
        </w:rPr>
        <w:t>r</w:t>
      </w:r>
      <w:r>
        <w:rPr>
          <w:rFonts w:hAnsi="黑体" w:eastAsia="黑体"/>
          <w:szCs w:val="21"/>
        </w:rPr>
        <w:t>与</w:t>
      </w:r>
      <w:r>
        <w:rPr>
          <w:rFonts w:eastAsia="黑体"/>
          <w:szCs w:val="21"/>
        </w:rPr>
        <w:t>R</w:t>
      </w:r>
      <w:r>
        <w:rPr>
          <w:rFonts w:hint="eastAsia" w:ascii="黑体" w:hAnsi="黑体" w:eastAsia="黑体"/>
          <w:szCs w:val="21"/>
        </w:rPr>
        <w:t>的计算</w:t>
      </w:r>
    </w:p>
    <w:p>
      <w:pPr>
        <w:spacing w:line="312" w:lineRule="auto"/>
        <w:jc w:val="center"/>
        <w:rPr>
          <w:szCs w:val="21"/>
        </w:rPr>
      </w:pPr>
      <w:r>
        <w:rPr>
          <w:rFonts w:hint="eastAsia"/>
          <w:szCs w:val="21"/>
        </w:rPr>
        <w:t>表A.</w:t>
      </w:r>
      <w:r>
        <w:rPr>
          <w:szCs w:val="21"/>
        </w:rPr>
        <w:t>6</w:t>
      </w:r>
      <w:r>
        <w:rPr>
          <w:rFonts w:hint="eastAsia"/>
          <w:szCs w:val="21"/>
        </w:rPr>
        <w:t xml:space="preserve"> 精密度计算数据</w:t>
      </w:r>
    </w:p>
    <w:tbl>
      <w:tblPr>
        <w:tblStyle w:val="88"/>
        <w:tblW w:w="5000" w:type="pct"/>
        <w:tblInd w:w="0" w:type="dxa"/>
        <w:tblLayout w:type="autofit"/>
        <w:tblCellMar>
          <w:top w:w="0" w:type="dxa"/>
          <w:left w:w="108" w:type="dxa"/>
          <w:bottom w:w="0" w:type="dxa"/>
          <w:right w:w="108" w:type="dxa"/>
        </w:tblCellMar>
      </w:tblPr>
      <w:tblGrid>
        <w:gridCol w:w="1403"/>
        <w:gridCol w:w="1711"/>
        <w:gridCol w:w="1726"/>
        <w:gridCol w:w="1726"/>
        <w:gridCol w:w="1701"/>
        <w:gridCol w:w="1701"/>
      </w:tblGrid>
      <w:tr>
        <w:tblPrEx>
          <w:tblCellMar>
            <w:top w:w="0" w:type="dxa"/>
            <w:left w:w="108" w:type="dxa"/>
            <w:bottom w:w="0" w:type="dxa"/>
            <w:right w:w="108" w:type="dxa"/>
          </w:tblCellMar>
        </w:tblPrEx>
        <w:trPr>
          <w:trHeight w:val="34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18"/>
                <w:szCs w:val="18"/>
              </w:rPr>
            </w:pPr>
          </w:p>
        </w:tc>
        <w:tc>
          <w:tcPr>
            <w:tcW w:w="8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水平1</w:t>
            </w:r>
          </w:p>
        </w:tc>
        <w:tc>
          <w:tcPr>
            <w:tcW w:w="8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水平2</w:t>
            </w:r>
          </w:p>
        </w:tc>
        <w:tc>
          <w:tcPr>
            <w:tcW w:w="8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18"/>
                <w:szCs w:val="18"/>
              </w:rPr>
            </w:pPr>
            <w:r>
              <w:rPr>
                <w:rFonts w:hint="eastAsia"/>
                <w:sz w:val="18"/>
                <w:szCs w:val="18"/>
              </w:rPr>
              <w:t>水平3</w:t>
            </w:r>
          </w:p>
        </w:tc>
        <w:tc>
          <w:tcPr>
            <w:tcW w:w="853" w:type="pct"/>
            <w:tcBorders>
              <w:top w:val="single" w:color="auto" w:sz="4" w:space="0"/>
              <w:left w:val="nil"/>
              <w:bottom w:val="single" w:color="auto" w:sz="4" w:space="0"/>
              <w:right w:val="single" w:color="auto" w:sz="4" w:space="0"/>
            </w:tcBorders>
            <w:vAlign w:val="center"/>
          </w:tcPr>
          <w:p>
            <w:pPr>
              <w:widowControl/>
              <w:jc w:val="center"/>
              <w:rPr>
                <w:sz w:val="18"/>
                <w:szCs w:val="18"/>
              </w:rPr>
            </w:pPr>
            <w:r>
              <w:rPr>
                <w:rFonts w:hint="eastAsia"/>
                <w:sz w:val="18"/>
                <w:szCs w:val="18"/>
              </w:rPr>
              <w:t>水平4</w:t>
            </w:r>
          </w:p>
        </w:tc>
        <w:tc>
          <w:tcPr>
            <w:tcW w:w="853" w:type="pct"/>
            <w:tcBorders>
              <w:top w:val="single" w:color="auto" w:sz="4" w:space="0"/>
              <w:left w:val="nil"/>
              <w:bottom w:val="single" w:color="auto" w:sz="4" w:space="0"/>
              <w:right w:val="single" w:color="auto" w:sz="4" w:space="0"/>
            </w:tcBorders>
            <w:vAlign w:val="center"/>
          </w:tcPr>
          <w:p>
            <w:pPr>
              <w:widowControl/>
              <w:jc w:val="center"/>
              <w:rPr>
                <w:sz w:val="18"/>
                <w:szCs w:val="18"/>
              </w:rPr>
            </w:pP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18"/>
                <w:szCs w:val="18"/>
              </w:rPr>
            </w:pPr>
            <w:r>
              <w:rPr>
                <w:rFonts w:hint="eastAsia"/>
                <w:sz w:val="18"/>
                <w:szCs w:val="18"/>
              </w:rPr>
              <w:t>总平均值</w:t>
            </w:r>
          </w:p>
        </w:tc>
        <w:tc>
          <w:tcPr>
            <w:tcW w:w="858"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13.8210</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28.8439</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50.3763</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70.8643</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89.8232</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T1</w:t>
            </w:r>
          </w:p>
        </w:tc>
        <w:tc>
          <w:tcPr>
            <w:tcW w:w="858"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1064.212</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2220.976</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3878.97</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5456.549</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6916.3833</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T2</w:t>
            </w:r>
          </w:p>
        </w:tc>
        <w:tc>
          <w:tcPr>
            <w:tcW w:w="858"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14708.54316</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64061.73368</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195408.4133</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386674.6741</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621251.9589</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T3</w:t>
            </w:r>
          </w:p>
        </w:tc>
        <w:tc>
          <w:tcPr>
            <w:tcW w:w="858"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77</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77</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77</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77</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77</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T4</w:t>
            </w:r>
          </w:p>
        </w:tc>
        <w:tc>
          <w:tcPr>
            <w:tcW w:w="858"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847</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847</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847</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847</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847</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T5</w:t>
            </w:r>
          </w:p>
        </w:tc>
        <w:tc>
          <w:tcPr>
            <w:tcW w:w="858"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3.1363E-01</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8.1343E-01</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color w:val="000000"/>
                <w:sz w:val="18"/>
                <w:szCs w:val="18"/>
              </w:rPr>
              <w:t>1.1318E+00</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1.9666E+00</w:t>
            </w:r>
          </w:p>
        </w:tc>
        <w:tc>
          <w:tcPr>
            <w:tcW w:w="853" w:type="pct"/>
            <w:tcBorders>
              <w:top w:val="nil"/>
              <w:left w:val="nil"/>
              <w:bottom w:val="single" w:color="auto" w:sz="4" w:space="0"/>
              <w:right w:val="single" w:color="auto" w:sz="4" w:space="0"/>
            </w:tcBorders>
          </w:tcPr>
          <w:p>
            <w:pPr>
              <w:jc w:val="center"/>
              <w:rPr>
                <w:color w:val="000000"/>
                <w:sz w:val="18"/>
                <w:szCs w:val="18"/>
              </w:rPr>
            </w:pPr>
            <w:r>
              <w:rPr>
                <w:color w:val="000000"/>
                <w:sz w:val="18"/>
                <w:szCs w:val="18"/>
              </w:rPr>
              <w:t>2.6140E+00</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P</w:t>
            </w:r>
          </w:p>
        </w:tc>
        <w:tc>
          <w:tcPr>
            <w:tcW w:w="858"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7</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rFonts w:hint="eastAsia"/>
                <w:color w:val="000000"/>
                <w:sz w:val="18"/>
                <w:szCs w:val="18"/>
              </w:rPr>
              <w:t>7</w:t>
            </w:r>
          </w:p>
        </w:tc>
        <w:tc>
          <w:tcPr>
            <w:tcW w:w="866" w:type="pct"/>
            <w:tcBorders>
              <w:top w:val="nil"/>
              <w:left w:val="nil"/>
              <w:bottom w:val="single" w:color="auto" w:sz="4" w:space="0"/>
              <w:right w:val="single" w:color="auto" w:sz="4" w:space="0"/>
            </w:tcBorders>
            <w:shd w:val="clear" w:color="auto" w:fill="auto"/>
            <w:noWrap/>
          </w:tcPr>
          <w:p>
            <w:pPr>
              <w:jc w:val="center"/>
              <w:rPr>
                <w:color w:val="000000"/>
                <w:sz w:val="18"/>
                <w:szCs w:val="18"/>
              </w:rPr>
            </w:pPr>
            <w:r>
              <w:rPr>
                <w:rFonts w:hint="eastAsia"/>
                <w:color w:val="000000"/>
                <w:sz w:val="18"/>
                <w:szCs w:val="18"/>
              </w:rPr>
              <w:t>7</w:t>
            </w:r>
          </w:p>
        </w:tc>
        <w:tc>
          <w:tcPr>
            <w:tcW w:w="853" w:type="pct"/>
            <w:tcBorders>
              <w:top w:val="nil"/>
              <w:left w:val="nil"/>
              <w:bottom w:val="single" w:color="auto" w:sz="4" w:space="0"/>
              <w:right w:val="single" w:color="auto" w:sz="4" w:space="0"/>
            </w:tcBorders>
          </w:tcPr>
          <w:p>
            <w:pPr>
              <w:jc w:val="center"/>
              <w:rPr>
                <w:color w:val="000000"/>
                <w:sz w:val="18"/>
                <w:szCs w:val="18"/>
              </w:rPr>
            </w:pPr>
            <w:r>
              <w:rPr>
                <w:rFonts w:hint="eastAsia"/>
                <w:color w:val="000000"/>
                <w:sz w:val="18"/>
                <w:szCs w:val="18"/>
              </w:rPr>
              <w:t>7</w:t>
            </w:r>
          </w:p>
        </w:tc>
        <w:tc>
          <w:tcPr>
            <w:tcW w:w="853" w:type="pct"/>
            <w:tcBorders>
              <w:top w:val="nil"/>
              <w:left w:val="nil"/>
              <w:bottom w:val="single" w:color="auto" w:sz="4" w:space="0"/>
              <w:right w:val="single" w:color="auto" w:sz="4" w:space="0"/>
            </w:tcBorders>
          </w:tcPr>
          <w:p>
            <w:pPr>
              <w:jc w:val="center"/>
              <w:rPr>
                <w:color w:val="000000"/>
                <w:sz w:val="18"/>
                <w:szCs w:val="18"/>
              </w:rPr>
            </w:pPr>
            <w:r>
              <w:rPr>
                <w:rFonts w:hint="eastAsia"/>
                <w:color w:val="000000"/>
                <w:sz w:val="18"/>
                <w:szCs w:val="18"/>
              </w:rPr>
              <w:t>7</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S</w:t>
            </w:r>
            <w:r>
              <w:rPr>
                <w:sz w:val="18"/>
                <w:szCs w:val="18"/>
                <w:vertAlign w:val="subscript"/>
              </w:rPr>
              <w:t>r</w:t>
            </w:r>
            <w:r>
              <w:rPr>
                <w:sz w:val="18"/>
                <w:szCs w:val="18"/>
                <w:vertAlign w:val="superscript"/>
              </w:rPr>
              <w:t>2</w:t>
            </w:r>
          </w:p>
        </w:tc>
        <w:tc>
          <w:tcPr>
            <w:tcW w:w="858"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0.004480434</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0.011620491</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0.01616787</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0.028093912</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0.037342737</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S</w:t>
            </w:r>
            <w:r>
              <w:rPr>
                <w:sz w:val="18"/>
                <w:szCs w:val="18"/>
                <w:vertAlign w:val="subscript"/>
              </w:rPr>
              <w:t>L</w:t>
            </w:r>
            <w:r>
              <w:rPr>
                <w:sz w:val="18"/>
                <w:szCs w:val="18"/>
                <w:vertAlign w:val="superscript"/>
              </w:rPr>
              <w:t>2</w:t>
            </w:r>
          </w:p>
        </w:tc>
        <w:tc>
          <w:tcPr>
            <w:tcW w:w="858"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0.001686774</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0.002702036</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0.006315617</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0.001955554</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0.005043141</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S</w:t>
            </w:r>
            <w:r>
              <w:rPr>
                <w:sz w:val="18"/>
                <w:szCs w:val="18"/>
                <w:vertAlign w:val="subscript"/>
              </w:rPr>
              <w:t>R</w:t>
            </w:r>
            <w:r>
              <w:rPr>
                <w:sz w:val="18"/>
                <w:szCs w:val="18"/>
                <w:vertAlign w:val="superscript"/>
              </w:rPr>
              <w:t>2</w:t>
            </w:r>
          </w:p>
        </w:tc>
        <w:tc>
          <w:tcPr>
            <w:tcW w:w="858"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0.006167208</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0.014322527</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0.022483487</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0.030049465</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0.042385878</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S</w:t>
            </w:r>
            <w:r>
              <w:rPr>
                <w:sz w:val="18"/>
                <w:szCs w:val="18"/>
                <w:vertAlign w:val="subscript"/>
              </w:rPr>
              <w:t>r</w:t>
            </w:r>
          </w:p>
        </w:tc>
        <w:tc>
          <w:tcPr>
            <w:tcW w:w="858"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xml:space="preserve">0.066936 </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xml:space="preserve">0.107798 </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xml:space="preserve">0.127153 </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 xml:space="preserve">0.167612 </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 xml:space="preserve">0.193243 </w:t>
            </w:r>
          </w:p>
        </w:tc>
      </w:tr>
      <w:tr>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S</w:t>
            </w:r>
            <w:r>
              <w:rPr>
                <w:sz w:val="18"/>
                <w:szCs w:val="18"/>
                <w:vertAlign w:val="subscript"/>
              </w:rPr>
              <w:t>R</w:t>
            </w:r>
          </w:p>
        </w:tc>
        <w:tc>
          <w:tcPr>
            <w:tcW w:w="858"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xml:space="preserve">0.078532 </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xml:space="preserve">0.119677 </w:t>
            </w:r>
          </w:p>
        </w:tc>
        <w:tc>
          <w:tcPr>
            <w:tcW w:w="866" w:type="pct"/>
            <w:tcBorders>
              <w:top w:val="nil"/>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 xml:space="preserve">0.149945 </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 xml:space="preserve">0.173348 </w:t>
            </w:r>
          </w:p>
        </w:tc>
        <w:tc>
          <w:tcPr>
            <w:tcW w:w="853" w:type="pct"/>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 xml:space="preserve">0.205878 </w:t>
            </w:r>
          </w:p>
        </w:tc>
      </w:tr>
      <w:tr>
        <w:tblPrEx>
          <w:tblCellMar>
            <w:top w:w="0" w:type="dxa"/>
            <w:left w:w="108" w:type="dxa"/>
            <w:bottom w:w="0" w:type="dxa"/>
            <w:right w:w="108" w:type="dxa"/>
          </w:tblCellMar>
        </w:tblPrEx>
        <w:trPr>
          <w:trHeight w:val="34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r</w:t>
            </w:r>
          </w:p>
        </w:tc>
        <w:tc>
          <w:tcPr>
            <w:tcW w:w="85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0.187421</w:t>
            </w:r>
          </w:p>
        </w:tc>
        <w:tc>
          <w:tcPr>
            <w:tcW w:w="866"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0.301835</w:t>
            </w:r>
          </w:p>
        </w:tc>
        <w:tc>
          <w:tcPr>
            <w:tcW w:w="866"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0.356028</w:t>
            </w:r>
          </w:p>
        </w:tc>
        <w:tc>
          <w:tcPr>
            <w:tcW w:w="853" w:type="pct"/>
            <w:tcBorders>
              <w:top w:val="single" w:color="auto" w:sz="4" w:space="0"/>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0.469315</w:t>
            </w:r>
          </w:p>
        </w:tc>
        <w:tc>
          <w:tcPr>
            <w:tcW w:w="853" w:type="pct"/>
            <w:tcBorders>
              <w:top w:val="single" w:color="auto" w:sz="4" w:space="0"/>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0.541080</w:t>
            </w:r>
          </w:p>
        </w:tc>
      </w:tr>
      <w:tr>
        <w:tblPrEx>
          <w:tblCellMar>
            <w:top w:w="0" w:type="dxa"/>
            <w:left w:w="108" w:type="dxa"/>
            <w:bottom w:w="0" w:type="dxa"/>
            <w:right w:w="108" w:type="dxa"/>
          </w:tblCellMar>
        </w:tblPrEx>
        <w:trPr>
          <w:trHeight w:val="34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 w:val="18"/>
                <w:szCs w:val="18"/>
              </w:rPr>
            </w:pPr>
            <w:r>
              <w:rPr>
                <w:sz w:val="18"/>
                <w:szCs w:val="18"/>
              </w:rPr>
              <w:t>R</w:t>
            </w:r>
          </w:p>
        </w:tc>
        <w:tc>
          <w:tcPr>
            <w:tcW w:w="85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0.219888</w:t>
            </w:r>
          </w:p>
        </w:tc>
        <w:tc>
          <w:tcPr>
            <w:tcW w:w="866"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0.335095</w:t>
            </w:r>
          </w:p>
        </w:tc>
        <w:tc>
          <w:tcPr>
            <w:tcW w:w="866"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 w:val="18"/>
                <w:szCs w:val="18"/>
              </w:rPr>
            </w:pPr>
            <w:r>
              <w:rPr>
                <w:rFonts w:hint="eastAsia"/>
                <w:color w:val="000000"/>
                <w:sz w:val="18"/>
                <w:szCs w:val="18"/>
              </w:rPr>
              <w:t>0.419846</w:t>
            </w:r>
          </w:p>
        </w:tc>
        <w:tc>
          <w:tcPr>
            <w:tcW w:w="853" w:type="pct"/>
            <w:tcBorders>
              <w:top w:val="single" w:color="auto" w:sz="4" w:space="0"/>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0.485374</w:t>
            </w:r>
          </w:p>
        </w:tc>
        <w:tc>
          <w:tcPr>
            <w:tcW w:w="853" w:type="pct"/>
            <w:tcBorders>
              <w:top w:val="single" w:color="auto" w:sz="4" w:space="0"/>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0.576459</w:t>
            </w:r>
          </w:p>
        </w:tc>
      </w:tr>
    </w:tbl>
    <w:p>
      <w:pPr>
        <w:widowControl/>
        <w:spacing w:line="312" w:lineRule="auto"/>
        <w:rPr>
          <w:b/>
          <w:sz w:val="28"/>
          <w:szCs w:val="28"/>
        </w:rPr>
      </w:pPr>
    </w:p>
    <w:p>
      <w:pPr>
        <w:widowControl/>
        <w:jc w:val="left"/>
        <w:rPr>
          <w:b/>
          <w:sz w:val="28"/>
          <w:szCs w:val="28"/>
        </w:rPr>
      </w:pPr>
    </w:p>
    <w:sectPr>
      <w:footerReference r:id="rId4"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4</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5F72"/>
    <w:multiLevelType w:val="singleLevel"/>
    <w:tmpl w:val="93BB5F72"/>
    <w:lvl w:ilvl="0" w:tentative="0">
      <w:start w:val="1"/>
      <w:numFmt w:val="decimal"/>
      <w:suff w:val="nothing"/>
      <w:lvlText w:val="%1、"/>
      <w:lvlJc w:val="left"/>
    </w:lvl>
  </w:abstractNum>
  <w:abstractNum w:abstractNumId="1">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CF3744D"/>
    <w:multiLevelType w:val="multilevel"/>
    <w:tmpl w:val="0CF3744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8D95999"/>
    <w:multiLevelType w:val="multilevel"/>
    <w:tmpl w:val="28D9599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23AB"/>
    <w:rsid w:val="00000843"/>
    <w:rsid w:val="000046B0"/>
    <w:rsid w:val="00006A40"/>
    <w:rsid w:val="00010180"/>
    <w:rsid w:val="00012DB2"/>
    <w:rsid w:val="00013DC2"/>
    <w:rsid w:val="00014853"/>
    <w:rsid w:val="0002096F"/>
    <w:rsid w:val="00022FF0"/>
    <w:rsid w:val="00024B42"/>
    <w:rsid w:val="00026D78"/>
    <w:rsid w:val="00032195"/>
    <w:rsid w:val="000332A6"/>
    <w:rsid w:val="00033691"/>
    <w:rsid w:val="00035035"/>
    <w:rsid w:val="00036C57"/>
    <w:rsid w:val="00046620"/>
    <w:rsid w:val="00046680"/>
    <w:rsid w:val="00047D95"/>
    <w:rsid w:val="00050085"/>
    <w:rsid w:val="0005146E"/>
    <w:rsid w:val="0005350B"/>
    <w:rsid w:val="0006092B"/>
    <w:rsid w:val="00061D34"/>
    <w:rsid w:val="00061D46"/>
    <w:rsid w:val="00062070"/>
    <w:rsid w:val="0006432D"/>
    <w:rsid w:val="0006477B"/>
    <w:rsid w:val="00072756"/>
    <w:rsid w:val="00073C3A"/>
    <w:rsid w:val="00080F70"/>
    <w:rsid w:val="00081A9E"/>
    <w:rsid w:val="00083A57"/>
    <w:rsid w:val="000842C3"/>
    <w:rsid w:val="00085404"/>
    <w:rsid w:val="00091DD9"/>
    <w:rsid w:val="00096C71"/>
    <w:rsid w:val="000A0C8C"/>
    <w:rsid w:val="000A0CA9"/>
    <w:rsid w:val="000A180E"/>
    <w:rsid w:val="000A1CC0"/>
    <w:rsid w:val="000A1DCD"/>
    <w:rsid w:val="000A2986"/>
    <w:rsid w:val="000A54AC"/>
    <w:rsid w:val="000A569E"/>
    <w:rsid w:val="000A5CC2"/>
    <w:rsid w:val="000A7FF3"/>
    <w:rsid w:val="000B14A6"/>
    <w:rsid w:val="000B3127"/>
    <w:rsid w:val="000B3EDA"/>
    <w:rsid w:val="000B605E"/>
    <w:rsid w:val="000C44B2"/>
    <w:rsid w:val="000C44E3"/>
    <w:rsid w:val="000D2045"/>
    <w:rsid w:val="000D30C5"/>
    <w:rsid w:val="000D42C1"/>
    <w:rsid w:val="000D6334"/>
    <w:rsid w:val="000D7360"/>
    <w:rsid w:val="000E068C"/>
    <w:rsid w:val="000E3741"/>
    <w:rsid w:val="000E37CA"/>
    <w:rsid w:val="000E5B60"/>
    <w:rsid w:val="000E6E9C"/>
    <w:rsid w:val="000E7ED5"/>
    <w:rsid w:val="000E7EDF"/>
    <w:rsid w:val="000F1FD1"/>
    <w:rsid w:val="000F224C"/>
    <w:rsid w:val="000F3489"/>
    <w:rsid w:val="0010034F"/>
    <w:rsid w:val="00100B60"/>
    <w:rsid w:val="00100D28"/>
    <w:rsid w:val="00102900"/>
    <w:rsid w:val="00106D48"/>
    <w:rsid w:val="001074F0"/>
    <w:rsid w:val="00110508"/>
    <w:rsid w:val="001115A6"/>
    <w:rsid w:val="00112CBC"/>
    <w:rsid w:val="0011570F"/>
    <w:rsid w:val="00116165"/>
    <w:rsid w:val="00116D8F"/>
    <w:rsid w:val="00121F04"/>
    <w:rsid w:val="00122903"/>
    <w:rsid w:val="001241A8"/>
    <w:rsid w:val="0012792A"/>
    <w:rsid w:val="00131B47"/>
    <w:rsid w:val="001345DA"/>
    <w:rsid w:val="00134E2D"/>
    <w:rsid w:val="00135E64"/>
    <w:rsid w:val="00136064"/>
    <w:rsid w:val="00137D4C"/>
    <w:rsid w:val="001424D5"/>
    <w:rsid w:val="00142CE5"/>
    <w:rsid w:val="001438F6"/>
    <w:rsid w:val="0015171C"/>
    <w:rsid w:val="00151F1C"/>
    <w:rsid w:val="00152747"/>
    <w:rsid w:val="00154608"/>
    <w:rsid w:val="00156452"/>
    <w:rsid w:val="00163B6C"/>
    <w:rsid w:val="001645BF"/>
    <w:rsid w:val="0016567C"/>
    <w:rsid w:val="00166ED4"/>
    <w:rsid w:val="00171087"/>
    <w:rsid w:val="0017147D"/>
    <w:rsid w:val="001742D0"/>
    <w:rsid w:val="00176CA2"/>
    <w:rsid w:val="00181F19"/>
    <w:rsid w:val="00182D22"/>
    <w:rsid w:val="00184C54"/>
    <w:rsid w:val="00186DB8"/>
    <w:rsid w:val="00187FC9"/>
    <w:rsid w:val="0019163F"/>
    <w:rsid w:val="00192E96"/>
    <w:rsid w:val="00194EB2"/>
    <w:rsid w:val="001A02DA"/>
    <w:rsid w:val="001A0910"/>
    <w:rsid w:val="001A1931"/>
    <w:rsid w:val="001A1A3D"/>
    <w:rsid w:val="001A287E"/>
    <w:rsid w:val="001A78A3"/>
    <w:rsid w:val="001B3592"/>
    <w:rsid w:val="001B5781"/>
    <w:rsid w:val="001B6A87"/>
    <w:rsid w:val="001C33D3"/>
    <w:rsid w:val="001C35AF"/>
    <w:rsid w:val="001C4AB5"/>
    <w:rsid w:val="001C5722"/>
    <w:rsid w:val="001C5E29"/>
    <w:rsid w:val="001C6263"/>
    <w:rsid w:val="001D18F0"/>
    <w:rsid w:val="001D1A3E"/>
    <w:rsid w:val="001D200A"/>
    <w:rsid w:val="001D24F0"/>
    <w:rsid w:val="001D57BC"/>
    <w:rsid w:val="001D6080"/>
    <w:rsid w:val="001D783C"/>
    <w:rsid w:val="001D7A87"/>
    <w:rsid w:val="001E7268"/>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F5D"/>
    <w:rsid w:val="00226EC1"/>
    <w:rsid w:val="002344C3"/>
    <w:rsid w:val="00235039"/>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1614"/>
    <w:rsid w:val="0026302B"/>
    <w:rsid w:val="002634A5"/>
    <w:rsid w:val="00263B9F"/>
    <w:rsid w:val="00264880"/>
    <w:rsid w:val="002658D8"/>
    <w:rsid w:val="00270709"/>
    <w:rsid w:val="00271256"/>
    <w:rsid w:val="00273376"/>
    <w:rsid w:val="00273C0B"/>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27DD"/>
    <w:rsid w:val="002F3670"/>
    <w:rsid w:val="002F7D18"/>
    <w:rsid w:val="003017C7"/>
    <w:rsid w:val="00302CA7"/>
    <w:rsid w:val="00305AB4"/>
    <w:rsid w:val="003070AE"/>
    <w:rsid w:val="00311372"/>
    <w:rsid w:val="0031608B"/>
    <w:rsid w:val="00324906"/>
    <w:rsid w:val="0033039A"/>
    <w:rsid w:val="00331DA0"/>
    <w:rsid w:val="003320EC"/>
    <w:rsid w:val="003336E8"/>
    <w:rsid w:val="00333F1C"/>
    <w:rsid w:val="00336817"/>
    <w:rsid w:val="003371FA"/>
    <w:rsid w:val="00340092"/>
    <w:rsid w:val="003402ED"/>
    <w:rsid w:val="003406E3"/>
    <w:rsid w:val="00342CD1"/>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20A1"/>
    <w:rsid w:val="003A334D"/>
    <w:rsid w:val="003A4DF7"/>
    <w:rsid w:val="003A52FF"/>
    <w:rsid w:val="003B3203"/>
    <w:rsid w:val="003B4C78"/>
    <w:rsid w:val="003B65F5"/>
    <w:rsid w:val="003B7E75"/>
    <w:rsid w:val="003B7F17"/>
    <w:rsid w:val="003C0CDA"/>
    <w:rsid w:val="003C1F6D"/>
    <w:rsid w:val="003C25C6"/>
    <w:rsid w:val="003C492E"/>
    <w:rsid w:val="003C5392"/>
    <w:rsid w:val="003C5F0B"/>
    <w:rsid w:val="003C7814"/>
    <w:rsid w:val="003D687D"/>
    <w:rsid w:val="003D79E6"/>
    <w:rsid w:val="003E0A25"/>
    <w:rsid w:val="003E1178"/>
    <w:rsid w:val="003E2665"/>
    <w:rsid w:val="003E47D4"/>
    <w:rsid w:val="003E7121"/>
    <w:rsid w:val="003F03FD"/>
    <w:rsid w:val="003F28C1"/>
    <w:rsid w:val="003F34E7"/>
    <w:rsid w:val="003F5178"/>
    <w:rsid w:val="003F67B0"/>
    <w:rsid w:val="0040009E"/>
    <w:rsid w:val="00400ED1"/>
    <w:rsid w:val="00402FE6"/>
    <w:rsid w:val="00404B49"/>
    <w:rsid w:val="00404E31"/>
    <w:rsid w:val="00405AFC"/>
    <w:rsid w:val="00411827"/>
    <w:rsid w:val="00412EFD"/>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4989"/>
    <w:rsid w:val="00465D91"/>
    <w:rsid w:val="00471A2D"/>
    <w:rsid w:val="00480F24"/>
    <w:rsid w:val="004814CC"/>
    <w:rsid w:val="00483671"/>
    <w:rsid w:val="004837ED"/>
    <w:rsid w:val="0048575A"/>
    <w:rsid w:val="00493E0A"/>
    <w:rsid w:val="0049424A"/>
    <w:rsid w:val="004961DA"/>
    <w:rsid w:val="004A0DC0"/>
    <w:rsid w:val="004A28AA"/>
    <w:rsid w:val="004A2C5B"/>
    <w:rsid w:val="004A3A2A"/>
    <w:rsid w:val="004A513C"/>
    <w:rsid w:val="004B415A"/>
    <w:rsid w:val="004B41B0"/>
    <w:rsid w:val="004B5176"/>
    <w:rsid w:val="004B5F05"/>
    <w:rsid w:val="004C0C60"/>
    <w:rsid w:val="004C144D"/>
    <w:rsid w:val="004C63B3"/>
    <w:rsid w:val="004C6DE0"/>
    <w:rsid w:val="004C707A"/>
    <w:rsid w:val="004D071E"/>
    <w:rsid w:val="004D1285"/>
    <w:rsid w:val="004E0997"/>
    <w:rsid w:val="004E282E"/>
    <w:rsid w:val="004E7AD9"/>
    <w:rsid w:val="004F0AC8"/>
    <w:rsid w:val="004F59CD"/>
    <w:rsid w:val="00503416"/>
    <w:rsid w:val="00503924"/>
    <w:rsid w:val="00503CC1"/>
    <w:rsid w:val="005041BD"/>
    <w:rsid w:val="00505AB2"/>
    <w:rsid w:val="0050616B"/>
    <w:rsid w:val="00511935"/>
    <w:rsid w:val="00512455"/>
    <w:rsid w:val="005139E1"/>
    <w:rsid w:val="00514BE8"/>
    <w:rsid w:val="00515853"/>
    <w:rsid w:val="0051585A"/>
    <w:rsid w:val="005164FF"/>
    <w:rsid w:val="00523439"/>
    <w:rsid w:val="00523BFF"/>
    <w:rsid w:val="00526898"/>
    <w:rsid w:val="005275AB"/>
    <w:rsid w:val="00535E44"/>
    <w:rsid w:val="00540267"/>
    <w:rsid w:val="005421E7"/>
    <w:rsid w:val="0054331E"/>
    <w:rsid w:val="005469A5"/>
    <w:rsid w:val="00546DF5"/>
    <w:rsid w:val="005475AF"/>
    <w:rsid w:val="00551151"/>
    <w:rsid w:val="0055122C"/>
    <w:rsid w:val="00554A02"/>
    <w:rsid w:val="00561BAB"/>
    <w:rsid w:val="0056535D"/>
    <w:rsid w:val="005671B8"/>
    <w:rsid w:val="00570BC3"/>
    <w:rsid w:val="005731B4"/>
    <w:rsid w:val="00573F64"/>
    <w:rsid w:val="005750C3"/>
    <w:rsid w:val="005812BF"/>
    <w:rsid w:val="0058298B"/>
    <w:rsid w:val="00584051"/>
    <w:rsid w:val="00584DCF"/>
    <w:rsid w:val="00587778"/>
    <w:rsid w:val="0059018B"/>
    <w:rsid w:val="00590DF2"/>
    <w:rsid w:val="00591B99"/>
    <w:rsid w:val="00592A0B"/>
    <w:rsid w:val="0059441F"/>
    <w:rsid w:val="00595C2D"/>
    <w:rsid w:val="0059615E"/>
    <w:rsid w:val="00596F20"/>
    <w:rsid w:val="005A433E"/>
    <w:rsid w:val="005A6367"/>
    <w:rsid w:val="005A7FAD"/>
    <w:rsid w:val="005B16F8"/>
    <w:rsid w:val="005B2B1D"/>
    <w:rsid w:val="005B3B2F"/>
    <w:rsid w:val="005B42D0"/>
    <w:rsid w:val="005B4F50"/>
    <w:rsid w:val="005B602A"/>
    <w:rsid w:val="005B65D7"/>
    <w:rsid w:val="005C04B7"/>
    <w:rsid w:val="005C0D74"/>
    <w:rsid w:val="005C1E9B"/>
    <w:rsid w:val="005C2AE2"/>
    <w:rsid w:val="005C2B66"/>
    <w:rsid w:val="005C6623"/>
    <w:rsid w:val="005C6E0A"/>
    <w:rsid w:val="005C76D7"/>
    <w:rsid w:val="005D1372"/>
    <w:rsid w:val="005D255E"/>
    <w:rsid w:val="005D5B2C"/>
    <w:rsid w:val="005D7867"/>
    <w:rsid w:val="005E030E"/>
    <w:rsid w:val="005E2C35"/>
    <w:rsid w:val="005E48F0"/>
    <w:rsid w:val="005E578E"/>
    <w:rsid w:val="005F5169"/>
    <w:rsid w:val="005F6B21"/>
    <w:rsid w:val="005F7971"/>
    <w:rsid w:val="006001C3"/>
    <w:rsid w:val="00600224"/>
    <w:rsid w:val="00607C62"/>
    <w:rsid w:val="00607F6D"/>
    <w:rsid w:val="00610273"/>
    <w:rsid w:val="006102D3"/>
    <w:rsid w:val="00613007"/>
    <w:rsid w:val="00620C94"/>
    <w:rsid w:val="006219A3"/>
    <w:rsid w:val="006237B0"/>
    <w:rsid w:val="006335EA"/>
    <w:rsid w:val="0063380C"/>
    <w:rsid w:val="0063508A"/>
    <w:rsid w:val="00636BDB"/>
    <w:rsid w:val="00636F2E"/>
    <w:rsid w:val="00641E79"/>
    <w:rsid w:val="00642493"/>
    <w:rsid w:val="00642731"/>
    <w:rsid w:val="006437BE"/>
    <w:rsid w:val="00644B14"/>
    <w:rsid w:val="00645CDE"/>
    <w:rsid w:val="00646F53"/>
    <w:rsid w:val="0065133E"/>
    <w:rsid w:val="00653375"/>
    <w:rsid w:val="00653DEA"/>
    <w:rsid w:val="006555BA"/>
    <w:rsid w:val="006562DD"/>
    <w:rsid w:val="00657FDB"/>
    <w:rsid w:val="006619E4"/>
    <w:rsid w:val="0066318E"/>
    <w:rsid w:val="00664107"/>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082A"/>
    <w:rsid w:val="006A1792"/>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C7F01"/>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2B5B"/>
    <w:rsid w:val="00703406"/>
    <w:rsid w:val="00704897"/>
    <w:rsid w:val="007123C8"/>
    <w:rsid w:val="00712513"/>
    <w:rsid w:val="0071397A"/>
    <w:rsid w:val="00713AC2"/>
    <w:rsid w:val="00716A87"/>
    <w:rsid w:val="0071761A"/>
    <w:rsid w:val="00717801"/>
    <w:rsid w:val="0072080A"/>
    <w:rsid w:val="0072235E"/>
    <w:rsid w:val="00723AF6"/>
    <w:rsid w:val="00723B32"/>
    <w:rsid w:val="00723CFC"/>
    <w:rsid w:val="007255D5"/>
    <w:rsid w:val="00726914"/>
    <w:rsid w:val="00726C2F"/>
    <w:rsid w:val="00727AB4"/>
    <w:rsid w:val="00730D42"/>
    <w:rsid w:val="00732BB3"/>
    <w:rsid w:val="007415D6"/>
    <w:rsid w:val="007436BB"/>
    <w:rsid w:val="00745D4F"/>
    <w:rsid w:val="00745DEC"/>
    <w:rsid w:val="00746EF3"/>
    <w:rsid w:val="00747E57"/>
    <w:rsid w:val="00750CFC"/>
    <w:rsid w:val="00752374"/>
    <w:rsid w:val="00752ACC"/>
    <w:rsid w:val="00752FB4"/>
    <w:rsid w:val="00754E21"/>
    <w:rsid w:val="00755B27"/>
    <w:rsid w:val="00764446"/>
    <w:rsid w:val="00766258"/>
    <w:rsid w:val="00771198"/>
    <w:rsid w:val="0077459D"/>
    <w:rsid w:val="0078372D"/>
    <w:rsid w:val="00790EBF"/>
    <w:rsid w:val="007967ED"/>
    <w:rsid w:val="00796FFE"/>
    <w:rsid w:val="007A16E2"/>
    <w:rsid w:val="007A3EDF"/>
    <w:rsid w:val="007A3FC1"/>
    <w:rsid w:val="007A4155"/>
    <w:rsid w:val="007A786C"/>
    <w:rsid w:val="007B1B7D"/>
    <w:rsid w:val="007B23F8"/>
    <w:rsid w:val="007B29F0"/>
    <w:rsid w:val="007B5DB0"/>
    <w:rsid w:val="007B688D"/>
    <w:rsid w:val="007B74F4"/>
    <w:rsid w:val="007B7D0F"/>
    <w:rsid w:val="007C2A43"/>
    <w:rsid w:val="007C35DE"/>
    <w:rsid w:val="007C5B98"/>
    <w:rsid w:val="007D27BC"/>
    <w:rsid w:val="007D4252"/>
    <w:rsid w:val="007D702B"/>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2E22"/>
    <w:rsid w:val="00803152"/>
    <w:rsid w:val="008036B5"/>
    <w:rsid w:val="008039DF"/>
    <w:rsid w:val="00804032"/>
    <w:rsid w:val="008043CF"/>
    <w:rsid w:val="008130E4"/>
    <w:rsid w:val="008148E9"/>
    <w:rsid w:val="00815B0F"/>
    <w:rsid w:val="0082271E"/>
    <w:rsid w:val="00822777"/>
    <w:rsid w:val="00825D21"/>
    <w:rsid w:val="008260E1"/>
    <w:rsid w:val="0082615F"/>
    <w:rsid w:val="00826C6B"/>
    <w:rsid w:val="0083190B"/>
    <w:rsid w:val="00832B3D"/>
    <w:rsid w:val="00835BDA"/>
    <w:rsid w:val="00842D20"/>
    <w:rsid w:val="008459EE"/>
    <w:rsid w:val="0084647D"/>
    <w:rsid w:val="00854C07"/>
    <w:rsid w:val="0086177D"/>
    <w:rsid w:val="00862280"/>
    <w:rsid w:val="00865831"/>
    <w:rsid w:val="00872C9E"/>
    <w:rsid w:val="00873AC3"/>
    <w:rsid w:val="00880BF7"/>
    <w:rsid w:val="00880F82"/>
    <w:rsid w:val="00881B81"/>
    <w:rsid w:val="008A3569"/>
    <w:rsid w:val="008A3C8F"/>
    <w:rsid w:val="008A3FF9"/>
    <w:rsid w:val="008A4E27"/>
    <w:rsid w:val="008B105E"/>
    <w:rsid w:val="008B154E"/>
    <w:rsid w:val="008B6805"/>
    <w:rsid w:val="008C306D"/>
    <w:rsid w:val="008C5E1E"/>
    <w:rsid w:val="008C62B9"/>
    <w:rsid w:val="008C6A2D"/>
    <w:rsid w:val="008C73F2"/>
    <w:rsid w:val="008C754F"/>
    <w:rsid w:val="008D3F5C"/>
    <w:rsid w:val="008D4991"/>
    <w:rsid w:val="008E1C30"/>
    <w:rsid w:val="008E22B8"/>
    <w:rsid w:val="008E23D4"/>
    <w:rsid w:val="008E2B02"/>
    <w:rsid w:val="008E2C62"/>
    <w:rsid w:val="008E340B"/>
    <w:rsid w:val="008F2540"/>
    <w:rsid w:val="008F36C4"/>
    <w:rsid w:val="008F58FF"/>
    <w:rsid w:val="008F5C0C"/>
    <w:rsid w:val="00907A92"/>
    <w:rsid w:val="009118E6"/>
    <w:rsid w:val="009170A7"/>
    <w:rsid w:val="0091772E"/>
    <w:rsid w:val="00920149"/>
    <w:rsid w:val="00920D72"/>
    <w:rsid w:val="0092194B"/>
    <w:rsid w:val="009227CD"/>
    <w:rsid w:val="009254EF"/>
    <w:rsid w:val="009256A5"/>
    <w:rsid w:val="00927C5A"/>
    <w:rsid w:val="009322D7"/>
    <w:rsid w:val="00937C2A"/>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030"/>
    <w:rsid w:val="009938AE"/>
    <w:rsid w:val="00996ADD"/>
    <w:rsid w:val="009A06F2"/>
    <w:rsid w:val="009A2C15"/>
    <w:rsid w:val="009A2C7C"/>
    <w:rsid w:val="009A48B0"/>
    <w:rsid w:val="009A5EF2"/>
    <w:rsid w:val="009B11CC"/>
    <w:rsid w:val="009B1949"/>
    <w:rsid w:val="009B2597"/>
    <w:rsid w:val="009B2744"/>
    <w:rsid w:val="009B79AC"/>
    <w:rsid w:val="009C2CC3"/>
    <w:rsid w:val="009C342C"/>
    <w:rsid w:val="009C5117"/>
    <w:rsid w:val="009C76E1"/>
    <w:rsid w:val="009D2729"/>
    <w:rsid w:val="009E19FB"/>
    <w:rsid w:val="009E2786"/>
    <w:rsid w:val="009E3323"/>
    <w:rsid w:val="009E4222"/>
    <w:rsid w:val="009E437C"/>
    <w:rsid w:val="009E47AE"/>
    <w:rsid w:val="009E4EC4"/>
    <w:rsid w:val="009E532E"/>
    <w:rsid w:val="009E5672"/>
    <w:rsid w:val="009E5F0C"/>
    <w:rsid w:val="009E7658"/>
    <w:rsid w:val="009F3840"/>
    <w:rsid w:val="009F479E"/>
    <w:rsid w:val="009F5C49"/>
    <w:rsid w:val="009F6382"/>
    <w:rsid w:val="009F7A68"/>
    <w:rsid w:val="00A01650"/>
    <w:rsid w:val="00A0169F"/>
    <w:rsid w:val="00A02009"/>
    <w:rsid w:val="00A0302A"/>
    <w:rsid w:val="00A03103"/>
    <w:rsid w:val="00A03DF7"/>
    <w:rsid w:val="00A042AD"/>
    <w:rsid w:val="00A0628D"/>
    <w:rsid w:val="00A07E9D"/>
    <w:rsid w:val="00A1283A"/>
    <w:rsid w:val="00A12D11"/>
    <w:rsid w:val="00A15E61"/>
    <w:rsid w:val="00A17980"/>
    <w:rsid w:val="00A248DD"/>
    <w:rsid w:val="00A25709"/>
    <w:rsid w:val="00A267A6"/>
    <w:rsid w:val="00A27A5C"/>
    <w:rsid w:val="00A3343B"/>
    <w:rsid w:val="00A33712"/>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478B"/>
    <w:rsid w:val="00A551AC"/>
    <w:rsid w:val="00A552B7"/>
    <w:rsid w:val="00A56CCD"/>
    <w:rsid w:val="00A60FC6"/>
    <w:rsid w:val="00A61069"/>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0DFA"/>
    <w:rsid w:val="00A919D8"/>
    <w:rsid w:val="00A976FA"/>
    <w:rsid w:val="00A97C9F"/>
    <w:rsid w:val="00AA2645"/>
    <w:rsid w:val="00AA265A"/>
    <w:rsid w:val="00AA540B"/>
    <w:rsid w:val="00AA6C84"/>
    <w:rsid w:val="00AB10A7"/>
    <w:rsid w:val="00AB171A"/>
    <w:rsid w:val="00AB640E"/>
    <w:rsid w:val="00AC1627"/>
    <w:rsid w:val="00AC20AF"/>
    <w:rsid w:val="00AC3949"/>
    <w:rsid w:val="00AC475D"/>
    <w:rsid w:val="00AC5F01"/>
    <w:rsid w:val="00AD0DDB"/>
    <w:rsid w:val="00AD2E9B"/>
    <w:rsid w:val="00AD7DDD"/>
    <w:rsid w:val="00AE1106"/>
    <w:rsid w:val="00AE24F5"/>
    <w:rsid w:val="00AE3993"/>
    <w:rsid w:val="00AE7126"/>
    <w:rsid w:val="00AE723E"/>
    <w:rsid w:val="00AE728B"/>
    <w:rsid w:val="00AF4693"/>
    <w:rsid w:val="00AF4851"/>
    <w:rsid w:val="00B005C0"/>
    <w:rsid w:val="00B01873"/>
    <w:rsid w:val="00B01E95"/>
    <w:rsid w:val="00B02AD7"/>
    <w:rsid w:val="00B05891"/>
    <w:rsid w:val="00B072E8"/>
    <w:rsid w:val="00B12D3A"/>
    <w:rsid w:val="00B13F4A"/>
    <w:rsid w:val="00B1517C"/>
    <w:rsid w:val="00B154A8"/>
    <w:rsid w:val="00B165C6"/>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47E8"/>
    <w:rsid w:val="00B66F49"/>
    <w:rsid w:val="00B6789F"/>
    <w:rsid w:val="00B7192D"/>
    <w:rsid w:val="00B73279"/>
    <w:rsid w:val="00B774DF"/>
    <w:rsid w:val="00B77D4E"/>
    <w:rsid w:val="00B84471"/>
    <w:rsid w:val="00B84BAD"/>
    <w:rsid w:val="00B853E0"/>
    <w:rsid w:val="00B860E9"/>
    <w:rsid w:val="00B86346"/>
    <w:rsid w:val="00B86C55"/>
    <w:rsid w:val="00B879D0"/>
    <w:rsid w:val="00B917FC"/>
    <w:rsid w:val="00B92BF9"/>
    <w:rsid w:val="00B92F78"/>
    <w:rsid w:val="00B96316"/>
    <w:rsid w:val="00B974DF"/>
    <w:rsid w:val="00B97A1D"/>
    <w:rsid w:val="00B97B35"/>
    <w:rsid w:val="00B97BD9"/>
    <w:rsid w:val="00BA13B3"/>
    <w:rsid w:val="00BA16C8"/>
    <w:rsid w:val="00BA1787"/>
    <w:rsid w:val="00BA17DA"/>
    <w:rsid w:val="00BA5146"/>
    <w:rsid w:val="00BB29B0"/>
    <w:rsid w:val="00BB6830"/>
    <w:rsid w:val="00BB7322"/>
    <w:rsid w:val="00BC1EBE"/>
    <w:rsid w:val="00BC677B"/>
    <w:rsid w:val="00BC6F4A"/>
    <w:rsid w:val="00BC7247"/>
    <w:rsid w:val="00BD1292"/>
    <w:rsid w:val="00BD3E12"/>
    <w:rsid w:val="00BD5075"/>
    <w:rsid w:val="00BE07C9"/>
    <w:rsid w:val="00BE273D"/>
    <w:rsid w:val="00BE4574"/>
    <w:rsid w:val="00BE7122"/>
    <w:rsid w:val="00BF013A"/>
    <w:rsid w:val="00BF1244"/>
    <w:rsid w:val="00BF592D"/>
    <w:rsid w:val="00BF6444"/>
    <w:rsid w:val="00C02390"/>
    <w:rsid w:val="00C027EA"/>
    <w:rsid w:val="00C0333D"/>
    <w:rsid w:val="00C1097A"/>
    <w:rsid w:val="00C15AC4"/>
    <w:rsid w:val="00C16295"/>
    <w:rsid w:val="00C16FCF"/>
    <w:rsid w:val="00C17DCE"/>
    <w:rsid w:val="00C22B43"/>
    <w:rsid w:val="00C22C6B"/>
    <w:rsid w:val="00C24CA2"/>
    <w:rsid w:val="00C27544"/>
    <w:rsid w:val="00C2763A"/>
    <w:rsid w:val="00C30A1B"/>
    <w:rsid w:val="00C317D1"/>
    <w:rsid w:val="00C32990"/>
    <w:rsid w:val="00C33B55"/>
    <w:rsid w:val="00C35D4C"/>
    <w:rsid w:val="00C40DAE"/>
    <w:rsid w:val="00C417FC"/>
    <w:rsid w:val="00C5372F"/>
    <w:rsid w:val="00C57F39"/>
    <w:rsid w:val="00C62684"/>
    <w:rsid w:val="00C63201"/>
    <w:rsid w:val="00C63448"/>
    <w:rsid w:val="00C659BF"/>
    <w:rsid w:val="00C65B29"/>
    <w:rsid w:val="00C66710"/>
    <w:rsid w:val="00C67064"/>
    <w:rsid w:val="00C67724"/>
    <w:rsid w:val="00C76442"/>
    <w:rsid w:val="00C76B98"/>
    <w:rsid w:val="00C831AB"/>
    <w:rsid w:val="00C85A32"/>
    <w:rsid w:val="00C915A4"/>
    <w:rsid w:val="00C92209"/>
    <w:rsid w:val="00C96009"/>
    <w:rsid w:val="00C961D5"/>
    <w:rsid w:val="00C96A7D"/>
    <w:rsid w:val="00CA0C05"/>
    <w:rsid w:val="00CA283F"/>
    <w:rsid w:val="00CA37DA"/>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175B"/>
    <w:rsid w:val="00D14B3A"/>
    <w:rsid w:val="00D23C7C"/>
    <w:rsid w:val="00D2514B"/>
    <w:rsid w:val="00D3251C"/>
    <w:rsid w:val="00D3293E"/>
    <w:rsid w:val="00D34A92"/>
    <w:rsid w:val="00D358A0"/>
    <w:rsid w:val="00D35FAA"/>
    <w:rsid w:val="00D364E8"/>
    <w:rsid w:val="00D37E79"/>
    <w:rsid w:val="00D40031"/>
    <w:rsid w:val="00D40A1C"/>
    <w:rsid w:val="00D41256"/>
    <w:rsid w:val="00D45373"/>
    <w:rsid w:val="00D46973"/>
    <w:rsid w:val="00D5684E"/>
    <w:rsid w:val="00D602F9"/>
    <w:rsid w:val="00D60CF1"/>
    <w:rsid w:val="00D61D4E"/>
    <w:rsid w:val="00D6206F"/>
    <w:rsid w:val="00D627A0"/>
    <w:rsid w:val="00D62BBB"/>
    <w:rsid w:val="00D63D6E"/>
    <w:rsid w:val="00D64543"/>
    <w:rsid w:val="00D65801"/>
    <w:rsid w:val="00D66FE0"/>
    <w:rsid w:val="00D67E36"/>
    <w:rsid w:val="00D75E3E"/>
    <w:rsid w:val="00D77C0E"/>
    <w:rsid w:val="00D812CF"/>
    <w:rsid w:val="00D81811"/>
    <w:rsid w:val="00D81A5C"/>
    <w:rsid w:val="00D92B70"/>
    <w:rsid w:val="00D9464C"/>
    <w:rsid w:val="00D979B0"/>
    <w:rsid w:val="00DA0918"/>
    <w:rsid w:val="00DA2967"/>
    <w:rsid w:val="00DA43A9"/>
    <w:rsid w:val="00DA4676"/>
    <w:rsid w:val="00DA582E"/>
    <w:rsid w:val="00DC60EE"/>
    <w:rsid w:val="00DC72BD"/>
    <w:rsid w:val="00DD33FA"/>
    <w:rsid w:val="00DD3BAF"/>
    <w:rsid w:val="00DD6D4E"/>
    <w:rsid w:val="00DD70C1"/>
    <w:rsid w:val="00DE2AFA"/>
    <w:rsid w:val="00DE4206"/>
    <w:rsid w:val="00DE5071"/>
    <w:rsid w:val="00DE68A7"/>
    <w:rsid w:val="00DE6BD9"/>
    <w:rsid w:val="00DF4E97"/>
    <w:rsid w:val="00E01E44"/>
    <w:rsid w:val="00E02A78"/>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5521"/>
    <w:rsid w:val="00E50610"/>
    <w:rsid w:val="00E50944"/>
    <w:rsid w:val="00E51658"/>
    <w:rsid w:val="00E51966"/>
    <w:rsid w:val="00E52C95"/>
    <w:rsid w:val="00E548C6"/>
    <w:rsid w:val="00E55128"/>
    <w:rsid w:val="00E5542E"/>
    <w:rsid w:val="00E60000"/>
    <w:rsid w:val="00E73FAC"/>
    <w:rsid w:val="00E75019"/>
    <w:rsid w:val="00E76EF5"/>
    <w:rsid w:val="00E861EA"/>
    <w:rsid w:val="00E966A3"/>
    <w:rsid w:val="00E97954"/>
    <w:rsid w:val="00E97A93"/>
    <w:rsid w:val="00EA3F4A"/>
    <w:rsid w:val="00EA4584"/>
    <w:rsid w:val="00EA545B"/>
    <w:rsid w:val="00EA5E1E"/>
    <w:rsid w:val="00EA6FE0"/>
    <w:rsid w:val="00EA7123"/>
    <w:rsid w:val="00EB4B52"/>
    <w:rsid w:val="00EB4EEB"/>
    <w:rsid w:val="00EB6C07"/>
    <w:rsid w:val="00EC2BC3"/>
    <w:rsid w:val="00EC3811"/>
    <w:rsid w:val="00EC4880"/>
    <w:rsid w:val="00EC4AF8"/>
    <w:rsid w:val="00EC4C53"/>
    <w:rsid w:val="00EC6651"/>
    <w:rsid w:val="00EC6F1C"/>
    <w:rsid w:val="00ED0334"/>
    <w:rsid w:val="00ED4979"/>
    <w:rsid w:val="00ED51F7"/>
    <w:rsid w:val="00EE1058"/>
    <w:rsid w:val="00EE1A1C"/>
    <w:rsid w:val="00EE207A"/>
    <w:rsid w:val="00EE32C3"/>
    <w:rsid w:val="00EE37FC"/>
    <w:rsid w:val="00EE43D0"/>
    <w:rsid w:val="00EE4D8B"/>
    <w:rsid w:val="00EE580F"/>
    <w:rsid w:val="00EE7CB8"/>
    <w:rsid w:val="00EF13E4"/>
    <w:rsid w:val="00EF1FFC"/>
    <w:rsid w:val="00EF24D7"/>
    <w:rsid w:val="00EF6149"/>
    <w:rsid w:val="00EF74EC"/>
    <w:rsid w:val="00F017DB"/>
    <w:rsid w:val="00F04B73"/>
    <w:rsid w:val="00F10465"/>
    <w:rsid w:val="00F10BF7"/>
    <w:rsid w:val="00F115A4"/>
    <w:rsid w:val="00F1351E"/>
    <w:rsid w:val="00F13E9D"/>
    <w:rsid w:val="00F147BD"/>
    <w:rsid w:val="00F16864"/>
    <w:rsid w:val="00F16C42"/>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869"/>
    <w:rsid w:val="00F85B7E"/>
    <w:rsid w:val="00F86B2D"/>
    <w:rsid w:val="00F86BC9"/>
    <w:rsid w:val="00F87060"/>
    <w:rsid w:val="00F87499"/>
    <w:rsid w:val="00F87729"/>
    <w:rsid w:val="00F92A5D"/>
    <w:rsid w:val="00F93070"/>
    <w:rsid w:val="00F95351"/>
    <w:rsid w:val="00FA2949"/>
    <w:rsid w:val="00FA3AD1"/>
    <w:rsid w:val="00FA45ED"/>
    <w:rsid w:val="00FB395D"/>
    <w:rsid w:val="00FB5882"/>
    <w:rsid w:val="00FB7CDE"/>
    <w:rsid w:val="00FC1558"/>
    <w:rsid w:val="00FC4C72"/>
    <w:rsid w:val="00FC4F6E"/>
    <w:rsid w:val="00FD01B2"/>
    <w:rsid w:val="00FD1EA7"/>
    <w:rsid w:val="00FD27A1"/>
    <w:rsid w:val="00FD684E"/>
    <w:rsid w:val="00FE26E4"/>
    <w:rsid w:val="00FE33BB"/>
    <w:rsid w:val="00FE3922"/>
    <w:rsid w:val="00FE6B87"/>
    <w:rsid w:val="00FE7DF6"/>
    <w:rsid w:val="00FF595B"/>
    <w:rsid w:val="00FF6D53"/>
    <w:rsid w:val="00FF7642"/>
    <w:rsid w:val="00FF7B8D"/>
    <w:rsid w:val="01D678F7"/>
    <w:rsid w:val="24375CE5"/>
    <w:rsid w:val="272C2997"/>
    <w:rsid w:val="27F4501D"/>
    <w:rsid w:val="3318600B"/>
    <w:rsid w:val="34EB79D4"/>
    <w:rsid w:val="366837D9"/>
    <w:rsid w:val="39BD7A27"/>
    <w:rsid w:val="44F81687"/>
    <w:rsid w:val="493823F6"/>
    <w:rsid w:val="4C787046"/>
    <w:rsid w:val="4CA0721A"/>
    <w:rsid w:val="4DCF5B02"/>
    <w:rsid w:val="51785CC0"/>
    <w:rsid w:val="55833198"/>
    <w:rsid w:val="6B6E2960"/>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Char"/>
    <w:basedOn w:val="90"/>
    <w:link w:val="3"/>
    <w:qFormat/>
    <w:uiPriority w:val="0"/>
    <w:rPr>
      <w:b/>
      <w:bCs/>
      <w:kern w:val="44"/>
      <w:sz w:val="44"/>
      <w:szCs w:val="44"/>
    </w:rPr>
  </w:style>
  <w:style w:type="character" w:customStyle="1" w:styleId="109">
    <w:name w:val="标题 2 Char"/>
    <w:basedOn w:val="90"/>
    <w:link w:val="4"/>
    <w:qFormat/>
    <w:uiPriority w:val="0"/>
    <w:rPr>
      <w:rFonts w:ascii="Arial" w:hAnsi="Arial" w:eastAsia="黑体"/>
      <w:b/>
      <w:bCs/>
      <w:kern w:val="2"/>
      <w:sz w:val="32"/>
      <w:szCs w:val="32"/>
    </w:rPr>
  </w:style>
  <w:style w:type="character" w:customStyle="1" w:styleId="110">
    <w:name w:val="标题 3 Char"/>
    <w:basedOn w:val="90"/>
    <w:link w:val="5"/>
    <w:qFormat/>
    <w:uiPriority w:val="0"/>
    <w:rPr>
      <w:b/>
      <w:bCs/>
      <w:kern w:val="2"/>
      <w:sz w:val="32"/>
      <w:szCs w:val="32"/>
    </w:rPr>
  </w:style>
  <w:style w:type="character" w:customStyle="1" w:styleId="111">
    <w:name w:val="标题 4 Char"/>
    <w:basedOn w:val="90"/>
    <w:link w:val="6"/>
    <w:qFormat/>
    <w:uiPriority w:val="0"/>
    <w:rPr>
      <w:rFonts w:ascii="Arial" w:hAnsi="Arial" w:eastAsia="黑体"/>
      <w:b/>
      <w:bCs/>
      <w:kern w:val="2"/>
      <w:sz w:val="28"/>
      <w:szCs w:val="28"/>
    </w:rPr>
  </w:style>
  <w:style w:type="character" w:customStyle="1" w:styleId="112">
    <w:name w:val="标题 5 Char"/>
    <w:basedOn w:val="90"/>
    <w:link w:val="7"/>
    <w:qFormat/>
    <w:uiPriority w:val="0"/>
    <w:rPr>
      <w:b/>
      <w:bCs/>
      <w:kern w:val="2"/>
      <w:sz w:val="28"/>
      <w:szCs w:val="28"/>
    </w:rPr>
  </w:style>
  <w:style w:type="character" w:customStyle="1" w:styleId="113">
    <w:name w:val="标题 6 Char"/>
    <w:basedOn w:val="90"/>
    <w:link w:val="8"/>
    <w:qFormat/>
    <w:uiPriority w:val="0"/>
    <w:rPr>
      <w:rFonts w:ascii="Arial" w:hAnsi="Arial" w:eastAsia="黑体"/>
      <w:b/>
      <w:bCs/>
      <w:kern w:val="2"/>
      <w:sz w:val="24"/>
      <w:szCs w:val="24"/>
    </w:rPr>
  </w:style>
  <w:style w:type="character" w:customStyle="1" w:styleId="114">
    <w:name w:val="标题 7 Char"/>
    <w:basedOn w:val="90"/>
    <w:link w:val="9"/>
    <w:qFormat/>
    <w:uiPriority w:val="0"/>
    <w:rPr>
      <w:b/>
      <w:bCs/>
      <w:kern w:val="2"/>
      <w:sz w:val="24"/>
      <w:szCs w:val="24"/>
    </w:rPr>
  </w:style>
  <w:style w:type="character" w:customStyle="1" w:styleId="115">
    <w:name w:val="标题 8 Char"/>
    <w:basedOn w:val="90"/>
    <w:link w:val="10"/>
    <w:qFormat/>
    <w:uiPriority w:val="0"/>
    <w:rPr>
      <w:rFonts w:ascii="Arial" w:hAnsi="Arial" w:eastAsia="黑体"/>
      <w:kern w:val="2"/>
      <w:sz w:val="24"/>
      <w:szCs w:val="24"/>
    </w:rPr>
  </w:style>
  <w:style w:type="character" w:customStyle="1" w:styleId="116">
    <w:name w:val="标题 9 Char"/>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Char"/>
    <w:basedOn w:val="90"/>
    <w:link w:val="28"/>
    <w:qFormat/>
    <w:uiPriority w:val="0"/>
    <w:rPr>
      <w:kern w:val="2"/>
      <w:sz w:val="21"/>
      <w:szCs w:val="21"/>
    </w:rPr>
  </w:style>
  <w:style w:type="character" w:customStyle="1" w:styleId="123">
    <w:name w:val="页眉 Char"/>
    <w:basedOn w:val="90"/>
    <w:link w:val="57"/>
    <w:qFormat/>
    <w:uiPriority w:val="0"/>
    <w:rPr>
      <w:kern w:val="2"/>
      <w:sz w:val="18"/>
      <w:szCs w:val="24"/>
    </w:rPr>
  </w:style>
  <w:style w:type="character" w:customStyle="1" w:styleId="124">
    <w:name w:val="页脚 Char"/>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Char"/>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Char"/>
    <w:basedOn w:val="90"/>
    <w:link w:val="50"/>
    <w:qFormat/>
    <w:uiPriority w:val="0"/>
    <w:rPr>
      <w:kern w:val="2"/>
      <w:sz w:val="21"/>
      <w:szCs w:val="24"/>
    </w:rPr>
  </w:style>
  <w:style w:type="character" w:customStyle="1" w:styleId="132">
    <w:name w:val="HTML 预设格式 Char"/>
    <w:basedOn w:val="90"/>
    <w:link w:val="80"/>
    <w:qFormat/>
    <w:uiPriority w:val="99"/>
    <w:rPr>
      <w:rFonts w:ascii="宋体" w:hAnsi="宋体" w:cs="宋体"/>
      <w:sz w:val="24"/>
      <w:szCs w:val="24"/>
    </w:rPr>
  </w:style>
  <w:style w:type="character" w:customStyle="1" w:styleId="133">
    <w:name w:val="纯文本 Char"/>
    <w:basedOn w:val="90"/>
    <w:link w:val="45"/>
    <w:qFormat/>
    <w:uiPriority w:val="0"/>
    <w:rPr>
      <w:rFonts w:ascii="宋体" w:hAnsi="Courier New" w:cs="Courier New"/>
      <w:kern w:val="2"/>
      <w:sz w:val="21"/>
      <w:szCs w:val="21"/>
    </w:rPr>
  </w:style>
  <w:style w:type="character" w:customStyle="1" w:styleId="134">
    <w:name w:val="批注主题 Char"/>
    <w:basedOn w:val="122"/>
    <w:link w:val="85"/>
    <w:qFormat/>
    <w:uiPriority w:val="0"/>
    <w:rPr>
      <w:b/>
      <w:bCs/>
      <w:kern w:val="2"/>
      <w:sz w:val="21"/>
      <w:szCs w:val="24"/>
    </w:rPr>
  </w:style>
  <w:style w:type="character" w:customStyle="1" w:styleId="135">
    <w:name w:val="批注框文本 Char"/>
    <w:basedOn w:val="90"/>
    <w:link w:val="54"/>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Char"/>
    <w:basedOn w:val="90"/>
    <w:link w:val="2"/>
    <w:qFormat/>
    <w:uiPriority w:val="0"/>
    <w:rPr>
      <w:rFonts w:ascii="Courier New" w:hAnsi="Courier New" w:cs="Courier New"/>
      <w:kern w:val="2"/>
      <w:sz w:val="24"/>
      <w:szCs w:val="24"/>
    </w:rPr>
  </w:style>
  <w:style w:type="character" w:customStyle="1" w:styleId="155">
    <w:name w:val="正文文本 Char"/>
    <w:basedOn w:val="90"/>
    <w:link w:val="34"/>
    <w:qFormat/>
    <w:uiPriority w:val="0"/>
    <w:rPr>
      <w:kern w:val="2"/>
      <w:sz w:val="21"/>
      <w:szCs w:val="24"/>
    </w:rPr>
  </w:style>
  <w:style w:type="character" w:customStyle="1" w:styleId="156">
    <w:name w:val="正文首行缩进 Char"/>
    <w:basedOn w:val="155"/>
    <w:link w:val="86"/>
    <w:qFormat/>
    <w:uiPriority w:val="0"/>
    <w:rPr>
      <w:kern w:val="2"/>
      <w:sz w:val="21"/>
      <w:szCs w:val="24"/>
    </w:rPr>
  </w:style>
  <w:style w:type="character" w:customStyle="1" w:styleId="157">
    <w:name w:val="正文文本缩进 Char"/>
    <w:basedOn w:val="90"/>
    <w:link w:val="35"/>
    <w:qFormat/>
    <w:uiPriority w:val="0"/>
    <w:rPr>
      <w:kern w:val="2"/>
      <w:sz w:val="21"/>
      <w:szCs w:val="24"/>
    </w:rPr>
  </w:style>
  <w:style w:type="character" w:customStyle="1" w:styleId="158">
    <w:name w:val="正文首行缩进 2 Char"/>
    <w:basedOn w:val="157"/>
    <w:link w:val="87"/>
    <w:qFormat/>
    <w:uiPriority w:val="0"/>
    <w:rPr>
      <w:kern w:val="2"/>
      <w:sz w:val="21"/>
      <w:szCs w:val="24"/>
    </w:rPr>
  </w:style>
  <w:style w:type="character" w:customStyle="1" w:styleId="159">
    <w:name w:val="文档结构图 Char"/>
    <w:basedOn w:val="90"/>
    <w:link w:val="26"/>
    <w:qFormat/>
    <w:uiPriority w:val="0"/>
    <w:rPr>
      <w:kern w:val="2"/>
      <w:sz w:val="21"/>
      <w:szCs w:val="24"/>
      <w:shd w:val="clear" w:color="auto" w:fill="000080"/>
    </w:rPr>
  </w:style>
  <w:style w:type="character" w:customStyle="1" w:styleId="160">
    <w:name w:val="正文文本 3 Char"/>
    <w:basedOn w:val="90"/>
    <w:link w:val="31"/>
    <w:qFormat/>
    <w:uiPriority w:val="0"/>
    <w:rPr>
      <w:kern w:val="2"/>
      <w:sz w:val="16"/>
      <w:szCs w:val="16"/>
    </w:rPr>
  </w:style>
  <w:style w:type="character" w:customStyle="1" w:styleId="161">
    <w:name w:val="HTML 地址 Char"/>
    <w:basedOn w:val="90"/>
    <w:link w:val="41"/>
    <w:qFormat/>
    <w:uiPriority w:val="0"/>
    <w:rPr>
      <w:i/>
      <w:iCs/>
      <w:kern w:val="2"/>
      <w:sz w:val="21"/>
      <w:szCs w:val="24"/>
    </w:rPr>
  </w:style>
  <w:style w:type="character" w:customStyle="1" w:styleId="162">
    <w:name w:val="正文文本缩进 3 Char"/>
    <w:basedOn w:val="90"/>
    <w:link w:val="70"/>
    <w:qFormat/>
    <w:uiPriority w:val="0"/>
    <w:rPr>
      <w:kern w:val="2"/>
      <w:sz w:val="16"/>
      <w:szCs w:val="16"/>
    </w:rPr>
  </w:style>
  <w:style w:type="character" w:customStyle="1" w:styleId="163">
    <w:name w:val="电子邮件签名 Char"/>
    <w:basedOn w:val="90"/>
    <w:link w:val="19"/>
    <w:qFormat/>
    <w:uiPriority w:val="0"/>
    <w:rPr>
      <w:kern w:val="2"/>
      <w:sz w:val="21"/>
      <w:szCs w:val="24"/>
    </w:rPr>
  </w:style>
  <w:style w:type="character" w:customStyle="1" w:styleId="164">
    <w:name w:val="签名 Char"/>
    <w:basedOn w:val="90"/>
    <w:link w:val="58"/>
    <w:qFormat/>
    <w:uiPriority w:val="0"/>
    <w:rPr>
      <w:kern w:val="2"/>
      <w:sz w:val="21"/>
      <w:szCs w:val="24"/>
    </w:rPr>
  </w:style>
  <w:style w:type="character" w:customStyle="1" w:styleId="165">
    <w:name w:val="脚注文本 Char"/>
    <w:basedOn w:val="90"/>
    <w:link w:val="67"/>
    <w:qFormat/>
    <w:uiPriority w:val="0"/>
    <w:rPr>
      <w:kern w:val="2"/>
      <w:sz w:val="18"/>
      <w:szCs w:val="18"/>
    </w:rPr>
  </w:style>
  <w:style w:type="character" w:customStyle="1" w:styleId="166">
    <w:name w:val="注释标题 Char"/>
    <w:basedOn w:val="90"/>
    <w:link w:val="16"/>
    <w:qFormat/>
    <w:uiPriority w:val="0"/>
    <w:rPr>
      <w:kern w:val="2"/>
      <w:sz w:val="21"/>
      <w:szCs w:val="24"/>
    </w:rPr>
  </w:style>
  <w:style w:type="character" w:customStyle="1" w:styleId="167">
    <w:name w:val="正文文本 2 Char"/>
    <w:basedOn w:val="90"/>
    <w:link w:val="76"/>
    <w:qFormat/>
    <w:uiPriority w:val="0"/>
    <w:rPr>
      <w:kern w:val="2"/>
      <w:sz w:val="21"/>
      <w:szCs w:val="24"/>
    </w:rPr>
  </w:style>
  <w:style w:type="character" w:customStyle="1" w:styleId="168">
    <w:name w:val="称呼 Char"/>
    <w:basedOn w:val="90"/>
    <w:link w:val="30"/>
    <w:qFormat/>
    <w:uiPriority w:val="0"/>
    <w:rPr>
      <w:kern w:val="2"/>
      <w:sz w:val="21"/>
      <w:szCs w:val="24"/>
    </w:rPr>
  </w:style>
  <w:style w:type="character" w:customStyle="1" w:styleId="169">
    <w:name w:val="尾注文本 Char"/>
    <w:basedOn w:val="90"/>
    <w:link w:val="52"/>
    <w:qFormat/>
    <w:uiPriority w:val="0"/>
    <w:rPr>
      <w:kern w:val="2"/>
      <w:sz w:val="21"/>
      <w:szCs w:val="24"/>
    </w:rPr>
  </w:style>
  <w:style w:type="character" w:customStyle="1" w:styleId="170">
    <w:name w:val="结束语 Char"/>
    <w:basedOn w:val="90"/>
    <w:link w:val="32"/>
    <w:qFormat/>
    <w:uiPriority w:val="0"/>
    <w:rPr>
      <w:kern w:val="2"/>
      <w:sz w:val="21"/>
      <w:szCs w:val="24"/>
    </w:rPr>
  </w:style>
  <w:style w:type="character" w:customStyle="1" w:styleId="171">
    <w:name w:val="正文文本缩进 2 Char"/>
    <w:basedOn w:val="90"/>
    <w:link w:val="51"/>
    <w:qFormat/>
    <w:uiPriority w:val="0"/>
    <w:rPr>
      <w:kern w:val="2"/>
      <w:sz w:val="21"/>
      <w:szCs w:val="24"/>
    </w:rPr>
  </w:style>
  <w:style w:type="character" w:customStyle="1" w:styleId="172">
    <w:name w:val="副标题 Char"/>
    <w:basedOn w:val="90"/>
    <w:link w:val="64"/>
    <w:qFormat/>
    <w:uiPriority w:val="0"/>
    <w:rPr>
      <w:rFonts w:ascii="Arial" w:hAnsi="Arial" w:cs="Arial"/>
      <w:b/>
      <w:bCs/>
      <w:kern w:val="28"/>
      <w:sz w:val="32"/>
      <w:szCs w:val="32"/>
    </w:rPr>
  </w:style>
  <w:style w:type="character" w:customStyle="1" w:styleId="173">
    <w:name w:val="信息标题 Char"/>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font31"/>
    <w:basedOn w:val="90"/>
    <w:qFormat/>
    <w:uiPriority w:val="0"/>
    <w:rPr>
      <w:rFonts w:hint="default" w:ascii="Times New Roman" w:hAnsi="Times New Roman" w:cs="Times New Roman"/>
      <w:color w:val="000000"/>
      <w:sz w:val="28"/>
      <w:szCs w:val="28"/>
      <w:u w:val="none"/>
    </w:rPr>
  </w:style>
  <w:style w:type="character" w:customStyle="1" w:styleId="253">
    <w:name w:val="font21"/>
    <w:basedOn w:val="90"/>
    <w:uiPriority w:val="0"/>
    <w:rPr>
      <w:rFonts w:hint="eastAsia" w:ascii="宋体" w:hAnsi="宋体" w:eastAsia="宋体" w:cs="宋体"/>
      <w:color w:val="000000"/>
      <w:sz w:val="28"/>
      <w:szCs w:val="28"/>
      <w:u w:val="none"/>
    </w:rPr>
  </w:style>
  <w:style w:type="paragraph" w:customStyle="1" w:styleId="254">
    <w:name w:val="修订1"/>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9B42A-F870-4039-9ED4-D0FC7D8A5A64}">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12</Pages>
  <Words>2147</Words>
  <Characters>12238</Characters>
  <Lines>101</Lines>
  <Paragraphs>28</Paragraphs>
  <TotalTime>47</TotalTime>
  <ScaleCrop>false</ScaleCrop>
  <LinksUpToDate>false</LinksUpToDate>
  <CharactersWithSpaces>14357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2021-01-04T14:15:00Z</dcterms:created>
  <dc:creator>zljy05</dc:creator>
  <cp:lastModifiedBy>高兰</cp:lastModifiedBy>
  <cp:lastPrinted>2018-08-20T12:57:00Z</cp:lastPrinted>
  <dcterms:modified xsi:type="dcterms:W3CDTF">2021-07-21T09:18:17Z</dcterms:modified>
  <dc:title>再生锌化学分析方法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D033CB16BA7940F8ACCC9B65FD6A595C</vt:lpwstr>
  </property>
</Properties>
</file>