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val="0"/>
          <w:bCs w:val="0"/>
          <w:w w:val="90"/>
          <w:sz w:val="32"/>
          <w:szCs w:val="32"/>
        </w:rPr>
      </w:pPr>
      <w:r>
        <w:rPr>
          <w:rFonts w:hint="eastAsia" w:ascii="黑体" w:hAnsi="黑体" w:eastAsia="黑体" w:cs="黑体"/>
          <w:b w:val="0"/>
          <w:bCs w:val="0"/>
          <w:w w:val="90"/>
          <w:sz w:val="32"/>
          <w:szCs w:val="32"/>
          <w:lang w:eastAsia="zh-CN"/>
        </w:rPr>
        <w:t>稀土国家标准</w:t>
      </w:r>
      <w:r>
        <w:rPr>
          <w:rFonts w:ascii="黑体" w:hAnsi="黑体" w:eastAsia="黑体" w:cs="黑体"/>
          <w:b w:val="0"/>
          <w:bCs w:val="0"/>
          <w:w w:val="90"/>
          <w:sz w:val="32"/>
          <w:szCs w:val="32"/>
        </w:rPr>
        <w:t>《</w:t>
      </w:r>
      <w:r>
        <w:rPr>
          <w:rFonts w:hint="eastAsia" w:ascii="黑体" w:hAnsi="黑体" w:eastAsia="黑体" w:cs="黑体"/>
          <w:b w:val="0"/>
          <w:bCs w:val="0"/>
          <w:w w:val="90"/>
          <w:sz w:val="32"/>
          <w:szCs w:val="32"/>
        </w:rPr>
        <w:t xml:space="preserve">稀土铁合金化学分析方法 </w:t>
      </w:r>
      <w:r>
        <w:rPr>
          <w:rFonts w:ascii="黑体" w:hAnsi="黑体" w:eastAsia="黑体" w:cs="黑体"/>
          <w:b w:val="0"/>
          <w:bCs w:val="0"/>
          <w:w w:val="90"/>
          <w:sz w:val="32"/>
          <w:szCs w:val="32"/>
        </w:rPr>
        <w:t>第</w:t>
      </w:r>
      <w:r>
        <w:rPr>
          <w:rFonts w:hint="eastAsia" w:ascii="黑体" w:hAnsi="黑体" w:eastAsia="黑体" w:cs="黑体"/>
          <w:b w:val="0"/>
          <w:bCs w:val="0"/>
          <w:w w:val="90"/>
          <w:sz w:val="32"/>
          <w:szCs w:val="32"/>
          <w:lang w:val="en-US" w:eastAsia="zh-CN"/>
        </w:rPr>
        <w:t>2</w:t>
      </w:r>
      <w:r>
        <w:rPr>
          <w:rFonts w:ascii="黑体" w:hAnsi="黑体" w:eastAsia="黑体" w:cs="黑体"/>
          <w:b w:val="0"/>
          <w:bCs w:val="0"/>
          <w:w w:val="90"/>
          <w:sz w:val="32"/>
          <w:szCs w:val="32"/>
        </w:rPr>
        <w:t>部分：</w:t>
      </w:r>
      <w:r>
        <w:rPr>
          <w:rFonts w:hint="eastAsia" w:ascii="黑体" w:hAnsi="黑体" w:eastAsia="黑体" w:cs="黑体"/>
          <w:b w:val="0"/>
          <w:bCs w:val="0"/>
          <w:w w:val="90"/>
          <w:sz w:val="32"/>
          <w:szCs w:val="32"/>
        </w:rPr>
        <w:t xml:space="preserve">稀土杂质含量的测定 </w:t>
      </w:r>
    </w:p>
    <w:p>
      <w:pPr>
        <w:spacing w:line="480" w:lineRule="auto"/>
        <w:jc w:val="center"/>
        <w:rPr>
          <w:rFonts w:ascii="黑体" w:hAnsi="黑体" w:eastAsia="黑体" w:cs="黑体"/>
          <w:b w:val="0"/>
          <w:bCs w:val="0"/>
          <w:sz w:val="32"/>
          <w:szCs w:val="32"/>
        </w:rPr>
      </w:pPr>
      <w:r>
        <w:rPr>
          <w:rFonts w:hint="eastAsia" w:ascii="黑体" w:hAnsi="黑体" w:eastAsia="黑体" w:cs="黑体"/>
          <w:b w:val="0"/>
          <w:bCs w:val="0"/>
          <w:w w:val="90"/>
          <w:sz w:val="32"/>
          <w:szCs w:val="32"/>
        </w:rPr>
        <w:t>电感耦合等离子体原子发射光谱法</w:t>
      </w:r>
      <w:r>
        <w:rPr>
          <w:rFonts w:hint="eastAsia" w:ascii="黑体" w:hAnsi="黑体" w:eastAsia="黑体" w:cs="黑体"/>
          <w:b w:val="0"/>
          <w:bCs w:val="0"/>
          <w:w w:val="90"/>
          <w:sz w:val="32"/>
          <w:szCs w:val="32"/>
          <w:lang w:val="en-US" w:eastAsia="zh-CN"/>
        </w:rPr>
        <w:t xml:space="preserve"> </w:t>
      </w:r>
      <w:r>
        <w:rPr>
          <w:rFonts w:ascii="黑体" w:hAnsi="黑体" w:eastAsia="黑体" w:cs="黑体"/>
          <w:b w:val="0"/>
          <w:bCs w:val="0"/>
          <w:w w:val="90"/>
          <w:sz w:val="32"/>
          <w:szCs w:val="32"/>
        </w:rPr>
        <w:t>》</w:t>
      </w:r>
      <w:r>
        <w:rPr>
          <w:rFonts w:hint="eastAsia" w:ascii="黑体" w:hAnsi="黑体" w:eastAsia="黑体" w:cs="黑体"/>
          <w:b w:val="0"/>
          <w:bCs w:val="0"/>
          <w:w w:val="90"/>
          <w:sz w:val="32"/>
          <w:szCs w:val="32"/>
        </w:rPr>
        <w:t>（</w:t>
      </w:r>
      <w:r>
        <w:rPr>
          <w:rFonts w:hint="eastAsia" w:ascii="黑体" w:hAnsi="黑体" w:eastAsia="黑体" w:cs="黑体"/>
          <w:b w:val="0"/>
          <w:bCs w:val="0"/>
          <w:w w:val="90"/>
          <w:sz w:val="32"/>
          <w:szCs w:val="32"/>
          <w:lang w:eastAsia="zh-CN"/>
        </w:rPr>
        <w:t>送审稿</w:t>
      </w:r>
      <w:r>
        <w:rPr>
          <w:rFonts w:hint="eastAsia" w:ascii="黑体" w:hAnsi="黑体" w:eastAsia="黑体" w:cs="黑体"/>
          <w:b w:val="0"/>
          <w:bCs w:val="0"/>
          <w:w w:val="90"/>
          <w:sz w:val="32"/>
          <w:szCs w:val="32"/>
        </w:rPr>
        <w:t>）</w:t>
      </w:r>
      <w:r>
        <w:rPr>
          <w:rFonts w:ascii="黑体" w:hAnsi="黑体" w:eastAsia="黑体" w:cs="黑体"/>
          <w:b w:val="0"/>
          <w:bCs w:val="0"/>
          <w:w w:val="90"/>
          <w:sz w:val="32"/>
          <w:szCs w:val="32"/>
        </w:rPr>
        <w:t>编制说明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 w:val="0"/>
          <w:bCs/>
          <w:sz w:val="24"/>
          <w:highlight w:val="none"/>
        </w:rPr>
      </w:pPr>
      <w:r>
        <w:rPr>
          <w:rFonts w:hint="eastAsia" w:ascii="黑体" w:hAnsi="宋体" w:eastAsia="黑体"/>
          <w:b w:val="0"/>
          <w:bCs/>
          <w:sz w:val="24"/>
          <w:highlight w:val="none"/>
        </w:rPr>
        <w:t>一、工作简况</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b w:val="0"/>
          <w:bCs/>
          <w:highlight w:val="none"/>
        </w:rPr>
      </w:pPr>
      <w:r>
        <w:rPr>
          <w:rFonts w:hint="eastAsia" w:hAnsi="黑体"/>
          <w:b w:val="0"/>
          <w:bCs/>
          <w:highlight w:val="none"/>
        </w:rPr>
        <w:t>（一）</w:t>
      </w:r>
      <w:r>
        <w:rPr>
          <w:rFonts w:hAnsi="黑体"/>
          <w:b w:val="0"/>
          <w:bCs/>
          <w:highlight w:val="none"/>
        </w:rPr>
        <w:t>任务来源</w:t>
      </w:r>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textAlignment w:val="auto"/>
        <w:rPr>
          <w:rFonts w:ascii="黑体" w:hAnsi="黑体" w:eastAsia="黑体"/>
          <w:b w:val="0"/>
          <w:bCs/>
          <w:highlight w:val="yellow"/>
        </w:rPr>
      </w:pPr>
      <w:r>
        <w:rPr>
          <w:rFonts w:hint="eastAsia" w:ascii="黑体" w:hAnsi="黑体" w:eastAsia="黑体"/>
          <w:b w:val="0"/>
          <w:bCs/>
          <w:highlight w:val="none"/>
        </w:rPr>
        <w:t>1、计划批复</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Cs w:val="21"/>
          <w:lang w:eastAsia="zh-CN"/>
        </w:rPr>
      </w:pPr>
      <w:r>
        <w:rPr>
          <w:rFonts w:hint="eastAsia"/>
          <w:szCs w:val="21"/>
          <w:lang w:eastAsia="zh-CN"/>
        </w:rPr>
        <w:t>20</w:t>
      </w:r>
      <w:r>
        <w:rPr>
          <w:rFonts w:hint="eastAsia"/>
          <w:szCs w:val="21"/>
          <w:lang w:val="en-US" w:eastAsia="zh-CN"/>
        </w:rPr>
        <w:t>20</w:t>
      </w:r>
      <w:r>
        <w:rPr>
          <w:rFonts w:hint="eastAsia"/>
          <w:szCs w:val="21"/>
          <w:lang w:eastAsia="zh-CN"/>
        </w:rPr>
        <w:t>年</w:t>
      </w:r>
      <w:r>
        <w:rPr>
          <w:rFonts w:hint="eastAsia"/>
          <w:szCs w:val="21"/>
          <w:lang w:val="en-US" w:eastAsia="zh-CN"/>
        </w:rPr>
        <w:t>3</w:t>
      </w:r>
      <w:r>
        <w:rPr>
          <w:rFonts w:hint="eastAsia"/>
          <w:szCs w:val="21"/>
          <w:lang w:eastAsia="zh-CN"/>
        </w:rPr>
        <w:t>月，根据《国家标准化管理委员会关于下达</w:t>
      </w:r>
      <w:r>
        <w:rPr>
          <w:rFonts w:hint="eastAsia"/>
          <w:szCs w:val="21"/>
          <w:lang w:val="en-US" w:eastAsia="zh-CN"/>
        </w:rPr>
        <w:t>2020年推荐性国家标准计划（修订）的通知</w:t>
      </w:r>
      <w:r>
        <w:rPr>
          <w:rFonts w:hint="eastAsia"/>
          <w:szCs w:val="21"/>
          <w:lang w:eastAsia="zh-CN"/>
        </w:rPr>
        <w:t>》（国标委发[20</w:t>
      </w:r>
      <w:r>
        <w:rPr>
          <w:rFonts w:hint="eastAsia"/>
          <w:szCs w:val="21"/>
          <w:lang w:val="en-US" w:eastAsia="zh-CN"/>
        </w:rPr>
        <w:t>20</w:t>
      </w:r>
      <w:r>
        <w:rPr>
          <w:rFonts w:hint="eastAsia"/>
          <w:szCs w:val="21"/>
          <w:lang w:eastAsia="zh-CN"/>
        </w:rPr>
        <w:t>]</w:t>
      </w:r>
      <w:r>
        <w:rPr>
          <w:rFonts w:hint="eastAsia"/>
          <w:szCs w:val="21"/>
          <w:lang w:val="en-US" w:eastAsia="zh-CN"/>
        </w:rPr>
        <w:t>6</w:t>
      </w:r>
      <w:r>
        <w:rPr>
          <w:rFonts w:hint="eastAsia"/>
          <w:szCs w:val="21"/>
          <w:lang w:eastAsia="zh-CN"/>
        </w:rPr>
        <w:t xml:space="preserve">号文件）的要求，原国家标准GB/T </w:t>
      </w:r>
      <w:r>
        <w:rPr>
          <w:rFonts w:hint="eastAsia"/>
          <w:szCs w:val="21"/>
          <w:lang w:val="en-US" w:eastAsia="zh-CN"/>
        </w:rPr>
        <w:t>26416.2-2010</w:t>
      </w:r>
      <w:r>
        <w:rPr>
          <w:rFonts w:hint="eastAsia"/>
          <w:szCs w:val="21"/>
          <w:lang w:eastAsia="zh-CN"/>
        </w:rPr>
        <w:t>《镝铁合金化学分析方法</w:t>
      </w:r>
      <w:r>
        <w:rPr>
          <w:rFonts w:hint="eastAsia"/>
          <w:szCs w:val="21"/>
          <w:lang w:val="en-US" w:eastAsia="zh-CN"/>
        </w:rPr>
        <w:t xml:space="preserve"> 第2部分：稀土杂质含量的测定 电感耦合等离子发射光谱法</w:t>
      </w:r>
      <w:r>
        <w:rPr>
          <w:rFonts w:hint="eastAsia"/>
          <w:szCs w:val="21"/>
          <w:lang w:eastAsia="zh-CN"/>
        </w:rPr>
        <w:t>》修订计划下达，项目计划修订名称为《稀土铁合金化学分析方法</w:t>
      </w:r>
      <w:r>
        <w:rPr>
          <w:rFonts w:hint="eastAsia"/>
          <w:szCs w:val="21"/>
          <w:lang w:val="en-US" w:eastAsia="zh-CN"/>
        </w:rPr>
        <w:t xml:space="preserve"> 第2部分：稀土杂质含量的测定 电感耦合等离子体原子发射光谱法</w:t>
      </w:r>
      <w:r>
        <w:rPr>
          <w:rFonts w:hint="eastAsia"/>
          <w:szCs w:val="21"/>
          <w:lang w:eastAsia="zh-CN"/>
        </w:rPr>
        <w:t>》，标准由全国稀土标准化技术委员会（SAC/TC 229）提出并归口，由江西南方稀土高技术股份有限公司牵头起草，项目计划编号为20</w:t>
      </w:r>
      <w:r>
        <w:rPr>
          <w:rFonts w:hint="eastAsia"/>
          <w:szCs w:val="21"/>
          <w:lang w:val="en-US" w:eastAsia="zh-CN"/>
        </w:rPr>
        <w:t>20</w:t>
      </w:r>
      <w:r>
        <w:rPr>
          <w:rFonts w:hint="eastAsia"/>
          <w:szCs w:val="21"/>
          <w:lang w:eastAsia="zh-CN"/>
        </w:rPr>
        <w:t>08</w:t>
      </w:r>
      <w:r>
        <w:rPr>
          <w:rFonts w:hint="eastAsia"/>
          <w:szCs w:val="21"/>
          <w:lang w:val="en-US" w:eastAsia="zh-CN"/>
        </w:rPr>
        <w:t>59</w:t>
      </w:r>
      <w:r>
        <w:rPr>
          <w:rFonts w:hint="eastAsia"/>
          <w:szCs w:val="21"/>
          <w:lang w:eastAsia="zh-CN"/>
        </w:rPr>
        <w:t>-T-469，研制周期为18个月。</w:t>
      </w:r>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textAlignment w:val="auto"/>
        <w:rPr>
          <w:rFonts w:ascii="黑体" w:hAnsi="黑体" w:eastAsia="黑体"/>
          <w:b w:val="0"/>
          <w:bCs w:val="0"/>
        </w:rPr>
      </w:pPr>
      <w:r>
        <w:rPr>
          <w:rFonts w:hint="eastAsia" w:ascii="黑体" w:hAnsi="黑体" w:eastAsia="黑体"/>
          <w:b w:val="0"/>
          <w:bCs w:val="0"/>
        </w:rPr>
        <w:t>2、项目编制组单位及变化情况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Cs w:val="21"/>
        </w:rPr>
      </w:pPr>
      <w:r>
        <w:rPr>
          <w:rFonts w:hint="eastAsia"/>
          <w:szCs w:val="21"/>
        </w:rPr>
        <w:t>编制组成员包括赣州有色冶金研究所</w:t>
      </w:r>
      <w:r>
        <w:rPr>
          <w:rFonts w:hint="eastAsia"/>
          <w:szCs w:val="21"/>
          <w:lang w:eastAsia="zh-CN"/>
        </w:rPr>
        <w:t>、江苏金石稀土有限公司、国标（北京）检验认证有限公司、甘肃稀土新材料股份有限公司检测中心、包头天和磁材科技股份有限公司</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eastAsiaTheme="minorEastAsia"/>
          <w:lang w:val="en-US" w:eastAsia="zh-CN"/>
        </w:rPr>
      </w:pPr>
      <w:r>
        <w:rPr>
          <w:rFonts w:hint="eastAsia"/>
          <w:szCs w:val="21"/>
        </w:rPr>
        <w:t>虔东稀土集团股份有限公司</w:t>
      </w:r>
      <w:r>
        <w:rPr>
          <w:rFonts w:hint="eastAsia"/>
          <w:szCs w:val="21"/>
          <w:lang w:eastAsia="zh-CN"/>
        </w:rPr>
        <w:t>（二元稀土铁合金），因联系多家单位均无法提供试验样品，质疑该类产品在市场中的占有量，报稀标委秘书处批准后，取消了二元稀土铁合金暂时纳入修订整合计划，</w:t>
      </w:r>
      <w:r>
        <w:rPr>
          <w:rFonts w:hint="eastAsia"/>
          <w:szCs w:val="21"/>
        </w:rPr>
        <w:t>虔东稀土集团股份有限公司</w:t>
      </w:r>
      <w:r>
        <w:rPr>
          <w:rFonts w:hint="eastAsia"/>
          <w:szCs w:val="21"/>
          <w:lang w:eastAsia="zh-CN"/>
        </w:rPr>
        <w:t>因此退出了</w:t>
      </w:r>
      <w:r>
        <w:rPr>
          <w:rFonts w:hint="eastAsia"/>
          <w:szCs w:val="21"/>
        </w:rPr>
        <w:t>编制</w:t>
      </w:r>
      <w:r>
        <w:rPr>
          <w:rFonts w:hint="eastAsia"/>
          <w:szCs w:val="21"/>
          <w:lang w:eastAsia="zh-CN"/>
        </w:rPr>
        <w:t>工作。国合通用测试评价认证股份有限公司与国标（北京）检验认证有限公司为同系统单位，经该系统内部调整报标委会秘书处批准后改为国标（北京）检验认证有限公司参与编制工作</w:t>
      </w:r>
      <w:r>
        <w:rPr>
          <w:szCs w:val="21"/>
        </w:rPr>
        <w:t>。</w:t>
      </w:r>
      <w:r>
        <w:rPr>
          <w:rFonts w:hint="eastAsia"/>
          <w:szCs w:val="21"/>
          <w:lang w:eastAsia="zh-CN"/>
        </w:rPr>
        <w:t>中国测试技术研究院生物研究所，因单位涉密等原因，无法参与编制工作，报标委会秘书处批准后同意其退出编制工作。</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b w:val="0"/>
          <w:bCs w:val="0"/>
          <w:highlight w:val="yellow"/>
        </w:rPr>
      </w:pPr>
      <w:r>
        <w:rPr>
          <w:rFonts w:hint="eastAsia" w:hAnsi="黑体"/>
          <w:b w:val="0"/>
          <w:bCs w:val="0"/>
          <w:highlight w:val="none"/>
        </w:rPr>
        <w:t>（二）</w:t>
      </w:r>
      <w:bookmarkStart w:id="0" w:name="_Toc451633880"/>
      <w:r>
        <w:rPr>
          <w:rFonts w:hint="eastAsia" w:hAnsi="黑体"/>
          <w:b w:val="0"/>
          <w:bCs w:val="0"/>
          <w:highlight w:val="none"/>
        </w:rPr>
        <w:t>主要参加单位及其所做的工作</w:t>
      </w:r>
      <w:bookmarkEnd w:id="0"/>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textAlignment w:val="auto"/>
        <w:rPr>
          <w:rFonts w:hint="eastAsia" w:ascii="宋体" w:hAnsi="宋体" w:eastAsia="宋体" w:cs="宋体"/>
          <w:b w:val="0"/>
          <w:bCs w:val="0"/>
          <w:highlight w:val="none"/>
        </w:rPr>
      </w:pPr>
      <w:bookmarkStart w:id="1" w:name="_Toc451633881"/>
      <w:r>
        <w:rPr>
          <w:rFonts w:hint="eastAsia" w:ascii="黑体" w:hAnsi="黑体" w:eastAsia="黑体" w:cs="黑体"/>
          <w:b w:val="0"/>
          <w:bCs w:val="0"/>
          <w:highlight w:val="none"/>
          <w:lang w:val="en-US" w:eastAsia="zh-CN"/>
        </w:rPr>
        <w:t>1、</w:t>
      </w:r>
      <w:r>
        <w:rPr>
          <w:rFonts w:hint="eastAsia" w:ascii="黑体" w:hAnsi="黑体" w:eastAsia="黑体" w:cs="黑体"/>
          <w:b w:val="0"/>
          <w:bCs w:val="0"/>
          <w:highlight w:val="none"/>
        </w:rPr>
        <w:t>主要参加单位情况</w:t>
      </w:r>
      <w:bookmarkEnd w:id="1"/>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Cs w:val="21"/>
          <w:lang w:eastAsia="zh-CN"/>
        </w:rPr>
      </w:pPr>
      <w:r>
        <w:rPr>
          <w:rFonts w:hint="eastAsia"/>
          <w:szCs w:val="21"/>
          <w:lang w:eastAsia="zh-CN"/>
        </w:rPr>
        <w:t>本文件分别由江西南方稀土高技术股份有限公司、赣州有色冶金研究所、江苏金石稀土有限公司、国标（北京）检验认证有限公司、甘肃稀土新材料股份有限公司检测中心、包头天和磁材科技股份有限公司六家单位共同编制。各单位及分工情况介绍如下：</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szCs w:val="21"/>
          <w:lang w:eastAsia="zh-CN"/>
        </w:rPr>
      </w:pPr>
      <w:r>
        <w:rPr>
          <w:rFonts w:hint="eastAsia" w:ascii="宋体" w:hAnsi="宋体" w:eastAsia="宋体" w:cs="宋体"/>
          <w:b/>
          <w:bCs/>
          <w:szCs w:val="21"/>
          <w:lang w:eastAsia="zh-CN"/>
        </w:rPr>
        <w:t>江西南方稀土高技术股份有限公司，</w:t>
      </w:r>
      <w:r>
        <w:rPr>
          <w:rFonts w:hint="eastAsia" w:ascii="宋体" w:hAnsi="宋体" w:eastAsia="宋体" w:cs="宋体"/>
          <w:szCs w:val="21"/>
          <w:lang w:eastAsia="zh-CN"/>
        </w:rPr>
        <w:t>是负责本项目的牵头起草单位，公司成立于2001年，是以赣州有色冶金研究所为主发起人（56%），联合湖南稀土金属材料研究院（15%）,赣州南方稀土矿冶有限责任公司（15%），中科三环高技术股份有限公司（8%），中国有色金属进出口江西公司（2%），中铝金属贸易有限公司（2%），中国有色金属工业科技开发交流中心（2%）六家共同发起设立的国有控股股份有限公司。公司致力于稀土产品的开发研究，取得了多项重大成果，获得了国家、省部级奖励17项，完成国家、省部级科研项目34项，申请了多项专利技术，成为国内外稀土行业具有相当影响力和竞争力的企业之一。公司目前已形成年产3000吨稀土金属及稀土合金产品的规模，具备先进的生产工艺和雄厚的技术力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江西南方稀土高技术股份有限公司在标准修订整合过程中，负责提出标准修订整合的试验方案、试验报告，负责统一样品的制备与发放，汇总精密度数据，并进行数据处理，随后与编制组成员单位共同形成标准征求意见稿，负责进行了广泛的意见征集，整理形成了标准预审稿、标准编制说明等。</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江苏金石稀土有限公司</w:t>
      </w:r>
      <w:r>
        <w:rPr>
          <w:rFonts w:hint="eastAsia" w:ascii="宋体" w:hAnsi="宋体" w:eastAsia="宋体" w:cs="宋体"/>
          <w:szCs w:val="21"/>
          <w:lang w:eastAsia="zh-CN"/>
        </w:rPr>
        <w:t>，国家级高新技术企业，江苏省工业企业质量信用等级AAA级企业，中国稀土行业协会认定为信用等级AAA级，建于1996年，隶属于中国煤炭地质总局，是国资委管理下的三级央企。企业坐落于江苏徐州沛县境内，厂区占地60余亩，累计投资14000万元，是江苏省甚至华东地区最大的稀土金属生产企业，拥有多种稀土金属及合金出口资质，连续多年享有商务部下达的稀土产品出口配额，建有三条具有国内先进水平的稀土金属冶炼生产线，年产各类稀土金属及合金2500吨，主要产品有金属钕、金属镨、金属镧、金属镝、镨钕金属、镨钕镝金属、镝铁合金、钆铁合金等。2019年被江苏省工业和信息化厅、江苏省科技厅、江苏省发展和改革委员会、江苏省财政厅、江苏省税务局和南京海关联合认定江苏省“企业技术中心”。该单位是本项目的一级验证单位，按照试验报告的要求对各条件试验开展了验证工作，对各试验条件给出了结论，对统一样品进行了分析，提供了精密度数据，对标准的适用性给出了结论。在整个标准的起草过程中发挥了非常重要的作用。</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szCs w:val="21"/>
          <w:lang w:eastAsia="zh-CN"/>
        </w:rPr>
      </w:pPr>
      <w:r>
        <w:rPr>
          <w:rFonts w:hint="eastAsia" w:ascii="宋体" w:hAnsi="宋体" w:eastAsia="宋体" w:cs="宋体"/>
          <w:b/>
          <w:bCs/>
          <w:szCs w:val="21"/>
          <w:lang w:eastAsia="zh-CN"/>
        </w:rPr>
        <w:t>赣州有色冶金研究所</w:t>
      </w:r>
      <w:r>
        <w:rPr>
          <w:rFonts w:hint="eastAsia" w:ascii="宋体" w:hAnsi="宋体" w:eastAsia="宋体" w:cs="宋体"/>
          <w:b/>
          <w:bCs/>
        </w:rPr>
        <w:t>有限公司</w:t>
      </w:r>
      <w:r>
        <w:rPr>
          <w:rFonts w:hint="eastAsia" w:ascii="宋体" w:hAnsi="宋体" w:eastAsia="宋体" w:cs="宋体"/>
          <w:lang w:val="en-US" w:eastAsia="zh-CN"/>
        </w:rPr>
        <w:t>，</w:t>
      </w:r>
      <w:r>
        <w:rPr>
          <w:rFonts w:hint="eastAsia" w:ascii="宋体" w:hAnsi="宋体" w:eastAsia="宋体" w:cs="宋体"/>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先后承担各类科研项目2300多项，取得科研成果1200余项，其中获国家发明奖6项，国家科技进步奖13项，省部级科技奖励300多项；授权专利77件，其中，发明专利21件；赣州有色冶金研究所有限公司分析检测中心是从事金属材料、有色矿产品、环境和地质等样品检测以及分析测试技术研究的专业机构。承主持和参与制（修）订钨、稀土、钽铌等有色金属矿及其制品和分析检测方法国家标准105项，行业标准40项。</w:t>
      </w:r>
      <w:r>
        <w:rPr>
          <w:rFonts w:hint="eastAsia" w:ascii="宋体" w:hAnsi="宋体" w:eastAsia="宋体" w:cs="宋体"/>
          <w:szCs w:val="21"/>
          <w:lang w:eastAsia="zh-CN"/>
        </w:rPr>
        <w:t>该单位是本项目的一级验证单位，按照试验报告的要求对各条件试验开展了验证工作，对各试验条件给出了结论，对统一样品进行了分析，提供了精密度数据，对标准的适用性给出了结论。在整个标准的起草过程中发挥了非常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国标（北京）检验认证有限公司</w:t>
      </w:r>
      <w:r>
        <w:rPr>
          <w:rFonts w:hint="eastAsia" w:ascii="宋体" w:hAnsi="宋体" w:eastAsia="宋体" w:cs="宋体"/>
          <w:szCs w:val="21"/>
          <w:lang w:eastAsia="zh-CN"/>
        </w:rPr>
        <w:t>（简称国标公司，英文简称GTC），是中国权威的第三方检验认证服务机构，致力于为客户提供一站式质量保障服务。公司前身为北京有色金属研究总院分析测试技术研究所，同时运行管理着“国家有色金属质量监督检验中心”和“国家有色金属及电子材料分析测试中心”，分别由原国家质量技术监督局于1985年批准建立和原国家科委于1983年批准建立。国标公司通过ISO 17025实验室国家认可(CNAS)、中国计量认证(CMA)、实验室审查认可（CAL）、培训机构资质认证（NTC）等，是国家工业与信息化部挂牌“有色金属标准样品定点研制单位（YSRK 07-2014）”、 “多晶硅行业准入检测测评实验室”、“工业(有色金属及半导体材料)产品质量控制及评价实验室”；中国有色金属工业协会认定的“有色金属失效分析行业重点实验室”；中关村高新技术企业园区挂牌的开放实验室；“航天器材料质量保证机构”；中国船级社检测和试验机构；同时是中国有色金属学会理化检验学术委员会、中国稀土学会理化检验专业委员会的主任委员单位。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甘肃稀土新材料股份有限公司检测中心</w:t>
      </w:r>
      <w:r>
        <w:rPr>
          <w:rFonts w:hint="eastAsia" w:ascii="宋体" w:hAnsi="宋体" w:eastAsia="宋体" w:cs="宋体"/>
          <w:szCs w:val="21"/>
          <w:lang w:eastAsia="zh-CN"/>
        </w:rPr>
        <w:t>创建于1969年，前身为甘肃稀土公司中心化验室，2012年5月11日更名为甘肃稀土新材料股份有限公司检测中心,隶属于甘肃稀土新材料股份有限公司。检测中心现有专职检测人员42名，占股份公司总人数的2.5%，</w:t>
      </w:r>
      <w:r>
        <w:rPr>
          <w:rFonts w:hint="eastAsia" w:ascii="宋体" w:hAnsi="宋体" w:eastAsia="宋体" w:cs="宋体"/>
          <w:szCs w:val="21"/>
          <w:lang w:val="en-US" w:eastAsia="zh-CN"/>
        </w:rPr>
        <w:t>中级职称13</w:t>
      </w:r>
      <w:r>
        <w:rPr>
          <w:rFonts w:hint="eastAsia" w:ascii="宋体" w:hAnsi="宋体" w:eastAsia="宋体" w:cs="宋体"/>
          <w:szCs w:val="21"/>
          <w:lang w:eastAsia="zh-CN"/>
        </w:rPr>
        <w:t>名。检测中心总面积为3000多平方米，环境及设施能够满足一般化学检测和精密仪检测器检测的要求，安全设施符合有关规定。中心设有化学检测组、光谱检测组、物理检测组及综合组。有化学药品库、样品储藏室等，能够进行相关项目的检测和研发实验。2013年通过CNAS认证。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包头天和磁材科技股份有限公司</w:t>
      </w:r>
      <w:r>
        <w:rPr>
          <w:rFonts w:hint="eastAsia" w:ascii="宋体" w:hAnsi="宋体" w:eastAsia="宋体" w:cs="宋体"/>
          <w:szCs w:val="21"/>
          <w:lang w:eastAsia="zh-CN"/>
        </w:rPr>
        <w:t>，简称“天和磁材”，创立于2008年，是专业研发、生产和销售高性能稀土永磁材料的重点高新技术企业、科技创新型企业。天和磁材主营稀土永磁钕铁硼（NdFeB）和钐钴（SmCo）。天和磁材万吨生产基地，坐落于世界稀土之都包头，拥有从稀土原料供应-毛坯生产-完成品加工-表面处理的稀土永磁生产全产业链。加之先进的生产技术，高端产品的生产和研发能力，关键设备的设计和制造能力，使得天和磁材在不断发展壮大的过程中，形成了原料供应、技术创新、产能规模和质量成本等核心优势。天和磁材产品节能环保，广泛应用于新能源汽车及汽车零部件、风力发电、节能家电、轨道交通、智能制造、航空航天、计算机及各类消费电子等领域。未来，天和磁材将坚持可持续发展理念，以自主技术研发创新为核心，充分依托包头稀土全产业链，深耕高性能稀土永磁材料领域，巩固质量及品牌优势，弘扬工匠精神，打造“百年天和”，努力成长为稀土永磁材料行业的全球领导者。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0" w:firstLineChars="200"/>
        <w:jc w:val="left"/>
        <w:rPr>
          <w:rFonts w:hint="eastAsia" w:ascii="宋体" w:hAnsi="宋体" w:eastAsia="宋体" w:cs="宋体"/>
          <w:kern w:val="2"/>
          <w:sz w:val="21"/>
          <w:lang w:eastAsia="zh-CN"/>
        </w:rPr>
      </w:pPr>
      <w:r>
        <w:rPr>
          <w:rFonts w:hint="eastAsia" w:ascii="宋体" w:hAnsi="宋体" w:eastAsia="宋体" w:cs="宋体"/>
          <w:kern w:val="2"/>
          <w:sz w:val="21"/>
          <w:lang w:eastAsia="zh-CN"/>
        </w:rPr>
        <w:t>任何标准的研制他不能是孤军奋战，只有依靠团队的力量才能做到更加完善。</w:t>
      </w:r>
      <w:r>
        <w:rPr>
          <w:rFonts w:hint="eastAsia" w:ascii="宋体" w:hAnsi="宋体" w:eastAsia="宋体" w:cs="宋体"/>
          <w:kern w:val="2"/>
          <w:sz w:val="21"/>
          <w:lang w:val="en-US" w:eastAsia="zh-CN"/>
        </w:rPr>
        <w:t xml:space="preserve"> 所以我相信在我们这个团队的共同努力下</w:t>
      </w:r>
      <w:r>
        <w:rPr>
          <w:rFonts w:hint="eastAsia" w:ascii="宋体" w:hAnsi="宋体" w:eastAsia="宋体" w:cs="宋体"/>
          <w:kern w:val="2"/>
          <w:sz w:val="21"/>
          <w:lang w:eastAsia="zh-CN"/>
        </w:rPr>
        <w:t>《稀土铁合金化学分析方法 第</w:t>
      </w:r>
      <w:r>
        <w:rPr>
          <w:rFonts w:hint="eastAsia" w:ascii="宋体" w:hAnsi="宋体" w:eastAsia="宋体" w:cs="宋体"/>
          <w:kern w:val="2"/>
          <w:sz w:val="21"/>
          <w:lang w:val="en-US" w:eastAsia="zh-CN"/>
        </w:rPr>
        <w:t>2</w:t>
      </w:r>
      <w:r>
        <w:rPr>
          <w:rFonts w:hint="eastAsia" w:ascii="宋体" w:hAnsi="宋体" w:eastAsia="宋体" w:cs="宋体"/>
          <w:kern w:val="2"/>
          <w:sz w:val="21"/>
          <w:lang w:eastAsia="zh-CN"/>
        </w:rPr>
        <w:t>部分：稀土杂质含量的测定 电感耦合等离子体原子发射光谱法》的修订整合任务必将顺利、高质量的完成。</w:t>
      </w:r>
    </w:p>
    <w:p>
      <w:pPr>
        <w:numPr>
          <w:ilvl w:val="0"/>
          <w:numId w:val="1"/>
        </w:numPr>
        <w:spacing w:line="312" w:lineRule="auto"/>
        <w:jc w:val="left"/>
        <w:rPr>
          <w:rFonts w:hint="eastAsia" w:ascii="黑体" w:hAnsi="黑体" w:eastAsia="黑体" w:cs="黑体"/>
          <w:b w:val="0"/>
          <w:bCs w:val="0"/>
          <w:highlight w:val="none"/>
          <w:lang w:eastAsia="zh-CN"/>
        </w:rPr>
      </w:pPr>
      <w:r>
        <w:rPr>
          <w:rFonts w:hint="eastAsia" w:ascii="黑体" w:hAnsi="黑体" w:eastAsia="黑体" w:cs="黑体"/>
          <w:b w:val="0"/>
          <w:bCs w:val="0"/>
          <w:highlight w:val="none"/>
        </w:rPr>
        <w:t>主要</w:t>
      </w:r>
      <w:r>
        <w:rPr>
          <w:rFonts w:hint="eastAsia" w:ascii="黑体" w:hAnsi="黑体" w:eastAsia="黑体" w:cs="黑体"/>
          <w:b w:val="0"/>
          <w:bCs w:val="0"/>
          <w:highlight w:val="none"/>
          <w:lang w:eastAsia="zh-CN"/>
        </w:rPr>
        <w:t>工作成员及承担工作情况</w:t>
      </w:r>
    </w:p>
    <w:p>
      <w:pPr>
        <w:numPr>
          <w:ilvl w:val="0"/>
          <w:numId w:val="0"/>
        </w:numPr>
        <w:spacing w:line="312" w:lineRule="auto"/>
        <w:ind w:firstLine="420" w:firstLineChars="200"/>
        <w:jc w:val="left"/>
        <w:rPr>
          <w:rFonts w:hint="eastAsia" w:ascii="Times New Roman" w:cs="Times New Roman"/>
          <w:kern w:val="2"/>
          <w:sz w:val="21"/>
        </w:rPr>
      </w:pPr>
      <w:r>
        <w:rPr>
          <w:rFonts w:hint="eastAsia" w:ascii="Times New Roman" w:cs="Times New Roman"/>
          <w:kern w:val="2"/>
          <w:sz w:val="21"/>
        </w:rPr>
        <w:t>本标准主要起草人及</w:t>
      </w:r>
      <w:r>
        <w:rPr>
          <w:rFonts w:hint="eastAsia" w:ascii="宋体" w:hAnsi="宋体" w:eastAsia="宋体" w:cs="宋体"/>
          <w:highlight w:val="none"/>
          <w:lang w:eastAsia="zh-CN"/>
        </w:rPr>
        <w:t>承担</w:t>
      </w:r>
      <w:r>
        <w:rPr>
          <w:rFonts w:hint="eastAsia" w:ascii="Times New Roman" w:cs="Times New Roman"/>
          <w:kern w:val="2"/>
          <w:sz w:val="21"/>
        </w:rPr>
        <w:t>工作</w:t>
      </w:r>
      <w:r>
        <w:rPr>
          <w:rFonts w:hint="eastAsia" w:ascii="Times New Roman" w:cs="Times New Roman"/>
          <w:kern w:val="2"/>
          <w:sz w:val="21"/>
          <w:lang w:eastAsia="zh-CN"/>
        </w:rPr>
        <w:t>情况</w:t>
      </w:r>
      <w:r>
        <w:rPr>
          <w:rFonts w:hint="eastAsia" w:ascii="Times New Roman" w:cs="Times New Roman"/>
          <w:kern w:val="2"/>
          <w:sz w:val="21"/>
        </w:rPr>
        <w:t>见表1。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Times New Roman" w:cs="Times New Roman" w:eastAsiaTheme="minorEastAsia"/>
          <w:b w:val="0"/>
          <w:bCs w:val="0"/>
          <w:kern w:val="2"/>
          <w:sz w:val="21"/>
          <w:lang w:eastAsia="zh-CN"/>
        </w:rPr>
      </w:pPr>
      <w:r>
        <w:rPr>
          <w:rFonts w:hint="eastAsia" w:ascii="黑体" w:hAnsi="黑体" w:eastAsia="黑体" w:cs="黑体"/>
          <w:b w:val="0"/>
          <w:bCs w:val="0"/>
          <w:kern w:val="2"/>
          <w:sz w:val="21"/>
        </w:rPr>
        <w:t>表1 主要起草人及</w:t>
      </w:r>
      <w:r>
        <w:rPr>
          <w:rFonts w:hint="eastAsia" w:ascii="黑体" w:hAnsi="黑体" w:eastAsia="黑体" w:cs="黑体"/>
          <w:b w:val="0"/>
          <w:bCs w:val="0"/>
          <w:highlight w:val="none"/>
          <w:lang w:eastAsia="zh-CN"/>
        </w:rPr>
        <w:t>承担</w:t>
      </w:r>
      <w:r>
        <w:rPr>
          <w:rFonts w:hint="eastAsia" w:ascii="黑体" w:hAnsi="黑体" w:eastAsia="黑体" w:cs="黑体"/>
          <w:b w:val="0"/>
          <w:bCs w:val="0"/>
          <w:kern w:val="2"/>
          <w:sz w:val="21"/>
        </w:rPr>
        <w:t>工作</w:t>
      </w:r>
      <w:r>
        <w:rPr>
          <w:rFonts w:hint="eastAsia" w:ascii="黑体" w:hAnsi="黑体" w:eastAsia="黑体" w:cs="黑体"/>
          <w:b w:val="0"/>
          <w:bCs w:val="0"/>
          <w:kern w:val="2"/>
          <w:sz w:val="21"/>
          <w:lang w:eastAsia="zh-CN"/>
        </w:rPr>
        <w:t>情况</w:t>
      </w:r>
    </w:p>
    <w:tbl>
      <w:tblPr>
        <w:tblStyle w:val="9"/>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912"/>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参与起草单位</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起草人</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江西南方稀土高技术股份有限公司</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温世杰</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rPr>
            </w:pPr>
            <w:r>
              <w:rPr>
                <w:rFonts w:hint="eastAsia" w:ascii="宋体" w:hAnsi="宋体" w:eastAsia="宋体" w:cs="宋体"/>
                <w:kern w:val="2"/>
                <w:sz w:val="18"/>
                <w:szCs w:val="18"/>
                <w:vertAlign w:val="baseline"/>
                <w:lang w:val="en-US" w:eastAsia="zh-CN"/>
              </w:rPr>
              <w:t>组织整合修订前调研、设计整合修订方案、完成各统一样品及标准的制备、组织完成各条件及精密度试验、组织完成各单位原始数据汇总分析和处理、组织征集意见、编写试验报告及相关材料。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陈绯宇、周俊海、郭才女、肖</w:t>
            </w:r>
            <w:r>
              <w:rPr>
                <w:rFonts w:hint="eastAsia" w:ascii="宋体" w:hAnsi="宋体" w:eastAsia="宋体" w:cs="宋体"/>
                <w:kern w:val="2"/>
                <w:sz w:val="18"/>
                <w:szCs w:val="18"/>
                <w:vertAlign w:val="baseline"/>
                <w:lang w:val="en-US" w:eastAsia="zh-CN"/>
              </w:rPr>
              <w:t xml:space="preserve"> </w:t>
            </w:r>
            <w:bookmarkStart w:id="2" w:name="_GoBack"/>
            <w:bookmarkEnd w:id="2"/>
            <w:r>
              <w:rPr>
                <w:rFonts w:hint="eastAsia" w:ascii="宋体" w:hAnsi="宋体" w:eastAsia="宋体" w:cs="宋体"/>
                <w:kern w:val="2"/>
                <w:sz w:val="18"/>
                <w:szCs w:val="18"/>
                <w:vertAlign w:val="baseline"/>
                <w:lang w:eastAsia="zh-CN"/>
              </w:rPr>
              <w:t>强、张海英</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协助完成</w:t>
            </w:r>
            <w:r>
              <w:rPr>
                <w:rFonts w:hint="eastAsia" w:ascii="宋体" w:hAnsi="宋体" w:eastAsia="宋体" w:cs="宋体"/>
                <w:kern w:val="2"/>
                <w:sz w:val="18"/>
                <w:szCs w:val="18"/>
                <w:vertAlign w:val="baseline"/>
                <w:lang w:val="en-US" w:eastAsia="zh-CN"/>
              </w:rPr>
              <w:t>各条件及精密度试验、协助完成原始数据汇总。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赣州有色冶金研究所有限公司（一验）</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刘</w:t>
            </w:r>
            <w:r>
              <w:rPr>
                <w:rFonts w:hint="eastAsia" w:ascii="宋体" w:hAnsi="宋体" w:eastAsia="宋体" w:cs="宋体"/>
                <w:kern w:val="2"/>
                <w:sz w:val="18"/>
                <w:szCs w:val="18"/>
                <w:vertAlign w:val="baseline"/>
                <w:lang w:val="en-US" w:eastAsia="zh-CN"/>
              </w:rPr>
              <w:t xml:space="preserve">  </w:t>
            </w:r>
            <w:r>
              <w:rPr>
                <w:rFonts w:hint="eastAsia" w:ascii="宋体" w:hAnsi="宋体" w:eastAsia="宋体" w:cs="宋体"/>
                <w:kern w:val="2"/>
                <w:sz w:val="18"/>
                <w:szCs w:val="18"/>
                <w:vertAlign w:val="baseline"/>
                <w:lang w:eastAsia="zh-CN"/>
              </w:rPr>
              <w:t>鸿</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完成标准溶液的配制、完成各条件试验和验证报告的编写。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曾雪花、罗盈盈</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协助完成条件试验、完成准确度和精密度试验。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江苏金石稀土有限公司（一验）</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刘志勇</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指导开展验证工作、完成验证报告的编写。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18"/>
                <w:szCs w:val="18"/>
                <w:vertAlign w:val="baseline"/>
                <w:lang w:val="en-US" w:eastAsia="zh-CN"/>
              </w:rPr>
            </w:pPr>
            <w:r>
              <w:rPr>
                <w:rFonts w:hint="eastAsia" w:ascii="宋体" w:hAnsi="宋体" w:eastAsia="宋体" w:cs="宋体"/>
                <w:kern w:val="2"/>
                <w:sz w:val="18"/>
                <w:szCs w:val="18"/>
                <w:vertAlign w:val="baseline"/>
                <w:lang w:eastAsia="zh-CN"/>
              </w:rPr>
              <w:t>吴</w:t>
            </w:r>
            <w:r>
              <w:rPr>
                <w:rFonts w:hint="eastAsia" w:ascii="宋体" w:hAnsi="宋体" w:eastAsia="宋体" w:cs="宋体"/>
                <w:kern w:val="2"/>
                <w:sz w:val="18"/>
                <w:szCs w:val="18"/>
                <w:vertAlign w:val="baseline"/>
                <w:lang w:val="en-US" w:eastAsia="zh-CN"/>
              </w:rPr>
              <w:t xml:space="preserve"> </w:t>
            </w:r>
            <w:r>
              <w:rPr>
                <w:rFonts w:hint="eastAsia" w:ascii="宋体" w:hAnsi="宋体" w:eastAsia="宋体" w:cs="宋体"/>
                <w:kern w:val="2"/>
                <w:sz w:val="18"/>
                <w:szCs w:val="18"/>
                <w:vertAlign w:val="baseline"/>
                <w:lang w:eastAsia="zh-CN"/>
              </w:rPr>
              <w:t>英、秦</w:t>
            </w:r>
            <w:r>
              <w:rPr>
                <w:rFonts w:hint="eastAsia" w:ascii="宋体" w:hAnsi="宋体" w:eastAsia="宋体" w:cs="宋体"/>
                <w:kern w:val="2"/>
                <w:sz w:val="18"/>
                <w:szCs w:val="18"/>
                <w:vertAlign w:val="baseline"/>
                <w:lang w:val="en-US" w:eastAsia="zh-CN"/>
              </w:rPr>
              <w:t xml:space="preserve"> 晴</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协助完成标准溶液的配制、各条件试验、各精密度试验等。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83" w:type="dxa"/>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国标（京北）检验认证有限公司（二验）</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胡梦桥</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完成标准溶液的配制、各条件试验、各精密度试验和验证报告的编写。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甘肃稀土新材料股份有限公司检测中心（二验）</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张海燕</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完成标准溶液的配制、各条件试验、各精密度试验和验证报告的编写。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张</w:t>
            </w:r>
            <w:r>
              <w:rPr>
                <w:rFonts w:hint="eastAsia" w:ascii="宋体" w:hAnsi="宋体" w:eastAsia="宋体" w:cs="宋体"/>
                <w:kern w:val="2"/>
                <w:sz w:val="18"/>
                <w:szCs w:val="18"/>
                <w:vertAlign w:val="baseline"/>
                <w:lang w:val="en-US" w:eastAsia="zh-CN"/>
              </w:rPr>
              <w:t xml:space="preserve">  </w:t>
            </w:r>
            <w:r>
              <w:rPr>
                <w:rFonts w:hint="eastAsia" w:ascii="宋体" w:hAnsi="宋体" w:eastAsia="宋体" w:cs="宋体"/>
                <w:kern w:val="2"/>
                <w:sz w:val="18"/>
                <w:szCs w:val="18"/>
                <w:vertAlign w:val="baseline"/>
                <w:lang w:eastAsia="zh-CN"/>
              </w:rPr>
              <w:t>雪</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eastAsia="zh-CN"/>
              </w:rPr>
              <w:t>协助完成标准溶液的配制、各条件试验、各精密度试验等。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restart"/>
            <w:vAlign w:val="center"/>
          </w:tcPr>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包头天和磁材科技股份有限公司（二验）</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18"/>
                <w:szCs w:val="18"/>
                <w:vertAlign w:val="baseline"/>
                <w:lang w:val="en-US" w:eastAsia="zh-CN"/>
              </w:rPr>
            </w:pPr>
            <w:r>
              <w:rPr>
                <w:rFonts w:hint="eastAsia" w:ascii="宋体" w:hAnsi="宋体" w:eastAsia="宋体" w:cs="宋体"/>
                <w:kern w:val="2"/>
                <w:sz w:val="18"/>
                <w:szCs w:val="18"/>
                <w:vertAlign w:val="baseline"/>
                <w:lang w:eastAsia="zh-CN"/>
              </w:rPr>
              <w:t>董</w:t>
            </w:r>
            <w:r>
              <w:rPr>
                <w:rFonts w:hint="eastAsia" w:ascii="宋体" w:hAnsi="宋体" w:eastAsia="宋体" w:cs="宋体"/>
                <w:kern w:val="2"/>
                <w:sz w:val="18"/>
                <w:szCs w:val="18"/>
                <w:vertAlign w:val="baseline"/>
                <w:lang w:val="en-US" w:eastAsia="zh-CN"/>
              </w:rPr>
              <w:t xml:space="preserve">  义</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指导开展验证工作、完成验证报告的编写。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eastAsia="zh-CN"/>
              </w:rPr>
            </w:pPr>
            <w:r>
              <w:rPr>
                <w:rFonts w:hint="eastAsia" w:ascii="宋体" w:hAnsi="宋体" w:eastAsia="宋体" w:cs="宋体"/>
                <w:kern w:val="2"/>
                <w:sz w:val="18"/>
                <w:szCs w:val="18"/>
                <w:vertAlign w:val="baseline"/>
                <w:lang w:eastAsia="zh-CN"/>
              </w:rPr>
              <w:t>李海霞</w:t>
            </w:r>
          </w:p>
        </w:tc>
        <w:tc>
          <w:tcPr>
            <w:tcW w:w="5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rPr>
            </w:pPr>
            <w:r>
              <w:rPr>
                <w:rFonts w:hint="eastAsia" w:ascii="宋体" w:hAnsi="宋体" w:eastAsia="宋体" w:cs="宋体"/>
                <w:kern w:val="2"/>
                <w:sz w:val="18"/>
                <w:szCs w:val="18"/>
                <w:vertAlign w:val="baseline"/>
                <w:lang w:eastAsia="zh-CN"/>
              </w:rPr>
              <w:t>协助完成标准溶液的配制、各条件试验、各精密度试验等。</w:t>
            </w:r>
          </w:p>
        </w:tc>
      </w:tr>
    </w:tbl>
    <w:p>
      <w:pPr>
        <w:pStyle w:val="11"/>
        <w:keepNext w:val="0"/>
        <w:keepLines w:val="0"/>
        <w:pageBreakBefore w:val="0"/>
        <w:widowControl/>
        <w:tabs>
          <w:tab w:val="clear" w:pos="675"/>
        </w:tabs>
        <w:kinsoku/>
        <w:wordWrap/>
        <w:overflowPunct/>
        <w:topLinePunct w:val="0"/>
        <w:autoSpaceDE/>
        <w:autoSpaceDN/>
        <w:bidi w:val="0"/>
        <w:adjustRightInd/>
        <w:snapToGrid/>
        <w:spacing w:before="313" w:beforeLines="100" w:after="156" w:afterLines="50" w:line="360" w:lineRule="exact"/>
        <w:ind w:left="0" w:firstLine="0"/>
        <w:textAlignment w:val="auto"/>
        <w:rPr>
          <w:rFonts w:hint="eastAsia" w:hAnsi="黑体"/>
          <w:szCs w:val="22"/>
          <w:highlight w:val="none"/>
        </w:rPr>
      </w:pPr>
      <w:r>
        <w:rPr>
          <w:rFonts w:hint="eastAsia" w:hAnsi="黑体"/>
          <w:szCs w:val="22"/>
          <w:highlight w:val="none"/>
        </w:rPr>
        <w:t>（三）主要工作过程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ascii="黑体" w:hAnsi="黑体" w:eastAsia="黑体"/>
          <w:highlight w:val="yellow"/>
        </w:rPr>
      </w:pPr>
      <w:r>
        <w:rPr>
          <w:rFonts w:hint="eastAsia" w:ascii="黑体" w:hAnsi="黑体" w:eastAsia="黑体"/>
          <w:highlight w:val="none"/>
          <w:lang w:val="en-US" w:eastAsia="zh-CN"/>
        </w:rPr>
        <w:t>1、</w:t>
      </w:r>
      <w:r>
        <w:rPr>
          <w:rFonts w:hint="eastAsia" w:ascii="黑体" w:hAnsi="黑体" w:eastAsia="黑体"/>
          <w:highlight w:val="none"/>
        </w:rPr>
        <w:t>起草阶段</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2020年5月7日全国稀土标准化技术委员会召开网络会议，对本项目进行任务落实。会议确定负责起草单位为</w:t>
      </w:r>
      <w:r>
        <w:rPr>
          <w:rFonts w:hint="eastAsia" w:ascii="宋体" w:hAnsi="宋体" w:eastAsia="宋体" w:cs="宋体"/>
          <w:szCs w:val="21"/>
          <w:lang w:eastAsia="zh-CN"/>
        </w:rPr>
        <w:t>江西南方稀土高技术股份有限公司、赣州有色冶金研究所、江苏金石稀土有限公司、国标（北京）检验认证有限公司、甘肃稀土新材料股份有限公司检测中心、包头天和磁材科技股份有限公司</w:t>
      </w:r>
      <w:r>
        <w:rPr>
          <w:rFonts w:hint="eastAsia" w:ascii="宋体" w:hAnsi="宋体" w:eastAsia="宋体" w:cs="宋体"/>
        </w:rPr>
        <w:t>。任务落实会上，</w:t>
      </w:r>
      <w:r>
        <w:rPr>
          <w:rFonts w:hint="eastAsia" w:ascii="宋体" w:hAnsi="宋体" w:eastAsia="宋体" w:cs="宋体"/>
          <w:lang w:eastAsia="zh-CN"/>
        </w:rPr>
        <w:t>确定了</w:t>
      </w:r>
      <w:r>
        <w:rPr>
          <w:rFonts w:hint="eastAsia" w:ascii="宋体" w:hAnsi="宋体" w:eastAsia="宋体" w:cs="宋体"/>
          <w:szCs w:val="21"/>
          <w:lang w:eastAsia="zh-CN"/>
        </w:rPr>
        <w:t>江西南方稀土高技术股份有限公司</w:t>
      </w:r>
      <w:r>
        <w:rPr>
          <w:rFonts w:hint="eastAsia" w:ascii="宋体" w:hAnsi="宋体" w:eastAsia="宋体" w:cs="宋体"/>
        </w:rPr>
        <w:t>为本项目</w:t>
      </w:r>
      <w:r>
        <w:rPr>
          <w:rFonts w:hint="eastAsia" w:ascii="宋体" w:hAnsi="宋体" w:eastAsia="宋体" w:cs="宋体"/>
          <w:lang w:eastAsia="zh-CN"/>
        </w:rPr>
        <w:t>牵头单位，并负责统一样品的提供</w:t>
      </w:r>
      <w:r>
        <w:rPr>
          <w:rFonts w:hint="eastAsia" w:ascii="宋体" w:hAnsi="宋体" w:eastAsia="宋体" w:cs="宋体"/>
        </w:rPr>
        <w:t>。会议确定了项目的时间进度安排</w:t>
      </w:r>
      <w:r>
        <w:rPr>
          <w:rFonts w:hint="eastAsia" w:ascii="宋体" w:hAnsi="宋体" w:eastAsia="宋体" w:cs="宋体"/>
          <w:lang w:eastAsia="zh-CN"/>
        </w:rPr>
        <w:t>等。接到任务，我单位</w:t>
      </w:r>
      <w:r>
        <w:rPr>
          <w:rFonts w:hint="eastAsia" w:ascii="宋体" w:hAnsi="宋体" w:eastAsia="宋体" w:cs="宋体"/>
          <w:lang w:val="en-US" w:eastAsia="zh-CN"/>
        </w:rPr>
        <w:t>便</w:t>
      </w:r>
      <w:r>
        <w:rPr>
          <w:rFonts w:hint="eastAsia" w:ascii="宋体" w:hAnsi="宋体" w:eastAsia="宋体" w:cs="宋体"/>
          <w:lang w:eastAsia="zh-CN"/>
        </w:rPr>
        <w:t>开始组织开展各项工作，具体过程如下：</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rPr>
        <w:t>2020年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w:t>
      </w:r>
      <w:r>
        <w:rPr>
          <w:rFonts w:hint="eastAsia" w:ascii="宋体" w:hAnsi="宋体" w:eastAsia="宋体" w:cs="宋体"/>
          <w:lang w:eastAsia="zh-CN"/>
        </w:rPr>
        <w:t>在所有共同起草单位协作下，完成了本项目任务落实书的填写。</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2020年5月20日，在</w:t>
      </w:r>
      <w:r>
        <w:rPr>
          <w:rFonts w:hint="eastAsia" w:ascii="宋体" w:hAnsi="宋体" w:eastAsia="宋体" w:cs="宋体"/>
          <w:lang w:eastAsia="zh-CN"/>
        </w:rPr>
        <w:t>所有共同起草单位协作下，</w:t>
      </w:r>
      <w:r>
        <w:rPr>
          <w:rFonts w:hint="eastAsia" w:ascii="宋体" w:hAnsi="宋体" w:eastAsia="宋体" w:cs="宋体"/>
          <w:lang w:val="en-US" w:eastAsia="zh-CN"/>
        </w:rPr>
        <w:t>完成了起草修订前意见征集，确定了标准的修订、整合框架。</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2020年6月中旬，完成了统一样品的研制工作。</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2020年8月24日，完成了试验报告的编写，并将试验报告发送至一验单位，将统一样品邮寄至各起草单位。</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2020年9月中旬，根据一验证单位反馈的建议，试验报告进行了两次调整，并将修改后的试验报告再次发送至一验单位。</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2020年10月初，两家一验单位先后完成各件试验的验证，确定条件试验一致。</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2020年10月10日，将试验报告发送至二验单位，进行精密度试验。</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2020年11月中旬，陆续收到了各验证单位的完整验证报告。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2020年12月4日，将补充试验统一样品邮寄至各起草单位，同月16日补充试验报告发送至各验证单位，进行进行补充试验验证工作。</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val="en-US" w:eastAsia="zh-CN"/>
        </w:rPr>
        <w:t>2021年1月24号后，陆续收到了各单位的补充试验报告。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在标准的起草过程中，</w:t>
      </w:r>
      <w:r>
        <w:rPr>
          <w:rFonts w:hint="eastAsia" w:ascii="宋体" w:hAnsi="宋体" w:eastAsia="宋体" w:cs="宋体"/>
          <w:lang w:eastAsia="zh-CN"/>
        </w:rPr>
        <w:t>各单位广泛提出了自己的意见，鼎力配合</w:t>
      </w:r>
      <w:r>
        <w:rPr>
          <w:rFonts w:hint="eastAsia" w:ascii="宋体" w:hAnsi="宋体" w:eastAsia="宋体" w:cs="宋体"/>
        </w:rPr>
        <w:t>。截止202</w:t>
      </w:r>
      <w:r>
        <w:rPr>
          <w:rFonts w:hint="eastAsia" w:ascii="宋体" w:hAnsi="宋体" w:eastAsia="宋体" w:cs="宋体"/>
          <w:lang w:val="en-US" w:eastAsia="zh-CN"/>
        </w:rPr>
        <w:t>1</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lang w:eastAsia="zh-CN"/>
        </w:rPr>
        <w:t>日</w:t>
      </w:r>
      <w:r>
        <w:rPr>
          <w:rFonts w:hint="eastAsia" w:ascii="宋体" w:hAnsi="宋体" w:eastAsia="宋体" w:cs="宋体"/>
        </w:rPr>
        <w:t>，各验证单位完成</w:t>
      </w:r>
      <w:r>
        <w:rPr>
          <w:rFonts w:hint="eastAsia" w:ascii="宋体" w:hAnsi="宋体" w:eastAsia="宋体" w:cs="宋体"/>
          <w:lang w:eastAsia="zh-CN"/>
        </w:rPr>
        <w:t>所有</w:t>
      </w:r>
      <w:r>
        <w:rPr>
          <w:rFonts w:hint="eastAsia" w:ascii="宋体" w:hAnsi="宋体" w:eastAsia="宋体" w:cs="宋体"/>
        </w:rPr>
        <w:t>标准的验证工作</w:t>
      </w:r>
      <w:r>
        <w:rPr>
          <w:rFonts w:hint="eastAsia" w:ascii="宋体" w:hAnsi="宋体" w:eastAsia="宋体" w:cs="宋体"/>
          <w:lang w:eastAsia="zh-CN"/>
        </w:rPr>
        <w:t>，</w:t>
      </w:r>
      <w:r>
        <w:rPr>
          <w:rFonts w:hint="eastAsia" w:ascii="宋体" w:hAnsi="宋体" w:eastAsia="宋体" w:cs="宋体"/>
        </w:rPr>
        <w:t>并返回</w:t>
      </w:r>
      <w:r>
        <w:rPr>
          <w:rFonts w:hint="eastAsia" w:ascii="宋体" w:hAnsi="宋体" w:eastAsia="宋体" w:cs="宋体"/>
          <w:lang w:eastAsia="zh-CN"/>
        </w:rPr>
        <w:t>所有</w:t>
      </w:r>
      <w:r>
        <w:rPr>
          <w:rFonts w:hint="eastAsia" w:ascii="宋体" w:hAnsi="宋体" w:eastAsia="宋体" w:cs="宋体"/>
        </w:rPr>
        <w:t>验证报告。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在验证过程中，各验证单位提出意见如下：</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试验报告所有谱图采用两点方式，不能充分观察到基体的干扰情况，建议不低于</w:t>
      </w:r>
      <w:r>
        <w:rPr>
          <w:rFonts w:hint="eastAsia" w:ascii="宋体" w:hAnsi="宋体" w:eastAsia="宋体" w:cs="宋体"/>
          <w:color w:val="auto"/>
          <w:sz w:val="21"/>
          <w:szCs w:val="21"/>
          <w:lang w:val="en-US" w:eastAsia="zh-CN"/>
        </w:rPr>
        <w:t>3点</w:t>
      </w:r>
      <w:r>
        <w:rPr>
          <w:rFonts w:hint="eastAsia" w:ascii="宋体" w:hAnsi="宋体" w:eastAsia="宋体" w:cs="宋体"/>
        </w:rPr>
        <w:t>。</w:t>
      </w:r>
      <w:r>
        <w:rPr>
          <w:rFonts w:hint="eastAsia" w:ascii="宋体" w:hAnsi="宋体" w:eastAsia="宋体" w:cs="宋体"/>
          <w:lang w:eastAsia="zh-CN"/>
        </w:rPr>
        <w:t>”处理意见：同意，两点、三点谱图均可，两点图还是可以评判基体干扰情况，另外基体干扰程度还可以参考其它试验结论进一步确定</w:t>
      </w:r>
      <w:r>
        <w:rPr>
          <w:rFonts w:hint="eastAsia" w:ascii="宋体" w:hAnsi="宋体" w:eastAsia="宋体" w:cs="宋体"/>
        </w:rPr>
        <w:t>；</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试验报告缺乏对工作曲线线性的相关描述或要求。</w:t>
      </w:r>
      <w:r>
        <w:rPr>
          <w:rFonts w:hint="eastAsia" w:ascii="宋体" w:hAnsi="宋体" w:eastAsia="宋体" w:cs="宋体"/>
          <w:lang w:eastAsia="zh-CN"/>
        </w:rPr>
        <w:t>”处理意见：</w:t>
      </w:r>
      <w:r>
        <w:rPr>
          <w:rFonts w:hint="eastAsia" w:ascii="宋体" w:hAnsi="宋体" w:eastAsia="宋体" w:cs="宋体"/>
          <w:color w:val="auto"/>
          <w:sz w:val="21"/>
          <w:szCs w:val="21"/>
          <w:lang w:eastAsia="zh-CN"/>
        </w:rPr>
        <w:t>采纳，试验报告中已增加线性要求“大于等于</w:t>
      </w:r>
      <w:r>
        <w:rPr>
          <w:rFonts w:hint="eastAsia" w:ascii="宋体" w:hAnsi="宋体" w:eastAsia="宋体" w:cs="宋体"/>
          <w:color w:val="auto"/>
          <w:sz w:val="21"/>
          <w:szCs w:val="21"/>
          <w:lang w:val="en-US" w:eastAsia="zh-CN"/>
        </w:rPr>
        <w:t>0.9995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color w:val="auto"/>
          <w:sz w:val="21"/>
          <w:szCs w:val="21"/>
          <w:lang w:val="en-US" w:eastAsia="zh-CN"/>
        </w:rPr>
        <w:t>回收率试验本底值虽然低于检出限，建议还是列出来计算回收率。</w:t>
      </w:r>
      <w:r>
        <w:rPr>
          <w:rFonts w:hint="eastAsia" w:ascii="宋体" w:hAnsi="宋体" w:eastAsia="宋体" w:cs="宋体"/>
          <w:lang w:eastAsia="zh-CN"/>
        </w:rPr>
        <w:t>”处理意见：同意，</w:t>
      </w:r>
      <w:r>
        <w:rPr>
          <w:rFonts w:hint="eastAsia" w:ascii="宋体" w:hAnsi="宋体" w:eastAsia="宋体" w:cs="宋体"/>
          <w:color w:val="auto"/>
          <w:sz w:val="21"/>
          <w:szCs w:val="21"/>
          <w:lang w:val="en-US" w:eastAsia="zh-CN"/>
        </w:rPr>
        <w:t>各验证单位可根据自己选择测定本底值方法的测定能力而定，试验报告中列出本底值为大于等于方法下限20%含量，此条件已对回收率试验影响比较小。</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color w:val="auto"/>
          <w:sz w:val="21"/>
          <w:szCs w:val="21"/>
          <w:lang w:val="en-US" w:eastAsia="zh-CN"/>
        </w:rPr>
        <w:t>精密度数据应在方法规定的范围内。</w:t>
      </w:r>
      <w:r>
        <w:rPr>
          <w:rFonts w:hint="eastAsia" w:ascii="宋体" w:hAnsi="宋体" w:eastAsia="宋体" w:cs="宋体"/>
          <w:lang w:eastAsia="zh-CN"/>
        </w:rPr>
        <w:t>”处理意见：</w:t>
      </w:r>
      <w:r>
        <w:rPr>
          <w:rFonts w:hint="eastAsia" w:ascii="宋体" w:hAnsi="宋体" w:eastAsia="宋体" w:cs="宋体"/>
          <w:color w:val="auto"/>
          <w:sz w:val="21"/>
          <w:szCs w:val="21"/>
          <w:lang w:val="en-US" w:eastAsia="zh-CN"/>
        </w:rPr>
        <w:t>采纳，已调整试验报告中精密度数据。</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sz w:val="21"/>
          <w:szCs w:val="21"/>
          <w:lang w:val="en-US" w:eastAsia="zh-CN"/>
        </w:rPr>
        <w:t>规范检测限和测定下限的表达方式。</w:t>
      </w:r>
      <w:r>
        <w:rPr>
          <w:rFonts w:hint="eastAsia" w:ascii="宋体" w:hAnsi="宋体" w:eastAsia="宋体" w:cs="宋体"/>
          <w:lang w:eastAsia="zh-CN"/>
        </w:rPr>
        <w:t>”处理意见：</w:t>
      </w:r>
      <w:r>
        <w:rPr>
          <w:rFonts w:hint="eastAsia" w:ascii="宋体" w:hAnsi="宋体" w:eastAsia="宋体" w:cs="宋体"/>
          <w:sz w:val="21"/>
          <w:szCs w:val="21"/>
          <w:lang w:val="en-US" w:eastAsia="zh-CN"/>
        </w:rPr>
        <w:t>采纳，已调整</w:t>
      </w:r>
      <w:r>
        <w:rPr>
          <w:rFonts w:hint="eastAsia" w:ascii="宋体" w:hAnsi="宋体" w:eastAsia="宋体" w:cs="宋体"/>
          <w:color w:val="auto"/>
          <w:sz w:val="21"/>
          <w:szCs w:val="21"/>
          <w:lang w:val="en-US" w:eastAsia="zh-CN"/>
        </w:rPr>
        <w:t>试验报告中检测限表示方法</w:t>
      </w:r>
      <w:r>
        <w:rPr>
          <w:rFonts w:hint="eastAsia" w:ascii="宋体" w:hAnsi="宋体" w:eastAsia="宋体" w:cs="宋体"/>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江苏金石稀土有限公司提出“试验报告</w:t>
      </w:r>
      <w:r>
        <w:rPr>
          <w:rFonts w:hint="eastAsia" w:ascii="宋体" w:hAnsi="宋体" w:eastAsia="宋体" w:cs="宋体"/>
          <w:b w:val="0"/>
          <w:bCs w:val="0"/>
          <w:sz w:val="21"/>
          <w:szCs w:val="21"/>
          <w:lang w:val="en-US" w:eastAsia="zh-CN"/>
        </w:rPr>
        <w:t>镝铁合金中Tb线增加</w:t>
      </w:r>
      <w:r>
        <w:rPr>
          <w:rFonts w:hint="eastAsia" w:ascii="宋体" w:hAnsi="宋体" w:eastAsia="宋体" w:cs="宋体"/>
          <w:sz w:val="21"/>
          <w:szCs w:val="21"/>
          <w:lang w:val="en-US" w:eastAsia="zh-CN"/>
        </w:rPr>
        <w:t>350.917nm，钆铁合金中Nd线增加529.317nm。</w:t>
      </w:r>
      <w:r>
        <w:rPr>
          <w:rFonts w:hint="eastAsia" w:ascii="宋体" w:hAnsi="宋体" w:eastAsia="宋体" w:cs="宋体"/>
          <w:szCs w:val="21"/>
          <w:lang w:eastAsia="zh-CN"/>
        </w:rPr>
        <w:t>”处理意见：暂定，试验报告中谱线已能满足测定要求，此二条谱线并无优越性，</w:t>
      </w:r>
      <w:r>
        <w:rPr>
          <w:rFonts w:hint="eastAsia" w:ascii="宋体" w:hAnsi="宋体" w:eastAsia="宋体" w:cs="宋体"/>
          <w:sz w:val="21"/>
          <w:szCs w:val="21"/>
          <w:lang w:val="en-US" w:eastAsia="zh-CN"/>
        </w:rPr>
        <w:t>考虑</w:t>
      </w:r>
      <w:r>
        <w:rPr>
          <w:rFonts w:hint="eastAsia" w:ascii="宋体" w:hAnsi="宋体" w:eastAsia="宋体" w:cs="宋体"/>
          <w:szCs w:val="21"/>
          <w:lang w:eastAsia="zh-CN"/>
        </w:rPr>
        <w:t>是否需要增加谱线做</w:t>
      </w:r>
      <w:r>
        <w:rPr>
          <w:rFonts w:hint="eastAsia" w:ascii="宋体" w:hAnsi="宋体" w:eastAsia="宋体" w:cs="宋体"/>
          <w:sz w:val="21"/>
          <w:szCs w:val="21"/>
          <w:lang w:val="en-US" w:eastAsia="zh-CN"/>
        </w:rPr>
        <w:t>补充试验。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lang w:val="en-US" w:eastAsia="zh-CN"/>
        </w:rPr>
      </w:pPr>
      <w:r>
        <w:rPr>
          <w:rFonts w:hint="eastAsia" w:ascii="宋体" w:hAnsi="宋体" w:eastAsia="宋体" w:cs="宋体"/>
        </w:rPr>
        <w:tab/>
      </w:r>
      <w:r>
        <w:rPr>
          <w:rFonts w:hint="eastAsia" w:ascii="宋体" w:hAnsi="宋体" w:eastAsia="宋体" w:cs="宋体"/>
        </w:rPr>
        <w:t xml:space="preserve">综合各验证单位反馈的意见，起草单位对讨论稿及研究报告进行修改完善，形成了GB/T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》征求意见稿。</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exact"/>
        <w:textAlignment w:val="auto"/>
        <w:rPr>
          <w:rFonts w:hint="eastAsia" w:ascii="黑体" w:hAnsi="黑体" w:eastAsia="黑体"/>
          <w:highlight w:val="none"/>
          <w:lang w:val="en-US" w:eastAsia="zh-CN"/>
        </w:rPr>
      </w:pPr>
      <w:r>
        <w:rPr>
          <w:rFonts w:hint="eastAsia" w:ascii="黑体" w:hAnsi="黑体" w:eastAsia="黑体"/>
          <w:highlight w:val="none"/>
          <w:lang w:val="en-US" w:eastAsia="zh-CN"/>
        </w:rPr>
        <w:t>征求意见阶段</w:t>
      </w:r>
    </w:p>
    <w:p>
      <w:pPr>
        <w:spacing w:line="312" w:lineRule="auto"/>
        <w:ind w:firstLine="420"/>
        <w:rPr>
          <w:rFonts w:hint="eastAsia"/>
        </w:rPr>
      </w:pPr>
      <w:r>
        <w:rPr>
          <w:rFonts w:hint="eastAsia" w:ascii="宋体" w:hAnsi="宋体" w:eastAsia="宋体" w:cs="宋体"/>
          <w:lang w:val="en-US" w:eastAsia="zh-CN"/>
        </w:rPr>
        <w:t>2021年3月10日，将完成的</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w:t>
      </w:r>
      <w:r>
        <w:rPr>
          <w:rFonts w:hint="eastAsia" w:ascii="宋体" w:hAnsi="宋体" w:eastAsia="宋体" w:cs="宋体"/>
          <w:lang w:val="en-US" w:eastAsia="zh-CN"/>
        </w:rPr>
        <w:t>征求意见稿、征求意见稿编制说明、征求意见汇总处理表通过微信的形式，发送至江西金世纪新材料股份有限公司、</w:t>
      </w:r>
      <w:r>
        <w:rPr>
          <w:rFonts w:hint="eastAsia"/>
          <w:szCs w:val="21"/>
          <w:lang w:eastAsia="zh-CN"/>
        </w:rPr>
        <w:t>赣州虔东稀土集团股份有限公司、江西理工大学、</w:t>
      </w:r>
      <w:r>
        <w:rPr>
          <w:rFonts w:hint="eastAsia"/>
          <w:szCs w:val="18"/>
        </w:rPr>
        <w:t>湖南稀土金属材料研究院</w:t>
      </w:r>
      <w:r>
        <w:rPr>
          <w:rFonts w:hint="eastAsia"/>
          <w:szCs w:val="18"/>
          <w:lang w:eastAsia="zh-CN"/>
        </w:rPr>
        <w:t>、</w:t>
      </w:r>
      <w:r>
        <w:rPr>
          <w:rFonts w:hint="eastAsia"/>
          <w:szCs w:val="21"/>
          <w:lang w:eastAsia="zh-CN"/>
        </w:rPr>
        <w:t>赣州晨光稀土新材料有限公司、</w:t>
      </w:r>
      <w:r>
        <w:rPr>
          <w:rFonts w:hint="eastAsia"/>
          <w:szCs w:val="21"/>
          <w:highlight w:val="none"/>
          <w:lang w:eastAsia="zh-CN"/>
        </w:rPr>
        <w:t>包头稀土研究院、稀土标委会等</w:t>
      </w:r>
      <w:r>
        <w:rPr>
          <w:rFonts w:hint="eastAsia"/>
          <w:szCs w:val="21"/>
          <w:highlight w:val="none"/>
          <w:lang w:val="en-US" w:eastAsia="zh-CN"/>
        </w:rPr>
        <w:t>14家单位进行意见征集。</w:t>
      </w:r>
      <w:r>
        <w:rPr>
          <w:rFonts w:hint="eastAsia"/>
        </w:rPr>
        <w:t>收到</w:t>
      </w:r>
      <w:r>
        <w:rPr>
          <w:rFonts w:hint="eastAsia"/>
          <w:lang w:eastAsia="zh-CN"/>
        </w:rPr>
        <w:t>微信回复</w:t>
      </w:r>
      <w:r>
        <w:rPr>
          <w:rFonts w:hint="eastAsia"/>
        </w:rPr>
        <w:t>的单位数</w:t>
      </w:r>
      <w:r>
        <w:rPr>
          <w:rFonts w:hint="eastAsia"/>
          <w:lang w:val="en-US" w:eastAsia="zh-CN"/>
        </w:rPr>
        <w:t>14</w:t>
      </w:r>
      <w:r>
        <w:rPr>
          <w:rFonts w:hint="eastAsia"/>
        </w:rPr>
        <w:t>个，</w:t>
      </w:r>
      <w:r>
        <w:rPr>
          <w:rFonts w:hint="eastAsia"/>
          <w:lang w:eastAsia="zh-CN"/>
        </w:rPr>
        <w:t>微信回复</w:t>
      </w:r>
      <w:r>
        <w:rPr>
          <w:rFonts w:hint="eastAsia"/>
        </w:rPr>
        <w:t>并有建议或意见的单位数</w:t>
      </w:r>
      <w:r>
        <w:t>1</w:t>
      </w:r>
      <w:r>
        <w:rPr>
          <w:rFonts w:hint="eastAsia"/>
          <w:lang w:val="en-US" w:eastAsia="zh-CN"/>
        </w:rPr>
        <w:t>3</w:t>
      </w:r>
      <w:r>
        <w:rPr>
          <w:rFonts w:hint="eastAsia"/>
        </w:rPr>
        <w:t>个，详见《征求意见稿 意见汇总处理表》。征求意见范围广泛且具代表性，编制组根据征求到</w:t>
      </w:r>
      <w:r>
        <w:t>的专家</w:t>
      </w:r>
      <w:r>
        <w:rPr>
          <w:rFonts w:hint="eastAsia"/>
        </w:rPr>
        <w:t>意见对《征求意见稿》进行修改完善，</w:t>
      </w:r>
      <w:r>
        <w:rPr>
          <w:rFonts w:hint="eastAsia" w:ascii="宋体" w:hAnsi="宋体" w:eastAsia="宋体" w:cs="宋体"/>
          <w:lang w:val="en-US" w:eastAsia="zh-CN"/>
        </w:rPr>
        <w:t>于2021年4月15日形成了</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w:t>
      </w:r>
      <w:r>
        <w:rPr>
          <w:rFonts w:hint="eastAsia" w:eastAsia="宋体"/>
          <w:lang w:eastAsia="zh-CN"/>
        </w:rPr>
        <w:t>预审稿</w:t>
      </w:r>
      <w:r>
        <w:rPr>
          <w:rFonts w:hint="eastAsia"/>
        </w:rPr>
        <w:t>。</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exact"/>
        <w:ind w:left="0" w:leftChars="0" w:firstLine="0" w:firstLineChars="0"/>
        <w:textAlignment w:val="auto"/>
        <w:rPr>
          <w:rFonts w:hint="eastAsia" w:ascii="黑体" w:hAnsi="黑体" w:eastAsia="黑体"/>
          <w:highlight w:val="none"/>
          <w:lang w:val="en-US" w:eastAsia="zh-CN"/>
        </w:rPr>
      </w:pPr>
      <w:r>
        <w:rPr>
          <w:rFonts w:hint="eastAsia" w:ascii="黑体" w:hAnsi="黑体" w:eastAsia="黑体"/>
          <w:highlight w:val="none"/>
          <w:lang w:val="en-US" w:eastAsia="zh-CN"/>
        </w:rPr>
        <w:t>预审阶段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20" w:firstLineChars="200"/>
        <w:textAlignment w:val="auto"/>
        <w:rPr>
          <w:rFonts w:hint="default" w:ascii="黑体" w:hAnsi="黑体" w:eastAsia="宋体"/>
          <w:highlight w:val="none"/>
          <w:lang w:val="en-US" w:eastAsia="zh-CN"/>
        </w:rPr>
      </w:pPr>
      <w:r>
        <w:rPr>
          <w:rFonts w:hint="eastAsia" w:ascii="Times New Roman" w:hAnsi="Times New Roman" w:cs="Times New Roman"/>
          <w:szCs w:val="21"/>
          <w:lang w:eastAsia="zh-CN"/>
        </w:rPr>
        <w:t>全国稀土标委会标准论证会暨</w:t>
      </w:r>
      <w:r>
        <w:rPr>
          <w:rFonts w:hint="eastAsia" w:ascii="Times New Roman" w:hAnsi="Times New Roman" w:cs="Times New Roman"/>
          <w:szCs w:val="21"/>
          <w:lang w:val="en-US" w:eastAsia="zh-CN"/>
        </w:rPr>
        <w:t>2021年第一次标准工作会于2021</w:t>
      </w:r>
      <w:r>
        <w:rPr>
          <w:rFonts w:hint="eastAsia" w:ascii="宋体" w:hAnsi="宋体" w:eastAsia="宋体" w:cs="宋体"/>
          <w:szCs w:val="21"/>
        </w:rPr>
        <w:t>年</w:t>
      </w:r>
      <w:r>
        <w:rPr>
          <w:rFonts w:hint="eastAsia" w:ascii="Times New Roman" w:hAnsi="Times New Roman" w:cs="Times New Roman"/>
          <w:szCs w:val="21"/>
          <w:lang w:val="en-US" w:eastAsia="zh-CN"/>
        </w:rPr>
        <w:t>04</w:t>
      </w:r>
      <w:r>
        <w:rPr>
          <w:rFonts w:hint="eastAsia" w:ascii="宋体" w:hAnsi="宋体" w:eastAsia="宋体" w:cs="宋体"/>
          <w:szCs w:val="21"/>
        </w:rPr>
        <w:t>月</w:t>
      </w:r>
      <w:r>
        <w:rPr>
          <w:rFonts w:hint="eastAsia" w:ascii="Times New Roman" w:hAnsi="Times New Roman" w:cs="Times New Roman"/>
          <w:szCs w:val="21"/>
          <w:lang w:val="en-US" w:eastAsia="zh-CN"/>
        </w:rPr>
        <w:t>26</w:t>
      </w:r>
      <w:r>
        <w:rPr>
          <w:rFonts w:hint="eastAsia" w:ascii="宋体" w:hAnsi="宋体" w:eastAsia="宋体" w:cs="宋体"/>
          <w:szCs w:val="21"/>
        </w:rPr>
        <w:t>日至</w:t>
      </w:r>
      <w:r>
        <w:rPr>
          <w:rFonts w:hint="eastAsia" w:ascii="Times New Roman" w:hAnsi="Times New Roman" w:cs="Times New Roman"/>
          <w:szCs w:val="21"/>
          <w:lang w:val="en-US" w:eastAsia="zh-CN"/>
        </w:rPr>
        <w:t>04</w:t>
      </w:r>
      <w:r>
        <w:rPr>
          <w:rFonts w:hint="eastAsia" w:ascii="宋体" w:hAnsi="宋体" w:eastAsia="宋体" w:cs="宋体"/>
          <w:szCs w:val="21"/>
        </w:rPr>
        <w:t>月</w:t>
      </w:r>
      <w:r>
        <w:rPr>
          <w:rFonts w:hint="eastAsia" w:ascii="Times New Roman" w:hAnsi="Times New Roman" w:cs="Times New Roman"/>
          <w:szCs w:val="21"/>
          <w:lang w:val="en-US" w:eastAsia="zh-CN"/>
        </w:rPr>
        <w:t>29</w:t>
      </w:r>
      <w:r>
        <w:rPr>
          <w:rFonts w:hint="default" w:ascii="Times New Roman" w:hAnsi="Times New Roman" w:cs="Times New Roman"/>
          <w:szCs w:val="21"/>
        </w:rPr>
        <w:t>日，</w:t>
      </w:r>
      <w:r>
        <w:rPr>
          <w:rFonts w:hint="eastAsia" w:ascii="Times New Roman" w:hAnsi="Times New Roman" w:cs="Times New Roman"/>
          <w:szCs w:val="21"/>
          <w:lang w:eastAsia="zh-CN"/>
        </w:rPr>
        <w:t>在湖南省长沙市召开。</w:t>
      </w:r>
      <w:r>
        <w:rPr>
          <w:rFonts w:hint="default" w:ascii="Times New Roman" w:hAnsi="Times New Roman" w:cs="Times New Roman"/>
          <w:szCs w:val="21"/>
        </w:rPr>
        <w:t xml:space="preserve"> </w:t>
      </w:r>
      <w:r>
        <w:rPr>
          <w:rFonts w:hint="default" w:ascii="Times New Roman" w:hAnsi="Times New Roman" w:cs="Times New Roman"/>
          <w:szCs w:val="21"/>
          <w:lang w:eastAsia="zh-CN"/>
        </w:rPr>
        <w:t>根据会议安排</w:t>
      </w:r>
      <w:r>
        <w:rPr>
          <w:rFonts w:hint="eastAsia" w:ascii="Times New Roman" w:hAnsi="Times New Roman" w:cs="Times New Roman"/>
          <w:szCs w:val="21"/>
          <w:lang w:eastAsia="zh-CN"/>
        </w:rPr>
        <w:t>，</w:t>
      </w:r>
      <w:r>
        <w:rPr>
          <w:rFonts w:hint="default" w:ascii="Times New Roman" w:hAnsi="Times New Roman" w:cs="Times New Roman"/>
          <w:szCs w:val="21"/>
          <w:lang w:eastAsia="zh-CN"/>
        </w:rPr>
        <w:t>来自全国</w:t>
      </w:r>
      <w:r>
        <w:rPr>
          <w:rFonts w:hint="eastAsia" w:ascii="Times New Roman" w:hAnsi="Times New Roman" w:cs="Times New Roman"/>
          <w:szCs w:val="21"/>
          <w:lang w:eastAsia="zh-CN"/>
        </w:rPr>
        <w:t>稀土行业、大学院所、科研单位等共计</w:t>
      </w:r>
      <w:r>
        <w:rPr>
          <w:rFonts w:hint="default" w:ascii="Times New Roman" w:hAnsi="Times New Roman" w:cs="Times New Roman"/>
          <w:szCs w:val="21"/>
          <w:lang w:eastAsia="zh-CN"/>
        </w:rPr>
        <w:t>专家</w:t>
      </w:r>
      <w:r>
        <w:rPr>
          <w:rFonts w:hint="eastAsia" w:ascii="Times New Roman" w:hAnsi="Times New Roman" w:cs="Times New Roman"/>
          <w:szCs w:val="21"/>
          <w:lang w:val="en-US" w:eastAsia="zh-CN"/>
        </w:rPr>
        <w:t>55名参与了</w:t>
      </w:r>
      <w:r>
        <w:rPr>
          <w:rFonts w:hint="default" w:ascii="Times New Roman" w:hAnsi="Times New Roman" w:cs="Times New Roman"/>
          <w:szCs w:val="21"/>
        </w:rPr>
        <w:t>《</w:t>
      </w:r>
      <w:r>
        <w:rPr>
          <w:rFonts w:hint="default" w:ascii="Times New Roman" w:hAnsi="Times New Roman" w:cs="Times New Roman"/>
          <w:szCs w:val="21"/>
          <w:lang w:eastAsia="zh-CN"/>
        </w:rPr>
        <w:t>稀土铁合金化学分析方法 第2部分：稀土杂质含量的测定 电感耦合等离子体原子发射光谱法</w:t>
      </w:r>
      <w:r>
        <w:rPr>
          <w:rFonts w:hint="default" w:ascii="Times New Roman" w:hAnsi="Times New Roman" w:cs="Times New Roman"/>
          <w:szCs w:val="21"/>
        </w:rPr>
        <w:t>》</w:t>
      </w:r>
      <w:r>
        <w:rPr>
          <w:rFonts w:hint="eastAsia" w:ascii="Times New Roman" w:hAnsi="Times New Roman" w:cs="Times New Roman"/>
          <w:szCs w:val="21"/>
          <w:lang w:eastAsia="zh-CN"/>
        </w:rPr>
        <w:t>分析标准的预审工作。</w:t>
      </w:r>
      <w:r>
        <w:rPr>
          <w:rFonts w:hint="default" w:ascii="Times New Roman" w:hAnsi="Times New Roman" w:cs="Times New Roman"/>
          <w:szCs w:val="21"/>
          <w:lang w:eastAsia="zh-CN"/>
        </w:rPr>
        <w:t>对</w:t>
      </w:r>
      <w:r>
        <w:rPr>
          <w:rFonts w:hint="eastAsia" w:ascii="Times New Roman" w:hAnsi="Times New Roman" w:cs="Times New Roman"/>
          <w:szCs w:val="21"/>
          <w:lang w:eastAsia="zh-CN"/>
        </w:rPr>
        <w:t>标准预审稿技术内容等进行了激烈的</w:t>
      </w:r>
      <w:r>
        <w:rPr>
          <w:rFonts w:hint="default" w:ascii="Times New Roman" w:hAnsi="Times New Roman" w:cs="Times New Roman"/>
          <w:szCs w:val="21"/>
        </w:rPr>
        <w:t>讨论，提出了</w:t>
      </w:r>
      <w:r>
        <w:rPr>
          <w:rFonts w:hint="default" w:ascii="Times New Roman" w:hAnsi="Times New Roman" w:cs="Times New Roman"/>
          <w:szCs w:val="21"/>
          <w:lang w:eastAsia="zh-CN"/>
        </w:rPr>
        <w:t>具体的</w:t>
      </w:r>
      <w:r>
        <w:rPr>
          <w:rFonts w:hint="default" w:ascii="Times New Roman" w:hAnsi="Times New Roman" w:cs="Times New Roman"/>
          <w:szCs w:val="21"/>
        </w:rPr>
        <w:t>修改意见</w:t>
      </w:r>
      <w:r>
        <w:rPr>
          <w:rFonts w:hint="eastAsia" w:ascii="Times New Roman" w:hAnsi="Times New Roman" w:cs="Times New Roman"/>
          <w:szCs w:val="21"/>
          <w:lang w:eastAsia="zh-CN"/>
        </w:rPr>
        <w:t>和建议</w:t>
      </w:r>
      <w:r>
        <w:rPr>
          <w:rFonts w:hint="default" w:ascii="Times New Roman" w:hAnsi="Times New Roman" w:cs="Times New Roman"/>
          <w:szCs w:val="21"/>
        </w:rPr>
        <w:t>，并形成</w:t>
      </w:r>
      <w:r>
        <w:rPr>
          <w:rFonts w:hint="eastAsia" w:ascii="Times New Roman" w:hAnsi="Times New Roman" w:cs="Times New Roman"/>
          <w:szCs w:val="21"/>
          <w:lang w:eastAsia="zh-CN"/>
        </w:rPr>
        <w:t>了预审</w:t>
      </w:r>
      <w:r>
        <w:rPr>
          <w:rFonts w:hint="default" w:ascii="Times New Roman" w:hAnsi="Times New Roman" w:cs="Times New Roman"/>
          <w:szCs w:val="21"/>
        </w:rPr>
        <w:t>会议纪要</w:t>
      </w:r>
      <w:r>
        <w:rPr>
          <w:rFonts w:hint="eastAsia" w:ascii="Times New Roman" w:hAnsi="Times New Roman" w:cs="Times New Roman"/>
          <w:szCs w:val="21"/>
          <w:lang w:eastAsia="zh-CN"/>
        </w:rPr>
        <w:t>。同时根据提出的意见和建议对《预审稿》进行了修改，于</w:t>
      </w:r>
      <w:r>
        <w:rPr>
          <w:rFonts w:hint="eastAsia" w:ascii="Times New Roman" w:hAnsi="Times New Roman" w:cs="Times New Roman"/>
          <w:szCs w:val="21"/>
          <w:lang w:val="en-US" w:eastAsia="zh-CN"/>
        </w:rPr>
        <w:t>2021年6月28日形成了</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w:t>
      </w:r>
      <w:r>
        <w:rPr>
          <w:rFonts w:hint="eastAsia" w:ascii="宋体" w:hAnsi="宋体" w:eastAsia="宋体" w:cs="宋体"/>
          <w:lang w:eastAsia="zh-CN"/>
        </w:rPr>
        <w:t>送审稿。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color w:val="auto"/>
          <w:sz w:val="24"/>
          <w:highlight w:val="yellow"/>
        </w:rPr>
      </w:pPr>
      <w:r>
        <w:rPr>
          <w:rFonts w:hint="eastAsia" w:ascii="黑体" w:hAnsi="宋体" w:eastAsia="黑体"/>
          <w:bCs/>
          <w:color w:val="auto"/>
          <w:sz w:val="24"/>
          <w:highlight w:val="none"/>
        </w:rPr>
        <w:t>二、标准编制原则</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rPr>
      </w:pPr>
      <w:r>
        <w:rPr>
          <w:rFonts w:hint="eastAsia" w:ascii="宋体" w:hAnsi="宋体" w:eastAsia="宋体" w:cs="宋体"/>
          <w:color w:val="auto"/>
        </w:rPr>
        <w:t>本标准起草过程中遵循以下原则：</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rPr>
        <w:t>（一）规范性原则：本标准是根据GB/T 1.1-2020《标准化工作导则 第1部分:标准化文件的结构和起草规则》和GB/T 20001.4-2015《标准编写规则 第4部分：试验方法标准》的要求进行编写的；</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lang w:eastAsia="zh-CN"/>
        </w:rPr>
      </w:pPr>
      <w:r>
        <w:rPr>
          <w:rFonts w:hint="eastAsia" w:ascii="宋体" w:hAnsi="宋体" w:eastAsia="宋体" w:cs="宋体"/>
          <w:color w:val="auto"/>
        </w:rPr>
        <w:t>（二）先进性：</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根据最新的标准化文件的结构和起草规则编写；依据最新的产品标准指标；标准中重复性限、再现性限数据根据</w:t>
      </w:r>
      <w:r>
        <w:rPr>
          <w:rFonts w:hint="eastAsia" w:ascii="宋体" w:hAnsi="宋体" w:eastAsia="宋体" w:cs="宋体"/>
          <w:color w:val="auto"/>
          <w:lang w:val="en-US" w:eastAsia="zh-CN"/>
        </w:rPr>
        <w:t>GB/T 6379.2进行了规范的数据分析和处理；</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还在原有镝铁合金中稀土杂质含量的测定方法基础上，纳入了镧铁合金、铈铁合金、钆铁合金、钬铁合金、钇铁合金中稀土杂质含量的测定方法，将起到一套标准保障多个系列产品质量检测的作用。修订后的标准将使稀土铁合金整个标准体系朝清晰、完整、统一化又迈进了一步。同时也</w:t>
      </w:r>
      <w:r>
        <w:rPr>
          <w:rFonts w:hint="eastAsia" w:ascii="宋体" w:hAnsi="宋体" w:eastAsia="宋体" w:cs="宋体"/>
        </w:rPr>
        <w:t>体现了检测技术的进步，</w:t>
      </w:r>
      <w:r>
        <w:rPr>
          <w:rFonts w:hint="eastAsia" w:ascii="宋体" w:hAnsi="宋体" w:eastAsia="宋体" w:cs="宋体"/>
          <w:lang w:eastAsia="zh-CN"/>
        </w:rPr>
        <w:t>将推进</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产业的发展，对国内稀土生产企业及相关行业的技术进步产生积极的促进作用。</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eastAsia="zh-CN"/>
        </w:rPr>
        <w:t>三</w:t>
      </w:r>
      <w:r>
        <w:rPr>
          <w:rFonts w:hint="eastAsia" w:ascii="宋体" w:hAnsi="宋体" w:eastAsia="宋体" w:cs="宋体"/>
          <w:color w:val="auto"/>
        </w:rPr>
        <w:t>）适用性：</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以适用产品为主要原则。修订中综合考虑了所涉及各产品标准的各方面技术指标，对影响分析质量的条件</w:t>
      </w:r>
      <w:r>
        <w:rPr>
          <w:rFonts w:hint="eastAsia" w:ascii="宋体" w:hAnsi="宋体" w:eastAsia="宋体" w:cs="宋体"/>
          <w:color w:val="auto"/>
          <w:lang w:val="en-US" w:eastAsia="zh-CN"/>
        </w:rPr>
        <w:t>,全面</w:t>
      </w:r>
      <w:r>
        <w:rPr>
          <w:rFonts w:hint="eastAsia" w:ascii="宋体" w:hAnsi="宋体" w:eastAsia="宋体" w:cs="宋体"/>
          <w:color w:val="auto"/>
          <w:lang w:eastAsia="zh-CN"/>
        </w:rPr>
        <w:t>考虑了影响程度。结合实际运用情况对测定范围等各分析条件的确定，进行了深度考量。本标准能胜任对标准所涵盖产品的日常或更苛刻条件下的检测运用。</w:t>
      </w:r>
      <w:r>
        <w:rPr>
          <w:rFonts w:hint="eastAsia" w:ascii="宋体" w:hAnsi="宋体" w:eastAsia="宋体" w:cs="宋体"/>
          <w:color w:val="auto"/>
        </w:rPr>
        <w:t>本标准</w:t>
      </w:r>
      <w:r>
        <w:rPr>
          <w:rFonts w:hint="eastAsia" w:ascii="宋体" w:hAnsi="宋体" w:eastAsia="宋体" w:cs="宋体"/>
          <w:color w:val="auto"/>
          <w:lang w:eastAsia="zh-CN"/>
        </w:rPr>
        <w:t>除考虑了与产品兼容外，修订中还考虑了使用简单、快速准确、成本低的特点，能更好的满足</w:t>
      </w:r>
      <w:r>
        <w:rPr>
          <w:rFonts w:hint="eastAsia" w:ascii="宋体" w:hAnsi="宋体" w:eastAsia="宋体" w:cs="宋体"/>
          <w:color w:val="auto"/>
          <w:szCs w:val="20"/>
        </w:rPr>
        <w:t>客户</w:t>
      </w:r>
      <w:r>
        <w:rPr>
          <w:rFonts w:hint="eastAsia" w:ascii="宋体" w:hAnsi="宋体" w:eastAsia="宋体" w:cs="宋体"/>
          <w:color w:val="auto"/>
          <w:szCs w:val="20"/>
          <w:lang w:eastAsia="zh-CN"/>
        </w:rPr>
        <w:t>及操作人员</w:t>
      </w:r>
      <w:r>
        <w:rPr>
          <w:rFonts w:hint="eastAsia" w:ascii="宋体" w:hAnsi="宋体" w:eastAsia="宋体" w:cs="宋体"/>
          <w:color w:val="auto"/>
          <w:szCs w:val="20"/>
        </w:rPr>
        <w:t>的要求</w:t>
      </w:r>
      <w:r>
        <w:rPr>
          <w:rFonts w:hint="eastAsia" w:ascii="宋体" w:hAnsi="宋体" w:eastAsia="宋体" w:cs="宋体"/>
          <w:color w:val="auto"/>
          <w:szCs w:val="21"/>
        </w:rPr>
        <w:t>。</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eastAsia="zh-CN"/>
        </w:rPr>
        <w:t>四</w:t>
      </w:r>
      <w:r>
        <w:rPr>
          <w:rFonts w:hint="eastAsia" w:ascii="宋体" w:hAnsi="宋体" w:eastAsia="宋体" w:cs="宋体"/>
          <w:color w:val="auto"/>
        </w:rPr>
        <w:t>）</w:t>
      </w:r>
      <w:r>
        <w:rPr>
          <w:rFonts w:hint="eastAsia" w:ascii="宋体" w:hAnsi="宋体" w:eastAsia="宋体" w:cs="宋体"/>
          <w:color w:val="auto"/>
          <w:szCs w:val="21"/>
        </w:rPr>
        <w:t>充分考虑国家法律、安全、卫生、环保法规的要求。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sz w:val="24"/>
          <w:highlight w:val="none"/>
        </w:rPr>
      </w:pPr>
      <w:r>
        <w:rPr>
          <w:rFonts w:hint="eastAsia" w:ascii="黑体" w:hAnsi="宋体" w:eastAsia="黑体"/>
          <w:bCs/>
          <w:sz w:val="24"/>
          <w:highlight w:val="none"/>
        </w:rPr>
        <w:t>三、标准主要内容、确定依据及主要试验和验证情况分析</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（一）标准的主要内容、确定的依据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rPr>
      </w:pPr>
      <w:r>
        <w:rPr>
          <w:rFonts w:hint="eastAsia" w:ascii="黑体" w:hAnsi="宋体" w:eastAsia="黑体"/>
          <w:bCs/>
          <w:sz w:val="24"/>
        </w:rPr>
        <w:t>本标准为修订</w:t>
      </w:r>
      <w:r>
        <w:rPr>
          <w:rFonts w:ascii="黑体" w:hAnsi="宋体" w:eastAsia="黑体"/>
          <w:bCs/>
          <w:sz w:val="24"/>
        </w:rPr>
        <w:t>标准</w:t>
      </w:r>
      <w:r>
        <w:rPr>
          <w:rFonts w:hint="eastAsia" w:ascii="黑体" w:hAnsi="宋体" w:eastAsia="黑体"/>
          <w:bCs/>
          <w:sz w:val="24"/>
        </w:rPr>
        <w:t>，因此在标准的修订过程中主要对以下几个方面进行了确认：</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rPr>
      </w:pPr>
      <w:r>
        <w:rPr>
          <w:rFonts w:hint="eastAsia" w:hAnsi="黑体"/>
          <w:lang w:val="en-US" w:eastAsia="zh-CN"/>
        </w:rPr>
        <w:t>1</w:t>
      </w:r>
      <w:r>
        <w:rPr>
          <w:rFonts w:hint="eastAsia" w:hAnsi="黑体"/>
        </w:rPr>
        <w:t>、测定范围</w:t>
      </w:r>
    </w:p>
    <w:p>
      <w:pPr>
        <w:keepNext w:val="0"/>
        <w:keepLines w:val="0"/>
        <w:pageBreakBefore w:val="0"/>
        <w:widowControl w:val="0"/>
        <w:tabs>
          <w:tab w:val="left" w:pos="1118"/>
        </w:tabs>
        <w:kinsoku/>
        <w:wordWrap/>
        <w:overflowPunct/>
        <w:topLinePunct w:val="0"/>
        <w:autoSpaceDE/>
        <w:autoSpaceDN/>
        <w:bidi w:val="0"/>
        <w:adjustRightInd/>
        <w:snapToGrid/>
        <w:spacing w:line="312" w:lineRule="auto"/>
        <w:ind w:firstLine="403"/>
        <w:textAlignment w:val="auto"/>
        <w:rPr>
          <w:rFonts w:hint="eastAsia" w:ascii="宋体" w:hAnsi="宋体" w:eastAsia="宋体" w:cs="宋体"/>
        </w:rPr>
      </w:pPr>
      <w:r>
        <w:rPr>
          <w:rFonts w:hint="eastAsia" w:ascii="宋体" w:hAnsi="宋体" w:eastAsia="宋体" w:cs="宋体"/>
        </w:rPr>
        <w:t xml:space="preserve">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《稀土</w:t>
      </w:r>
      <w:r>
        <w:rPr>
          <w:rFonts w:hint="eastAsia" w:ascii="宋体" w:hAnsi="宋体" w:eastAsia="宋体" w:cs="宋体"/>
          <w:lang w:eastAsia="zh-CN"/>
        </w:rPr>
        <w:t>铁合金化学分析方法</w:t>
      </w:r>
      <w:r>
        <w:rPr>
          <w:rFonts w:hint="eastAsia" w:ascii="宋体" w:hAnsi="宋体" w:eastAsia="宋体" w:cs="宋体"/>
        </w:rPr>
        <w:t xml:space="preserve">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w:t>
      </w:r>
      <w:r>
        <w:rPr>
          <w:rFonts w:hint="eastAsia" w:ascii="宋体" w:hAnsi="宋体" w:eastAsia="宋体" w:cs="宋体"/>
        </w:rPr>
        <w:t>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》修订时，</w:t>
      </w:r>
      <w:r>
        <w:rPr>
          <w:rFonts w:hint="eastAsia" w:ascii="宋体" w:hAnsi="宋体" w:eastAsia="宋体" w:cs="宋体"/>
          <w:lang w:eastAsia="zh-CN"/>
        </w:rPr>
        <w:t>稀土杂质</w:t>
      </w:r>
      <w:r>
        <w:rPr>
          <w:rFonts w:hint="eastAsia" w:ascii="宋体" w:hAnsi="宋体" w:eastAsia="宋体" w:cs="宋体"/>
        </w:rPr>
        <w:t>元素的测定范围参照</w:t>
      </w:r>
      <w:r>
        <w:rPr>
          <w:rFonts w:hint="eastAsia" w:ascii="宋体" w:hAnsi="宋体" w:eastAsia="宋体" w:cs="宋体"/>
          <w:lang w:eastAsia="zh-CN"/>
        </w:rPr>
        <w:t>了各稀土铁合金产品标准中稀土杂质含量的合量指标与原标准的测定范围</w:t>
      </w:r>
      <w:r>
        <w:rPr>
          <w:rFonts w:hint="eastAsia" w:ascii="宋体" w:hAnsi="宋体" w:eastAsia="宋体" w:cs="宋体"/>
        </w:rPr>
        <w:t>制定。编制组充分调研了</w:t>
      </w:r>
      <w:r>
        <w:rPr>
          <w:rFonts w:hint="eastAsia" w:ascii="宋体" w:hAnsi="宋体" w:eastAsia="宋体" w:cs="宋体"/>
          <w:lang w:eastAsia="zh-CN"/>
        </w:rPr>
        <w:t>各</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产品</w:t>
      </w:r>
      <w:r>
        <w:rPr>
          <w:rFonts w:hint="eastAsia" w:ascii="宋体" w:hAnsi="宋体" w:eastAsia="宋体" w:cs="宋体"/>
          <w:lang w:eastAsia="zh-CN"/>
        </w:rPr>
        <w:t>中各稀土杂质元素的含量上下限</w:t>
      </w:r>
      <w:r>
        <w:rPr>
          <w:rFonts w:hint="eastAsia" w:ascii="宋体" w:hAnsi="宋体" w:eastAsia="宋体" w:cs="宋体"/>
        </w:rPr>
        <w:t>，</w:t>
      </w:r>
      <w:r>
        <w:rPr>
          <w:rFonts w:hint="eastAsia" w:ascii="宋体" w:hAnsi="宋体" w:eastAsia="宋体" w:cs="宋体"/>
          <w:lang w:eastAsia="zh-CN"/>
        </w:rPr>
        <w:t>咨询了各科研院所，结合所有的指标确定了各稀土铁合金中各稀土杂质含量的测定范围，具体见表</w:t>
      </w:r>
      <w:r>
        <w:rPr>
          <w:rFonts w:hint="eastAsia" w:ascii="宋体" w:hAnsi="宋体" w:eastAsia="宋体" w:cs="宋体"/>
          <w:lang w:val="en-US" w:eastAsia="zh-CN"/>
        </w:rPr>
        <w:t>2</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before="157" w:beforeLines="50" w:after="0" w:afterLines="0" w:line="360" w:lineRule="exact"/>
        <w:ind w:firstLine="0"/>
        <w:jc w:val="center"/>
        <w:textAlignment w:val="auto"/>
        <w:rPr>
          <w:rFonts w:hint="eastAsia" w:ascii="黑体" w:hAnsi="黑体" w:eastAsia="黑体"/>
          <w:szCs w:val="21"/>
          <w:lang w:eastAsia="zh-CN"/>
        </w:rPr>
      </w:pPr>
      <w:r>
        <w:rPr>
          <w:rFonts w:hint="eastAsia" w:ascii="黑体" w:hAnsi="黑体" w:eastAsia="黑体"/>
          <w:szCs w:val="21"/>
        </w:rPr>
        <w:t>表</w:t>
      </w:r>
      <w:r>
        <w:rPr>
          <w:rFonts w:hint="eastAsia" w:ascii="黑体" w:hAnsi="黑体" w:eastAsia="黑体"/>
          <w:szCs w:val="21"/>
          <w:lang w:val="en-US" w:eastAsia="zh-CN"/>
        </w:rPr>
        <w:t xml:space="preserve">2 </w:t>
      </w:r>
      <w:r>
        <w:rPr>
          <w:rFonts w:hint="eastAsia" w:ascii="黑体" w:hAnsi="黑体" w:eastAsia="黑体"/>
          <w:szCs w:val="21"/>
          <w:lang w:eastAsia="zh-CN"/>
        </w:rPr>
        <w:t>测定</w:t>
      </w:r>
      <w:r>
        <w:rPr>
          <w:rFonts w:ascii="黑体" w:hAnsi="黑体" w:eastAsia="黑体"/>
          <w:szCs w:val="21"/>
        </w:rPr>
        <w:t>范围</w:t>
      </w:r>
      <w:r>
        <w:rPr>
          <w:rFonts w:hint="eastAsia" w:ascii="黑体" w:hAnsi="黑体" w:eastAsia="黑体"/>
          <w:szCs w:val="21"/>
          <w:lang w:eastAsia="zh-CN"/>
        </w:rPr>
        <w:t>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单位为</w:t>
      </w:r>
      <w:r>
        <w:rPr>
          <w:rFonts w:hint="eastAsia" w:ascii="宋体" w:hAnsi="宋体" w:eastAsia="宋体" w:cs="宋体"/>
          <w:sz w:val="18"/>
          <w:szCs w:val="18"/>
          <w:lang w:val="en-US" w:eastAsia="zh-CN"/>
        </w:rPr>
        <w:t xml:space="preserve"> %</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0"/>
        <w:gridCol w:w="1340"/>
        <w:gridCol w:w="1342"/>
        <w:gridCol w:w="1342"/>
        <w:gridCol w:w="1342"/>
        <w:gridCol w:w="1343"/>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元素</w:t>
            </w:r>
          </w:p>
        </w:tc>
        <w:tc>
          <w:tcPr>
            <w:tcW w:w="1340"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镧铁合金</w:t>
            </w:r>
          </w:p>
        </w:tc>
        <w:tc>
          <w:tcPr>
            <w:tcW w:w="1342"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铈铁合金</w:t>
            </w:r>
          </w:p>
        </w:tc>
        <w:tc>
          <w:tcPr>
            <w:tcW w:w="1342"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钆铁合金</w:t>
            </w:r>
          </w:p>
        </w:tc>
        <w:tc>
          <w:tcPr>
            <w:tcW w:w="1342"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镝铁合金</w:t>
            </w:r>
          </w:p>
        </w:tc>
        <w:tc>
          <w:tcPr>
            <w:tcW w:w="1343"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钬铁合金</w:t>
            </w:r>
          </w:p>
        </w:tc>
        <w:tc>
          <w:tcPr>
            <w:tcW w:w="1352" w:type="dxa"/>
            <w:noWrap/>
            <w:vAlign w:val="center"/>
          </w:tcPr>
          <w:p>
            <w:pPr>
              <w:spacing w:line="276" w:lineRule="auto"/>
              <w:jc w:val="center"/>
              <w:rPr>
                <w:rFonts w:hint="eastAsia" w:ascii="宋体" w:hAnsi="宋体" w:eastAsia="宋体" w:cs="宋体"/>
                <w:b/>
                <w:bCs/>
                <w:color w:val="000000"/>
                <w:kern w:val="0"/>
                <w:sz w:val="18"/>
                <w:szCs w:val="18"/>
              </w:rPr>
            </w:pPr>
            <w:r>
              <w:rPr>
                <w:rFonts w:hint="eastAsia" w:ascii="宋体" w:hAnsi="宋体" w:eastAsia="宋体" w:cs="宋体"/>
                <w:b/>
                <w:bCs/>
                <w:sz w:val="18"/>
                <w:szCs w:val="18"/>
              </w:rPr>
              <w:t>钇铁合金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镧</w:t>
            </w:r>
          </w:p>
        </w:tc>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铈</w:t>
            </w:r>
          </w:p>
        </w:tc>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镨</w:t>
            </w:r>
          </w:p>
        </w:tc>
        <w:tc>
          <w:tcPr>
            <w:tcW w:w="1340" w:type="dxa"/>
            <w:noWrap/>
            <w:vAlign w:val="center"/>
          </w:tcPr>
          <w:p>
            <w:pPr>
              <w:spacing w:line="276"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钕</w:t>
            </w:r>
          </w:p>
        </w:tc>
        <w:tc>
          <w:tcPr>
            <w:tcW w:w="1340"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钐</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铕</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钆</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铽</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镝</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钬</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0.010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铒</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铥</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镱</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镥</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spacing w:line="276" w:lineRule="auto"/>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钇</w:t>
            </w:r>
          </w:p>
        </w:tc>
        <w:tc>
          <w:tcPr>
            <w:tcW w:w="1340"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0.25</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43"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0.0050</w:t>
            </w:r>
            <w:r>
              <w:rPr>
                <w:rFonts w:hint="eastAsia" w:ascii="宋体" w:hAnsi="宋体" w:eastAsia="宋体" w:cs="宋体"/>
                <w:color w:val="000000"/>
                <w:sz w:val="18"/>
                <w:szCs w:val="18"/>
              </w:rPr>
              <w:t>～</w:t>
            </w:r>
            <w:r>
              <w:rPr>
                <w:rFonts w:hint="eastAsia" w:ascii="宋体" w:hAnsi="宋体" w:eastAsia="宋体" w:cs="宋体"/>
                <w:sz w:val="18"/>
                <w:szCs w:val="18"/>
              </w:rPr>
              <w:t>0.30</w:t>
            </w:r>
          </w:p>
        </w:tc>
        <w:tc>
          <w:tcPr>
            <w:tcW w:w="1352" w:type="dxa"/>
            <w:noWrap/>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w:t>
            </w:r>
          </w:p>
        </w:tc>
      </w:tr>
    </w:tbl>
    <w:p>
      <w:pPr>
        <w:pStyle w:val="11"/>
        <w:keepNext w:val="0"/>
        <w:keepLines w:val="0"/>
        <w:pageBreakBefore w:val="0"/>
        <w:widowControl/>
        <w:tabs>
          <w:tab w:val="clear" w:pos="675"/>
        </w:tabs>
        <w:kinsoku/>
        <w:wordWrap/>
        <w:overflowPunct/>
        <w:topLinePunct w:val="0"/>
        <w:autoSpaceDE/>
        <w:autoSpaceDN/>
        <w:bidi w:val="0"/>
        <w:adjustRightInd/>
        <w:snapToGrid/>
        <w:spacing w:before="313" w:beforeLines="100" w:after="156" w:afterLines="50" w:line="360" w:lineRule="exact"/>
        <w:ind w:left="0" w:leftChars="0" w:firstLine="0" w:firstLineChars="0"/>
        <w:textAlignment w:val="auto"/>
        <w:rPr>
          <w:rFonts w:hint="eastAsia" w:hAnsi="黑体"/>
          <w:szCs w:val="22"/>
          <w:lang w:val="en-US" w:eastAsia="zh-CN"/>
        </w:rPr>
      </w:pPr>
      <w:r>
        <w:rPr>
          <w:rFonts w:hint="eastAsia" w:hAnsi="黑体"/>
          <w:szCs w:val="22"/>
          <w:lang w:val="en-US" w:eastAsia="zh-CN"/>
        </w:rPr>
        <w:t>2、分析谱线</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cs="宋体" w:asciiTheme="minorEastAsia" w:hAnsiTheme="minorEastAsia"/>
          <w:sz w:val="21"/>
          <w:szCs w:val="21"/>
          <w:lang w:val="en-US" w:eastAsia="zh-CN"/>
        </w:rPr>
      </w:pPr>
      <w:r>
        <w:rPr>
          <w:rFonts w:hint="eastAsia" w:cs="宋体" w:asciiTheme="minorEastAsia" w:hAnsiTheme="minorEastAsia" w:eastAsiaTheme="minorEastAsia"/>
          <w:sz w:val="21"/>
          <w:szCs w:val="21"/>
        </w:rPr>
        <w:t>采用轮廓扫描对各被测元素的预选分析线进行波长扫描，选出无基体干扰，无稀土杂质干扰，无共存非稀土杂质元素干扰，线背比大，峰型好的分析线。</w:t>
      </w:r>
      <w:r>
        <w:rPr>
          <w:rFonts w:hint="eastAsia" w:cs="宋体" w:asciiTheme="minorEastAsia" w:hAnsiTheme="minorEastAsia"/>
          <w:sz w:val="21"/>
          <w:szCs w:val="21"/>
          <w:lang w:eastAsia="zh-CN"/>
        </w:rPr>
        <w:t>参考原标准分析谱线，采用各系列标准溶液的低、高或低、中、高点对预选谱线与原标准谱线描图，判断基体干扰情况；依据测定上限含量要求，采用各单一稀土标准对无基体干扰预选谱线与原标准谱线描图，判断共存稀土杂质干扰情况；依据共存非稀土杂质最大或多倍含量要求，采用各单一非稀土标准对无基体且无共存稀土杂质干扰的预选谱线与原标准谱线描图，判断共存非稀土杂质元素干扰情况，再结合</w:t>
      </w:r>
      <w:r>
        <w:rPr>
          <w:rFonts w:hint="eastAsia" w:cs="宋体" w:asciiTheme="minorEastAsia" w:hAnsiTheme="minorEastAsia" w:eastAsiaTheme="minorEastAsia"/>
          <w:sz w:val="21"/>
          <w:szCs w:val="21"/>
        </w:rPr>
        <w:t>线背比大，峰型好的分析线</w:t>
      </w:r>
      <w:r>
        <w:rPr>
          <w:rFonts w:hint="eastAsia" w:cs="宋体" w:asciiTheme="minorEastAsia" w:hAnsiTheme="minorEastAsia"/>
          <w:sz w:val="21"/>
          <w:szCs w:val="21"/>
          <w:lang w:eastAsia="zh-CN"/>
        </w:rPr>
        <w:t>等条件，确定推荐分析谱线见表</w:t>
      </w:r>
      <w:r>
        <w:rPr>
          <w:rFonts w:hint="eastAsia" w:cs="宋体" w:asciiTheme="minorEastAsia" w:hAnsiTheme="minor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eastAsia="黑体"/>
          <w:lang w:eastAsia="zh-CN"/>
        </w:rPr>
      </w:pPr>
      <w:r>
        <w:rPr>
          <w:rFonts w:hint="eastAsia" w:eastAsia="黑体"/>
        </w:rPr>
        <w:t>表</w:t>
      </w:r>
      <w:r>
        <w:rPr>
          <w:rFonts w:hint="eastAsia" w:ascii="黑体" w:hAnsi="黑体" w:eastAsia="黑体" w:cs="黑体"/>
          <w:lang w:val="en-US" w:eastAsia="zh-CN"/>
        </w:rPr>
        <w:t xml:space="preserve">3  </w:t>
      </w:r>
      <w:r>
        <w:rPr>
          <w:rFonts w:hint="eastAsia" w:eastAsia="黑体"/>
        </w:rPr>
        <w:t>分析谱线波长</w:t>
      </w:r>
      <w:r>
        <w:rPr>
          <w:rFonts w:hint="eastAsia" w:eastAsia="黑体"/>
          <w:lang w:eastAsia="zh-CN"/>
        </w:rPr>
        <w:t>表</w:t>
      </w:r>
    </w:p>
    <w:p>
      <w:pPr>
        <w:tabs>
          <w:tab w:val="left" w:pos="4139"/>
          <w:tab w:val="center" w:pos="4737"/>
        </w:tabs>
        <w:spacing w:line="220" w:lineRule="exact"/>
        <w:jc w:val="center"/>
        <w:rPr>
          <w:rFonts w:hint="eastAsia"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单位为 nm</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343"/>
        <w:gridCol w:w="1347"/>
        <w:gridCol w:w="1347"/>
        <w:gridCol w:w="1347"/>
        <w:gridCol w:w="1347"/>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restart"/>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元素</w:t>
            </w:r>
          </w:p>
        </w:tc>
        <w:tc>
          <w:tcPr>
            <w:tcW w:w="4424" w:type="pct"/>
            <w:gridSpan w:val="6"/>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各稀土铁合金中推荐分析谱线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tcBorders>
              <w:bottom w:val="single" w:color="auto" w:sz="8" w:space="0"/>
            </w:tcBorders>
            <w:noWrap w:val="0"/>
            <w:vAlign w:val="center"/>
          </w:tcPr>
          <w:p>
            <w:pPr>
              <w:jc w:val="center"/>
              <w:rPr>
                <w:rFonts w:hint="eastAsia" w:ascii="宋体" w:hAnsi="宋体" w:eastAsia="宋体" w:cs="宋体"/>
                <w:b/>
                <w:bCs/>
                <w:sz w:val="18"/>
                <w:szCs w:val="18"/>
              </w:rPr>
            </w:pPr>
          </w:p>
        </w:tc>
        <w:tc>
          <w:tcPr>
            <w:tcW w:w="734" w:type="pct"/>
            <w:tcBorders>
              <w:bottom w:val="single" w:color="auto" w:sz="8" w:space="0"/>
            </w:tcBorders>
            <w:noWrap w:val="0"/>
            <w:vAlign w:val="center"/>
          </w:tcPr>
          <w:p>
            <w:pPr>
              <w:ind w:firstLine="181" w:firstLineChars="100"/>
              <w:jc w:val="center"/>
              <w:rPr>
                <w:rFonts w:hint="eastAsia" w:ascii="宋体" w:hAnsi="宋体" w:eastAsia="宋体" w:cs="宋体"/>
                <w:b/>
                <w:bCs/>
                <w:sz w:val="18"/>
                <w:szCs w:val="18"/>
              </w:rPr>
            </w:pPr>
            <w:r>
              <w:rPr>
                <w:rFonts w:hint="eastAsia" w:ascii="宋体" w:hAnsi="宋体" w:eastAsia="宋体" w:cs="宋体"/>
                <w:b/>
                <w:bCs/>
                <w:sz w:val="18"/>
                <w:szCs w:val="18"/>
              </w:rPr>
              <w:t>镧铁合金</w:t>
            </w:r>
          </w:p>
        </w:tc>
        <w:tc>
          <w:tcPr>
            <w:tcW w:w="736" w:type="pct"/>
            <w:tcBorders>
              <w:bottom w:val="single" w:color="auto" w:sz="8" w:space="0"/>
            </w:tcBorders>
            <w:noWrap w:val="0"/>
            <w:vAlign w:val="center"/>
          </w:tcPr>
          <w:p>
            <w:pPr>
              <w:ind w:firstLine="271" w:firstLineChars="150"/>
              <w:rPr>
                <w:rFonts w:hint="eastAsia" w:ascii="宋体" w:hAnsi="宋体" w:eastAsia="宋体" w:cs="宋体"/>
                <w:b/>
                <w:bCs/>
                <w:sz w:val="18"/>
                <w:szCs w:val="18"/>
              </w:rPr>
            </w:pPr>
            <w:r>
              <w:rPr>
                <w:rFonts w:hint="eastAsia" w:ascii="宋体" w:hAnsi="宋体" w:eastAsia="宋体" w:cs="宋体"/>
                <w:b/>
                <w:bCs/>
                <w:sz w:val="18"/>
                <w:szCs w:val="18"/>
              </w:rPr>
              <w:t>铈铁合金</w:t>
            </w:r>
          </w:p>
        </w:tc>
        <w:tc>
          <w:tcPr>
            <w:tcW w:w="736" w:type="pct"/>
            <w:tcBorders>
              <w:bottom w:val="single" w:color="auto" w:sz="8" w:space="0"/>
            </w:tcBorders>
            <w:noWrap w:val="0"/>
            <w:vAlign w:val="center"/>
          </w:tcPr>
          <w:p>
            <w:pPr>
              <w:ind w:firstLine="181" w:firstLineChars="100"/>
              <w:rPr>
                <w:rFonts w:hint="eastAsia" w:ascii="宋体" w:hAnsi="宋体" w:eastAsia="宋体" w:cs="宋体"/>
                <w:b/>
                <w:bCs/>
                <w:sz w:val="18"/>
                <w:szCs w:val="18"/>
              </w:rPr>
            </w:pPr>
            <w:r>
              <w:rPr>
                <w:rFonts w:hint="eastAsia" w:ascii="宋体" w:hAnsi="宋体" w:eastAsia="宋体" w:cs="宋体"/>
                <w:b/>
                <w:bCs/>
                <w:sz w:val="18"/>
                <w:szCs w:val="18"/>
              </w:rPr>
              <w:t>钆铁合金</w:t>
            </w:r>
          </w:p>
        </w:tc>
        <w:tc>
          <w:tcPr>
            <w:tcW w:w="736" w:type="pct"/>
            <w:tcBorders>
              <w:bottom w:val="single" w:color="auto" w:sz="8" w:space="0"/>
            </w:tcBorders>
            <w:noWrap w:val="0"/>
            <w:vAlign w:val="center"/>
          </w:tcPr>
          <w:p>
            <w:pPr>
              <w:ind w:firstLine="181" w:firstLineChars="100"/>
              <w:rPr>
                <w:rFonts w:hint="eastAsia" w:ascii="宋体" w:hAnsi="宋体" w:eastAsia="宋体" w:cs="宋体"/>
                <w:b/>
                <w:bCs/>
                <w:sz w:val="18"/>
                <w:szCs w:val="18"/>
              </w:rPr>
            </w:pPr>
            <w:r>
              <w:rPr>
                <w:rFonts w:hint="eastAsia" w:ascii="宋体" w:hAnsi="宋体" w:eastAsia="宋体" w:cs="宋体"/>
                <w:b/>
                <w:bCs/>
                <w:sz w:val="18"/>
                <w:szCs w:val="18"/>
              </w:rPr>
              <w:t>镝铁合金</w:t>
            </w:r>
          </w:p>
        </w:tc>
        <w:tc>
          <w:tcPr>
            <w:tcW w:w="736" w:type="pct"/>
            <w:tcBorders>
              <w:bottom w:val="single" w:color="auto" w:sz="8" w:space="0"/>
            </w:tcBorders>
            <w:noWrap w:val="0"/>
            <w:vAlign w:val="center"/>
          </w:tcPr>
          <w:p>
            <w:pPr>
              <w:ind w:firstLine="181" w:firstLineChars="100"/>
              <w:rPr>
                <w:rFonts w:hint="eastAsia" w:ascii="宋体" w:hAnsi="宋体" w:eastAsia="宋体" w:cs="宋体"/>
                <w:b/>
                <w:bCs/>
                <w:sz w:val="18"/>
                <w:szCs w:val="18"/>
              </w:rPr>
            </w:pPr>
            <w:r>
              <w:rPr>
                <w:rFonts w:hint="eastAsia" w:ascii="宋体" w:hAnsi="宋体" w:eastAsia="宋体" w:cs="宋体"/>
                <w:b/>
                <w:bCs/>
                <w:sz w:val="18"/>
                <w:szCs w:val="18"/>
              </w:rPr>
              <w:t>钬铁合金</w:t>
            </w:r>
          </w:p>
        </w:tc>
        <w:tc>
          <w:tcPr>
            <w:tcW w:w="743" w:type="pct"/>
            <w:tcBorders>
              <w:bottom w:val="single" w:color="auto" w:sz="8" w:space="0"/>
            </w:tcBorders>
            <w:noWrap w:val="0"/>
            <w:vAlign w:val="center"/>
          </w:tcPr>
          <w:p>
            <w:pPr>
              <w:ind w:firstLine="181" w:firstLineChars="100"/>
              <w:rPr>
                <w:rFonts w:hint="eastAsia" w:ascii="宋体" w:hAnsi="宋体" w:eastAsia="宋体" w:cs="宋体"/>
                <w:b/>
                <w:bCs/>
                <w:sz w:val="18"/>
                <w:szCs w:val="18"/>
              </w:rPr>
            </w:pPr>
            <w:r>
              <w:rPr>
                <w:rFonts w:hint="eastAsia" w:ascii="宋体" w:hAnsi="宋体" w:eastAsia="宋体" w:cs="宋体"/>
                <w:b/>
                <w:bCs/>
                <w:sz w:val="18"/>
                <w:szCs w:val="18"/>
              </w:rPr>
              <w:t>钇铁合金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top w:val="single" w:color="auto" w:sz="8"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La</w:t>
            </w:r>
          </w:p>
        </w:tc>
        <w:tc>
          <w:tcPr>
            <w:tcW w:w="734" w:type="pct"/>
            <w:tcBorders>
              <w:top w:val="single" w:color="auto" w:sz="8"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333.749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399.575</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333.749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412.323</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379.477</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tc>
        <w:tc>
          <w:tcPr>
            <w:tcW w:w="743"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Ce</w:t>
            </w:r>
          </w:p>
        </w:tc>
        <w:tc>
          <w:tcPr>
            <w:tcW w:w="734"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446.020</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428.994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429.668</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413.380</w:t>
            </w:r>
          </w:p>
        </w:tc>
        <w:tc>
          <w:tcPr>
            <w:tcW w:w="743"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413.765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Pr</w:t>
            </w:r>
          </w:p>
        </w:tc>
        <w:tc>
          <w:tcPr>
            <w:tcW w:w="734"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422.293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511.077</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410.072</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410.072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511.076</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390.843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tc>
        <w:tc>
          <w:tcPr>
            <w:tcW w:w="743"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440.882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Nd</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430.357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406.109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410.946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417.732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430.357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410.946</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444.639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Sm</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443.432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359.260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388.528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442.434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363.427</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442.434</w:t>
            </w:r>
          </w:p>
        </w:tc>
        <w:tc>
          <w:tcPr>
            <w:tcW w:w="736" w:type="pct"/>
            <w:noWrap w:val="0"/>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443.432</w:t>
            </w:r>
          </w:p>
          <w:p>
            <w:pPr>
              <w:spacing w:line="240" w:lineRule="exact"/>
              <w:jc w:val="center"/>
              <w:rPr>
                <w:rFonts w:hint="eastAsia" w:ascii="宋体" w:hAnsi="宋体" w:eastAsia="宋体" w:cs="宋体"/>
                <w:sz w:val="18"/>
                <w:szCs w:val="18"/>
              </w:rPr>
            </w:pPr>
            <w:r>
              <w:rPr>
                <w:rFonts w:hint="eastAsia" w:ascii="宋体" w:hAnsi="宋体" w:eastAsia="宋体" w:cs="宋体"/>
                <w:color w:val="auto"/>
                <w:sz w:val="18"/>
                <w:szCs w:val="18"/>
              </w:rPr>
              <w:t>446.</w:t>
            </w:r>
            <w:r>
              <w:rPr>
                <w:rFonts w:hint="eastAsia" w:ascii="宋体" w:hAnsi="宋体" w:eastAsia="宋体" w:cs="宋体"/>
                <w:color w:val="auto"/>
                <w:sz w:val="18"/>
                <w:szCs w:val="18"/>
                <w:lang w:val="en-US" w:eastAsia="zh-CN"/>
              </w:rPr>
              <w:t>734</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428.097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443.432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Eu</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412.974</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272.778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420.504</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Gd</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376.840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310.051</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335.048</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376.840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385.098</w:t>
            </w:r>
          </w:p>
        </w:tc>
        <w:tc>
          <w:tcPr>
            <w:tcW w:w="1374" w:type="dxa"/>
            <w:noWrap w:val="0"/>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385.098</w:t>
            </w:r>
          </w:p>
          <w:p>
            <w:pPr>
              <w:spacing w:line="240" w:lineRule="exact"/>
              <w:jc w:val="center"/>
              <w:rPr>
                <w:rFonts w:hint="eastAsia" w:ascii="宋体" w:hAnsi="宋体" w:eastAsia="宋体" w:cs="宋体"/>
                <w:sz w:val="18"/>
                <w:szCs w:val="18"/>
              </w:rPr>
            </w:pPr>
            <w:r>
              <w:rPr>
                <w:rFonts w:hint="eastAsia" w:ascii="宋体" w:hAnsi="宋体" w:eastAsia="宋体" w:cs="宋体"/>
                <w:color w:val="auto"/>
                <w:sz w:val="18"/>
                <w:szCs w:val="18"/>
              </w:rPr>
              <w:t>354.9</w:t>
            </w:r>
            <w:r>
              <w:rPr>
                <w:rFonts w:hint="eastAsia" w:ascii="宋体" w:hAnsi="宋体" w:eastAsia="宋体" w:cs="宋体"/>
                <w:color w:val="auto"/>
                <w:sz w:val="18"/>
                <w:szCs w:val="18"/>
                <w:lang w:val="en-US" w:eastAsia="zh-CN"/>
              </w:rPr>
              <w:t>36</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335.047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Tb</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356.174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370.285</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400.547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350.917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Dy</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340.784</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353.602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394.469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407.797</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Ho</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404.544</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404.544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339.898</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Er</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337.275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323.059</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390.631</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390.631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Tm</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313.125</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379.575</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Yb</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289.138</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369.420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369.420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Lu</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Y</w:t>
            </w:r>
          </w:p>
        </w:tc>
        <w:tc>
          <w:tcPr>
            <w:tcW w:w="1371"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377.433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377.433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1374"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360.192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139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 xml:space="preserve">3、系列标准溶液的制备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3.1基体浓度</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cs="宋体" w:asciiTheme="minorEastAsia" w:hAnsiTheme="minorEastAsia"/>
          <w:sz w:val="21"/>
          <w:szCs w:val="21"/>
          <w:lang w:val="en-US" w:eastAsia="zh-CN"/>
        </w:rPr>
      </w:pPr>
      <w:r>
        <w:rPr>
          <w:rFonts w:hint="eastAsia" w:cs="宋体" w:asciiTheme="minorEastAsia" w:hAnsiTheme="minorEastAsia" w:eastAsiaTheme="minorEastAsia"/>
          <w:sz w:val="21"/>
          <w:szCs w:val="21"/>
        </w:rPr>
        <w:t>基体浓度越大，被测元素的量越多，测定下限可以降低，但线背比会有所下降；基体浓度越小，则反之。方法谱线较多的情况下很难同时满足各谱线的最佳条件，因此基体浓度的选择一般是结合各方面考虑折中综合选择，能满足测范围的要求即可。</w:t>
      </w:r>
      <w:r>
        <w:rPr>
          <w:rFonts w:hint="eastAsia" w:cs="宋体" w:asciiTheme="minorEastAsia" w:hAnsiTheme="minorEastAsia"/>
          <w:sz w:val="21"/>
          <w:szCs w:val="21"/>
          <w:lang w:val="en-US" w:eastAsia="zh-CN"/>
        </w:rPr>
        <w:t>结合调研稀土铁合金行业分析检测实际操作情况与参考原标准，通过测定下限与检出限试验综合考虑，基体浓度确定见表3。</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cs="宋体" w:asciiTheme="minorEastAsia" w:hAnsiTheme="minorEastAsia"/>
          <w:sz w:val="21"/>
          <w:szCs w:val="21"/>
          <w:lang w:val="en-US" w:eastAsia="zh-CN"/>
        </w:rPr>
      </w:pPr>
      <w:r>
        <w:rPr>
          <w:rFonts w:hint="eastAsia" w:cs="宋体" w:asciiTheme="minorEastAsia" w:hAnsiTheme="minorEastAsia"/>
          <w:sz w:val="21"/>
          <w:szCs w:val="21"/>
          <w:lang w:val="en-US" w:eastAsia="zh-CN"/>
        </w:rPr>
        <w:t>3.2 基体比例</w:t>
      </w:r>
    </w:p>
    <w:p>
      <w:pPr>
        <w:keepNext w:val="0"/>
        <w:keepLines w:val="0"/>
        <w:pageBreakBefore w:val="0"/>
        <w:widowControl/>
        <w:kinsoku/>
        <w:wordWrap/>
        <w:overflowPunct/>
        <w:topLinePunct w:val="0"/>
        <w:autoSpaceDE/>
        <w:autoSpaceDN/>
        <w:bidi w:val="0"/>
        <w:adjustRightInd w:val="0"/>
        <w:snapToGrid w:val="0"/>
        <w:spacing w:line="312" w:lineRule="auto"/>
        <w:ind w:firstLine="420"/>
        <w:textAlignment w:val="auto"/>
        <w:rPr>
          <w:rFonts w:hint="eastAsia" w:ascii="黑体" w:hAnsi="黑体" w:eastAsia="黑体" w:cs="黑体"/>
        </w:rPr>
      </w:pPr>
      <w:r>
        <w:rPr>
          <w:rFonts w:hint="eastAsia" w:cs="宋体" w:asciiTheme="minorEastAsia" w:hAnsiTheme="minorEastAsia" w:eastAsiaTheme="minorEastAsia"/>
          <w:sz w:val="21"/>
          <w:szCs w:val="21"/>
        </w:rPr>
        <w:t>因不同牌号所对应稀土与铁的比例有一定的波动，而系列标准溶液基体不可能和实际产品完全一致，只能做到近似匹配，所以考虑</w:t>
      </w:r>
      <w:r>
        <w:rPr>
          <w:rFonts w:hint="eastAsia" w:cs="宋体" w:asciiTheme="minorEastAsia" w:hAnsiTheme="minorEastAsia"/>
          <w:sz w:val="21"/>
          <w:szCs w:val="21"/>
          <w:lang w:eastAsia="zh-CN"/>
        </w:rPr>
        <w:t>了</w:t>
      </w:r>
      <w:r>
        <w:rPr>
          <w:rFonts w:hint="eastAsia" w:cs="宋体" w:asciiTheme="minorEastAsia" w:hAnsiTheme="minorEastAsia" w:eastAsiaTheme="minorEastAsia"/>
          <w:sz w:val="21"/>
          <w:szCs w:val="21"/>
        </w:rPr>
        <w:t>这种近似基体匹配的变化对结果的影响程度。</w:t>
      </w:r>
      <w:r>
        <w:rPr>
          <w:rFonts w:hint="eastAsia" w:cs="宋体" w:asciiTheme="minorEastAsia" w:hAnsiTheme="minorEastAsia"/>
          <w:sz w:val="21"/>
          <w:szCs w:val="21"/>
          <w:lang w:val="en-US" w:eastAsia="zh-CN"/>
        </w:rPr>
        <w:t>依据产品标准牌号，参考原标准，确定基体比例为各牌号的中间比例，见表4。通过基体变化对高、低含量被测元素的影响程度，验证确定基体比例的可行性与合理性。</w:t>
      </w:r>
    </w:p>
    <w:p>
      <w:pPr>
        <w:keepNext w:val="0"/>
        <w:keepLines w:val="0"/>
        <w:pageBreakBefore w:val="0"/>
        <w:widowControl w:val="0"/>
        <w:kinsoku/>
        <w:wordWrap/>
        <w:overflowPunct/>
        <w:topLinePunct w:val="0"/>
        <w:autoSpaceDE/>
        <w:autoSpaceDN/>
        <w:bidi w:val="0"/>
        <w:adjustRightInd/>
        <w:snapToGrid/>
        <w:spacing w:before="156" w:beforeLines="50" w:line="360" w:lineRule="exact"/>
        <w:jc w:val="center"/>
        <w:textAlignment w:val="auto"/>
        <w:rPr>
          <w:rFonts w:hint="eastAsia" w:ascii="黑体" w:hAnsi="黑体" w:eastAsia="黑体" w:cs="黑体"/>
          <w:b w:val="0"/>
          <w:bCs w:val="0"/>
        </w:rPr>
      </w:pPr>
      <w:r>
        <w:rPr>
          <w:rFonts w:hint="eastAsia" w:ascii="黑体" w:hAnsi="黑体" w:eastAsia="黑体" w:cs="黑体"/>
          <w:b w:val="0"/>
          <w:bCs w:val="0"/>
        </w:rPr>
        <w:t>表</w:t>
      </w:r>
      <w:r>
        <w:rPr>
          <w:rFonts w:hint="eastAsia" w:ascii="黑体" w:hAnsi="黑体" w:eastAsia="黑体" w:cs="黑体"/>
          <w:b w:val="0"/>
          <w:bCs w:val="0"/>
          <w:lang w:val="en-US" w:eastAsia="zh-CN"/>
        </w:rPr>
        <w:t>4</w:t>
      </w:r>
      <w:r>
        <w:rPr>
          <w:rFonts w:hint="eastAsia" w:ascii="黑体" w:hAnsi="黑体" w:eastAsia="黑体" w:cs="黑体"/>
          <w:b w:val="0"/>
          <w:bCs w:val="0"/>
        </w:rPr>
        <w:t xml:space="preserve">  系列标准溶液配制</w:t>
      </w:r>
    </w:p>
    <w:p>
      <w:pPr>
        <w:spacing w:line="220" w:lineRule="exact"/>
        <w:jc w:val="center"/>
        <w:rPr>
          <w:rFonts w:hint="default" w:ascii="Times New Roman" w:hAnsi="Times New Roman" w:eastAsia="宋体" w:cs="Times New Roman"/>
          <w:spacing w:val="6"/>
        </w:rPr>
      </w:pPr>
      <w:r>
        <w:rPr>
          <w:rFonts w:hint="eastAsia" w:ascii="宋体" w:hAnsi="宋体" w:cs="宋体"/>
          <w:sz w:val="18"/>
          <w:szCs w:val="18"/>
          <w:lang w:val="en-US" w:eastAsia="zh-CN"/>
        </w:rPr>
        <w:t xml:space="preserve">                                                                                      </w:t>
      </w:r>
      <w:r>
        <w:rPr>
          <w:rFonts w:hint="eastAsia" w:ascii="宋体" w:hAnsi="宋体" w:cs="宋体"/>
          <w:sz w:val="18"/>
          <w:szCs w:val="18"/>
        </w:rPr>
        <w:t xml:space="preserve">单位为 </w:t>
      </w:r>
      <w:r>
        <w:rPr>
          <w:rFonts w:hint="default" w:ascii="Times New Roman" w:hAnsi="Times New Roman" w:eastAsia="宋体" w:cs="Times New Roman"/>
          <w:spacing w:val="6"/>
        </w:rPr>
        <w:t>μg/mL</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076"/>
        <w:gridCol w:w="927"/>
        <w:gridCol w:w="927"/>
        <w:gridCol w:w="927"/>
        <w:gridCol w:w="928"/>
        <w:gridCol w:w="928"/>
        <w:gridCol w:w="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65" w:type="dxa"/>
            <w:gridSpan w:val="2"/>
            <w:tcBorders>
              <w:bottom w:val="single" w:color="auto" w:sz="8" w:space="0"/>
            </w:tcBorders>
            <w:noWrap w:val="0"/>
            <w:vAlign w:val="center"/>
          </w:tcPr>
          <w:p>
            <w:pPr>
              <w:pStyle w:val="15"/>
              <w:spacing w:before="100" w:beforeAutospacing="1" w:after="100" w:afterAutospacing="1" w:line="240" w:lineRule="auto"/>
              <w:ind w:firstLine="363"/>
              <w:rPr>
                <w:rFonts w:hint="eastAsia" w:ascii="宋体" w:hAnsi="宋体" w:cs="宋体"/>
                <w:b/>
                <w:bCs w:val="0"/>
                <w:kern w:val="2"/>
                <w:sz w:val="18"/>
                <w:szCs w:val="18"/>
              </w:rPr>
            </w:pPr>
            <w:r>
              <w:rPr>
                <w:rFonts w:hint="eastAsia" w:ascii="宋体" w:hAnsi="宋体" w:cs="宋体"/>
                <w:b/>
                <w:bCs w:val="0"/>
                <w:kern w:val="2"/>
                <w:sz w:val="18"/>
                <w:szCs w:val="18"/>
              </w:rPr>
              <w:t>标准溶液标号</w:t>
            </w:r>
          </w:p>
        </w:tc>
        <w:tc>
          <w:tcPr>
            <w:tcW w:w="96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1</w:t>
            </w:r>
          </w:p>
        </w:tc>
        <w:tc>
          <w:tcPr>
            <w:tcW w:w="96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2</w:t>
            </w:r>
          </w:p>
        </w:tc>
        <w:tc>
          <w:tcPr>
            <w:tcW w:w="96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3</w:t>
            </w:r>
          </w:p>
        </w:tc>
        <w:tc>
          <w:tcPr>
            <w:tcW w:w="968"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4</w:t>
            </w:r>
          </w:p>
        </w:tc>
        <w:tc>
          <w:tcPr>
            <w:tcW w:w="968"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5</w:t>
            </w:r>
          </w:p>
        </w:tc>
        <w:tc>
          <w:tcPr>
            <w:tcW w:w="968"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b/>
                <w:bCs w:val="0"/>
                <w:kern w:val="2"/>
                <w:sz w:val="18"/>
                <w:szCs w:val="18"/>
              </w:rPr>
            </w:pPr>
            <w:r>
              <w:rPr>
                <w:rFonts w:hint="eastAsia" w:ascii="宋体" w:hAnsi="宋体" w:cs="宋体"/>
                <w:b/>
                <w:bCs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tcBorders>
              <w:top w:val="single" w:color="auto" w:sz="8" w:space="0"/>
            </w:tcBorders>
            <w:noWrap w:val="0"/>
            <w:vAlign w:val="center"/>
          </w:tcPr>
          <w:p>
            <w:pPr>
              <w:pStyle w:val="15"/>
              <w:spacing w:before="100" w:beforeAutospacing="1" w:after="100" w:afterAutospacing="1" w:line="240" w:lineRule="auto"/>
              <w:ind w:firstLine="363"/>
              <w:rPr>
                <w:rFonts w:hint="eastAsia" w:ascii="宋体" w:hAnsi="宋体" w:eastAsia="宋体" w:cs="宋体"/>
                <w:bCs/>
                <w:kern w:val="2"/>
                <w:sz w:val="18"/>
                <w:szCs w:val="18"/>
                <w:lang w:eastAsia="zh-CN"/>
              </w:rPr>
            </w:pPr>
            <w:r>
              <w:rPr>
                <w:rFonts w:hint="eastAsia" w:ascii="宋体" w:hAnsi="宋体" w:cs="宋体"/>
                <w:bCs/>
                <w:kern w:val="2"/>
                <w:sz w:val="18"/>
                <w:szCs w:val="18"/>
              </w:rPr>
              <w:t>钇铁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tcBorders>
              <w:top w:val="single" w:color="auto" w:sz="8" w:space="0"/>
            </w:tcBorders>
            <w:noWrap w:val="0"/>
            <w:vAlign w:val="center"/>
          </w:tcPr>
          <w:p>
            <w:pPr>
              <w:pStyle w:val="15"/>
              <w:spacing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钇</w:t>
            </w:r>
          </w:p>
        </w:tc>
        <w:tc>
          <w:tcPr>
            <w:tcW w:w="96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6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6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68"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68"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68"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p>
        </w:tc>
        <w:tc>
          <w:tcPr>
            <w:tcW w:w="1126" w:type="dxa"/>
            <w:noWrap w:val="0"/>
            <w:vAlign w:val="center"/>
          </w:tcPr>
          <w:p>
            <w:pPr>
              <w:pStyle w:val="15"/>
              <w:spacing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noWrap w:val="0"/>
            <w:vAlign w:val="center"/>
          </w:tcPr>
          <w:p>
            <w:pPr>
              <w:pStyle w:val="15"/>
              <w:spacing w:before="100" w:beforeAutospacing="1" w:after="100" w:afterAutospacing="1" w:line="240" w:lineRule="auto"/>
              <w:ind w:firstLine="363"/>
              <w:rPr>
                <w:rFonts w:hint="eastAsia" w:ascii="宋体" w:hAnsi="宋体" w:eastAsia="宋体" w:cs="宋体"/>
                <w:bCs/>
                <w:kern w:val="2"/>
                <w:sz w:val="18"/>
                <w:szCs w:val="18"/>
                <w:lang w:eastAsia="zh-CN"/>
              </w:rPr>
            </w:pPr>
            <w:r>
              <w:rPr>
                <w:rFonts w:hint="eastAsia" w:ascii="宋体" w:hAnsi="宋体" w:cs="宋体"/>
                <w:bCs/>
                <w:kern w:val="2"/>
                <w:sz w:val="18"/>
                <w:szCs w:val="18"/>
              </w:rPr>
              <w:t>镧铁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镧</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p>
        </w:tc>
        <w:tc>
          <w:tcPr>
            <w:tcW w:w="1126"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noWrap w:val="0"/>
            <w:vAlign w:val="center"/>
          </w:tcPr>
          <w:p>
            <w:pPr>
              <w:pStyle w:val="15"/>
              <w:spacing w:before="100" w:beforeAutospacing="1"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铈铁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铈</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68"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tcBorders>
              <w:bottom w:val="single" w:color="auto" w:sz="8" w:space="0"/>
            </w:tcBorders>
            <w:noWrap w:val="0"/>
            <w:vAlign w:val="center"/>
          </w:tcPr>
          <w:p>
            <w:pPr>
              <w:pStyle w:val="15"/>
              <w:spacing w:before="240" w:after="240" w:line="240" w:lineRule="auto"/>
              <w:ind w:firstLine="361"/>
              <w:jc w:val="both"/>
              <w:rPr>
                <w:rFonts w:hint="eastAsia" w:ascii="宋体" w:hAnsi="宋体" w:cs="宋体"/>
                <w:bCs/>
                <w:kern w:val="2"/>
                <w:sz w:val="18"/>
                <w:szCs w:val="18"/>
              </w:rPr>
            </w:pPr>
          </w:p>
        </w:tc>
        <w:tc>
          <w:tcPr>
            <w:tcW w:w="1126" w:type="dxa"/>
            <w:tcBorders>
              <w:bottom w:val="single" w:color="auto" w:sz="8" w:space="0"/>
            </w:tcBorders>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67"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7"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7"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68" w:type="dxa"/>
            <w:tcBorders>
              <w:bottom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65" w:type="dxa"/>
            <w:gridSpan w:val="2"/>
            <w:tcBorders>
              <w:top w:val="single" w:color="auto" w:sz="8" w:space="0"/>
              <w:bottom w:val="single" w:color="auto" w:sz="8" w:space="0"/>
            </w:tcBorders>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镧、铈、镨、钕、钐、铕、钆、铽、镝、钬、铒、铥、镱、镥、钇各浓度为</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360"/>
              <w:jc w:val="both"/>
              <w:rPr>
                <w:rFonts w:hint="eastAsia" w:ascii="宋体" w:hAnsi="宋体" w:cs="宋体"/>
                <w:kern w:val="2"/>
                <w:sz w:val="18"/>
                <w:szCs w:val="18"/>
              </w:rPr>
            </w:pPr>
            <w:r>
              <w:rPr>
                <w:rFonts w:hint="eastAsia" w:ascii="宋体" w:hAnsi="宋体" w:cs="宋体"/>
                <w:sz w:val="18"/>
                <w:szCs w:val="18"/>
              </w:rPr>
              <w:t>0</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0.25</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0.50</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2.00</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5.00</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12.50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65" w:type="dxa"/>
            <w:gridSpan w:val="2"/>
            <w:tcBorders>
              <w:top w:val="single" w:color="auto" w:sz="8" w:space="0"/>
              <w:bottom w:val="single" w:color="auto" w:sz="8" w:space="0"/>
            </w:tcBorders>
            <w:noWrap w:val="0"/>
            <w:vAlign w:val="center"/>
          </w:tcPr>
          <w:p>
            <w:pPr>
              <w:pStyle w:val="15"/>
              <w:spacing w:before="100" w:beforeAutospacing="1" w:after="100" w:afterAutospacing="1" w:line="240" w:lineRule="auto"/>
              <w:ind w:firstLine="363"/>
              <w:rPr>
                <w:rFonts w:hint="eastAsia" w:ascii="宋体" w:hAnsi="宋体" w:cs="宋体"/>
                <w:b/>
                <w:bCs w:val="0"/>
                <w:kern w:val="2"/>
                <w:sz w:val="18"/>
                <w:szCs w:val="18"/>
              </w:rPr>
            </w:pPr>
            <w:r>
              <w:rPr>
                <w:rFonts w:hint="eastAsia" w:ascii="宋体" w:hAnsi="宋体" w:cs="宋体"/>
                <w:b/>
                <w:bCs w:val="0"/>
                <w:color w:val="auto"/>
                <w:kern w:val="2"/>
                <w:sz w:val="18"/>
                <w:szCs w:val="18"/>
              </w:rPr>
              <w:t>标准溶液</w:t>
            </w:r>
            <w:r>
              <w:rPr>
                <w:rFonts w:hint="eastAsia" w:ascii="宋体" w:hAnsi="宋体" w:cs="宋体"/>
                <w:b/>
                <w:bCs w:val="0"/>
                <w:kern w:val="2"/>
                <w:sz w:val="18"/>
                <w:szCs w:val="18"/>
              </w:rPr>
              <w:t>标号</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1</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2</w:t>
            </w:r>
          </w:p>
        </w:tc>
        <w:tc>
          <w:tcPr>
            <w:tcW w:w="96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3</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4</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5</w:t>
            </w:r>
          </w:p>
        </w:tc>
        <w:tc>
          <w:tcPr>
            <w:tcW w:w="968"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
                <w:bCs w:val="0"/>
                <w:sz w:val="18"/>
                <w:szCs w:val="18"/>
              </w:rPr>
            </w:pPr>
            <w:r>
              <w:rPr>
                <w:rFonts w:hint="eastAsia" w:ascii="宋体" w:hAnsi="宋体" w:cs="宋体"/>
                <w:b/>
                <w:bCs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tcBorders>
              <w:top w:val="single" w:color="auto" w:sz="8" w:space="0"/>
            </w:tcBorders>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钆铁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tcBorders>
              <w:top w:val="single" w:color="auto" w:sz="8" w:space="0"/>
            </w:tcBorders>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钆</w:t>
            </w:r>
          </w:p>
        </w:tc>
        <w:tc>
          <w:tcPr>
            <w:tcW w:w="96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6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6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noWrap w:val="0"/>
            <w:vAlign w:val="center"/>
          </w:tcPr>
          <w:p>
            <w:pPr>
              <w:pStyle w:val="15"/>
              <w:spacing w:after="100" w:afterAutospacing="1" w:line="240" w:lineRule="auto"/>
              <w:ind w:firstLine="363"/>
              <w:rPr>
                <w:rFonts w:hint="eastAsia" w:ascii="宋体" w:hAnsi="宋体" w:cs="宋体"/>
                <w:bCs/>
                <w:kern w:val="2"/>
                <w:sz w:val="18"/>
                <w:szCs w:val="18"/>
              </w:rPr>
            </w:pPr>
          </w:p>
        </w:tc>
        <w:tc>
          <w:tcPr>
            <w:tcW w:w="1126"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镝铁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镝</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noWrap w:val="0"/>
            <w:vAlign w:val="center"/>
          </w:tcPr>
          <w:p>
            <w:pPr>
              <w:pStyle w:val="15"/>
              <w:spacing w:after="100" w:afterAutospacing="1" w:line="240" w:lineRule="auto"/>
              <w:ind w:firstLine="363"/>
              <w:rPr>
                <w:rFonts w:hint="eastAsia" w:ascii="宋体" w:hAnsi="宋体" w:cs="宋体"/>
                <w:bCs/>
                <w:kern w:val="2"/>
                <w:sz w:val="18"/>
                <w:szCs w:val="18"/>
              </w:rPr>
            </w:pPr>
          </w:p>
        </w:tc>
        <w:tc>
          <w:tcPr>
            <w:tcW w:w="1126"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6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68"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restart"/>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钬铁</w:t>
            </w:r>
            <w:r>
              <w:rPr>
                <w:rFonts w:hint="eastAsia" w:ascii="宋体" w:hAnsi="宋体" w:cs="宋体"/>
                <w:bCs/>
                <w:kern w:val="2"/>
                <w:sz w:val="18"/>
                <w:szCs w:val="18"/>
                <w:lang w:eastAsia="zh-CN"/>
              </w:rPr>
              <w:t>合金</w:t>
            </w:r>
            <w:r>
              <w:rPr>
                <w:rFonts w:hint="eastAsia" w:ascii="宋体" w:hAnsi="宋体" w:cs="宋体"/>
                <w:bCs/>
                <w:kern w:val="2"/>
                <w:sz w:val="18"/>
                <w:szCs w:val="18"/>
              </w:rPr>
              <w:t>基体</w:t>
            </w:r>
            <w:r>
              <w:rPr>
                <w:rFonts w:hint="eastAsia" w:ascii="宋体" w:hAnsi="宋体" w:cs="宋体"/>
                <w:bCs/>
                <w:kern w:val="2"/>
                <w:sz w:val="18"/>
                <w:szCs w:val="18"/>
                <w:lang w:eastAsia="zh-CN"/>
              </w:rPr>
              <w:t>浓度</w:t>
            </w:r>
          </w:p>
        </w:tc>
        <w:tc>
          <w:tcPr>
            <w:tcW w:w="1126"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钬</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6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68"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39" w:type="dxa"/>
            <w:vMerge w:val="continue"/>
            <w:tcBorders>
              <w:bottom w:val="single" w:color="auto" w:sz="8" w:space="0"/>
            </w:tcBorders>
            <w:noWrap w:val="0"/>
            <w:vAlign w:val="center"/>
          </w:tcPr>
          <w:p>
            <w:pPr>
              <w:pStyle w:val="15"/>
              <w:spacing w:after="240" w:line="240" w:lineRule="auto"/>
              <w:ind w:firstLine="361"/>
              <w:rPr>
                <w:rFonts w:hint="eastAsia" w:ascii="宋体" w:hAnsi="宋体" w:cs="宋体"/>
                <w:bCs/>
                <w:kern w:val="2"/>
                <w:sz w:val="18"/>
                <w:szCs w:val="18"/>
              </w:rPr>
            </w:pPr>
          </w:p>
        </w:tc>
        <w:tc>
          <w:tcPr>
            <w:tcW w:w="1126" w:type="dxa"/>
            <w:tcBorders>
              <w:bottom w:val="single" w:color="auto" w:sz="8" w:space="0"/>
            </w:tcBorders>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67"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67"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67"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68"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68"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68" w:type="dxa"/>
            <w:tcBorders>
              <w:bottom w:val="single" w:color="auto" w:sz="8" w:space="0"/>
            </w:tcBorders>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65" w:type="dxa"/>
            <w:gridSpan w:val="2"/>
            <w:tcBorders>
              <w:top w:val="single" w:color="auto" w:sz="8" w:space="0"/>
            </w:tcBorders>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镧、铈、镨、钕、钐、铕、钆、铽、镝、钬、铒、铥、镱、镥、钇各浓度为</w:t>
            </w:r>
          </w:p>
        </w:tc>
        <w:tc>
          <w:tcPr>
            <w:tcW w:w="967" w:type="dxa"/>
            <w:tcBorders>
              <w:top w:val="single" w:color="auto" w:sz="8" w:space="0"/>
            </w:tcBorders>
            <w:noWrap w:val="0"/>
            <w:vAlign w:val="center"/>
          </w:tcPr>
          <w:p>
            <w:pPr>
              <w:pStyle w:val="15"/>
              <w:spacing w:after="100" w:afterAutospacing="1" w:line="240" w:lineRule="auto"/>
              <w:ind w:firstLine="360" w:firstLineChars="200"/>
              <w:jc w:val="both"/>
              <w:rPr>
                <w:rFonts w:hint="eastAsia" w:ascii="宋体" w:hAnsi="宋体" w:cs="宋体"/>
                <w:kern w:val="2"/>
                <w:sz w:val="18"/>
                <w:szCs w:val="18"/>
              </w:rPr>
            </w:pPr>
            <w:r>
              <w:rPr>
                <w:rFonts w:hint="eastAsia" w:ascii="宋体" w:hAnsi="宋体" w:cs="宋体"/>
                <w:kern w:val="2"/>
                <w:sz w:val="18"/>
                <w:szCs w:val="18"/>
              </w:rPr>
              <w:t>0</w:t>
            </w:r>
          </w:p>
        </w:tc>
        <w:tc>
          <w:tcPr>
            <w:tcW w:w="96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0.125</w:t>
            </w:r>
          </w:p>
        </w:tc>
        <w:tc>
          <w:tcPr>
            <w:tcW w:w="96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0.25</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1.25</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2.50</w:t>
            </w:r>
          </w:p>
        </w:tc>
        <w:tc>
          <w:tcPr>
            <w:tcW w:w="968"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7.50</w:t>
            </w:r>
          </w:p>
        </w:tc>
      </w:tr>
    </w:tbl>
    <w:p>
      <w:pPr>
        <w:pStyle w:val="11"/>
        <w:keepNext w:val="0"/>
        <w:keepLines w:val="0"/>
        <w:pageBreakBefore w:val="0"/>
        <w:widowControl/>
        <w:tabs>
          <w:tab w:val="clear" w:pos="675"/>
        </w:tabs>
        <w:kinsoku/>
        <w:wordWrap/>
        <w:overflowPunct/>
        <w:topLinePunct w:val="0"/>
        <w:autoSpaceDE/>
        <w:autoSpaceDN/>
        <w:bidi w:val="0"/>
        <w:adjustRightInd/>
        <w:snapToGrid/>
        <w:spacing w:before="313" w:beforeLines="100" w:after="156" w:afterLines="50" w:line="360" w:lineRule="exact"/>
        <w:ind w:left="0" w:leftChars="0" w:firstLine="0" w:firstLineChars="0"/>
        <w:textAlignment w:val="auto"/>
        <w:rPr>
          <w:rFonts w:hint="eastAsia" w:ascii="黑体" w:hAnsi="黑体" w:eastAsia="黑体" w:cs="Times New Roman"/>
          <w:kern w:val="0"/>
          <w:sz w:val="21"/>
          <w:szCs w:val="22"/>
          <w:lang w:val="en-US" w:eastAsia="zh-CN" w:bidi="ar-SA"/>
        </w:rPr>
      </w:pPr>
      <w:r>
        <w:rPr>
          <w:rFonts w:hint="eastAsia" w:cs="宋体" w:asciiTheme="minorEastAsia" w:hAnsiTheme="minorEastAsia"/>
          <w:sz w:val="21"/>
          <w:szCs w:val="21"/>
          <w:lang w:val="en-US" w:eastAsia="zh-CN"/>
        </w:rPr>
        <w:t xml:space="preserve"> </w:t>
      </w:r>
      <w:r>
        <w:rPr>
          <w:rFonts w:hint="eastAsia" w:ascii="黑体" w:hAnsi="黑体" w:eastAsia="黑体" w:cs="Times New Roman"/>
          <w:kern w:val="0"/>
          <w:sz w:val="21"/>
          <w:szCs w:val="22"/>
          <w:lang w:val="en-US" w:eastAsia="zh-CN" w:bidi="ar-SA"/>
        </w:rPr>
        <w:t>4</w:t>
      </w:r>
      <w:r>
        <w:rPr>
          <w:rFonts w:hint="eastAsia" w:hAnsi="黑体" w:cs="Times New Roman"/>
          <w:kern w:val="0"/>
          <w:sz w:val="21"/>
          <w:szCs w:val="22"/>
          <w:lang w:val="en-US" w:eastAsia="zh-CN" w:bidi="ar-SA"/>
        </w:rPr>
        <w:t>、酸介质</w:t>
      </w:r>
      <w:r>
        <w:rPr>
          <w:rFonts w:hint="eastAsia" w:ascii="黑体" w:hAnsi="黑体" w:eastAsia="黑体" w:cs="Times New Roman"/>
          <w:kern w:val="0"/>
          <w:sz w:val="21"/>
          <w:szCs w:val="22"/>
          <w:lang w:val="en-US" w:eastAsia="zh-CN" w:bidi="ar-SA"/>
        </w:rPr>
        <w:t>及酸</w:t>
      </w:r>
      <w:r>
        <w:rPr>
          <w:rFonts w:hint="eastAsia" w:hAnsi="黑体" w:cs="Times New Roman"/>
          <w:kern w:val="0"/>
          <w:sz w:val="21"/>
          <w:szCs w:val="22"/>
          <w:lang w:val="en-US" w:eastAsia="zh-CN" w:bidi="ar-SA"/>
        </w:rPr>
        <w:t>浓</w:t>
      </w:r>
      <w:r>
        <w:rPr>
          <w:rFonts w:hint="eastAsia" w:ascii="黑体" w:hAnsi="黑体" w:eastAsia="黑体" w:cs="Times New Roman"/>
          <w:kern w:val="0"/>
          <w:sz w:val="21"/>
          <w:szCs w:val="22"/>
          <w:lang w:val="en-US" w:eastAsia="zh-CN" w:bidi="ar-SA"/>
        </w:rPr>
        <w:t>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000000"/>
          <w:kern w:val="2"/>
          <w:sz w:val="21"/>
          <w:szCs w:val="24"/>
          <w:lang w:val="en-US" w:eastAsia="zh-CN" w:bidi="ar-SA"/>
        </w:rPr>
        <w:t>镝铁、铈铁、钆铁、钬铁、钇铁合金样品的酸介质及酸浓度：分别按照了原国标准</w:t>
      </w:r>
      <w:r>
        <w:rPr>
          <w:rFonts w:hint="eastAsia" w:ascii="宋体" w:hAnsi="宋体" w:eastAsia="宋体" w:cs="宋体"/>
          <w:sz w:val="21"/>
          <w:szCs w:val="21"/>
        </w:rPr>
        <w:t>GB/T26416.2-2010</w:t>
      </w:r>
      <w:r>
        <w:rPr>
          <w:rFonts w:hint="eastAsia" w:ascii="宋体" w:hAnsi="宋体" w:eastAsia="宋体" w:cs="宋体"/>
          <w:color w:val="000000"/>
          <w:kern w:val="2"/>
          <w:sz w:val="21"/>
          <w:szCs w:val="24"/>
          <w:lang w:val="en-US" w:eastAsia="zh-CN" w:bidi="ar-SA"/>
        </w:rPr>
        <w:t>、行业标准</w:t>
      </w:r>
      <w:r>
        <w:rPr>
          <w:rFonts w:hint="eastAsia" w:ascii="宋体" w:hAnsi="宋体" w:eastAsia="宋体" w:cs="宋体"/>
          <w:lang w:val="en-US" w:eastAsia="zh-CN"/>
        </w:rPr>
        <w:t>XB/T623.1-2018、XB/T 616.2-2012、XB/T 621.2-2016、XB/T 624.1-2018的要求，见表4。</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lang w:val="en-US" w:eastAsia="zh-CN"/>
        </w:rPr>
        <w:t>镧铁合金</w:t>
      </w:r>
      <w:r>
        <w:rPr>
          <w:rFonts w:hint="eastAsia" w:ascii="宋体" w:hAnsi="宋体" w:eastAsia="宋体" w:cs="宋体"/>
          <w:color w:val="000000"/>
          <w:kern w:val="2"/>
          <w:sz w:val="21"/>
          <w:szCs w:val="24"/>
          <w:lang w:val="en-US" w:eastAsia="zh-CN" w:bidi="ar-SA"/>
        </w:rPr>
        <w:t>样品的酸介质及酸浓度：</w:t>
      </w:r>
      <w:r>
        <w:rPr>
          <w:rFonts w:hint="eastAsia" w:ascii="宋体" w:hAnsi="宋体" w:eastAsia="宋体" w:cs="宋体"/>
          <w:sz w:val="21"/>
          <w:szCs w:val="21"/>
          <w:lang w:eastAsia="zh-CN"/>
        </w:rPr>
        <w:t>通过制备模拟样品分酸介质区别与酸</w:t>
      </w:r>
      <w:r>
        <w:rPr>
          <w:rFonts w:hint="eastAsia" w:ascii="宋体" w:hAnsi="宋体" w:eastAsia="宋体" w:cs="宋体"/>
          <w:sz w:val="21"/>
          <w:szCs w:val="21"/>
        </w:rPr>
        <w:t>浓度</w:t>
      </w:r>
      <w:r>
        <w:rPr>
          <w:rFonts w:hint="eastAsia" w:ascii="宋体" w:hAnsi="宋体" w:eastAsia="宋体" w:cs="宋体"/>
          <w:sz w:val="21"/>
          <w:szCs w:val="21"/>
          <w:lang w:eastAsia="zh-CN"/>
        </w:rPr>
        <w:t>区别，</w:t>
      </w:r>
      <w:r>
        <w:rPr>
          <w:rFonts w:hint="eastAsia" w:ascii="宋体" w:hAnsi="宋体" w:eastAsia="宋体" w:cs="宋体"/>
          <w:sz w:val="21"/>
          <w:szCs w:val="21"/>
        </w:rPr>
        <w:t>在相同仪器条件下分别对所选定的被测元素分析谱线进行扫描（也可用测量方式，但要选定背景）以线背比（I/Ib）大小为评估指标，根据图中分析线的峰值和背景值计算出各元素在不同</w:t>
      </w:r>
      <w:r>
        <w:rPr>
          <w:rFonts w:hint="eastAsia" w:ascii="宋体" w:hAnsi="宋体" w:eastAsia="宋体" w:cs="宋体"/>
          <w:sz w:val="21"/>
          <w:szCs w:val="21"/>
          <w:lang w:eastAsia="zh-CN"/>
        </w:rPr>
        <w:t>酸</w:t>
      </w:r>
      <w:r>
        <w:rPr>
          <w:rFonts w:hint="eastAsia" w:ascii="宋体" w:hAnsi="宋体" w:eastAsia="宋体" w:cs="宋体"/>
          <w:sz w:val="21"/>
          <w:szCs w:val="21"/>
        </w:rPr>
        <w:t>介质</w:t>
      </w:r>
      <w:r>
        <w:rPr>
          <w:rFonts w:hint="eastAsia" w:ascii="宋体" w:hAnsi="宋体" w:eastAsia="宋体" w:cs="宋体"/>
          <w:sz w:val="21"/>
          <w:szCs w:val="21"/>
          <w:lang w:eastAsia="zh-CN"/>
        </w:rPr>
        <w:t>与酸浓度</w:t>
      </w:r>
      <w:r>
        <w:rPr>
          <w:rFonts w:hint="eastAsia" w:ascii="宋体" w:hAnsi="宋体" w:eastAsia="宋体" w:cs="宋体"/>
          <w:sz w:val="21"/>
          <w:szCs w:val="21"/>
        </w:rPr>
        <w:t>中的线背比，</w:t>
      </w:r>
      <w:r>
        <w:rPr>
          <w:rFonts w:hint="eastAsia" w:ascii="宋体" w:hAnsi="宋体" w:eastAsia="宋体" w:cs="宋体"/>
          <w:sz w:val="21"/>
          <w:szCs w:val="21"/>
          <w:lang w:eastAsia="zh-CN"/>
        </w:rPr>
        <w:t>以</w:t>
      </w:r>
      <w:r>
        <w:rPr>
          <w:rFonts w:hint="eastAsia" w:ascii="宋体" w:hAnsi="宋体" w:eastAsia="宋体" w:cs="宋体"/>
          <w:sz w:val="21"/>
          <w:szCs w:val="21"/>
        </w:rPr>
        <w:t>线背比</w:t>
      </w:r>
      <w:r>
        <w:rPr>
          <w:rFonts w:hint="eastAsia" w:ascii="宋体" w:hAnsi="宋体" w:eastAsia="宋体" w:cs="宋体"/>
          <w:sz w:val="21"/>
          <w:szCs w:val="21"/>
          <w:lang w:eastAsia="zh-CN"/>
        </w:rPr>
        <w:t>越大为优越。经综合考虑确定</w:t>
      </w:r>
      <w:r>
        <w:rPr>
          <w:rFonts w:hint="eastAsia" w:ascii="宋体" w:hAnsi="宋体" w:eastAsia="宋体" w:cs="宋体"/>
          <w:color w:val="000000"/>
          <w:kern w:val="2"/>
          <w:sz w:val="21"/>
          <w:szCs w:val="24"/>
          <w:lang w:val="en-US" w:eastAsia="zh-CN" w:bidi="ar-SA"/>
        </w:rPr>
        <w:t>酸介质及酸浓度见表5。</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表5 酸介质及酸浓度表</w:t>
      </w:r>
    </w:p>
    <w:tbl>
      <w:tblPr>
        <w:tblStyle w:val="9"/>
        <w:tblW w:w="48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5"/>
        <w:gridCol w:w="1555"/>
        <w:gridCol w:w="1555"/>
        <w:gridCol w:w="1555"/>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试料名称</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酸介质</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酸浓度（体积百分浓度）/%</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试料名称</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酸介质</w:t>
            </w:r>
          </w:p>
        </w:tc>
        <w:tc>
          <w:tcPr>
            <w:tcW w:w="155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酸浓度（体积百分浓度）/%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镧铁合金</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硝酸</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镝铁合金</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6"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铈铁合金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钬铁合金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钆铁合金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盐酸</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钇铁合金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盐酸</w:t>
            </w:r>
          </w:p>
        </w:tc>
        <w:tc>
          <w:tcPr>
            <w:tcW w:w="15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5、称样量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val="en-US" w:eastAsia="zh-CN"/>
        </w:rPr>
      </w:pPr>
      <w:r>
        <w:rPr>
          <w:rFonts w:hint="eastAsia" w:cstheme="minorBidi"/>
          <w:color w:val="000000"/>
          <w:kern w:val="2"/>
          <w:sz w:val="21"/>
          <w:szCs w:val="24"/>
          <w:lang w:val="en-US" w:eastAsia="zh-CN" w:bidi="ar-SA"/>
        </w:rPr>
        <w:t>镝铁、</w:t>
      </w:r>
      <w:r>
        <w:rPr>
          <w:rFonts w:hint="eastAsia" w:asciiTheme="minorHAnsi" w:hAnsiTheme="minorHAnsi" w:eastAsiaTheme="minorEastAsia" w:cstheme="minorBidi"/>
          <w:color w:val="000000"/>
          <w:kern w:val="2"/>
          <w:sz w:val="21"/>
          <w:szCs w:val="24"/>
          <w:lang w:val="en-US" w:eastAsia="zh-CN" w:bidi="ar-SA"/>
        </w:rPr>
        <w:t>铈铁、</w:t>
      </w:r>
      <w:r>
        <w:rPr>
          <w:rFonts w:hint="eastAsia" w:cstheme="minorBidi"/>
          <w:color w:val="000000"/>
          <w:kern w:val="2"/>
          <w:sz w:val="21"/>
          <w:szCs w:val="24"/>
          <w:lang w:val="en-US" w:eastAsia="zh-CN" w:bidi="ar-SA"/>
        </w:rPr>
        <w:t>钆铁、钬铁、钇铁合金样品的称样量，分别参考了原国标准</w:t>
      </w:r>
      <w:r>
        <w:rPr>
          <w:rFonts w:hint="eastAsia" w:cs="宋体" w:asciiTheme="minorEastAsia" w:hAnsiTheme="minorEastAsia" w:eastAsiaTheme="minorEastAsia"/>
          <w:sz w:val="21"/>
          <w:szCs w:val="21"/>
        </w:rPr>
        <w:t>GB/T26416.2-2010</w:t>
      </w:r>
      <w:r>
        <w:rPr>
          <w:rFonts w:hint="eastAsia" w:cstheme="minorBidi"/>
          <w:color w:val="000000"/>
          <w:kern w:val="2"/>
          <w:sz w:val="21"/>
          <w:szCs w:val="24"/>
          <w:lang w:val="en-US" w:eastAsia="zh-CN" w:bidi="ar-SA"/>
        </w:rPr>
        <w:t>、行业标准</w:t>
      </w:r>
      <w:r>
        <w:rPr>
          <w:rFonts w:hint="eastAsia" w:ascii="宋体" w:hAnsi="宋体" w:eastAsia="宋体" w:cs="宋体"/>
          <w:lang w:val="en-US" w:eastAsia="zh-CN"/>
        </w:rPr>
        <w:t>XB/T623.1-2018、XB/T 616.2-2012、XB/T 621.2-2016、XB/T 624.1-2018的要求，调研现在工艺样品中被测元素的均匀分布情况，结合送样成本与现实际样品送检测量，依据称大样原则考虑，确定称样量，见表6。</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stheme="minorBidi"/>
          <w:color w:val="000000"/>
          <w:kern w:val="2"/>
          <w:sz w:val="21"/>
          <w:szCs w:val="24"/>
          <w:lang w:val="en-US" w:eastAsia="zh-CN" w:bidi="ar-SA"/>
        </w:rPr>
      </w:pPr>
      <w:r>
        <w:rPr>
          <w:rFonts w:hint="eastAsia" w:ascii="宋体" w:hAnsi="宋体" w:eastAsia="宋体" w:cs="宋体"/>
          <w:lang w:val="en-US" w:eastAsia="zh-CN"/>
        </w:rPr>
        <w:t>镧铁合金</w:t>
      </w:r>
      <w:r>
        <w:rPr>
          <w:rFonts w:hint="eastAsia" w:cstheme="minorBidi"/>
          <w:color w:val="000000"/>
          <w:kern w:val="2"/>
          <w:sz w:val="21"/>
          <w:szCs w:val="24"/>
          <w:lang w:val="en-US" w:eastAsia="zh-CN" w:bidi="ar-SA"/>
        </w:rPr>
        <w:t>样品的称样量，采用实际样品均匀性试验，确定称样量，见表6。</w:t>
      </w:r>
    </w:p>
    <w:p>
      <w:pPr>
        <w:keepNext w:val="0"/>
        <w:keepLines w:val="0"/>
        <w:pageBreakBefore w:val="0"/>
        <w:widowControl w:val="0"/>
        <w:kinsoku/>
        <w:wordWrap/>
        <w:overflowPunct/>
        <w:topLinePunct w:val="0"/>
        <w:autoSpaceDE/>
        <w:autoSpaceDN/>
        <w:bidi w:val="0"/>
        <w:adjustRightInd/>
        <w:snapToGrid/>
        <w:spacing w:before="156" w:beforeLines="50" w:line="3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表6 称样量表</w:t>
      </w:r>
    </w:p>
    <w:tbl>
      <w:tblPr>
        <w:tblStyle w:val="9"/>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292"/>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试料名称</w:t>
            </w:r>
          </w:p>
        </w:tc>
        <w:tc>
          <w:tcPr>
            <w:tcW w:w="2273"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试料/g</w:t>
            </w:r>
          </w:p>
        </w:tc>
        <w:tc>
          <w:tcPr>
            <w:tcW w:w="2263"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试料名称</w:t>
            </w:r>
          </w:p>
        </w:tc>
        <w:tc>
          <w:tcPr>
            <w:tcW w:w="2263"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试料/g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镧铁合金</w:t>
            </w:r>
          </w:p>
        </w:tc>
        <w:tc>
          <w:tcPr>
            <w:tcW w:w="2273"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c>
          <w:tcPr>
            <w:tcW w:w="2263"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镝铁合金</w:t>
            </w:r>
          </w:p>
        </w:tc>
        <w:tc>
          <w:tcPr>
            <w:tcW w:w="2263" w:type="dxa"/>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铈铁合金</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钬铁合金</w:t>
            </w:r>
          </w:p>
        </w:tc>
        <w:tc>
          <w:tcPr>
            <w:tcW w:w="226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钆铁合金</w:t>
            </w:r>
          </w:p>
        </w:tc>
        <w:tc>
          <w:tcPr>
            <w:tcW w:w="227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2.50</w:t>
            </w:r>
          </w:p>
        </w:tc>
        <w:tc>
          <w:tcPr>
            <w:tcW w:w="226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钇铁合金</w:t>
            </w:r>
          </w:p>
        </w:tc>
        <w:tc>
          <w:tcPr>
            <w:tcW w:w="2263"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6、方法的准确度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stheme="minorBidi"/>
          <w:color w:val="000000"/>
          <w:kern w:val="2"/>
          <w:sz w:val="21"/>
          <w:szCs w:val="24"/>
          <w:lang w:val="en-US" w:eastAsia="zh-CN" w:bidi="ar-SA"/>
        </w:rPr>
      </w:pPr>
      <w:r>
        <w:rPr>
          <w:rFonts w:hint="eastAsia" w:cstheme="minorBidi"/>
          <w:color w:val="000000"/>
          <w:kern w:val="2"/>
          <w:sz w:val="21"/>
          <w:szCs w:val="24"/>
          <w:lang w:val="en-US" w:eastAsia="zh-CN" w:bidi="ar-SA"/>
        </w:rPr>
        <w:t>通过对镧铁、</w:t>
      </w:r>
      <w:r>
        <w:rPr>
          <w:rFonts w:hint="eastAsia" w:asciiTheme="minorHAnsi" w:hAnsiTheme="minorHAnsi" w:eastAsiaTheme="minorEastAsia" w:cstheme="minorBidi"/>
          <w:color w:val="000000"/>
          <w:kern w:val="2"/>
          <w:sz w:val="21"/>
          <w:szCs w:val="24"/>
          <w:lang w:val="en-US" w:eastAsia="zh-CN" w:bidi="ar-SA"/>
        </w:rPr>
        <w:t>铈铁、</w:t>
      </w:r>
      <w:r>
        <w:rPr>
          <w:rFonts w:hint="eastAsia" w:cstheme="minorBidi"/>
          <w:color w:val="000000"/>
          <w:kern w:val="2"/>
          <w:sz w:val="21"/>
          <w:szCs w:val="24"/>
          <w:lang w:val="en-US" w:eastAsia="zh-CN" w:bidi="ar-SA"/>
        </w:rPr>
        <w:t>镝铁、钆铁、钬铁、钇铁合金各被测稀土杂质元素进行统一标加（低含量与高含量）回收率试验与通过统一样品进行多个试验室精密试验，来衡量方法的准确度。</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textAlignment w:val="auto"/>
        <w:rPr>
          <w:rFonts w:ascii="黑体" w:hAnsi="宋体" w:eastAsia="黑体"/>
          <w:bCs/>
          <w:sz w:val="24"/>
        </w:rPr>
      </w:pPr>
      <w:r>
        <w:rPr>
          <w:rFonts w:hint="eastAsia" w:ascii="黑体" w:hAnsi="宋体" w:eastAsia="黑体"/>
          <w:bCs/>
          <w:sz w:val="24"/>
        </w:rPr>
        <w:t>（二）主要试验和验证情况分析</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rPr>
      </w:pPr>
      <w:r>
        <w:rPr>
          <w:rFonts w:hint="eastAsia" w:hAnsi="黑体"/>
        </w:rPr>
        <w:t>1、</w:t>
      </w:r>
      <w:r>
        <w:rPr>
          <w:rFonts w:hint="eastAsia" w:ascii="Times New Roman" w:eastAsia="宋体"/>
          <w:kern w:val="2"/>
          <w:szCs w:val="21"/>
        </w:rPr>
        <w:t>测定范围</w:t>
      </w:r>
    </w:p>
    <w:p>
      <w:pPr>
        <w:pStyle w:val="4"/>
        <w:spacing w:line="312" w:lineRule="auto"/>
        <w:ind w:left="0" w:leftChars="0" w:firstLine="420"/>
        <w:rPr>
          <w:rFonts w:hint="eastAsia" w:ascii="宋体" w:hAnsi="宋体" w:eastAsia="宋体" w:cs="宋体"/>
          <w:lang w:eastAsia="zh-CN"/>
        </w:rPr>
      </w:pPr>
      <w:r>
        <w:rPr>
          <w:rFonts w:hint="eastAsia" w:ascii="宋体" w:hAnsi="宋体" w:eastAsia="宋体" w:cs="宋体"/>
          <w:color w:val="000000"/>
        </w:rPr>
        <w:t>基体空白溶液平行测定11次，计算其标准偏差，以3倍标准偏差对应的浓度计算检出限；以10倍标准偏差对应的浓度计算方法的测定下限，测定</w:t>
      </w:r>
      <w:r>
        <w:rPr>
          <w:rFonts w:hint="eastAsia" w:ascii="宋体" w:hAnsi="宋体" w:eastAsia="宋体" w:cs="宋体"/>
        </w:rPr>
        <w:t>结果见表</w:t>
      </w:r>
      <w:r>
        <w:rPr>
          <w:rFonts w:hint="eastAsia" w:ascii="宋体" w:hAnsi="宋体" w:eastAsia="宋体" w:cs="宋体"/>
          <w:lang w:val="en-US" w:eastAsia="zh-CN"/>
        </w:rPr>
        <w:t>7-1、</w:t>
      </w:r>
      <w:r>
        <w:rPr>
          <w:rFonts w:hint="eastAsia" w:ascii="宋体" w:hAnsi="宋体" w:eastAsia="宋体" w:cs="宋体"/>
        </w:rPr>
        <w:t>表</w:t>
      </w:r>
      <w:r>
        <w:rPr>
          <w:rFonts w:hint="eastAsia" w:ascii="宋体" w:hAnsi="宋体" w:eastAsia="宋体" w:cs="宋体"/>
          <w:lang w:val="en-US" w:eastAsia="zh-CN"/>
        </w:rPr>
        <w:t>7-2。</w:t>
      </w:r>
    </w:p>
    <w:p>
      <w:pPr>
        <w:keepNext w:val="0"/>
        <w:keepLines w:val="0"/>
        <w:pageBreakBefore w:val="0"/>
        <w:widowControl/>
        <w:kinsoku/>
        <w:wordWrap/>
        <w:overflowPunct/>
        <w:topLinePunct w:val="0"/>
        <w:autoSpaceDE/>
        <w:autoSpaceDN/>
        <w:bidi w:val="0"/>
        <w:adjustRightInd w:val="0"/>
        <w:snapToGrid w:val="0"/>
        <w:spacing w:before="157" w:beforeLines="50" w:line="360" w:lineRule="exact"/>
        <w:ind w:firstLine="420" w:firstLineChars="200"/>
        <w:jc w:val="center"/>
        <w:textAlignment w:val="auto"/>
        <w:rPr>
          <w:rFonts w:hint="eastAsia" w:cs="宋体" w:asciiTheme="minorEastAsia" w:hAnsiTheme="minorEastAsia" w:eastAsiaTheme="minorEastAsia"/>
          <w:b/>
          <w:bCs/>
          <w:sz w:val="18"/>
          <w:szCs w:val="18"/>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7-1</w:t>
      </w:r>
      <w:r>
        <w:rPr>
          <w:rFonts w:hint="eastAsia" w:ascii="黑体" w:hAnsi="黑体" w:eastAsia="黑体" w:cs="黑体"/>
          <w:b w:val="0"/>
          <w:bCs w:val="0"/>
          <w:sz w:val="21"/>
          <w:szCs w:val="21"/>
        </w:rPr>
        <w:t xml:space="preserve"> 各分析方法检测限与测定下限</w:t>
      </w:r>
    </w:p>
    <w:tbl>
      <w:tblPr>
        <w:tblStyle w:val="9"/>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345"/>
        <w:gridCol w:w="1350"/>
        <w:gridCol w:w="1345"/>
        <w:gridCol w:w="1350"/>
        <w:gridCol w:w="1340"/>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vMerge w:val="restart"/>
            <w:vAlign w:val="center"/>
          </w:tcPr>
          <w:p>
            <w:pPr>
              <w:snapToGrid/>
              <w:spacing w:before="100" w:beforeAutospacing="1" w:after="100" w:afterAutospacing="1"/>
              <w:ind w:firstLine="181" w:firstLineChars="100"/>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元 素</w:t>
            </w:r>
          </w:p>
        </w:tc>
        <w:tc>
          <w:tcPr>
            <w:tcW w:w="2746"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镧铁合金</w:t>
            </w:r>
          </w:p>
        </w:tc>
        <w:tc>
          <w:tcPr>
            <w:tcW w:w="2746"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钆铁合金</w:t>
            </w:r>
          </w:p>
        </w:tc>
        <w:tc>
          <w:tcPr>
            <w:tcW w:w="2750"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镝铁合金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vMerge w:val="continue"/>
            <w:tcBorders>
              <w:bottom w:val="single" w:color="auto" w:sz="8" w:space="0"/>
            </w:tcBorders>
            <w:vAlign w:val="center"/>
          </w:tcPr>
          <w:p>
            <w:pPr>
              <w:snapToGrid/>
              <w:spacing w:before="100" w:beforeAutospacing="1" w:after="100" w:afterAutospacing="1" w:line="220" w:lineRule="atLeast"/>
              <w:ind w:firstLine="360"/>
              <w:jc w:val="center"/>
              <w:rPr>
                <w:rFonts w:asciiTheme="minorEastAsia" w:hAnsiTheme="minorEastAsia" w:eastAsiaTheme="minorEastAsia"/>
                <w:b/>
                <w:bCs/>
                <w:sz w:val="18"/>
                <w:szCs w:val="18"/>
              </w:rPr>
            </w:pPr>
          </w:p>
        </w:tc>
        <w:tc>
          <w:tcPr>
            <w:tcW w:w="1373" w:type="dxa"/>
            <w:tcBorders>
              <w:bottom w:val="single" w:color="auto" w:sz="8" w:space="0"/>
            </w:tcBorders>
            <w:vAlign w:val="center"/>
          </w:tcPr>
          <w:p>
            <w:pPr>
              <w:snapToGrid/>
              <w:spacing w:before="100" w:beforeAutospacing="1" w:after="100" w:afterAutospacing="1" w:line="220" w:lineRule="atLeast"/>
              <w:jc w:val="cente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7"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8" w:space="0"/>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La</w:t>
            </w:r>
          </w:p>
        </w:tc>
        <w:tc>
          <w:tcPr>
            <w:tcW w:w="1373" w:type="dxa"/>
            <w:tcBorders>
              <w:top w:val="single" w:color="auto" w:sz="8" w:space="0"/>
              <w:tl2br w:val="nil"/>
              <w:tr2bl w:val="nil"/>
            </w:tcBorders>
            <w:vAlign w:val="center"/>
          </w:tcPr>
          <w:p>
            <w:pPr>
              <w:snapToGrid/>
              <w:spacing w:before="100" w:beforeAutospacing="1" w:after="100" w:afterAutospacing="1" w:line="220" w:lineRule="atLeast"/>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0.0040 </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0.00053</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0.0023 </w:t>
            </w:r>
          </w:p>
        </w:tc>
        <w:tc>
          <w:tcPr>
            <w:tcW w:w="1377"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Ce</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0.0012</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0.013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0.050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Pr</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0.060 </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0.0040</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0.065 </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0.0087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Nd</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0.0070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0.022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0.0029</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8" w:space="0"/>
              <w:bottom w:val="single" w:color="auto" w:sz="4" w:space="0"/>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Sm</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0.042 </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0.0028</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0.016 </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0.0022</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0.021 </w:t>
            </w:r>
          </w:p>
        </w:tc>
        <w:tc>
          <w:tcPr>
            <w:tcW w:w="1377"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4" w:space="0"/>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Eu</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0.0012 </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0.000080</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0.0014 </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0.00019</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0.0035 </w:t>
            </w:r>
          </w:p>
        </w:tc>
        <w:tc>
          <w:tcPr>
            <w:tcW w:w="1377"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Gd</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0.00067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Tb</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0.0012</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0.098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Dy</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0.0020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Ho</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0.0060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Er</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0.0055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0.00037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0.0065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0.00087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Tm</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0.0017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0.0080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0.033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Yb</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0.0017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0.016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Lu</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0.0090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0.00060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Y</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0.00080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0.000053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0.00068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0.000091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0.00014</w:t>
            </w:r>
          </w:p>
        </w:tc>
      </w:tr>
    </w:tbl>
    <w:p>
      <w:pPr>
        <w:keepNext w:val="0"/>
        <w:keepLines w:val="0"/>
        <w:pageBreakBefore w:val="0"/>
        <w:widowControl/>
        <w:kinsoku/>
        <w:wordWrap/>
        <w:overflowPunct/>
        <w:topLinePunct w:val="0"/>
        <w:autoSpaceDE/>
        <w:autoSpaceDN/>
        <w:bidi w:val="0"/>
        <w:adjustRightInd w:val="0"/>
        <w:snapToGrid w:val="0"/>
        <w:spacing w:before="313" w:beforeLines="100" w:line="360" w:lineRule="auto"/>
        <w:jc w:val="both"/>
        <w:textAlignment w:val="auto"/>
        <w:rPr>
          <w:rFonts w:hint="eastAsia" w:cs="宋体" w:asciiTheme="minorEastAsia" w:hAnsiTheme="minorEastAsia" w:eastAsiaTheme="minorEastAsia"/>
          <w:b/>
          <w:bCs/>
          <w:sz w:val="21"/>
          <w:szCs w:val="21"/>
        </w:rPr>
      </w:pPr>
    </w:p>
    <w:p>
      <w:pPr>
        <w:keepNext w:val="0"/>
        <w:keepLines w:val="0"/>
        <w:pageBreakBefore w:val="0"/>
        <w:widowControl/>
        <w:kinsoku/>
        <w:wordWrap/>
        <w:overflowPunct/>
        <w:topLinePunct w:val="0"/>
        <w:autoSpaceDE/>
        <w:autoSpaceDN/>
        <w:bidi w:val="0"/>
        <w:adjustRightInd w:val="0"/>
        <w:snapToGrid w:val="0"/>
        <w:spacing w:before="313" w:beforeLines="100" w:line="360" w:lineRule="auto"/>
        <w:jc w:val="both"/>
        <w:textAlignment w:val="auto"/>
        <w:rPr>
          <w:rFonts w:hint="eastAsia" w:cs="宋体" w:asciiTheme="minorEastAsia" w:hAnsiTheme="minorEastAsia" w:eastAsiaTheme="minorEastAsia"/>
          <w:b/>
          <w:bCs/>
          <w:sz w:val="21"/>
          <w:szCs w:val="21"/>
        </w:rPr>
      </w:pPr>
    </w:p>
    <w:p>
      <w:pPr>
        <w:keepNext w:val="0"/>
        <w:keepLines w:val="0"/>
        <w:pageBreakBefore w:val="0"/>
        <w:widowControl/>
        <w:kinsoku/>
        <w:wordWrap/>
        <w:overflowPunct/>
        <w:topLinePunct w:val="0"/>
        <w:autoSpaceDE/>
        <w:autoSpaceDN/>
        <w:bidi w:val="0"/>
        <w:adjustRightInd w:val="0"/>
        <w:snapToGrid w:val="0"/>
        <w:spacing w:before="313" w:beforeLines="100" w:line="360" w:lineRule="auto"/>
        <w:jc w:val="both"/>
        <w:textAlignment w:val="auto"/>
        <w:rPr>
          <w:rFonts w:hint="eastAsia" w:cs="宋体" w:asciiTheme="minorEastAsia" w:hAnsiTheme="minorEastAsia" w:eastAsiaTheme="minorEastAsia"/>
          <w:b/>
          <w:bCs/>
          <w:sz w:val="21"/>
          <w:szCs w:val="21"/>
        </w:rPr>
      </w:pPr>
    </w:p>
    <w:p>
      <w:pPr>
        <w:keepNext w:val="0"/>
        <w:keepLines w:val="0"/>
        <w:pageBreakBefore w:val="0"/>
        <w:widowControl/>
        <w:kinsoku/>
        <w:wordWrap/>
        <w:overflowPunct/>
        <w:topLinePunct w:val="0"/>
        <w:autoSpaceDE/>
        <w:autoSpaceDN/>
        <w:bidi w:val="0"/>
        <w:adjustRightInd w:val="0"/>
        <w:snapToGrid w:val="0"/>
        <w:spacing w:before="313" w:beforeLines="100" w:line="360" w:lineRule="exact"/>
        <w:ind w:firstLine="422" w:firstLineChars="200"/>
        <w:jc w:val="center"/>
        <w:textAlignment w:val="auto"/>
        <w:rPr>
          <w:rFonts w:hint="eastAsia" w:cs="宋体" w:asciiTheme="minorEastAsia" w:hAnsiTheme="minorEastAsia" w:eastAsiaTheme="minorEastAsia"/>
          <w:b/>
          <w:bCs/>
          <w:sz w:val="18"/>
          <w:szCs w:val="18"/>
        </w:rPr>
      </w:pPr>
      <w:r>
        <w:rPr>
          <w:rFonts w:hint="eastAsia" w:cs="宋体" w:asciiTheme="minorEastAsia" w:hAnsiTheme="minorEastAsia" w:eastAsiaTheme="minorEastAsia"/>
          <w:b/>
          <w:bCs/>
          <w:sz w:val="21"/>
          <w:szCs w:val="21"/>
        </w:rPr>
        <w:t>表</w:t>
      </w:r>
      <w:r>
        <w:rPr>
          <w:rFonts w:hint="eastAsia" w:cs="宋体" w:asciiTheme="minorEastAsia" w:hAnsiTheme="minorEastAsia"/>
          <w:b/>
          <w:bCs/>
          <w:sz w:val="21"/>
          <w:szCs w:val="21"/>
          <w:lang w:val="en-US" w:eastAsia="zh-CN"/>
        </w:rPr>
        <w:t>7-2</w:t>
      </w:r>
      <w:r>
        <w:rPr>
          <w:rFonts w:hint="eastAsia" w:cs="宋体" w:asciiTheme="minorEastAsia" w:hAnsiTheme="minorEastAsia" w:eastAsiaTheme="minorEastAsia"/>
          <w:b/>
          <w:bCs/>
          <w:sz w:val="21"/>
          <w:szCs w:val="21"/>
        </w:rPr>
        <w:t xml:space="preserve"> 各分析方法检测限与测定下限</w:t>
      </w:r>
    </w:p>
    <w:tbl>
      <w:tblPr>
        <w:tblStyle w:val="9"/>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337"/>
        <w:gridCol w:w="3"/>
        <w:gridCol w:w="1348"/>
        <w:gridCol w:w="3"/>
        <w:gridCol w:w="1348"/>
        <w:gridCol w:w="3"/>
        <w:gridCol w:w="1341"/>
        <w:gridCol w:w="3"/>
        <w:gridCol w:w="1348"/>
        <w:gridCol w:w="3"/>
        <w:gridCol w:w="1342"/>
        <w:gridCol w:w="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vMerge w:val="restart"/>
            <w:vAlign w:val="center"/>
          </w:tcPr>
          <w:p>
            <w:pPr>
              <w:snapToGrid/>
              <w:spacing w:before="100" w:beforeAutospacing="1" w:after="100" w:afterAutospacing="1"/>
              <w:ind w:firstLine="181" w:firstLineChars="100"/>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元 素</w:t>
            </w:r>
          </w:p>
        </w:tc>
        <w:tc>
          <w:tcPr>
            <w:tcW w:w="2749" w:type="dxa"/>
            <w:gridSpan w:val="4"/>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钬铁合金</w:t>
            </w:r>
          </w:p>
        </w:tc>
        <w:tc>
          <w:tcPr>
            <w:tcW w:w="2749" w:type="dxa"/>
            <w:gridSpan w:val="4"/>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钇</w:t>
            </w:r>
            <w:r>
              <w:rPr>
                <w:rFonts w:hint="eastAsia" w:asciiTheme="minorEastAsia" w:hAnsiTheme="minorEastAsia" w:eastAsiaTheme="minorEastAsia"/>
                <w:b/>
                <w:bCs/>
                <w:sz w:val="18"/>
                <w:szCs w:val="18"/>
              </w:rPr>
              <w:t>铁合金</w:t>
            </w:r>
          </w:p>
        </w:tc>
        <w:tc>
          <w:tcPr>
            <w:tcW w:w="2750" w:type="dxa"/>
            <w:gridSpan w:val="4"/>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铈铁</w:t>
            </w:r>
            <w:r>
              <w:rPr>
                <w:rFonts w:hint="eastAsia" w:asciiTheme="minorEastAsia" w:hAnsiTheme="minorEastAsia" w:eastAsiaTheme="minorEastAsia"/>
                <w:b/>
                <w:bCs/>
                <w:sz w:val="18"/>
                <w:szCs w:val="18"/>
              </w:rPr>
              <w:t>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vMerge w:val="continue"/>
            <w:tcBorders>
              <w:bottom w:val="single" w:color="auto" w:sz="8" w:space="0"/>
            </w:tcBorders>
            <w:vAlign w:val="center"/>
          </w:tcPr>
          <w:p>
            <w:pPr>
              <w:snapToGrid/>
              <w:spacing w:before="100" w:beforeAutospacing="1" w:after="100" w:afterAutospacing="1" w:line="220" w:lineRule="atLeast"/>
              <w:ind w:firstLine="360"/>
              <w:jc w:val="center"/>
              <w:rPr>
                <w:rFonts w:asciiTheme="minorEastAsia" w:hAnsiTheme="minorEastAsia" w:eastAsiaTheme="minorEastAsia"/>
                <w:b/>
                <w:bCs/>
                <w:sz w:val="18"/>
                <w:szCs w:val="18"/>
              </w:rPr>
            </w:pPr>
          </w:p>
        </w:tc>
        <w:tc>
          <w:tcPr>
            <w:tcW w:w="1371" w:type="dxa"/>
            <w:gridSpan w:val="2"/>
            <w:tcBorders>
              <w:bottom w:val="single" w:color="auto" w:sz="8" w:space="0"/>
            </w:tcBorders>
            <w:vAlign w:val="center"/>
          </w:tcPr>
          <w:p>
            <w:pPr>
              <w:snapToGrid/>
              <w:spacing w:before="100" w:beforeAutospacing="1" w:after="100" w:afterAutospacing="1" w:line="220" w:lineRule="atLeast"/>
              <w:jc w:val="center"/>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8" w:type="dxa"/>
            <w:gridSpan w:val="2"/>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c>
          <w:tcPr>
            <w:tcW w:w="1378" w:type="dxa"/>
            <w:gridSpan w:val="2"/>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1" w:type="dxa"/>
            <w:gridSpan w:val="2"/>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c>
          <w:tcPr>
            <w:tcW w:w="1378" w:type="dxa"/>
            <w:gridSpan w:val="2"/>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检出限</w:t>
            </w:r>
            <w:r>
              <w:rPr>
                <w:rFonts w:hint="eastAsia" w:asciiTheme="minorEastAsia" w:hAnsiTheme="minorEastAsia"/>
                <w:b/>
                <w:bCs/>
                <w:sz w:val="18"/>
                <w:szCs w:val="18"/>
                <w:lang w:val="en-US" w:eastAsia="zh-CN"/>
              </w:rPr>
              <w:t>/</w:t>
            </w:r>
            <w:r>
              <w:rPr>
                <w:rFonts w:hint="eastAsia" w:asciiTheme="minorEastAsia" w:hAnsiTheme="minorEastAsia" w:eastAsiaTheme="minorEastAsia"/>
                <w:b/>
                <w:bCs/>
                <w:sz w:val="18"/>
                <w:szCs w:val="18"/>
                <w:lang w:val="en-US" w:eastAsia="zh-CN"/>
              </w:rPr>
              <w:t>ug/mL</w:t>
            </w:r>
          </w:p>
        </w:tc>
        <w:tc>
          <w:tcPr>
            <w:tcW w:w="1372" w:type="dxa"/>
            <w:gridSpan w:val="2"/>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测定下限/%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op w:val="single" w:color="auto" w:sz="8" w:space="0"/>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La</w:t>
            </w:r>
          </w:p>
        </w:tc>
        <w:tc>
          <w:tcPr>
            <w:tcW w:w="1371"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0.0025</w:t>
            </w:r>
          </w:p>
        </w:tc>
        <w:tc>
          <w:tcPr>
            <w:tcW w:w="1378"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0.00033</w:t>
            </w:r>
          </w:p>
        </w:tc>
        <w:tc>
          <w:tcPr>
            <w:tcW w:w="1378"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0.0012</w:t>
            </w:r>
          </w:p>
        </w:tc>
        <w:tc>
          <w:tcPr>
            <w:tcW w:w="1371"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0.00008</w:t>
            </w:r>
          </w:p>
        </w:tc>
        <w:tc>
          <w:tcPr>
            <w:tcW w:w="1378"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0.0040</w:t>
            </w:r>
          </w:p>
        </w:tc>
        <w:tc>
          <w:tcPr>
            <w:tcW w:w="1372" w:type="dxa"/>
            <w:gridSpan w:val="2"/>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 xml:space="preserve"> 0.00027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Ce</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0.0098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0.016</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0.0010</w:t>
            </w:r>
          </w:p>
        </w:tc>
        <w:tc>
          <w:tcPr>
            <w:tcW w:w="1378" w:type="dxa"/>
            <w:gridSpan w:val="2"/>
            <w:tcBorders>
              <w:tl2br w:val="nil"/>
              <w:tr2bl w:val="nil"/>
            </w:tcBorders>
            <w:vAlign w:val="center"/>
          </w:tcPr>
          <w:p>
            <w:pPr>
              <w:snapToGrid/>
              <w:spacing w:before="100" w:beforeAutospacing="1" w:after="100" w:afterAutospacing="1" w:line="220" w:lineRule="atLeast"/>
              <w:ind w:firstLine="360" w:firstLineChars="200"/>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14:textFill>
                  <w14:solidFill>
                    <w14:schemeClr w14:val="tx1"/>
                  </w14:solidFill>
                </w14:textFill>
              </w:rPr>
              <w:t>/</w:t>
            </w:r>
          </w:p>
        </w:tc>
        <w:tc>
          <w:tcPr>
            <w:tcW w:w="1372" w:type="dxa"/>
            <w:gridSpan w:val="2"/>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Pr</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0.028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0.0037</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0.059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0.046</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Nd</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0.0085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0.0011</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0.067</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0.011</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 xml:space="preserve"> 0.00071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Sm</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0.030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0.040</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0.0042</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Eu</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0.0024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0.00031</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0.0010</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0.00007</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0.0035</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Gd</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0.018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0.0075</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0.00050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0.075</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Tb</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0.053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0.0071</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0.049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0.014</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Dy</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0.0075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0.00092</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0.052</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Ho</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0.0013</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Er</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0.0055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0.00074</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0.0017</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0.00012</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Tm</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0.020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0.0012</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0.00008</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0.00077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Yb</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0.0010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0.00013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0.00050</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0.024</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Lu</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0.0016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0.00022</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Y</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0.00047</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0.0018</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0.00012</w:t>
            </w:r>
          </w:p>
        </w:tc>
      </w:tr>
    </w:tbl>
    <w:p>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6" w:beforeLines="50" w:line="312" w:lineRule="auto"/>
        <w:ind w:firstLine="420"/>
        <w:jc w:val="both"/>
        <w:textAlignment w:val="auto"/>
        <w:rPr>
          <w:rFonts w:hint="eastAsia"/>
          <w:szCs w:val="21"/>
          <w:lang w:eastAsia="zh-CN"/>
        </w:rPr>
      </w:pPr>
      <w:r>
        <w:rPr>
          <w:rFonts w:hint="eastAsia"/>
          <w:szCs w:val="21"/>
          <w:lang w:eastAsia="zh-CN"/>
        </w:rPr>
        <w:t>通过进行标准的检测限与测定下限试验，经过各验证单位验证，试验证明本标准能满足其测定范围下限要求；测定上限则根据市场调研及参考产品标准各元素均值的多倍而定。</w:t>
      </w:r>
    </w:p>
    <w:p>
      <w:pPr>
        <w:pStyle w:val="11"/>
        <w:keepNext w:val="0"/>
        <w:keepLines w:val="0"/>
        <w:pageBreakBefore w:val="0"/>
        <w:widowControl/>
        <w:numPr>
          <w:ilvl w:val="0"/>
          <w:numId w:val="4"/>
        </w:numPr>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int="eastAsia" w:ascii="黑体" w:hAnsi="黑体" w:eastAsia="黑体" w:cs="黑体"/>
          <w:kern w:val="2"/>
          <w:szCs w:val="21"/>
          <w:lang w:eastAsia="zh-CN"/>
        </w:rPr>
      </w:pPr>
      <w:r>
        <w:rPr>
          <w:rFonts w:hint="eastAsia" w:ascii="黑体" w:hAnsi="黑体" w:eastAsia="黑体" w:cs="黑体"/>
          <w:kern w:val="2"/>
          <w:szCs w:val="21"/>
          <w:lang w:eastAsia="zh-CN"/>
        </w:rPr>
        <w:t>分析谱线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lang w:val="en-US" w:eastAsia="zh-CN"/>
        </w:rPr>
      </w:pPr>
      <w:r>
        <w:rPr>
          <w:rFonts w:hint="eastAsia"/>
          <w:lang w:val="en-US" w:eastAsia="zh-CN"/>
        </w:rPr>
        <w:t xml:space="preserve">    通过进行基体对测定元素干扰试验、共存稀土杂质对测定元素干扰试验、共存非稀土杂质对测定元素干扰试验，结合基体变化对谱线的影响与测定下限等综合考虑，经过验证单位验证，试验证明方法推荐的各分析谱线能满足其测定范围的要求。（各试验数据过多未列出。）</w:t>
      </w:r>
    </w:p>
    <w:p>
      <w:pPr>
        <w:pStyle w:val="11"/>
        <w:keepNext w:val="0"/>
        <w:keepLines w:val="0"/>
        <w:pageBreakBefore w:val="0"/>
        <w:widowControl/>
        <w:numPr>
          <w:ilvl w:val="0"/>
          <w:numId w:val="4"/>
        </w:numPr>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int="eastAsia" w:ascii="黑体" w:hAnsi="黑体" w:eastAsia="黑体" w:cs="黑体"/>
          <w:kern w:val="2"/>
          <w:szCs w:val="21"/>
          <w:lang w:eastAsia="zh-CN"/>
        </w:rPr>
      </w:pPr>
      <w:r>
        <w:rPr>
          <w:rFonts w:hint="eastAsia" w:ascii="黑体" w:hAnsi="黑体" w:eastAsia="黑体" w:cs="黑体"/>
          <w:kern w:val="2"/>
          <w:szCs w:val="21"/>
          <w:lang w:eastAsia="zh-CN"/>
        </w:rPr>
        <w:t>基体比例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eastAsia="宋体"/>
          <w:kern w:val="2"/>
          <w:szCs w:val="21"/>
          <w:lang w:val="en-US" w:eastAsia="zh-CN"/>
        </w:rPr>
      </w:pPr>
      <w:r>
        <w:rPr>
          <w:rFonts w:hint="eastAsia"/>
          <w:lang w:val="en-US" w:eastAsia="zh-CN"/>
        </w:rPr>
        <w:t>通过进行制备模拟样品见表8，取基体变化的最大程度，分别加入测定元素高、低含量（铈铁合金、钇铁合金为中间含量），用系列标准溶液，校标进行测定，计算回收率（试验数据过多未列出），经过验证单位验证，试验证明方法中各含量段回收率均复核</w:t>
      </w:r>
      <w:r>
        <w:rPr>
          <w:rFonts w:hint="eastAsia" w:ascii="宋体" w:hAnsi="宋体" w:eastAsia="宋体" w:cs="宋体"/>
          <w:lang w:val="en-US" w:eastAsia="zh-CN"/>
        </w:rPr>
        <w:t>80%～120%</w:t>
      </w:r>
      <w:r>
        <w:rPr>
          <w:rFonts w:hint="eastAsia"/>
          <w:lang w:val="en-US" w:eastAsia="zh-CN"/>
        </w:rPr>
        <w:t>范围，本标准系列标准溶液选用的基体比例能满足产品标准中各牌号产品的测定要求。</w:t>
      </w:r>
    </w:p>
    <w:p>
      <w:pPr>
        <w:keepNext w:val="0"/>
        <w:keepLines w:val="0"/>
        <w:pageBreakBefore w:val="0"/>
        <w:widowControl/>
        <w:kinsoku/>
        <w:wordWrap/>
        <w:overflowPunct/>
        <w:topLinePunct w:val="0"/>
        <w:autoSpaceDE/>
        <w:autoSpaceDN/>
        <w:bidi w:val="0"/>
        <w:adjustRightInd w:val="0"/>
        <w:snapToGrid w:val="0"/>
        <w:spacing w:before="157" w:beforeLines="50" w:line="360" w:lineRule="exact"/>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8 基体变化模拟样品制备</w:t>
      </w:r>
    </w:p>
    <w:tbl>
      <w:tblPr>
        <w:tblStyle w:val="9"/>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7"/>
        <w:gridCol w:w="697"/>
        <w:gridCol w:w="697"/>
        <w:gridCol w:w="697"/>
        <w:gridCol w:w="697"/>
        <w:gridCol w:w="697"/>
        <w:gridCol w:w="697"/>
        <w:gridCol w:w="698"/>
        <w:gridCol w:w="698"/>
        <w:gridCol w:w="698"/>
        <w:gridCol w:w="698"/>
        <w:gridCol w:w="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方法</w:t>
            </w:r>
          </w:p>
        </w:tc>
        <w:tc>
          <w:tcPr>
            <w:tcW w:w="1424"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LaFe</w:t>
            </w:r>
          </w:p>
        </w:tc>
        <w:tc>
          <w:tcPr>
            <w:tcW w:w="1424"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GdFe</w:t>
            </w:r>
          </w:p>
        </w:tc>
        <w:tc>
          <w:tcPr>
            <w:tcW w:w="1424"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DyFe</w:t>
            </w:r>
          </w:p>
        </w:tc>
        <w:tc>
          <w:tcPr>
            <w:tcW w:w="1424"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HoFe</w:t>
            </w:r>
          </w:p>
        </w:tc>
        <w:tc>
          <w:tcPr>
            <w:tcW w:w="1424"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YFe</w:t>
            </w:r>
          </w:p>
        </w:tc>
        <w:tc>
          <w:tcPr>
            <w:tcW w:w="1425"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CeFe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基体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b/>
                <w:bCs/>
                <w:sz w:val="18"/>
                <w:szCs w:val="18"/>
                <w:vertAlign w:val="baseline"/>
                <w:lang w:val="en-US" w:eastAsia="zh-CN"/>
              </w:rPr>
              <w:t>比例/%</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La:9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Fe:91</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La:21</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Fe:79</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Gd:68</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Fe:32</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Gd:76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Fe:24</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Dy:74</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Fe:26</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Dy:86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Fe:14</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Ho:79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Fe:21</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Ho:84</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Fe:16</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Y:59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Fe:41</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Y:66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Fe:34</w:t>
            </w:r>
          </w:p>
        </w:tc>
        <w:tc>
          <w:tcPr>
            <w:tcW w:w="712"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Ce:9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Fe:91</w:t>
            </w:r>
          </w:p>
        </w:tc>
        <w:tc>
          <w:tcPr>
            <w:tcW w:w="71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Ce:21</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A份</w:t>
            </w:r>
            <w:r>
              <w:rPr>
                <w:rFonts w:hint="eastAsia" w:cs="宋体" w:asciiTheme="minorEastAsia" w:hAnsiTheme="minorEastAsia"/>
                <w:b/>
                <w:bCs/>
                <w:sz w:val="18"/>
                <w:szCs w:val="18"/>
                <w:vertAlign w:val="baseline"/>
                <w:lang w:val="en-US" w:eastAsia="zh-CN"/>
              </w:rPr>
              <w:t>/%</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b/>
                <w:bCs/>
                <w:sz w:val="18"/>
                <w:szCs w:val="18"/>
                <w:vertAlign w:val="baseline"/>
                <w:lang w:val="en-US" w:eastAsia="zh-CN"/>
              </w:rPr>
            </w:pPr>
            <w:r>
              <w:rPr>
                <w:rFonts w:hint="eastAsia" w:cs="宋体" w:asciiTheme="minorEastAsia" w:hAnsiTheme="minorEastAsia" w:eastAsiaTheme="minorEastAsia"/>
                <w:b/>
                <w:bCs/>
                <w:sz w:val="18"/>
                <w:szCs w:val="18"/>
                <w:vertAlign w:val="baseline"/>
                <w:lang w:val="en-US" w:eastAsia="zh-CN"/>
              </w:rPr>
              <w:t>B份</w:t>
            </w:r>
            <w:r>
              <w:rPr>
                <w:rFonts w:hint="eastAsia" w:cs="宋体" w:asciiTheme="minorEastAsia" w:hAnsiTheme="minorEastAsia"/>
                <w:b/>
                <w:bCs/>
                <w:sz w:val="18"/>
                <w:szCs w:val="18"/>
                <w:vertAlign w:val="baseline"/>
                <w:lang w:val="en-US" w:eastAsia="zh-CN"/>
              </w:rPr>
              <w:t>/%</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r>
    </w:tbl>
    <w:p>
      <w:pPr>
        <w:pStyle w:val="11"/>
        <w:keepNext w:val="0"/>
        <w:keepLines w:val="0"/>
        <w:pageBreakBefore w:val="0"/>
        <w:widowControl/>
        <w:numPr>
          <w:ilvl w:val="0"/>
          <w:numId w:val="0"/>
        </w:numPr>
        <w:tabs>
          <w:tab w:val="clear" w:pos="675"/>
        </w:tabs>
        <w:kinsoku/>
        <w:wordWrap/>
        <w:overflowPunct/>
        <w:topLinePunct w:val="0"/>
        <w:autoSpaceDE/>
        <w:autoSpaceDN/>
        <w:bidi w:val="0"/>
        <w:adjustRightInd/>
        <w:snapToGrid/>
        <w:spacing w:before="313" w:beforeLines="100" w:after="156" w:afterLines="50" w:line="360" w:lineRule="exact"/>
        <w:ind w:leftChars="0"/>
        <w:textAlignment w:val="auto"/>
        <w:rPr>
          <w:rFonts w:hint="eastAsia" w:ascii="Times New Roman" w:eastAsia="宋体"/>
          <w:kern w:val="2"/>
          <w:szCs w:val="21"/>
          <w:lang w:eastAsia="zh-CN"/>
        </w:rPr>
      </w:pPr>
    </w:p>
    <w:p>
      <w:pPr>
        <w:pStyle w:val="11"/>
        <w:keepNext w:val="0"/>
        <w:keepLines w:val="0"/>
        <w:pageBreakBefore w:val="0"/>
        <w:widowControl/>
        <w:numPr>
          <w:ilvl w:val="0"/>
          <w:numId w:val="4"/>
        </w:numPr>
        <w:tabs>
          <w:tab w:val="clear" w:pos="675"/>
        </w:tabs>
        <w:kinsoku/>
        <w:wordWrap/>
        <w:overflowPunct/>
        <w:topLinePunct w:val="0"/>
        <w:autoSpaceDE/>
        <w:autoSpaceDN/>
        <w:bidi w:val="0"/>
        <w:adjustRightInd/>
        <w:snapToGrid/>
        <w:spacing w:before="313" w:beforeLines="100" w:after="156" w:afterLines="50" w:line="360" w:lineRule="exact"/>
        <w:ind w:left="0" w:firstLine="0"/>
        <w:textAlignment w:val="auto"/>
        <w:rPr>
          <w:rFonts w:hint="eastAsia" w:ascii="Times New Roman" w:eastAsia="宋体"/>
          <w:kern w:val="2"/>
          <w:szCs w:val="21"/>
          <w:lang w:eastAsia="zh-CN"/>
        </w:rPr>
      </w:pPr>
      <w:r>
        <w:rPr>
          <w:rFonts w:hint="eastAsia" w:ascii="黑体" w:hAnsi="黑体" w:eastAsia="黑体" w:cs="黑体"/>
          <w:kern w:val="2"/>
          <w:szCs w:val="21"/>
          <w:lang w:val="en-US" w:eastAsia="zh-CN"/>
        </w:rPr>
        <w:t>酸介质及酸浓度度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2"/>
          <w:szCs w:val="21"/>
          <w:lang w:val="en-US" w:eastAsia="zh-CN"/>
        </w:rPr>
        <w:t>镧铁合金分析样品的酸介质的选择：选用两种常用酸（硝酸、盐酸）进行各元素综合比较，各以酸浓度10%</w:t>
      </w:r>
      <w:r>
        <w:rPr>
          <w:rFonts w:hint="eastAsia" w:ascii="宋体" w:hAnsi="宋体" w:eastAsia="宋体" w:cs="宋体"/>
          <w:sz w:val="21"/>
          <w:szCs w:val="21"/>
        </w:rPr>
        <w:t>在相同仪器条件下分别对所选定的被测元素分析谱线进行扫描</w:t>
      </w:r>
      <w:r>
        <w:rPr>
          <w:rFonts w:hint="eastAsia" w:ascii="宋体" w:hAnsi="宋体" w:eastAsia="宋体" w:cs="宋体"/>
          <w:sz w:val="21"/>
          <w:szCs w:val="21"/>
          <w:lang w:eastAsia="zh-CN"/>
        </w:rPr>
        <w:t>，</w:t>
      </w:r>
      <w:r>
        <w:rPr>
          <w:rFonts w:hint="eastAsia" w:ascii="宋体" w:hAnsi="宋体" w:eastAsia="宋体" w:cs="宋体"/>
          <w:sz w:val="21"/>
          <w:szCs w:val="21"/>
        </w:rPr>
        <w:t>以线背比（I/Ib）大小为评估指标</w:t>
      </w:r>
      <w:r>
        <w:rPr>
          <w:rFonts w:hint="eastAsia" w:ascii="宋体" w:hAnsi="宋体" w:eastAsia="宋体" w:cs="宋体"/>
          <w:sz w:val="21"/>
          <w:szCs w:val="21"/>
          <w:lang w:eastAsia="zh-CN"/>
        </w:rPr>
        <w:t>，结果见表</w:t>
      </w:r>
      <w:r>
        <w:rPr>
          <w:rFonts w:hint="eastAsia" w:ascii="宋体" w:hAnsi="宋体" w:eastAsia="宋体" w:cs="宋体"/>
          <w:sz w:val="21"/>
          <w:szCs w:val="21"/>
          <w:lang w:val="en-US" w:eastAsia="zh-CN"/>
        </w:rPr>
        <w:t>9。但在分解样品时发现，镧铁合金在盐酸介质中分解速度比较缓慢，在硝酸介质中比较快，因此中途增加了样品的酸分解试验，数据见表10。经过了验证单位验证，试验表明盐酸介质对绝大多数元素分析谱线的线背比稍大于硝酸介质（两者基本比较接近），但综合考虑最后确定选择硝酸介质。</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表9</w:t>
      </w:r>
      <w:r>
        <w:rPr>
          <w:rFonts w:hint="eastAsia" w:ascii="黑体" w:hAnsi="黑体" w:eastAsia="黑体" w:cs="黑体"/>
          <w:b w:val="0"/>
          <w:sz w:val="21"/>
          <w:szCs w:val="21"/>
        </w:rPr>
        <w:t>酸介质</w:t>
      </w:r>
      <w:r>
        <w:rPr>
          <w:rFonts w:hint="eastAsia" w:ascii="黑体" w:hAnsi="黑体" w:eastAsia="黑体" w:cs="黑体"/>
          <w:b w:val="0"/>
          <w:sz w:val="21"/>
          <w:szCs w:val="21"/>
          <w:lang w:eastAsia="zh-CN"/>
        </w:rPr>
        <w:t>选择</w:t>
      </w:r>
      <w:r>
        <w:rPr>
          <w:rFonts w:hint="eastAsia" w:ascii="黑体" w:hAnsi="黑体" w:eastAsia="黑体" w:cs="黑体"/>
          <w:kern w:val="2"/>
          <w:szCs w:val="21"/>
          <w:lang w:val="en-US" w:eastAsia="zh-CN"/>
        </w:rPr>
        <w:t>（I/Ib）</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071"/>
        <w:gridCol w:w="1073"/>
        <w:gridCol w:w="1072"/>
        <w:gridCol w:w="1073"/>
        <w:gridCol w:w="1073"/>
        <w:gridCol w:w="1073"/>
        <w:gridCol w:w="10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酸介质</w:t>
            </w:r>
          </w:p>
        </w:tc>
        <w:tc>
          <w:tcPr>
            <w:tcW w:w="1125"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Ce</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Pr</w:t>
            </w:r>
          </w:p>
        </w:tc>
        <w:tc>
          <w:tcPr>
            <w:tcW w:w="1126"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Nd</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Sm</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Eu</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Gd</w:t>
            </w:r>
          </w:p>
        </w:tc>
        <w:tc>
          <w:tcPr>
            <w:tcW w:w="1126"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tl2br w:val="nil"/>
              <w:tr2bl w:val="nil"/>
            </w:tcBorders>
            <w:vAlign w:val="center"/>
          </w:tcPr>
          <w:p>
            <w:pPr>
              <w:spacing w:line="240" w:lineRule="atLeast"/>
              <w:ind w:firstLine="271" w:firstLineChars="150"/>
              <w:jc w:val="center"/>
              <w:rPr>
                <w:rFonts w:ascii="宋体" w:hAnsi="宋体" w:eastAsia="宋体" w:cs="宋体"/>
                <w:b/>
                <w:bCs/>
                <w:sz w:val="18"/>
                <w:szCs w:val="18"/>
              </w:rPr>
            </w:pPr>
            <w:r>
              <w:rPr>
                <w:rFonts w:hint="eastAsia" w:ascii="宋体" w:hAnsi="宋体" w:eastAsia="宋体" w:cs="宋体"/>
                <w:b/>
                <w:bCs/>
                <w:sz w:val="18"/>
                <w:szCs w:val="18"/>
              </w:rPr>
              <w:t>10% Hcl</w:t>
            </w:r>
          </w:p>
        </w:tc>
        <w:tc>
          <w:tcPr>
            <w:tcW w:w="1125"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15.30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8.37</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27.40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9.29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99.39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31.38</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bottom w:val="single" w:color="auto" w:sz="8" w:space="0"/>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10% HNO3</w:t>
            </w:r>
          </w:p>
        </w:tc>
        <w:tc>
          <w:tcPr>
            <w:tcW w:w="1125"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14.74</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7.55</w:t>
            </w:r>
          </w:p>
        </w:tc>
        <w:tc>
          <w:tcPr>
            <w:tcW w:w="1126"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26.20</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8.92</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100.48</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31.10</w:t>
            </w:r>
          </w:p>
        </w:tc>
        <w:tc>
          <w:tcPr>
            <w:tcW w:w="1126"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酸介质</w:t>
            </w:r>
          </w:p>
        </w:tc>
        <w:tc>
          <w:tcPr>
            <w:tcW w:w="1125"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Dy</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Ho</w:t>
            </w:r>
          </w:p>
        </w:tc>
        <w:tc>
          <w:tcPr>
            <w:tcW w:w="1126"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Er</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Tm</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Yb</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Lu</w:t>
            </w:r>
          </w:p>
        </w:tc>
        <w:tc>
          <w:tcPr>
            <w:tcW w:w="1126"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tl2br w:val="nil"/>
              <w:tr2bl w:val="nil"/>
            </w:tcBorders>
            <w:vAlign w:val="center"/>
          </w:tcPr>
          <w:p>
            <w:pPr>
              <w:spacing w:line="240" w:lineRule="atLeast"/>
              <w:ind w:firstLine="271" w:firstLineChars="150"/>
              <w:jc w:val="center"/>
              <w:rPr>
                <w:rFonts w:ascii="宋体" w:hAnsi="宋体" w:eastAsia="宋体" w:cs="宋体"/>
                <w:b/>
                <w:bCs/>
                <w:sz w:val="18"/>
                <w:szCs w:val="18"/>
              </w:rPr>
            </w:pPr>
            <w:r>
              <w:rPr>
                <w:rFonts w:hint="eastAsia" w:ascii="宋体" w:hAnsi="宋体" w:eastAsia="宋体" w:cs="宋体"/>
                <w:b/>
                <w:bCs/>
                <w:sz w:val="18"/>
                <w:szCs w:val="18"/>
              </w:rPr>
              <w:t>10% Hcl</w:t>
            </w:r>
          </w:p>
        </w:tc>
        <w:tc>
          <w:tcPr>
            <w:tcW w:w="1125"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101.56</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35.62</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52.69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90.26</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457.39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171.85</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176.44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10% HNO3</w:t>
            </w:r>
          </w:p>
        </w:tc>
        <w:tc>
          <w:tcPr>
            <w:tcW w:w="1125"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95.43</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34.66</w:t>
            </w:r>
          </w:p>
        </w:tc>
        <w:tc>
          <w:tcPr>
            <w:tcW w:w="1126"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47.70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89.63</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441.31</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181.03</w:t>
            </w:r>
          </w:p>
        </w:tc>
        <w:tc>
          <w:tcPr>
            <w:tcW w:w="1126"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185.75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default" w:cs="宋体" w:asciiTheme="minorEastAsia" w:hAnsiTheme="minorEastAsia"/>
          <w:sz w:val="21"/>
          <w:szCs w:val="21"/>
          <w:lang w:val="en-US" w:eastAsia="zh-CN"/>
        </w:rPr>
      </w:pPr>
      <w:r>
        <w:rPr>
          <w:rFonts w:hint="eastAsia" w:ascii="黑体" w:hAnsi="黑体" w:eastAsia="黑体" w:cs="黑体"/>
          <w:sz w:val="21"/>
          <w:szCs w:val="21"/>
          <w:lang w:val="en-US" w:eastAsia="zh-CN"/>
        </w:rPr>
        <w:t>表10样品的酸分解</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24"/>
        <w:gridCol w:w="1524"/>
        <w:gridCol w:w="1524"/>
        <w:gridCol w:w="1526"/>
        <w:gridCol w:w="1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bottom w:val="single" w:color="auto" w:sz="8" w:space="0"/>
            </w:tcBorders>
            <w:vAlign w:val="center"/>
          </w:tcPr>
          <w:p>
            <w:pPr>
              <w:spacing w:line="240" w:lineRule="atLeast"/>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样品名称</w:t>
            </w:r>
          </w:p>
        </w:tc>
        <w:tc>
          <w:tcPr>
            <w:tcW w:w="2834" w:type="dxa"/>
            <w:tcBorders>
              <w:bottom w:val="single" w:color="auto" w:sz="8" w:space="0"/>
            </w:tcBorders>
            <w:vAlign w:val="center"/>
          </w:tcPr>
          <w:p>
            <w:pPr>
              <w:spacing w:line="240" w:lineRule="atLeast"/>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称样量（</w:t>
            </w:r>
            <w:r>
              <w:rPr>
                <w:rFonts w:hint="eastAsia" w:ascii="宋体" w:hAnsi="宋体" w:eastAsia="宋体" w:cs="宋体"/>
                <w:b/>
                <w:bCs/>
                <w:sz w:val="18"/>
                <w:szCs w:val="18"/>
                <w:lang w:val="en-US" w:eastAsia="zh-CN"/>
              </w:rPr>
              <w:t>g</w:t>
            </w:r>
            <w:r>
              <w:rPr>
                <w:rFonts w:hint="eastAsia" w:ascii="宋体" w:hAnsi="宋体" w:eastAsia="宋体" w:cs="宋体"/>
                <w:b/>
                <w:bCs/>
                <w:sz w:val="18"/>
                <w:szCs w:val="18"/>
                <w:lang w:eastAsia="zh-CN"/>
              </w:rPr>
              <w:t>）</w:t>
            </w:r>
          </w:p>
        </w:tc>
        <w:tc>
          <w:tcPr>
            <w:tcW w:w="2834" w:type="dxa"/>
            <w:tcBorders>
              <w:bottom w:val="single" w:color="auto" w:sz="8" w:space="0"/>
            </w:tcBorders>
            <w:vAlign w:val="center"/>
          </w:tcPr>
          <w:p>
            <w:pPr>
              <w:spacing w:line="240" w:lineRule="atLeast"/>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eastAsia="zh-CN"/>
              </w:rPr>
              <w:t>溶样</w:t>
            </w:r>
            <w:r>
              <w:rPr>
                <w:rFonts w:hint="eastAsia" w:ascii="宋体" w:hAnsi="宋体" w:eastAsia="宋体" w:cs="宋体"/>
                <w:b/>
                <w:bCs/>
                <w:sz w:val="18"/>
                <w:szCs w:val="18"/>
              </w:rPr>
              <w:t>酸</w:t>
            </w:r>
            <w:r>
              <w:rPr>
                <w:rFonts w:hint="eastAsia" w:ascii="宋体" w:hAnsi="宋体" w:eastAsia="宋体" w:cs="宋体"/>
                <w:b/>
                <w:bCs/>
                <w:sz w:val="18"/>
                <w:szCs w:val="18"/>
                <w:lang w:eastAsia="zh-CN"/>
              </w:rPr>
              <w:t>（</w:t>
            </w:r>
            <w:r>
              <w:rPr>
                <w:rFonts w:hint="eastAsia" w:ascii="宋体" w:hAnsi="宋体" w:eastAsia="宋体" w:cs="宋体"/>
                <w:b/>
                <w:bCs/>
                <w:sz w:val="18"/>
                <w:szCs w:val="18"/>
                <w:lang w:val="en-US" w:eastAsia="zh-CN"/>
              </w:rPr>
              <w:t>1+1</w:t>
            </w:r>
            <w:r>
              <w:rPr>
                <w:rFonts w:hint="eastAsia" w:ascii="宋体" w:hAnsi="宋体" w:eastAsia="宋体" w:cs="宋体"/>
                <w:b/>
                <w:bCs/>
                <w:sz w:val="18"/>
                <w:szCs w:val="18"/>
                <w:lang w:eastAsia="zh-CN"/>
              </w:rPr>
              <w:t>）</w:t>
            </w:r>
          </w:p>
        </w:tc>
        <w:tc>
          <w:tcPr>
            <w:tcW w:w="2834" w:type="dxa"/>
            <w:tcBorders>
              <w:bottom w:val="single" w:color="auto" w:sz="8" w:space="0"/>
            </w:tcBorders>
            <w:vAlign w:val="center"/>
          </w:tcPr>
          <w:p>
            <w:pPr>
              <w:spacing w:line="240" w:lineRule="atLeast"/>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eastAsia="zh-CN"/>
              </w:rPr>
              <w:t>溶样时间（</w:t>
            </w:r>
            <w:r>
              <w:rPr>
                <w:rFonts w:hint="eastAsia" w:ascii="宋体" w:hAnsi="宋体" w:eastAsia="宋体" w:cs="宋体"/>
                <w:b/>
                <w:bCs/>
                <w:sz w:val="18"/>
                <w:szCs w:val="18"/>
                <w:lang w:val="en-US" w:eastAsia="zh-CN"/>
              </w:rPr>
              <w:t>min</w:t>
            </w:r>
            <w:r>
              <w:rPr>
                <w:rFonts w:hint="eastAsia" w:ascii="宋体" w:hAnsi="宋体" w:eastAsia="宋体" w:cs="宋体"/>
                <w:b/>
                <w:bCs/>
                <w:sz w:val="18"/>
                <w:szCs w:val="18"/>
                <w:lang w:eastAsia="zh-CN"/>
              </w:rPr>
              <w:t>）</w:t>
            </w:r>
          </w:p>
        </w:tc>
        <w:tc>
          <w:tcPr>
            <w:tcW w:w="2837" w:type="dxa"/>
            <w:tcBorders>
              <w:bottom w:val="single" w:color="auto" w:sz="8" w:space="0"/>
            </w:tcBorders>
            <w:vAlign w:val="center"/>
          </w:tcPr>
          <w:p>
            <w:pPr>
              <w:spacing w:line="240" w:lineRule="atLeast"/>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H</w:t>
            </w:r>
            <w:r>
              <w:rPr>
                <w:rFonts w:hint="eastAsia" w:ascii="宋体" w:hAnsi="宋体" w:eastAsia="宋体" w:cs="宋体"/>
                <w:b/>
                <w:bCs/>
                <w:sz w:val="18"/>
                <w:szCs w:val="18"/>
                <w:vertAlign w:val="subscript"/>
                <w:lang w:val="en-US" w:eastAsia="zh-CN"/>
              </w:rPr>
              <w:t>2</w:t>
            </w:r>
            <w:r>
              <w:rPr>
                <w:rFonts w:hint="eastAsia" w:ascii="宋体" w:hAnsi="宋体" w:eastAsia="宋体" w:cs="宋体"/>
                <w:b/>
                <w:bCs/>
                <w:sz w:val="18"/>
                <w:szCs w:val="18"/>
                <w:lang w:val="en-US" w:eastAsia="zh-CN"/>
              </w:rPr>
              <w:t>O</w:t>
            </w:r>
            <w:r>
              <w:rPr>
                <w:rFonts w:hint="eastAsia" w:ascii="宋体" w:hAnsi="宋体" w:eastAsia="宋体" w:cs="宋体"/>
                <w:b/>
                <w:bCs/>
                <w:sz w:val="18"/>
                <w:szCs w:val="18"/>
                <w:vertAlign w:val="subscript"/>
                <w:lang w:val="en-US" w:eastAsia="zh-CN"/>
              </w:rPr>
              <w:t>2</w:t>
            </w:r>
            <w:r>
              <w:rPr>
                <w:rFonts w:hint="eastAsia" w:ascii="宋体" w:hAnsi="宋体" w:eastAsia="宋体" w:cs="宋体"/>
                <w:b/>
                <w:bCs/>
                <w:sz w:val="18"/>
                <w:szCs w:val="18"/>
                <w:lang w:eastAsia="zh-CN"/>
              </w:rPr>
              <w:t>（</w:t>
            </w:r>
            <w:r>
              <w:rPr>
                <w:rFonts w:hint="eastAsia" w:ascii="宋体" w:hAnsi="宋体" w:eastAsia="宋体" w:cs="宋体"/>
                <w:b/>
                <w:bCs/>
                <w:sz w:val="18"/>
                <w:szCs w:val="18"/>
                <w:lang w:val="en-US" w:eastAsia="zh-CN"/>
              </w:rPr>
              <w:t>用量</w:t>
            </w:r>
            <w:r>
              <w:rPr>
                <w:rFonts w:hint="eastAsia" w:ascii="宋体" w:hAnsi="宋体" w:eastAsia="宋体" w:cs="宋体"/>
                <w:b/>
                <w:bCs/>
                <w:sz w:val="18"/>
                <w:szCs w:val="18"/>
                <w:lang w:eastAsia="zh-CN"/>
              </w:rPr>
              <w:t>）</w:t>
            </w:r>
          </w:p>
        </w:tc>
        <w:tc>
          <w:tcPr>
            <w:tcW w:w="2837" w:type="dxa"/>
            <w:tcBorders>
              <w:bottom w:val="single" w:color="auto" w:sz="8" w:space="0"/>
            </w:tcBorders>
            <w:vAlign w:val="center"/>
          </w:tcPr>
          <w:p>
            <w:pPr>
              <w:spacing w:line="240" w:lineRule="atLeast"/>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是否能溶清亮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top w:val="single" w:color="auto" w:sz="8" w:space="0"/>
              <w:tl2br w:val="nil"/>
              <w:tr2bl w:val="nil"/>
            </w:tcBorders>
            <w:vAlign w:val="center"/>
          </w:tcPr>
          <w:p>
            <w:pPr>
              <w:spacing w:line="240" w:lineRule="atLeast"/>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LaFeA#(固)</w:t>
            </w:r>
          </w:p>
        </w:tc>
        <w:tc>
          <w:tcPr>
            <w:tcW w:w="2834" w:type="dxa"/>
            <w:tcBorders>
              <w:top w:val="single" w:color="auto" w:sz="8" w:space="0"/>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2.500</w:t>
            </w:r>
          </w:p>
        </w:tc>
        <w:tc>
          <w:tcPr>
            <w:tcW w:w="2834"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rPr>
              <w:t xml:space="preserve"> Hcl</w:t>
            </w:r>
          </w:p>
        </w:tc>
        <w:tc>
          <w:tcPr>
            <w:tcW w:w="2834" w:type="dxa"/>
            <w:tcBorders>
              <w:top w:val="single" w:color="auto" w:sz="8" w:space="0"/>
              <w:tl2br w:val="nil"/>
              <w:tr2bl w:val="nil"/>
            </w:tcBorders>
            <w:vAlign w:val="center"/>
          </w:tcPr>
          <w:p>
            <w:pPr>
              <w:spacing w:line="240" w:lineRule="atLeast"/>
              <w:jc w:val="center"/>
              <w:rPr>
                <w:rFonts w:hint="default" w:ascii="Arial" w:hAnsi="Arial" w:eastAsia="宋体" w:cs="Arial"/>
                <w:sz w:val="18"/>
                <w:szCs w:val="18"/>
                <w:lang w:val="en-US" w:eastAsia="zh-CN"/>
              </w:rPr>
            </w:pPr>
            <w:r>
              <w:rPr>
                <w:rFonts w:hint="default" w:ascii="Arial" w:hAnsi="Arial" w:eastAsia="宋体" w:cs="Arial"/>
                <w:sz w:val="18"/>
                <w:szCs w:val="18"/>
                <w:lang w:eastAsia="zh-CN"/>
              </w:rPr>
              <w:t>&gt;</w:t>
            </w:r>
            <w:r>
              <w:rPr>
                <w:rFonts w:hint="eastAsia" w:asciiTheme="majorEastAsia" w:hAnsiTheme="majorEastAsia" w:eastAsiaTheme="majorEastAsia" w:cstheme="majorEastAsia"/>
                <w:sz w:val="18"/>
                <w:szCs w:val="18"/>
                <w:lang w:val="en-US" w:eastAsia="zh-CN"/>
              </w:rPr>
              <w:t>30</w:t>
            </w:r>
          </w:p>
        </w:tc>
        <w:tc>
          <w:tcPr>
            <w:tcW w:w="2837"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大量</w:t>
            </w:r>
          </w:p>
        </w:tc>
        <w:tc>
          <w:tcPr>
            <w:tcW w:w="2837"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tl2br w:val="nil"/>
              <w:tr2bl w:val="nil"/>
            </w:tcBorders>
            <w:vAlign w:val="center"/>
          </w:tcPr>
          <w:p>
            <w:pPr>
              <w:spacing w:line="240" w:lineRule="atLeast"/>
              <w:jc w:val="center"/>
              <w:rPr>
                <w:rFonts w:hint="default" w:ascii="宋体" w:hAnsi="宋体" w:eastAsia="宋体" w:cs="宋体"/>
                <w:b/>
                <w:bCs/>
                <w:sz w:val="18"/>
                <w:szCs w:val="18"/>
                <w:lang w:val="en-US" w:eastAsia="zh-CN" w:bidi="ar-SA"/>
              </w:rPr>
            </w:pPr>
            <w:r>
              <w:rPr>
                <w:rFonts w:hint="eastAsia" w:ascii="宋体" w:hAnsi="宋体" w:eastAsia="宋体" w:cs="宋体"/>
                <w:b/>
                <w:bCs/>
                <w:sz w:val="18"/>
                <w:szCs w:val="18"/>
                <w:lang w:val="en-US" w:eastAsia="zh-CN"/>
              </w:rPr>
              <w:t>LaFeA#(固)</w:t>
            </w:r>
          </w:p>
        </w:tc>
        <w:tc>
          <w:tcPr>
            <w:tcW w:w="2834"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2.500</w:t>
            </w:r>
          </w:p>
        </w:tc>
        <w:tc>
          <w:tcPr>
            <w:tcW w:w="2834" w:type="dxa"/>
            <w:tcBorders>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rPr>
              <w:t xml:space="preserve"> HNO</w:t>
            </w:r>
            <w:r>
              <w:rPr>
                <w:rFonts w:hint="eastAsia" w:ascii="宋体" w:hAnsi="宋体" w:eastAsia="宋体" w:cs="宋体"/>
                <w:sz w:val="18"/>
                <w:szCs w:val="18"/>
                <w:vertAlign w:val="subscript"/>
              </w:rPr>
              <w:t>3</w:t>
            </w:r>
          </w:p>
        </w:tc>
        <w:tc>
          <w:tcPr>
            <w:tcW w:w="2834"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8</w:t>
            </w:r>
          </w:p>
        </w:tc>
        <w:tc>
          <w:tcPr>
            <w:tcW w:w="2837"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5滴</w:t>
            </w:r>
          </w:p>
        </w:tc>
        <w:tc>
          <w:tcPr>
            <w:tcW w:w="2837" w:type="dxa"/>
            <w:tcBorders>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是</w:t>
            </w: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镧铁合金分析样品酸浓度度的选择：试验分别以硝酸浓度5%、10%、15%的模拟样品溶液，在相同仪器条件下，分别对所选定的被测元素分析谱线进行扫描，以线背比（I/Ib）大小为评估指标，</w:t>
      </w:r>
      <w:r>
        <w:rPr>
          <w:rFonts w:hint="eastAsia" w:ascii="宋体" w:hAnsi="宋体" w:eastAsia="宋体" w:cs="宋体"/>
          <w:sz w:val="21"/>
          <w:szCs w:val="21"/>
          <w:lang w:eastAsia="zh-CN"/>
        </w:rPr>
        <w:t>结果见表</w:t>
      </w:r>
      <w:r>
        <w:rPr>
          <w:rFonts w:hint="eastAsia" w:ascii="宋体" w:hAnsi="宋体" w:eastAsia="宋体" w:cs="宋体"/>
          <w:sz w:val="21"/>
          <w:szCs w:val="21"/>
          <w:lang w:val="en-US" w:eastAsia="zh-CN"/>
        </w:rPr>
        <w:t>11</w:t>
      </w:r>
      <w:r>
        <w:rPr>
          <w:rFonts w:hint="eastAsia" w:ascii="宋体" w:hAnsi="宋体" w:eastAsia="宋体" w:cs="宋体"/>
          <w:kern w:val="2"/>
          <w:szCs w:val="21"/>
          <w:lang w:val="en-US" w:eastAsia="zh-CN"/>
        </w:rPr>
        <w:t>。经过验证单位验证，试验表明几种酸浓度下的线背比相差不是很大，但线背比最大值大部分元素落在硝酸酸浓度为10%上。本试验选择10%的硝酸浓度。</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表11硝酸酸度选择</w:t>
      </w:r>
      <w:r>
        <w:rPr>
          <w:rFonts w:hint="eastAsia" w:ascii="宋体" w:hAnsi="宋体" w:eastAsia="宋体" w:cs="宋体"/>
          <w:kern w:val="2"/>
          <w:szCs w:val="21"/>
          <w:lang w:val="en-US" w:eastAsia="zh-CN"/>
        </w:rPr>
        <w:t>（I/Ib）</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073"/>
        <w:gridCol w:w="1074"/>
        <w:gridCol w:w="1073"/>
        <w:gridCol w:w="1075"/>
        <w:gridCol w:w="1074"/>
        <w:gridCol w:w="1073"/>
        <w:gridCol w:w="1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bottom w:val="single" w:color="auto" w:sz="8" w:space="0"/>
            </w:tcBorders>
            <w:vAlign w:val="center"/>
          </w:tcPr>
          <w:p>
            <w:pPr>
              <w:spacing w:line="240" w:lineRule="atLeast"/>
              <w:ind w:firstLine="90" w:firstLineChars="50"/>
              <w:jc w:val="center"/>
              <w:rPr>
                <w:rFonts w:ascii="宋体" w:hAnsi="宋体" w:eastAsia="宋体" w:cs="宋体"/>
                <w:b/>
                <w:bCs/>
                <w:sz w:val="18"/>
                <w:szCs w:val="18"/>
              </w:rPr>
            </w:pPr>
            <w:r>
              <w:rPr>
                <w:rFonts w:hint="eastAsia" w:ascii="宋体" w:hAnsi="宋体" w:eastAsia="宋体" w:cs="宋体"/>
                <w:b/>
                <w:bCs/>
                <w:sz w:val="18"/>
                <w:szCs w:val="18"/>
              </w:rPr>
              <w:t>硝酸浓度</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Ce</w:t>
            </w:r>
          </w:p>
        </w:tc>
        <w:tc>
          <w:tcPr>
            <w:tcW w:w="1128"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Pr</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Nd</w:t>
            </w:r>
          </w:p>
        </w:tc>
        <w:tc>
          <w:tcPr>
            <w:tcW w:w="1129"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Sm</w:t>
            </w:r>
          </w:p>
        </w:tc>
        <w:tc>
          <w:tcPr>
            <w:tcW w:w="1128"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Eu</w:t>
            </w:r>
          </w:p>
        </w:tc>
        <w:tc>
          <w:tcPr>
            <w:tcW w:w="1127"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Gd</w:t>
            </w:r>
          </w:p>
        </w:tc>
        <w:tc>
          <w:tcPr>
            <w:tcW w:w="1128" w:type="dxa"/>
            <w:tcBorders>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 xml:space="preserve">5% </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8.24</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25.11</w:t>
            </w:r>
          </w:p>
        </w:tc>
        <w:tc>
          <w:tcPr>
            <w:tcW w:w="1129"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8.85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96.97</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28.16</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10%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14.74</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7.55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26.20</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8.92</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100.48</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31.10</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bottom w:val="single" w:color="auto" w:sz="8" w:space="0"/>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15%</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14.24</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7.47</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25.90</w:t>
            </w:r>
          </w:p>
        </w:tc>
        <w:tc>
          <w:tcPr>
            <w:tcW w:w="1129"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8.89</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99.16</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29.48</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bottom w:val="single" w:color="auto" w:sz="8" w:space="0"/>
            </w:tcBorders>
            <w:vAlign w:val="center"/>
          </w:tcPr>
          <w:p>
            <w:pPr>
              <w:spacing w:line="240" w:lineRule="atLeast"/>
              <w:ind w:firstLine="90" w:firstLineChars="50"/>
              <w:jc w:val="center"/>
              <w:rPr>
                <w:rFonts w:ascii="宋体" w:hAnsi="宋体" w:eastAsia="宋体" w:cs="宋体"/>
                <w:b/>
                <w:bCs/>
                <w:sz w:val="18"/>
                <w:szCs w:val="18"/>
              </w:rPr>
            </w:pPr>
            <w:r>
              <w:rPr>
                <w:rFonts w:hint="eastAsia" w:ascii="宋体" w:hAnsi="宋体" w:eastAsia="宋体" w:cs="宋体"/>
                <w:b/>
                <w:bCs/>
                <w:sz w:val="18"/>
                <w:szCs w:val="18"/>
              </w:rPr>
              <w:t>硝酸浓度</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Dy</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Ho</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Er</w:t>
            </w:r>
          </w:p>
        </w:tc>
        <w:tc>
          <w:tcPr>
            <w:tcW w:w="1129"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Tm</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Yb</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Lu</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 xml:space="preserve">5% </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96.80</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35.41</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46.65</w:t>
            </w:r>
          </w:p>
        </w:tc>
        <w:tc>
          <w:tcPr>
            <w:tcW w:w="1129"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90.63</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416.80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165.85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179.32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10%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95.43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34.66</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47.70</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89.63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441.30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181.03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15%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97.90</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33.85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49.43</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89.19</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422.29</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178.35</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182.97</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157" w:afterLines="50" w:line="360" w:lineRule="exact"/>
        <w:ind w:left="0" w:leftChars="0" w:firstLine="0" w:firstLineChars="0"/>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称样量</w:t>
      </w:r>
    </w:p>
    <w:p>
      <w:pPr>
        <w:keepNext w:val="0"/>
        <w:keepLines w:val="0"/>
        <w:pageBreakBefore w:val="0"/>
        <w:widowControl w:val="0"/>
        <w:kinsoku/>
        <w:wordWrap/>
        <w:overflowPunct/>
        <w:topLinePunct w:val="0"/>
        <w:autoSpaceDE/>
        <w:autoSpaceDN/>
        <w:bidi w:val="0"/>
        <w:adjustRightInd/>
        <w:snapToGrid/>
        <w:spacing w:before="157" w:beforeLines="50" w:line="312" w:lineRule="auto"/>
        <w:ind w:firstLine="420" w:firstLineChars="200"/>
        <w:textAlignment w:val="auto"/>
        <w:rPr>
          <w:rFonts w:hint="eastAsia" w:ascii="黑体" w:hAnsi="黑体" w:eastAsia="黑体" w:cs="黑体"/>
          <w:kern w:val="2"/>
          <w:szCs w:val="21"/>
          <w:lang w:val="en-US" w:eastAsia="zh-CN"/>
        </w:rPr>
      </w:pPr>
      <w:r>
        <w:rPr>
          <w:rFonts w:hint="eastAsia" w:ascii="宋体" w:hAnsi="宋体" w:eastAsia="宋体" w:cs="宋体"/>
          <w:kern w:val="2"/>
          <w:szCs w:val="21"/>
          <w:lang w:val="en-US" w:eastAsia="zh-CN"/>
        </w:rPr>
        <w:t>除去LaFeA#（固）样品表面氧化层，进行多面、多点、不同深度取样，将样品混匀，随机称取0.500g、2.500g、5.000g、10.000g各双份，按本标准制备试液，将试液与系列标准溶液同时进行测定，结果见表12。经过验证单位验证，试验表明镧铁合金中各稀土杂质均匀性较好，依据称大样的原则，考虑了与其它铁合金的统一性，镧铁合金确定称取量为2.50克。</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kern w:val="2"/>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表12均匀性表</w:t>
      </w:r>
    </w:p>
    <w:tbl>
      <w:tblPr>
        <w:tblStyle w:val="8"/>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584"/>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rPr>
              <w:t>统一样 品</w:t>
            </w:r>
            <w:r>
              <w:rPr>
                <w:rFonts w:hint="eastAsia" w:ascii="宋体" w:hAnsi="宋体" w:eastAsia="宋体" w:cs="宋体"/>
                <w:b/>
                <w:sz w:val="18"/>
                <w:szCs w:val="18"/>
              </w:rPr>
              <w:t>LaFeA#</w:t>
            </w:r>
            <w:r>
              <w:rPr>
                <w:rFonts w:hint="eastAsia" w:ascii="宋体" w:hAnsi="宋体" w:eastAsia="宋体" w:cs="宋体"/>
                <w:b/>
                <w:sz w:val="18"/>
                <w:szCs w:val="18"/>
                <w:lang w:eastAsia="zh-CN"/>
              </w:rPr>
              <w:t>（固）</w:t>
            </w:r>
          </w:p>
        </w:tc>
        <w:tc>
          <w:tcPr>
            <w:tcW w:w="6952" w:type="dxa"/>
            <w:gridSpan w:val="2"/>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各 元 素 测 定 浓 度 值 /ug/mL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vMerge w:val="continue"/>
            <w:tcBorders>
              <w:bottom w:val="single" w:color="auto" w:sz="8" w:space="0"/>
            </w:tcBorders>
            <w:vAlign w:val="center"/>
          </w:tcPr>
          <w:p>
            <w:pPr>
              <w:keepNext w:val="0"/>
              <w:keepLines w:val="0"/>
              <w:pageBreakBefore w:val="0"/>
              <w:kinsoku/>
              <w:wordWrap/>
              <w:overflowPunct/>
              <w:topLinePunct w:val="0"/>
              <w:autoSpaceDE/>
              <w:autoSpaceDN/>
              <w:bidi w:val="0"/>
              <w:spacing w:beforeLines="50" w:line="240" w:lineRule="exact"/>
              <w:jc w:val="center"/>
              <w:rPr>
                <w:rFonts w:hint="eastAsia" w:ascii="宋体" w:hAnsi="宋体" w:eastAsia="宋体" w:cs="宋体"/>
                <w:b/>
                <w:bCs/>
                <w:sz w:val="18"/>
                <w:szCs w:val="18"/>
              </w:rPr>
            </w:pPr>
          </w:p>
        </w:tc>
        <w:tc>
          <w:tcPr>
            <w:tcW w:w="1615"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Ce</w:t>
            </w:r>
          </w:p>
        </w:tc>
        <w:tc>
          <w:tcPr>
            <w:tcW w:w="5337"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b/>
                <w:bCs/>
                <w:sz w:val="18"/>
                <w:szCs w:val="18"/>
                <w:lang w:val="en-US" w:eastAsia="zh-CN"/>
              </w:rPr>
            </w:pPr>
            <w:r>
              <w:rPr>
                <w:rFonts w:hint="eastAsia" w:ascii="宋体" w:hAnsi="宋体" w:eastAsia="宋体" w:cs="宋体"/>
                <w:b/>
                <w:bCs/>
                <w:sz w:val="18"/>
                <w:szCs w:val="18"/>
              </w:rPr>
              <w:t>Pr</w:t>
            </w:r>
            <w:r>
              <w:rPr>
                <w:rFonts w:hint="eastAsia" w:ascii="宋体" w:hAnsi="宋体" w:eastAsia="宋体" w:cs="宋体"/>
                <w:b/>
                <w:bCs/>
                <w:sz w:val="18"/>
                <w:szCs w:val="18"/>
                <w:lang w:eastAsia="zh-CN"/>
              </w:rPr>
              <w:t>、</w:t>
            </w:r>
            <w:r>
              <w:rPr>
                <w:rFonts w:hint="eastAsia" w:ascii="宋体" w:hAnsi="宋体" w:eastAsia="宋体" w:cs="宋体"/>
                <w:b/>
                <w:bCs/>
                <w:sz w:val="18"/>
                <w:szCs w:val="18"/>
              </w:rPr>
              <w:t>Nd</w:t>
            </w:r>
            <w:r>
              <w:rPr>
                <w:rFonts w:hint="eastAsia" w:ascii="宋体" w:hAnsi="宋体" w:eastAsia="宋体" w:cs="宋体"/>
                <w:b/>
                <w:bCs/>
                <w:sz w:val="18"/>
                <w:szCs w:val="18"/>
                <w:lang w:eastAsia="zh-CN"/>
              </w:rPr>
              <w:t>、</w:t>
            </w:r>
            <w:r>
              <w:rPr>
                <w:rFonts w:hint="eastAsia" w:ascii="宋体" w:hAnsi="宋体" w:eastAsia="宋体" w:cs="宋体"/>
                <w:b/>
                <w:bCs/>
                <w:sz w:val="18"/>
                <w:szCs w:val="18"/>
              </w:rPr>
              <w:t>Sm</w:t>
            </w:r>
            <w:r>
              <w:rPr>
                <w:rFonts w:hint="eastAsia" w:ascii="宋体" w:hAnsi="宋体" w:eastAsia="宋体" w:cs="宋体"/>
                <w:b/>
                <w:bCs/>
                <w:sz w:val="18"/>
                <w:szCs w:val="18"/>
                <w:lang w:eastAsia="zh-CN"/>
              </w:rPr>
              <w:t>、</w:t>
            </w:r>
            <w:r>
              <w:rPr>
                <w:rFonts w:hint="eastAsia" w:ascii="宋体" w:hAnsi="宋体" w:eastAsia="宋体" w:cs="宋体"/>
                <w:b/>
                <w:bCs/>
                <w:sz w:val="18"/>
                <w:szCs w:val="18"/>
              </w:rPr>
              <w:t>Eu</w:t>
            </w:r>
            <w:r>
              <w:rPr>
                <w:rFonts w:hint="eastAsia" w:ascii="宋体" w:hAnsi="宋体" w:eastAsia="宋体" w:cs="宋体"/>
                <w:b/>
                <w:bCs/>
                <w:sz w:val="18"/>
                <w:szCs w:val="18"/>
                <w:lang w:eastAsia="zh-CN"/>
              </w:rPr>
              <w:t>、</w:t>
            </w:r>
            <w:r>
              <w:rPr>
                <w:rFonts w:hint="eastAsia" w:ascii="宋体" w:hAnsi="宋体" w:eastAsia="宋体" w:cs="宋体"/>
                <w:b/>
                <w:bCs/>
                <w:sz w:val="18"/>
                <w:szCs w:val="18"/>
              </w:rPr>
              <w:t>Gd</w:t>
            </w:r>
            <w:r>
              <w:rPr>
                <w:rFonts w:hint="eastAsia" w:ascii="宋体" w:hAnsi="宋体" w:eastAsia="宋体" w:cs="宋体"/>
                <w:b/>
                <w:bCs/>
                <w:sz w:val="18"/>
                <w:szCs w:val="18"/>
                <w:lang w:eastAsia="zh-CN"/>
              </w:rPr>
              <w:t>、</w:t>
            </w:r>
            <w:r>
              <w:rPr>
                <w:rFonts w:hint="eastAsia" w:ascii="宋体" w:hAnsi="宋体" w:eastAsia="宋体" w:cs="宋体"/>
                <w:b/>
                <w:bCs/>
                <w:sz w:val="18"/>
                <w:szCs w:val="18"/>
              </w:rPr>
              <w:t>Tb</w:t>
            </w:r>
            <w:r>
              <w:rPr>
                <w:rFonts w:hint="eastAsia" w:ascii="宋体" w:hAnsi="宋体" w:eastAsia="宋体" w:cs="宋体"/>
                <w:b/>
                <w:bCs/>
                <w:sz w:val="18"/>
                <w:szCs w:val="18"/>
                <w:lang w:eastAsia="zh-CN"/>
              </w:rPr>
              <w:t>、</w:t>
            </w:r>
            <w:r>
              <w:rPr>
                <w:rFonts w:hint="eastAsia" w:ascii="宋体" w:hAnsi="宋体" w:eastAsia="宋体" w:cs="宋体"/>
                <w:b/>
                <w:bCs/>
                <w:sz w:val="18"/>
                <w:szCs w:val="18"/>
              </w:rPr>
              <w:t>Dy</w:t>
            </w:r>
            <w:r>
              <w:rPr>
                <w:rFonts w:hint="eastAsia" w:ascii="宋体" w:hAnsi="宋体" w:eastAsia="宋体" w:cs="宋体"/>
                <w:b/>
                <w:bCs/>
                <w:sz w:val="18"/>
                <w:szCs w:val="18"/>
                <w:lang w:eastAsia="zh-CN"/>
              </w:rPr>
              <w:t>、</w:t>
            </w:r>
            <w:r>
              <w:rPr>
                <w:rFonts w:hint="eastAsia" w:ascii="宋体" w:hAnsi="宋体" w:eastAsia="宋体" w:cs="宋体"/>
                <w:b/>
                <w:bCs/>
                <w:sz w:val="18"/>
                <w:szCs w:val="18"/>
              </w:rPr>
              <w:t>Ho</w:t>
            </w:r>
            <w:r>
              <w:rPr>
                <w:rFonts w:hint="eastAsia" w:ascii="宋体" w:hAnsi="宋体" w:eastAsia="宋体" w:cs="宋体"/>
                <w:b/>
                <w:bCs/>
                <w:sz w:val="18"/>
                <w:szCs w:val="18"/>
                <w:lang w:eastAsia="zh-CN"/>
              </w:rPr>
              <w:t>、</w:t>
            </w:r>
            <w:r>
              <w:rPr>
                <w:rFonts w:hint="eastAsia" w:ascii="宋体" w:hAnsi="宋体" w:eastAsia="宋体" w:cs="宋体"/>
                <w:b/>
                <w:bCs/>
                <w:sz w:val="18"/>
                <w:szCs w:val="18"/>
              </w:rPr>
              <w:t>Er</w:t>
            </w:r>
            <w:r>
              <w:rPr>
                <w:rFonts w:hint="eastAsia" w:ascii="宋体" w:hAnsi="宋体" w:eastAsia="宋体" w:cs="宋体"/>
                <w:b/>
                <w:bCs/>
                <w:sz w:val="18"/>
                <w:szCs w:val="18"/>
                <w:lang w:eastAsia="zh-CN"/>
              </w:rPr>
              <w:t>、</w:t>
            </w:r>
            <w:r>
              <w:rPr>
                <w:rFonts w:hint="eastAsia" w:ascii="宋体" w:hAnsi="宋体" w:eastAsia="宋体" w:cs="宋体"/>
                <w:b/>
                <w:bCs/>
                <w:sz w:val="18"/>
                <w:szCs w:val="18"/>
              </w:rPr>
              <w:t>Tm</w:t>
            </w:r>
            <w:r>
              <w:rPr>
                <w:rFonts w:hint="eastAsia" w:ascii="宋体" w:hAnsi="宋体" w:eastAsia="宋体" w:cs="宋体"/>
                <w:b/>
                <w:bCs/>
                <w:sz w:val="18"/>
                <w:szCs w:val="18"/>
                <w:lang w:eastAsia="zh-CN"/>
              </w:rPr>
              <w:t>、</w:t>
            </w:r>
            <w:r>
              <w:rPr>
                <w:rFonts w:hint="eastAsia" w:ascii="宋体" w:hAnsi="宋体" w:eastAsia="宋体" w:cs="宋体"/>
                <w:b/>
                <w:bCs/>
                <w:sz w:val="18"/>
                <w:szCs w:val="18"/>
              </w:rPr>
              <w:t>Yb</w:t>
            </w:r>
            <w:r>
              <w:rPr>
                <w:rFonts w:hint="eastAsia" w:ascii="宋体" w:hAnsi="宋体" w:eastAsia="宋体" w:cs="宋体"/>
                <w:b/>
                <w:bCs/>
                <w:sz w:val="18"/>
                <w:szCs w:val="18"/>
                <w:lang w:eastAsia="zh-CN"/>
              </w:rPr>
              <w:t>、</w:t>
            </w:r>
            <w:r>
              <w:rPr>
                <w:rFonts w:hint="eastAsia" w:ascii="宋体" w:hAnsi="宋体" w:eastAsia="宋体" w:cs="宋体"/>
                <w:b/>
                <w:bCs/>
                <w:sz w:val="18"/>
                <w:szCs w:val="18"/>
              </w:rPr>
              <w:t>Lu</w:t>
            </w:r>
            <w:r>
              <w:rPr>
                <w:rFonts w:hint="eastAsia" w:ascii="宋体" w:hAnsi="宋体" w:eastAsia="宋体" w:cs="宋体"/>
                <w:b/>
                <w:bCs/>
                <w:sz w:val="18"/>
                <w:szCs w:val="18"/>
                <w:lang w:eastAsia="zh-CN"/>
              </w:rPr>
              <w:t>、</w:t>
            </w:r>
            <w:r>
              <w:rPr>
                <w:rFonts w:hint="eastAsia" w:ascii="宋体" w:hAnsi="宋体" w:eastAsia="宋体" w:cs="宋体"/>
                <w:b/>
                <w:bCs/>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op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A份：0.50g</w:t>
            </w:r>
          </w:p>
        </w:tc>
        <w:tc>
          <w:tcPr>
            <w:tcW w:w="1615" w:type="dxa"/>
            <w:tcBorders>
              <w:top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0.266</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B份：0.50g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0.257</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A份：2.50g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0.260</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B份：2.50g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0.261</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A份：5.00g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0.258</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B份：5.00g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0.255</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A份：10.00g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0.254</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B份：10.00g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r>
              <w:rPr>
                <w:rFonts w:hint="eastAsia" w:ascii="宋体" w:hAnsi="宋体" w:eastAsia="宋体" w:cs="宋体"/>
                <w:b w:val="0"/>
                <w:bCs w:val="0"/>
                <w:i w:val="0"/>
                <w:color w:val="000000"/>
                <w:kern w:val="0"/>
                <w:sz w:val="18"/>
                <w:szCs w:val="18"/>
                <w:u w:val="none"/>
                <w:lang w:val="en-US" w:eastAsia="zh-CN" w:bidi="ar"/>
              </w:rPr>
              <w:t>0.257</w:t>
            </w:r>
          </w:p>
        </w:tc>
        <w:tc>
          <w:tcPr>
            <w:tcW w:w="5337" w:type="dxa"/>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&lt;0.25</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157" w:afterLines="50" w:line="360" w:lineRule="exact"/>
        <w:ind w:left="0" w:leftChars="0" w:firstLine="0" w:firstLineChars="0"/>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回收率试验</w:t>
      </w:r>
    </w:p>
    <w:p>
      <w:pPr>
        <w:keepNext w:val="0"/>
        <w:keepLines w:val="0"/>
        <w:pageBreakBefore w:val="0"/>
        <w:widowControl/>
        <w:kinsoku/>
        <w:wordWrap w:val="0"/>
        <w:overflowPunct/>
        <w:topLinePunct w:val="0"/>
        <w:autoSpaceDE/>
        <w:autoSpaceDN/>
        <w:bidi w:val="0"/>
        <w:adjustRightInd w:val="0"/>
        <w:snapToGrid w:val="0"/>
        <w:spacing w:line="360" w:lineRule="auto"/>
        <w:ind w:firstLine="420"/>
        <w:textAlignment w:val="auto"/>
        <w:rPr>
          <w:rFonts w:hint="eastAsia" w:cs="宋体" w:asciiTheme="minorEastAsia" w:hAnsiTheme="minorEastAsia" w:eastAsiaTheme="minorEastAsia"/>
          <w:sz w:val="21"/>
          <w:szCs w:val="21"/>
          <w:lang w:val="en-US" w:eastAsia="zh-CN"/>
        </w:rPr>
      </w:pPr>
      <w:r>
        <w:rPr>
          <w:rFonts w:hint="eastAsia" w:ascii="宋体" w:hAnsi="宋体" w:eastAsia="宋体" w:cs="宋体"/>
          <w:lang w:val="en-US" w:eastAsia="zh-CN"/>
        </w:rPr>
        <w:t>原本应按照样品中各元素含量的20%～200%进行标加回收率试验，但考虑到各方法测定元素比较多且含量范围不一，如逐个进行回收率试验，试验量比较大。因此，本报告采用各方法中各元素统一含量，法按低、中、高含量（镧铁合金为：0.01%、0.05%、0.2%；钆铁、镝铁、钬铁合金为：0.01%、0.06%、0.2%）与普通样品LaFeA#（液）、GdFeA#、 DyFeA#、HoFeA#进行标加回收率试验。统一样品为人工加标配置而成，因此对应统一样品标加量，结合精密度数据平均值（表13-2、表13-3、表13-5；表14-2、表14-3、表14-5；表15-2、表15-3、表15-5；表16-2、表16-3、表16-5）与本底值（表17-1、表17-2、表17-3、表17-4）按其浓度值计算出回收率，各见表17-1、表17-2、表17-3、表17-4。由表17-1、表17-2、表17-3、表17-4可知（</w:t>
      </w:r>
      <w:r>
        <w:rPr>
          <w:rFonts w:hint="eastAsia" w:ascii="宋体" w:hAnsi="宋体" w:eastAsia="宋体" w:cs="宋体"/>
          <w:b/>
          <w:bCs/>
          <w:sz w:val="18"/>
          <w:szCs w:val="18"/>
          <w:lang w:val="en-US" w:eastAsia="zh-CN"/>
        </w:rPr>
        <w:t>以上所提表均在试验报告中可找到，因数据较多未一一列出。</w:t>
      </w:r>
      <w:r>
        <w:rPr>
          <w:rFonts w:hint="eastAsia" w:ascii="宋体" w:hAnsi="宋体" w:eastAsia="宋体" w:cs="宋体"/>
          <w:lang w:val="en-US" w:eastAsia="zh-CN"/>
        </w:rPr>
        <w:t>），镧铁合金各含量段各元素回收率在91.8%～107.8%之间，满足方法测定要求；钆铁合金各含量段各元素回收率在87.0%～111.6%之间，满足方法测定要求；镝铁合金各含量段各元素回收率在86.0%～114.0%之间，满足方法测定要求；钬铁合金各含量段各元素回收率在80.4%～108.4%之间，满足方法测定要求。    钇铁合金、铈铁合金</w:t>
      </w:r>
      <w:r>
        <w:rPr>
          <w:rFonts w:hint="eastAsia" w:cs="宋体" w:asciiTheme="minorEastAsia" w:hAnsiTheme="minorEastAsia" w:eastAsiaTheme="minorEastAsia"/>
          <w:sz w:val="21"/>
          <w:szCs w:val="21"/>
          <w:lang w:eastAsia="zh-CN"/>
        </w:rPr>
        <w:t>按低、中、高含量（</w:t>
      </w:r>
      <w:r>
        <w:rPr>
          <w:rFonts w:hint="eastAsia" w:cs="宋体" w:asciiTheme="minorEastAsia" w:hAnsiTheme="minorEastAsia" w:eastAsiaTheme="minorEastAsia"/>
          <w:sz w:val="21"/>
          <w:szCs w:val="21"/>
          <w:lang w:val="en-US" w:eastAsia="zh-CN"/>
        </w:rPr>
        <w:t>0.01%、0.05%、0.2%</w:t>
      </w:r>
      <w:r>
        <w:rPr>
          <w:rFonts w:hint="eastAsia" w:cs="宋体" w:asciiTheme="minorEastAsia" w:hAnsiTheme="minorEastAsia" w:eastAsiaTheme="minorEastAsia"/>
          <w:sz w:val="21"/>
          <w:szCs w:val="21"/>
          <w:lang w:eastAsia="zh-CN"/>
        </w:rPr>
        <w:t>）与普通样品</w:t>
      </w:r>
      <w:r>
        <w:rPr>
          <w:rFonts w:hint="eastAsia" w:cs="宋体" w:asciiTheme="minorEastAsia" w:hAnsiTheme="minorEastAsia" w:eastAsiaTheme="minorEastAsia"/>
          <w:sz w:val="21"/>
          <w:szCs w:val="21"/>
          <w:lang w:val="en-US" w:eastAsia="zh-CN"/>
        </w:rPr>
        <w:t>Y</w:t>
      </w:r>
      <w:r>
        <w:rPr>
          <w:rFonts w:hint="eastAsia" w:cs="宋体" w:asciiTheme="minorEastAsia" w:hAnsiTheme="minorEastAsia" w:eastAsiaTheme="minorEastAsia"/>
          <w:sz w:val="21"/>
          <w:szCs w:val="21"/>
        </w:rPr>
        <w:t>FeA</w:t>
      </w:r>
      <w:r>
        <w:rPr>
          <w:rFonts w:hint="eastAsia" w:cs="宋体" w:asciiTheme="minorEastAsia" w:hAnsiTheme="minorEastAsia" w:eastAsiaTheme="minorEastAsia"/>
          <w:sz w:val="21"/>
          <w:szCs w:val="21"/>
          <w:lang w:val="en-US" w:eastAsia="zh-CN"/>
        </w:rPr>
        <w:t>#</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Ce</w:t>
      </w:r>
      <w:r>
        <w:rPr>
          <w:rFonts w:hint="eastAsia" w:cs="宋体" w:asciiTheme="minorEastAsia" w:hAnsiTheme="minorEastAsia" w:eastAsiaTheme="minorEastAsia"/>
          <w:sz w:val="21"/>
          <w:szCs w:val="21"/>
        </w:rPr>
        <w:t>FeA</w:t>
      </w:r>
      <w:r>
        <w:rPr>
          <w:rFonts w:hint="eastAsia" w:cs="宋体" w:asciiTheme="minorEastAsia" w:hAnsiTheme="minorEastAsia" w:eastAsiaTheme="minorEastAsia"/>
          <w:sz w:val="21"/>
          <w:szCs w:val="21"/>
          <w:lang w:val="en-US" w:eastAsia="zh-CN"/>
        </w:rPr>
        <w:t>#</w:t>
      </w:r>
      <w:r>
        <w:rPr>
          <w:rFonts w:hint="eastAsia" w:cs="宋体" w:asciiTheme="minorEastAsia" w:hAnsiTheme="minorEastAsia" w:eastAsiaTheme="minorEastAsia"/>
          <w:sz w:val="21"/>
          <w:szCs w:val="21"/>
          <w:lang w:eastAsia="zh-CN"/>
        </w:rPr>
        <w:t>进行标加回收率试验。统一样品为人工加标配置而成，因此对应统一样品标加量，结合精密度数据平均值（表</w:t>
      </w:r>
      <w:r>
        <w:rPr>
          <w:rFonts w:hint="eastAsia" w:cs="宋体" w:asciiTheme="minorEastAsia" w:hAnsiTheme="minorEastAsia" w:eastAsiaTheme="minorEastAsia"/>
          <w:sz w:val="21"/>
          <w:szCs w:val="21"/>
          <w:lang w:val="en-US" w:eastAsia="zh-CN"/>
        </w:rPr>
        <w:t>9-2、表9-3、表9-5；表10-2、表10-3、表10-5</w:t>
      </w:r>
      <w:r>
        <w:rPr>
          <w:rFonts w:hint="eastAsia" w:cs="宋体" w:asciiTheme="minorEastAsia" w:hAnsiTheme="minorEastAsia" w:eastAsiaTheme="minorEastAsia"/>
          <w:sz w:val="21"/>
          <w:szCs w:val="21"/>
          <w:lang w:eastAsia="zh-CN"/>
        </w:rPr>
        <w:t>）与本底值（表</w:t>
      </w:r>
      <w:r>
        <w:rPr>
          <w:rFonts w:hint="eastAsia" w:cs="宋体" w:asciiTheme="minorEastAsia" w:hAnsiTheme="minorEastAsia" w:eastAsiaTheme="minorEastAsia"/>
          <w:sz w:val="21"/>
          <w:szCs w:val="21"/>
          <w:lang w:val="en-US" w:eastAsia="zh-CN"/>
        </w:rPr>
        <w:t>11-1、表11-2</w:t>
      </w:r>
      <w:r>
        <w:rPr>
          <w:rFonts w:hint="eastAsia" w:cs="宋体" w:asciiTheme="minorEastAsia" w:hAnsiTheme="minorEastAsia" w:eastAsiaTheme="minorEastAsia"/>
          <w:sz w:val="21"/>
          <w:szCs w:val="21"/>
          <w:lang w:eastAsia="zh-CN"/>
        </w:rPr>
        <w:t>）按其浓度值计算出回收率，各</w:t>
      </w:r>
      <w:r>
        <w:rPr>
          <w:rFonts w:hint="eastAsia" w:cs="宋体" w:asciiTheme="minorEastAsia" w:hAnsiTheme="minorEastAsia" w:eastAsiaTheme="minorEastAsia"/>
          <w:sz w:val="21"/>
          <w:szCs w:val="21"/>
        </w:rPr>
        <w:t>见表</w:t>
      </w:r>
      <w:r>
        <w:rPr>
          <w:rFonts w:hint="eastAsia" w:cs="宋体" w:asciiTheme="minorEastAsia" w:hAnsiTheme="minorEastAsia" w:eastAsiaTheme="minorEastAsia"/>
          <w:sz w:val="21"/>
          <w:szCs w:val="21"/>
          <w:lang w:val="en-US" w:eastAsia="zh-CN"/>
        </w:rPr>
        <w:t>11-1、</w:t>
      </w:r>
      <w:r>
        <w:rPr>
          <w:rFonts w:hint="eastAsia" w:cs="宋体" w:asciiTheme="minorEastAsia" w:hAnsiTheme="minorEastAsia" w:eastAsiaTheme="minorEastAsia"/>
          <w:sz w:val="21"/>
          <w:szCs w:val="21"/>
        </w:rPr>
        <w:t>表</w:t>
      </w:r>
      <w:r>
        <w:rPr>
          <w:rFonts w:hint="eastAsia" w:cs="宋体" w:asciiTheme="minorEastAsia" w:hAnsiTheme="minorEastAsia" w:eastAsiaTheme="minorEastAsia"/>
          <w:sz w:val="21"/>
          <w:szCs w:val="21"/>
          <w:lang w:val="en-US" w:eastAsia="zh-CN"/>
        </w:rPr>
        <w:t>11-2</w:t>
      </w:r>
      <w:r>
        <w:rPr>
          <w:rFonts w:hint="eastAsia" w:cs="宋体" w:asciiTheme="minorEastAsia" w:hAnsiTheme="minorEastAsia" w:eastAsiaTheme="minorEastAsia"/>
          <w:sz w:val="21"/>
          <w:szCs w:val="21"/>
        </w:rPr>
        <w:t>。由表</w:t>
      </w:r>
      <w:r>
        <w:rPr>
          <w:rFonts w:hint="eastAsia" w:cs="宋体" w:asciiTheme="minorEastAsia" w:hAnsiTheme="minorEastAsia" w:eastAsiaTheme="minorEastAsia"/>
          <w:sz w:val="21"/>
          <w:szCs w:val="21"/>
          <w:lang w:val="en-US" w:eastAsia="zh-CN"/>
        </w:rPr>
        <w:t>11-1、</w:t>
      </w:r>
      <w:r>
        <w:rPr>
          <w:rFonts w:hint="eastAsia" w:cs="宋体" w:asciiTheme="minorEastAsia" w:hAnsiTheme="minorEastAsia" w:eastAsiaTheme="minorEastAsia"/>
          <w:sz w:val="21"/>
          <w:szCs w:val="21"/>
        </w:rPr>
        <w:t>表</w:t>
      </w:r>
      <w:r>
        <w:rPr>
          <w:rFonts w:hint="eastAsia" w:cs="宋体" w:asciiTheme="minorEastAsia" w:hAnsiTheme="minorEastAsia" w:eastAsiaTheme="minorEastAsia"/>
          <w:sz w:val="21"/>
          <w:szCs w:val="21"/>
          <w:lang w:val="en-US" w:eastAsia="zh-CN"/>
        </w:rPr>
        <w:t>11-2</w:t>
      </w:r>
      <w:r>
        <w:rPr>
          <w:rFonts w:hint="eastAsia" w:cs="宋体" w:asciiTheme="minorEastAsia" w:hAnsiTheme="minorEastAsia" w:eastAsiaTheme="minorEastAsia"/>
          <w:sz w:val="21"/>
          <w:szCs w:val="21"/>
        </w:rPr>
        <w:t>可知</w:t>
      </w:r>
      <w:r>
        <w:rPr>
          <w:rFonts w:hint="eastAsia" w:ascii="宋体" w:hAnsi="宋体" w:eastAsia="宋体" w:cs="宋体"/>
          <w:lang w:val="en-US" w:eastAsia="zh-CN"/>
        </w:rPr>
        <w:t>（</w:t>
      </w:r>
      <w:r>
        <w:rPr>
          <w:rFonts w:hint="eastAsia" w:ascii="宋体" w:hAnsi="宋体" w:eastAsia="宋体" w:cs="宋体"/>
          <w:b/>
          <w:bCs/>
          <w:sz w:val="18"/>
          <w:szCs w:val="18"/>
          <w:lang w:val="en-US" w:eastAsia="zh-CN"/>
        </w:rPr>
        <w:t>以上所提表均在补充试验报告中可找到，因数据较多未一一列出。</w:t>
      </w:r>
      <w:r>
        <w:rPr>
          <w:rFonts w:hint="eastAsia" w:ascii="宋体" w:hAnsi="宋体" w:eastAsia="宋体" w:cs="宋体"/>
          <w:lang w:val="en-US" w:eastAsia="zh-CN"/>
        </w:rPr>
        <w:t>）</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钇铁合金各含量段各元素回收率在</w:t>
      </w:r>
      <w:r>
        <w:rPr>
          <w:rFonts w:hint="eastAsia" w:cs="宋体" w:asciiTheme="minorEastAsia" w:hAnsiTheme="minorEastAsia" w:eastAsiaTheme="minorEastAsia"/>
          <w:sz w:val="21"/>
          <w:szCs w:val="21"/>
          <w:lang w:val="en-US" w:eastAsia="zh-CN"/>
        </w:rPr>
        <w:t>91.27%</w:t>
      </w:r>
      <w:r>
        <w:rPr>
          <w:rFonts w:hint="eastAsia" w:cs="宋体" w:asciiTheme="majorAscii" w:hAnsiTheme="minorEastAsia" w:eastAsiaTheme="minorEastAsia"/>
          <w:sz w:val="21"/>
          <w:szCs w:val="21"/>
          <w:lang w:val="en-US" w:eastAsia="zh-CN"/>
        </w:rPr>
        <w:t>~</w:t>
      </w:r>
      <w:r>
        <w:rPr>
          <w:rFonts w:hint="eastAsia" w:cs="宋体" w:asciiTheme="minorEastAsia" w:hAnsiTheme="minorEastAsia" w:eastAsiaTheme="minorEastAsia"/>
          <w:sz w:val="21"/>
          <w:szCs w:val="21"/>
          <w:lang w:val="en-US" w:eastAsia="zh-CN"/>
        </w:rPr>
        <w:t>103.27%之间，满足方法测定要求</w:t>
      </w:r>
      <w:r>
        <w:rPr>
          <w:rFonts w:hint="eastAsia" w:cs="宋体" w:asciiTheme="minorEastAsia" w:hAnsiTheme="minorEastAsia" w:eastAsiaTheme="minorEastAsia"/>
          <w:sz w:val="21"/>
          <w:szCs w:val="21"/>
          <w:lang w:eastAsia="zh-CN"/>
        </w:rPr>
        <w:t>；铈铁合金各含量段各元素回收率在</w:t>
      </w:r>
      <w:r>
        <w:rPr>
          <w:rFonts w:hint="eastAsia" w:cs="宋体" w:asciiTheme="minorEastAsia" w:hAnsiTheme="minorEastAsia" w:eastAsiaTheme="minorEastAsia"/>
          <w:sz w:val="21"/>
          <w:szCs w:val="21"/>
          <w:lang w:val="en-US" w:eastAsia="zh-CN"/>
        </w:rPr>
        <w:t>92.22%</w:t>
      </w:r>
      <w:r>
        <w:rPr>
          <w:rFonts w:hint="eastAsia" w:cs="宋体" w:asciiTheme="majorAscii" w:hAnsiTheme="minorEastAsia" w:eastAsiaTheme="minorEastAsia"/>
          <w:sz w:val="21"/>
          <w:szCs w:val="21"/>
          <w:lang w:val="en-US" w:eastAsia="zh-CN"/>
        </w:rPr>
        <w:t>~</w:t>
      </w:r>
      <w:r>
        <w:rPr>
          <w:rFonts w:hint="eastAsia" w:cs="宋体" w:asciiTheme="minorEastAsia" w:hAnsiTheme="minorEastAsia" w:eastAsiaTheme="minorEastAsia"/>
          <w:sz w:val="21"/>
          <w:szCs w:val="21"/>
          <w:lang w:val="en-US" w:eastAsia="zh-CN"/>
        </w:rPr>
        <w:t>108.27%之间，满足方法测定要求。</w:t>
      </w:r>
    </w:p>
    <w:p>
      <w:pPr>
        <w:keepNext w:val="0"/>
        <w:keepLines w:val="0"/>
        <w:pageBreakBefore w:val="0"/>
        <w:widowControl w:val="0"/>
        <w:kinsoku/>
        <w:wordWrap/>
        <w:overflowPunct/>
        <w:topLinePunct w:val="0"/>
        <w:autoSpaceDE/>
        <w:autoSpaceDN/>
        <w:bidi w:val="0"/>
        <w:adjustRightInd/>
        <w:snapToGrid/>
        <w:spacing w:before="157" w:beforeLines="50" w:after="156" w:afterLines="50" w:line="312" w:lineRule="auto"/>
        <w:textAlignment w:val="auto"/>
        <w:rPr>
          <w:rFonts w:ascii="黑体" w:hAnsi="宋体" w:eastAsia="黑体"/>
          <w:bCs/>
          <w:sz w:val="24"/>
        </w:rPr>
      </w:pPr>
      <w:r>
        <w:rPr>
          <w:rFonts w:hint="eastAsia" w:ascii="黑体" w:hAnsi="宋体" w:eastAsia="黑体"/>
          <w:bCs/>
          <w:sz w:val="24"/>
        </w:rPr>
        <w:t>（三）精密度的</w:t>
      </w:r>
      <w:r>
        <w:rPr>
          <w:rFonts w:ascii="黑体" w:hAnsi="宋体" w:eastAsia="黑体"/>
          <w:bCs/>
          <w:sz w:val="24"/>
        </w:rPr>
        <w:t>确定依据</w:t>
      </w:r>
    </w:p>
    <w:p>
      <w:pPr>
        <w:pStyle w:val="2"/>
        <w:keepNext w:val="0"/>
        <w:keepLines w:val="0"/>
        <w:pageBreakBefore w:val="0"/>
        <w:widowControl w:val="0"/>
        <w:kinsoku/>
        <w:wordWrap/>
        <w:overflowPunct/>
        <w:topLinePunct w:val="0"/>
        <w:autoSpaceDE/>
        <w:autoSpaceDN/>
        <w:bidi w:val="0"/>
        <w:adjustRightInd/>
        <w:snapToGrid/>
        <w:spacing w:after="157" w:afterLines="50" w:line="360" w:lineRule="exact"/>
        <w:ind w:left="0" w:leftChars="0"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本标准</w:t>
      </w:r>
      <w:r>
        <w:rPr>
          <w:rFonts w:hint="eastAsia" w:ascii="宋体" w:hAnsi="宋体" w:eastAsia="宋体" w:cs="宋体"/>
        </w:rPr>
        <w:t>重复性限、再现性限的确定建立在6家试验室</w:t>
      </w:r>
      <w:r>
        <w:rPr>
          <w:rFonts w:hint="eastAsia" w:ascii="宋体" w:hAnsi="宋体" w:eastAsia="宋体" w:cs="宋体"/>
          <w:lang w:val="en-US" w:eastAsia="zh-CN"/>
        </w:rPr>
        <w:t>5</w:t>
      </w:r>
      <w:r>
        <w:rPr>
          <w:rFonts w:hint="eastAsia" w:ascii="宋体" w:hAnsi="宋体" w:eastAsia="宋体" w:cs="宋体"/>
        </w:rPr>
        <w:t>个水平样品数据的统计分析基础上，</w:t>
      </w:r>
      <w:r>
        <w:rPr>
          <w:rFonts w:hint="eastAsia" w:ascii="宋体" w:hAnsi="宋体" w:eastAsia="宋体" w:cs="宋体"/>
          <w:lang w:eastAsia="zh-CN"/>
        </w:rPr>
        <w:t>参照</w:t>
      </w:r>
      <w:r>
        <w:rPr>
          <w:rFonts w:hint="eastAsia" w:ascii="宋体" w:hAnsi="宋体" w:eastAsia="宋体" w:cs="宋体"/>
          <w:lang w:val="en-US" w:eastAsia="zh-CN"/>
        </w:rPr>
        <w:t>GB/T 6379.2测量方法与结果的准确度（正确度与精密度）第2部分：确定标准测量方法重复性与再现性的基本方法，对27720个精密度原始数据进行了统计、检验</w:t>
      </w:r>
      <w:r>
        <w:rPr>
          <w:rFonts w:hint="eastAsia" w:ascii="宋体" w:hAnsi="宋体" w:eastAsia="宋体" w:cs="宋体"/>
        </w:rPr>
        <w:t>。</w:t>
      </w:r>
      <w:r>
        <w:rPr>
          <w:rFonts w:hint="eastAsia" w:ascii="宋体" w:hAnsi="宋体" w:eastAsia="宋体" w:cs="宋体"/>
          <w:lang w:eastAsia="zh-CN"/>
        </w:rPr>
        <w:t>具体见试验报告附录</w:t>
      </w:r>
      <w:r>
        <w:rPr>
          <w:rFonts w:hint="eastAsia" w:ascii="宋体" w:hAnsi="宋体" w:eastAsia="宋体" w:cs="宋体"/>
          <w:lang w:val="en-US" w:eastAsia="zh-CN"/>
        </w:rPr>
        <w:t>A、B、C、D、E、F（镧铁铈铁、钆铁、镝铁、钬铁、钇铁合金）中</w:t>
      </w:r>
      <w:r>
        <w:rPr>
          <w:rFonts w:hint="eastAsia" w:ascii="宋体" w:hAnsi="宋体" w:eastAsia="宋体" w:cs="宋体"/>
          <w:lang w:eastAsia="zh-CN"/>
        </w:rPr>
        <w:t>精密度原始数据汇总及数据检验。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sz w:val="24"/>
        </w:rPr>
      </w:pPr>
      <w:r>
        <w:rPr>
          <w:rFonts w:hint="eastAsia" w:ascii="黑体" w:hAnsi="宋体" w:eastAsia="黑体"/>
          <w:bCs/>
          <w:sz w:val="24"/>
        </w:rPr>
        <w:t>四</w:t>
      </w:r>
      <w:r>
        <w:rPr>
          <w:rFonts w:ascii="黑体" w:hAnsi="宋体" w:eastAsia="黑体"/>
          <w:bCs/>
          <w:sz w:val="24"/>
        </w:rPr>
        <w:t>、</w:t>
      </w:r>
      <w:r>
        <w:rPr>
          <w:rFonts w:hint="eastAsia" w:ascii="黑体" w:hAnsi="宋体" w:eastAsia="黑体"/>
          <w:bCs/>
          <w:sz w:val="24"/>
        </w:rPr>
        <w:t>标准中涉及专利的情况</w:t>
      </w:r>
    </w:p>
    <w:p>
      <w:pPr>
        <w:spacing w:before="156" w:beforeLines="50" w:after="156" w:afterLines="50" w:line="312" w:lineRule="auto"/>
        <w:ind w:firstLine="420" w:firstLineChars="200"/>
        <w:rPr>
          <w:rFonts w:hint="eastAsia" w:hAnsi="宋体"/>
        </w:rPr>
      </w:pPr>
      <w:r>
        <w:rPr>
          <w:rFonts w:hint="eastAsia" w:hAnsi="宋体"/>
        </w:rPr>
        <w:t>本标准不涉及专利和知识产权问题。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sz w:val="24"/>
          <w:highlight w:val="yellow"/>
        </w:rPr>
      </w:pPr>
      <w:r>
        <w:rPr>
          <w:rFonts w:hint="eastAsia" w:ascii="黑体" w:hAnsi="宋体" w:eastAsia="黑体"/>
          <w:bCs/>
          <w:sz w:val="24"/>
          <w:highlight w:val="none"/>
        </w:rPr>
        <w:t>五</w:t>
      </w:r>
      <w:r>
        <w:rPr>
          <w:rFonts w:ascii="黑体" w:hAnsi="宋体" w:eastAsia="黑体"/>
          <w:bCs/>
          <w:sz w:val="24"/>
          <w:highlight w:val="none"/>
        </w:rPr>
        <w:t>、</w:t>
      </w:r>
      <w:r>
        <w:rPr>
          <w:rFonts w:hint="eastAsia" w:ascii="黑体" w:hAnsi="宋体" w:eastAsia="黑体"/>
          <w:bCs/>
          <w:sz w:val="24"/>
          <w:highlight w:val="none"/>
        </w:rPr>
        <w:t>预</w:t>
      </w:r>
      <w:r>
        <w:rPr>
          <w:rFonts w:hint="eastAsia" w:ascii="黑体" w:hAnsi="宋体" w:eastAsia="黑体"/>
          <w:bCs/>
          <w:sz w:val="24"/>
        </w:rPr>
        <w:t>期达到的社会效</w:t>
      </w:r>
      <w:r>
        <w:rPr>
          <w:rFonts w:hint="eastAsia" w:ascii="黑体" w:hAnsi="宋体" w:eastAsia="黑体"/>
          <w:bCs/>
          <w:sz w:val="24"/>
          <w:highlight w:val="none"/>
        </w:rPr>
        <w:t>益</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（一）项目的必要性简述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eastAsia="zh-CN"/>
        </w:rPr>
        <w:t>本标准主要是针对稀土铁合金产品（镧铁、铈铁、钆铁、镝铁、钬铁、钇铁合金）中稀土杂质量的测定方法，进行完善、整合与优化。整合成一套精炼、简洁、适用性广、操作性强的推荐性国家标准。此项目是非常有必要的，主要从</w:t>
      </w:r>
      <w:r>
        <w:rPr>
          <w:rFonts w:hint="eastAsia" w:ascii="宋体" w:hAnsi="宋体" w:eastAsia="宋体" w:cs="宋体"/>
          <w:lang w:val="en-US" w:eastAsia="zh-CN"/>
        </w:rPr>
        <w:t>2</w:t>
      </w:r>
      <w:r>
        <w:rPr>
          <w:rFonts w:hint="eastAsia" w:ascii="宋体" w:hAnsi="宋体" w:eastAsia="宋体" w:cs="宋体"/>
          <w:lang w:eastAsia="zh-CN"/>
        </w:rPr>
        <w:t>个方面讲述：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随着稀土应用领域的拓展，稀土铁合金种类日益增多，市场需求越来越大</w:t>
      </w:r>
      <w:r>
        <w:rPr>
          <w:rFonts w:hint="eastAsia" w:ascii="宋体" w:hAnsi="宋体" w:eastAsia="宋体" w:cs="宋体"/>
          <w:lang w:eastAsia="zh-CN"/>
        </w:rPr>
        <w:t>，作为辅助市场发展的对应分析标准，需求将越来越明显，要求也将越来越高。稀土杂质含量为衡量稀土铁合金产品质量的重要指标之一，</w:t>
      </w:r>
      <w:r>
        <w:rPr>
          <w:rFonts w:hint="eastAsia" w:ascii="宋体" w:hAnsi="宋体" w:eastAsia="宋体" w:cs="宋体"/>
        </w:rPr>
        <w:t>目前现行有效的稀土铁合金</w:t>
      </w:r>
      <w:r>
        <w:rPr>
          <w:rFonts w:hint="eastAsia" w:ascii="宋体" w:hAnsi="宋体" w:eastAsia="宋体" w:cs="宋体"/>
          <w:lang w:eastAsia="zh-CN"/>
        </w:rPr>
        <w:t>中稀土杂质含量的检测标准</w:t>
      </w:r>
      <w:r>
        <w:rPr>
          <w:rFonts w:hint="eastAsia" w:ascii="宋体" w:hAnsi="宋体" w:eastAsia="宋体" w:cs="宋体"/>
        </w:rPr>
        <w:t>有</w:t>
      </w:r>
      <w:r>
        <w:rPr>
          <w:rFonts w:hint="eastAsia" w:ascii="宋体" w:hAnsi="宋体" w:eastAsia="宋体" w:cs="宋体"/>
          <w:lang w:val="en-US" w:eastAsia="zh-CN"/>
        </w:rPr>
        <w:t>5套，分别为：</w:t>
      </w:r>
      <w:r>
        <w:rPr>
          <w:rFonts w:hint="eastAsia" w:ascii="宋体" w:hAnsi="宋体" w:eastAsia="宋体" w:cs="宋体"/>
        </w:rPr>
        <w:t>GB/T 26416</w:t>
      </w:r>
      <w:r>
        <w:rPr>
          <w:rFonts w:hint="eastAsia" w:ascii="宋体" w:hAnsi="宋体" w:eastAsia="宋体" w:cs="宋体"/>
          <w:lang w:val="en-US" w:eastAsia="zh-CN"/>
        </w:rPr>
        <w:t>.2</w:t>
      </w:r>
      <w:r>
        <w:rPr>
          <w:rFonts w:hint="eastAsia" w:ascii="宋体" w:hAnsi="宋体" w:eastAsia="宋体" w:cs="宋体"/>
        </w:rPr>
        <w:t>-2010</w:t>
      </w:r>
      <w:r>
        <w:rPr>
          <w:rFonts w:hint="eastAsia" w:ascii="宋体" w:hAnsi="宋体" w:eastAsia="宋体" w:cs="宋体"/>
          <w:lang w:eastAsia="zh-CN"/>
        </w:rPr>
        <w:t>、</w:t>
      </w:r>
      <w:r>
        <w:rPr>
          <w:rFonts w:hint="eastAsia" w:ascii="宋体" w:hAnsi="宋体" w:eastAsia="宋体" w:cs="宋体"/>
          <w:lang w:val="en-US" w:eastAsia="zh-CN"/>
        </w:rPr>
        <w:t>XB/T 623.1-2018、XB/T 616.2-2012、XB/T 621.2-2016、XB/T 624.1-2018，这5套标准</w:t>
      </w:r>
      <w:r>
        <w:rPr>
          <w:rFonts w:hint="eastAsia" w:ascii="宋体" w:hAnsi="宋体" w:eastAsia="宋体" w:cs="宋体"/>
        </w:rPr>
        <w:t>标准内容中存在技术内容的交叉和重复问题</w:t>
      </w:r>
      <w:r>
        <w:rPr>
          <w:rFonts w:hint="eastAsia" w:ascii="宋体" w:hAnsi="宋体" w:eastAsia="宋体" w:cs="宋体"/>
          <w:lang w:eastAsia="zh-CN"/>
        </w:rPr>
        <w:t>、</w:t>
      </w:r>
      <w:r>
        <w:rPr>
          <w:rFonts w:hint="eastAsia" w:ascii="宋体" w:hAnsi="宋体" w:eastAsia="宋体" w:cs="宋体"/>
        </w:rPr>
        <w:t>不能</w:t>
      </w:r>
      <w:r>
        <w:rPr>
          <w:rFonts w:hint="eastAsia" w:ascii="宋体" w:hAnsi="宋体" w:eastAsia="宋体" w:cs="宋体"/>
          <w:lang w:eastAsia="zh-CN"/>
        </w:rPr>
        <w:t>完全</w:t>
      </w:r>
      <w:r>
        <w:rPr>
          <w:rFonts w:hint="eastAsia" w:ascii="宋体" w:hAnsi="宋体" w:eastAsia="宋体" w:cs="宋体"/>
        </w:rPr>
        <w:t>满足产品标准的技术要求问题等。</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30项，其中90%以上为化学成分分析标准</w:t>
      </w:r>
      <w:r>
        <w:rPr>
          <w:rFonts w:hint="eastAsia" w:ascii="宋体" w:hAnsi="宋体" w:eastAsia="宋体" w:cs="宋体"/>
          <w:lang w:eastAsia="zh-CN"/>
        </w:rPr>
        <w:t>。将使稀土铁合金标准体系，因为交叉重复而变得拥堵庞大，对整个稀土标准体系的发展不利。</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eastAsia="zh-CN"/>
        </w:rPr>
        <w:t>因此不管是从稀土铁合金产业的发展，从现有配套稀土杂质含量分析标准的现状，还是从未来标准体系的清晰完善考虑，此项目都是非常有意义的，他也将为以后其它稀土合金分析标准体系的梳理奠定基础。</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（二）项目的可行性简述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本项目主要是采用</w:t>
      </w:r>
      <w:r>
        <w:rPr>
          <w:rFonts w:hint="eastAsia" w:ascii="宋体" w:hAnsi="宋体" w:eastAsia="宋体" w:cs="宋体"/>
        </w:rPr>
        <w:t>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，通过基体近似匹配的方式，实现对各稀土铁合金中稀土杂质含量的测定。</w:t>
      </w:r>
      <w:r>
        <w:rPr>
          <w:rFonts w:hint="eastAsia" w:ascii="宋体" w:hAnsi="宋体" w:eastAsia="宋体" w:cs="宋体"/>
        </w:rPr>
        <w:t>随着科学技术的进步，电感耦合等离子体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w:t>
      </w:r>
      <w:r>
        <w:rPr>
          <w:rFonts w:hint="eastAsia" w:ascii="宋体" w:hAnsi="宋体" w:eastAsia="宋体" w:cs="宋体"/>
        </w:rPr>
        <w:t>在分析检测行业占有举足轻重的低位。电感耦合等离子体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具有检出限低、精密度好、动态范围宽和基体效应小等特点；近似基体匹配方式则具有解决物性干扰、</w:t>
      </w:r>
      <w:r>
        <w:rPr>
          <w:rFonts w:hint="eastAsia" w:ascii="宋体" w:hAnsi="宋体" w:eastAsia="宋体" w:cs="宋体"/>
        </w:rPr>
        <w:t>消除盐效应</w:t>
      </w:r>
      <w:r>
        <w:rPr>
          <w:rFonts w:hint="eastAsia" w:ascii="宋体" w:hAnsi="宋体" w:eastAsia="宋体" w:cs="宋体"/>
          <w:lang w:eastAsia="zh-CN"/>
        </w:rPr>
        <w:t>、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eastAsia="zh-CN"/>
        </w:rPr>
        <w:t>本项目修订的原国标准</w:t>
      </w:r>
      <w:r>
        <w:rPr>
          <w:rFonts w:hint="eastAsia" w:ascii="宋体" w:hAnsi="宋体" w:eastAsia="宋体" w:cs="宋体"/>
          <w:lang w:val="en-US" w:eastAsia="zh-CN"/>
        </w:rPr>
        <w:t>GB/T 26416.2-2010《镝铁合金化学分析方法 第2部分：稀土杂质含量的测定 电感耦合等离子体发射光谱法》与新纳入参考的XB/T 616.2-2012《钆铁合金化学分析方法 第2部分：稀土杂质含量的测定 电感耦合等离子体发射光谱法》、XB/T 621.2-2016《钬铁合金化学分析方法 第2部分：稀土杂质含量的测定 电感耦合等离子体原子发射光谱法》、XB/T623.1-2018《铈铁合金化学分析方法 第2部分：稀土杂质含量的测定 电感耦合等离子体原子发射光谱法》、XB/T 624.1-2018《钇铁合金化学分析方法 第2部分：稀土杂质含量的测定 电感耦合等离子体原子发射光谱法》行业标准均采用电感耦合等离子体原子发射光谱法，其中GB/T 26416.2-2010、XB/T 621.2-2016为近似稀土基体匹配方式，其他为近似基体匹配方式。</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本项目是修订项目，主要是对原有标准的技术内容进行</w:t>
      </w:r>
      <w:r>
        <w:rPr>
          <w:rFonts w:hint="eastAsia" w:ascii="宋体" w:hAnsi="宋体" w:eastAsia="宋体" w:cs="宋体"/>
          <w:lang w:eastAsia="zh-CN"/>
        </w:rPr>
        <w:t>进行完善、整合与优化，新纳入的镧铁合金也是按照原技术新起草，从而实现技术规范统一</w:t>
      </w:r>
      <w:r>
        <w:rPr>
          <w:rFonts w:hint="eastAsia" w:ascii="宋体" w:hAnsi="宋体" w:eastAsia="宋体" w:cs="宋体"/>
          <w:lang w:val="en-US" w:eastAsia="zh-CN"/>
        </w:rPr>
        <w:t>。结合实际分析操作在原有的技术层次上依据了最新的技术指标进行修订，通过系列试验也证实此项目可以完全达到预计的各项指标。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（三）标准的先进性、创新性、标准实施后预期产生的经济效益和社会效益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0"/>
        </w:rPr>
      </w:pPr>
      <w:r>
        <w:rPr>
          <w:rFonts w:hint="eastAsia" w:ascii="宋体" w:hAnsi="宋体" w:eastAsia="宋体" w:cs="宋体"/>
          <w:lang w:eastAsia="zh-CN"/>
        </w:rPr>
        <w:t>稀土铁合金中稀土杂质含量的测定是</w:t>
      </w:r>
      <w:r>
        <w:rPr>
          <w:rFonts w:hint="eastAsia" w:ascii="宋体" w:hAnsi="宋体" w:eastAsia="宋体" w:cs="宋体"/>
        </w:rPr>
        <w:t>稀</w:t>
      </w:r>
      <w:r>
        <w:rPr>
          <w:rFonts w:hint="eastAsia" w:ascii="宋体" w:hAnsi="宋体" w:eastAsia="宋体" w:cs="宋体"/>
          <w:lang w:eastAsia="zh-CN"/>
        </w:rPr>
        <w:t>土铁合金产品</w:t>
      </w:r>
      <w:r>
        <w:rPr>
          <w:rFonts w:hint="eastAsia" w:ascii="宋体" w:hAnsi="宋体" w:eastAsia="宋体" w:cs="宋体"/>
        </w:rPr>
        <w:t>的重要</w:t>
      </w:r>
      <w:r>
        <w:rPr>
          <w:rFonts w:hint="eastAsia" w:ascii="宋体" w:hAnsi="宋体" w:eastAsia="宋体" w:cs="宋体"/>
          <w:lang w:eastAsia="zh-CN"/>
        </w:rPr>
        <w:t>指标</w:t>
      </w:r>
      <w:r>
        <w:rPr>
          <w:rFonts w:hint="eastAsia" w:ascii="宋体" w:hAnsi="宋体" w:eastAsia="宋体" w:cs="宋体"/>
        </w:rPr>
        <w:t xml:space="preserve">之一。本次修订工作是对GB/T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镝铁合金化学分析方法 第2部分：稀土杂质含量的测定 电感耦合等离子体发射光谱法</w:t>
      </w:r>
      <w:r>
        <w:rPr>
          <w:rFonts w:hint="eastAsia" w:ascii="宋体" w:hAnsi="宋体" w:eastAsia="宋体" w:cs="宋体"/>
        </w:rPr>
        <w:t>》的修订。本次修订</w:t>
      </w:r>
      <w:r>
        <w:rPr>
          <w:rFonts w:hint="eastAsia" w:ascii="宋体" w:hAnsi="宋体" w:eastAsia="宋体" w:cs="宋体"/>
          <w:color w:val="auto"/>
          <w:lang w:eastAsia="zh-CN"/>
        </w:rPr>
        <w:t>在原有镝铁合金中稀土杂质含量的测定方法基础上，纳入了镧铁合金、铈铁合金、钆铁合金、钬铁合金、钇铁合金中稀土杂质含量的测定方法，将起到一套标准保障多个系列产品质量的作用。</w:t>
      </w:r>
      <w:r>
        <w:rPr>
          <w:rFonts w:hint="eastAsia" w:ascii="宋体" w:hAnsi="宋体" w:eastAsia="宋体" w:cs="宋体"/>
        </w:rPr>
        <w:t>本次修订</w:t>
      </w:r>
      <w:r>
        <w:rPr>
          <w:rFonts w:hint="eastAsia" w:ascii="宋体" w:hAnsi="宋体" w:eastAsia="宋体" w:cs="宋体"/>
          <w:lang w:eastAsia="zh-CN"/>
        </w:rPr>
        <w:t>在原测量范围上限上进行了调整，使其更符合实际产品质量的要求，采用了近似基体匹配法消除了基体干扰的影响程度，提高了测量的精度。</w:t>
      </w:r>
      <w:r>
        <w:rPr>
          <w:rFonts w:hint="eastAsia" w:ascii="宋体" w:hAnsi="宋体" w:eastAsia="宋体" w:cs="宋体"/>
          <w:color w:val="auto"/>
          <w:lang w:eastAsia="zh-CN"/>
        </w:rPr>
        <w:t>修订后的标准将使稀土铁合金整个标准体系向清晰、完整、统一化又迈进了一步。同时也</w:t>
      </w:r>
      <w:r>
        <w:rPr>
          <w:rFonts w:hint="eastAsia" w:ascii="宋体" w:hAnsi="宋体" w:eastAsia="宋体" w:cs="宋体"/>
        </w:rPr>
        <w:t>体现了检测技术的进步，</w:t>
      </w:r>
      <w:r>
        <w:rPr>
          <w:rFonts w:hint="eastAsia" w:ascii="宋体" w:hAnsi="宋体" w:eastAsia="宋体" w:cs="宋体"/>
          <w:lang w:eastAsia="zh-CN"/>
        </w:rPr>
        <w:t>将推进</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产业的发展，对国内稀土生产企业及相关行业的技术进步产生积极的促进作用。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eastAsia="zh-CN"/>
        </w:rPr>
        <w:t>本标准修订后，将目前出现的稀土铁合金</w:t>
      </w:r>
      <w:r>
        <w:rPr>
          <w:rFonts w:hint="eastAsia" w:ascii="宋体" w:hAnsi="宋体" w:eastAsia="宋体" w:cs="宋体"/>
          <w:color w:val="auto"/>
          <w:lang w:eastAsia="zh-CN"/>
        </w:rPr>
        <w:t>中稀土杂质含量的测定方法</w:t>
      </w:r>
      <w:r>
        <w:rPr>
          <w:rFonts w:hint="eastAsia" w:ascii="宋体" w:hAnsi="宋体" w:eastAsia="宋体" w:cs="宋体"/>
          <w:color w:val="auto"/>
          <w:lang w:val="en-US" w:eastAsia="zh-CN"/>
        </w:rPr>
        <w:t>6套</w:t>
      </w:r>
      <w:r>
        <w:rPr>
          <w:rFonts w:hint="eastAsia" w:ascii="宋体" w:hAnsi="宋体" w:eastAsia="宋体" w:cs="宋体"/>
          <w:lang w:eastAsia="zh-CN"/>
        </w:rPr>
        <w:t>整合在了一个方法，使其共识关联，无论是对分析手段还是对标准体系的发展而言都是一种进步与创新，也是未来系列标准制定可参见的手段。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eastAsia="zh-CN"/>
        </w:rPr>
      </w:pPr>
      <w:r>
        <w:rPr>
          <w:rFonts w:hint="eastAsia" w:ascii="宋体" w:hAnsi="宋体" w:eastAsia="宋体" w:cs="宋体"/>
          <w:szCs w:val="21"/>
        </w:rPr>
        <w:t>稀土铁合金为稀土元素与铁元素的中间合金。随着稀土应用领域的拓展，稀土铁合金种类日益增多，市场需求越来越大。目前，镧铁（LaFe）、铈铁（CeFe）合金主要用作冶金领域添加剂，添加至钢中起到净化、变质和微合金化作用；镝铁（DyFe）、钆铁（GdFe）、钬铁（HoFe）、钇铁（ YFe）合金由于可取代部分单一重稀土金属，成为钕铁硼磁性材料比较合适的备选材料；钇铁（ YFe）合金还广范应用于超磁致伸缩材料、光记录材料、钢铁的添加剂、球墨铸铁的球化剂、蠕化剂等。随着稀土铁合金产品种类和应用领域的不断开发，供需双方对标准的需求日益明显。该系列标准的建立将进一步完善我国稀土标准体系，为稀土铁合金交易提供通用、可靠、准确的分析依据，有助于促进稀土铁合金产业技术进步和产品的质量提升</w:t>
      </w:r>
      <w:r>
        <w:rPr>
          <w:rFonts w:hint="eastAsia" w:ascii="宋体" w:hAnsi="宋体" w:eastAsia="宋体" w:cs="宋体"/>
          <w:szCs w:val="21"/>
          <w:lang w:eastAsia="zh-CN"/>
        </w:rPr>
        <w:t>，</w:t>
      </w:r>
      <w:r>
        <w:rPr>
          <w:rFonts w:hint="eastAsia" w:ascii="宋体" w:hAnsi="宋体" w:eastAsia="宋体" w:cs="宋体"/>
          <w:kern w:val="0"/>
          <w:szCs w:val="20"/>
        </w:rPr>
        <w:t>有利于在各类检测机构推广应用，对于促进我国稀土产品的生产、贸易具有重要意义。</w:t>
      </w:r>
      <w:r>
        <w:rPr>
          <w:rFonts w:hint="eastAsia" w:ascii="宋体" w:hAnsi="宋体" w:eastAsia="宋体" w:cs="宋体"/>
          <w:kern w:val="0"/>
          <w:szCs w:val="20"/>
          <w:lang w:eastAsia="zh-CN"/>
        </w:rPr>
        <w:t>将间接的产生十分可观的经济和社会效益。</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六</w:t>
      </w:r>
      <w:r>
        <w:rPr>
          <w:rFonts w:ascii="黑体" w:hAnsi="宋体" w:eastAsia="黑体"/>
          <w:bCs/>
          <w:sz w:val="24"/>
          <w:highlight w:val="none"/>
        </w:rPr>
        <w:t>、</w:t>
      </w:r>
      <w:r>
        <w:rPr>
          <w:rFonts w:hint="eastAsia" w:ascii="黑体" w:hAnsi="宋体" w:eastAsia="黑体"/>
          <w:bCs/>
          <w:sz w:val="24"/>
          <w:highlight w:val="none"/>
        </w:rPr>
        <w:t>采用国际标准和国外先进标准的情况</w:t>
      </w:r>
    </w:p>
    <w:p>
      <w:pPr>
        <w:spacing w:before="156" w:beforeLines="50" w:after="156" w:afterLines="50" w:line="312" w:lineRule="auto"/>
        <w:ind w:firstLine="420" w:firstLineChars="200"/>
        <w:rPr>
          <w:rFonts w:ascii="黑体" w:hAnsi="宋体" w:eastAsia="黑体"/>
          <w:bCs/>
          <w:sz w:val="21"/>
          <w:szCs w:val="21"/>
        </w:rPr>
      </w:pPr>
      <w:r>
        <w:rPr>
          <w:rFonts w:hint="eastAsia" w:hAnsi="宋体"/>
          <w:sz w:val="21"/>
          <w:szCs w:val="21"/>
        </w:rPr>
        <w:t>经查</w:t>
      </w:r>
      <w:r>
        <w:rPr>
          <w:rFonts w:hAnsi="宋体"/>
          <w:sz w:val="21"/>
          <w:szCs w:val="21"/>
        </w:rPr>
        <w:t>，</w:t>
      </w:r>
      <w:r>
        <w:rPr>
          <w:rFonts w:hint="eastAsia" w:hAnsi="宋体"/>
          <w:sz w:val="21"/>
          <w:szCs w:val="21"/>
        </w:rPr>
        <w:t>国外</w:t>
      </w:r>
      <w:r>
        <w:rPr>
          <w:rFonts w:hAnsi="宋体"/>
          <w:sz w:val="21"/>
          <w:szCs w:val="21"/>
        </w:rPr>
        <w:t>无相同类型的标准。</w:t>
      </w:r>
      <w:r>
        <w:rPr>
          <w:rFonts w:hint="eastAsia" w:hAnsi="宋体"/>
          <w:sz w:val="21"/>
          <w:szCs w:val="21"/>
        </w:rPr>
        <w:t>本标准</w:t>
      </w:r>
      <w:r>
        <w:rPr>
          <w:rFonts w:hAnsi="宋体"/>
          <w:sz w:val="21"/>
          <w:szCs w:val="21"/>
        </w:rPr>
        <w:t>未</w:t>
      </w:r>
      <w:r>
        <w:rPr>
          <w:rFonts w:hint="eastAsia" w:hAnsi="宋体"/>
          <w:sz w:val="21"/>
          <w:szCs w:val="21"/>
        </w:rPr>
        <w:t>采用（包括</w:t>
      </w:r>
      <w:r>
        <w:rPr>
          <w:rFonts w:hAnsi="宋体"/>
          <w:sz w:val="21"/>
          <w:szCs w:val="21"/>
        </w:rPr>
        <w:t>等同采用、修改采用</w:t>
      </w:r>
      <w:r>
        <w:rPr>
          <w:rFonts w:hint="eastAsia" w:hAnsi="宋体"/>
          <w:sz w:val="21"/>
          <w:szCs w:val="21"/>
        </w:rPr>
        <w:t>及</w:t>
      </w:r>
      <w:r>
        <w:rPr>
          <w:rFonts w:hAnsi="宋体"/>
          <w:sz w:val="21"/>
          <w:szCs w:val="21"/>
        </w:rPr>
        <w:t>非等效采用</w:t>
      </w:r>
      <w:r>
        <w:rPr>
          <w:rFonts w:hint="eastAsia" w:hAnsi="宋体"/>
          <w:sz w:val="21"/>
          <w:szCs w:val="21"/>
        </w:rPr>
        <w:t>）</w:t>
      </w:r>
      <w:r>
        <w:rPr>
          <w:rFonts w:hAnsi="宋体"/>
          <w:sz w:val="21"/>
          <w:szCs w:val="21"/>
        </w:rPr>
        <w:t>国际标准或国外先进标准。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七、与现行法律、法规、强制性国家标准及相关标准的关系</w:t>
      </w:r>
    </w:p>
    <w:p>
      <w:pPr>
        <w:spacing w:before="156" w:beforeLines="50" w:after="156" w:afterLines="50" w:line="312" w:lineRule="auto"/>
        <w:ind w:firstLine="420" w:firstLineChars="200"/>
        <w:rPr>
          <w:rFonts w:hAnsi="宋体"/>
          <w:highlight w:val="none"/>
        </w:rPr>
      </w:pPr>
      <w:r>
        <w:rPr>
          <w:rFonts w:hint="eastAsia" w:hAnsi="宋体"/>
          <w:highlight w:val="none"/>
        </w:rPr>
        <w:t>本标准属于</w:t>
      </w:r>
      <w:r>
        <w:rPr>
          <w:rFonts w:hint="eastAsia" w:hAnsi="宋体"/>
          <w:highlight w:val="none"/>
          <w:lang w:eastAsia="zh-CN"/>
        </w:rPr>
        <w:t>稀土铁合金</w:t>
      </w:r>
      <w:r>
        <w:rPr>
          <w:rFonts w:hint="eastAsia" w:hAnsi="宋体"/>
          <w:highlight w:val="none"/>
        </w:rPr>
        <w:t>的化学分析方法标准，</w:t>
      </w:r>
      <w:r>
        <w:rPr>
          <w:rFonts w:hAnsi="宋体"/>
          <w:highlight w:val="none"/>
        </w:rPr>
        <w:t>是对</w:t>
      </w:r>
      <w:r>
        <w:rPr>
          <w:rFonts w:hint="eastAsia" w:ascii="宋体" w:hAnsi="宋体" w:eastAsia="宋体" w:cs="宋体"/>
          <w:highlight w:val="none"/>
        </w:rPr>
        <w:t xml:space="preserve">GB/T </w:t>
      </w:r>
      <w:r>
        <w:rPr>
          <w:rFonts w:hint="eastAsia" w:ascii="宋体" w:hAnsi="宋体" w:eastAsia="宋体" w:cs="宋体"/>
          <w:highlight w:val="none"/>
          <w:lang w:val="en-US" w:eastAsia="zh-CN"/>
        </w:rPr>
        <w:t>26416</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-20</w:t>
      </w:r>
      <w:r>
        <w:rPr>
          <w:rFonts w:hint="eastAsia" w:ascii="宋体" w:hAnsi="宋体" w:eastAsia="宋体" w:cs="宋体"/>
          <w:highlight w:val="none"/>
          <w:lang w:val="en-US" w:eastAsia="zh-CN"/>
        </w:rPr>
        <w:t>10</w:t>
      </w:r>
      <w:r>
        <w:rPr>
          <w:rFonts w:hint="eastAsia" w:ascii="宋体" w:hAnsi="宋体" w:eastAsia="宋体" w:cs="宋体"/>
          <w:highlight w:val="none"/>
        </w:rPr>
        <w:t>的修</w:t>
      </w:r>
      <w:r>
        <w:rPr>
          <w:rFonts w:hAnsi="宋体"/>
          <w:highlight w:val="none"/>
        </w:rPr>
        <w:t>订。</w:t>
      </w:r>
      <w:r>
        <w:rPr>
          <w:rFonts w:hint="eastAsia" w:hAnsi="宋体"/>
          <w:highlight w:val="none"/>
        </w:rPr>
        <w:t>本标准与现行法律、法规和相关标准相协调、无冲突。</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八、重大分歧意见的处理和依据</w:t>
      </w:r>
    </w:p>
    <w:p>
      <w:pPr>
        <w:spacing w:before="156" w:beforeLines="50" w:after="156" w:afterLines="50" w:line="312" w:lineRule="auto"/>
        <w:ind w:firstLine="420" w:firstLineChars="200"/>
        <w:rPr>
          <w:rFonts w:hAnsi="宋体"/>
          <w:highlight w:val="none"/>
        </w:rPr>
      </w:pPr>
      <w:r>
        <w:rPr>
          <w:rFonts w:hint="eastAsia" w:hAnsi="宋体"/>
          <w:highlight w:val="none"/>
        </w:rPr>
        <w:t>无重大分歧。</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九、标准作为强制性或推荐性国家（或行业）标准的建议</w:t>
      </w:r>
    </w:p>
    <w:p>
      <w:pPr>
        <w:pStyle w:val="12"/>
        <w:tabs>
          <w:tab w:val="center" w:pos="4201"/>
          <w:tab w:val="right" w:leader="dot" w:pos="9298"/>
        </w:tabs>
        <w:spacing w:line="312" w:lineRule="auto"/>
        <w:ind w:firstLine="420"/>
        <w:rPr>
          <w:highlight w:val="none"/>
        </w:rPr>
      </w:pPr>
      <w:r>
        <w:rPr>
          <w:rFonts w:hint="eastAsia"/>
          <w:highlight w:val="none"/>
        </w:rPr>
        <w:t>建议该标准为</w:t>
      </w:r>
      <w:r>
        <w:rPr>
          <w:highlight w:val="none"/>
        </w:rPr>
        <w:t>推荐</w:t>
      </w:r>
      <w:r>
        <w:rPr>
          <w:rFonts w:hint="eastAsia"/>
          <w:highlight w:val="none"/>
        </w:rPr>
        <w:t>性国家</w:t>
      </w:r>
      <w:r>
        <w:rPr>
          <w:highlight w:val="none"/>
        </w:rPr>
        <w:t>标准</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十、贯彻标准的要求和措施建议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黑体" w:eastAsia="黑体"/>
          <w:sz w:val="24"/>
          <w:highlight w:val="none"/>
        </w:rPr>
      </w:pPr>
      <w:r>
        <w:rPr>
          <w:rFonts w:hint="eastAsia" w:ascii="宋体" w:hAnsi="宋体" w:eastAsia="宋体" w:cs="宋体"/>
          <w:kern w:val="0"/>
          <w:szCs w:val="20"/>
          <w:highlight w:val="none"/>
        </w:rPr>
        <w:t>GB/T</w:t>
      </w:r>
      <w:r>
        <w:rPr>
          <w:rFonts w:hint="eastAsia" w:ascii="宋体" w:hAnsi="宋体" w:eastAsia="宋体" w:cs="宋体"/>
          <w:kern w:val="0"/>
          <w:szCs w:val="20"/>
          <w:highlight w:val="none"/>
          <w:lang w:val="en-US" w:eastAsia="zh-CN"/>
        </w:rPr>
        <w:t xml:space="preserve"> </w:t>
      </w:r>
      <w:r>
        <w:rPr>
          <w:rFonts w:hint="eastAsia" w:ascii="宋体" w:hAnsi="宋体" w:eastAsia="宋体" w:cs="宋体"/>
          <w:kern w:val="0"/>
          <w:szCs w:val="20"/>
          <w:highlight w:val="none"/>
        </w:rPr>
        <w:t>26</w:t>
      </w:r>
      <w:r>
        <w:rPr>
          <w:rFonts w:hint="eastAsia" w:ascii="宋体" w:hAnsi="宋体" w:eastAsia="宋体" w:cs="宋体"/>
          <w:kern w:val="0"/>
          <w:szCs w:val="20"/>
          <w:highlight w:val="none"/>
          <w:lang w:val="en-US" w:eastAsia="zh-CN"/>
        </w:rPr>
        <w:t>416</w:t>
      </w:r>
      <w:r>
        <w:rPr>
          <w:rFonts w:hint="eastAsia" w:ascii="宋体" w:hAnsi="宋体" w:eastAsia="宋体" w:cs="宋体"/>
          <w:kern w:val="0"/>
          <w:szCs w:val="20"/>
          <w:highlight w:val="none"/>
        </w:rPr>
        <w:t>.</w:t>
      </w:r>
      <w:r>
        <w:rPr>
          <w:rFonts w:hint="eastAsia" w:ascii="宋体" w:hAnsi="宋体" w:eastAsia="宋体" w:cs="宋体"/>
          <w:kern w:val="0"/>
          <w:szCs w:val="20"/>
          <w:highlight w:val="none"/>
          <w:lang w:val="en-US" w:eastAsia="zh-CN"/>
        </w:rPr>
        <w:t>2</w:t>
      </w:r>
      <w:r>
        <w:rPr>
          <w:rFonts w:hint="eastAsia" w:ascii="宋体" w:hAnsi="宋体"/>
          <w:kern w:val="0"/>
          <w:szCs w:val="20"/>
          <w:highlight w:val="none"/>
        </w:rPr>
        <w:t>修订</w:t>
      </w:r>
      <w:r>
        <w:rPr>
          <w:rFonts w:ascii="宋体" w:hAnsi="宋体"/>
          <w:kern w:val="0"/>
          <w:szCs w:val="20"/>
          <w:highlight w:val="none"/>
        </w:rPr>
        <w:t>后增加了</w:t>
      </w:r>
      <w:r>
        <w:rPr>
          <w:rFonts w:hint="eastAsia"/>
          <w:lang w:eastAsia="zh-CN"/>
        </w:rPr>
        <w:t>镧铁、铈铁、钆铁、钬铁、钇铁合金的测定方法与范围</w:t>
      </w:r>
      <w:r>
        <w:rPr>
          <w:rFonts w:hint="eastAsia" w:ascii="宋体" w:hAnsi="宋体"/>
          <w:kern w:val="0"/>
          <w:szCs w:val="20"/>
          <w:highlight w:val="none"/>
        </w:rPr>
        <w:t>，方法</w:t>
      </w:r>
      <w:r>
        <w:rPr>
          <w:rFonts w:ascii="宋体" w:hAnsi="宋体"/>
          <w:kern w:val="0"/>
          <w:szCs w:val="20"/>
          <w:highlight w:val="none"/>
        </w:rPr>
        <w:t>的测定</w:t>
      </w:r>
      <w:r>
        <w:rPr>
          <w:rFonts w:hint="eastAsia" w:ascii="宋体" w:hAnsi="宋体"/>
          <w:kern w:val="0"/>
          <w:szCs w:val="20"/>
          <w:highlight w:val="none"/>
          <w:lang w:eastAsia="zh-CN"/>
        </w:rPr>
        <w:t>领域变的较为广泛，各领域的测定范围变的较为符合现产品实际情况，操作性较强</w:t>
      </w:r>
      <w:r>
        <w:rPr>
          <w:rFonts w:hint="eastAsia" w:ascii="宋体" w:hAnsi="宋体"/>
          <w:kern w:val="0"/>
          <w:szCs w:val="20"/>
          <w:highlight w:val="none"/>
        </w:rPr>
        <w:t>。建议稀土产品的生产和检测单位积极组织本标准的学习与宣贯，可向企业、公司和科研院校（所）推荐本标准。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十一、废止现行有关标准的建议</w:t>
      </w:r>
    </w:p>
    <w:p>
      <w:pPr>
        <w:pStyle w:val="12"/>
        <w:spacing w:line="312" w:lineRule="auto"/>
        <w:ind w:firstLine="420"/>
        <w:rPr>
          <w:highlight w:val="none"/>
        </w:rPr>
      </w:pPr>
      <w:r>
        <w:rPr>
          <w:rFonts w:hint="eastAsia"/>
          <w:highlight w:val="none"/>
        </w:rPr>
        <w:t>本标准为修订标准，修订版</w:t>
      </w:r>
      <w:r>
        <w:rPr>
          <w:highlight w:val="none"/>
        </w:rPr>
        <w:t>颁布</w:t>
      </w:r>
      <w:r>
        <w:rPr>
          <w:rFonts w:hint="eastAsia"/>
          <w:highlight w:val="none"/>
        </w:rPr>
        <w:t>标准实施</w:t>
      </w:r>
      <w:r>
        <w:rPr>
          <w:highlight w:val="none"/>
        </w:rPr>
        <w:t>后</w:t>
      </w:r>
      <w:r>
        <w:rPr>
          <w:rFonts w:ascii="Times New Roman" w:hAnsi="Times New Roman"/>
          <w:highlight w:val="none"/>
        </w:rPr>
        <w:t>GB</w:t>
      </w:r>
      <w:r>
        <w:rPr>
          <w:rFonts w:hint="eastAsia" w:ascii="Times New Roman" w:hAnsi="Times New Roman"/>
          <w:highlight w:val="none"/>
        </w:rPr>
        <w:t xml:space="preserve">/T </w:t>
      </w:r>
      <w:r>
        <w:rPr>
          <w:rFonts w:hint="eastAsia" w:ascii="Times New Roman" w:hAnsi="Times New Roman"/>
          <w:highlight w:val="none"/>
          <w:lang w:val="en-US" w:eastAsia="zh-CN"/>
        </w:rPr>
        <w:t>26416.2</w:t>
      </w:r>
      <w:r>
        <w:rPr>
          <w:rFonts w:ascii="Times New Roman" w:hAnsi="Times New Roman"/>
          <w:highlight w:val="none"/>
        </w:rPr>
        <w:t>-2</w:t>
      </w:r>
      <w:r>
        <w:rPr>
          <w:rFonts w:hint="eastAsia" w:ascii="Times New Roman" w:hAnsi="Times New Roman"/>
          <w:highlight w:val="none"/>
          <w:lang w:val="en-US" w:eastAsia="zh-CN"/>
        </w:rPr>
        <w:t>010</w:t>
      </w:r>
      <w:r>
        <w:rPr>
          <w:rFonts w:hint="eastAsia"/>
          <w:highlight w:val="none"/>
        </w:rPr>
        <w:t>废止。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none"/>
        </w:rPr>
      </w:pPr>
      <w:r>
        <w:rPr>
          <w:rFonts w:hint="eastAsia" w:ascii="黑体" w:hAnsi="宋体" w:eastAsia="黑体"/>
          <w:bCs/>
          <w:sz w:val="24"/>
          <w:highlight w:val="none"/>
        </w:rPr>
        <w:t>十二、其它应予说明的事项</w:t>
      </w:r>
    </w:p>
    <w:p>
      <w:pPr>
        <w:rPr>
          <w:rFonts w:hint="eastAsia" w:ascii="黑体" w:hAnsi="黑体" w:eastAsia="黑体"/>
          <w:sz w:val="30"/>
          <w:szCs w:val="30"/>
          <w:lang w:val="en-US" w:eastAsia="zh-CN"/>
        </w:rPr>
      </w:pPr>
      <w:r>
        <w:rPr>
          <w:rFonts w:hint="eastAsia" w:ascii="黑体" w:eastAsia="黑体"/>
          <w:sz w:val="24"/>
          <w:lang w:val="en-US" w:eastAsia="zh-CN"/>
        </w:rPr>
        <w:t xml:space="preserve">    </w:t>
      </w:r>
      <w:r>
        <w:rPr>
          <w:rFonts w:hint="eastAsia" w:ascii="宋体" w:hAnsi="宋体" w:eastAsia="宋体" w:cs="Times New Roman"/>
          <w:kern w:val="0"/>
          <w:sz w:val="21"/>
          <w:szCs w:val="22"/>
          <w:lang w:val="en-US" w:eastAsia="zh-CN" w:bidi="ar-SA"/>
        </w:rPr>
        <w:t>无。</w:t>
      </w:r>
    </w:p>
    <w:p>
      <w:pPr>
        <w:widowControl/>
        <w:rPr>
          <w:rFonts w:hint="eastAsia" w:ascii="黑体" w:hAnsi="黑体" w:eastAsia="黑体"/>
          <w:sz w:val="30"/>
          <w:szCs w:val="30"/>
          <w:lang w:val="en-US" w:eastAsia="zh-CN"/>
        </w:rPr>
      </w:pP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lang w:val="en-US" w:eastAsia="zh-CN"/>
        </w:rPr>
        <w:t xml:space="preserve">                                 </w:t>
      </w:r>
    </w:p>
    <w:p>
      <w:pPr>
        <w:widowControl/>
        <w:rPr>
          <w:rFonts w:hint="eastAsia" w:ascii="黑体" w:hAnsi="黑体" w:eastAsia="黑体"/>
          <w:sz w:val="30"/>
          <w:szCs w:val="30"/>
          <w:lang w:val="en-US" w:eastAsia="zh-CN"/>
        </w:rPr>
      </w:pPr>
    </w:p>
    <w:p>
      <w:pPr>
        <w:widowControl/>
        <w:rPr>
          <w:rFonts w:hint="eastAsia" w:ascii="黑体" w:hAnsi="黑体" w:eastAsia="黑体"/>
          <w:sz w:val="30"/>
          <w:szCs w:val="30"/>
          <w:lang w:val="en-US" w:eastAsia="zh-CN"/>
        </w:rPr>
      </w:pPr>
    </w:p>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江西南方稀土高技术股份有限公司</w:t>
      </w:r>
    </w:p>
    <w:p>
      <w:pPr>
        <w:pStyle w:val="14"/>
        <w:spacing w:before="0" w:line="312" w:lineRule="auto"/>
        <w:ind w:firstLine="6300" w:firstLineChars="3000"/>
        <w:jc w:val="both"/>
        <w:rPr>
          <w:rFonts w:hint="default" w:eastAsia="宋体"/>
          <w:szCs w:val="21"/>
          <w:lang w:val="en-US" w:eastAsia="zh-CN"/>
        </w:rPr>
        <w:sectPr>
          <w:headerReference r:id="rId3" w:type="default"/>
          <w:footerReference r:id="rId4" w:type="default"/>
          <w:footerReference r:id="rId5" w:type="even"/>
          <w:pgSz w:w="11850" w:h="16783"/>
          <w:pgMar w:top="1134" w:right="1077" w:bottom="567" w:left="1077" w:header="851" w:footer="567" w:gutter="283"/>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sz w:val="21"/>
          <w:szCs w:val="21"/>
          <w:lang w:val="en-US" w:eastAsia="zh-CN"/>
        </w:rPr>
        <w:t xml:space="preserve">   </w:t>
      </w:r>
      <w:r>
        <w:rPr>
          <w:sz w:val="21"/>
          <w:szCs w:val="21"/>
        </w:rPr>
        <w:t>202</w:t>
      </w:r>
      <w:r>
        <w:rPr>
          <w:rFonts w:hint="eastAsia"/>
          <w:sz w:val="21"/>
          <w:szCs w:val="21"/>
          <w:lang w:val="en-US" w:eastAsia="zh-CN"/>
        </w:rPr>
        <w:t>1</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8日</w:t>
      </w:r>
    </w:p>
    <w:p>
      <w:pPr>
        <w:rPr>
          <w:rFonts w:hint="default"/>
          <w:lang w:val="en-US" w:eastAsia="zh-CN"/>
        </w:rPr>
      </w:pPr>
    </w:p>
    <w:sectPr>
      <w:footerReference r:id="rId6" w:type="default"/>
      <w:footerReference r:id="rId7" w:type="even"/>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EBDDA"/>
    <w:multiLevelType w:val="singleLevel"/>
    <w:tmpl w:val="854EBDDA"/>
    <w:lvl w:ilvl="0" w:tentative="0">
      <w:start w:val="2"/>
      <w:numFmt w:val="decimal"/>
      <w:suff w:val="nothing"/>
      <w:lvlText w:val="%1、"/>
      <w:lvlJc w:val="left"/>
    </w:lvl>
  </w:abstractNum>
  <w:abstractNum w:abstractNumId="1">
    <w:nsid w:val="8D026F5E"/>
    <w:multiLevelType w:val="singleLevel"/>
    <w:tmpl w:val="8D026F5E"/>
    <w:lvl w:ilvl="0" w:tentative="0">
      <w:start w:val="2"/>
      <w:numFmt w:val="decimal"/>
      <w:suff w:val="nothing"/>
      <w:lvlText w:val="%1、"/>
      <w:lvlJc w:val="left"/>
    </w:lvl>
  </w:abstractNum>
  <w:abstractNum w:abstractNumId="2">
    <w:nsid w:val="AC3575B3"/>
    <w:multiLevelType w:val="singleLevel"/>
    <w:tmpl w:val="AC3575B3"/>
    <w:lvl w:ilvl="0" w:tentative="0">
      <w:start w:val="2"/>
      <w:numFmt w:val="decimal"/>
      <w:suff w:val="nothing"/>
      <w:lvlText w:val="%1、"/>
      <w:lvlJc w:val="left"/>
    </w:lvl>
  </w:abstractNum>
  <w:abstractNum w:abstractNumId="3">
    <w:nsid w:val="41C788FF"/>
    <w:multiLevelType w:val="singleLevel"/>
    <w:tmpl w:val="41C788FF"/>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3278"/>
    <w:rsid w:val="01893510"/>
    <w:rsid w:val="02300B0A"/>
    <w:rsid w:val="02B510FC"/>
    <w:rsid w:val="04323187"/>
    <w:rsid w:val="05D8607A"/>
    <w:rsid w:val="05EC0D25"/>
    <w:rsid w:val="068A0095"/>
    <w:rsid w:val="06B932C9"/>
    <w:rsid w:val="06F6037A"/>
    <w:rsid w:val="070E1A9D"/>
    <w:rsid w:val="0723112C"/>
    <w:rsid w:val="081203AF"/>
    <w:rsid w:val="08331052"/>
    <w:rsid w:val="08A75E12"/>
    <w:rsid w:val="0AD467EC"/>
    <w:rsid w:val="0AD83E0B"/>
    <w:rsid w:val="0B95080F"/>
    <w:rsid w:val="0BBA4C88"/>
    <w:rsid w:val="0C1D1AC0"/>
    <w:rsid w:val="0CA35BF8"/>
    <w:rsid w:val="0DB70708"/>
    <w:rsid w:val="0E09685D"/>
    <w:rsid w:val="0E8843BD"/>
    <w:rsid w:val="0F810380"/>
    <w:rsid w:val="0F8D0CDF"/>
    <w:rsid w:val="10066036"/>
    <w:rsid w:val="10416AF5"/>
    <w:rsid w:val="104D153B"/>
    <w:rsid w:val="105F36A1"/>
    <w:rsid w:val="10E34DBA"/>
    <w:rsid w:val="11E160A5"/>
    <w:rsid w:val="121D32C5"/>
    <w:rsid w:val="12C72419"/>
    <w:rsid w:val="130949BE"/>
    <w:rsid w:val="13330F59"/>
    <w:rsid w:val="14ED282C"/>
    <w:rsid w:val="150737F9"/>
    <w:rsid w:val="153A2F69"/>
    <w:rsid w:val="15AF73DC"/>
    <w:rsid w:val="162B642F"/>
    <w:rsid w:val="16B8765C"/>
    <w:rsid w:val="175249AB"/>
    <w:rsid w:val="1781783B"/>
    <w:rsid w:val="18784BD8"/>
    <w:rsid w:val="191F27A2"/>
    <w:rsid w:val="19AE1610"/>
    <w:rsid w:val="1A9F7939"/>
    <w:rsid w:val="1BA53AD8"/>
    <w:rsid w:val="1C576A3B"/>
    <w:rsid w:val="1CFA27A7"/>
    <w:rsid w:val="1D1F2509"/>
    <w:rsid w:val="1D6502DD"/>
    <w:rsid w:val="1DFE23AE"/>
    <w:rsid w:val="1E364E1C"/>
    <w:rsid w:val="1F3B7C4B"/>
    <w:rsid w:val="1F81345C"/>
    <w:rsid w:val="20325742"/>
    <w:rsid w:val="20D54ACF"/>
    <w:rsid w:val="21894699"/>
    <w:rsid w:val="21BD1DBB"/>
    <w:rsid w:val="22706013"/>
    <w:rsid w:val="23046156"/>
    <w:rsid w:val="2322488C"/>
    <w:rsid w:val="23A233E1"/>
    <w:rsid w:val="244F2393"/>
    <w:rsid w:val="24A02C5A"/>
    <w:rsid w:val="24BC77F0"/>
    <w:rsid w:val="25B563C3"/>
    <w:rsid w:val="27636E27"/>
    <w:rsid w:val="28B303D3"/>
    <w:rsid w:val="29895146"/>
    <w:rsid w:val="29DC4747"/>
    <w:rsid w:val="2A981D7D"/>
    <w:rsid w:val="2B43483A"/>
    <w:rsid w:val="2BEC467E"/>
    <w:rsid w:val="2CCE04E9"/>
    <w:rsid w:val="2D8022E9"/>
    <w:rsid w:val="2DF23CA5"/>
    <w:rsid w:val="2EDC012A"/>
    <w:rsid w:val="2EF01C8D"/>
    <w:rsid w:val="308517D7"/>
    <w:rsid w:val="30A814C2"/>
    <w:rsid w:val="311C46D4"/>
    <w:rsid w:val="312E379A"/>
    <w:rsid w:val="31B15F26"/>
    <w:rsid w:val="32473C73"/>
    <w:rsid w:val="32B34862"/>
    <w:rsid w:val="32D85923"/>
    <w:rsid w:val="33522FC5"/>
    <w:rsid w:val="33681330"/>
    <w:rsid w:val="337D09BC"/>
    <w:rsid w:val="33CB3926"/>
    <w:rsid w:val="343B529E"/>
    <w:rsid w:val="347C78ED"/>
    <w:rsid w:val="34854BAB"/>
    <w:rsid w:val="349857E3"/>
    <w:rsid w:val="34CC7BD7"/>
    <w:rsid w:val="34D73237"/>
    <w:rsid w:val="351277C9"/>
    <w:rsid w:val="351F2C4A"/>
    <w:rsid w:val="35245903"/>
    <w:rsid w:val="352875C8"/>
    <w:rsid w:val="375B480B"/>
    <w:rsid w:val="39B44367"/>
    <w:rsid w:val="39F75643"/>
    <w:rsid w:val="3A61529C"/>
    <w:rsid w:val="3A717476"/>
    <w:rsid w:val="3AC525AB"/>
    <w:rsid w:val="3C036D24"/>
    <w:rsid w:val="3C5130BF"/>
    <w:rsid w:val="3C5F145A"/>
    <w:rsid w:val="3C8E7E10"/>
    <w:rsid w:val="3CA92A7D"/>
    <w:rsid w:val="3E4E25FE"/>
    <w:rsid w:val="3ED62120"/>
    <w:rsid w:val="3F3279CC"/>
    <w:rsid w:val="40270402"/>
    <w:rsid w:val="4052174C"/>
    <w:rsid w:val="41225303"/>
    <w:rsid w:val="412C6E94"/>
    <w:rsid w:val="418C12CF"/>
    <w:rsid w:val="442C486A"/>
    <w:rsid w:val="453008A1"/>
    <w:rsid w:val="455E3F38"/>
    <w:rsid w:val="45A647D5"/>
    <w:rsid w:val="484B2EB6"/>
    <w:rsid w:val="48783DE8"/>
    <w:rsid w:val="4BC42C46"/>
    <w:rsid w:val="4BDE7502"/>
    <w:rsid w:val="4C334701"/>
    <w:rsid w:val="4C5A63BF"/>
    <w:rsid w:val="4C7E6C60"/>
    <w:rsid w:val="4C8E60D3"/>
    <w:rsid w:val="4C985716"/>
    <w:rsid w:val="4CA86352"/>
    <w:rsid w:val="4CE875A2"/>
    <w:rsid w:val="4E23064D"/>
    <w:rsid w:val="4EBC3F3A"/>
    <w:rsid w:val="4F312115"/>
    <w:rsid w:val="50475D72"/>
    <w:rsid w:val="50E710A8"/>
    <w:rsid w:val="50E87EFB"/>
    <w:rsid w:val="50FF3A9E"/>
    <w:rsid w:val="512146CA"/>
    <w:rsid w:val="51EE0B8A"/>
    <w:rsid w:val="52B62844"/>
    <w:rsid w:val="53852BF2"/>
    <w:rsid w:val="55404D02"/>
    <w:rsid w:val="55695A0F"/>
    <w:rsid w:val="558B78D1"/>
    <w:rsid w:val="563E5D02"/>
    <w:rsid w:val="5658180A"/>
    <w:rsid w:val="56A7621C"/>
    <w:rsid w:val="57074800"/>
    <w:rsid w:val="577D3138"/>
    <w:rsid w:val="582C64E5"/>
    <w:rsid w:val="5983672B"/>
    <w:rsid w:val="5A4D5BED"/>
    <w:rsid w:val="5AAB4BD6"/>
    <w:rsid w:val="5B0B14F3"/>
    <w:rsid w:val="5B863A01"/>
    <w:rsid w:val="5BA13F2C"/>
    <w:rsid w:val="5C9624D8"/>
    <w:rsid w:val="5CAC494E"/>
    <w:rsid w:val="5DC537C5"/>
    <w:rsid w:val="5E0207BA"/>
    <w:rsid w:val="5E06662F"/>
    <w:rsid w:val="5EEC4080"/>
    <w:rsid w:val="5EF2588C"/>
    <w:rsid w:val="5F060200"/>
    <w:rsid w:val="5F205517"/>
    <w:rsid w:val="60270A44"/>
    <w:rsid w:val="613A54D5"/>
    <w:rsid w:val="617840C5"/>
    <w:rsid w:val="61B536A4"/>
    <w:rsid w:val="61F93551"/>
    <w:rsid w:val="631E1BDD"/>
    <w:rsid w:val="63541090"/>
    <w:rsid w:val="655B546F"/>
    <w:rsid w:val="655F3B2F"/>
    <w:rsid w:val="65B93F6F"/>
    <w:rsid w:val="66C34213"/>
    <w:rsid w:val="66E313B3"/>
    <w:rsid w:val="676110CC"/>
    <w:rsid w:val="687A29D7"/>
    <w:rsid w:val="69431CC9"/>
    <w:rsid w:val="6A34175F"/>
    <w:rsid w:val="6BA44FC6"/>
    <w:rsid w:val="6BCC486F"/>
    <w:rsid w:val="6C06531D"/>
    <w:rsid w:val="6DF356D1"/>
    <w:rsid w:val="6F1E3DE5"/>
    <w:rsid w:val="6FBC700B"/>
    <w:rsid w:val="708D5BD2"/>
    <w:rsid w:val="70C45392"/>
    <w:rsid w:val="70EE2ABD"/>
    <w:rsid w:val="71485DAA"/>
    <w:rsid w:val="7180385D"/>
    <w:rsid w:val="71E72365"/>
    <w:rsid w:val="72BE37C0"/>
    <w:rsid w:val="72F22836"/>
    <w:rsid w:val="737F18CC"/>
    <w:rsid w:val="73C9617D"/>
    <w:rsid w:val="74B75118"/>
    <w:rsid w:val="74EC671B"/>
    <w:rsid w:val="755354DB"/>
    <w:rsid w:val="75C078A5"/>
    <w:rsid w:val="75C306B1"/>
    <w:rsid w:val="777417E2"/>
    <w:rsid w:val="77D62DC6"/>
    <w:rsid w:val="781C60C0"/>
    <w:rsid w:val="78FC1756"/>
    <w:rsid w:val="79295B76"/>
    <w:rsid w:val="793D7CFB"/>
    <w:rsid w:val="794E6290"/>
    <w:rsid w:val="79777A62"/>
    <w:rsid w:val="7ABE0969"/>
    <w:rsid w:val="7B2D1A60"/>
    <w:rsid w:val="7BCC0022"/>
    <w:rsid w:val="7C6773B1"/>
    <w:rsid w:val="7DAB1069"/>
    <w:rsid w:val="7DD64FEF"/>
    <w:rsid w:val="7F337452"/>
    <w:rsid w:val="7F9B3B4D"/>
    <w:rsid w:val="7FAE4615"/>
    <w:rsid w:val="7FC3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0"/>
    <w:pPr>
      <w:jc w:val="left"/>
    </w:pPr>
    <w:rPr>
      <w:szCs w:val="21"/>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13">
    <w:name w:val="List Paragraph"/>
    <w:basedOn w:val="1"/>
    <w:qFormat/>
    <w:uiPriority w:val="99"/>
    <w:pPr>
      <w:ind w:firstLine="420" w:firstLineChars="200"/>
    </w:pPr>
  </w:style>
  <w:style w:type="paragraph" w:customStyle="1" w:styleId="14">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5">
    <w:name w:val="标准"/>
    <w:basedOn w:val="1"/>
    <w:qFormat/>
    <w:uiPriority w:val="0"/>
    <w:pPr>
      <w:adjustRightInd w:val="0"/>
      <w:spacing w:line="312" w:lineRule="atLeast"/>
      <w:jc w:val="center"/>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2020-09-07T03:42:00Z</dcterms:created>
  <dc:creator>Administrator</dc:creator>
  <cp:lastModifiedBy>A000弋浅</cp:lastModifiedBy>
  <cp:lastPrinted>2021-03-09T05:54:00Z</cp:lastPrinted>
  <dcterms:modified xsi:type="dcterms:W3CDTF">2021-07-15T07:55:02Z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