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firstLine="540"/>
        <w:jc w:val="center"/>
        <w:rPr>
          <w:rFonts w:ascii="微软雅黑" w:hAnsi="微软雅黑" w:eastAsia="微软雅黑" w:cs="黑体"/>
          <w:w w:val="90"/>
          <w:sz w:val="44"/>
          <w:szCs w:val="44"/>
        </w:rPr>
      </w:pPr>
      <w:bookmarkStart w:id="2" w:name="_GoBack"/>
      <w:bookmarkEnd w:id="2"/>
      <w:r>
        <w:rPr>
          <w:rFonts w:hint="eastAsia" w:ascii="微软雅黑" w:hAnsi="微软雅黑" w:eastAsia="微软雅黑" w:cs="黑体"/>
          <w:w w:val="90"/>
          <w:sz w:val="44"/>
          <w:szCs w:val="44"/>
        </w:rPr>
        <w:t>氧化锆、氧化铪化学分析方法</w:t>
      </w:r>
    </w:p>
    <w:p>
      <w:pPr>
        <w:spacing w:line="300" w:lineRule="auto"/>
        <w:ind w:firstLine="540"/>
        <w:jc w:val="center"/>
        <w:rPr>
          <w:rFonts w:ascii="微软雅黑" w:hAnsi="微软雅黑" w:eastAsia="微软雅黑" w:cs="黑体"/>
          <w:w w:val="90"/>
          <w:sz w:val="44"/>
          <w:szCs w:val="44"/>
        </w:rPr>
      </w:pPr>
      <w:r>
        <w:rPr>
          <w:rFonts w:hint="eastAsia" w:ascii="微软雅黑" w:hAnsi="微软雅黑" w:eastAsia="微软雅黑" w:cs="黑体"/>
          <w:w w:val="90"/>
          <w:sz w:val="44"/>
          <w:szCs w:val="44"/>
        </w:rPr>
        <w:t>第12部分</w:t>
      </w:r>
      <w:r>
        <w:rPr>
          <w:rFonts w:ascii="微软雅黑" w:hAnsi="微软雅黑" w:eastAsia="微软雅黑" w:cs="黑体"/>
          <w:w w:val="90"/>
          <w:sz w:val="44"/>
          <w:szCs w:val="44"/>
        </w:rPr>
        <w:t>：</w:t>
      </w:r>
      <w:r>
        <w:rPr>
          <w:rFonts w:hint="eastAsia" w:ascii="微软雅黑" w:hAnsi="微软雅黑" w:eastAsia="微软雅黑" w:cs="黑体"/>
          <w:w w:val="90"/>
          <w:sz w:val="44"/>
          <w:szCs w:val="44"/>
        </w:rPr>
        <w:t xml:space="preserve">氧化锆中硼、钠、镁、铝、硅、钙、钛、钒、铬、锰、铁、钴、镍、铜、锌、钼、镉、铪、铅、铋含量的测定  </w:t>
      </w:r>
    </w:p>
    <w:p>
      <w:pPr>
        <w:spacing w:line="300" w:lineRule="auto"/>
        <w:jc w:val="center"/>
        <w:rPr>
          <w:rFonts w:ascii="微软雅黑" w:hAnsi="微软雅黑" w:eastAsia="微软雅黑" w:cs="黑体"/>
          <w:w w:val="90"/>
          <w:sz w:val="44"/>
          <w:szCs w:val="44"/>
        </w:rPr>
      </w:pPr>
      <w:r>
        <w:rPr>
          <w:rFonts w:hint="eastAsia" w:ascii="微软雅黑" w:hAnsi="微软雅黑" w:eastAsia="微软雅黑" w:cs="黑体"/>
          <w:w w:val="90"/>
          <w:sz w:val="44"/>
          <w:szCs w:val="44"/>
        </w:rPr>
        <w:t>电感耦合等离子体质谱法</w:t>
      </w:r>
    </w:p>
    <w:p>
      <w:pPr>
        <w:spacing w:line="300" w:lineRule="auto"/>
        <w:jc w:val="center"/>
        <w:rPr>
          <w:rFonts w:ascii="黑体" w:hAnsi="黑体" w:eastAsia="黑体"/>
          <w:b/>
          <w:sz w:val="52"/>
          <w:szCs w:val="52"/>
        </w:rPr>
      </w:pPr>
    </w:p>
    <w:p>
      <w:pPr>
        <w:spacing w:line="300" w:lineRule="auto"/>
        <w:jc w:val="center"/>
        <w:rPr>
          <w:rFonts w:ascii="黑体" w:hAnsi="黑体" w:eastAsia="黑体"/>
          <w:b/>
          <w:sz w:val="52"/>
          <w:szCs w:val="52"/>
        </w:rPr>
      </w:pPr>
    </w:p>
    <w:p>
      <w:pPr>
        <w:spacing w:line="300" w:lineRule="auto"/>
        <w:jc w:val="center"/>
        <w:rPr>
          <w:rFonts w:ascii="黑体" w:hAnsi="黑体" w:eastAsia="黑体"/>
          <w:b/>
          <w:sz w:val="52"/>
          <w:szCs w:val="52"/>
        </w:rPr>
      </w:pPr>
      <w:r>
        <w:rPr>
          <w:rFonts w:hint="eastAsia" w:ascii="黑体" w:hAnsi="黑体" w:eastAsia="黑体"/>
          <w:b/>
          <w:sz w:val="52"/>
          <w:szCs w:val="52"/>
        </w:rPr>
        <w:t>预审稿</w:t>
      </w:r>
    </w:p>
    <w:p>
      <w:pPr>
        <w:spacing w:line="300" w:lineRule="auto"/>
        <w:jc w:val="center"/>
        <w:rPr>
          <w:rFonts w:ascii="黑体" w:hAnsi="黑体" w:eastAsia="黑体" w:cs="黑体"/>
          <w:w w:val="90"/>
          <w:sz w:val="32"/>
          <w:szCs w:val="32"/>
        </w:rPr>
      </w:pPr>
      <w:r>
        <w:rPr>
          <w:rFonts w:hint="eastAsia" w:ascii="黑体" w:hAnsi="黑体" w:eastAsia="黑体"/>
          <w:b/>
          <w:sz w:val="52"/>
          <w:szCs w:val="52"/>
        </w:rPr>
        <w:t>编 制 说 明</w:t>
      </w:r>
    </w:p>
    <w:p>
      <w:pPr>
        <w:pStyle w:val="117"/>
        <w:spacing w:before="0" w:line="300" w:lineRule="auto"/>
        <w:ind w:firstLine="0" w:firstLineChars="0"/>
        <w:rPr>
          <w:rFonts w:ascii="黑体" w:hAnsi="黑体" w:eastAsia="黑体"/>
          <w:sz w:val="32"/>
          <w:szCs w:val="32"/>
        </w:rPr>
      </w:pPr>
    </w:p>
    <w:p>
      <w:pPr>
        <w:pStyle w:val="117"/>
        <w:spacing w:before="0" w:line="300" w:lineRule="auto"/>
        <w:ind w:firstLine="0" w:firstLineChars="0"/>
        <w:rPr>
          <w:rFonts w:ascii="黑体" w:hAnsi="黑体" w:eastAsia="黑体"/>
          <w:sz w:val="32"/>
          <w:szCs w:val="32"/>
        </w:rPr>
      </w:pPr>
    </w:p>
    <w:p>
      <w:pPr>
        <w:pStyle w:val="117"/>
        <w:spacing w:before="0" w:line="300" w:lineRule="auto"/>
        <w:ind w:firstLine="0" w:firstLineChars="0"/>
        <w:rPr>
          <w:rFonts w:ascii="黑体" w:hAnsi="黑体" w:eastAsia="黑体"/>
          <w:sz w:val="32"/>
          <w:szCs w:val="32"/>
        </w:rPr>
      </w:pPr>
    </w:p>
    <w:p>
      <w:pPr>
        <w:pStyle w:val="117"/>
        <w:spacing w:before="0" w:line="300" w:lineRule="auto"/>
        <w:ind w:firstLine="0" w:firstLineChars="0"/>
        <w:rPr>
          <w:rFonts w:ascii="黑体" w:hAnsi="黑体" w:eastAsia="黑体"/>
          <w:sz w:val="32"/>
          <w:szCs w:val="32"/>
        </w:rPr>
      </w:pPr>
      <w:r>
        <w:rPr>
          <w:rFonts w:hint="eastAsia" w:ascii="黑体" w:hAnsi="黑体" w:eastAsia="黑体"/>
          <w:sz w:val="32"/>
          <w:szCs w:val="32"/>
        </w:rPr>
        <w:t>国合通用测试评价认证股份公司</w:t>
      </w:r>
    </w:p>
    <w:p>
      <w:pPr>
        <w:widowControl/>
        <w:jc w:val="center"/>
        <w:rPr>
          <w:rFonts w:ascii="黑体" w:hAnsi="黑体" w:eastAsia="黑体" w:cs="黑体"/>
          <w:w w:val="90"/>
          <w:sz w:val="32"/>
          <w:szCs w:val="32"/>
        </w:rPr>
      </w:pPr>
      <w:r>
        <w:rPr>
          <w:rFonts w:hint="eastAsia" w:ascii="黑体" w:hAnsi="黑体" w:eastAsia="黑体"/>
          <w:sz w:val="30"/>
          <w:szCs w:val="30"/>
        </w:rPr>
        <w:t>20</w:t>
      </w:r>
      <w:r>
        <w:rPr>
          <w:rFonts w:ascii="黑体" w:hAnsi="黑体" w:eastAsia="黑体"/>
          <w:sz w:val="30"/>
          <w:szCs w:val="30"/>
        </w:rPr>
        <w:t>21</w:t>
      </w:r>
      <w:r>
        <w:rPr>
          <w:rFonts w:hint="eastAsia" w:ascii="黑体" w:hAnsi="黑体" w:eastAsia="黑体"/>
          <w:sz w:val="30"/>
          <w:szCs w:val="30"/>
        </w:rPr>
        <w:t>年</w:t>
      </w:r>
      <w:r>
        <w:rPr>
          <w:rFonts w:ascii="黑体" w:hAnsi="黑体" w:eastAsia="黑体"/>
          <w:sz w:val="30"/>
          <w:szCs w:val="30"/>
        </w:rPr>
        <w:t>7</w:t>
      </w:r>
      <w:r>
        <w:rPr>
          <w:rFonts w:hint="eastAsia" w:ascii="黑体" w:hAnsi="黑体" w:eastAsia="黑体"/>
          <w:sz w:val="30"/>
          <w:szCs w:val="30"/>
        </w:rPr>
        <w:t>月</w:t>
      </w:r>
    </w:p>
    <w:p>
      <w:pPr>
        <w:widowControl/>
        <w:jc w:val="left"/>
        <w:rPr>
          <w:rFonts w:ascii="黑体" w:hAnsi="宋体" w:eastAsia="黑体"/>
          <w:bCs/>
          <w:sz w:val="24"/>
        </w:rPr>
      </w:pPr>
      <w:r>
        <w:rPr>
          <w:rFonts w:ascii="黑体" w:hAnsi="黑体" w:eastAsia="黑体" w:cs="黑体"/>
          <w:w w:val="90"/>
          <w:sz w:val="32"/>
          <w:szCs w:val="32"/>
        </w:rPr>
        <w:br w:type="page"/>
      </w:r>
      <w:r>
        <w:rPr>
          <w:rFonts w:hint="eastAsia" w:ascii="黑体" w:hAnsi="宋体" w:eastAsia="黑体"/>
          <w:bCs/>
          <w:sz w:val="24"/>
        </w:rPr>
        <w:t>一、工作简况</w:t>
      </w:r>
    </w:p>
    <w:p>
      <w:pPr>
        <w:pStyle w:val="120"/>
        <w:tabs>
          <w:tab w:val="clear" w:pos="675"/>
        </w:tabs>
        <w:spacing w:before="156" w:beforeLines="50" w:after="156" w:afterLines="50" w:line="312" w:lineRule="auto"/>
        <w:ind w:left="0" w:firstLine="0"/>
        <w:rPr>
          <w:rFonts w:hAnsi="黑体"/>
        </w:rPr>
      </w:pPr>
      <w:r>
        <w:rPr>
          <w:rFonts w:hint="eastAsia" w:hAnsi="黑体"/>
        </w:rPr>
        <w:t>1、</w:t>
      </w:r>
      <w:r>
        <w:rPr>
          <w:rFonts w:hAnsi="黑体"/>
        </w:rPr>
        <w:t>任务来源</w:t>
      </w:r>
    </w:p>
    <w:p>
      <w:pPr>
        <w:spacing w:after="156" w:afterLines="50" w:line="312" w:lineRule="auto"/>
        <w:rPr>
          <w:rFonts w:ascii="黑体" w:hAnsi="黑体" w:eastAsia="黑体"/>
        </w:rPr>
      </w:pPr>
      <w:r>
        <w:rPr>
          <w:rFonts w:hint="eastAsia" w:ascii="黑体" w:hAnsi="黑体" w:eastAsia="黑体"/>
        </w:rPr>
        <w:t>1.1 计划批复</w:t>
      </w:r>
    </w:p>
    <w:p>
      <w:pPr>
        <w:spacing w:line="312" w:lineRule="auto"/>
        <w:ind w:firstLine="420" w:firstLineChars="200"/>
        <w:rPr>
          <w:rFonts w:hAnsi="宋体"/>
          <w:szCs w:val="20"/>
        </w:rPr>
      </w:pPr>
      <w:r>
        <w:rPr>
          <w:rFonts w:hAnsi="宋体"/>
          <w:szCs w:val="20"/>
        </w:rPr>
        <w:t>2019年12月，工业和信息化部下达2019年第四批行业标准制修订和外文版项目计划-工信厅科函</w:t>
      </w:r>
      <w:r>
        <w:rPr>
          <w:rFonts w:hint="eastAsia" w:hAnsi="宋体"/>
          <w:szCs w:val="20"/>
        </w:rPr>
        <w:t xml:space="preserve"> [</w:t>
      </w:r>
      <w:r>
        <w:rPr>
          <w:rFonts w:hAnsi="宋体"/>
          <w:szCs w:val="20"/>
        </w:rPr>
        <w:t xml:space="preserve"> 2019 </w:t>
      </w:r>
      <w:r>
        <w:rPr>
          <w:rFonts w:hint="eastAsia" w:hAnsi="宋体"/>
          <w:szCs w:val="20"/>
        </w:rPr>
        <w:t>]</w:t>
      </w:r>
      <w:r>
        <w:rPr>
          <w:rFonts w:hAnsi="宋体"/>
          <w:szCs w:val="20"/>
        </w:rPr>
        <w:t xml:space="preserve"> 276号文件，其中YS/T 568.12《氧化锆、氧化铪化学分析方法  </w:t>
      </w:r>
      <w:r>
        <w:rPr>
          <w:rFonts w:hint="eastAsia" w:hAnsi="宋体"/>
          <w:szCs w:val="20"/>
        </w:rPr>
        <w:t>第12部分：</w:t>
      </w:r>
      <w:r>
        <w:rPr>
          <w:rFonts w:hAnsi="宋体"/>
          <w:szCs w:val="20"/>
        </w:rPr>
        <w:t>氧化锆中硼、钠、镁、铝、硅、钙、钛、钒、铬、锰、铁、钴、镍、铜、锌、钼、镉、铪、铅、铋含量的测定  电感耦合等离子体质谱法》的制定工作由国合通用测试评价认证股份有限公司</w:t>
      </w:r>
      <w:r>
        <w:rPr>
          <w:rFonts w:hint="eastAsia" w:hAnsi="宋体"/>
          <w:szCs w:val="20"/>
        </w:rPr>
        <w:t>、</w:t>
      </w:r>
      <w:r>
        <w:rPr>
          <w:rFonts w:hAnsi="宋体"/>
          <w:szCs w:val="20"/>
        </w:rPr>
        <w:t>国标</w:t>
      </w:r>
      <w:r>
        <w:rPr>
          <w:rFonts w:hint="eastAsia" w:hAnsi="宋体"/>
          <w:szCs w:val="20"/>
        </w:rPr>
        <w:t>（北京）检验</w:t>
      </w:r>
      <w:r>
        <w:rPr>
          <w:rFonts w:hAnsi="宋体"/>
          <w:szCs w:val="20"/>
        </w:rPr>
        <w:t>认证有限公司负责起草，项目计划编号为2019-1743T-YS，完成年限2021年。</w:t>
      </w:r>
    </w:p>
    <w:p>
      <w:pPr>
        <w:spacing w:after="156" w:afterLines="50" w:line="312" w:lineRule="auto"/>
        <w:rPr>
          <w:rFonts w:ascii="黑体" w:hAnsi="黑体" w:eastAsia="黑体"/>
        </w:rPr>
      </w:pPr>
      <w:r>
        <w:rPr>
          <w:rFonts w:ascii="黑体" w:hAnsi="黑体" w:eastAsia="黑体"/>
        </w:rPr>
        <w:t xml:space="preserve">1.2 </w:t>
      </w:r>
      <w:r>
        <w:rPr>
          <w:rFonts w:hint="eastAsia" w:ascii="黑体" w:hAnsi="黑体" w:eastAsia="黑体"/>
        </w:rPr>
        <w:t>项目编制组</w:t>
      </w:r>
      <w:r>
        <w:rPr>
          <w:rFonts w:ascii="黑体" w:hAnsi="黑体" w:eastAsia="黑体"/>
        </w:rPr>
        <w:t>单位及变化情况</w:t>
      </w:r>
    </w:p>
    <w:p>
      <w:pPr>
        <w:pStyle w:val="81"/>
        <w:adjustRightInd w:val="0"/>
        <w:snapToGrid w:val="0"/>
        <w:spacing w:before="0" w:beforeAutospacing="0" w:after="0" w:afterAutospacing="0" w:line="312" w:lineRule="auto"/>
        <w:ind w:firstLine="437"/>
        <w:jc w:val="both"/>
      </w:pPr>
      <w:r>
        <w:rPr>
          <w:rFonts w:hint="eastAsia" w:ascii="Times New Roman" w:cs="Times New Roman"/>
          <w:kern w:val="2"/>
          <w:sz w:val="21"/>
          <w:szCs w:val="20"/>
        </w:rPr>
        <w:t>编制组成员</w:t>
      </w:r>
      <w:r>
        <w:rPr>
          <w:rFonts w:ascii="Times New Roman" w:cs="Times New Roman"/>
          <w:kern w:val="2"/>
          <w:sz w:val="21"/>
          <w:szCs w:val="20"/>
        </w:rPr>
        <w:t>包括国核锆铪理化检测有限公司</w:t>
      </w:r>
      <w:r>
        <w:rPr>
          <w:rFonts w:hint="eastAsia" w:ascii="Times New Roman" w:cs="Times New Roman"/>
          <w:kern w:val="2"/>
          <w:sz w:val="21"/>
          <w:szCs w:val="20"/>
        </w:rPr>
        <w:t>、</w:t>
      </w:r>
      <w:r>
        <w:rPr>
          <w:rFonts w:ascii="Times New Roman" w:cs="Times New Roman"/>
          <w:kern w:val="2"/>
          <w:sz w:val="21"/>
          <w:szCs w:val="20"/>
        </w:rPr>
        <w:t>西部新锆核材料科技有限公司</w:t>
      </w:r>
      <w:r>
        <w:rPr>
          <w:rFonts w:hint="eastAsia" w:ascii="Times New Roman" w:cs="Times New Roman"/>
          <w:kern w:val="2"/>
          <w:sz w:val="21"/>
          <w:szCs w:val="20"/>
        </w:rPr>
        <w:t>、</w:t>
      </w:r>
      <w:r>
        <w:rPr>
          <w:rFonts w:ascii="Times New Roman" w:cs="Times New Roman"/>
          <w:kern w:val="2"/>
          <w:sz w:val="21"/>
          <w:szCs w:val="20"/>
        </w:rPr>
        <w:t>国合通用（青岛）测试评价有限公司</w:t>
      </w:r>
      <w:r>
        <w:rPr>
          <w:rFonts w:hint="eastAsia" w:ascii="Times New Roman" w:cs="Times New Roman"/>
          <w:kern w:val="2"/>
          <w:sz w:val="21"/>
          <w:szCs w:val="20"/>
        </w:rPr>
        <w:t>、</w:t>
      </w:r>
      <w:r>
        <w:rPr>
          <w:rFonts w:ascii="Times New Roman" w:cs="Times New Roman"/>
          <w:kern w:val="2"/>
          <w:sz w:val="21"/>
          <w:szCs w:val="20"/>
        </w:rPr>
        <w:t>有研亿金新材料有限公司</w:t>
      </w:r>
      <w:r>
        <w:rPr>
          <w:rFonts w:hint="eastAsia" w:ascii="Times New Roman" w:cs="Times New Roman"/>
          <w:kern w:val="2"/>
          <w:sz w:val="21"/>
          <w:szCs w:val="20"/>
        </w:rPr>
        <w:t>、</w:t>
      </w:r>
      <w:r>
        <w:rPr>
          <w:rFonts w:ascii="Times New Roman" w:cs="Times New Roman"/>
          <w:kern w:val="2"/>
          <w:sz w:val="21"/>
          <w:szCs w:val="20"/>
        </w:rPr>
        <w:t>广东省工业分析检测中心</w:t>
      </w:r>
      <w:r>
        <w:rPr>
          <w:rFonts w:hint="eastAsia" w:ascii="Times New Roman" w:cs="Times New Roman"/>
          <w:kern w:val="2"/>
          <w:sz w:val="21"/>
          <w:szCs w:val="20"/>
        </w:rPr>
        <w:t>、</w:t>
      </w:r>
      <w:r>
        <w:rPr>
          <w:rFonts w:ascii="Times New Roman" w:cs="Times New Roman"/>
          <w:kern w:val="2"/>
          <w:sz w:val="21"/>
          <w:szCs w:val="20"/>
        </w:rPr>
        <w:t>有研资源环境技术研究院（北京）有限公司</w:t>
      </w:r>
      <w:r>
        <w:rPr>
          <w:rFonts w:hint="eastAsia" w:ascii="Times New Roman" w:cs="Times New Roman"/>
          <w:kern w:val="2"/>
          <w:sz w:val="21"/>
          <w:szCs w:val="20"/>
        </w:rPr>
        <w:t>。</w:t>
      </w:r>
    </w:p>
    <w:p>
      <w:pPr>
        <w:pStyle w:val="120"/>
        <w:tabs>
          <w:tab w:val="clear" w:pos="675"/>
        </w:tabs>
        <w:spacing w:before="156" w:beforeLines="50" w:after="156" w:afterLines="50" w:line="312" w:lineRule="auto"/>
        <w:ind w:left="0" w:firstLine="0"/>
        <w:rPr>
          <w:rFonts w:hAnsi="黑体"/>
        </w:rPr>
      </w:pPr>
      <w:bookmarkStart w:id="0" w:name="_Toc451633880"/>
      <w:r>
        <w:rPr>
          <w:rFonts w:hint="eastAsia" w:hAnsi="黑体"/>
        </w:rPr>
        <w:t>2、主要参加单位和工作成员及其所做的工作</w:t>
      </w:r>
      <w:bookmarkEnd w:id="0"/>
    </w:p>
    <w:p>
      <w:pPr>
        <w:spacing w:after="156" w:afterLines="50" w:line="312" w:lineRule="auto"/>
        <w:rPr>
          <w:rFonts w:ascii="黑体" w:hAnsi="黑体" w:eastAsia="黑体"/>
        </w:rPr>
      </w:pPr>
      <w:bookmarkStart w:id="1" w:name="_Toc451633881"/>
      <w:r>
        <w:rPr>
          <w:rFonts w:ascii="黑体" w:hAnsi="黑体" w:eastAsia="黑体"/>
        </w:rPr>
        <w:t>2.1</w:t>
      </w:r>
      <w:r>
        <w:rPr>
          <w:rFonts w:hint="eastAsia" w:ascii="黑体" w:hAnsi="黑体" w:eastAsia="黑体"/>
        </w:rPr>
        <w:t>主要参加单位情况</w:t>
      </w:r>
      <w:bookmarkEnd w:id="1"/>
    </w:p>
    <w:p>
      <w:pPr>
        <w:spacing w:line="312" w:lineRule="auto"/>
        <w:ind w:firstLine="420"/>
      </w:pPr>
      <w:r>
        <w:t>国合通用测试评价认证股份公司</w:t>
      </w:r>
      <w:r>
        <w:rPr>
          <w:rFonts w:hint="eastAsia"/>
        </w:rPr>
        <w:t>，是本项目</w:t>
      </w:r>
      <w:r>
        <w:t>负责起草</w:t>
      </w:r>
      <w:r>
        <w:rPr>
          <w:rFonts w:hint="eastAsia"/>
        </w:rPr>
        <w:t>单位，公司</w:t>
      </w:r>
      <w:r>
        <w:t>隶属于有研科技集团，是国家新材料测试评价平台-主中心承建单位，为中国新材料测试评价联盟秘书处挂靠单位。</w:t>
      </w:r>
      <w:r>
        <w:rPr>
          <w:rFonts w:hint="eastAsia"/>
        </w:rPr>
        <w:t>国标（北京）检验认证有限公司</w:t>
      </w:r>
      <w:r>
        <w:t>作为国合通用测试评价认证股份公司的全资子公司，前身是北京有色金属研究总院分析测试技术研究所，</w:t>
      </w:r>
      <w:r>
        <w:rPr>
          <w:rFonts w:hint="eastAsia"/>
        </w:rPr>
        <w:t>管理并运营着国家有色金属及电子材料分析测试中心与国家有色金属质量监督检验中心。</w:t>
      </w:r>
    </w:p>
    <w:p>
      <w:pPr>
        <w:spacing w:line="312" w:lineRule="auto"/>
        <w:ind w:firstLine="540"/>
        <w:rPr>
          <w:b/>
          <w:szCs w:val="21"/>
        </w:rPr>
      </w:pPr>
      <w:r>
        <w:rPr>
          <w:rFonts w:hint="eastAsia"/>
        </w:rPr>
        <w:t>国合通用测试评价认证股份公司、国标（北京）检验认证有限公司作为</w:t>
      </w:r>
      <w:r>
        <w:t>起草单位，</w:t>
      </w:r>
      <w:r>
        <w:rPr>
          <w:rFonts w:hint="eastAsia"/>
        </w:rPr>
        <w:t>在标准制定过程中需</w:t>
      </w:r>
      <w:r>
        <w:t>承担以下工作：</w:t>
      </w:r>
      <w:r>
        <w:rPr>
          <w:rFonts w:hint="eastAsia"/>
        </w:rPr>
        <w:t>负责统一样品的收集与发放；负责完成I</w:t>
      </w:r>
      <w:r>
        <w:t>CP-MS</w:t>
      </w:r>
      <w:r>
        <w:rPr>
          <w:rFonts w:hint="eastAsia"/>
        </w:rPr>
        <w:t>测定氧化锆中杂质元素的试验方案并撰写试验报告；负责</w:t>
      </w:r>
      <w:r>
        <w:t>组织</w:t>
      </w:r>
      <w:r>
        <w:rPr>
          <w:rFonts w:hint="eastAsia"/>
        </w:rPr>
        <w:t>验证</w:t>
      </w:r>
      <w:r>
        <w:t>单位完成验证报告，并在综合各验证单位意见的基础上提出《</w:t>
      </w:r>
      <w:r>
        <w:rPr>
          <w:rFonts w:hint="eastAsia"/>
        </w:rPr>
        <w:t>标准征求意见稿</w:t>
      </w:r>
      <w:r>
        <w:t>》</w:t>
      </w:r>
      <w:r>
        <w:rPr>
          <w:rFonts w:hint="eastAsia"/>
        </w:rPr>
        <w:t>；负责汇总精密度数据，完成数理统计</w:t>
      </w:r>
      <w:r>
        <w:t>工作；</w:t>
      </w:r>
      <w:r>
        <w:rPr>
          <w:rFonts w:hint="eastAsia"/>
        </w:rPr>
        <w:t>负责意见征集与</w:t>
      </w:r>
      <w:r>
        <w:t>汇总</w:t>
      </w:r>
      <w:r>
        <w:rPr>
          <w:rFonts w:hint="eastAsia"/>
        </w:rPr>
        <w:t>；并负责在标准预审会、审定会上进行项目介绍与答辩，</w:t>
      </w:r>
      <w:r>
        <w:t>最终</w:t>
      </w:r>
      <w:r>
        <w:rPr>
          <w:rFonts w:hint="eastAsia"/>
        </w:rPr>
        <w:t>形成</w:t>
      </w:r>
      <w:r>
        <w:t>报批稿，协助</w:t>
      </w:r>
      <w:r>
        <w:rPr>
          <w:rFonts w:hint="eastAsia"/>
        </w:rPr>
        <w:t>标准化技术委员会秘书处完成</w:t>
      </w:r>
      <w:r>
        <w:t>标准的报批工作。</w:t>
      </w:r>
    </w:p>
    <w:p>
      <w:pPr>
        <w:pStyle w:val="81"/>
        <w:shd w:val="clear" w:color="auto" w:fill="FFFFFF"/>
        <w:spacing w:before="0" w:beforeAutospacing="0" w:after="0" w:afterAutospacing="0" w:line="312" w:lineRule="auto"/>
        <w:ind w:firstLine="420"/>
        <w:jc w:val="both"/>
        <w:rPr>
          <w:rFonts w:ascii="Times New Roman" w:hAnsi="Times New Roman" w:cs="Times New Roman"/>
          <w:kern w:val="2"/>
          <w:sz w:val="21"/>
          <w:szCs w:val="21"/>
        </w:rPr>
      </w:pPr>
      <w:r>
        <w:rPr>
          <w:rFonts w:ascii="Times New Roman" w:hAnsi="Times New Roman" w:cs="Times New Roman"/>
          <w:kern w:val="2"/>
          <w:sz w:val="21"/>
          <w:szCs w:val="21"/>
        </w:rPr>
        <w:t>国核锆铪理化检测有限公司</w:t>
      </w:r>
      <w:r>
        <w:rPr>
          <w:rFonts w:hint="eastAsia" w:ascii="Times New Roman" w:hAnsi="Times New Roman" w:cs="Times New Roman"/>
          <w:kern w:val="2"/>
          <w:sz w:val="21"/>
          <w:szCs w:val="21"/>
        </w:rPr>
        <w:t>是</w:t>
      </w:r>
      <w:r>
        <w:rPr>
          <w:rFonts w:ascii="Times New Roman" w:hAnsi="Times New Roman" w:cs="Times New Roman"/>
          <w:kern w:val="2"/>
          <w:sz w:val="21"/>
          <w:szCs w:val="21"/>
        </w:rPr>
        <w:t>方法的一验单位，负责</w:t>
      </w:r>
      <w:r>
        <w:rPr>
          <w:rFonts w:hint="eastAsia" w:ascii="Times New Roman" w:hAnsi="Times New Roman" w:cs="Times New Roman"/>
          <w:kern w:val="2"/>
          <w:sz w:val="21"/>
          <w:szCs w:val="21"/>
        </w:rPr>
        <w:t>逐条</w:t>
      </w:r>
      <w:r>
        <w:rPr>
          <w:rFonts w:ascii="Times New Roman" w:hAnsi="Times New Roman" w:cs="Times New Roman"/>
          <w:kern w:val="2"/>
          <w:sz w:val="21"/>
          <w:szCs w:val="21"/>
        </w:rPr>
        <w:t>验证</w:t>
      </w:r>
      <w:r>
        <w:rPr>
          <w:rFonts w:hint="eastAsia" w:ascii="Times New Roman" w:hAnsi="Times New Roman" w:cs="Times New Roman"/>
          <w:kern w:val="2"/>
          <w:sz w:val="21"/>
          <w:szCs w:val="21"/>
        </w:rPr>
        <w:t>《</w:t>
      </w:r>
      <w:r>
        <w:rPr>
          <w:rFonts w:ascii="Times New Roman" w:hAnsi="Times New Roman" w:cs="Times New Roman"/>
          <w:kern w:val="2"/>
          <w:sz w:val="21"/>
          <w:szCs w:val="21"/>
        </w:rPr>
        <w:t>试验报告</w:t>
      </w:r>
      <w:r>
        <w:rPr>
          <w:rFonts w:hint="eastAsia" w:ascii="Times New Roman" w:hAnsi="Times New Roman" w:cs="Times New Roman"/>
          <w:kern w:val="2"/>
          <w:sz w:val="21"/>
          <w:szCs w:val="21"/>
        </w:rPr>
        <w:t>》的章条款，</w:t>
      </w:r>
      <w:r>
        <w:rPr>
          <w:rFonts w:ascii="Times New Roman" w:hAnsi="Times New Roman" w:cs="Times New Roman"/>
          <w:kern w:val="2"/>
          <w:sz w:val="21"/>
          <w:szCs w:val="21"/>
        </w:rPr>
        <w:t>对</w:t>
      </w:r>
      <w:r>
        <w:rPr>
          <w:rFonts w:hint="eastAsia" w:ascii="Times New Roman" w:hAnsi="Times New Roman" w:cs="Times New Roman"/>
          <w:kern w:val="2"/>
          <w:sz w:val="21"/>
          <w:szCs w:val="21"/>
        </w:rPr>
        <w:t>方法</w:t>
      </w:r>
      <w:r>
        <w:rPr>
          <w:rFonts w:ascii="Times New Roman" w:hAnsi="Times New Roman" w:cs="Times New Roman"/>
          <w:kern w:val="2"/>
          <w:sz w:val="21"/>
          <w:szCs w:val="21"/>
        </w:rPr>
        <w:t>的可行性进行论证</w:t>
      </w:r>
      <w:r>
        <w:rPr>
          <w:rFonts w:hint="eastAsia" w:ascii="Times New Roman" w:hAnsi="Times New Roman" w:cs="Times New Roman"/>
          <w:kern w:val="2"/>
          <w:sz w:val="21"/>
          <w:szCs w:val="21"/>
        </w:rPr>
        <w:t>并</w:t>
      </w:r>
      <w:r>
        <w:rPr>
          <w:rFonts w:ascii="Times New Roman" w:hAnsi="Times New Roman" w:cs="Times New Roman"/>
          <w:kern w:val="2"/>
          <w:sz w:val="21"/>
          <w:szCs w:val="21"/>
        </w:rPr>
        <w:t>给出结论</w:t>
      </w:r>
      <w:r>
        <w:rPr>
          <w:rFonts w:hint="eastAsia" w:ascii="Times New Roman" w:hAnsi="Times New Roman" w:cs="Times New Roman"/>
          <w:kern w:val="2"/>
          <w:sz w:val="21"/>
          <w:szCs w:val="21"/>
        </w:rPr>
        <w:t>；负责提供本</w:t>
      </w:r>
      <w:r>
        <w:rPr>
          <w:rFonts w:ascii="Times New Roman" w:hAnsi="Times New Roman" w:cs="Times New Roman"/>
          <w:kern w:val="2"/>
          <w:sz w:val="21"/>
          <w:szCs w:val="21"/>
        </w:rPr>
        <w:t>试验室公共样品</w:t>
      </w:r>
      <w:r>
        <w:rPr>
          <w:rFonts w:hint="eastAsia" w:ascii="Times New Roman" w:hAnsi="Times New Roman" w:cs="Times New Roman"/>
          <w:kern w:val="2"/>
          <w:sz w:val="21"/>
          <w:szCs w:val="21"/>
        </w:rPr>
        <w:t>的原始测定</w:t>
      </w:r>
      <w:r>
        <w:rPr>
          <w:rFonts w:ascii="Times New Roman" w:hAnsi="Times New Roman" w:cs="Times New Roman"/>
          <w:kern w:val="2"/>
          <w:sz w:val="21"/>
          <w:szCs w:val="21"/>
        </w:rPr>
        <w:t>数据</w:t>
      </w:r>
      <w:r>
        <w:rPr>
          <w:rFonts w:hint="eastAsia" w:ascii="Times New Roman" w:hAnsi="Times New Roman" w:cs="Times New Roman"/>
          <w:kern w:val="2"/>
          <w:sz w:val="21"/>
          <w:szCs w:val="21"/>
        </w:rPr>
        <w:t>；协助</w:t>
      </w:r>
      <w:r>
        <w:rPr>
          <w:rFonts w:ascii="Times New Roman" w:hAnsi="Times New Roman" w:cs="Times New Roman"/>
          <w:kern w:val="2"/>
          <w:sz w:val="21"/>
          <w:szCs w:val="21"/>
        </w:rPr>
        <w:t>起草</w:t>
      </w:r>
      <w:r>
        <w:rPr>
          <w:rFonts w:hint="eastAsia" w:ascii="Times New Roman" w:hAnsi="Times New Roman" w:cs="Times New Roman"/>
          <w:kern w:val="2"/>
          <w:sz w:val="21"/>
          <w:szCs w:val="21"/>
        </w:rPr>
        <w:t>单位</w:t>
      </w:r>
      <w:r>
        <w:rPr>
          <w:rFonts w:ascii="Times New Roman" w:hAnsi="Times New Roman" w:cs="Times New Roman"/>
          <w:kern w:val="2"/>
          <w:sz w:val="21"/>
          <w:szCs w:val="21"/>
        </w:rPr>
        <w:t>完成标准报批稿的校核工作。</w:t>
      </w:r>
    </w:p>
    <w:p>
      <w:pPr>
        <w:pStyle w:val="81"/>
        <w:shd w:val="clear" w:color="auto" w:fill="FFFFFF"/>
        <w:spacing w:before="0" w:beforeAutospacing="0" w:after="0" w:afterAutospacing="0" w:line="312" w:lineRule="auto"/>
        <w:ind w:firstLine="420"/>
        <w:jc w:val="both"/>
        <w:rPr>
          <w:rFonts w:ascii="Arial" w:hAnsi="Arial" w:cs="Arial"/>
          <w:color w:val="000000"/>
          <w:sz w:val="21"/>
          <w:szCs w:val="21"/>
        </w:rPr>
      </w:pPr>
      <w:r>
        <w:rPr>
          <w:rFonts w:ascii="Times New Roman" w:cs="Times New Roman"/>
          <w:kern w:val="2"/>
          <w:sz w:val="21"/>
          <w:szCs w:val="20"/>
        </w:rPr>
        <w:t>西部新锆核材料科技有限公司</w:t>
      </w:r>
      <w:r>
        <w:rPr>
          <w:rFonts w:hint="eastAsia" w:ascii="Times New Roman" w:cs="Times New Roman"/>
          <w:kern w:val="2"/>
          <w:sz w:val="21"/>
          <w:szCs w:val="20"/>
        </w:rPr>
        <w:t>、</w:t>
      </w:r>
      <w:r>
        <w:rPr>
          <w:rFonts w:ascii="Times New Roman" w:cs="Times New Roman"/>
          <w:kern w:val="2"/>
          <w:sz w:val="21"/>
          <w:szCs w:val="20"/>
        </w:rPr>
        <w:t>国合通用（青岛）测试评价有限公司</w:t>
      </w:r>
      <w:r>
        <w:rPr>
          <w:rFonts w:hint="eastAsia" w:ascii="Times New Roman" w:cs="Times New Roman"/>
          <w:kern w:val="2"/>
          <w:sz w:val="21"/>
          <w:szCs w:val="20"/>
        </w:rPr>
        <w:t>、</w:t>
      </w:r>
      <w:r>
        <w:rPr>
          <w:rFonts w:ascii="Times New Roman" w:cs="Times New Roman"/>
          <w:kern w:val="2"/>
          <w:sz w:val="21"/>
          <w:szCs w:val="20"/>
        </w:rPr>
        <w:t>有研亿金新材料有限公司</w:t>
      </w:r>
      <w:r>
        <w:rPr>
          <w:rFonts w:hint="eastAsia" w:ascii="Times New Roman" w:cs="Times New Roman"/>
          <w:kern w:val="2"/>
          <w:sz w:val="21"/>
          <w:szCs w:val="20"/>
        </w:rPr>
        <w:t>、</w:t>
      </w:r>
      <w:r>
        <w:rPr>
          <w:rFonts w:ascii="Times New Roman" w:cs="Times New Roman"/>
          <w:kern w:val="2"/>
          <w:sz w:val="21"/>
          <w:szCs w:val="20"/>
        </w:rPr>
        <w:t>广东省工业分析检测中心</w:t>
      </w:r>
      <w:r>
        <w:rPr>
          <w:rFonts w:hint="eastAsia" w:ascii="Arial" w:hAnsi="Arial" w:cs="Arial"/>
          <w:color w:val="000000"/>
          <w:sz w:val="21"/>
          <w:szCs w:val="21"/>
        </w:rPr>
        <w:t>是方法</w:t>
      </w:r>
      <w:r>
        <w:rPr>
          <w:rFonts w:ascii="Arial" w:hAnsi="Arial" w:cs="Arial"/>
          <w:color w:val="000000"/>
          <w:sz w:val="21"/>
          <w:szCs w:val="21"/>
        </w:rPr>
        <w:t>的二验单位，</w:t>
      </w:r>
      <w:r>
        <w:rPr>
          <w:rFonts w:hint="eastAsia" w:ascii="Arial" w:hAnsi="Arial" w:cs="Arial"/>
          <w:color w:val="000000"/>
          <w:sz w:val="21"/>
          <w:szCs w:val="21"/>
        </w:rPr>
        <w:t>主要按照</w:t>
      </w:r>
      <w:r>
        <w:rPr>
          <w:rFonts w:hint="eastAsia" w:ascii="Times New Roman" w:hAnsi="Times New Roman" w:cs="Times New Roman"/>
          <w:kern w:val="2"/>
          <w:sz w:val="21"/>
          <w:szCs w:val="21"/>
        </w:rPr>
        <w:t>《</w:t>
      </w:r>
      <w:r>
        <w:rPr>
          <w:rFonts w:ascii="Times New Roman" w:hAnsi="Times New Roman" w:cs="Times New Roman"/>
          <w:kern w:val="2"/>
          <w:sz w:val="21"/>
          <w:szCs w:val="21"/>
        </w:rPr>
        <w:t>试验报告</w:t>
      </w:r>
      <w:r>
        <w:rPr>
          <w:rFonts w:hint="eastAsia" w:ascii="Times New Roman" w:hAnsi="Times New Roman" w:cs="Times New Roman"/>
          <w:kern w:val="2"/>
          <w:sz w:val="21"/>
          <w:szCs w:val="21"/>
        </w:rPr>
        <w:t>》中的</w:t>
      </w:r>
      <w:r>
        <w:rPr>
          <w:rFonts w:ascii="Times New Roman" w:hAnsi="Times New Roman" w:cs="Times New Roman"/>
          <w:kern w:val="2"/>
          <w:sz w:val="21"/>
          <w:szCs w:val="21"/>
        </w:rPr>
        <w:t>试验步骤完成公共样品的测定</w:t>
      </w:r>
      <w:r>
        <w:rPr>
          <w:rFonts w:hint="eastAsia" w:ascii="Times New Roman" w:hAnsi="Times New Roman" w:cs="Times New Roman"/>
          <w:kern w:val="2"/>
          <w:sz w:val="21"/>
          <w:szCs w:val="21"/>
        </w:rPr>
        <w:t>并</w:t>
      </w:r>
      <w:r>
        <w:rPr>
          <w:rFonts w:ascii="Times New Roman" w:hAnsi="Times New Roman" w:cs="Times New Roman"/>
          <w:kern w:val="2"/>
          <w:sz w:val="21"/>
          <w:szCs w:val="21"/>
        </w:rPr>
        <w:t>提供原始测定</w:t>
      </w:r>
      <w:r>
        <w:rPr>
          <w:rFonts w:hint="eastAsia" w:ascii="Times New Roman" w:hAnsi="Times New Roman" w:cs="Times New Roman"/>
          <w:kern w:val="2"/>
          <w:sz w:val="21"/>
          <w:szCs w:val="21"/>
        </w:rPr>
        <w:t>数据</w:t>
      </w:r>
      <w:r>
        <w:rPr>
          <w:rFonts w:ascii="Times New Roman" w:hAnsi="Times New Roman" w:cs="Times New Roman"/>
          <w:kern w:val="2"/>
          <w:sz w:val="21"/>
          <w:szCs w:val="21"/>
        </w:rPr>
        <w:t>，对于试验中发现的问题及时反馈给起草单位。</w:t>
      </w:r>
      <w:r>
        <w:rPr>
          <w:rFonts w:ascii="Times New Roman" w:cs="Times New Roman"/>
          <w:kern w:val="2"/>
          <w:sz w:val="21"/>
          <w:szCs w:val="20"/>
        </w:rPr>
        <w:t>有研资源环境技术研究院（北京）有限公司</w:t>
      </w:r>
      <w:r>
        <w:rPr>
          <w:rFonts w:hint="eastAsia" w:ascii="Times New Roman" w:cs="Times New Roman"/>
          <w:kern w:val="2"/>
          <w:sz w:val="21"/>
          <w:szCs w:val="20"/>
        </w:rPr>
        <w:t>负责氧化锆</w:t>
      </w:r>
      <w:r>
        <w:rPr>
          <w:rFonts w:ascii="Times New Roman" w:cs="Times New Roman"/>
          <w:kern w:val="2"/>
          <w:sz w:val="21"/>
          <w:szCs w:val="20"/>
        </w:rPr>
        <w:t>公共样品的制备</w:t>
      </w:r>
      <w:r>
        <w:rPr>
          <w:rFonts w:hint="eastAsia" w:ascii="Times New Roman" w:cs="Times New Roman"/>
          <w:kern w:val="2"/>
          <w:sz w:val="21"/>
          <w:szCs w:val="20"/>
        </w:rPr>
        <w:t>工作</w:t>
      </w:r>
      <w:r>
        <w:rPr>
          <w:rFonts w:ascii="Times New Roman" w:cs="Times New Roman"/>
          <w:kern w:val="2"/>
          <w:sz w:val="21"/>
          <w:szCs w:val="20"/>
        </w:rPr>
        <w:t>。</w:t>
      </w:r>
    </w:p>
    <w:p>
      <w:pPr>
        <w:pStyle w:val="81"/>
        <w:adjustRightInd w:val="0"/>
        <w:snapToGrid w:val="0"/>
        <w:spacing w:before="0" w:beforeAutospacing="0" w:after="0" w:afterAutospacing="0" w:line="312" w:lineRule="auto"/>
        <w:ind w:firstLine="437"/>
        <w:jc w:val="both"/>
        <w:rPr>
          <w:rFonts w:ascii="Times New Roman" w:cs="Times New Roman"/>
          <w:kern w:val="2"/>
          <w:sz w:val="21"/>
        </w:rPr>
      </w:pPr>
      <w:r>
        <w:rPr>
          <w:rFonts w:ascii="Times New Roman" w:cs="Times New Roman"/>
          <w:kern w:val="2"/>
          <w:sz w:val="21"/>
        </w:rPr>
        <w:t>上述</w:t>
      </w:r>
      <w:r>
        <w:rPr>
          <w:rFonts w:hint="eastAsia" w:ascii="Times New Roman" w:cs="Times New Roman"/>
          <w:kern w:val="2"/>
          <w:sz w:val="21"/>
        </w:rPr>
        <w:t>起草</w:t>
      </w:r>
      <w:r>
        <w:rPr>
          <w:rFonts w:ascii="Times New Roman" w:cs="Times New Roman"/>
          <w:kern w:val="2"/>
          <w:sz w:val="21"/>
        </w:rPr>
        <w:t>及验证单位</w:t>
      </w:r>
      <w:r>
        <w:rPr>
          <w:rFonts w:hint="eastAsia" w:ascii="Times New Roman" w:cs="Times New Roman"/>
          <w:kern w:val="2"/>
          <w:sz w:val="21"/>
        </w:rPr>
        <w:t>均</w:t>
      </w:r>
      <w:r>
        <w:rPr>
          <w:rFonts w:ascii="Times New Roman" w:cs="Times New Roman"/>
          <w:kern w:val="2"/>
          <w:sz w:val="21"/>
        </w:rPr>
        <w:t>具备丰富的标准起草</w:t>
      </w:r>
      <w:r>
        <w:rPr>
          <w:rFonts w:hint="eastAsia" w:ascii="Times New Roman" w:cs="Times New Roman"/>
          <w:kern w:val="2"/>
          <w:sz w:val="21"/>
        </w:rPr>
        <w:t>经验</w:t>
      </w:r>
      <w:r>
        <w:rPr>
          <w:rFonts w:ascii="Times New Roman" w:cs="Times New Roman"/>
          <w:kern w:val="2"/>
          <w:sz w:val="21"/>
        </w:rPr>
        <w:t>，多次参与</w:t>
      </w:r>
      <w:r>
        <w:rPr>
          <w:rFonts w:hint="eastAsia" w:ascii="Times New Roman" w:cs="Times New Roman"/>
          <w:kern w:val="2"/>
          <w:sz w:val="21"/>
        </w:rPr>
        <w:t>国家标准</w:t>
      </w:r>
      <w:r>
        <w:rPr>
          <w:rFonts w:ascii="Times New Roman" w:cs="Times New Roman"/>
          <w:kern w:val="2"/>
          <w:sz w:val="21"/>
        </w:rPr>
        <w:t>及行业标准的制修订工作</w:t>
      </w:r>
      <w:r>
        <w:rPr>
          <w:rFonts w:hint="eastAsia" w:ascii="Times New Roman" w:cs="Times New Roman"/>
          <w:kern w:val="2"/>
          <w:sz w:val="21"/>
        </w:rPr>
        <w:t>。在工作组</w:t>
      </w:r>
      <w:r>
        <w:rPr>
          <w:rFonts w:ascii="Times New Roman" w:cs="Times New Roman"/>
          <w:kern w:val="2"/>
          <w:sz w:val="21"/>
        </w:rPr>
        <w:t>的共同努力下，YS</w:t>
      </w:r>
      <w:r>
        <w:rPr>
          <w:rFonts w:hint="eastAsia" w:ascii="Times New Roman" w:cs="Times New Roman"/>
          <w:kern w:val="2"/>
          <w:sz w:val="21"/>
        </w:rPr>
        <w:t xml:space="preserve">/T </w:t>
      </w:r>
      <w:r>
        <w:rPr>
          <w:rFonts w:ascii="Times New Roman" w:cs="Times New Roman"/>
          <w:kern w:val="2"/>
          <w:sz w:val="21"/>
        </w:rPr>
        <w:t>568</w:t>
      </w:r>
      <w:r>
        <w:rPr>
          <w:rFonts w:hint="eastAsia" w:ascii="Times New Roman" w:cs="Times New Roman"/>
          <w:kern w:val="2"/>
          <w:sz w:val="21"/>
        </w:rPr>
        <w:t>.</w:t>
      </w:r>
      <w:r>
        <w:rPr>
          <w:rFonts w:ascii="Times New Roman" w:cs="Times New Roman"/>
          <w:kern w:val="2"/>
          <w:sz w:val="21"/>
        </w:rPr>
        <w:t>12</w:t>
      </w:r>
      <w:r>
        <w:rPr>
          <w:rFonts w:hint="eastAsia" w:ascii="Times New Roman" w:cs="Times New Roman"/>
          <w:kern w:val="2"/>
          <w:sz w:val="21"/>
        </w:rPr>
        <w:t>《氧化锆、氧化铪化学分析方法  第12部分</w:t>
      </w:r>
      <w:r>
        <w:rPr>
          <w:rFonts w:ascii="Times New Roman" w:cs="Times New Roman"/>
          <w:kern w:val="2"/>
          <w:sz w:val="21"/>
        </w:rPr>
        <w:t>：</w:t>
      </w:r>
      <w:r>
        <w:rPr>
          <w:rFonts w:hint="eastAsia" w:ascii="Times New Roman" w:cs="Times New Roman"/>
          <w:kern w:val="2"/>
          <w:sz w:val="21"/>
        </w:rPr>
        <w:t>氧化锆中硼、钠、镁、铝、硅、钙、钛、钒、铬、锰、铁、钴、镍、铜、锌、钼、镉、铪、铅、铋含量的测定  电感耦合等离子体质谱法》必将顺利</w:t>
      </w:r>
      <w:r>
        <w:rPr>
          <w:rFonts w:ascii="Times New Roman" w:cs="Times New Roman"/>
          <w:kern w:val="2"/>
          <w:sz w:val="21"/>
        </w:rPr>
        <w:t>、高</w:t>
      </w:r>
      <w:r>
        <w:rPr>
          <w:rFonts w:hint="eastAsia" w:ascii="Times New Roman" w:cs="Times New Roman"/>
          <w:kern w:val="2"/>
          <w:sz w:val="21"/>
        </w:rPr>
        <w:t>质量</w:t>
      </w:r>
      <w:r>
        <w:rPr>
          <w:rFonts w:ascii="Times New Roman" w:cs="Times New Roman"/>
          <w:kern w:val="2"/>
          <w:sz w:val="21"/>
        </w:rPr>
        <w:t>的完成。</w:t>
      </w:r>
    </w:p>
    <w:p>
      <w:pPr>
        <w:spacing w:after="156" w:afterLines="50" w:line="312" w:lineRule="auto"/>
        <w:rPr>
          <w:rFonts w:ascii="黑体" w:hAnsi="黑体" w:eastAsia="黑体"/>
        </w:rPr>
      </w:pPr>
      <w:r>
        <w:rPr>
          <w:rFonts w:hint="eastAsia" w:ascii="黑体" w:hAnsi="黑体" w:eastAsia="黑体"/>
        </w:rPr>
        <w:t>2.</w:t>
      </w:r>
      <w:r>
        <w:rPr>
          <w:rFonts w:ascii="黑体" w:hAnsi="黑体" w:eastAsia="黑体"/>
        </w:rPr>
        <w:t>2</w:t>
      </w:r>
      <w:r>
        <w:rPr>
          <w:rFonts w:hint="eastAsia" w:ascii="黑体" w:hAnsi="黑体" w:eastAsia="黑体"/>
        </w:rPr>
        <w:t>主要工作成员所负责的工作情况</w:t>
      </w:r>
    </w:p>
    <w:p>
      <w:pPr>
        <w:pStyle w:val="81"/>
        <w:numPr>
          <w:ilvl w:val="255"/>
          <w:numId w:val="0"/>
        </w:numPr>
        <w:adjustRightInd w:val="0"/>
        <w:snapToGrid w:val="0"/>
        <w:spacing w:before="0" w:beforeAutospacing="0" w:after="0" w:afterAutospacing="0" w:line="312" w:lineRule="auto"/>
        <w:ind w:firstLine="420" w:firstLineChars="200"/>
        <w:jc w:val="both"/>
        <w:rPr>
          <w:rFonts w:ascii="Times New Roman" w:cs="Times New Roman"/>
          <w:kern w:val="2"/>
          <w:sz w:val="21"/>
        </w:rPr>
      </w:pPr>
      <w:r>
        <w:rPr>
          <w:rFonts w:hint="eastAsia" w:ascii="Times New Roman" w:cs="Times New Roman"/>
          <w:kern w:val="2"/>
          <w:sz w:val="21"/>
        </w:rPr>
        <w:t>本标准主要起草人及工作职责见表1。</w:t>
      </w:r>
    </w:p>
    <w:p>
      <w:pPr>
        <w:adjustRightInd w:val="0"/>
        <w:snapToGrid w:val="0"/>
        <w:spacing w:before="312" w:beforeLines="100" w:after="156" w:afterLines="50" w:line="360" w:lineRule="exact"/>
        <w:jc w:val="center"/>
        <w:rPr>
          <w:rFonts w:ascii="黑体" w:hAnsi="黑体" w:eastAsia="黑体"/>
          <w:szCs w:val="21"/>
        </w:rPr>
      </w:pPr>
      <w:r>
        <w:rPr>
          <w:rFonts w:hint="eastAsia" w:ascii="黑体" w:hAnsi="黑体" w:eastAsia="黑体"/>
          <w:szCs w:val="21"/>
        </w:rPr>
        <w:t>表1 主要起草人及工作职责</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5"/>
        <w:gridCol w:w="6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5" w:type="dxa"/>
          </w:tcPr>
          <w:p>
            <w:pPr>
              <w:spacing w:line="312" w:lineRule="auto"/>
              <w:ind w:firstLine="435"/>
              <w:jc w:val="center"/>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起草人</w:t>
            </w:r>
          </w:p>
        </w:tc>
        <w:tc>
          <w:tcPr>
            <w:tcW w:w="6621" w:type="dxa"/>
          </w:tcPr>
          <w:p>
            <w:pPr>
              <w:spacing w:line="312" w:lineRule="auto"/>
              <w:ind w:firstLine="435"/>
              <w:jc w:val="center"/>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5" w:type="dxa"/>
            <w:vAlign w:val="center"/>
          </w:tcPr>
          <w:p>
            <w:pPr>
              <w:pStyle w:val="81"/>
              <w:numPr>
                <w:ilvl w:val="255"/>
                <w:numId w:val="0"/>
              </w:numPr>
              <w:adjustRightInd w:val="0"/>
              <w:snapToGrid w:val="0"/>
              <w:spacing w:before="0" w:beforeAutospacing="0" w:after="0" w:afterAutospacing="0" w:line="312" w:lineRule="auto"/>
              <w:jc w:val="both"/>
              <w:rPr>
                <w:rFonts w:ascii="Times New Roman" w:cs="Times New Roman"/>
                <w:color w:val="000000" w:themeColor="text1"/>
                <w:kern w:val="2"/>
                <w:sz w:val="18"/>
                <w:szCs w:val="18"/>
                <w14:textFill>
                  <w14:solidFill>
                    <w14:schemeClr w14:val="tx1"/>
                  </w14:solidFill>
                </w14:textFill>
              </w:rPr>
            </w:pPr>
            <w:r>
              <w:rPr>
                <w:rFonts w:hint="eastAsia" w:ascii="Times New Roman" w:cs="Times New Roman"/>
                <w:color w:val="000000" w:themeColor="text1"/>
                <w:kern w:val="2"/>
                <w:sz w:val="18"/>
                <w:szCs w:val="18"/>
                <w14:textFill>
                  <w14:solidFill>
                    <w14:schemeClr w14:val="tx1"/>
                  </w14:solidFill>
                </w14:textFill>
              </w:rPr>
              <w:t>墨淑敏、李爱嫦</w:t>
            </w:r>
          </w:p>
        </w:tc>
        <w:tc>
          <w:tcPr>
            <w:tcW w:w="6621" w:type="dxa"/>
          </w:tcPr>
          <w:p>
            <w:pPr>
              <w:pStyle w:val="81"/>
              <w:numPr>
                <w:ilvl w:val="255"/>
                <w:numId w:val="0"/>
              </w:numPr>
              <w:adjustRightInd w:val="0"/>
              <w:snapToGrid w:val="0"/>
              <w:spacing w:before="0" w:beforeAutospacing="0" w:after="0" w:afterAutospacing="0" w:line="312" w:lineRule="auto"/>
              <w:jc w:val="both"/>
              <w:rPr>
                <w:rFonts w:ascii="Times New Roman" w:cs="Times New Roman"/>
                <w:color w:val="000000" w:themeColor="text1"/>
                <w:kern w:val="2"/>
                <w:sz w:val="18"/>
                <w:szCs w:val="18"/>
                <w14:textFill>
                  <w14:solidFill>
                    <w14:schemeClr w14:val="tx1"/>
                  </w14:solidFill>
                </w14:textFill>
              </w:rPr>
            </w:pPr>
            <w:r>
              <w:rPr>
                <w:rFonts w:hint="eastAsia" w:ascii="Times New Roman" w:cs="Times New Roman"/>
                <w:color w:val="000000" w:themeColor="text1"/>
                <w:kern w:val="2"/>
                <w:sz w:val="18"/>
                <w:szCs w:val="18"/>
                <w14:textFill>
                  <w14:solidFill>
                    <w14:schemeClr w14:val="tx1"/>
                  </w14:solidFill>
                </w14:textFill>
              </w:rPr>
              <w:t>负责方法</w:t>
            </w:r>
            <w:r>
              <w:rPr>
                <w:rFonts w:ascii="Times New Roman" w:cs="Times New Roman"/>
                <w:color w:val="000000" w:themeColor="text1"/>
                <w:kern w:val="2"/>
                <w:sz w:val="18"/>
                <w:szCs w:val="18"/>
                <w14:textFill>
                  <w14:solidFill>
                    <w14:schemeClr w14:val="tx1"/>
                  </w14:solidFill>
                </w14:textFill>
              </w:rPr>
              <w:t>的起草，</w:t>
            </w:r>
            <w:r>
              <w:rPr>
                <w:rFonts w:hint="eastAsia" w:ascii="Times New Roman" w:cs="Times New Roman"/>
                <w:color w:val="000000" w:themeColor="text1"/>
                <w:kern w:val="2"/>
                <w:sz w:val="18"/>
                <w:szCs w:val="18"/>
                <w14:textFill>
                  <w14:solidFill>
                    <w14:schemeClr w14:val="tx1"/>
                  </w14:solidFill>
                </w14:textFill>
              </w:rPr>
              <w:t>各阶段标准文本、</w:t>
            </w:r>
            <w:r>
              <w:rPr>
                <w:rFonts w:ascii="Times New Roman" w:cs="Times New Roman"/>
                <w:color w:val="000000" w:themeColor="text1"/>
                <w:kern w:val="2"/>
                <w:sz w:val="18"/>
                <w:szCs w:val="18"/>
                <w14:textFill>
                  <w14:solidFill>
                    <w14:schemeClr w14:val="tx1"/>
                  </w14:solidFill>
                </w14:textFill>
              </w:rPr>
              <w:t>编制说明</w:t>
            </w:r>
            <w:r>
              <w:rPr>
                <w:rFonts w:hint="eastAsia" w:ascii="Times New Roman" w:cs="Times New Roman"/>
                <w:color w:val="000000" w:themeColor="text1"/>
                <w:kern w:val="2"/>
                <w:sz w:val="18"/>
                <w:szCs w:val="18"/>
                <w14:textFill>
                  <w14:solidFill>
                    <w14:schemeClr w14:val="tx1"/>
                  </w14:solidFill>
                </w14:textFill>
              </w:rPr>
              <w:t>的编写、数据</w:t>
            </w:r>
            <w:r>
              <w:rPr>
                <w:rFonts w:ascii="Times New Roman" w:cs="Times New Roman"/>
                <w:color w:val="000000" w:themeColor="text1"/>
                <w:kern w:val="2"/>
                <w:sz w:val="18"/>
                <w:szCs w:val="18"/>
                <w14:textFill>
                  <w14:solidFill>
                    <w14:schemeClr w14:val="tx1"/>
                  </w14:solidFill>
                </w14:textFill>
              </w:rPr>
              <w:t>统计</w:t>
            </w:r>
            <w:r>
              <w:rPr>
                <w:rFonts w:hint="eastAsia" w:ascii="Times New Roman" w:cs="Times New Roman"/>
                <w:color w:val="000000" w:themeColor="text1"/>
                <w:kern w:val="2"/>
                <w:sz w:val="18"/>
                <w:szCs w:val="18"/>
                <w14:textFill>
                  <w14:solidFill>
                    <w14:schemeClr w14:val="tx1"/>
                  </w14:solidFill>
                </w14:textFill>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5" w:type="dxa"/>
            <w:vAlign w:val="center"/>
          </w:tcPr>
          <w:p>
            <w:pPr>
              <w:pStyle w:val="81"/>
              <w:numPr>
                <w:ilvl w:val="255"/>
                <w:numId w:val="0"/>
              </w:numPr>
              <w:adjustRightInd w:val="0"/>
              <w:snapToGrid w:val="0"/>
              <w:spacing w:before="0" w:beforeAutospacing="0" w:after="0" w:afterAutospacing="0" w:line="312" w:lineRule="auto"/>
              <w:jc w:val="both"/>
              <w:rPr>
                <w:rFonts w:hint="eastAsia" w:ascii="Times New Roman"/>
                <w:color w:val="000000" w:themeColor="text1"/>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邱长丹</w:t>
            </w:r>
            <w:r>
              <w:rPr>
                <w:rFonts w:ascii="Times New Roman"/>
                <w:color w:val="000000" w:themeColor="text1"/>
                <w:sz w:val="18"/>
                <w:szCs w:val="18"/>
                <w14:textFill>
                  <w14:solidFill>
                    <w14:schemeClr w14:val="tx1"/>
                  </w14:solidFill>
                </w14:textFill>
              </w:rPr>
              <w:t>、王长华</w:t>
            </w:r>
          </w:p>
        </w:tc>
        <w:tc>
          <w:tcPr>
            <w:tcW w:w="6621" w:type="dxa"/>
          </w:tcPr>
          <w:p>
            <w:pPr>
              <w:pStyle w:val="81"/>
              <w:numPr>
                <w:ilvl w:val="255"/>
                <w:numId w:val="0"/>
              </w:numPr>
              <w:adjustRightInd w:val="0"/>
              <w:snapToGrid w:val="0"/>
              <w:spacing w:before="0" w:beforeAutospacing="0" w:after="0" w:afterAutospacing="0" w:line="312" w:lineRule="auto"/>
              <w:jc w:val="both"/>
              <w:rPr>
                <w:rFonts w:ascii="Times New Roman"/>
                <w:color w:val="000000" w:themeColor="text1"/>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组织协调</w:t>
            </w:r>
            <w:r>
              <w:rPr>
                <w:rFonts w:ascii="Times New Roman"/>
                <w:color w:val="000000" w:themeColor="text1"/>
                <w:sz w:val="18"/>
                <w:szCs w:val="18"/>
                <w14:textFill>
                  <w14:solidFill>
                    <w14:schemeClr w14:val="tx1"/>
                  </w14:solidFill>
                </w14:textFill>
              </w:rPr>
              <w:t>并</w:t>
            </w:r>
            <w:r>
              <w:rPr>
                <w:rFonts w:hint="eastAsia" w:ascii="Times New Roman"/>
                <w:color w:val="000000" w:themeColor="text1"/>
                <w:sz w:val="18"/>
                <w:szCs w:val="18"/>
                <w14:textFill>
                  <w14:solidFill>
                    <w14:schemeClr w14:val="tx1"/>
                  </w14:solidFill>
                </w14:textFill>
              </w:rPr>
              <w:t>协助</w:t>
            </w:r>
            <w:r>
              <w:rPr>
                <w:rFonts w:ascii="Times New Roman"/>
                <w:color w:val="000000" w:themeColor="text1"/>
                <w:sz w:val="18"/>
                <w:szCs w:val="18"/>
                <w14:textFill>
                  <w14:solidFill>
                    <w14:schemeClr w14:val="tx1"/>
                  </w14:solidFill>
                </w14:textFill>
              </w:rPr>
              <w:t>完成</w:t>
            </w:r>
            <w:r>
              <w:rPr>
                <w:rFonts w:hint="eastAsia" w:ascii="Times New Roman"/>
                <w:color w:val="000000" w:themeColor="text1"/>
                <w:sz w:val="18"/>
                <w:szCs w:val="18"/>
                <w14:textFill>
                  <w14:solidFill>
                    <w14:schemeClr w14:val="tx1"/>
                  </w14:solidFill>
                </w14:textFill>
              </w:rPr>
              <w:t>ICP-MS</w:t>
            </w:r>
            <w:r>
              <w:rPr>
                <w:rFonts w:ascii="Times New Roman"/>
                <w:color w:val="000000" w:themeColor="text1"/>
                <w:sz w:val="18"/>
                <w:szCs w:val="18"/>
                <w14:textFill>
                  <w14:solidFill>
                    <w14:schemeClr w14:val="tx1"/>
                  </w14:solidFill>
                </w14:textFill>
              </w:rPr>
              <w:t>的相关试验</w:t>
            </w:r>
            <w:r>
              <w:rPr>
                <w:rFonts w:hint="eastAsia" w:ascii="Times New Roman"/>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065" w:type="dxa"/>
            <w:vAlign w:val="center"/>
          </w:tcPr>
          <w:p>
            <w:pPr>
              <w:pStyle w:val="81"/>
              <w:numPr>
                <w:ilvl w:val="255"/>
                <w:numId w:val="0"/>
              </w:numPr>
              <w:adjustRightInd w:val="0"/>
              <w:snapToGrid w:val="0"/>
              <w:spacing w:before="0" w:beforeAutospacing="0" w:after="0" w:afterAutospacing="0" w:line="312" w:lineRule="auto"/>
              <w:jc w:val="both"/>
              <w:rPr>
                <w:rFonts w:hint="eastAsia" w:ascii="Times New Roman"/>
                <w:color w:val="000000" w:themeColor="text1"/>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李娜</w:t>
            </w:r>
            <w:r>
              <w:rPr>
                <w:rFonts w:ascii="Times New Roman"/>
                <w:color w:val="000000" w:themeColor="text1"/>
                <w:sz w:val="18"/>
                <w:szCs w:val="18"/>
                <w14:textFill>
                  <w14:solidFill>
                    <w14:schemeClr w14:val="tx1"/>
                  </w14:solidFill>
                </w14:textFill>
              </w:rPr>
              <w:t>、陈雄飞</w:t>
            </w:r>
          </w:p>
        </w:tc>
        <w:tc>
          <w:tcPr>
            <w:tcW w:w="6621" w:type="dxa"/>
          </w:tcPr>
          <w:p>
            <w:pPr>
              <w:pStyle w:val="81"/>
              <w:numPr>
                <w:ilvl w:val="255"/>
                <w:numId w:val="0"/>
              </w:numPr>
              <w:adjustRightInd w:val="0"/>
              <w:snapToGrid w:val="0"/>
              <w:spacing w:before="0" w:beforeAutospacing="0" w:after="0" w:afterAutospacing="0" w:line="312" w:lineRule="auto"/>
              <w:jc w:val="both"/>
              <w:rPr>
                <w:rFonts w:ascii="Times New Roman"/>
                <w:color w:val="000000" w:themeColor="text1"/>
                <w:sz w:val="18"/>
                <w:szCs w:val="18"/>
                <w14:textFill>
                  <w14:solidFill>
                    <w14:schemeClr w14:val="tx1"/>
                  </w14:solidFill>
                </w14:textFill>
              </w:rPr>
            </w:pPr>
            <w:r>
              <w:rPr>
                <w:rFonts w:ascii="Times New Roman" w:cs="Times New Roman"/>
                <w:color w:val="000000" w:themeColor="text1"/>
                <w:kern w:val="2"/>
                <w:sz w:val="18"/>
                <w:szCs w:val="18"/>
                <w14:textFill>
                  <w14:solidFill>
                    <w14:schemeClr w14:val="tx1"/>
                  </w14:solidFill>
                </w14:textFill>
              </w:rPr>
              <w:t>对标准文本进行了审查，并提供了相关的技术指导</w:t>
            </w:r>
            <w:r>
              <w:rPr>
                <w:rFonts w:hint="eastAsia" w:ascii="Times New Roman" w:cs="Times New Roman"/>
                <w:color w:val="000000" w:themeColor="text1"/>
                <w:kern w:val="2"/>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5" w:type="dxa"/>
            <w:vAlign w:val="center"/>
          </w:tcPr>
          <w:p>
            <w:pPr>
              <w:pStyle w:val="81"/>
              <w:numPr>
                <w:ilvl w:val="255"/>
                <w:numId w:val="0"/>
              </w:numPr>
              <w:adjustRightInd w:val="0"/>
              <w:snapToGrid w:val="0"/>
              <w:spacing w:before="0" w:beforeAutospacing="0" w:after="0" w:afterAutospacing="0" w:line="312" w:lineRule="auto"/>
              <w:jc w:val="both"/>
              <w:rPr>
                <w:rFonts w:ascii="Times New Roman"/>
                <w:color w:val="000000" w:themeColor="text1"/>
                <w:sz w:val="18"/>
                <w:szCs w:val="18"/>
                <w14:textFill>
                  <w14:solidFill>
                    <w14:schemeClr w14:val="tx1"/>
                  </w14:solidFill>
                </w14:textFill>
              </w:rPr>
            </w:pPr>
            <w:r>
              <w:rPr>
                <w:rFonts w:hint="eastAsia" w:ascii="Times New Roman" w:cs="Times New Roman"/>
                <w:color w:val="000000" w:themeColor="text1"/>
                <w:kern w:val="2"/>
                <w:sz w:val="18"/>
                <w:szCs w:val="18"/>
                <w14:textFill>
                  <w14:solidFill>
                    <w14:schemeClr w14:val="tx1"/>
                  </w14:solidFill>
                </w14:textFill>
              </w:rPr>
              <w:t>汪澜</w:t>
            </w:r>
          </w:p>
        </w:tc>
        <w:tc>
          <w:tcPr>
            <w:tcW w:w="6621" w:type="dxa"/>
          </w:tcPr>
          <w:p>
            <w:pPr>
              <w:pStyle w:val="81"/>
              <w:numPr>
                <w:ilvl w:val="255"/>
                <w:numId w:val="0"/>
              </w:numPr>
              <w:adjustRightInd w:val="0"/>
              <w:snapToGrid w:val="0"/>
              <w:spacing w:before="0" w:beforeAutospacing="0" w:after="0" w:afterAutospacing="0" w:line="312" w:lineRule="auto"/>
              <w:jc w:val="both"/>
              <w:rPr>
                <w:rFonts w:ascii="Times New Roman"/>
                <w:color w:val="000000" w:themeColor="text1"/>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负责</w:t>
            </w:r>
            <w:r>
              <w:rPr>
                <w:rFonts w:ascii="Times New Roman"/>
                <w:color w:val="000000" w:themeColor="text1"/>
                <w:sz w:val="18"/>
                <w:szCs w:val="18"/>
                <w14:textFill>
                  <w14:solidFill>
                    <w14:schemeClr w14:val="tx1"/>
                  </w14:solidFill>
                </w14:textFill>
              </w:rPr>
              <w:t>方法</w:t>
            </w:r>
            <w:r>
              <w:rPr>
                <w:rFonts w:hint="eastAsia" w:ascii="Times New Roman"/>
                <w:color w:val="000000" w:themeColor="text1"/>
                <w:sz w:val="18"/>
                <w:szCs w:val="18"/>
                <w14:textFill>
                  <w14:solidFill>
                    <w14:schemeClr w14:val="tx1"/>
                  </w14:solidFill>
                </w14:textFill>
              </w:rPr>
              <w:t>一验工作</w:t>
            </w:r>
            <w:r>
              <w:rPr>
                <w:rFonts w:ascii="Times New Roman"/>
                <w:color w:val="000000" w:themeColor="text1"/>
                <w:sz w:val="18"/>
                <w:szCs w:val="18"/>
                <w14:textFill>
                  <w14:solidFill>
                    <w14:schemeClr w14:val="tx1"/>
                  </w14:solidFill>
                </w14:textFill>
              </w:rPr>
              <w:t>，对</w:t>
            </w:r>
            <w:r>
              <w:rPr>
                <w:rFonts w:hint="eastAsia" w:ascii="Times New Roman"/>
                <w:color w:val="000000" w:themeColor="text1"/>
                <w:sz w:val="18"/>
                <w:szCs w:val="18"/>
                <w14:textFill>
                  <w14:solidFill>
                    <w14:schemeClr w14:val="tx1"/>
                  </w14:solidFill>
                </w14:textFill>
              </w:rPr>
              <w:t>ICP-</w:t>
            </w:r>
            <w:r>
              <w:rPr>
                <w:rFonts w:ascii="Times New Roman"/>
                <w:color w:val="000000" w:themeColor="text1"/>
                <w:sz w:val="18"/>
                <w:szCs w:val="18"/>
                <w14:textFill>
                  <w14:solidFill>
                    <w14:schemeClr w14:val="tx1"/>
                  </w14:solidFill>
                </w14:textFill>
              </w:rPr>
              <w:t>MS</w:t>
            </w:r>
            <w:r>
              <w:rPr>
                <w:rFonts w:hint="eastAsia" w:ascii="Times New Roman"/>
                <w:color w:val="000000" w:themeColor="text1"/>
                <w:sz w:val="18"/>
                <w:szCs w:val="18"/>
                <w14:textFill>
                  <w14:solidFill>
                    <w14:schemeClr w14:val="tx1"/>
                  </w14:solidFill>
                </w14:textFill>
              </w:rPr>
              <w:t>的</w:t>
            </w:r>
            <w:r>
              <w:rPr>
                <w:rFonts w:ascii="Times New Roman"/>
                <w:color w:val="000000" w:themeColor="text1"/>
                <w:sz w:val="18"/>
                <w:szCs w:val="18"/>
                <w14:textFill>
                  <w14:solidFill>
                    <w14:schemeClr w14:val="tx1"/>
                  </w14:solidFill>
                </w14:textFill>
              </w:rPr>
              <w:t>条件实验进行了验证，并完成精密度</w:t>
            </w:r>
            <w:r>
              <w:rPr>
                <w:rFonts w:hint="eastAsia" w:ascii="Times New Roman"/>
                <w:color w:val="000000" w:themeColor="text1"/>
                <w:sz w:val="18"/>
                <w:szCs w:val="18"/>
                <w14:textFill>
                  <w14:solidFill>
                    <w14:schemeClr w14:val="tx1"/>
                  </w14:solidFill>
                </w14:textFill>
              </w:rPr>
              <w:t>原始</w:t>
            </w:r>
            <w:r>
              <w:rPr>
                <w:rFonts w:ascii="Times New Roman"/>
                <w:color w:val="000000" w:themeColor="text1"/>
                <w:sz w:val="18"/>
                <w:szCs w:val="18"/>
                <w14:textFill>
                  <w14:solidFill>
                    <w14:schemeClr w14:val="tx1"/>
                  </w14:solidFill>
                </w14:textFill>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5" w:type="dxa"/>
            <w:vAlign w:val="center"/>
          </w:tcPr>
          <w:p>
            <w:pPr>
              <w:pStyle w:val="81"/>
              <w:numPr>
                <w:ilvl w:val="255"/>
                <w:numId w:val="0"/>
              </w:numPr>
              <w:adjustRightInd w:val="0"/>
              <w:snapToGrid w:val="0"/>
              <w:spacing w:before="0" w:beforeAutospacing="0" w:after="0" w:afterAutospacing="0" w:line="312" w:lineRule="auto"/>
              <w:jc w:val="both"/>
              <w:rPr>
                <w:rFonts w:ascii="Times New Roman" w:cs="Times New Roman"/>
                <w:color w:val="000000" w:themeColor="text1"/>
                <w:kern w:val="2"/>
                <w:sz w:val="18"/>
                <w:szCs w:val="18"/>
                <w14:textFill>
                  <w14:solidFill>
                    <w14:schemeClr w14:val="tx1"/>
                  </w14:solidFill>
                </w14:textFill>
              </w:rPr>
            </w:pPr>
            <w:r>
              <w:rPr>
                <w:rFonts w:hint="eastAsia" w:ascii="Times New Roman" w:cs="Times New Roman"/>
                <w:color w:val="000000" w:themeColor="text1"/>
                <w:kern w:val="2"/>
                <w:sz w:val="18"/>
                <w:szCs w:val="18"/>
                <w14:textFill>
                  <w14:solidFill>
                    <w14:schemeClr w14:val="tx1"/>
                  </w14:solidFill>
                </w14:textFill>
              </w:rPr>
              <w:t>石</w:t>
            </w:r>
            <w:r>
              <w:rPr>
                <w:rFonts w:ascii="Times New Roman" w:cs="Times New Roman"/>
                <w:color w:val="000000" w:themeColor="text1"/>
                <w:kern w:val="2"/>
                <w:sz w:val="18"/>
                <w:szCs w:val="18"/>
                <w14:textFill>
                  <w14:solidFill>
                    <w14:schemeClr w14:val="tx1"/>
                  </w14:solidFill>
                </w14:textFill>
              </w:rPr>
              <w:t>志霞</w:t>
            </w:r>
          </w:p>
        </w:tc>
        <w:tc>
          <w:tcPr>
            <w:tcW w:w="6621" w:type="dxa"/>
          </w:tcPr>
          <w:p>
            <w:pPr>
              <w:pStyle w:val="81"/>
              <w:numPr>
                <w:ilvl w:val="255"/>
                <w:numId w:val="0"/>
              </w:numPr>
              <w:adjustRightInd w:val="0"/>
              <w:snapToGrid w:val="0"/>
              <w:spacing w:before="0" w:beforeAutospacing="0" w:after="0" w:afterAutospacing="0" w:line="312" w:lineRule="auto"/>
              <w:jc w:val="both"/>
              <w:rPr>
                <w:rFonts w:ascii="Times New Roman"/>
                <w:color w:val="000000" w:themeColor="text1"/>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负责生产</w:t>
            </w:r>
            <w:r>
              <w:rPr>
                <w:rFonts w:ascii="Times New Roman"/>
                <w:color w:val="000000" w:themeColor="text1"/>
                <w:sz w:val="18"/>
                <w:szCs w:val="18"/>
                <w14:textFill>
                  <w14:solidFill>
                    <w14:schemeClr w14:val="tx1"/>
                  </w14:solidFill>
                </w14:textFill>
              </w:rPr>
              <w:t>氧化锆</w:t>
            </w:r>
            <w:r>
              <w:rPr>
                <w:rFonts w:hint="eastAsia" w:ascii="Times New Roman"/>
                <w:color w:val="000000" w:themeColor="text1"/>
                <w:sz w:val="18"/>
                <w:szCs w:val="18"/>
                <w14:textFill>
                  <w14:solidFill>
                    <w14:schemeClr w14:val="tx1"/>
                  </w14:solidFill>
                </w14:textFill>
              </w:rPr>
              <w:t>公共</w:t>
            </w:r>
            <w:r>
              <w:rPr>
                <w:rFonts w:ascii="Times New Roman"/>
                <w:color w:val="000000" w:themeColor="text1"/>
                <w:sz w:val="18"/>
                <w:szCs w:val="18"/>
                <w14:textFill>
                  <w14:solidFill>
                    <w14:schemeClr w14:val="tx1"/>
                  </w14:solidFill>
                </w14:textFill>
              </w:rPr>
              <w:t>样品</w:t>
            </w:r>
            <w:r>
              <w:rPr>
                <w:rFonts w:hint="eastAsia" w:ascii="Times New Roman"/>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5" w:type="dxa"/>
            <w:vAlign w:val="center"/>
          </w:tcPr>
          <w:p>
            <w:pPr>
              <w:pStyle w:val="81"/>
              <w:numPr>
                <w:ilvl w:val="255"/>
                <w:numId w:val="0"/>
              </w:numPr>
              <w:adjustRightInd w:val="0"/>
              <w:snapToGrid w:val="0"/>
              <w:spacing w:before="0" w:beforeAutospacing="0" w:after="0" w:afterAutospacing="0" w:line="312" w:lineRule="auto"/>
              <w:jc w:val="both"/>
              <w:rPr>
                <w:rFonts w:ascii="Times New Roman" w:cs="Times New Roman"/>
                <w:color w:val="000000" w:themeColor="text1"/>
                <w:kern w:val="2"/>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任洁、顾续盛、刘朝方、王津</w:t>
            </w:r>
          </w:p>
        </w:tc>
        <w:tc>
          <w:tcPr>
            <w:tcW w:w="6621" w:type="dxa"/>
            <w:vAlign w:val="center"/>
          </w:tcPr>
          <w:p>
            <w:pPr>
              <w:pStyle w:val="81"/>
              <w:numPr>
                <w:ilvl w:val="255"/>
                <w:numId w:val="0"/>
              </w:numPr>
              <w:adjustRightInd w:val="0"/>
              <w:snapToGrid w:val="0"/>
              <w:spacing w:before="0" w:beforeAutospacing="0" w:after="0" w:afterAutospacing="0" w:line="312" w:lineRule="auto"/>
              <w:jc w:val="both"/>
              <w:rPr>
                <w:rFonts w:ascii="Times New Roman" w:cs="Times New Roman"/>
                <w:color w:val="000000" w:themeColor="text1"/>
                <w:kern w:val="2"/>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负责</w:t>
            </w:r>
            <w:r>
              <w:rPr>
                <w:rFonts w:ascii="Times New Roman"/>
                <w:color w:val="000000" w:themeColor="text1"/>
                <w:sz w:val="18"/>
                <w:szCs w:val="18"/>
                <w14:textFill>
                  <w14:solidFill>
                    <w14:schemeClr w14:val="tx1"/>
                  </w14:solidFill>
                </w14:textFill>
              </w:rPr>
              <w:t>二验，提供了精密度</w:t>
            </w:r>
            <w:r>
              <w:rPr>
                <w:rFonts w:hint="eastAsia" w:ascii="Times New Roman"/>
                <w:color w:val="000000" w:themeColor="text1"/>
                <w:sz w:val="18"/>
                <w:szCs w:val="18"/>
                <w14:textFill>
                  <w14:solidFill>
                    <w14:schemeClr w14:val="tx1"/>
                  </w14:solidFill>
                </w14:textFill>
              </w:rPr>
              <w:t>原始</w:t>
            </w:r>
            <w:r>
              <w:rPr>
                <w:rFonts w:ascii="Times New Roman"/>
                <w:color w:val="000000" w:themeColor="text1"/>
                <w:sz w:val="18"/>
                <w:szCs w:val="18"/>
                <w14:textFill>
                  <w14:solidFill>
                    <w14:schemeClr w14:val="tx1"/>
                  </w14:solidFill>
                </w14:textFill>
              </w:rPr>
              <w:t>数据</w:t>
            </w:r>
            <w:r>
              <w:rPr>
                <w:rFonts w:hint="eastAsia" w:ascii="Times New Roman"/>
                <w:color w:val="000000" w:themeColor="text1"/>
                <w:sz w:val="18"/>
                <w:szCs w:val="18"/>
                <w14:textFill>
                  <w14:solidFill>
                    <w14:schemeClr w14:val="tx1"/>
                  </w14:solidFill>
                </w14:textFill>
              </w:rPr>
              <w:t>。</w:t>
            </w:r>
          </w:p>
        </w:tc>
      </w:tr>
    </w:tbl>
    <w:p>
      <w:pPr>
        <w:pStyle w:val="120"/>
        <w:tabs>
          <w:tab w:val="clear" w:pos="675"/>
        </w:tabs>
        <w:spacing w:before="156" w:beforeLines="50" w:after="156" w:afterLines="50" w:line="312" w:lineRule="auto"/>
        <w:ind w:left="0" w:firstLine="0"/>
        <w:rPr>
          <w:rFonts w:hAnsi="黑体"/>
        </w:rPr>
      </w:pPr>
      <w:r>
        <w:rPr>
          <w:rFonts w:hint="eastAsia" w:hAnsi="黑体"/>
        </w:rPr>
        <w:t>3、主要工作过程</w:t>
      </w:r>
    </w:p>
    <w:p>
      <w:pPr>
        <w:spacing w:before="156" w:beforeLines="50" w:after="156" w:afterLines="50" w:line="312" w:lineRule="auto"/>
        <w:rPr>
          <w:rFonts w:ascii="黑体" w:hAnsi="黑体" w:eastAsia="黑体"/>
        </w:rPr>
      </w:pPr>
      <w:r>
        <w:rPr>
          <w:rFonts w:ascii="黑体" w:hAnsi="黑体" w:eastAsia="黑体"/>
        </w:rPr>
        <w:t>3.</w:t>
      </w:r>
      <w:r>
        <w:rPr>
          <w:rFonts w:hint="eastAsia" w:ascii="黑体" w:hAnsi="黑体" w:eastAsia="黑体"/>
        </w:rPr>
        <w:t>1 立项阶段</w:t>
      </w:r>
    </w:p>
    <w:p>
      <w:pPr>
        <w:spacing w:before="156" w:beforeLines="50" w:after="156" w:afterLines="50" w:line="312" w:lineRule="auto"/>
        <w:ind w:firstLine="420" w:firstLineChars="200"/>
        <w:rPr>
          <w:rFonts w:ascii="黑体" w:hAnsi="黑体" w:eastAsia="黑体"/>
        </w:rPr>
      </w:pPr>
      <w:r>
        <w:rPr>
          <w:rFonts w:hint="eastAsia" w:ascii="黑体" w:hAnsi="黑体" w:eastAsia="黑体"/>
        </w:rPr>
        <w:t>2019年4月</w:t>
      </w:r>
      <w:r>
        <w:rPr>
          <w:rFonts w:ascii="黑体" w:hAnsi="黑体" w:eastAsia="黑体"/>
        </w:rPr>
        <w:t>，</w:t>
      </w:r>
      <w:r>
        <w:rPr>
          <w:rFonts w:hint="eastAsia"/>
        </w:rPr>
        <w:t>国合通用测试评价认证股份公司向全国有色金属标准化技术委员会提交</w:t>
      </w:r>
      <w:r>
        <w:t>了《</w:t>
      </w:r>
      <w:r>
        <w:rPr>
          <w:rFonts w:hint="eastAsia"/>
        </w:rPr>
        <w:t>氧化锆、氧化铪化学分析方法  第12部分</w:t>
      </w:r>
      <w:r>
        <w:t>：</w:t>
      </w:r>
      <w:r>
        <w:rPr>
          <w:rFonts w:hint="eastAsia"/>
        </w:rPr>
        <w:t>氧化锆中硼、钠、镁、铝、硅、钙、钛、钒、铬、锰、铁、钴、镍、铜、锌、钼、镉、铪、铅、铋含量的测定  电感耦合等离子体质谱法</w:t>
      </w:r>
      <w:r>
        <w:t>》</w:t>
      </w:r>
      <w:r>
        <w:rPr>
          <w:rFonts w:hint="eastAsia"/>
        </w:rPr>
        <w:t>行业</w:t>
      </w:r>
      <w:r>
        <w:t>标准项目建议书、标准草案及项目论证报告</w:t>
      </w:r>
      <w:r>
        <w:rPr>
          <w:rFonts w:hint="eastAsia"/>
        </w:rPr>
        <w:t>等</w:t>
      </w:r>
      <w:r>
        <w:t>申报材料，</w:t>
      </w:r>
      <w:r>
        <w:rPr>
          <w:rFonts w:hint="eastAsia"/>
        </w:rPr>
        <w:t>并于稀有分标委</w:t>
      </w:r>
      <w:r>
        <w:t>会议</w:t>
      </w:r>
      <w:r>
        <w:rPr>
          <w:rFonts w:hint="eastAsia"/>
        </w:rPr>
        <w:t>进行</w:t>
      </w:r>
      <w:r>
        <w:t>现场答辩。经</w:t>
      </w:r>
      <w:r>
        <w:rPr>
          <w:rFonts w:hint="eastAsia"/>
        </w:rPr>
        <w:t>分标委</w:t>
      </w:r>
      <w:r>
        <w:t>委员讨论、同意后，由秘书处上报</w:t>
      </w:r>
      <w:r>
        <w:rPr>
          <w:rFonts w:hint="eastAsia"/>
        </w:rPr>
        <w:t>。</w:t>
      </w:r>
      <w:r>
        <w:rPr>
          <w:rFonts w:hAnsi="宋体"/>
          <w:szCs w:val="20"/>
        </w:rPr>
        <w:t>2019年12月，工业和信息化部下达工信厅科函</w:t>
      </w:r>
      <w:r>
        <w:rPr>
          <w:rFonts w:hint="eastAsia" w:hAnsi="宋体"/>
          <w:szCs w:val="20"/>
        </w:rPr>
        <w:t xml:space="preserve"> [</w:t>
      </w:r>
      <w:r>
        <w:rPr>
          <w:rFonts w:hAnsi="宋体"/>
          <w:szCs w:val="20"/>
        </w:rPr>
        <w:t xml:space="preserve"> 2019 </w:t>
      </w:r>
      <w:r>
        <w:rPr>
          <w:rFonts w:hint="eastAsia" w:hAnsi="宋体"/>
          <w:szCs w:val="20"/>
        </w:rPr>
        <w:t>]</w:t>
      </w:r>
      <w:r>
        <w:rPr>
          <w:rFonts w:hAnsi="宋体"/>
          <w:szCs w:val="20"/>
        </w:rPr>
        <w:t xml:space="preserve"> 276号文件，</w:t>
      </w:r>
      <w:r>
        <w:rPr>
          <w:rFonts w:hint="eastAsia" w:hAnsi="宋体"/>
          <w:szCs w:val="20"/>
        </w:rPr>
        <w:t>正式批复本项目，</w:t>
      </w:r>
      <w:r>
        <w:rPr>
          <w:rFonts w:hAnsi="宋体"/>
          <w:szCs w:val="20"/>
        </w:rPr>
        <w:t>项目计划编号为2019-1743T-YS，完成年限2021年。</w:t>
      </w:r>
    </w:p>
    <w:p>
      <w:pPr>
        <w:spacing w:before="156" w:beforeLines="50" w:after="156" w:afterLines="50" w:line="312" w:lineRule="auto"/>
        <w:rPr>
          <w:rFonts w:ascii="黑体" w:hAnsi="黑体" w:eastAsia="黑体"/>
        </w:rPr>
      </w:pPr>
      <w:r>
        <w:rPr>
          <w:rFonts w:ascii="黑体" w:hAnsi="黑体" w:eastAsia="黑体"/>
        </w:rPr>
        <w:t>3.2</w:t>
      </w:r>
      <w:r>
        <w:rPr>
          <w:rFonts w:hint="eastAsia" w:ascii="黑体" w:hAnsi="黑体" w:eastAsia="黑体"/>
        </w:rPr>
        <w:t xml:space="preserve"> 起草阶段</w:t>
      </w:r>
    </w:p>
    <w:p>
      <w:pPr>
        <w:spacing w:line="300" w:lineRule="auto"/>
        <w:rPr>
          <w:rFonts w:ascii="黑体" w:hAnsi="黑体" w:eastAsia="黑体"/>
        </w:rPr>
      </w:pPr>
      <w:r>
        <w:rPr>
          <w:rFonts w:hint="eastAsia" w:ascii="黑体" w:hAnsi="黑体" w:eastAsia="黑体"/>
        </w:rPr>
        <w:t>（1）任务落实</w:t>
      </w:r>
    </w:p>
    <w:p>
      <w:pPr>
        <w:spacing w:line="300" w:lineRule="auto"/>
        <w:ind w:firstLine="420"/>
      </w:pPr>
      <w:r>
        <w:t>2020</w:t>
      </w:r>
      <w:r>
        <w:rPr>
          <w:rFonts w:hint="eastAsia"/>
        </w:rPr>
        <w:t>年</w:t>
      </w:r>
      <w:r>
        <w:t>7</w:t>
      </w:r>
      <w:r>
        <w:rPr>
          <w:rFonts w:hint="eastAsia"/>
        </w:rPr>
        <w:t>月</w:t>
      </w:r>
      <w:r>
        <w:t>17</w:t>
      </w:r>
      <w:r>
        <w:rPr>
          <w:rFonts w:hint="eastAsia"/>
        </w:rPr>
        <w:t>日全国有色金属标准化技术委员会召开网络会议，对本项目进行任务落实。会议确定负责起草单位为国合通用测试评价认证股份有限公司；</w:t>
      </w:r>
      <w:r>
        <w:rPr>
          <w:rFonts w:hint="eastAsia"/>
          <w:szCs w:val="21"/>
        </w:rPr>
        <w:t>国核锆铪理化检测有限公司</w:t>
      </w:r>
      <w:r>
        <w:rPr>
          <w:rFonts w:hint="eastAsia"/>
        </w:rPr>
        <w:t>、</w:t>
      </w:r>
      <w:r>
        <w:rPr>
          <w:rFonts w:hint="eastAsia"/>
          <w:szCs w:val="21"/>
        </w:rPr>
        <w:t>西部新锆核材料科技有限公司、国合通用（青岛）测试评价</w:t>
      </w:r>
      <w:r>
        <w:rPr>
          <w:rFonts w:hint="eastAsia"/>
        </w:rPr>
        <w:t>有限公司、有研亿金新材料有限公司、广东省工业分析检测中心等</w:t>
      </w:r>
      <w:r>
        <w:t>5</w:t>
      </w:r>
      <w:r>
        <w:rPr>
          <w:rFonts w:hint="eastAsia"/>
        </w:rPr>
        <w:t>家单位参与本方法的验证；有研资源环境技术研究院（北京）有限公司提出为本项目提供公共试验用样品。会议确定了项目的时间进度安排，预计：</w:t>
      </w:r>
      <w:r>
        <w:t>2020</w:t>
      </w:r>
      <w:r>
        <w:rPr>
          <w:rFonts w:hint="eastAsia"/>
        </w:rPr>
        <w:t>年</w:t>
      </w:r>
      <w:r>
        <w:t>11</w:t>
      </w:r>
      <w:r>
        <w:rPr>
          <w:rFonts w:hint="eastAsia"/>
        </w:rPr>
        <w:t>月起草单位完成实验工作，形成讨论稿，并将研究报告及样品发送各验证单位；</w:t>
      </w:r>
      <w:r>
        <w:t>2021</w:t>
      </w:r>
      <w:r>
        <w:rPr>
          <w:rFonts w:hint="eastAsia"/>
        </w:rPr>
        <w:t>年</w:t>
      </w:r>
      <w:r>
        <w:t>7</w:t>
      </w:r>
      <w:r>
        <w:rPr>
          <w:rFonts w:hint="eastAsia"/>
        </w:rPr>
        <w:t>月召开预审会；</w:t>
      </w:r>
      <w:r>
        <w:t>2021</w:t>
      </w:r>
      <w:r>
        <w:rPr>
          <w:rFonts w:hint="eastAsia"/>
        </w:rPr>
        <w:t>年</w:t>
      </w:r>
      <w:r>
        <w:t>9</w:t>
      </w:r>
      <w:r>
        <w:rPr>
          <w:rFonts w:hint="eastAsia"/>
        </w:rPr>
        <w:t>月召开审定会。</w:t>
      </w:r>
    </w:p>
    <w:p>
      <w:pPr>
        <w:spacing w:line="300" w:lineRule="auto"/>
        <w:rPr>
          <w:rFonts w:ascii="黑体" w:hAnsi="黑体" w:eastAsia="黑体"/>
        </w:rPr>
      </w:pPr>
      <w:r>
        <w:rPr>
          <w:rFonts w:hint="eastAsia" w:ascii="黑体" w:hAnsi="黑体" w:eastAsia="黑体"/>
        </w:rPr>
        <w:t>（2）样品收集及试验研究</w:t>
      </w:r>
    </w:p>
    <w:p>
      <w:pPr>
        <w:spacing w:line="300" w:lineRule="auto"/>
      </w:pPr>
      <w:r>
        <w:tab/>
      </w:r>
      <w:r>
        <w:rPr>
          <w:rFonts w:hint="eastAsia"/>
        </w:rPr>
        <w:t>国合通用测试评价认证股份有限公司接受任务后，成立了</w:t>
      </w:r>
      <w:r>
        <w:t>YS/T 568.12</w:t>
      </w:r>
      <w:r>
        <w:rPr>
          <w:rFonts w:hint="eastAsia"/>
        </w:rPr>
        <w:t>《氧化锆、氧化铪化学分析方法》研发小组。</w:t>
      </w:r>
      <w:r>
        <w:t>2020</w:t>
      </w:r>
      <w:r>
        <w:rPr>
          <w:rFonts w:hint="eastAsia"/>
        </w:rPr>
        <w:t>年</w:t>
      </w:r>
      <w:r>
        <w:t>8</w:t>
      </w:r>
      <w:r>
        <w:rPr>
          <w:rFonts w:hint="eastAsia"/>
        </w:rPr>
        <w:t>月，有研资源环境技术研究院（北京）有限公司及</w:t>
      </w:r>
      <w:r>
        <w:rPr>
          <w:rFonts w:hint="eastAsia"/>
          <w:szCs w:val="21"/>
        </w:rPr>
        <w:t>国核锆铪理化检测有限公司</w:t>
      </w:r>
      <w:r>
        <w:rPr>
          <w:rFonts w:hint="eastAsia"/>
        </w:rPr>
        <w:t>将氧化锆公共样品寄送到国合通用测试评价认证股份有限公司。</w:t>
      </w:r>
    </w:p>
    <w:p>
      <w:pPr>
        <w:spacing w:line="300" w:lineRule="auto"/>
        <w:ind w:firstLine="540"/>
      </w:pPr>
      <w:r>
        <w:rPr>
          <w:rFonts w:hint="eastAsia"/>
        </w:rPr>
        <w:t>编制组人员对样品溶解、测试参数等条件实验进行摸索、优化。</w:t>
      </w:r>
      <w:r>
        <w:t>2020</w:t>
      </w:r>
      <w:r>
        <w:rPr>
          <w:rFonts w:hint="eastAsia"/>
        </w:rPr>
        <w:t>年</w:t>
      </w:r>
      <w:r>
        <w:t>9</w:t>
      </w:r>
      <w:r>
        <w:rPr>
          <w:rFonts w:hint="eastAsia"/>
        </w:rPr>
        <w:t>月，国合通用测试评价认证股份有限公司对实验数据进行整理，完成了方法的《试验报告》并提出</w:t>
      </w:r>
      <w:r>
        <w:t xml:space="preserve">YS/T 568.12 </w:t>
      </w:r>
      <w:r>
        <w:rPr>
          <w:rFonts w:hint="eastAsia"/>
        </w:rPr>
        <w:t>《氧化锆、氧化铪化学分析方法</w:t>
      </w:r>
      <w:r>
        <w:t xml:space="preserve"> </w:t>
      </w:r>
      <w:r>
        <w:rPr>
          <w:rFonts w:hint="eastAsia"/>
        </w:rPr>
        <w:t>第12部分</w:t>
      </w:r>
      <w:r>
        <w:t>：</w:t>
      </w:r>
      <w:r>
        <w:rPr>
          <w:rFonts w:hint="eastAsia"/>
        </w:rPr>
        <w:t>氧化锆中硼、钠、镁、铝、硅、钙、钛、钒、铬、锰、铁、钴、镍、铜、锌、钼、镉、铪、铅、铋含量的测定</w:t>
      </w:r>
      <w:r>
        <w:t xml:space="preserve">  </w:t>
      </w:r>
      <w:r>
        <w:rPr>
          <w:rFonts w:hint="eastAsia"/>
        </w:rPr>
        <w:t>电感耦合等离子体质谱法》（讨论稿）。</w:t>
      </w:r>
    </w:p>
    <w:p>
      <w:pPr>
        <w:spacing w:line="300" w:lineRule="auto"/>
        <w:rPr>
          <w:rFonts w:ascii="黑体" w:hAnsi="黑体" w:eastAsia="黑体"/>
        </w:rPr>
      </w:pPr>
      <w:r>
        <w:rPr>
          <w:rFonts w:hint="eastAsia" w:ascii="黑体" w:hAnsi="黑体" w:eastAsia="黑体"/>
        </w:rPr>
        <w:t>（3）验证单位验证</w:t>
      </w:r>
    </w:p>
    <w:p>
      <w:pPr>
        <w:spacing w:line="300" w:lineRule="auto"/>
        <w:ind w:firstLine="420"/>
      </w:pPr>
      <w:r>
        <w:rPr>
          <w:rFonts w:hint="eastAsia"/>
        </w:rPr>
        <w:t>起草单位</w:t>
      </w:r>
      <w:r>
        <w:t>9</w:t>
      </w:r>
      <w:r>
        <w:rPr>
          <w:rFonts w:hint="eastAsia"/>
        </w:rPr>
        <w:t>月底将样品和方法研究报告邮寄给各验证单位进行数据的验证工作。各验证单位广泛提出意见。截止</w:t>
      </w:r>
      <w:r>
        <w:t>2020</w:t>
      </w:r>
      <w:r>
        <w:rPr>
          <w:rFonts w:hint="eastAsia"/>
        </w:rPr>
        <w:t>年</w:t>
      </w:r>
      <w:r>
        <w:t>12</w:t>
      </w:r>
      <w:r>
        <w:rPr>
          <w:rFonts w:hint="eastAsia"/>
        </w:rPr>
        <w:t>月，各验证单位陆续完成标准的验证工作并返回验证报告。汇总各验证单位的意见，主要有以下几个方面：</w:t>
      </w:r>
    </w:p>
    <w:p>
      <w:pPr>
        <w:spacing w:line="300" w:lineRule="auto"/>
        <w:ind w:firstLine="420" w:firstLineChars="200"/>
      </w:pPr>
      <w:r>
        <w:t>1</w:t>
      </w:r>
      <w:r>
        <w:rPr>
          <w:rFonts w:hint="eastAsia"/>
        </w:rPr>
        <w:t>）</w:t>
      </w:r>
      <w:r>
        <w:t>“当质量分数</w:t>
      </w:r>
      <w:r>
        <w:rPr>
          <w:kern w:val="0"/>
        </w:rPr>
        <w:t>＜</w:t>
      </w:r>
      <w:r>
        <w:t>0.0010%时，</w:t>
      </w:r>
      <w:r>
        <w:rPr>
          <w:rFonts w:hint="eastAsia"/>
        </w:rPr>
        <w:t>计算结果</w:t>
      </w:r>
      <w:r>
        <w:t>保留1位有效数字；质量分数</w:t>
      </w:r>
      <w:r>
        <w:rPr>
          <w:rFonts w:hint="eastAsia" w:ascii="宋体" w:hAnsi="宋体"/>
          <w:szCs w:val="21"/>
        </w:rPr>
        <w:t>≥</w:t>
      </w:r>
      <w:r>
        <w:t>0.0010%时</w:t>
      </w:r>
      <w:r>
        <w:rPr>
          <w:rFonts w:hint="eastAsia"/>
        </w:rPr>
        <w:t>，</w:t>
      </w:r>
      <w:r>
        <w:t>保留两位有效数字</w:t>
      </w:r>
      <w:r>
        <w:rPr>
          <w:spacing w:val="6"/>
        </w:rPr>
        <w:t>。</w:t>
      </w:r>
      <w:r>
        <w:rPr>
          <w:rFonts w:hint="eastAsia"/>
        </w:rPr>
        <w:t>”建议修改为“</w:t>
      </w:r>
      <w:r>
        <w:t>当质量分数&lt;0.0010%时，计算结果保留</w:t>
      </w:r>
      <w:r>
        <w:rPr>
          <w:rFonts w:hint="eastAsia"/>
        </w:rPr>
        <w:t>至小数点后第4位”。要</w:t>
      </w:r>
      <w:r>
        <w:t>表达的意思基本一致，为保持前后一致，暂时不做改动，增加</w:t>
      </w:r>
      <w:r>
        <w:rPr>
          <w:rFonts w:hint="eastAsia"/>
        </w:rPr>
        <w:t>“</w:t>
      </w:r>
      <w:r>
        <w:rPr>
          <w:rFonts w:hint="eastAsia"/>
          <w:spacing w:val="6"/>
        </w:rPr>
        <w:t>数值修约按照GB/T</w:t>
      </w:r>
      <w:r>
        <w:rPr>
          <w:spacing w:val="6"/>
        </w:rPr>
        <w:t xml:space="preserve"> </w:t>
      </w:r>
      <w:r>
        <w:rPr>
          <w:rFonts w:hint="eastAsia"/>
          <w:spacing w:val="6"/>
        </w:rPr>
        <w:t>8170规定执行</w:t>
      </w:r>
      <w:r>
        <w:rPr>
          <w:rFonts w:hint="eastAsia"/>
        </w:rPr>
        <w:t>”</w:t>
      </w:r>
      <w:r>
        <w:rPr>
          <w:rFonts w:hint="eastAsia"/>
          <w:spacing w:val="6"/>
        </w:rPr>
        <w:t>；</w:t>
      </w:r>
    </w:p>
    <w:p>
      <w:pPr>
        <w:spacing w:line="300" w:lineRule="auto"/>
        <w:ind w:firstLine="420" w:firstLineChars="200"/>
      </w:pPr>
      <w:r>
        <w:t>2</w:t>
      </w:r>
      <w:r>
        <w:rPr>
          <w:rFonts w:hint="eastAsia"/>
        </w:rPr>
        <w:t>）内标</w:t>
      </w:r>
      <w:r>
        <w:t>元素加入方法可以为在线方式</w:t>
      </w:r>
      <w:r>
        <w:rPr>
          <w:rFonts w:hint="eastAsia"/>
        </w:rPr>
        <w:t>。</w:t>
      </w:r>
      <w:r>
        <w:t>采纳</w:t>
      </w:r>
      <w:r>
        <w:rPr>
          <w:rFonts w:hint="eastAsia"/>
        </w:rPr>
        <w:t>，“内标</w:t>
      </w:r>
      <w:r>
        <w:t>元素也可在线加入</w:t>
      </w:r>
      <w:r>
        <w:rPr>
          <w:rFonts w:hint="eastAsia"/>
        </w:rPr>
        <w:t>”；</w:t>
      </w:r>
    </w:p>
    <w:p>
      <w:pPr>
        <w:spacing w:line="300" w:lineRule="auto"/>
        <w:ind w:firstLine="420" w:firstLineChars="200"/>
      </w:pPr>
      <w:r>
        <w:t>3</w:t>
      </w:r>
      <w:r>
        <w:rPr>
          <w:rFonts w:hint="eastAsia"/>
        </w:rPr>
        <w:t>）增加Ca</w:t>
      </w:r>
      <w:r>
        <w:t>、</w:t>
      </w:r>
      <w:r>
        <w:rPr>
          <w:rFonts w:hint="eastAsia"/>
        </w:rPr>
        <w:t>Cd推荐</w:t>
      </w:r>
      <w:r>
        <w:t>质量数</w:t>
      </w:r>
      <w:r>
        <w:rPr>
          <w:rFonts w:hint="eastAsia"/>
        </w:rPr>
        <w:t>。</w:t>
      </w:r>
      <w:r>
        <w:t>采纳</w:t>
      </w:r>
      <w:r>
        <w:rPr>
          <w:rFonts w:hint="eastAsia"/>
        </w:rPr>
        <w:t>，兼顾</w:t>
      </w:r>
      <w:r>
        <w:t>不同厂家、不同型号仪器</w:t>
      </w:r>
      <w:r>
        <w:rPr>
          <w:rFonts w:hint="eastAsia"/>
        </w:rPr>
        <w:t>。</w:t>
      </w:r>
    </w:p>
    <w:p>
      <w:pPr>
        <w:spacing w:line="312" w:lineRule="auto"/>
        <w:ind w:firstLine="420" w:firstLineChars="200"/>
      </w:pPr>
      <w:r>
        <w:rPr>
          <w:rFonts w:hint="eastAsia"/>
        </w:rPr>
        <w:t>综合验证单位意见，起草单位对讨论稿进行修改完善，形成了</w:t>
      </w:r>
      <w:r>
        <w:t>YS/T 568.12</w:t>
      </w:r>
      <w:r>
        <w:rPr>
          <w:rFonts w:hint="eastAsia"/>
        </w:rPr>
        <w:t>《氧化锆、氧化铪化学分析方法</w:t>
      </w:r>
      <w:r>
        <w:t xml:space="preserve"> </w:t>
      </w:r>
      <w:r>
        <w:rPr>
          <w:rFonts w:hint="eastAsia"/>
        </w:rPr>
        <w:t>第12部分：氧化锆中硼、钠、镁、铝、硅、钙、钛、钒、铬、锰、铁、钴、镍、铜、锌、钼、镉、铪、铅、铋含量的测定</w:t>
      </w:r>
      <w:r>
        <w:t xml:space="preserve">  </w:t>
      </w:r>
      <w:r>
        <w:rPr>
          <w:rFonts w:hint="eastAsia"/>
        </w:rPr>
        <w:t>电感耦合等离子体质谱法》（征求意见稿）。</w:t>
      </w:r>
    </w:p>
    <w:p>
      <w:pPr>
        <w:spacing w:before="156" w:beforeLines="50" w:after="156" w:afterLines="50" w:line="312" w:lineRule="auto"/>
        <w:rPr>
          <w:rFonts w:ascii="黑体" w:hAnsi="黑体" w:eastAsia="黑体"/>
        </w:rPr>
      </w:pPr>
      <w:r>
        <w:rPr>
          <w:rFonts w:ascii="黑体" w:hAnsi="黑体" w:eastAsia="黑体"/>
        </w:rPr>
        <w:t xml:space="preserve">3.3 </w:t>
      </w:r>
      <w:r>
        <w:rPr>
          <w:rFonts w:hint="eastAsia" w:ascii="黑体" w:hAnsi="黑体" w:eastAsia="黑体"/>
        </w:rPr>
        <w:t>征求意见阶段</w:t>
      </w:r>
    </w:p>
    <w:p>
      <w:pPr>
        <w:spacing w:line="300" w:lineRule="auto"/>
        <w:ind w:firstLine="420" w:firstLineChars="200"/>
        <w:rPr>
          <w:rFonts w:hAnsi="宋体"/>
        </w:rPr>
      </w:pPr>
      <w:r>
        <w:rPr>
          <w:rFonts w:hint="eastAsia" w:hAnsi="宋体"/>
        </w:rPr>
        <w:t>编制组通过发函、中国有色金属标准质量信息网上公开、召开</w:t>
      </w:r>
      <w:r>
        <w:rPr>
          <w:rFonts w:hAnsi="宋体"/>
        </w:rPr>
        <w:t>工作</w:t>
      </w:r>
      <w:r>
        <w:rPr>
          <w:rFonts w:hint="eastAsia" w:hAnsi="宋体"/>
        </w:rPr>
        <w:t>会议等</w:t>
      </w:r>
      <w:r>
        <w:rPr>
          <w:rFonts w:hAnsi="宋体"/>
        </w:rPr>
        <w:t>方式</w:t>
      </w:r>
      <w:r>
        <w:rPr>
          <w:rFonts w:hint="eastAsia" w:hAnsi="宋体"/>
        </w:rPr>
        <w:t>对</w:t>
      </w:r>
      <w:r>
        <w:t>YS/T 568.12</w:t>
      </w:r>
      <w:r>
        <w:rPr>
          <w:rFonts w:hint="eastAsia"/>
        </w:rPr>
        <w:t>《氧化锆、氧化铪化学分析方法</w:t>
      </w:r>
      <w:r>
        <w:t xml:space="preserve"> </w:t>
      </w:r>
      <w:r>
        <w:rPr>
          <w:rFonts w:hint="eastAsia"/>
        </w:rPr>
        <w:t>第12部分：氧化锆中硼、钠、镁、铝、硅、钙、钛、钒、铬、锰、铁、钴、镍、铜、锌、钼、镉、铪、铅、铋含量的测定</w:t>
      </w:r>
      <w:r>
        <w:t xml:space="preserve">  </w:t>
      </w:r>
      <w:r>
        <w:rPr>
          <w:rFonts w:hint="eastAsia"/>
        </w:rPr>
        <w:t>电感耦合等离子体质谱法》（征求意见稿）</w:t>
      </w:r>
      <w:r>
        <w:rPr>
          <w:rFonts w:hint="eastAsia" w:hAnsi="宋体"/>
        </w:rPr>
        <w:t>征求意见。</w:t>
      </w:r>
    </w:p>
    <w:p>
      <w:pPr>
        <w:spacing w:line="300" w:lineRule="auto"/>
        <w:rPr>
          <w:rFonts w:ascii="黑体" w:hAnsi="黑体" w:eastAsia="黑体"/>
        </w:rPr>
      </w:pPr>
      <w:r>
        <w:rPr>
          <w:rFonts w:hint="eastAsia" w:ascii="黑体" w:hAnsi="黑体" w:eastAsia="黑体"/>
        </w:rPr>
        <w:t>（1）第一次</w:t>
      </w:r>
      <w:r>
        <w:rPr>
          <w:rFonts w:ascii="黑体" w:hAnsi="黑体" w:eastAsia="黑体"/>
        </w:rPr>
        <w:t>工作会议</w:t>
      </w:r>
    </w:p>
    <w:p>
      <w:pPr>
        <w:spacing w:line="300" w:lineRule="auto"/>
        <w:ind w:firstLine="420" w:firstLineChars="200"/>
      </w:pPr>
      <w:r>
        <w:rPr>
          <w:rFonts w:hint="eastAsia" w:hAnsi="宋体"/>
        </w:rPr>
        <w:t>20</w:t>
      </w:r>
      <w:r>
        <w:rPr>
          <w:rFonts w:hAnsi="宋体"/>
        </w:rPr>
        <w:t>21</w:t>
      </w:r>
      <w:r>
        <w:rPr>
          <w:rFonts w:hint="eastAsia" w:hAnsi="宋体"/>
        </w:rPr>
        <w:t>年</w:t>
      </w:r>
      <w:r>
        <w:rPr>
          <w:rFonts w:hAnsi="宋体"/>
        </w:rPr>
        <w:t>5</w:t>
      </w:r>
      <w:r>
        <w:rPr>
          <w:rFonts w:hint="eastAsia" w:hAnsi="宋体"/>
        </w:rPr>
        <w:t>月2</w:t>
      </w:r>
      <w:r>
        <w:rPr>
          <w:rFonts w:hAnsi="宋体"/>
        </w:rPr>
        <w:t>6</w:t>
      </w:r>
      <w:r>
        <w:rPr>
          <w:rFonts w:hint="eastAsia" w:hAnsi="宋体"/>
        </w:rPr>
        <w:t>日~2</w:t>
      </w:r>
      <w:r>
        <w:rPr>
          <w:rFonts w:hAnsi="宋体"/>
        </w:rPr>
        <w:t>8</w:t>
      </w:r>
      <w:r>
        <w:rPr>
          <w:rFonts w:hint="eastAsia" w:hAnsi="宋体"/>
        </w:rPr>
        <w:t>日在浙江杭州</w:t>
      </w:r>
      <w:r>
        <w:rPr>
          <w:rFonts w:hint="eastAsia"/>
        </w:rPr>
        <w:t>召开第一次工作会议，</w:t>
      </w:r>
      <w:r>
        <w:rPr>
          <w:rFonts w:hint="eastAsia"/>
          <w:szCs w:val="21"/>
        </w:rPr>
        <w:t>来自</w:t>
      </w:r>
      <w:r>
        <w:rPr>
          <w:szCs w:val="21"/>
        </w:rPr>
        <w:t>20</w:t>
      </w:r>
      <w:r>
        <w:rPr>
          <w:rFonts w:hint="eastAsia"/>
          <w:szCs w:val="21"/>
        </w:rPr>
        <w:t>多家单位的近</w:t>
      </w:r>
      <w:r>
        <w:rPr>
          <w:szCs w:val="21"/>
        </w:rPr>
        <w:t>50</w:t>
      </w:r>
      <w:r>
        <w:rPr>
          <w:rFonts w:hint="eastAsia"/>
          <w:szCs w:val="21"/>
        </w:rPr>
        <w:t>名代表参加会议。</w:t>
      </w:r>
      <w:r>
        <w:rPr>
          <w:rFonts w:hint="eastAsia"/>
        </w:rPr>
        <w:t>编制组</w:t>
      </w:r>
      <w:r>
        <w:t>成员</w:t>
      </w:r>
      <w:r>
        <w:rPr>
          <w:rFonts w:hint="eastAsia"/>
        </w:rPr>
        <w:t>代表</w:t>
      </w:r>
      <w:r>
        <w:t>墨淑敏</w:t>
      </w:r>
      <w:r>
        <w:rPr>
          <w:rFonts w:hint="eastAsia"/>
        </w:rPr>
        <w:t>对试验</w:t>
      </w:r>
      <w:r>
        <w:t>情况及各单位验证情况</w:t>
      </w:r>
      <w:r>
        <w:rPr>
          <w:rFonts w:hint="eastAsia"/>
        </w:rPr>
        <w:t>进行</w:t>
      </w:r>
      <w:r>
        <w:t>了汇报，</w:t>
      </w:r>
      <w:r>
        <w:rPr>
          <w:rFonts w:hint="eastAsia"/>
        </w:rPr>
        <w:t>并就《征求</w:t>
      </w:r>
      <w:r>
        <w:t>意见稿</w:t>
      </w:r>
      <w:r>
        <w:rPr>
          <w:rFonts w:hint="eastAsia"/>
        </w:rPr>
        <w:t>》进行意见征询。与会专家热烈</w:t>
      </w:r>
      <w:r>
        <w:t>讨论并</w:t>
      </w:r>
      <w:r>
        <w:rPr>
          <w:rFonts w:hint="eastAsia"/>
        </w:rPr>
        <w:t>提出宝贵意见，主要有以下几个方面：</w:t>
      </w:r>
    </w:p>
    <w:p>
      <w:pPr>
        <w:spacing w:line="300" w:lineRule="auto"/>
        <w:ind w:firstLine="420" w:firstLineChars="200"/>
      </w:pPr>
      <w:r>
        <w:rPr>
          <w:rFonts w:hint="eastAsia"/>
        </w:rPr>
        <w:t>1）第2章“规范性引用</w:t>
      </w:r>
      <w:r>
        <w:t>文件</w:t>
      </w:r>
      <w:r>
        <w:rPr>
          <w:rFonts w:hint="eastAsia"/>
        </w:rPr>
        <w:t>”两个</w:t>
      </w:r>
      <w:r>
        <w:t>文件</w:t>
      </w:r>
      <w:r>
        <w:rPr>
          <w:rFonts w:hint="eastAsia"/>
        </w:rPr>
        <w:t>的</w:t>
      </w:r>
      <w:r>
        <w:t>先后顺序</w:t>
      </w:r>
      <w:r>
        <w:rPr>
          <w:rFonts w:hint="eastAsia"/>
        </w:rPr>
        <w:t>按</w:t>
      </w:r>
      <w:r>
        <w:t>标准号大小排列</w:t>
      </w:r>
      <w:r>
        <w:rPr>
          <w:rFonts w:hint="eastAsia"/>
        </w:rPr>
        <w:t>；</w:t>
      </w:r>
    </w:p>
    <w:p>
      <w:pPr>
        <w:spacing w:line="300" w:lineRule="auto"/>
        <w:ind w:firstLine="420" w:firstLineChars="200"/>
      </w:pPr>
      <w:r>
        <w:rPr>
          <w:rFonts w:hint="eastAsia"/>
        </w:rPr>
        <w:t>2）第4章“方法</w:t>
      </w:r>
      <w:r>
        <w:t>提要</w:t>
      </w:r>
      <w:r>
        <w:rPr>
          <w:rFonts w:hint="eastAsia"/>
        </w:rPr>
        <w:t>”改为“原理”；</w:t>
      </w:r>
    </w:p>
    <w:p>
      <w:pPr>
        <w:spacing w:line="300" w:lineRule="auto"/>
        <w:ind w:firstLine="420" w:firstLineChars="200"/>
      </w:pPr>
      <w:r>
        <w:rPr>
          <w:rFonts w:hint="eastAsia"/>
        </w:rPr>
        <w:t>3）第6章中</w:t>
      </w:r>
      <w:r>
        <w:t>改为</w:t>
      </w:r>
      <w:r>
        <w:rPr>
          <w:rFonts w:hint="eastAsia"/>
        </w:rPr>
        <w:t>“质量分辨率不大于0.8</w:t>
      </w:r>
      <w:r>
        <w:t xml:space="preserve"> </w:t>
      </w:r>
      <w:r>
        <w:rPr>
          <w:rFonts w:hint="eastAsia"/>
        </w:rPr>
        <w:t>u”，</w:t>
      </w:r>
      <w:r>
        <w:t>修改依据</w:t>
      </w:r>
      <w:r>
        <w:rPr>
          <w:rFonts w:hint="eastAsia"/>
        </w:rPr>
        <w:t>为</w:t>
      </w:r>
      <w:r>
        <w:t>JJF 1159-2006《</w:t>
      </w:r>
      <w:r>
        <w:fldChar w:fldCharType="begin"/>
      </w:r>
      <w:r>
        <w:instrText xml:space="preserve"> HYPERLINK "http://www.baidu.com/link?url=QIwST8j823b91CKAaOhCSkPb4q95dRwkhBw1A2hqmt9J6VoLtHVD0ujRBsq2n0OwkUHm1QOsfHpF-kdEgC4QQq" \t "_blank" </w:instrText>
      </w:r>
      <w:r>
        <w:fldChar w:fldCharType="separate"/>
      </w:r>
      <w:r>
        <w:t>四极杆电感耦合等离子体质谱仪校准规范</w:t>
      </w:r>
      <w:r>
        <w:fldChar w:fldCharType="end"/>
      </w:r>
      <w:r>
        <w:t>》</w:t>
      </w:r>
      <w:r>
        <w:rPr>
          <w:rFonts w:hint="eastAsia"/>
        </w:rPr>
        <w:t xml:space="preserve"> ；</w:t>
      </w:r>
    </w:p>
    <w:p>
      <w:pPr>
        <w:spacing w:line="300" w:lineRule="auto"/>
        <w:ind w:firstLine="420" w:firstLineChars="200"/>
      </w:pPr>
      <w:r>
        <w:t>4</w:t>
      </w:r>
      <w:r>
        <w:rPr>
          <w:rFonts w:hint="eastAsia"/>
        </w:rPr>
        <w:t>）增加“样品”一章。</w:t>
      </w:r>
    </w:p>
    <w:p>
      <w:pPr>
        <w:spacing w:line="300" w:lineRule="auto"/>
        <w:ind w:firstLine="420" w:firstLineChars="200"/>
      </w:pPr>
      <w:r>
        <w:rPr>
          <w:rFonts w:hint="eastAsia"/>
        </w:rPr>
        <w:t>会议结束之后，标准编制小组根据讨论结果，对征求意见稿进行修改完善，形成了</w:t>
      </w:r>
      <w:r>
        <w:t>YS/T 568.12</w:t>
      </w:r>
      <w:r>
        <w:rPr>
          <w:rFonts w:hint="eastAsia"/>
        </w:rPr>
        <w:t>《氧化锆、氧化铪化学分析方法</w:t>
      </w:r>
      <w:r>
        <w:t xml:space="preserve"> </w:t>
      </w:r>
      <w:r>
        <w:rPr>
          <w:rFonts w:hint="eastAsia"/>
        </w:rPr>
        <w:t>第12部分：氧化锆中硼、钠、镁、铝、硅、钙、钛、钒、铬、锰、铁、钴、镍、铜、锌、钼、镉、铪、铅、铋含量的测定</w:t>
      </w:r>
      <w:r>
        <w:t xml:space="preserve">  </w:t>
      </w:r>
      <w:r>
        <w:rPr>
          <w:rFonts w:hint="eastAsia"/>
        </w:rPr>
        <w:t>电感耦合等离子体质谱法》（预审稿）。</w:t>
      </w:r>
    </w:p>
    <w:p>
      <w:pPr>
        <w:spacing w:line="300" w:lineRule="auto"/>
      </w:pPr>
      <w:r>
        <w:rPr>
          <w:rFonts w:hint="eastAsia" w:ascii="黑体" w:hAnsi="黑体" w:eastAsia="黑体"/>
        </w:rPr>
        <w:t>（</w:t>
      </w:r>
      <w:r>
        <w:rPr>
          <w:rFonts w:ascii="黑体" w:hAnsi="黑体" w:eastAsia="黑体"/>
        </w:rPr>
        <w:t>2</w:t>
      </w:r>
      <w:r>
        <w:rPr>
          <w:rFonts w:hint="eastAsia" w:ascii="黑体" w:hAnsi="黑体" w:eastAsia="黑体"/>
        </w:rPr>
        <w:t>）第二次</w:t>
      </w:r>
      <w:r>
        <w:rPr>
          <w:rFonts w:ascii="黑体" w:hAnsi="黑体" w:eastAsia="黑体"/>
        </w:rPr>
        <w:t>工作会议</w:t>
      </w:r>
    </w:p>
    <w:p>
      <w:pPr>
        <w:spacing w:line="300" w:lineRule="auto"/>
        <w:ind w:firstLine="420"/>
        <w:rPr>
          <w:szCs w:val="21"/>
        </w:rPr>
      </w:pPr>
    </w:p>
    <w:p>
      <w:pPr>
        <w:spacing w:line="300" w:lineRule="auto"/>
        <w:ind w:firstLine="420"/>
        <w:rPr>
          <w:szCs w:val="21"/>
        </w:rPr>
      </w:pPr>
    </w:p>
    <w:p>
      <w:pPr>
        <w:spacing w:line="300" w:lineRule="auto"/>
        <w:ind w:firstLine="420"/>
        <w:rPr>
          <w:szCs w:val="21"/>
        </w:rPr>
      </w:pPr>
    </w:p>
    <w:p>
      <w:pPr>
        <w:spacing w:line="300" w:lineRule="auto"/>
        <w:ind w:firstLine="420"/>
      </w:pPr>
      <w:r>
        <w:rPr>
          <w:rFonts w:hint="eastAsia"/>
        </w:rPr>
        <w:t>征求意见</w:t>
      </w:r>
      <w:r>
        <w:t>阶段</w:t>
      </w:r>
      <w:r>
        <w:rPr>
          <w:rFonts w:hint="eastAsia"/>
        </w:rPr>
        <w:t>发函单位数共计</w:t>
      </w:r>
      <w:r>
        <w:t>XXX</w:t>
      </w:r>
      <w:r>
        <w:rPr>
          <w:rFonts w:hint="eastAsia"/>
        </w:rPr>
        <w:t>个，收到回函的单位数</w:t>
      </w:r>
      <w:r>
        <w:t>XXX</w:t>
      </w:r>
      <w:r>
        <w:rPr>
          <w:rFonts w:hint="eastAsia"/>
        </w:rPr>
        <w:t>个，回函并有建议或意见的单位数</w:t>
      </w:r>
      <w:r>
        <w:t>XXX</w:t>
      </w:r>
      <w:r>
        <w:rPr>
          <w:rFonts w:hint="eastAsia"/>
        </w:rPr>
        <w:t>个，详见《意见汇总处理表》。征求意见范围广泛且具代表性，编制组对《预审稿》进一步修改完善，于</w:t>
      </w:r>
      <w:r>
        <w:t>2021</w:t>
      </w:r>
      <w:r>
        <w:rPr>
          <w:rFonts w:hint="eastAsia"/>
        </w:rPr>
        <w:t>年</w:t>
      </w:r>
      <w:r>
        <w:t>XX</w:t>
      </w:r>
      <w:r>
        <w:rPr>
          <w:rFonts w:hint="eastAsia"/>
        </w:rPr>
        <w:t>月形成了《高氧化锆、氧化铪化学分析方法</w:t>
      </w:r>
      <w:r>
        <w:t xml:space="preserve"> </w:t>
      </w:r>
      <w:r>
        <w:rPr>
          <w:rFonts w:hint="eastAsia"/>
        </w:rPr>
        <w:t>第12部分：氧化锆中硼、钠、镁、铝、硅、钙、钛、钒、铬、锰、铁、钴、镍、铜、锌、钼、镉、铪、铅、铋含量的测定</w:t>
      </w:r>
      <w:r>
        <w:t xml:space="preserve">  </w:t>
      </w:r>
      <w:r>
        <w:rPr>
          <w:rFonts w:hint="eastAsia"/>
        </w:rPr>
        <w:t>电感耦合等离子体质谱法》（送审稿）。</w:t>
      </w:r>
    </w:p>
    <w:p>
      <w:pPr>
        <w:spacing w:before="156" w:beforeLines="50" w:after="156" w:afterLines="50" w:line="312" w:lineRule="auto"/>
        <w:rPr>
          <w:rFonts w:ascii="黑体" w:hAnsi="黑体" w:eastAsia="黑体"/>
        </w:rPr>
      </w:pPr>
      <w:r>
        <w:rPr>
          <w:rFonts w:ascii="黑体" w:hAnsi="黑体" w:eastAsia="黑体"/>
        </w:rPr>
        <w:t xml:space="preserve">3.4 </w:t>
      </w:r>
      <w:r>
        <w:rPr>
          <w:rFonts w:hint="eastAsia" w:ascii="黑体" w:hAnsi="黑体" w:eastAsia="黑体"/>
        </w:rPr>
        <w:t>审定阶段</w:t>
      </w:r>
    </w:p>
    <w:p>
      <w:pPr>
        <w:spacing w:line="312" w:lineRule="auto"/>
      </w:pPr>
    </w:p>
    <w:p>
      <w:pPr>
        <w:spacing w:line="312" w:lineRule="auto"/>
        <w:rPr>
          <w:rFonts w:hAnsi="宋体"/>
          <w:highlight w:val="yellow"/>
        </w:rPr>
      </w:pPr>
    </w:p>
    <w:p>
      <w:pPr>
        <w:spacing w:before="156" w:beforeLines="50" w:after="156" w:afterLines="50" w:line="312" w:lineRule="auto"/>
        <w:rPr>
          <w:rFonts w:ascii="黑体" w:hAnsi="黑体" w:eastAsia="黑体"/>
        </w:rPr>
      </w:pPr>
      <w:r>
        <w:rPr>
          <w:rFonts w:ascii="黑体" w:hAnsi="黑体" w:eastAsia="黑体"/>
        </w:rPr>
        <w:t xml:space="preserve">3.5 </w:t>
      </w:r>
      <w:r>
        <w:rPr>
          <w:rFonts w:hint="eastAsia" w:ascii="黑体" w:hAnsi="黑体" w:eastAsia="黑体"/>
        </w:rPr>
        <w:t>报批阶段</w:t>
      </w:r>
    </w:p>
    <w:p>
      <w:pPr>
        <w:spacing w:line="312" w:lineRule="auto"/>
        <w:rPr>
          <w:highlight w:val="yellow"/>
        </w:rPr>
      </w:pPr>
    </w:p>
    <w:p>
      <w:pPr>
        <w:spacing w:line="312" w:lineRule="auto"/>
        <w:rPr>
          <w:highlight w:val="yellow"/>
        </w:rPr>
      </w:pPr>
    </w:p>
    <w:p>
      <w:pPr>
        <w:spacing w:before="156" w:beforeLines="50" w:after="156" w:afterLines="50" w:line="312" w:lineRule="auto"/>
        <w:rPr>
          <w:rFonts w:ascii="黑体" w:hAnsi="宋体" w:eastAsia="黑体"/>
          <w:bCs/>
          <w:sz w:val="24"/>
        </w:rPr>
      </w:pPr>
      <w:r>
        <w:rPr>
          <w:rFonts w:hint="eastAsia" w:ascii="黑体" w:hAnsi="宋体" w:eastAsia="黑体"/>
          <w:bCs/>
          <w:sz w:val="24"/>
        </w:rPr>
        <w:t>二、标准编制原则</w:t>
      </w:r>
    </w:p>
    <w:p>
      <w:pPr>
        <w:tabs>
          <w:tab w:val="center" w:pos="5086"/>
        </w:tabs>
        <w:spacing w:line="312" w:lineRule="auto"/>
        <w:ind w:firstLine="420"/>
      </w:pPr>
      <w:r>
        <w:rPr>
          <w:rFonts w:hint="eastAsia"/>
        </w:rPr>
        <w:t>本标准起草过程中遵循以下原则：</w:t>
      </w:r>
    </w:p>
    <w:p>
      <w:pPr>
        <w:tabs>
          <w:tab w:val="center" w:pos="5086"/>
        </w:tabs>
        <w:spacing w:line="312" w:lineRule="auto"/>
      </w:pPr>
      <w:r>
        <w:rPr>
          <w:rFonts w:hint="eastAsia"/>
        </w:rPr>
        <w:t>（一）规范性原则：</w:t>
      </w:r>
      <w:r>
        <w:t>本标准是根据GB/T</w:t>
      </w:r>
      <w:r>
        <w:rPr>
          <w:rFonts w:hint="eastAsia"/>
        </w:rPr>
        <w:t xml:space="preserve"> </w:t>
      </w:r>
      <w:r>
        <w:t>1.1-2020《标准化工作导则 第1部分:标准化文件的结构和起草规则》和GB/T</w:t>
      </w:r>
      <w:r>
        <w:rPr>
          <w:rFonts w:hint="eastAsia"/>
        </w:rPr>
        <w:t xml:space="preserve"> </w:t>
      </w:r>
      <w:r>
        <w:t>20001.4-20</w:t>
      </w:r>
      <w:r>
        <w:rPr>
          <w:rFonts w:hint="eastAsia"/>
        </w:rPr>
        <w:t>15</w:t>
      </w:r>
      <w:r>
        <w:t>《标准编写规则 第4部分：</w:t>
      </w:r>
      <w:r>
        <w:rPr>
          <w:rFonts w:hint="eastAsia"/>
        </w:rPr>
        <w:t>试验方法标准</w:t>
      </w:r>
      <w:r>
        <w:t>》的要求进行编写的</w:t>
      </w:r>
      <w:r>
        <w:rPr>
          <w:rFonts w:hint="eastAsia"/>
        </w:rPr>
        <w:t>；并</w:t>
      </w:r>
      <w:r>
        <w:t>按照GB/T 6379.2-2004</w:t>
      </w:r>
      <w:r>
        <w:rPr>
          <w:rFonts w:hint="eastAsia"/>
        </w:rPr>
        <w:t>《测量方法与结果的准确度》进行数理统计</w:t>
      </w:r>
      <w:r>
        <w:t>分析。</w:t>
      </w:r>
    </w:p>
    <w:p>
      <w:pPr>
        <w:tabs>
          <w:tab w:val="center" w:pos="5086"/>
        </w:tabs>
        <w:spacing w:line="312" w:lineRule="auto"/>
      </w:pPr>
      <w:r>
        <w:rPr>
          <w:rFonts w:hint="eastAsia"/>
        </w:rPr>
        <w:t>（二）先进性：修订后的标准采用电感耦合等离子体质谱法同时测定氧化锆</w:t>
      </w:r>
      <w:r>
        <w:t>中20</w:t>
      </w:r>
      <w:r>
        <w:rPr>
          <w:rFonts w:hint="eastAsia"/>
        </w:rPr>
        <w:t>种杂质元素，方法快速、准确；体现</w:t>
      </w:r>
      <w:r>
        <w:t>了检测技术的进步</w:t>
      </w:r>
      <w:r>
        <w:rPr>
          <w:rFonts w:hint="eastAsia"/>
        </w:rPr>
        <w:t>；同时</w:t>
      </w:r>
      <w:r>
        <w:t>，</w:t>
      </w:r>
      <w:r>
        <w:rPr>
          <w:rFonts w:hint="eastAsia"/>
        </w:rPr>
        <w:t>本标准</w:t>
      </w:r>
      <w:r>
        <w:t>在国内外均为首次制定，具有</w:t>
      </w:r>
      <w:r>
        <w:rPr>
          <w:rFonts w:hint="eastAsia"/>
        </w:rPr>
        <w:t>前瞻性和</w:t>
      </w:r>
      <w:r>
        <w:t>引领性</w:t>
      </w:r>
      <w:r>
        <w:rPr>
          <w:rFonts w:hint="eastAsia"/>
        </w:rPr>
        <w:t>。</w:t>
      </w:r>
    </w:p>
    <w:p>
      <w:pPr>
        <w:tabs>
          <w:tab w:val="center" w:pos="5086"/>
        </w:tabs>
        <w:spacing w:line="312" w:lineRule="auto"/>
        <w:rPr>
          <w:szCs w:val="21"/>
        </w:rPr>
      </w:pPr>
      <w:r>
        <w:rPr>
          <w:rFonts w:hint="eastAsia"/>
        </w:rPr>
        <w:t>（三）适用性：本标准以满足我国氧化锆产品实际检测需求为原则，宜于应用，能够满足企业需求，</w:t>
      </w:r>
      <w:r>
        <w:t>对</w:t>
      </w:r>
      <w:r>
        <w:rPr>
          <w:rFonts w:hint="eastAsia"/>
        </w:rPr>
        <w:t>锆铪</w:t>
      </w:r>
      <w:r>
        <w:t>生产企业</w:t>
      </w:r>
      <w:r>
        <w:rPr>
          <w:rFonts w:hint="eastAsia"/>
        </w:rPr>
        <w:t>的</w:t>
      </w:r>
      <w:r>
        <w:t>技术进步产生积极的促进作用。</w:t>
      </w:r>
    </w:p>
    <w:p>
      <w:pPr>
        <w:tabs>
          <w:tab w:val="center" w:pos="5086"/>
        </w:tabs>
        <w:spacing w:line="312" w:lineRule="auto"/>
        <w:rPr>
          <w:szCs w:val="21"/>
        </w:rPr>
      </w:pPr>
      <w:r>
        <w:rPr>
          <w:rFonts w:hint="eastAsia"/>
        </w:rPr>
        <w:t>（四）合规性</w:t>
      </w:r>
      <w:r>
        <w:t>：</w:t>
      </w:r>
      <w:r>
        <w:rPr>
          <w:szCs w:val="21"/>
        </w:rPr>
        <w:t>充分考虑国家法律、安全、卫生、环保法规的要求。</w:t>
      </w:r>
    </w:p>
    <w:p>
      <w:pPr>
        <w:spacing w:before="156" w:beforeLines="50" w:after="156" w:afterLines="50" w:line="312" w:lineRule="auto"/>
        <w:rPr>
          <w:rFonts w:ascii="黑体" w:hAnsi="宋体" w:eastAsia="黑体"/>
          <w:bCs/>
          <w:sz w:val="24"/>
        </w:rPr>
      </w:pPr>
      <w:r>
        <w:rPr>
          <w:rFonts w:hint="eastAsia" w:ascii="黑体" w:hAnsi="宋体" w:eastAsia="黑体"/>
          <w:bCs/>
          <w:sz w:val="24"/>
        </w:rPr>
        <w:t>三、标准主要内容的确定依据</w:t>
      </w:r>
    </w:p>
    <w:p>
      <w:pPr>
        <w:spacing w:before="156" w:beforeLines="50" w:after="156" w:afterLines="50" w:line="312" w:lineRule="auto"/>
        <w:ind w:firstLine="420"/>
        <w:rPr>
          <w:rFonts w:ascii="黑体" w:hAnsi="宋体" w:eastAsia="黑体"/>
          <w:bCs/>
          <w:sz w:val="24"/>
        </w:rPr>
      </w:pPr>
      <w:r>
        <w:rPr>
          <w:rFonts w:hint="eastAsia" w:ascii="黑体" w:hAnsi="宋体" w:eastAsia="黑体"/>
          <w:bCs/>
          <w:sz w:val="24"/>
        </w:rPr>
        <w:t>本标准为首次制定</w:t>
      </w:r>
      <w:r>
        <w:rPr>
          <w:rFonts w:ascii="黑体" w:hAnsi="宋体" w:eastAsia="黑体"/>
          <w:bCs/>
          <w:sz w:val="24"/>
        </w:rPr>
        <w:t>标准</w:t>
      </w:r>
      <w:r>
        <w:rPr>
          <w:rFonts w:hint="eastAsia" w:ascii="黑体" w:hAnsi="宋体" w:eastAsia="黑体"/>
          <w:bCs/>
          <w:sz w:val="24"/>
        </w:rPr>
        <w:t>，因此在标准的制定过程中主要对以下几个方面进行了确认：</w:t>
      </w:r>
    </w:p>
    <w:p>
      <w:pPr>
        <w:pStyle w:val="120"/>
        <w:numPr>
          <w:ilvl w:val="0"/>
          <w:numId w:val="2"/>
        </w:numPr>
        <w:tabs>
          <w:tab w:val="clear" w:pos="675"/>
        </w:tabs>
        <w:spacing w:before="156" w:beforeLines="50" w:after="156" w:afterLines="50" w:line="312" w:lineRule="auto"/>
        <w:ind w:left="0" w:firstLine="0"/>
        <w:rPr>
          <w:rFonts w:hAnsi="黑体"/>
        </w:rPr>
      </w:pPr>
      <w:r>
        <w:rPr>
          <w:rFonts w:hint="eastAsia" w:hAnsi="黑体"/>
        </w:rPr>
        <w:t>元素种类及</w:t>
      </w:r>
      <w:r>
        <w:rPr>
          <w:rFonts w:hAnsi="黑体"/>
        </w:rPr>
        <w:t>测定范围</w:t>
      </w:r>
    </w:p>
    <w:p>
      <w:pPr>
        <w:pStyle w:val="121"/>
        <w:tabs>
          <w:tab w:val="center" w:pos="4201"/>
          <w:tab w:val="right" w:leader="dot" w:pos="9298"/>
        </w:tabs>
        <w:adjustRightInd w:val="0"/>
        <w:snapToGrid w:val="0"/>
        <w:spacing w:line="312" w:lineRule="auto"/>
        <w:ind w:firstLine="420"/>
        <w:rPr>
          <w:rFonts w:ascii="Times New Roman" w:hAnsi="Times New Roman"/>
        </w:rPr>
      </w:pPr>
      <w:r>
        <w:rPr>
          <w:rFonts w:ascii="Times New Roman" w:hAnsi="Times New Roman"/>
        </w:rPr>
        <w:t>本方法中元素种类的主要确定依据为产品标准 YS/T 402-2016《二氧化锆》，按照产品标准硼、钠、镁、铝、硅、钙、钛、镉、铪、锰、铁、钴、镍等元素需要测定，同时结合日常客户的检测需要，增加钒、铬、铜、锌、钼、铅、铋含量的测定。因此，本方法包括对氧化锆中20种杂质元素的测定。</w:t>
      </w:r>
    </w:p>
    <w:p>
      <w:pPr>
        <w:pStyle w:val="121"/>
        <w:tabs>
          <w:tab w:val="center" w:pos="4201"/>
          <w:tab w:val="right" w:leader="dot" w:pos="9298"/>
        </w:tabs>
        <w:adjustRightInd w:val="0"/>
        <w:snapToGrid w:val="0"/>
        <w:spacing w:line="312" w:lineRule="auto"/>
        <w:ind w:firstLine="420"/>
        <w:rPr>
          <w:rFonts w:ascii="Times New Roman" w:hAnsi="Times New Roman"/>
          <w:spacing w:val="6"/>
        </w:rPr>
      </w:pPr>
      <w:r>
        <w:rPr>
          <w:rFonts w:ascii="Times New Roman" w:hAnsi="Times New Roman"/>
        </w:rPr>
        <w:t>元素的测定范围主要根据YS/T 402-2016《二氧化锆》产品标准以及电感耦合等离子体质谱的适用范围。产品标准中Cd、B等要求不大于0.001%。因此元素的测定范围为：硼、钠、硅、钙测定范围0.0010 %～0.010 %，</w:t>
      </w:r>
      <w:r>
        <w:rPr>
          <w:rFonts w:ascii="Times New Roman" w:hAnsi="Times New Roman"/>
          <w:spacing w:val="6"/>
        </w:rPr>
        <w:t>镁、铝、钛、钒、铬、锰、铁、钴、镍、铜、锌、钼、镉、铪、铅、铋测定范围0.0001%～0.010%。</w:t>
      </w:r>
      <w:r>
        <w:rPr>
          <w:rFonts w:hint="eastAsia" w:ascii="Times New Roman" w:hAnsi="Times New Roman"/>
          <w:spacing w:val="6"/>
        </w:rPr>
        <w:t>同时</w:t>
      </w:r>
      <w:r>
        <w:rPr>
          <w:rFonts w:ascii="Times New Roman" w:hAnsi="Times New Roman"/>
          <w:spacing w:val="6"/>
        </w:rPr>
        <w:t>，</w:t>
      </w:r>
      <w:r>
        <w:rPr>
          <w:rFonts w:hint="eastAsia" w:ascii="Times New Roman" w:hAnsi="Times New Roman"/>
          <w:spacing w:val="6"/>
        </w:rPr>
        <w:t>通过</w:t>
      </w:r>
      <w:r>
        <w:rPr>
          <w:rFonts w:ascii="Times New Roman" w:hAnsi="Times New Roman"/>
          <w:spacing w:val="6"/>
        </w:rPr>
        <w:t>计算方法检出限表明方法能够满足上述</w:t>
      </w:r>
      <w:r>
        <w:rPr>
          <w:rFonts w:hint="eastAsia" w:ascii="Times New Roman" w:hAnsi="Times New Roman"/>
          <w:spacing w:val="6"/>
        </w:rPr>
        <w:t>范围</w:t>
      </w:r>
      <w:r>
        <w:rPr>
          <w:rFonts w:ascii="Times New Roman" w:hAnsi="Times New Roman"/>
          <w:spacing w:val="6"/>
        </w:rPr>
        <w:t>元素测定的需要。当元素含量更高时，可采用 YS/T 568 其它部分进行测定。</w:t>
      </w:r>
    </w:p>
    <w:p>
      <w:pPr>
        <w:pStyle w:val="120"/>
        <w:tabs>
          <w:tab w:val="clear" w:pos="675"/>
        </w:tabs>
        <w:spacing w:before="156" w:beforeLines="50" w:after="156" w:afterLines="50" w:line="312" w:lineRule="auto"/>
        <w:ind w:left="0" w:firstLine="0"/>
        <w:rPr>
          <w:rFonts w:hAnsi="黑体"/>
        </w:rPr>
      </w:pPr>
      <w:r>
        <w:rPr>
          <w:rFonts w:hint="eastAsia" w:hAnsi="黑体"/>
        </w:rPr>
        <w:t>2、测定方法</w:t>
      </w:r>
    </w:p>
    <w:p>
      <w:pPr>
        <w:spacing w:line="312" w:lineRule="auto"/>
        <w:rPr>
          <w:spacing w:val="6"/>
          <w:kern w:val="0"/>
          <w:szCs w:val="20"/>
        </w:rPr>
      </w:pPr>
      <w:r>
        <w:rPr>
          <w:rFonts w:hint="eastAsia" w:hAnsi="宋体"/>
        </w:rPr>
        <w:tab/>
      </w:r>
      <w:r>
        <w:rPr>
          <w:rFonts w:hint="eastAsia"/>
          <w:spacing w:val="6"/>
          <w:kern w:val="0"/>
          <w:szCs w:val="20"/>
        </w:rPr>
        <w:t>YS/T 568-2008《氧化锆、氧化铪化学分析方法》已颁布1</w:t>
      </w:r>
      <w:r>
        <w:rPr>
          <w:spacing w:val="6"/>
          <w:kern w:val="0"/>
          <w:szCs w:val="20"/>
        </w:rPr>
        <w:t>1部分</w:t>
      </w:r>
      <w:r>
        <w:rPr>
          <w:rFonts w:hint="eastAsia"/>
          <w:spacing w:val="6"/>
          <w:kern w:val="0"/>
          <w:szCs w:val="20"/>
        </w:rPr>
        <w:t>，</w:t>
      </w:r>
      <w:r>
        <w:rPr>
          <w:spacing w:val="6"/>
          <w:kern w:val="0"/>
          <w:szCs w:val="20"/>
        </w:rPr>
        <w:t>其</w:t>
      </w:r>
      <w:r>
        <w:rPr>
          <w:rFonts w:hint="eastAsia"/>
          <w:spacing w:val="6"/>
          <w:kern w:val="0"/>
          <w:szCs w:val="20"/>
        </w:rPr>
        <w:t>方法涉及分光光度法、火焰原子吸收法、电感耦合等离子体发射光谱法等。上述</w:t>
      </w:r>
      <w:r>
        <w:rPr>
          <w:spacing w:val="6"/>
          <w:kern w:val="0"/>
          <w:szCs w:val="20"/>
        </w:rPr>
        <w:t>方法一</w:t>
      </w:r>
      <w:r>
        <w:rPr>
          <w:rFonts w:hint="eastAsia"/>
          <w:spacing w:val="6"/>
          <w:kern w:val="0"/>
          <w:szCs w:val="20"/>
        </w:rPr>
        <w:t>方面所涉及元素方法检出限较高，主要适用于ZrO</w:t>
      </w:r>
      <w:r>
        <w:rPr>
          <w:rFonts w:hint="eastAsia"/>
          <w:spacing w:val="6"/>
          <w:kern w:val="0"/>
          <w:szCs w:val="20"/>
          <w:vertAlign w:val="subscript"/>
        </w:rPr>
        <w:t>2</w:t>
      </w:r>
      <w:r>
        <w:rPr>
          <w:rFonts w:hint="eastAsia"/>
          <w:spacing w:val="6"/>
          <w:kern w:val="0"/>
          <w:szCs w:val="20"/>
        </w:rPr>
        <w:t>-01、ZrO</w:t>
      </w:r>
      <w:r>
        <w:rPr>
          <w:rFonts w:hint="eastAsia"/>
          <w:spacing w:val="6"/>
          <w:kern w:val="0"/>
          <w:szCs w:val="20"/>
          <w:vertAlign w:val="subscript"/>
        </w:rPr>
        <w:t>2</w:t>
      </w:r>
      <w:r>
        <w:rPr>
          <w:rFonts w:hint="eastAsia"/>
          <w:spacing w:val="6"/>
          <w:kern w:val="0"/>
          <w:szCs w:val="20"/>
        </w:rPr>
        <w:t>-02纯度较差的产品，另一方面</w:t>
      </w:r>
      <w:r>
        <w:rPr>
          <w:spacing w:val="6"/>
          <w:kern w:val="0"/>
          <w:szCs w:val="20"/>
        </w:rPr>
        <w:t>元素种类较少，覆盖面不全，</w:t>
      </w:r>
      <w:r>
        <w:rPr>
          <w:rFonts w:hint="eastAsia"/>
          <w:spacing w:val="6"/>
          <w:kern w:val="0"/>
          <w:szCs w:val="20"/>
        </w:rPr>
        <w:t>缺少B、Cd、Co等</w:t>
      </w:r>
      <w:r>
        <w:rPr>
          <w:spacing w:val="6"/>
          <w:kern w:val="0"/>
          <w:szCs w:val="20"/>
        </w:rPr>
        <w:t>元素的</w:t>
      </w:r>
      <w:r>
        <w:rPr>
          <w:rFonts w:hint="eastAsia"/>
          <w:spacing w:val="6"/>
          <w:kern w:val="0"/>
          <w:szCs w:val="20"/>
        </w:rPr>
        <w:t>检测方法。在</w:t>
      </w:r>
      <w:r>
        <w:rPr>
          <w:spacing w:val="6"/>
          <w:kern w:val="0"/>
          <w:szCs w:val="20"/>
        </w:rPr>
        <w:t>这种情况下，拟采用电感耦合等离子体质谱法对氧化锆中痕量杂质元素进行分析，该方法</w:t>
      </w:r>
      <w:r>
        <w:rPr>
          <w:rFonts w:hint="eastAsia"/>
          <w:spacing w:val="6"/>
          <w:kern w:val="0"/>
          <w:szCs w:val="20"/>
        </w:rPr>
        <w:t>具备</w:t>
      </w:r>
      <w:r>
        <w:rPr>
          <w:spacing w:val="6"/>
          <w:kern w:val="0"/>
          <w:szCs w:val="20"/>
        </w:rPr>
        <w:t>多元素同时检测且方法检出限低等优势</w:t>
      </w:r>
      <w:r>
        <w:rPr>
          <w:rFonts w:hint="eastAsia"/>
          <w:spacing w:val="6"/>
          <w:kern w:val="0"/>
          <w:szCs w:val="20"/>
        </w:rPr>
        <w:t>，是对YS/T 568-2008标准</w:t>
      </w:r>
      <w:r>
        <w:rPr>
          <w:spacing w:val="6"/>
          <w:kern w:val="0"/>
          <w:szCs w:val="20"/>
        </w:rPr>
        <w:t>系列是完善和提升。</w:t>
      </w:r>
    </w:p>
    <w:p>
      <w:pPr>
        <w:pStyle w:val="120"/>
        <w:tabs>
          <w:tab w:val="clear" w:pos="675"/>
        </w:tabs>
        <w:spacing w:before="156" w:beforeLines="50" w:after="156" w:afterLines="50" w:line="312" w:lineRule="auto"/>
        <w:ind w:left="0" w:firstLine="0"/>
        <w:rPr>
          <w:rFonts w:hAnsi="黑体"/>
        </w:rPr>
      </w:pPr>
      <w:r>
        <w:rPr>
          <w:rFonts w:hint="eastAsia" w:hAnsi="黑体"/>
        </w:rPr>
        <w:t>3、样品溶解</w:t>
      </w:r>
      <w:r>
        <w:rPr>
          <w:rFonts w:hAnsi="黑体"/>
        </w:rPr>
        <w:t>方法</w:t>
      </w:r>
    </w:p>
    <w:p>
      <w:pPr>
        <w:spacing w:line="300" w:lineRule="auto"/>
        <w:ind w:firstLine="420"/>
      </w:pPr>
      <w:r>
        <w:rPr>
          <w:rFonts w:hint="eastAsia"/>
        </w:rPr>
        <w:t>氧化锆样品常温常压下难以溶解，因此方法采用微波消解辅助溶解。</w:t>
      </w:r>
      <w:r>
        <w:t>ICP-MS</w:t>
      </w:r>
      <w:r>
        <w:rPr>
          <w:rFonts w:hint="eastAsia"/>
        </w:rPr>
        <w:t>方法称样量为</w:t>
      </w:r>
      <w:r>
        <w:t>0.10g</w:t>
      </w:r>
      <w:r>
        <w:rPr>
          <w:rFonts w:hint="eastAsia"/>
        </w:rPr>
        <w:t>，实验发现，加入</w:t>
      </w:r>
      <w:r>
        <w:t>2mL</w:t>
      </w:r>
      <w:r>
        <w:rPr>
          <w:rFonts w:hint="eastAsia"/>
        </w:rPr>
        <w:t>硝酸和</w:t>
      </w:r>
      <w:r>
        <w:t>2mL</w:t>
      </w:r>
      <w:r>
        <w:rPr>
          <w:rFonts w:hint="eastAsia"/>
        </w:rPr>
        <w:t>氢氟酸，用</w:t>
      </w:r>
      <w:r>
        <w:t>Mars6</w:t>
      </w:r>
      <w:r>
        <w:rPr>
          <w:rFonts w:hint="eastAsia"/>
        </w:rPr>
        <w:t>微波消解仪（</w:t>
      </w:r>
      <w:r>
        <w:t>CEM</w:t>
      </w:r>
      <w:r>
        <w:rPr>
          <w:rFonts w:hint="eastAsia"/>
        </w:rPr>
        <w:t>公司），按照表</w:t>
      </w:r>
      <w:r>
        <w:t>2</w:t>
      </w:r>
      <w:r>
        <w:rPr>
          <w:rFonts w:hint="eastAsia"/>
        </w:rPr>
        <w:t>所示的温控程序，样品能够溶解完全。鉴于各种微波消解仪的控制原理不同，标准不具体给出消解的升温程序。</w:t>
      </w:r>
    </w:p>
    <w:p>
      <w:pPr>
        <w:adjustRightInd w:val="0"/>
        <w:snapToGrid w:val="0"/>
        <w:spacing w:before="312" w:beforeLines="100" w:after="156" w:afterLines="50" w:line="360" w:lineRule="exact"/>
        <w:jc w:val="center"/>
        <w:rPr>
          <w:rFonts w:ascii="黑体" w:hAnsi="黑体" w:eastAsia="黑体"/>
          <w:szCs w:val="21"/>
        </w:rPr>
      </w:pPr>
      <w:r>
        <w:rPr>
          <w:rFonts w:hint="eastAsia" w:ascii="黑体" w:hAnsi="黑体" w:eastAsia="黑体"/>
          <w:szCs w:val="21"/>
        </w:rPr>
        <w:t>表2微波消解程序</w:t>
      </w:r>
    </w:p>
    <w:tbl>
      <w:tblPr>
        <w:tblStyle w:val="88"/>
        <w:tblW w:w="5000" w:type="pct"/>
        <w:jc w:val="center"/>
        <w:tblBorders>
          <w:top w:val="single" w:color="auto" w:sz="8" w:space="0"/>
          <w:left w:val="none" w:color="auto" w:sz="0" w:space="0"/>
          <w:bottom w:val="single" w:color="auto" w:sz="8" w:space="0"/>
          <w:right w:val="none" w:color="auto" w:sz="0" w:space="0"/>
          <w:insideH w:val="single" w:color="auto" w:sz="8" w:space="0"/>
          <w:insideV w:val="none" w:color="auto" w:sz="0" w:space="0"/>
        </w:tblBorders>
        <w:tblLayout w:type="autofit"/>
        <w:tblCellMar>
          <w:top w:w="0" w:type="dxa"/>
          <w:left w:w="108" w:type="dxa"/>
          <w:bottom w:w="0" w:type="dxa"/>
          <w:right w:w="108" w:type="dxa"/>
        </w:tblCellMar>
      </w:tblPr>
      <w:tblGrid>
        <w:gridCol w:w="846"/>
        <w:gridCol w:w="1532"/>
        <w:gridCol w:w="2510"/>
        <w:gridCol w:w="2311"/>
        <w:gridCol w:w="2713"/>
      </w:tblGrid>
      <w:tr>
        <w:tblPrEx>
          <w:tblBorders>
            <w:top w:val="single" w:color="auto" w:sz="8" w:space="0"/>
            <w:left w:val="none" w:color="auto" w:sz="0" w:space="0"/>
            <w:bottom w:val="single" w:color="auto" w:sz="8" w:space="0"/>
            <w:right w:val="none" w:color="auto" w:sz="0" w:space="0"/>
            <w:insideH w:val="single" w:color="auto" w:sz="8" w:space="0"/>
            <w:insideV w:val="none" w:color="auto" w:sz="0" w:space="0"/>
          </w:tblBorders>
          <w:tblCellMar>
            <w:top w:w="0" w:type="dxa"/>
            <w:left w:w="108" w:type="dxa"/>
            <w:bottom w:w="0" w:type="dxa"/>
            <w:right w:w="108" w:type="dxa"/>
          </w:tblCellMar>
        </w:tblPrEx>
        <w:trPr>
          <w:jc w:val="center"/>
        </w:trPr>
        <w:tc>
          <w:tcPr>
            <w:tcW w:w="427" w:type="pct"/>
            <w:tcBorders>
              <w:top w:val="single" w:color="auto" w:sz="8" w:space="0"/>
              <w:left w:val="nil"/>
              <w:bottom w:val="single" w:color="auto" w:sz="8" w:space="0"/>
              <w:right w:val="nil"/>
            </w:tcBorders>
            <w:vAlign w:val="center"/>
          </w:tcPr>
          <w:p>
            <w:pPr>
              <w:jc w:val="center"/>
              <w:rPr>
                <w:bCs/>
                <w:sz w:val="18"/>
                <w:szCs w:val="18"/>
              </w:rPr>
            </w:pPr>
            <w:r>
              <w:rPr>
                <w:rFonts w:hint="eastAsia"/>
                <w:bCs/>
                <w:sz w:val="18"/>
                <w:szCs w:val="18"/>
              </w:rPr>
              <w:t>步骤</w:t>
            </w:r>
          </w:p>
        </w:tc>
        <w:tc>
          <w:tcPr>
            <w:tcW w:w="773" w:type="pct"/>
            <w:tcBorders>
              <w:top w:val="single" w:color="auto" w:sz="8" w:space="0"/>
              <w:left w:val="nil"/>
              <w:bottom w:val="single" w:color="auto" w:sz="8" w:space="0"/>
              <w:right w:val="nil"/>
            </w:tcBorders>
            <w:vAlign w:val="center"/>
          </w:tcPr>
          <w:p>
            <w:pPr>
              <w:jc w:val="center"/>
              <w:rPr>
                <w:bCs/>
                <w:sz w:val="18"/>
                <w:szCs w:val="18"/>
              </w:rPr>
            </w:pPr>
            <w:r>
              <w:rPr>
                <w:rFonts w:hint="eastAsia"/>
                <w:bCs/>
                <w:sz w:val="18"/>
                <w:szCs w:val="18"/>
              </w:rPr>
              <w:t>功率</w:t>
            </w:r>
            <w:r>
              <w:rPr>
                <w:bCs/>
                <w:sz w:val="18"/>
                <w:szCs w:val="18"/>
              </w:rPr>
              <w:t>/W</w:t>
            </w:r>
          </w:p>
        </w:tc>
        <w:tc>
          <w:tcPr>
            <w:tcW w:w="1266" w:type="pct"/>
            <w:tcBorders>
              <w:top w:val="single" w:color="auto" w:sz="8" w:space="0"/>
              <w:left w:val="nil"/>
              <w:bottom w:val="single" w:color="auto" w:sz="8" w:space="0"/>
              <w:right w:val="nil"/>
            </w:tcBorders>
            <w:vAlign w:val="center"/>
          </w:tcPr>
          <w:p>
            <w:pPr>
              <w:jc w:val="center"/>
              <w:rPr>
                <w:bCs/>
                <w:sz w:val="18"/>
                <w:szCs w:val="18"/>
              </w:rPr>
            </w:pPr>
            <w:r>
              <w:rPr>
                <w:rFonts w:hint="eastAsia"/>
                <w:bCs/>
                <w:sz w:val="18"/>
                <w:szCs w:val="18"/>
              </w:rPr>
              <w:t>升温时间</w:t>
            </w:r>
            <w:r>
              <w:rPr>
                <w:bCs/>
                <w:sz w:val="18"/>
                <w:szCs w:val="18"/>
              </w:rPr>
              <w:t>/ min</w:t>
            </w:r>
          </w:p>
        </w:tc>
        <w:tc>
          <w:tcPr>
            <w:tcW w:w="1166" w:type="pct"/>
            <w:tcBorders>
              <w:top w:val="single" w:color="auto" w:sz="8" w:space="0"/>
              <w:left w:val="nil"/>
              <w:bottom w:val="single" w:color="auto" w:sz="8" w:space="0"/>
              <w:right w:val="nil"/>
            </w:tcBorders>
            <w:vAlign w:val="center"/>
          </w:tcPr>
          <w:p>
            <w:pPr>
              <w:jc w:val="center"/>
              <w:rPr>
                <w:bCs/>
                <w:sz w:val="18"/>
                <w:szCs w:val="18"/>
              </w:rPr>
            </w:pPr>
            <w:r>
              <w:rPr>
                <w:rFonts w:hint="eastAsia"/>
                <w:bCs/>
                <w:sz w:val="18"/>
                <w:szCs w:val="18"/>
              </w:rPr>
              <w:t>温度</w:t>
            </w:r>
            <w:r>
              <w:rPr>
                <w:bCs/>
                <w:sz w:val="18"/>
                <w:szCs w:val="18"/>
              </w:rPr>
              <w:t xml:space="preserve"> /</w:t>
            </w:r>
            <w:r>
              <w:rPr>
                <w:rFonts w:hint="eastAsia" w:ascii="宋体" w:hAnsi="宋体" w:cs="宋体"/>
                <w:bCs/>
                <w:sz w:val="18"/>
                <w:szCs w:val="18"/>
              </w:rPr>
              <w:t>℃</w:t>
            </w:r>
          </w:p>
        </w:tc>
        <w:tc>
          <w:tcPr>
            <w:tcW w:w="1368" w:type="pct"/>
            <w:tcBorders>
              <w:top w:val="single" w:color="auto" w:sz="8" w:space="0"/>
              <w:left w:val="nil"/>
              <w:bottom w:val="single" w:color="auto" w:sz="8" w:space="0"/>
              <w:right w:val="nil"/>
            </w:tcBorders>
            <w:vAlign w:val="center"/>
          </w:tcPr>
          <w:p>
            <w:pPr>
              <w:jc w:val="center"/>
              <w:rPr>
                <w:bCs/>
                <w:sz w:val="18"/>
                <w:szCs w:val="18"/>
              </w:rPr>
            </w:pPr>
            <w:r>
              <w:rPr>
                <w:rFonts w:hint="eastAsia"/>
                <w:bCs/>
                <w:sz w:val="18"/>
                <w:szCs w:val="18"/>
              </w:rPr>
              <w:t>保温时间</w:t>
            </w:r>
            <w:r>
              <w:rPr>
                <w:bCs/>
                <w:sz w:val="18"/>
                <w:szCs w:val="18"/>
              </w:rPr>
              <w:t xml:space="preserve"> /min</w:t>
            </w:r>
          </w:p>
        </w:tc>
      </w:tr>
      <w:tr>
        <w:tblPrEx>
          <w:tblBorders>
            <w:top w:val="single" w:color="auto" w:sz="8" w:space="0"/>
            <w:left w:val="none" w:color="auto" w:sz="0" w:space="0"/>
            <w:bottom w:val="single" w:color="auto" w:sz="8" w:space="0"/>
            <w:right w:val="none" w:color="auto" w:sz="0" w:space="0"/>
            <w:insideH w:val="single" w:color="auto" w:sz="8" w:space="0"/>
            <w:insideV w:val="none" w:color="auto" w:sz="0" w:space="0"/>
          </w:tblBorders>
          <w:tblCellMar>
            <w:top w:w="0" w:type="dxa"/>
            <w:left w:w="108" w:type="dxa"/>
            <w:bottom w:w="0" w:type="dxa"/>
            <w:right w:w="108" w:type="dxa"/>
          </w:tblCellMar>
        </w:tblPrEx>
        <w:trPr>
          <w:jc w:val="center"/>
        </w:trPr>
        <w:tc>
          <w:tcPr>
            <w:tcW w:w="427" w:type="pct"/>
            <w:tcBorders>
              <w:top w:val="single" w:color="auto" w:sz="8" w:space="0"/>
              <w:left w:val="nil"/>
              <w:bottom w:val="nil"/>
              <w:right w:val="nil"/>
            </w:tcBorders>
            <w:vAlign w:val="center"/>
          </w:tcPr>
          <w:p>
            <w:pPr>
              <w:jc w:val="center"/>
              <w:rPr>
                <w:bCs/>
                <w:sz w:val="18"/>
                <w:szCs w:val="18"/>
              </w:rPr>
            </w:pPr>
            <w:r>
              <w:rPr>
                <w:bCs/>
                <w:sz w:val="18"/>
                <w:szCs w:val="18"/>
              </w:rPr>
              <w:t>1</w:t>
            </w:r>
          </w:p>
        </w:tc>
        <w:tc>
          <w:tcPr>
            <w:tcW w:w="773" w:type="pct"/>
            <w:tcBorders>
              <w:top w:val="single" w:color="auto" w:sz="8" w:space="0"/>
              <w:left w:val="nil"/>
              <w:bottom w:val="nil"/>
              <w:right w:val="nil"/>
            </w:tcBorders>
            <w:vAlign w:val="center"/>
          </w:tcPr>
          <w:p>
            <w:pPr>
              <w:jc w:val="center"/>
              <w:rPr>
                <w:bCs/>
                <w:sz w:val="18"/>
                <w:szCs w:val="18"/>
              </w:rPr>
            </w:pPr>
            <w:r>
              <w:rPr>
                <w:bCs/>
                <w:sz w:val="18"/>
                <w:szCs w:val="18"/>
              </w:rPr>
              <w:t>1200</w:t>
            </w:r>
          </w:p>
        </w:tc>
        <w:tc>
          <w:tcPr>
            <w:tcW w:w="1266" w:type="pct"/>
            <w:tcBorders>
              <w:top w:val="single" w:color="auto" w:sz="8" w:space="0"/>
              <w:left w:val="nil"/>
              <w:bottom w:val="nil"/>
              <w:right w:val="nil"/>
            </w:tcBorders>
            <w:vAlign w:val="center"/>
          </w:tcPr>
          <w:p>
            <w:pPr>
              <w:jc w:val="center"/>
              <w:rPr>
                <w:bCs/>
                <w:sz w:val="18"/>
                <w:szCs w:val="18"/>
              </w:rPr>
            </w:pPr>
            <w:r>
              <w:rPr>
                <w:bCs/>
                <w:sz w:val="18"/>
                <w:szCs w:val="18"/>
              </w:rPr>
              <w:t>10</w:t>
            </w:r>
          </w:p>
        </w:tc>
        <w:tc>
          <w:tcPr>
            <w:tcW w:w="1166" w:type="pct"/>
            <w:tcBorders>
              <w:top w:val="single" w:color="auto" w:sz="8" w:space="0"/>
              <w:left w:val="nil"/>
              <w:bottom w:val="nil"/>
              <w:right w:val="nil"/>
            </w:tcBorders>
            <w:vAlign w:val="center"/>
          </w:tcPr>
          <w:p>
            <w:pPr>
              <w:jc w:val="center"/>
              <w:rPr>
                <w:bCs/>
                <w:sz w:val="18"/>
                <w:szCs w:val="18"/>
              </w:rPr>
            </w:pPr>
            <w:r>
              <w:rPr>
                <w:bCs/>
                <w:sz w:val="18"/>
                <w:szCs w:val="18"/>
              </w:rPr>
              <w:t>120</w:t>
            </w:r>
          </w:p>
        </w:tc>
        <w:tc>
          <w:tcPr>
            <w:tcW w:w="1368" w:type="pct"/>
            <w:tcBorders>
              <w:top w:val="single" w:color="auto" w:sz="8" w:space="0"/>
              <w:left w:val="nil"/>
              <w:bottom w:val="nil"/>
              <w:right w:val="nil"/>
            </w:tcBorders>
            <w:vAlign w:val="center"/>
          </w:tcPr>
          <w:p>
            <w:pPr>
              <w:jc w:val="center"/>
              <w:rPr>
                <w:bCs/>
                <w:sz w:val="18"/>
                <w:szCs w:val="18"/>
              </w:rPr>
            </w:pPr>
            <w:r>
              <w:rPr>
                <w:bCs/>
                <w:sz w:val="18"/>
                <w:szCs w:val="18"/>
              </w:rPr>
              <w:t>10</w:t>
            </w:r>
          </w:p>
        </w:tc>
      </w:tr>
      <w:tr>
        <w:tblPrEx>
          <w:tblBorders>
            <w:top w:val="single" w:color="auto" w:sz="8" w:space="0"/>
            <w:left w:val="none" w:color="auto" w:sz="0" w:space="0"/>
            <w:bottom w:val="single" w:color="auto" w:sz="8" w:space="0"/>
            <w:right w:val="none" w:color="auto" w:sz="0" w:space="0"/>
            <w:insideH w:val="single" w:color="auto" w:sz="8" w:space="0"/>
            <w:insideV w:val="none" w:color="auto" w:sz="0" w:space="0"/>
          </w:tblBorders>
          <w:tblCellMar>
            <w:top w:w="0" w:type="dxa"/>
            <w:left w:w="108" w:type="dxa"/>
            <w:bottom w:w="0" w:type="dxa"/>
            <w:right w:w="108" w:type="dxa"/>
          </w:tblCellMar>
        </w:tblPrEx>
        <w:trPr>
          <w:jc w:val="center"/>
        </w:trPr>
        <w:tc>
          <w:tcPr>
            <w:tcW w:w="427" w:type="pct"/>
            <w:tcBorders>
              <w:top w:val="nil"/>
              <w:left w:val="nil"/>
              <w:bottom w:val="single" w:color="auto" w:sz="8" w:space="0"/>
              <w:right w:val="nil"/>
            </w:tcBorders>
            <w:vAlign w:val="center"/>
          </w:tcPr>
          <w:p>
            <w:pPr>
              <w:jc w:val="center"/>
              <w:rPr>
                <w:bCs/>
                <w:sz w:val="18"/>
                <w:szCs w:val="18"/>
              </w:rPr>
            </w:pPr>
            <w:r>
              <w:rPr>
                <w:bCs/>
                <w:sz w:val="18"/>
                <w:szCs w:val="18"/>
              </w:rPr>
              <w:t>2</w:t>
            </w:r>
          </w:p>
        </w:tc>
        <w:tc>
          <w:tcPr>
            <w:tcW w:w="773" w:type="pct"/>
            <w:tcBorders>
              <w:top w:val="nil"/>
              <w:left w:val="nil"/>
              <w:bottom w:val="single" w:color="auto" w:sz="8" w:space="0"/>
              <w:right w:val="nil"/>
            </w:tcBorders>
            <w:vAlign w:val="center"/>
          </w:tcPr>
          <w:p>
            <w:pPr>
              <w:jc w:val="center"/>
              <w:rPr>
                <w:bCs/>
                <w:sz w:val="18"/>
                <w:szCs w:val="18"/>
              </w:rPr>
            </w:pPr>
            <w:r>
              <w:rPr>
                <w:bCs/>
                <w:sz w:val="18"/>
                <w:szCs w:val="18"/>
              </w:rPr>
              <w:t>1200</w:t>
            </w:r>
          </w:p>
        </w:tc>
        <w:tc>
          <w:tcPr>
            <w:tcW w:w="1266" w:type="pct"/>
            <w:tcBorders>
              <w:top w:val="nil"/>
              <w:left w:val="nil"/>
              <w:bottom w:val="single" w:color="auto" w:sz="8" w:space="0"/>
              <w:right w:val="nil"/>
            </w:tcBorders>
            <w:vAlign w:val="center"/>
          </w:tcPr>
          <w:p>
            <w:pPr>
              <w:jc w:val="center"/>
              <w:rPr>
                <w:bCs/>
                <w:sz w:val="18"/>
                <w:szCs w:val="18"/>
              </w:rPr>
            </w:pPr>
            <w:r>
              <w:rPr>
                <w:bCs/>
                <w:sz w:val="18"/>
                <w:szCs w:val="18"/>
              </w:rPr>
              <w:t>10</w:t>
            </w:r>
          </w:p>
        </w:tc>
        <w:tc>
          <w:tcPr>
            <w:tcW w:w="1166" w:type="pct"/>
            <w:tcBorders>
              <w:top w:val="nil"/>
              <w:left w:val="nil"/>
              <w:bottom w:val="single" w:color="auto" w:sz="8" w:space="0"/>
              <w:right w:val="nil"/>
            </w:tcBorders>
            <w:vAlign w:val="center"/>
          </w:tcPr>
          <w:p>
            <w:pPr>
              <w:jc w:val="center"/>
              <w:rPr>
                <w:bCs/>
                <w:sz w:val="18"/>
                <w:szCs w:val="18"/>
              </w:rPr>
            </w:pPr>
            <w:r>
              <w:rPr>
                <w:bCs/>
                <w:sz w:val="18"/>
                <w:szCs w:val="18"/>
              </w:rPr>
              <w:t>190</w:t>
            </w:r>
          </w:p>
        </w:tc>
        <w:tc>
          <w:tcPr>
            <w:tcW w:w="1368" w:type="pct"/>
            <w:tcBorders>
              <w:top w:val="nil"/>
              <w:left w:val="nil"/>
              <w:bottom w:val="single" w:color="auto" w:sz="8" w:space="0"/>
              <w:right w:val="nil"/>
            </w:tcBorders>
            <w:vAlign w:val="center"/>
          </w:tcPr>
          <w:p>
            <w:pPr>
              <w:jc w:val="center"/>
              <w:rPr>
                <w:bCs/>
                <w:sz w:val="18"/>
                <w:szCs w:val="18"/>
              </w:rPr>
            </w:pPr>
            <w:r>
              <w:rPr>
                <w:bCs/>
                <w:sz w:val="18"/>
                <w:szCs w:val="18"/>
              </w:rPr>
              <w:t>50</w:t>
            </w:r>
          </w:p>
        </w:tc>
      </w:tr>
    </w:tbl>
    <w:p>
      <w:pPr>
        <w:pStyle w:val="120"/>
        <w:tabs>
          <w:tab w:val="clear" w:pos="675"/>
        </w:tabs>
        <w:spacing w:before="156" w:beforeLines="50" w:after="156" w:afterLines="50" w:line="312" w:lineRule="auto"/>
        <w:ind w:left="0" w:firstLine="0"/>
        <w:rPr>
          <w:rFonts w:hAnsi="黑体"/>
        </w:rPr>
      </w:pPr>
      <w:r>
        <w:rPr>
          <w:rFonts w:hAnsi="黑体"/>
        </w:rPr>
        <w:t>4</w:t>
      </w:r>
      <w:r>
        <w:rPr>
          <w:rFonts w:hint="eastAsia" w:hAnsi="黑体"/>
        </w:rPr>
        <w:t>、同位素的确定</w:t>
      </w:r>
    </w:p>
    <w:p>
      <w:pPr>
        <w:spacing w:line="300" w:lineRule="auto"/>
        <w:ind w:firstLine="435"/>
        <w:rPr>
          <w:szCs w:val="21"/>
        </w:rPr>
      </w:pPr>
      <w:r>
        <w:rPr>
          <w:rFonts w:hint="eastAsia"/>
          <w:szCs w:val="21"/>
        </w:rPr>
        <w:t>被测元素同位素质量数选择依据为丰度高且无干扰。研究发现，存在质谱干扰的元素主要有</w:t>
      </w:r>
      <w:r>
        <w:rPr>
          <w:szCs w:val="21"/>
        </w:rPr>
        <w:t>Cd</w:t>
      </w:r>
      <w:r>
        <w:rPr>
          <w:rFonts w:hint="eastAsia"/>
          <w:szCs w:val="21"/>
        </w:rPr>
        <w:t>、</w:t>
      </w:r>
      <w:r>
        <w:rPr>
          <w:szCs w:val="21"/>
        </w:rPr>
        <w:t>Ti</w:t>
      </w:r>
      <w:r>
        <w:rPr>
          <w:rFonts w:hint="eastAsia"/>
          <w:szCs w:val="21"/>
        </w:rPr>
        <w:t>、</w:t>
      </w:r>
      <w:r>
        <w:rPr>
          <w:szCs w:val="21"/>
        </w:rPr>
        <w:t>Fe</w:t>
      </w:r>
      <w:r>
        <w:rPr>
          <w:rFonts w:hint="eastAsia"/>
          <w:szCs w:val="21"/>
        </w:rPr>
        <w:t>、</w:t>
      </w:r>
      <w:r>
        <w:rPr>
          <w:szCs w:val="21"/>
        </w:rPr>
        <w:t>Ca</w:t>
      </w:r>
      <w:r>
        <w:rPr>
          <w:rFonts w:hint="eastAsia"/>
          <w:szCs w:val="21"/>
        </w:rPr>
        <w:t>等。其中</w:t>
      </w:r>
      <w:r>
        <w:rPr>
          <w:szCs w:val="21"/>
        </w:rPr>
        <w:t>Cd</w:t>
      </w:r>
      <w:r>
        <w:rPr>
          <w:rFonts w:hint="eastAsia"/>
          <w:szCs w:val="21"/>
        </w:rPr>
        <w:t>是受到Z</w:t>
      </w:r>
      <w:r>
        <w:rPr>
          <w:szCs w:val="21"/>
        </w:rPr>
        <w:t>rO</w:t>
      </w:r>
      <w:r>
        <w:rPr>
          <w:szCs w:val="21"/>
          <w:vertAlign w:val="superscript"/>
        </w:rPr>
        <w:t>+</w:t>
      </w:r>
      <w:r>
        <w:rPr>
          <w:rFonts w:hint="eastAsia"/>
          <w:szCs w:val="21"/>
        </w:rPr>
        <w:t>干扰；</w:t>
      </w:r>
      <w:r>
        <w:rPr>
          <w:szCs w:val="21"/>
        </w:rPr>
        <w:t>Ti</w:t>
      </w:r>
      <w:r>
        <w:rPr>
          <w:rFonts w:hint="eastAsia"/>
          <w:szCs w:val="21"/>
        </w:rPr>
        <w:t>受到</w:t>
      </w:r>
      <w:r>
        <w:rPr>
          <w:szCs w:val="21"/>
        </w:rPr>
        <w:t>Zr</w:t>
      </w:r>
      <w:r>
        <w:rPr>
          <w:szCs w:val="21"/>
          <w:vertAlign w:val="superscript"/>
        </w:rPr>
        <w:t>2+</w:t>
      </w:r>
      <w:r>
        <w:rPr>
          <w:rFonts w:hint="eastAsia"/>
          <w:szCs w:val="21"/>
        </w:rPr>
        <w:t>双电荷干扰；</w:t>
      </w:r>
      <w:r>
        <w:rPr>
          <w:rFonts w:hint="eastAsia"/>
          <w:szCs w:val="21"/>
          <w:vertAlign w:val="superscript"/>
        </w:rPr>
        <w:t>56</w:t>
      </w:r>
      <w:r>
        <w:rPr>
          <w:szCs w:val="21"/>
        </w:rPr>
        <w:t>Fe</w:t>
      </w:r>
      <w:r>
        <w:rPr>
          <w:rFonts w:hint="eastAsia"/>
          <w:szCs w:val="21"/>
        </w:rPr>
        <w:t>、</w:t>
      </w:r>
      <w:r>
        <w:rPr>
          <w:rFonts w:hint="eastAsia"/>
          <w:szCs w:val="21"/>
          <w:vertAlign w:val="superscript"/>
        </w:rPr>
        <w:t>40</w:t>
      </w:r>
      <w:r>
        <w:rPr>
          <w:szCs w:val="21"/>
        </w:rPr>
        <w:t>Ca</w:t>
      </w:r>
      <w:r>
        <w:rPr>
          <w:rFonts w:hint="eastAsia"/>
          <w:szCs w:val="21"/>
        </w:rPr>
        <w:t>受到</w:t>
      </w:r>
      <w:r>
        <w:rPr>
          <w:rFonts w:hint="eastAsia"/>
          <w:szCs w:val="21"/>
          <w:vertAlign w:val="superscript"/>
        </w:rPr>
        <w:t>40</w:t>
      </w:r>
      <w:r>
        <w:rPr>
          <w:szCs w:val="21"/>
        </w:rPr>
        <w:t>Ar</w:t>
      </w:r>
      <w:r>
        <w:rPr>
          <w:szCs w:val="21"/>
          <w:vertAlign w:val="superscript"/>
        </w:rPr>
        <w:t>16</w:t>
      </w:r>
      <w:r>
        <w:rPr>
          <w:szCs w:val="21"/>
        </w:rPr>
        <w:t>O</w:t>
      </w:r>
      <w:r>
        <w:rPr>
          <w:rFonts w:hint="eastAsia"/>
          <w:szCs w:val="21"/>
        </w:rPr>
        <w:t>、</w:t>
      </w:r>
      <w:r>
        <w:rPr>
          <w:rFonts w:hint="eastAsia"/>
          <w:szCs w:val="21"/>
          <w:vertAlign w:val="superscript"/>
        </w:rPr>
        <w:t>40</w:t>
      </w:r>
      <w:r>
        <w:rPr>
          <w:szCs w:val="21"/>
        </w:rPr>
        <w:t>Ar</w:t>
      </w:r>
      <w:r>
        <w:rPr>
          <w:rFonts w:hint="eastAsia"/>
          <w:szCs w:val="21"/>
        </w:rPr>
        <w:t>的干扰，需要</w:t>
      </w:r>
      <w:r>
        <w:rPr>
          <w:szCs w:val="21"/>
        </w:rPr>
        <w:t>采用碰撞反应池技术。</w:t>
      </w:r>
      <w:r>
        <w:rPr>
          <w:rFonts w:hint="eastAsia"/>
          <w:szCs w:val="21"/>
        </w:rPr>
        <w:t>在</w:t>
      </w:r>
      <w:r>
        <w:rPr>
          <w:szCs w:val="21"/>
        </w:rPr>
        <w:t>充分考察</w:t>
      </w:r>
      <w:r>
        <w:rPr>
          <w:rFonts w:hint="eastAsia"/>
          <w:szCs w:val="21"/>
        </w:rPr>
        <w:t>不同</w:t>
      </w:r>
      <w:r>
        <w:rPr>
          <w:szCs w:val="21"/>
        </w:rPr>
        <w:t>厂家、不同型号ICP-MS</w:t>
      </w:r>
      <w:r>
        <w:rPr>
          <w:rFonts w:hint="eastAsia"/>
          <w:szCs w:val="21"/>
        </w:rPr>
        <w:t>设备</w:t>
      </w:r>
      <w:r>
        <w:rPr>
          <w:szCs w:val="21"/>
        </w:rPr>
        <w:t>的基础上，</w:t>
      </w:r>
      <w:r>
        <w:rPr>
          <w:rFonts w:hint="eastAsia"/>
          <w:szCs w:val="21"/>
        </w:rPr>
        <w:t>推荐各元素质量数选择如表</w:t>
      </w:r>
      <w:r>
        <w:rPr>
          <w:szCs w:val="21"/>
        </w:rPr>
        <w:t>3</w:t>
      </w:r>
      <w:r>
        <w:rPr>
          <w:rFonts w:hint="eastAsia"/>
          <w:szCs w:val="21"/>
        </w:rPr>
        <w:t>所示。</w:t>
      </w:r>
    </w:p>
    <w:p>
      <w:pPr>
        <w:adjustRightInd w:val="0"/>
        <w:snapToGrid w:val="0"/>
        <w:spacing w:before="312" w:beforeLines="100" w:after="156" w:afterLines="50" w:line="360" w:lineRule="exact"/>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3  </w:t>
      </w:r>
      <w:r>
        <w:rPr>
          <w:rFonts w:hint="eastAsia" w:ascii="黑体" w:hAnsi="黑体" w:eastAsia="黑体"/>
          <w:szCs w:val="21"/>
        </w:rPr>
        <w:t>各元素推荐测定同位素的质量数</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8"/>
        <w:gridCol w:w="2478"/>
        <w:gridCol w:w="2478"/>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Cs w:val="21"/>
              </w:rPr>
            </w:pPr>
            <w:r>
              <w:rPr>
                <w:rFonts w:hint="eastAsia"/>
                <w:kern w:val="0"/>
                <w:szCs w:val="21"/>
              </w:rPr>
              <w:t>元素</w:t>
            </w:r>
          </w:p>
        </w:tc>
        <w:tc>
          <w:tcPr>
            <w:tcW w:w="1250" w:type="pct"/>
            <w:tcBorders>
              <w:top w:val="single" w:color="auto" w:sz="4" w:space="0"/>
              <w:left w:val="single" w:color="auto" w:sz="4" w:space="0"/>
              <w:bottom w:val="single" w:color="auto" w:sz="4" w:space="0"/>
              <w:right w:val="double" w:color="auto" w:sz="4" w:space="0"/>
            </w:tcBorders>
            <w:vAlign w:val="center"/>
          </w:tcPr>
          <w:p>
            <w:pPr>
              <w:widowControl/>
              <w:snapToGrid w:val="0"/>
              <w:jc w:val="center"/>
              <w:rPr>
                <w:kern w:val="0"/>
                <w:szCs w:val="21"/>
              </w:rPr>
            </w:pPr>
            <w:r>
              <w:rPr>
                <w:rFonts w:hint="eastAsia"/>
                <w:kern w:val="0"/>
                <w:szCs w:val="21"/>
              </w:rPr>
              <w:t>同位素质量数</w:t>
            </w:r>
          </w:p>
        </w:tc>
        <w:tc>
          <w:tcPr>
            <w:tcW w:w="1250" w:type="pct"/>
            <w:tcBorders>
              <w:top w:val="single" w:color="auto" w:sz="4" w:space="0"/>
              <w:left w:val="double" w:color="auto" w:sz="4" w:space="0"/>
              <w:bottom w:val="single" w:color="auto" w:sz="4" w:space="0"/>
              <w:right w:val="single" w:color="auto" w:sz="4" w:space="0"/>
            </w:tcBorders>
            <w:vAlign w:val="center"/>
          </w:tcPr>
          <w:p>
            <w:pPr>
              <w:widowControl/>
              <w:snapToGrid w:val="0"/>
              <w:jc w:val="center"/>
              <w:rPr>
                <w:kern w:val="0"/>
                <w:szCs w:val="21"/>
              </w:rPr>
            </w:pPr>
            <w:r>
              <w:rPr>
                <w:rFonts w:hint="eastAsia"/>
                <w:kern w:val="0"/>
                <w:szCs w:val="21"/>
              </w:rPr>
              <w:t>元素</w:t>
            </w:r>
          </w:p>
        </w:tc>
        <w:tc>
          <w:tcPr>
            <w:tcW w:w="1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Cs w:val="21"/>
              </w:rPr>
            </w:pPr>
            <w:r>
              <w:rPr>
                <w:rFonts w:hint="eastAsia"/>
                <w:kern w:val="0"/>
                <w:szCs w:val="21"/>
              </w:rPr>
              <w:t>同位素质量数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50" w:type="pct"/>
            <w:tcBorders>
              <w:top w:val="single" w:color="auto" w:sz="4" w:space="0"/>
              <w:left w:val="single" w:color="auto" w:sz="4" w:space="0"/>
              <w:bottom w:val="single" w:color="auto" w:sz="4" w:space="0"/>
              <w:right w:val="single" w:color="auto" w:sz="4" w:space="0"/>
            </w:tcBorders>
            <w:vAlign w:val="center"/>
          </w:tcPr>
          <w:p>
            <w:pPr>
              <w:tabs>
                <w:tab w:val="left" w:pos="660"/>
              </w:tabs>
              <w:jc w:val="center"/>
              <w:rPr>
                <w:bCs/>
                <w:szCs w:val="21"/>
              </w:rPr>
            </w:pPr>
            <w:r>
              <w:rPr>
                <w:rFonts w:hint="eastAsia"/>
                <w:bCs/>
                <w:szCs w:val="21"/>
              </w:rPr>
              <w:t>B</w:t>
            </w:r>
          </w:p>
        </w:tc>
        <w:tc>
          <w:tcPr>
            <w:tcW w:w="1250" w:type="pct"/>
            <w:tcBorders>
              <w:top w:val="single" w:color="auto" w:sz="4" w:space="0"/>
              <w:left w:val="single" w:color="auto" w:sz="4" w:space="0"/>
              <w:bottom w:val="single" w:color="auto" w:sz="4" w:space="0"/>
              <w:right w:val="double" w:color="auto" w:sz="4" w:space="0"/>
            </w:tcBorders>
            <w:vAlign w:val="center"/>
          </w:tcPr>
          <w:p>
            <w:pPr>
              <w:tabs>
                <w:tab w:val="left" w:pos="660"/>
              </w:tabs>
              <w:jc w:val="center"/>
              <w:rPr>
                <w:bCs/>
                <w:szCs w:val="21"/>
              </w:rPr>
            </w:pPr>
            <w:r>
              <w:rPr>
                <w:rFonts w:hint="eastAsia"/>
                <w:bCs/>
                <w:szCs w:val="21"/>
              </w:rPr>
              <w:t>11</w:t>
            </w:r>
          </w:p>
        </w:tc>
        <w:tc>
          <w:tcPr>
            <w:tcW w:w="1250" w:type="pct"/>
            <w:tcBorders>
              <w:top w:val="single" w:color="auto" w:sz="4" w:space="0"/>
              <w:left w:val="double" w:color="auto" w:sz="4" w:space="0"/>
              <w:bottom w:val="single" w:color="auto" w:sz="4" w:space="0"/>
              <w:right w:val="single" w:color="auto" w:sz="4" w:space="0"/>
            </w:tcBorders>
            <w:vAlign w:val="center"/>
          </w:tcPr>
          <w:p>
            <w:pPr>
              <w:jc w:val="center"/>
              <w:rPr>
                <w:bCs/>
                <w:szCs w:val="21"/>
              </w:rPr>
            </w:pPr>
            <w:r>
              <w:rPr>
                <w:bCs/>
                <w:szCs w:val="21"/>
              </w:rPr>
              <w:t>Fe</w:t>
            </w:r>
          </w:p>
        </w:tc>
        <w:tc>
          <w:tcPr>
            <w:tcW w:w="1250" w:type="pct"/>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50" w:type="pct"/>
            <w:tcBorders>
              <w:top w:val="single" w:color="auto" w:sz="4" w:space="0"/>
              <w:left w:val="single" w:color="auto" w:sz="4" w:space="0"/>
              <w:bottom w:val="single" w:color="auto" w:sz="4" w:space="0"/>
              <w:right w:val="single" w:color="auto" w:sz="4" w:space="0"/>
            </w:tcBorders>
            <w:vAlign w:val="center"/>
          </w:tcPr>
          <w:p>
            <w:pPr>
              <w:tabs>
                <w:tab w:val="left" w:pos="660"/>
              </w:tabs>
              <w:jc w:val="center"/>
              <w:rPr>
                <w:bCs/>
                <w:szCs w:val="21"/>
              </w:rPr>
            </w:pPr>
            <w:r>
              <w:rPr>
                <w:bCs/>
                <w:szCs w:val="21"/>
              </w:rPr>
              <w:t xml:space="preserve"> </w:t>
            </w:r>
            <w:r>
              <w:rPr>
                <w:rFonts w:hint="eastAsia"/>
                <w:bCs/>
                <w:szCs w:val="21"/>
              </w:rPr>
              <w:t>Na</w:t>
            </w:r>
          </w:p>
        </w:tc>
        <w:tc>
          <w:tcPr>
            <w:tcW w:w="1250" w:type="pct"/>
            <w:tcBorders>
              <w:top w:val="single" w:color="auto" w:sz="4" w:space="0"/>
              <w:left w:val="single" w:color="auto" w:sz="4" w:space="0"/>
              <w:bottom w:val="single" w:color="auto" w:sz="4" w:space="0"/>
              <w:right w:val="double" w:color="auto" w:sz="4" w:space="0"/>
            </w:tcBorders>
            <w:vAlign w:val="center"/>
          </w:tcPr>
          <w:p>
            <w:pPr>
              <w:tabs>
                <w:tab w:val="left" w:pos="660"/>
              </w:tabs>
              <w:jc w:val="center"/>
              <w:rPr>
                <w:bCs/>
                <w:szCs w:val="21"/>
              </w:rPr>
            </w:pPr>
            <w:r>
              <w:rPr>
                <w:rFonts w:hint="eastAsia"/>
                <w:bCs/>
                <w:szCs w:val="21"/>
              </w:rPr>
              <w:t>23</w:t>
            </w:r>
          </w:p>
        </w:tc>
        <w:tc>
          <w:tcPr>
            <w:tcW w:w="1250" w:type="pct"/>
            <w:tcBorders>
              <w:top w:val="single" w:color="auto" w:sz="4" w:space="0"/>
              <w:left w:val="double" w:color="auto" w:sz="4" w:space="0"/>
              <w:bottom w:val="single" w:color="auto" w:sz="4" w:space="0"/>
              <w:right w:val="single" w:color="auto" w:sz="4" w:space="0"/>
            </w:tcBorders>
            <w:vAlign w:val="center"/>
          </w:tcPr>
          <w:p>
            <w:pPr>
              <w:jc w:val="center"/>
              <w:rPr>
                <w:bCs/>
                <w:szCs w:val="21"/>
              </w:rPr>
            </w:pPr>
            <w:r>
              <w:rPr>
                <w:bCs/>
                <w:szCs w:val="21"/>
              </w:rPr>
              <w:t>Co</w:t>
            </w:r>
          </w:p>
        </w:tc>
        <w:tc>
          <w:tcPr>
            <w:tcW w:w="1250" w:type="pct"/>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50" w:type="pct"/>
            <w:tcBorders>
              <w:top w:val="single" w:color="auto" w:sz="4" w:space="0"/>
              <w:left w:val="single" w:color="auto" w:sz="4" w:space="0"/>
              <w:bottom w:val="single" w:color="auto" w:sz="4" w:space="0"/>
              <w:right w:val="single" w:color="auto" w:sz="4" w:space="0"/>
            </w:tcBorders>
            <w:vAlign w:val="center"/>
          </w:tcPr>
          <w:p>
            <w:pPr>
              <w:tabs>
                <w:tab w:val="left" w:pos="660"/>
              </w:tabs>
              <w:jc w:val="center"/>
              <w:rPr>
                <w:bCs/>
                <w:szCs w:val="21"/>
              </w:rPr>
            </w:pPr>
            <w:r>
              <w:rPr>
                <w:bCs/>
                <w:szCs w:val="21"/>
              </w:rPr>
              <w:t xml:space="preserve"> Mg</w:t>
            </w:r>
          </w:p>
        </w:tc>
        <w:tc>
          <w:tcPr>
            <w:tcW w:w="1250" w:type="pct"/>
            <w:tcBorders>
              <w:top w:val="single" w:color="auto" w:sz="4" w:space="0"/>
              <w:left w:val="single" w:color="auto" w:sz="4" w:space="0"/>
              <w:bottom w:val="single" w:color="auto" w:sz="4" w:space="0"/>
              <w:right w:val="double" w:color="auto" w:sz="4" w:space="0"/>
            </w:tcBorders>
            <w:vAlign w:val="center"/>
          </w:tcPr>
          <w:p>
            <w:pPr>
              <w:tabs>
                <w:tab w:val="left" w:pos="660"/>
              </w:tabs>
              <w:jc w:val="center"/>
              <w:rPr>
                <w:bCs/>
                <w:szCs w:val="21"/>
              </w:rPr>
            </w:pPr>
            <w:r>
              <w:rPr>
                <w:bCs/>
                <w:szCs w:val="21"/>
              </w:rPr>
              <w:t>24</w:t>
            </w:r>
          </w:p>
        </w:tc>
        <w:tc>
          <w:tcPr>
            <w:tcW w:w="1250" w:type="pct"/>
            <w:tcBorders>
              <w:top w:val="single" w:color="auto" w:sz="4" w:space="0"/>
              <w:left w:val="double" w:color="auto" w:sz="4" w:space="0"/>
              <w:bottom w:val="single" w:color="auto" w:sz="4" w:space="0"/>
              <w:right w:val="single" w:color="auto" w:sz="4" w:space="0"/>
            </w:tcBorders>
            <w:vAlign w:val="center"/>
          </w:tcPr>
          <w:p>
            <w:pPr>
              <w:jc w:val="center"/>
              <w:rPr>
                <w:bCs/>
                <w:szCs w:val="21"/>
              </w:rPr>
            </w:pPr>
            <w:r>
              <w:rPr>
                <w:bCs/>
                <w:szCs w:val="21"/>
              </w:rPr>
              <w:t>Ni</w:t>
            </w:r>
          </w:p>
        </w:tc>
        <w:tc>
          <w:tcPr>
            <w:tcW w:w="1250" w:type="pct"/>
            <w:tcBorders>
              <w:top w:val="single" w:color="auto" w:sz="4" w:space="0"/>
              <w:left w:val="single" w:color="auto" w:sz="4" w:space="0"/>
              <w:bottom w:val="single" w:color="auto" w:sz="4" w:space="0"/>
              <w:right w:val="single" w:color="auto" w:sz="4" w:space="0"/>
            </w:tcBorders>
            <w:vAlign w:val="center"/>
          </w:tcPr>
          <w:p>
            <w:pPr>
              <w:jc w:val="center"/>
              <w:rPr>
                <w:bCs/>
                <w:szCs w:val="21"/>
              </w:rPr>
            </w:pPr>
            <w:r>
              <w:rPr>
                <w:rFonts w:hint="eastAsia"/>
                <w:bCs/>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50" w:type="pct"/>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Al</w:t>
            </w:r>
          </w:p>
        </w:tc>
        <w:tc>
          <w:tcPr>
            <w:tcW w:w="1250" w:type="pct"/>
            <w:tcBorders>
              <w:top w:val="single" w:color="auto" w:sz="4" w:space="0"/>
              <w:left w:val="single" w:color="auto" w:sz="4" w:space="0"/>
              <w:bottom w:val="single" w:color="auto" w:sz="4" w:space="0"/>
              <w:right w:val="double" w:color="auto" w:sz="4" w:space="0"/>
            </w:tcBorders>
            <w:vAlign w:val="center"/>
          </w:tcPr>
          <w:p>
            <w:pPr>
              <w:jc w:val="center"/>
              <w:rPr>
                <w:bCs/>
                <w:szCs w:val="21"/>
              </w:rPr>
            </w:pPr>
            <w:r>
              <w:rPr>
                <w:bCs/>
                <w:szCs w:val="21"/>
              </w:rPr>
              <w:t>27</w:t>
            </w:r>
          </w:p>
        </w:tc>
        <w:tc>
          <w:tcPr>
            <w:tcW w:w="1250" w:type="pct"/>
            <w:tcBorders>
              <w:top w:val="single" w:color="auto" w:sz="4" w:space="0"/>
              <w:left w:val="double" w:color="auto" w:sz="4" w:space="0"/>
              <w:bottom w:val="single" w:color="auto" w:sz="4" w:space="0"/>
              <w:right w:val="single" w:color="auto" w:sz="4" w:space="0"/>
            </w:tcBorders>
            <w:vAlign w:val="center"/>
          </w:tcPr>
          <w:p>
            <w:pPr>
              <w:jc w:val="center"/>
              <w:rPr>
                <w:bCs/>
                <w:szCs w:val="21"/>
              </w:rPr>
            </w:pPr>
            <w:r>
              <w:rPr>
                <w:bCs/>
                <w:szCs w:val="21"/>
              </w:rPr>
              <w:t>Cu</w:t>
            </w:r>
          </w:p>
        </w:tc>
        <w:tc>
          <w:tcPr>
            <w:tcW w:w="1250" w:type="pct"/>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50" w:type="pct"/>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Si</w:t>
            </w:r>
          </w:p>
        </w:tc>
        <w:tc>
          <w:tcPr>
            <w:tcW w:w="1250" w:type="pct"/>
            <w:tcBorders>
              <w:top w:val="single" w:color="auto" w:sz="4" w:space="0"/>
              <w:left w:val="single" w:color="auto" w:sz="4" w:space="0"/>
              <w:bottom w:val="single" w:color="auto" w:sz="4" w:space="0"/>
              <w:right w:val="double" w:color="auto" w:sz="4" w:space="0"/>
            </w:tcBorders>
            <w:vAlign w:val="center"/>
          </w:tcPr>
          <w:p>
            <w:pPr>
              <w:jc w:val="center"/>
              <w:rPr>
                <w:bCs/>
                <w:szCs w:val="21"/>
              </w:rPr>
            </w:pPr>
            <w:r>
              <w:rPr>
                <w:bCs/>
                <w:szCs w:val="21"/>
              </w:rPr>
              <w:t>28</w:t>
            </w:r>
          </w:p>
        </w:tc>
        <w:tc>
          <w:tcPr>
            <w:tcW w:w="1250" w:type="pct"/>
            <w:tcBorders>
              <w:top w:val="single" w:color="auto" w:sz="4" w:space="0"/>
              <w:left w:val="double" w:color="auto" w:sz="4" w:space="0"/>
              <w:bottom w:val="single" w:color="auto" w:sz="4" w:space="0"/>
              <w:right w:val="single" w:color="auto" w:sz="4" w:space="0"/>
            </w:tcBorders>
            <w:vAlign w:val="center"/>
          </w:tcPr>
          <w:p>
            <w:pPr>
              <w:jc w:val="center"/>
              <w:rPr>
                <w:bCs/>
                <w:szCs w:val="21"/>
              </w:rPr>
            </w:pPr>
            <w:r>
              <w:rPr>
                <w:rFonts w:hint="eastAsia"/>
                <w:bCs/>
                <w:szCs w:val="21"/>
              </w:rPr>
              <w:t>Zn</w:t>
            </w:r>
          </w:p>
        </w:tc>
        <w:tc>
          <w:tcPr>
            <w:tcW w:w="1250" w:type="pct"/>
            <w:tcBorders>
              <w:top w:val="single" w:color="auto" w:sz="4" w:space="0"/>
              <w:left w:val="single" w:color="auto" w:sz="4" w:space="0"/>
              <w:bottom w:val="single" w:color="auto" w:sz="4" w:space="0"/>
              <w:right w:val="single" w:color="auto" w:sz="4" w:space="0"/>
            </w:tcBorders>
            <w:vAlign w:val="center"/>
          </w:tcPr>
          <w:p>
            <w:pPr>
              <w:jc w:val="center"/>
              <w:rPr>
                <w:bCs/>
                <w:szCs w:val="21"/>
              </w:rPr>
            </w:pPr>
            <w:r>
              <w:rPr>
                <w:rFonts w:hint="eastAsia"/>
                <w:bCs/>
                <w:szCs w:val="21"/>
              </w:rPr>
              <w:t>64</w:t>
            </w:r>
            <w:r>
              <w:rPr>
                <w:bCs/>
                <w:szCs w:val="21"/>
              </w:rPr>
              <w:t xml:space="preserve"> </w:t>
            </w:r>
            <w:r>
              <w:rPr>
                <w:rFonts w:hint="eastAsia"/>
                <w:bCs/>
                <w:szCs w:val="21"/>
              </w:rPr>
              <w:t>/</w:t>
            </w:r>
            <w:r>
              <w:rPr>
                <w:bCs/>
                <w:szCs w:val="21"/>
              </w:rPr>
              <w:t xml:space="preserve"> 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50" w:type="pct"/>
            <w:tcBorders>
              <w:top w:val="single" w:color="auto" w:sz="4" w:space="0"/>
              <w:left w:val="single" w:color="auto" w:sz="4" w:space="0"/>
              <w:bottom w:val="single" w:color="auto" w:sz="4" w:space="0"/>
              <w:right w:val="single" w:color="auto" w:sz="4" w:space="0"/>
            </w:tcBorders>
            <w:vAlign w:val="center"/>
          </w:tcPr>
          <w:p>
            <w:pPr>
              <w:jc w:val="center"/>
              <w:rPr>
                <w:bCs/>
                <w:szCs w:val="21"/>
              </w:rPr>
            </w:pPr>
            <w:r>
              <w:rPr>
                <w:rFonts w:hint="eastAsia"/>
                <w:bCs/>
                <w:szCs w:val="21"/>
              </w:rPr>
              <w:t>Ca</w:t>
            </w:r>
          </w:p>
        </w:tc>
        <w:tc>
          <w:tcPr>
            <w:tcW w:w="1250" w:type="pct"/>
            <w:tcBorders>
              <w:top w:val="single" w:color="auto" w:sz="4" w:space="0"/>
              <w:left w:val="single" w:color="auto" w:sz="4" w:space="0"/>
              <w:bottom w:val="single" w:color="auto" w:sz="4" w:space="0"/>
              <w:right w:val="double" w:color="auto" w:sz="4" w:space="0"/>
            </w:tcBorders>
            <w:vAlign w:val="center"/>
          </w:tcPr>
          <w:p>
            <w:pPr>
              <w:jc w:val="center"/>
              <w:rPr>
                <w:bCs/>
                <w:szCs w:val="21"/>
              </w:rPr>
            </w:pPr>
            <w:r>
              <w:rPr>
                <w:rFonts w:hint="eastAsia"/>
                <w:bCs/>
                <w:szCs w:val="21"/>
              </w:rPr>
              <w:t>40</w:t>
            </w:r>
            <w:r>
              <w:rPr>
                <w:bCs/>
                <w:szCs w:val="21"/>
              </w:rPr>
              <w:t xml:space="preserve"> / 44</w:t>
            </w:r>
          </w:p>
        </w:tc>
        <w:tc>
          <w:tcPr>
            <w:tcW w:w="1250" w:type="pct"/>
            <w:tcBorders>
              <w:top w:val="single" w:color="auto" w:sz="4" w:space="0"/>
              <w:left w:val="double" w:color="auto" w:sz="4" w:space="0"/>
              <w:bottom w:val="single" w:color="auto" w:sz="4" w:space="0"/>
              <w:right w:val="single" w:color="auto" w:sz="4" w:space="0"/>
            </w:tcBorders>
            <w:vAlign w:val="center"/>
          </w:tcPr>
          <w:p>
            <w:pPr>
              <w:jc w:val="center"/>
              <w:rPr>
                <w:bCs/>
                <w:szCs w:val="21"/>
              </w:rPr>
            </w:pPr>
            <w:r>
              <w:rPr>
                <w:bCs/>
                <w:szCs w:val="21"/>
              </w:rPr>
              <w:t>Mo</w:t>
            </w:r>
          </w:p>
        </w:tc>
        <w:tc>
          <w:tcPr>
            <w:tcW w:w="1250" w:type="pct"/>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50" w:type="pct"/>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Ti</w:t>
            </w:r>
          </w:p>
        </w:tc>
        <w:tc>
          <w:tcPr>
            <w:tcW w:w="1250" w:type="pct"/>
            <w:tcBorders>
              <w:top w:val="single" w:color="auto" w:sz="4" w:space="0"/>
              <w:left w:val="single" w:color="auto" w:sz="4" w:space="0"/>
              <w:bottom w:val="single" w:color="auto" w:sz="4" w:space="0"/>
              <w:right w:val="double" w:color="auto" w:sz="4" w:space="0"/>
            </w:tcBorders>
            <w:vAlign w:val="center"/>
          </w:tcPr>
          <w:p>
            <w:pPr>
              <w:jc w:val="center"/>
              <w:rPr>
                <w:bCs/>
                <w:szCs w:val="21"/>
              </w:rPr>
            </w:pPr>
            <w:r>
              <w:rPr>
                <w:bCs/>
                <w:szCs w:val="21"/>
              </w:rPr>
              <w:t>4</w:t>
            </w:r>
            <w:r>
              <w:rPr>
                <w:rFonts w:hint="eastAsia"/>
                <w:bCs/>
                <w:szCs w:val="21"/>
              </w:rPr>
              <w:t>9</w:t>
            </w:r>
          </w:p>
        </w:tc>
        <w:tc>
          <w:tcPr>
            <w:tcW w:w="1250" w:type="pct"/>
            <w:tcBorders>
              <w:top w:val="single" w:color="auto" w:sz="4" w:space="0"/>
              <w:left w:val="double" w:color="auto" w:sz="4" w:space="0"/>
              <w:bottom w:val="single" w:color="auto" w:sz="4" w:space="0"/>
              <w:right w:val="single" w:color="auto" w:sz="4" w:space="0"/>
            </w:tcBorders>
            <w:vAlign w:val="center"/>
          </w:tcPr>
          <w:p>
            <w:pPr>
              <w:jc w:val="center"/>
              <w:rPr>
                <w:bCs/>
                <w:szCs w:val="21"/>
              </w:rPr>
            </w:pPr>
            <w:r>
              <w:rPr>
                <w:rFonts w:hint="eastAsia"/>
                <w:bCs/>
                <w:szCs w:val="21"/>
              </w:rPr>
              <w:t>Cd</w:t>
            </w:r>
          </w:p>
        </w:tc>
        <w:tc>
          <w:tcPr>
            <w:tcW w:w="1250" w:type="pct"/>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113 / 114/ 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50" w:type="pct"/>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V</w:t>
            </w:r>
          </w:p>
        </w:tc>
        <w:tc>
          <w:tcPr>
            <w:tcW w:w="1250" w:type="pct"/>
            <w:tcBorders>
              <w:top w:val="single" w:color="auto" w:sz="4" w:space="0"/>
              <w:left w:val="single" w:color="auto" w:sz="4" w:space="0"/>
              <w:bottom w:val="single" w:color="auto" w:sz="4" w:space="0"/>
              <w:right w:val="double" w:color="auto" w:sz="4" w:space="0"/>
            </w:tcBorders>
            <w:vAlign w:val="center"/>
          </w:tcPr>
          <w:p>
            <w:pPr>
              <w:jc w:val="center"/>
              <w:rPr>
                <w:bCs/>
                <w:szCs w:val="21"/>
              </w:rPr>
            </w:pPr>
            <w:r>
              <w:rPr>
                <w:bCs/>
                <w:szCs w:val="21"/>
              </w:rPr>
              <w:t>51</w:t>
            </w:r>
          </w:p>
        </w:tc>
        <w:tc>
          <w:tcPr>
            <w:tcW w:w="1250" w:type="pct"/>
            <w:tcBorders>
              <w:top w:val="single" w:color="auto" w:sz="4" w:space="0"/>
              <w:left w:val="double" w:color="auto" w:sz="4" w:space="0"/>
              <w:bottom w:val="single" w:color="auto" w:sz="4" w:space="0"/>
              <w:right w:val="single" w:color="auto" w:sz="4" w:space="0"/>
            </w:tcBorders>
            <w:vAlign w:val="center"/>
          </w:tcPr>
          <w:p>
            <w:pPr>
              <w:jc w:val="center"/>
              <w:rPr>
                <w:bCs/>
                <w:szCs w:val="21"/>
              </w:rPr>
            </w:pPr>
            <w:r>
              <w:rPr>
                <w:rFonts w:hint="eastAsia"/>
                <w:bCs/>
                <w:szCs w:val="21"/>
              </w:rPr>
              <w:t>Hf</w:t>
            </w:r>
          </w:p>
        </w:tc>
        <w:tc>
          <w:tcPr>
            <w:tcW w:w="1250" w:type="pct"/>
            <w:tcBorders>
              <w:top w:val="single" w:color="auto" w:sz="4" w:space="0"/>
              <w:left w:val="single" w:color="auto" w:sz="4" w:space="0"/>
              <w:bottom w:val="single" w:color="auto" w:sz="4" w:space="0"/>
              <w:right w:val="single" w:color="auto" w:sz="4" w:space="0"/>
            </w:tcBorders>
            <w:vAlign w:val="center"/>
          </w:tcPr>
          <w:p>
            <w:pPr>
              <w:jc w:val="center"/>
              <w:rPr>
                <w:bCs/>
                <w:szCs w:val="21"/>
              </w:rPr>
            </w:pPr>
            <w:r>
              <w:rPr>
                <w:rFonts w:hint="eastAsia"/>
                <w:bCs/>
                <w:szCs w:val="21"/>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50" w:type="pct"/>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Cr</w:t>
            </w:r>
          </w:p>
        </w:tc>
        <w:tc>
          <w:tcPr>
            <w:tcW w:w="1250" w:type="pct"/>
            <w:tcBorders>
              <w:top w:val="single" w:color="auto" w:sz="4" w:space="0"/>
              <w:left w:val="single" w:color="auto" w:sz="4" w:space="0"/>
              <w:bottom w:val="single" w:color="auto" w:sz="4" w:space="0"/>
              <w:right w:val="double" w:color="auto" w:sz="4" w:space="0"/>
            </w:tcBorders>
            <w:vAlign w:val="center"/>
          </w:tcPr>
          <w:p>
            <w:pPr>
              <w:jc w:val="center"/>
              <w:rPr>
                <w:bCs/>
                <w:szCs w:val="21"/>
              </w:rPr>
            </w:pPr>
            <w:r>
              <w:rPr>
                <w:bCs/>
                <w:szCs w:val="21"/>
              </w:rPr>
              <w:t>52</w:t>
            </w:r>
          </w:p>
        </w:tc>
        <w:tc>
          <w:tcPr>
            <w:tcW w:w="1250" w:type="pct"/>
            <w:tcBorders>
              <w:top w:val="single" w:color="auto" w:sz="4" w:space="0"/>
              <w:left w:val="double" w:color="auto" w:sz="4" w:space="0"/>
              <w:bottom w:val="single" w:color="auto" w:sz="4" w:space="0"/>
              <w:right w:val="single" w:color="auto" w:sz="4" w:space="0"/>
            </w:tcBorders>
            <w:vAlign w:val="center"/>
          </w:tcPr>
          <w:p>
            <w:pPr>
              <w:jc w:val="center"/>
              <w:rPr>
                <w:bCs/>
                <w:szCs w:val="21"/>
              </w:rPr>
            </w:pPr>
            <w:r>
              <w:rPr>
                <w:bCs/>
                <w:szCs w:val="21"/>
              </w:rPr>
              <w:t>Pb</w:t>
            </w:r>
          </w:p>
        </w:tc>
        <w:tc>
          <w:tcPr>
            <w:tcW w:w="1250" w:type="pct"/>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50" w:type="pct"/>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 xml:space="preserve"> Mn</w:t>
            </w:r>
          </w:p>
        </w:tc>
        <w:tc>
          <w:tcPr>
            <w:tcW w:w="1250" w:type="pct"/>
            <w:tcBorders>
              <w:top w:val="single" w:color="auto" w:sz="4" w:space="0"/>
              <w:left w:val="single" w:color="auto" w:sz="4" w:space="0"/>
              <w:bottom w:val="single" w:color="auto" w:sz="4" w:space="0"/>
              <w:right w:val="double" w:color="auto" w:sz="4" w:space="0"/>
            </w:tcBorders>
            <w:vAlign w:val="center"/>
          </w:tcPr>
          <w:p>
            <w:pPr>
              <w:jc w:val="center"/>
              <w:rPr>
                <w:bCs/>
                <w:szCs w:val="21"/>
              </w:rPr>
            </w:pPr>
            <w:r>
              <w:rPr>
                <w:bCs/>
                <w:szCs w:val="21"/>
              </w:rPr>
              <w:t>55</w:t>
            </w:r>
          </w:p>
        </w:tc>
        <w:tc>
          <w:tcPr>
            <w:tcW w:w="1250" w:type="pct"/>
            <w:tcBorders>
              <w:top w:val="single" w:color="auto" w:sz="4" w:space="0"/>
              <w:left w:val="double" w:color="auto" w:sz="4" w:space="0"/>
              <w:bottom w:val="single" w:color="auto" w:sz="4" w:space="0"/>
              <w:right w:val="single" w:color="auto" w:sz="4" w:space="0"/>
            </w:tcBorders>
            <w:vAlign w:val="center"/>
          </w:tcPr>
          <w:p>
            <w:pPr>
              <w:jc w:val="center"/>
              <w:rPr>
                <w:bCs/>
                <w:szCs w:val="21"/>
              </w:rPr>
            </w:pPr>
            <w:r>
              <w:rPr>
                <w:bCs/>
                <w:szCs w:val="21"/>
              </w:rPr>
              <w:t>Bi</w:t>
            </w:r>
          </w:p>
        </w:tc>
        <w:tc>
          <w:tcPr>
            <w:tcW w:w="1250" w:type="pct"/>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209</w:t>
            </w:r>
          </w:p>
        </w:tc>
      </w:tr>
    </w:tbl>
    <w:p>
      <w:pPr>
        <w:pStyle w:val="120"/>
        <w:tabs>
          <w:tab w:val="clear" w:pos="675"/>
        </w:tabs>
        <w:spacing w:before="156" w:beforeLines="50" w:after="156" w:afterLines="50" w:line="312" w:lineRule="auto"/>
        <w:ind w:left="0" w:firstLine="0"/>
        <w:rPr>
          <w:rFonts w:hAnsi="黑体"/>
        </w:rPr>
      </w:pPr>
      <w:r>
        <w:rPr>
          <w:rFonts w:hAnsi="黑体"/>
        </w:rPr>
        <w:t>5</w:t>
      </w:r>
      <w:r>
        <w:rPr>
          <w:rFonts w:hint="eastAsia" w:hAnsi="黑体"/>
        </w:rPr>
        <w:t>、标准溶液配制方法确定依据</w:t>
      </w:r>
    </w:p>
    <w:p>
      <w:pPr>
        <w:spacing w:line="300" w:lineRule="auto"/>
        <w:ind w:firstLine="420"/>
      </w:pPr>
      <w:r>
        <w:rPr>
          <w:rFonts w:hint="eastAsia"/>
        </w:rPr>
        <w:t>标准溶液的配制方法主要考虑基体效应。试验</w:t>
      </w:r>
      <w:r>
        <w:t>发现，随着基体浓度的</w:t>
      </w:r>
      <w:r>
        <w:rPr>
          <w:rFonts w:hint="eastAsia"/>
        </w:rPr>
        <w:t>增加</w:t>
      </w:r>
      <w:r>
        <w:t>，待测元素的信号呈下降趋势，基体对信号有</w:t>
      </w:r>
      <w:r>
        <w:rPr>
          <w:rFonts w:hint="eastAsia"/>
        </w:rPr>
        <w:t>抑制</w:t>
      </w:r>
      <w:r>
        <w:t>作用。</w:t>
      </w:r>
      <w:r>
        <w:rPr>
          <w:rFonts w:hint="eastAsia"/>
        </w:rPr>
        <w:t>ICP-MS方法中通常采用</w:t>
      </w:r>
      <w:r>
        <w:t>标准溶液</w:t>
      </w:r>
      <w:r>
        <w:rPr>
          <w:rFonts w:hint="eastAsia"/>
        </w:rPr>
        <w:t>基体匹配法或内标校正法消除基体效应和仪器波动对测定的影响。由于</w:t>
      </w:r>
      <w:r>
        <w:t>基体匹配</w:t>
      </w:r>
      <w:r>
        <w:rPr>
          <w:rFonts w:hint="eastAsia"/>
        </w:rPr>
        <w:t>所需</w:t>
      </w:r>
      <w:r>
        <w:t>高纯物质</w:t>
      </w:r>
      <w:r>
        <w:rPr>
          <w:rFonts w:hint="eastAsia"/>
        </w:rPr>
        <w:t>的</w:t>
      </w:r>
      <w:r>
        <w:t>获得</w:t>
      </w:r>
      <w:r>
        <w:rPr>
          <w:rFonts w:hint="eastAsia"/>
        </w:rPr>
        <w:t>经常受限</w:t>
      </w:r>
      <w:r>
        <w:t>，</w:t>
      </w:r>
      <w:r>
        <w:rPr>
          <w:rFonts w:hint="eastAsia"/>
        </w:rPr>
        <w:t>内标校正法在</w:t>
      </w:r>
      <w:r>
        <w:t>ICP-MS</w:t>
      </w:r>
      <w:r>
        <w:rPr>
          <w:rFonts w:hint="eastAsia"/>
        </w:rPr>
        <w:t>测试中更为常见。</w:t>
      </w:r>
    </w:p>
    <w:p>
      <w:pPr>
        <w:spacing w:line="300" w:lineRule="auto"/>
        <w:ind w:firstLine="420"/>
      </w:pPr>
      <w:r>
        <w:rPr>
          <w:rFonts w:hint="eastAsia"/>
        </w:rPr>
        <w:t>研究发现，以</w:t>
      </w:r>
      <w:r>
        <w:t>Cs</w:t>
      </w:r>
      <w:r>
        <w:rPr>
          <w:rFonts w:hint="eastAsia"/>
        </w:rPr>
        <w:t>为内标</w:t>
      </w:r>
      <w:r>
        <w:t>20ng/mL</w:t>
      </w:r>
      <w:r>
        <w:rPr>
          <w:rFonts w:hint="eastAsia"/>
        </w:rPr>
        <w:t>的杂质元素回收率在</w:t>
      </w:r>
      <w:r>
        <w:t>95%~105%</w:t>
      </w:r>
      <w:r>
        <w:rPr>
          <w:rFonts w:hint="eastAsia"/>
        </w:rPr>
        <w:t>范围内，这表明内标法能够</w:t>
      </w:r>
      <w:r>
        <w:t>校正基体效应及仪器波动对测定的影响</w:t>
      </w:r>
      <w:r>
        <w:rPr>
          <w:rFonts w:hint="eastAsia"/>
        </w:rPr>
        <w:t>，内标</w:t>
      </w:r>
      <w:r>
        <w:t>法</w:t>
      </w:r>
      <w:r>
        <w:rPr>
          <w:rFonts w:hint="eastAsia"/>
        </w:rPr>
        <w:t>结果</w:t>
      </w:r>
      <w:r>
        <w:t>的</w:t>
      </w:r>
      <w:r>
        <w:rPr>
          <w:rFonts w:hint="eastAsia"/>
        </w:rPr>
        <w:t>准确度</w:t>
      </w:r>
      <w:r>
        <w:t>能够满足0.0001%~0.010%</w:t>
      </w:r>
      <w:r>
        <w:rPr>
          <w:rFonts w:hint="eastAsia"/>
        </w:rPr>
        <w:t>范围</w:t>
      </w:r>
      <w:r>
        <w:t>数据的</w:t>
      </w:r>
      <w:r>
        <w:rPr>
          <w:rFonts w:hint="eastAsia"/>
        </w:rPr>
        <w:t>测定需求。</w:t>
      </w:r>
    </w:p>
    <w:p>
      <w:pPr>
        <w:adjustRightInd w:val="0"/>
        <w:snapToGrid w:val="0"/>
        <w:spacing w:before="312" w:beforeLines="100" w:after="156" w:afterLines="50" w:line="360" w:lineRule="exact"/>
        <w:jc w:val="center"/>
        <w:rPr>
          <w:rFonts w:ascii="黑体" w:hAnsi="黑体" w:eastAsia="黑体"/>
          <w:szCs w:val="21"/>
        </w:rPr>
      </w:pPr>
      <w:r>
        <w:rPr>
          <w:rFonts w:hint="eastAsia" w:ascii="黑体" w:hAnsi="黑体" w:eastAsia="黑体"/>
          <w:szCs w:val="21"/>
        </w:rPr>
        <w:t>表</w:t>
      </w:r>
      <w:r>
        <w:rPr>
          <w:rFonts w:ascii="黑体" w:hAnsi="黑体" w:eastAsia="黑体"/>
          <w:szCs w:val="21"/>
        </w:rPr>
        <w:t>4  Cs</w:t>
      </w:r>
      <w:r>
        <w:rPr>
          <w:rFonts w:hint="eastAsia" w:ascii="黑体" w:hAnsi="黑体" w:eastAsia="黑体"/>
          <w:szCs w:val="21"/>
        </w:rPr>
        <w:t>内标各元素回收情况</w:t>
      </w:r>
    </w:p>
    <w:tbl>
      <w:tblPr>
        <w:tblStyle w:val="88"/>
        <w:tblW w:w="5000" w:type="pct"/>
        <w:jc w:val="center"/>
        <w:tblLayout w:type="autofit"/>
        <w:tblCellMar>
          <w:top w:w="0" w:type="dxa"/>
          <w:left w:w="108" w:type="dxa"/>
          <w:bottom w:w="0" w:type="dxa"/>
          <w:right w:w="108" w:type="dxa"/>
        </w:tblCellMar>
      </w:tblPr>
      <w:tblGrid>
        <w:gridCol w:w="991"/>
        <w:gridCol w:w="2282"/>
        <w:gridCol w:w="1683"/>
        <w:gridCol w:w="991"/>
        <w:gridCol w:w="2282"/>
        <w:gridCol w:w="1683"/>
      </w:tblGrid>
      <w:tr>
        <w:tblPrEx>
          <w:tblCellMar>
            <w:top w:w="0" w:type="dxa"/>
            <w:left w:w="108" w:type="dxa"/>
            <w:bottom w:w="0" w:type="dxa"/>
            <w:right w:w="108" w:type="dxa"/>
          </w:tblCellMar>
        </w:tblPrEx>
        <w:trPr>
          <w:trHeight w:val="285" w:hRule="atLeast"/>
          <w:jc w:val="center"/>
        </w:trPr>
        <w:tc>
          <w:tcPr>
            <w:tcW w:w="500" w:type="pct"/>
            <w:tcBorders>
              <w:top w:val="single" w:color="auto" w:sz="4" w:space="0"/>
              <w:left w:val="single" w:color="auto" w:sz="4" w:space="0"/>
              <w:bottom w:val="single" w:color="auto" w:sz="4" w:space="0"/>
              <w:right w:val="nil"/>
            </w:tcBorders>
            <w:vAlign w:val="center"/>
          </w:tcPr>
          <w:p>
            <w:pPr>
              <w:widowControl/>
              <w:jc w:val="center"/>
              <w:rPr>
                <w:rFonts w:eastAsia="等线"/>
                <w:color w:val="000000"/>
                <w:kern w:val="0"/>
                <w:szCs w:val="21"/>
              </w:rPr>
            </w:pPr>
            <w:r>
              <w:rPr>
                <w:rFonts w:hint="eastAsia" w:eastAsia="等线"/>
                <w:color w:val="000000"/>
                <w:kern w:val="0"/>
                <w:szCs w:val="21"/>
              </w:rPr>
              <w:t>元素</w:t>
            </w:r>
          </w:p>
        </w:tc>
        <w:tc>
          <w:tcPr>
            <w:tcW w:w="1151"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等线"/>
                <w:color w:val="000000"/>
                <w:kern w:val="0"/>
                <w:szCs w:val="21"/>
              </w:rPr>
            </w:pPr>
            <w:r>
              <w:rPr>
                <w:rFonts w:hint="eastAsia" w:eastAsia="等线"/>
                <w:color w:val="000000"/>
                <w:kern w:val="0"/>
                <w:szCs w:val="21"/>
              </w:rPr>
              <w:t>测定值</w:t>
            </w:r>
            <w:r>
              <w:rPr>
                <w:rFonts w:eastAsia="等线"/>
                <w:color w:val="000000"/>
                <w:kern w:val="0"/>
                <w:szCs w:val="21"/>
              </w:rPr>
              <w:t>/ng/mL</w:t>
            </w:r>
          </w:p>
        </w:tc>
        <w:tc>
          <w:tcPr>
            <w:tcW w:w="849" w:type="pct"/>
            <w:tcBorders>
              <w:top w:val="single" w:color="auto" w:sz="4" w:space="0"/>
              <w:left w:val="single" w:color="auto" w:sz="4" w:space="0"/>
              <w:bottom w:val="single" w:color="auto" w:sz="4" w:space="0"/>
              <w:right w:val="double" w:color="auto" w:sz="4" w:space="0"/>
            </w:tcBorders>
            <w:vAlign w:val="center"/>
          </w:tcPr>
          <w:p>
            <w:pPr>
              <w:widowControl/>
              <w:jc w:val="center"/>
              <w:rPr>
                <w:rFonts w:eastAsia="等线"/>
                <w:color w:val="000000"/>
                <w:kern w:val="0"/>
                <w:szCs w:val="21"/>
              </w:rPr>
            </w:pPr>
            <w:r>
              <w:rPr>
                <w:rFonts w:hint="eastAsia" w:eastAsia="等线"/>
                <w:color w:val="000000"/>
                <w:kern w:val="0"/>
                <w:szCs w:val="21"/>
              </w:rPr>
              <w:t>回收率</w:t>
            </w:r>
            <w:r>
              <w:rPr>
                <w:rFonts w:eastAsia="等线"/>
                <w:color w:val="000000"/>
                <w:kern w:val="0"/>
                <w:szCs w:val="21"/>
              </w:rPr>
              <w:t>/%</w:t>
            </w:r>
          </w:p>
        </w:tc>
        <w:tc>
          <w:tcPr>
            <w:tcW w:w="500" w:type="pct"/>
            <w:tcBorders>
              <w:top w:val="single" w:color="auto" w:sz="4" w:space="0"/>
              <w:left w:val="double" w:color="auto" w:sz="4" w:space="0"/>
              <w:bottom w:val="single" w:color="auto" w:sz="4" w:space="0"/>
              <w:right w:val="nil"/>
            </w:tcBorders>
            <w:vAlign w:val="center"/>
          </w:tcPr>
          <w:p>
            <w:pPr>
              <w:widowControl/>
              <w:jc w:val="center"/>
              <w:rPr>
                <w:rFonts w:eastAsia="等线"/>
                <w:color w:val="000000"/>
                <w:kern w:val="0"/>
                <w:szCs w:val="21"/>
              </w:rPr>
            </w:pPr>
            <w:r>
              <w:rPr>
                <w:rFonts w:hint="eastAsia" w:eastAsia="等线"/>
                <w:color w:val="000000"/>
                <w:kern w:val="0"/>
                <w:szCs w:val="21"/>
              </w:rPr>
              <w:t>元素</w:t>
            </w:r>
          </w:p>
        </w:tc>
        <w:tc>
          <w:tcPr>
            <w:tcW w:w="115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等线"/>
                <w:color w:val="000000"/>
                <w:kern w:val="0"/>
                <w:szCs w:val="21"/>
              </w:rPr>
            </w:pPr>
            <w:r>
              <w:rPr>
                <w:rFonts w:hint="eastAsia" w:eastAsia="等线"/>
                <w:color w:val="000000"/>
                <w:kern w:val="0"/>
                <w:szCs w:val="21"/>
              </w:rPr>
              <w:t>测定值</w:t>
            </w:r>
            <w:r>
              <w:rPr>
                <w:rFonts w:eastAsia="等线"/>
                <w:color w:val="000000"/>
                <w:kern w:val="0"/>
                <w:szCs w:val="21"/>
              </w:rPr>
              <w:t>/ng/mL</w:t>
            </w:r>
          </w:p>
        </w:tc>
        <w:tc>
          <w:tcPr>
            <w:tcW w:w="84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等线"/>
                <w:color w:val="000000"/>
                <w:kern w:val="0"/>
                <w:szCs w:val="21"/>
              </w:rPr>
            </w:pPr>
            <w:r>
              <w:rPr>
                <w:rFonts w:hint="eastAsia" w:eastAsia="等线"/>
                <w:color w:val="000000"/>
                <w:kern w:val="0"/>
                <w:szCs w:val="21"/>
              </w:rPr>
              <w:t>回收率</w:t>
            </w:r>
            <w:r>
              <w:rPr>
                <w:rFonts w:eastAsia="等线"/>
                <w:color w:val="000000"/>
                <w:kern w:val="0"/>
                <w:szCs w:val="21"/>
              </w:rPr>
              <w:t>/%</w:t>
            </w:r>
          </w:p>
        </w:tc>
      </w:tr>
      <w:tr>
        <w:tblPrEx>
          <w:tblCellMar>
            <w:top w:w="0" w:type="dxa"/>
            <w:left w:w="108" w:type="dxa"/>
            <w:bottom w:w="0" w:type="dxa"/>
            <w:right w:w="108" w:type="dxa"/>
          </w:tblCellMar>
        </w:tblPrEx>
        <w:trPr>
          <w:trHeight w:val="285" w:hRule="atLeast"/>
          <w:jc w:val="center"/>
        </w:trPr>
        <w:tc>
          <w:tcPr>
            <w:tcW w:w="500" w:type="pct"/>
            <w:tcBorders>
              <w:top w:val="single" w:color="auto" w:sz="4" w:space="0"/>
              <w:left w:val="single" w:color="auto" w:sz="4" w:space="0"/>
              <w:bottom w:val="single" w:color="auto" w:sz="4" w:space="0"/>
              <w:right w:val="nil"/>
            </w:tcBorders>
            <w:vAlign w:val="center"/>
          </w:tcPr>
          <w:p>
            <w:pPr>
              <w:widowControl/>
              <w:jc w:val="center"/>
              <w:rPr>
                <w:rFonts w:eastAsia="等线"/>
                <w:color w:val="000000"/>
                <w:kern w:val="0"/>
                <w:szCs w:val="21"/>
              </w:rPr>
            </w:pPr>
            <w:r>
              <w:rPr>
                <w:rFonts w:eastAsia="等线"/>
                <w:color w:val="000000"/>
                <w:kern w:val="0"/>
                <w:szCs w:val="21"/>
              </w:rPr>
              <w:t>B</w:t>
            </w:r>
          </w:p>
        </w:tc>
        <w:tc>
          <w:tcPr>
            <w:tcW w:w="1151"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等线"/>
                <w:color w:val="000000"/>
                <w:kern w:val="0"/>
                <w:szCs w:val="21"/>
              </w:rPr>
            </w:pPr>
            <w:r>
              <w:rPr>
                <w:rFonts w:eastAsia="等线"/>
                <w:color w:val="000000"/>
                <w:kern w:val="0"/>
                <w:szCs w:val="21"/>
              </w:rPr>
              <w:t>20.3</w:t>
            </w:r>
          </w:p>
        </w:tc>
        <w:tc>
          <w:tcPr>
            <w:tcW w:w="849" w:type="pct"/>
            <w:tcBorders>
              <w:top w:val="single" w:color="auto" w:sz="4" w:space="0"/>
              <w:left w:val="single" w:color="auto" w:sz="4" w:space="0"/>
              <w:bottom w:val="single" w:color="auto" w:sz="4" w:space="0"/>
              <w:right w:val="double" w:color="auto" w:sz="4" w:space="0"/>
            </w:tcBorders>
            <w:vAlign w:val="center"/>
          </w:tcPr>
          <w:p>
            <w:pPr>
              <w:widowControl/>
              <w:jc w:val="center"/>
              <w:rPr>
                <w:rFonts w:eastAsia="等线"/>
                <w:color w:val="000000"/>
                <w:kern w:val="0"/>
                <w:szCs w:val="21"/>
              </w:rPr>
            </w:pPr>
            <w:r>
              <w:rPr>
                <w:rFonts w:eastAsia="等线"/>
                <w:color w:val="000000"/>
                <w:kern w:val="0"/>
                <w:szCs w:val="21"/>
              </w:rPr>
              <w:t>101.5</w:t>
            </w:r>
          </w:p>
        </w:tc>
        <w:tc>
          <w:tcPr>
            <w:tcW w:w="500" w:type="pct"/>
            <w:tcBorders>
              <w:top w:val="single" w:color="auto" w:sz="4" w:space="0"/>
              <w:left w:val="double" w:color="auto" w:sz="4" w:space="0"/>
              <w:bottom w:val="single" w:color="auto" w:sz="4" w:space="0"/>
              <w:right w:val="nil"/>
            </w:tcBorders>
            <w:noWrap/>
            <w:vAlign w:val="center"/>
          </w:tcPr>
          <w:p>
            <w:pPr>
              <w:widowControl/>
              <w:jc w:val="center"/>
              <w:rPr>
                <w:rFonts w:eastAsia="等线"/>
                <w:color w:val="000000"/>
                <w:kern w:val="0"/>
                <w:szCs w:val="21"/>
              </w:rPr>
            </w:pPr>
            <w:r>
              <w:rPr>
                <w:rFonts w:eastAsia="等线"/>
                <w:color w:val="000000"/>
                <w:kern w:val="0"/>
                <w:szCs w:val="21"/>
              </w:rPr>
              <w:t>Fe</w:t>
            </w:r>
          </w:p>
        </w:tc>
        <w:tc>
          <w:tcPr>
            <w:tcW w:w="115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等线"/>
                <w:color w:val="000000"/>
                <w:kern w:val="0"/>
                <w:szCs w:val="21"/>
              </w:rPr>
            </w:pPr>
            <w:r>
              <w:rPr>
                <w:rFonts w:eastAsia="等线"/>
                <w:color w:val="000000"/>
                <w:kern w:val="0"/>
                <w:szCs w:val="21"/>
              </w:rPr>
              <w:t>20.4</w:t>
            </w:r>
          </w:p>
        </w:tc>
        <w:tc>
          <w:tcPr>
            <w:tcW w:w="84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等线"/>
                <w:color w:val="000000"/>
                <w:kern w:val="0"/>
                <w:szCs w:val="21"/>
              </w:rPr>
            </w:pPr>
            <w:r>
              <w:rPr>
                <w:rFonts w:eastAsia="等线"/>
                <w:color w:val="000000"/>
                <w:kern w:val="0"/>
                <w:szCs w:val="21"/>
              </w:rPr>
              <w:t>101.5</w:t>
            </w:r>
          </w:p>
        </w:tc>
      </w:tr>
      <w:tr>
        <w:tblPrEx>
          <w:tblCellMar>
            <w:top w:w="0" w:type="dxa"/>
            <w:left w:w="108" w:type="dxa"/>
            <w:bottom w:w="0" w:type="dxa"/>
            <w:right w:w="108" w:type="dxa"/>
          </w:tblCellMar>
        </w:tblPrEx>
        <w:trPr>
          <w:trHeight w:val="285" w:hRule="atLeast"/>
          <w:jc w:val="center"/>
        </w:trPr>
        <w:tc>
          <w:tcPr>
            <w:tcW w:w="500" w:type="pct"/>
            <w:tcBorders>
              <w:top w:val="single" w:color="auto" w:sz="4" w:space="0"/>
              <w:left w:val="single" w:color="auto" w:sz="4" w:space="0"/>
              <w:bottom w:val="single" w:color="auto" w:sz="4" w:space="0"/>
              <w:right w:val="nil"/>
            </w:tcBorders>
            <w:vAlign w:val="center"/>
          </w:tcPr>
          <w:p>
            <w:pPr>
              <w:widowControl/>
              <w:jc w:val="center"/>
              <w:rPr>
                <w:rFonts w:eastAsia="等线"/>
                <w:color w:val="000000"/>
                <w:kern w:val="0"/>
                <w:szCs w:val="21"/>
              </w:rPr>
            </w:pPr>
            <w:r>
              <w:rPr>
                <w:rFonts w:eastAsia="等线"/>
                <w:color w:val="000000"/>
                <w:kern w:val="0"/>
                <w:szCs w:val="21"/>
              </w:rPr>
              <w:t>Na</w:t>
            </w:r>
          </w:p>
        </w:tc>
        <w:tc>
          <w:tcPr>
            <w:tcW w:w="1151"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等线"/>
                <w:color w:val="000000"/>
                <w:kern w:val="0"/>
                <w:szCs w:val="21"/>
              </w:rPr>
            </w:pPr>
            <w:r>
              <w:rPr>
                <w:rFonts w:eastAsia="等线"/>
                <w:color w:val="000000"/>
                <w:kern w:val="0"/>
                <w:szCs w:val="21"/>
              </w:rPr>
              <w:t>20.0</w:t>
            </w:r>
          </w:p>
        </w:tc>
        <w:tc>
          <w:tcPr>
            <w:tcW w:w="849" w:type="pct"/>
            <w:tcBorders>
              <w:top w:val="single" w:color="auto" w:sz="4" w:space="0"/>
              <w:left w:val="single" w:color="auto" w:sz="4" w:space="0"/>
              <w:bottom w:val="single" w:color="auto" w:sz="4" w:space="0"/>
              <w:right w:val="double" w:color="auto" w:sz="4" w:space="0"/>
            </w:tcBorders>
            <w:vAlign w:val="center"/>
          </w:tcPr>
          <w:p>
            <w:pPr>
              <w:widowControl/>
              <w:jc w:val="center"/>
              <w:rPr>
                <w:rFonts w:eastAsia="等线"/>
                <w:color w:val="000000"/>
                <w:kern w:val="0"/>
                <w:szCs w:val="21"/>
              </w:rPr>
            </w:pPr>
            <w:r>
              <w:rPr>
                <w:rFonts w:eastAsia="等线"/>
                <w:color w:val="000000"/>
                <w:kern w:val="0"/>
                <w:szCs w:val="21"/>
              </w:rPr>
              <w:t>100.0</w:t>
            </w:r>
          </w:p>
        </w:tc>
        <w:tc>
          <w:tcPr>
            <w:tcW w:w="500" w:type="pct"/>
            <w:tcBorders>
              <w:top w:val="single" w:color="auto" w:sz="4" w:space="0"/>
              <w:left w:val="double" w:color="auto" w:sz="4" w:space="0"/>
              <w:bottom w:val="single" w:color="auto" w:sz="4" w:space="0"/>
              <w:right w:val="nil"/>
            </w:tcBorders>
            <w:vAlign w:val="center"/>
          </w:tcPr>
          <w:p>
            <w:pPr>
              <w:widowControl/>
              <w:jc w:val="center"/>
              <w:rPr>
                <w:rFonts w:eastAsia="等线"/>
                <w:color w:val="000000"/>
                <w:kern w:val="0"/>
                <w:szCs w:val="21"/>
              </w:rPr>
            </w:pPr>
            <w:r>
              <w:rPr>
                <w:rFonts w:eastAsia="等线"/>
                <w:color w:val="000000"/>
                <w:kern w:val="0"/>
                <w:szCs w:val="21"/>
              </w:rPr>
              <w:t>Co</w:t>
            </w:r>
          </w:p>
        </w:tc>
        <w:tc>
          <w:tcPr>
            <w:tcW w:w="115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等线"/>
                <w:color w:val="000000"/>
                <w:kern w:val="0"/>
                <w:szCs w:val="21"/>
              </w:rPr>
            </w:pPr>
            <w:r>
              <w:rPr>
                <w:rFonts w:eastAsia="等线"/>
                <w:color w:val="000000"/>
                <w:kern w:val="0"/>
                <w:szCs w:val="21"/>
              </w:rPr>
              <w:t>21.6</w:t>
            </w:r>
          </w:p>
        </w:tc>
        <w:tc>
          <w:tcPr>
            <w:tcW w:w="84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等线"/>
                <w:color w:val="000000"/>
                <w:kern w:val="0"/>
                <w:szCs w:val="21"/>
              </w:rPr>
            </w:pPr>
            <w:r>
              <w:rPr>
                <w:rFonts w:eastAsia="等线"/>
                <w:color w:val="000000"/>
                <w:kern w:val="0"/>
                <w:szCs w:val="21"/>
              </w:rPr>
              <w:t>100.0</w:t>
            </w:r>
          </w:p>
        </w:tc>
      </w:tr>
      <w:tr>
        <w:tblPrEx>
          <w:tblCellMar>
            <w:top w:w="0" w:type="dxa"/>
            <w:left w:w="108" w:type="dxa"/>
            <w:bottom w:w="0" w:type="dxa"/>
            <w:right w:w="108" w:type="dxa"/>
          </w:tblCellMar>
        </w:tblPrEx>
        <w:trPr>
          <w:trHeight w:val="285" w:hRule="atLeast"/>
          <w:jc w:val="center"/>
        </w:trPr>
        <w:tc>
          <w:tcPr>
            <w:tcW w:w="500" w:type="pct"/>
            <w:tcBorders>
              <w:top w:val="single" w:color="auto" w:sz="4" w:space="0"/>
              <w:left w:val="single" w:color="auto" w:sz="4" w:space="0"/>
              <w:bottom w:val="single" w:color="auto" w:sz="4" w:space="0"/>
              <w:right w:val="nil"/>
            </w:tcBorders>
            <w:vAlign w:val="center"/>
          </w:tcPr>
          <w:p>
            <w:pPr>
              <w:widowControl/>
              <w:jc w:val="center"/>
              <w:rPr>
                <w:rFonts w:eastAsia="等线"/>
                <w:color w:val="000000"/>
                <w:kern w:val="0"/>
                <w:szCs w:val="21"/>
              </w:rPr>
            </w:pPr>
            <w:r>
              <w:rPr>
                <w:rFonts w:eastAsia="等线"/>
                <w:color w:val="000000"/>
                <w:kern w:val="0"/>
                <w:szCs w:val="21"/>
              </w:rPr>
              <w:t>Mg</w:t>
            </w:r>
          </w:p>
        </w:tc>
        <w:tc>
          <w:tcPr>
            <w:tcW w:w="1151"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等线"/>
                <w:color w:val="000000"/>
                <w:kern w:val="0"/>
                <w:szCs w:val="21"/>
              </w:rPr>
            </w:pPr>
            <w:r>
              <w:rPr>
                <w:rFonts w:eastAsia="等线"/>
                <w:color w:val="000000"/>
                <w:kern w:val="0"/>
                <w:szCs w:val="21"/>
              </w:rPr>
              <w:t>19.7</w:t>
            </w:r>
          </w:p>
        </w:tc>
        <w:tc>
          <w:tcPr>
            <w:tcW w:w="849" w:type="pct"/>
            <w:tcBorders>
              <w:top w:val="single" w:color="auto" w:sz="4" w:space="0"/>
              <w:left w:val="single" w:color="auto" w:sz="4" w:space="0"/>
              <w:bottom w:val="single" w:color="auto" w:sz="4" w:space="0"/>
              <w:right w:val="double" w:color="auto" w:sz="4" w:space="0"/>
            </w:tcBorders>
            <w:vAlign w:val="center"/>
          </w:tcPr>
          <w:p>
            <w:pPr>
              <w:widowControl/>
              <w:jc w:val="center"/>
              <w:rPr>
                <w:rFonts w:eastAsia="等线"/>
                <w:color w:val="000000"/>
                <w:kern w:val="0"/>
                <w:szCs w:val="21"/>
              </w:rPr>
            </w:pPr>
            <w:r>
              <w:rPr>
                <w:rFonts w:eastAsia="等线"/>
                <w:color w:val="000000"/>
                <w:kern w:val="0"/>
                <w:szCs w:val="21"/>
              </w:rPr>
              <w:t>98.5</w:t>
            </w:r>
          </w:p>
        </w:tc>
        <w:tc>
          <w:tcPr>
            <w:tcW w:w="500" w:type="pct"/>
            <w:tcBorders>
              <w:top w:val="single" w:color="auto" w:sz="4" w:space="0"/>
              <w:left w:val="double" w:color="auto" w:sz="4" w:space="0"/>
              <w:bottom w:val="single" w:color="auto" w:sz="4" w:space="0"/>
              <w:right w:val="nil"/>
            </w:tcBorders>
            <w:vAlign w:val="center"/>
          </w:tcPr>
          <w:p>
            <w:pPr>
              <w:widowControl/>
              <w:jc w:val="center"/>
              <w:rPr>
                <w:rFonts w:eastAsia="等线"/>
                <w:color w:val="000000"/>
                <w:kern w:val="0"/>
                <w:szCs w:val="21"/>
              </w:rPr>
            </w:pPr>
            <w:r>
              <w:rPr>
                <w:rFonts w:eastAsia="等线"/>
                <w:color w:val="000000"/>
                <w:kern w:val="0"/>
                <w:szCs w:val="21"/>
              </w:rPr>
              <w:t>Ni</w:t>
            </w:r>
          </w:p>
        </w:tc>
        <w:tc>
          <w:tcPr>
            <w:tcW w:w="115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等线"/>
                <w:color w:val="000000"/>
                <w:kern w:val="0"/>
                <w:szCs w:val="21"/>
              </w:rPr>
            </w:pPr>
            <w:r>
              <w:rPr>
                <w:rFonts w:eastAsia="等线"/>
                <w:color w:val="000000"/>
                <w:kern w:val="0"/>
                <w:szCs w:val="21"/>
              </w:rPr>
              <w:t>20.8</w:t>
            </w:r>
          </w:p>
        </w:tc>
        <w:tc>
          <w:tcPr>
            <w:tcW w:w="84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等线"/>
                <w:color w:val="000000"/>
                <w:kern w:val="0"/>
                <w:szCs w:val="21"/>
              </w:rPr>
            </w:pPr>
            <w:r>
              <w:rPr>
                <w:rFonts w:eastAsia="等线"/>
                <w:color w:val="000000"/>
                <w:kern w:val="0"/>
                <w:szCs w:val="21"/>
              </w:rPr>
              <w:t>98.5</w:t>
            </w:r>
          </w:p>
        </w:tc>
      </w:tr>
      <w:tr>
        <w:tblPrEx>
          <w:tblCellMar>
            <w:top w:w="0" w:type="dxa"/>
            <w:left w:w="108" w:type="dxa"/>
            <w:bottom w:w="0" w:type="dxa"/>
            <w:right w:w="108" w:type="dxa"/>
          </w:tblCellMar>
        </w:tblPrEx>
        <w:trPr>
          <w:trHeight w:val="285" w:hRule="atLeast"/>
          <w:jc w:val="center"/>
        </w:trPr>
        <w:tc>
          <w:tcPr>
            <w:tcW w:w="500" w:type="pct"/>
            <w:tcBorders>
              <w:top w:val="single" w:color="auto" w:sz="4" w:space="0"/>
              <w:left w:val="single" w:color="auto" w:sz="4" w:space="0"/>
              <w:bottom w:val="single" w:color="auto" w:sz="4" w:space="0"/>
              <w:right w:val="nil"/>
            </w:tcBorders>
            <w:vAlign w:val="center"/>
          </w:tcPr>
          <w:p>
            <w:pPr>
              <w:widowControl/>
              <w:jc w:val="center"/>
              <w:rPr>
                <w:rFonts w:eastAsia="等线"/>
                <w:color w:val="000000"/>
                <w:kern w:val="0"/>
                <w:szCs w:val="21"/>
              </w:rPr>
            </w:pPr>
            <w:r>
              <w:rPr>
                <w:rFonts w:eastAsia="等线"/>
                <w:color w:val="000000"/>
                <w:kern w:val="0"/>
                <w:szCs w:val="21"/>
              </w:rPr>
              <w:t>Al</w:t>
            </w:r>
          </w:p>
        </w:tc>
        <w:tc>
          <w:tcPr>
            <w:tcW w:w="1151"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等线"/>
                <w:color w:val="000000"/>
                <w:kern w:val="0"/>
                <w:szCs w:val="21"/>
              </w:rPr>
            </w:pPr>
            <w:r>
              <w:rPr>
                <w:rFonts w:eastAsia="等线"/>
                <w:color w:val="000000"/>
                <w:kern w:val="0"/>
                <w:szCs w:val="21"/>
              </w:rPr>
              <w:t>19.6</w:t>
            </w:r>
          </w:p>
        </w:tc>
        <w:tc>
          <w:tcPr>
            <w:tcW w:w="849" w:type="pct"/>
            <w:tcBorders>
              <w:top w:val="single" w:color="auto" w:sz="4" w:space="0"/>
              <w:left w:val="single" w:color="auto" w:sz="4" w:space="0"/>
              <w:bottom w:val="single" w:color="auto" w:sz="4" w:space="0"/>
              <w:right w:val="double" w:color="auto" w:sz="4" w:space="0"/>
            </w:tcBorders>
            <w:vAlign w:val="center"/>
          </w:tcPr>
          <w:p>
            <w:pPr>
              <w:widowControl/>
              <w:jc w:val="center"/>
              <w:rPr>
                <w:rFonts w:eastAsia="等线"/>
                <w:color w:val="000000"/>
                <w:kern w:val="0"/>
                <w:szCs w:val="21"/>
              </w:rPr>
            </w:pPr>
            <w:r>
              <w:rPr>
                <w:rFonts w:eastAsia="等线"/>
                <w:color w:val="000000"/>
                <w:kern w:val="0"/>
                <w:szCs w:val="21"/>
              </w:rPr>
              <w:t>98.0</w:t>
            </w:r>
          </w:p>
        </w:tc>
        <w:tc>
          <w:tcPr>
            <w:tcW w:w="500" w:type="pct"/>
            <w:tcBorders>
              <w:top w:val="single" w:color="auto" w:sz="4" w:space="0"/>
              <w:left w:val="double" w:color="auto" w:sz="4" w:space="0"/>
              <w:bottom w:val="single" w:color="auto" w:sz="4" w:space="0"/>
              <w:right w:val="nil"/>
            </w:tcBorders>
            <w:vAlign w:val="center"/>
          </w:tcPr>
          <w:p>
            <w:pPr>
              <w:widowControl/>
              <w:jc w:val="center"/>
              <w:rPr>
                <w:rFonts w:eastAsia="等线"/>
                <w:color w:val="000000"/>
                <w:kern w:val="0"/>
                <w:szCs w:val="21"/>
              </w:rPr>
            </w:pPr>
            <w:r>
              <w:rPr>
                <w:rFonts w:eastAsia="等线"/>
                <w:color w:val="000000"/>
                <w:kern w:val="0"/>
                <w:szCs w:val="21"/>
              </w:rPr>
              <w:t>Cu</w:t>
            </w:r>
          </w:p>
        </w:tc>
        <w:tc>
          <w:tcPr>
            <w:tcW w:w="115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等线"/>
                <w:color w:val="000000"/>
                <w:kern w:val="0"/>
                <w:szCs w:val="21"/>
              </w:rPr>
            </w:pPr>
            <w:r>
              <w:rPr>
                <w:rFonts w:eastAsia="等线"/>
                <w:color w:val="000000"/>
                <w:kern w:val="0"/>
                <w:szCs w:val="21"/>
              </w:rPr>
              <w:t>20.2</w:t>
            </w:r>
          </w:p>
        </w:tc>
        <w:tc>
          <w:tcPr>
            <w:tcW w:w="84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等线"/>
                <w:color w:val="000000"/>
                <w:kern w:val="0"/>
                <w:szCs w:val="21"/>
              </w:rPr>
            </w:pPr>
            <w:r>
              <w:rPr>
                <w:rFonts w:eastAsia="等线"/>
                <w:color w:val="000000"/>
                <w:kern w:val="0"/>
                <w:szCs w:val="21"/>
              </w:rPr>
              <w:t>98.0</w:t>
            </w:r>
          </w:p>
        </w:tc>
      </w:tr>
      <w:tr>
        <w:tblPrEx>
          <w:tblCellMar>
            <w:top w:w="0" w:type="dxa"/>
            <w:left w:w="108" w:type="dxa"/>
            <w:bottom w:w="0" w:type="dxa"/>
            <w:right w:w="108" w:type="dxa"/>
          </w:tblCellMar>
        </w:tblPrEx>
        <w:trPr>
          <w:trHeight w:val="285" w:hRule="atLeast"/>
          <w:jc w:val="center"/>
        </w:trPr>
        <w:tc>
          <w:tcPr>
            <w:tcW w:w="500" w:type="pct"/>
            <w:tcBorders>
              <w:top w:val="single" w:color="auto" w:sz="4" w:space="0"/>
              <w:left w:val="single" w:color="auto" w:sz="4" w:space="0"/>
              <w:bottom w:val="single" w:color="auto" w:sz="4" w:space="0"/>
              <w:right w:val="nil"/>
            </w:tcBorders>
            <w:vAlign w:val="center"/>
          </w:tcPr>
          <w:p>
            <w:pPr>
              <w:widowControl/>
              <w:jc w:val="center"/>
              <w:rPr>
                <w:rFonts w:eastAsia="等线"/>
                <w:color w:val="000000"/>
                <w:kern w:val="0"/>
                <w:szCs w:val="21"/>
              </w:rPr>
            </w:pPr>
            <w:r>
              <w:rPr>
                <w:rFonts w:eastAsia="等线"/>
                <w:color w:val="000000"/>
                <w:kern w:val="0"/>
                <w:szCs w:val="21"/>
              </w:rPr>
              <w:t>Si</w:t>
            </w:r>
          </w:p>
        </w:tc>
        <w:tc>
          <w:tcPr>
            <w:tcW w:w="1151"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等线"/>
                <w:color w:val="000000"/>
                <w:kern w:val="0"/>
                <w:szCs w:val="21"/>
              </w:rPr>
            </w:pPr>
            <w:r>
              <w:rPr>
                <w:rFonts w:eastAsia="等线"/>
                <w:color w:val="000000"/>
                <w:kern w:val="0"/>
                <w:szCs w:val="21"/>
              </w:rPr>
              <w:t>21.1</w:t>
            </w:r>
          </w:p>
        </w:tc>
        <w:tc>
          <w:tcPr>
            <w:tcW w:w="849" w:type="pct"/>
            <w:tcBorders>
              <w:top w:val="single" w:color="auto" w:sz="4" w:space="0"/>
              <w:left w:val="single" w:color="auto" w:sz="4" w:space="0"/>
              <w:bottom w:val="single" w:color="auto" w:sz="4" w:space="0"/>
              <w:right w:val="double" w:color="auto" w:sz="4" w:space="0"/>
            </w:tcBorders>
            <w:vAlign w:val="center"/>
          </w:tcPr>
          <w:p>
            <w:pPr>
              <w:widowControl/>
              <w:jc w:val="center"/>
              <w:rPr>
                <w:rFonts w:eastAsia="等线"/>
                <w:color w:val="000000"/>
                <w:kern w:val="0"/>
                <w:szCs w:val="21"/>
              </w:rPr>
            </w:pPr>
            <w:r>
              <w:rPr>
                <w:rFonts w:eastAsia="等线"/>
                <w:color w:val="000000"/>
                <w:kern w:val="0"/>
                <w:szCs w:val="21"/>
              </w:rPr>
              <w:t>105.5</w:t>
            </w:r>
          </w:p>
        </w:tc>
        <w:tc>
          <w:tcPr>
            <w:tcW w:w="500" w:type="pct"/>
            <w:tcBorders>
              <w:top w:val="single" w:color="auto" w:sz="4" w:space="0"/>
              <w:left w:val="double" w:color="auto" w:sz="4" w:space="0"/>
              <w:bottom w:val="single" w:color="auto" w:sz="4" w:space="0"/>
              <w:right w:val="nil"/>
            </w:tcBorders>
            <w:vAlign w:val="center"/>
          </w:tcPr>
          <w:p>
            <w:pPr>
              <w:widowControl/>
              <w:jc w:val="center"/>
              <w:rPr>
                <w:rFonts w:eastAsia="等线"/>
                <w:color w:val="000000"/>
                <w:kern w:val="0"/>
                <w:szCs w:val="21"/>
              </w:rPr>
            </w:pPr>
            <w:r>
              <w:rPr>
                <w:rFonts w:eastAsia="等线"/>
                <w:color w:val="000000"/>
                <w:kern w:val="0"/>
                <w:szCs w:val="21"/>
              </w:rPr>
              <w:t>Zn</w:t>
            </w:r>
          </w:p>
        </w:tc>
        <w:tc>
          <w:tcPr>
            <w:tcW w:w="115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等线"/>
                <w:color w:val="000000"/>
                <w:kern w:val="0"/>
                <w:szCs w:val="21"/>
              </w:rPr>
            </w:pPr>
            <w:r>
              <w:rPr>
                <w:rFonts w:eastAsia="等线"/>
                <w:color w:val="000000"/>
                <w:kern w:val="0"/>
                <w:szCs w:val="21"/>
              </w:rPr>
              <w:t>19.8</w:t>
            </w:r>
          </w:p>
        </w:tc>
        <w:tc>
          <w:tcPr>
            <w:tcW w:w="84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等线"/>
                <w:color w:val="000000"/>
                <w:kern w:val="0"/>
                <w:szCs w:val="21"/>
              </w:rPr>
            </w:pPr>
            <w:r>
              <w:rPr>
                <w:rFonts w:eastAsia="等线"/>
                <w:color w:val="000000"/>
                <w:kern w:val="0"/>
                <w:szCs w:val="21"/>
              </w:rPr>
              <w:t>105.5</w:t>
            </w:r>
          </w:p>
        </w:tc>
      </w:tr>
      <w:tr>
        <w:tblPrEx>
          <w:tblCellMar>
            <w:top w:w="0" w:type="dxa"/>
            <w:left w:w="108" w:type="dxa"/>
            <w:bottom w:w="0" w:type="dxa"/>
            <w:right w:w="108" w:type="dxa"/>
          </w:tblCellMar>
        </w:tblPrEx>
        <w:trPr>
          <w:trHeight w:val="285" w:hRule="atLeast"/>
          <w:jc w:val="center"/>
        </w:trPr>
        <w:tc>
          <w:tcPr>
            <w:tcW w:w="500" w:type="pct"/>
            <w:tcBorders>
              <w:top w:val="single" w:color="auto" w:sz="4" w:space="0"/>
              <w:left w:val="single" w:color="auto" w:sz="4" w:space="0"/>
              <w:bottom w:val="single" w:color="auto" w:sz="4" w:space="0"/>
              <w:right w:val="nil"/>
            </w:tcBorders>
            <w:vAlign w:val="center"/>
          </w:tcPr>
          <w:p>
            <w:pPr>
              <w:widowControl/>
              <w:jc w:val="center"/>
              <w:rPr>
                <w:rFonts w:eastAsia="等线"/>
                <w:color w:val="000000"/>
                <w:kern w:val="0"/>
                <w:szCs w:val="21"/>
              </w:rPr>
            </w:pPr>
            <w:r>
              <w:rPr>
                <w:rFonts w:eastAsia="等线"/>
                <w:color w:val="000000"/>
                <w:kern w:val="0"/>
                <w:szCs w:val="21"/>
              </w:rPr>
              <w:t>Ca</w:t>
            </w:r>
          </w:p>
        </w:tc>
        <w:tc>
          <w:tcPr>
            <w:tcW w:w="1151"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等线"/>
                <w:color w:val="000000"/>
                <w:kern w:val="0"/>
                <w:szCs w:val="21"/>
              </w:rPr>
            </w:pPr>
            <w:r>
              <w:rPr>
                <w:rFonts w:eastAsia="等线"/>
                <w:color w:val="000000"/>
                <w:kern w:val="0"/>
                <w:szCs w:val="21"/>
              </w:rPr>
              <w:t>20.5</w:t>
            </w:r>
          </w:p>
        </w:tc>
        <w:tc>
          <w:tcPr>
            <w:tcW w:w="849" w:type="pct"/>
            <w:tcBorders>
              <w:top w:val="single" w:color="auto" w:sz="4" w:space="0"/>
              <w:left w:val="single" w:color="auto" w:sz="4" w:space="0"/>
              <w:bottom w:val="single" w:color="auto" w:sz="4" w:space="0"/>
              <w:right w:val="double" w:color="auto" w:sz="4" w:space="0"/>
            </w:tcBorders>
            <w:vAlign w:val="center"/>
          </w:tcPr>
          <w:p>
            <w:pPr>
              <w:widowControl/>
              <w:jc w:val="center"/>
              <w:rPr>
                <w:rFonts w:eastAsia="等线"/>
                <w:color w:val="000000"/>
                <w:kern w:val="0"/>
                <w:szCs w:val="21"/>
              </w:rPr>
            </w:pPr>
            <w:r>
              <w:rPr>
                <w:rFonts w:eastAsia="等线"/>
                <w:color w:val="000000"/>
                <w:kern w:val="0"/>
                <w:szCs w:val="21"/>
              </w:rPr>
              <w:t>102.5</w:t>
            </w:r>
          </w:p>
        </w:tc>
        <w:tc>
          <w:tcPr>
            <w:tcW w:w="500" w:type="pct"/>
            <w:tcBorders>
              <w:top w:val="single" w:color="auto" w:sz="4" w:space="0"/>
              <w:left w:val="double" w:color="auto" w:sz="4" w:space="0"/>
              <w:bottom w:val="single" w:color="auto" w:sz="4" w:space="0"/>
              <w:right w:val="nil"/>
            </w:tcBorders>
            <w:vAlign w:val="center"/>
          </w:tcPr>
          <w:p>
            <w:pPr>
              <w:widowControl/>
              <w:jc w:val="center"/>
              <w:rPr>
                <w:rFonts w:eastAsia="等线"/>
                <w:color w:val="000000"/>
                <w:kern w:val="0"/>
                <w:szCs w:val="21"/>
              </w:rPr>
            </w:pPr>
            <w:r>
              <w:rPr>
                <w:rFonts w:eastAsia="等线"/>
                <w:color w:val="000000"/>
                <w:kern w:val="0"/>
                <w:szCs w:val="21"/>
              </w:rPr>
              <w:t>Mo</w:t>
            </w:r>
          </w:p>
        </w:tc>
        <w:tc>
          <w:tcPr>
            <w:tcW w:w="115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等线"/>
                <w:color w:val="000000"/>
                <w:kern w:val="0"/>
                <w:szCs w:val="21"/>
              </w:rPr>
            </w:pPr>
            <w:r>
              <w:rPr>
                <w:rFonts w:eastAsia="等线"/>
                <w:color w:val="000000"/>
                <w:kern w:val="0"/>
                <w:szCs w:val="21"/>
              </w:rPr>
              <w:t>20.5</w:t>
            </w:r>
          </w:p>
        </w:tc>
        <w:tc>
          <w:tcPr>
            <w:tcW w:w="84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等线"/>
                <w:color w:val="000000"/>
                <w:kern w:val="0"/>
                <w:szCs w:val="21"/>
              </w:rPr>
            </w:pPr>
            <w:r>
              <w:rPr>
                <w:rFonts w:eastAsia="等线"/>
                <w:color w:val="000000"/>
                <w:kern w:val="0"/>
                <w:szCs w:val="21"/>
              </w:rPr>
              <w:t>102.5</w:t>
            </w:r>
          </w:p>
        </w:tc>
      </w:tr>
      <w:tr>
        <w:tblPrEx>
          <w:tblCellMar>
            <w:top w:w="0" w:type="dxa"/>
            <w:left w:w="108" w:type="dxa"/>
            <w:bottom w:w="0" w:type="dxa"/>
            <w:right w:w="108" w:type="dxa"/>
          </w:tblCellMar>
        </w:tblPrEx>
        <w:trPr>
          <w:trHeight w:val="285" w:hRule="atLeast"/>
          <w:jc w:val="center"/>
        </w:trPr>
        <w:tc>
          <w:tcPr>
            <w:tcW w:w="500" w:type="pct"/>
            <w:tcBorders>
              <w:top w:val="single" w:color="auto" w:sz="4" w:space="0"/>
              <w:left w:val="single" w:color="auto" w:sz="4" w:space="0"/>
              <w:bottom w:val="single" w:color="auto" w:sz="4" w:space="0"/>
              <w:right w:val="nil"/>
            </w:tcBorders>
            <w:vAlign w:val="center"/>
          </w:tcPr>
          <w:p>
            <w:pPr>
              <w:widowControl/>
              <w:jc w:val="center"/>
              <w:rPr>
                <w:rFonts w:eastAsia="等线"/>
                <w:color w:val="000000"/>
                <w:kern w:val="0"/>
                <w:szCs w:val="21"/>
              </w:rPr>
            </w:pPr>
            <w:r>
              <w:rPr>
                <w:rFonts w:eastAsia="等线"/>
                <w:color w:val="000000"/>
                <w:kern w:val="0"/>
                <w:szCs w:val="21"/>
              </w:rPr>
              <w:t>Ti</w:t>
            </w:r>
          </w:p>
        </w:tc>
        <w:tc>
          <w:tcPr>
            <w:tcW w:w="1151"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等线"/>
                <w:color w:val="000000"/>
                <w:kern w:val="0"/>
                <w:szCs w:val="21"/>
              </w:rPr>
            </w:pPr>
            <w:r>
              <w:rPr>
                <w:rFonts w:eastAsia="等线"/>
                <w:color w:val="000000"/>
                <w:kern w:val="0"/>
                <w:szCs w:val="21"/>
              </w:rPr>
              <w:t>20.1</w:t>
            </w:r>
          </w:p>
        </w:tc>
        <w:tc>
          <w:tcPr>
            <w:tcW w:w="849" w:type="pct"/>
            <w:tcBorders>
              <w:top w:val="single" w:color="auto" w:sz="4" w:space="0"/>
              <w:left w:val="single" w:color="auto" w:sz="4" w:space="0"/>
              <w:bottom w:val="single" w:color="auto" w:sz="4" w:space="0"/>
              <w:right w:val="double" w:color="auto" w:sz="4" w:space="0"/>
            </w:tcBorders>
            <w:vAlign w:val="center"/>
          </w:tcPr>
          <w:p>
            <w:pPr>
              <w:widowControl/>
              <w:jc w:val="center"/>
              <w:rPr>
                <w:rFonts w:eastAsia="等线"/>
                <w:color w:val="000000"/>
                <w:kern w:val="0"/>
                <w:szCs w:val="21"/>
              </w:rPr>
            </w:pPr>
            <w:r>
              <w:rPr>
                <w:rFonts w:eastAsia="等线"/>
                <w:color w:val="000000"/>
                <w:kern w:val="0"/>
                <w:szCs w:val="21"/>
              </w:rPr>
              <w:t>100.5</w:t>
            </w:r>
          </w:p>
        </w:tc>
        <w:tc>
          <w:tcPr>
            <w:tcW w:w="500" w:type="pct"/>
            <w:tcBorders>
              <w:top w:val="single" w:color="auto" w:sz="4" w:space="0"/>
              <w:left w:val="double" w:color="auto" w:sz="4" w:space="0"/>
              <w:bottom w:val="single" w:color="auto" w:sz="4" w:space="0"/>
              <w:right w:val="nil"/>
            </w:tcBorders>
            <w:vAlign w:val="center"/>
          </w:tcPr>
          <w:p>
            <w:pPr>
              <w:widowControl/>
              <w:jc w:val="center"/>
              <w:rPr>
                <w:rFonts w:eastAsia="等线"/>
                <w:color w:val="000000"/>
                <w:kern w:val="0"/>
                <w:szCs w:val="21"/>
              </w:rPr>
            </w:pPr>
            <w:r>
              <w:rPr>
                <w:rFonts w:eastAsia="等线"/>
                <w:color w:val="000000"/>
                <w:kern w:val="0"/>
                <w:szCs w:val="21"/>
              </w:rPr>
              <w:t>Cd</w:t>
            </w:r>
          </w:p>
        </w:tc>
        <w:tc>
          <w:tcPr>
            <w:tcW w:w="115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等线"/>
                <w:color w:val="000000"/>
                <w:kern w:val="0"/>
                <w:szCs w:val="21"/>
              </w:rPr>
            </w:pPr>
            <w:r>
              <w:rPr>
                <w:rFonts w:eastAsia="等线"/>
                <w:color w:val="000000"/>
                <w:kern w:val="0"/>
                <w:szCs w:val="21"/>
              </w:rPr>
              <w:t>20.1</w:t>
            </w:r>
          </w:p>
        </w:tc>
        <w:tc>
          <w:tcPr>
            <w:tcW w:w="84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等线"/>
                <w:color w:val="000000"/>
                <w:kern w:val="0"/>
                <w:szCs w:val="21"/>
              </w:rPr>
            </w:pPr>
            <w:r>
              <w:rPr>
                <w:rFonts w:eastAsia="等线"/>
                <w:color w:val="000000"/>
                <w:kern w:val="0"/>
                <w:szCs w:val="21"/>
              </w:rPr>
              <w:t>100.5</w:t>
            </w:r>
          </w:p>
        </w:tc>
      </w:tr>
      <w:tr>
        <w:tblPrEx>
          <w:tblCellMar>
            <w:top w:w="0" w:type="dxa"/>
            <w:left w:w="108" w:type="dxa"/>
            <w:bottom w:w="0" w:type="dxa"/>
            <w:right w:w="108" w:type="dxa"/>
          </w:tblCellMar>
        </w:tblPrEx>
        <w:trPr>
          <w:trHeight w:val="285" w:hRule="atLeast"/>
          <w:jc w:val="center"/>
        </w:trPr>
        <w:tc>
          <w:tcPr>
            <w:tcW w:w="500" w:type="pct"/>
            <w:tcBorders>
              <w:top w:val="single" w:color="auto" w:sz="4" w:space="0"/>
              <w:left w:val="single" w:color="auto" w:sz="4" w:space="0"/>
              <w:bottom w:val="single" w:color="auto" w:sz="4" w:space="0"/>
              <w:right w:val="nil"/>
            </w:tcBorders>
            <w:vAlign w:val="center"/>
          </w:tcPr>
          <w:p>
            <w:pPr>
              <w:widowControl/>
              <w:jc w:val="center"/>
              <w:rPr>
                <w:rFonts w:eastAsia="等线"/>
                <w:color w:val="000000"/>
                <w:kern w:val="0"/>
                <w:szCs w:val="21"/>
              </w:rPr>
            </w:pPr>
            <w:r>
              <w:rPr>
                <w:rFonts w:eastAsia="等线"/>
                <w:color w:val="000000"/>
                <w:kern w:val="0"/>
                <w:szCs w:val="21"/>
              </w:rPr>
              <w:t>V</w:t>
            </w:r>
          </w:p>
        </w:tc>
        <w:tc>
          <w:tcPr>
            <w:tcW w:w="1151"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等线"/>
                <w:color w:val="000000"/>
                <w:kern w:val="0"/>
                <w:szCs w:val="21"/>
              </w:rPr>
            </w:pPr>
            <w:r>
              <w:rPr>
                <w:rFonts w:eastAsia="等线"/>
                <w:color w:val="000000"/>
                <w:kern w:val="0"/>
                <w:szCs w:val="21"/>
              </w:rPr>
              <w:t>20.4</w:t>
            </w:r>
          </w:p>
        </w:tc>
        <w:tc>
          <w:tcPr>
            <w:tcW w:w="849" w:type="pct"/>
            <w:tcBorders>
              <w:top w:val="single" w:color="auto" w:sz="4" w:space="0"/>
              <w:left w:val="single" w:color="auto" w:sz="4" w:space="0"/>
              <w:bottom w:val="single" w:color="auto" w:sz="4" w:space="0"/>
              <w:right w:val="double" w:color="auto" w:sz="4" w:space="0"/>
            </w:tcBorders>
            <w:vAlign w:val="center"/>
          </w:tcPr>
          <w:p>
            <w:pPr>
              <w:widowControl/>
              <w:jc w:val="center"/>
              <w:rPr>
                <w:rFonts w:eastAsia="等线"/>
                <w:color w:val="000000"/>
                <w:kern w:val="0"/>
                <w:szCs w:val="21"/>
              </w:rPr>
            </w:pPr>
            <w:r>
              <w:rPr>
                <w:rFonts w:eastAsia="等线"/>
                <w:color w:val="000000"/>
                <w:kern w:val="0"/>
                <w:szCs w:val="21"/>
              </w:rPr>
              <w:t>102.0</w:t>
            </w:r>
          </w:p>
        </w:tc>
        <w:tc>
          <w:tcPr>
            <w:tcW w:w="500" w:type="pct"/>
            <w:tcBorders>
              <w:top w:val="single" w:color="auto" w:sz="4" w:space="0"/>
              <w:left w:val="double" w:color="auto" w:sz="4" w:space="0"/>
              <w:bottom w:val="single" w:color="auto" w:sz="4" w:space="0"/>
              <w:right w:val="nil"/>
            </w:tcBorders>
            <w:vAlign w:val="center"/>
          </w:tcPr>
          <w:p>
            <w:pPr>
              <w:widowControl/>
              <w:jc w:val="center"/>
              <w:rPr>
                <w:rFonts w:eastAsia="等线"/>
                <w:color w:val="000000"/>
                <w:kern w:val="0"/>
                <w:szCs w:val="21"/>
              </w:rPr>
            </w:pPr>
            <w:r>
              <w:rPr>
                <w:rFonts w:eastAsia="等线"/>
                <w:color w:val="000000"/>
                <w:kern w:val="0"/>
                <w:szCs w:val="21"/>
              </w:rPr>
              <w:t>Hf</w:t>
            </w:r>
          </w:p>
        </w:tc>
        <w:tc>
          <w:tcPr>
            <w:tcW w:w="115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等线"/>
                <w:color w:val="000000"/>
                <w:kern w:val="0"/>
                <w:szCs w:val="21"/>
              </w:rPr>
            </w:pPr>
            <w:r>
              <w:rPr>
                <w:rFonts w:eastAsia="等线"/>
                <w:color w:val="000000"/>
                <w:kern w:val="0"/>
                <w:szCs w:val="21"/>
              </w:rPr>
              <w:t>19.6</w:t>
            </w:r>
          </w:p>
        </w:tc>
        <w:tc>
          <w:tcPr>
            <w:tcW w:w="84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等线"/>
                <w:color w:val="000000"/>
                <w:kern w:val="0"/>
                <w:szCs w:val="21"/>
              </w:rPr>
            </w:pPr>
            <w:r>
              <w:rPr>
                <w:rFonts w:eastAsia="等线"/>
                <w:color w:val="000000"/>
                <w:kern w:val="0"/>
                <w:szCs w:val="21"/>
              </w:rPr>
              <w:t>102.0</w:t>
            </w:r>
          </w:p>
        </w:tc>
      </w:tr>
      <w:tr>
        <w:tblPrEx>
          <w:tblCellMar>
            <w:top w:w="0" w:type="dxa"/>
            <w:left w:w="108" w:type="dxa"/>
            <w:bottom w:w="0" w:type="dxa"/>
            <w:right w:w="108" w:type="dxa"/>
          </w:tblCellMar>
        </w:tblPrEx>
        <w:trPr>
          <w:trHeight w:val="285" w:hRule="atLeast"/>
          <w:jc w:val="center"/>
        </w:trPr>
        <w:tc>
          <w:tcPr>
            <w:tcW w:w="500" w:type="pct"/>
            <w:tcBorders>
              <w:top w:val="single" w:color="auto" w:sz="4" w:space="0"/>
              <w:left w:val="single" w:color="auto" w:sz="4" w:space="0"/>
              <w:bottom w:val="single" w:color="auto" w:sz="4" w:space="0"/>
              <w:right w:val="nil"/>
            </w:tcBorders>
            <w:vAlign w:val="center"/>
          </w:tcPr>
          <w:p>
            <w:pPr>
              <w:widowControl/>
              <w:jc w:val="center"/>
              <w:rPr>
                <w:rFonts w:eastAsia="等线"/>
                <w:color w:val="000000"/>
                <w:kern w:val="0"/>
                <w:szCs w:val="21"/>
              </w:rPr>
            </w:pPr>
            <w:r>
              <w:rPr>
                <w:rFonts w:eastAsia="等线"/>
                <w:color w:val="000000"/>
                <w:kern w:val="0"/>
                <w:szCs w:val="21"/>
              </w:rPr>
              <w:t>Cr</w:t>
            </w:r>
          </w:p>
        </w:tc>
        <w:tc>
          <w:tcPr>
            <w:tcW w:w="1151"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等线"/>
                <w:color w:val="000000"/>
                <w:kern w:val="0"/>
                <w:szCs w:val="21"/>
              </w:rPr>
            </w:pPr>
            <w:r>
              <w:rPr>
                <w:rFonts w:eastAsia="等线"/>
                <w:color w:val="000000"/>
                <w:kern w:val="0"/>
                <w:szCs w:val="21"/>
              </w:rPr>
              <w:t>19.4</w:t>
            </w:r>
          </w:p>
        </w:tc>
        <w:tc>
          <w:tcPr>
            <w:tcW w:w="849" w:type="pct"/>
            <w:tcBorders>
              <w:top w:val="single" w:color="auto" w:sz="4" w:space="0"/>
              <w:left w:val="single" w:color="auto" w:sz="4" w:space="0"/>
              <w:bottom w:val="single" w:color="auto" w:sz="4" w:space="0"/>
              <w:right w:val="double" w:color="auto" w:sz="4" w:space="0"/>
            </w:tcBorders>
            <w:vAlign w:val="center"/>
          </w:tcPr>
          <w:p>
            <w:pPr>
              <w:widowControl/>
              <w:jc w:val="center"/>
              <w:rPr>
                <w:rFonts w:eastAsia="等线"/>
                <w:color w:val="000000"/>
                <w:kern w:val="0"/>
                <w:szCs w:val="21"/>
              </w:rPr>
            </w:pPr>
            <w:r>
              <w:rPr>
                <w:rFonts w:eastAsia="等线"/>
                <w:color w:val="000000"/>
                <w:kern w:val="0"/>
                <w:szCs w:val="21"/>
              </w:rPr>
              <w:t>97.0</w:t>
            </w:r>
          </w:p>
        </w:tc>
        <w:tc>
          <w:tcPr>
            <w:tcW w:w="500" w:type="pct"/>
            <w:tcBorders>
              <w:top w:val="single" w:color="auto" w:sz="4" w:space="0"/>
              <w:left w:val="double" w:color="auto" w:sz="4" w:space="0"/>
              <w:bottom w:val="single" w:color="auto" w:sz="4" w:space="0"/>
              <w:right w:val="nil"/>
            </w:tcBorders>
            <w:vAlign w:val="center"/>
          </w:tcPr>
          <w:p>
            <w:pPr>
              <w:widowControl/>
              <w:jc w:val="center"/>
              <w:rPr>
                <w:rFonts w:eastAsia="等线"/>
                <w:color w:val="000000"/>
                <w:kern w:val="0"/>
                <w:szCs w:val="21"/>
              </w:rPr>
            </w:pPr>
            <w:r>
              <w:rPr>
                <w:rFonts w:eastAsia="等线"/>
                <w:color w:val="000000"/>
                <w:kern w:val="0"/>
                <w:szCs w:val="21"/>
              </w:rPr>
              <w:t>Pb</w:t>
            </w:r>
          </w:p>
        </w:tc>
        <w:tc>
          <w:tcPr>
            <w:tcW w:w="115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等线"/>
                <w:color w:val="000000"/>
                <w:kern w:val="0"/>
                <w:szCs w:val="21"/>
              </w:rPr>
            </w:pPr>
            <w:r>
              <w:rPr>
                <w:rFonts w:eastAsia="等线"/>
                <w:color w:val="000000"/>
                <w:kern w:val="0"/>
                <w:szCs w:val="21"/>
              </w:rPr>
              <w:t>19.9</w:t>
            </w:r>
          </w:p>
        </w:tc>
        <w:tc>
          <w:tcPr>
            <w:tcW w:w="84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等线"/>
                <w:color w:val="000000"/>
                <w:kern w:val="0"/>
                <w:szCs w:val="21"/>
              </w:rPr>
            </w:pPr>
            <w:r>
              <w:rPr>
                <w:rFonts w:eastAsia="等线"/>
                <w:color w:val="000000"/>
                <w:kern w:val="0"/>
                <w:szCs w:val="21"/>
              </w:rPr>
              <w:t>97.0</w:t>
            </w:r>
          </w:p>
        </w:tc>
      </w:tr>
      <w:tr>
        <w:tblPrEx>
          <w:tblCellMar>
            <w:top w:w="0" w:type="dxa"/>
            <w:left w:w="108" w:type="dxa"/>
            <w:bottom w:w="0" w:type="dxa"/>
            <w:right w:w="108" w:type="dxa"/>
          </w:tblCellMar>
        </w:tblPrEx>
        <w:trPr>
          <w:trHeight w:val="285" w:hRule="atLeast"/>
          <w:jc w:val="center"/>
        </w:trPr>
        <w:tc>
          <w:tcPr>
            <w:tcW w:w="500" w:type="pct"/>
            <w:tcBorders>
              <w:top w:val="single" w:color="auto" w:sz="4" w:space="0"/>
              <w:left w:val="single" w:color="auto" w:sz="4" w:space="0"/>
              <w:bottom w:val="single" w:color="auto" w:sz="4" w:space="0"/>
              <w:right w:val="nil"/>
            </w:tcBorders>
            <w:vAlign w:val="center"/>
          </w:tcPr>
          <w:p>
            <w:pPr>
              <w:widowControl/>
              <w:jc w:val="center"/>
              <w:rPr>
                <w:rFonts w:eastAsia="等线"/>
                <w:color w:val="000000"/>
                <w:kern w:val="0"/>
                <w:szCs w:val="21"/>
              </w:rPr>
            </w:pPr>
            <w:r>
              <w:rPr>
                <w:rFonts w:eastAsia="等线"/>
                <w:color w:val="000000"/>
                <w:kern w:val="0"/>
                <w:szCs w:val="21"/>
              </w:rPr>
              <w:t>Mn</w:t>
            </w:r>
          </w:p>
        </w:tc>
        <w:tc>
          <w:tcPr>
            <w:tcW w:w="1151"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等线"/>
                <w:color w:val="000000"/>
                <w:kern w:val="0"/>
                <w:szCs w:val="21"/>
              </w:rPr>
            </w:pPr>
            <w:r>
              <w:rPr>
                <w:rFonts w:eastAsia="等线"/>
                <w:color w:val="000000"/>
                <w:kern w:val="0"/>
                <w:szCs w:val="21"/>
              </w:rPr>
              <w:t>20.5</w:t>
            </w:r>
          </w:p>
        </w:tc>
        <w:tc>
          <w:tcPr>
            <w:tcW w:w="849" w:type="pct"/>
            <w:tcBorders>
              <w:top w:val="single" w:color="auto" w:sz="4" w:space="0"/>
              <w:left w:val="single" w:color="auto" w:sz="4" w:space="0"/>
              <w:bottom w:val="single" w:color="auto" w:sz="4" w:space="0"/>
              <w:right w:val="double" w:color="auto" w:sz="4" w:space="0"/>
            </w:tcBorders>
            <w:vAlign w:val="center"/>
          </w:tcPr>
          <w:p>
            <w:pPr>
              <w:widowControl/>
              <w:jc w:val="center"/>
              <w:rPr>
                <w:rFonts w:eastAsia="等线"/>
                <w:color w:val="000000"/>
                <w:kern w:val="0"/>
                <w:szCs w:val="21"/>
              </w:rPr>
            </w:pPr>
            <w:r>
              <w:rPr>
                <w:rFonts w:eastAsia="等线"/>
                <w:color w:val="000000"/>
                <w:kern w:val="0"/>
                <w:szCs w:val="21"/>
              </w:rPr>
              <w:t>102.5</w:t>
            </w:r>
          </w:p>
        </w:tc>
        <w:tc>
          <w:tcPr>
            <w:tcW w:w="500" w:type="pct"/>
            <w:tcBorders>
              <w:top w:val="single" w:color="auto" w:sz="4" w:space="0"/>
              <w:left w:val="double" w:color="auto" w:sz="4" w:space="0"/>
              <w:bottom w:val="single" w:color="auto" w:sz="4" w:space="0"/>
              <w:right w:val="nil"/>
            </w:tcBorders>
            <w:vAlign w:val="center"/>
          </w:tcPr>
          <w:p>
            <w:pPr>
              <w:widowControl/>
              <w:jc w:val="center"/>
              <w:rPr>
                <w:rFonts w:eastAsia="等线"/>
                <w:color w:val="000000"/>
                <w:kern w:val="0"/>
                <w:szCs w:val="21"/>
              </w:rPr>
            </w:pPr>
            <w:r>
              <w:rPr>
                <w:rFonts w:eastAsia="等线"/>
                <w:color w:val="000000"/>
                <w:kern w:val="0"/>
                <w:szCs w:val="21"/>
              </w:rPr>
              <w:t>Bi</w:t>
            </w:r>
          </w:p>
        </w:tc>
        <w:tc>
          <w:tcPr>
            <w:tcW w:w="115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等线"/>
                <w:color w:val="000000"/>
                <w:kern w:val="0"/>
                <w:szCs w:val="21"/>
              </w:rPr>
            </w:pPr>
            <w:r>
              <w:rPr>
                <w:rFonts w:eastAsia="等线"/>
                <w:color w:val="000000"/>
                <w:kern w:val="0"/>
                <w:szCs w:val="21"/>
              </w:rPr>
              <w:t>20.1</w:t>
            </w:r>
          </w:p>
        </w:tc>
        <w:tc>
          <w:tcPr>
            <w:tcW w:w="84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等线"/>
                <w:color w:val="000000"/>
                <w:kern w:val="0"/>
                <w:szCs w:val="21"/>
              </w:rPr>
            </w:pPr>
            <w:r>
              <w:rPr>
                <w:rFonts w:eastAsia="等线"/>
                <w:color w:val="000000"/>
                <w:kern w:val="0"/>
                <w:szCs w:val="21"/>
              </w:rPr>
              <w:t>102.5</w:t>
            </w:r>
          </w:p>
        </w:tc>
      </w:tr>
    </w:tbl>
    <w:p>
      <w:pPr>
        <w:pStyle w:val="120"/>
        <w:tabs>
          <w:tab w:val="clear" w:pos="675"/>
        </w:tabs>
        <w:spacing w:before="156" w:beforeLines="50" w:after="156" w:afterLines="50" w:line="312" w:lineRule="auto"/>
        <w:ind w:left="0" w:firstLine="0"/>
        <w:rPr>
          <w:rFonts w:hAnsi="黑体"/>
        </w:rPr>
      </w:pPr>
      <w:r>
        <w:rPr>
          <w:rFonts w:hint="eastAsia" w:hAnsi="黑体"/>
        </w:rPr>
        <w:t>6、精密度数据的确定</w:t>
      </w:r>
    </w:p>
    <w:p>
      <w:pPr>
        <w:tabs>
          <w:tab w:val="left" w:pos="1118"/>
        </w:tabs>
        <w:spacing w:line="312" w:lineRule="auto"/>
        <w:ind w:firstLine="405"/>
        <w:rPr>
          <w:rFonts w:hAnsi="宋体"/>
        </w:rPr>
      </w:pPr>
      <w:r>
        <w:rPr>
          <w:rFonts w:hint="eastAsia" w:hAnsi="宋体"/>
        </w:rPr>
        <w:t>精密度数据是在</w:t>
      </w:r>
      <w:r>
        <w:rPr>
          <w:rFonts w:hAnsi="宋体"/>
        </w:rPr>
        <w:t>2020</w:t>
      </w:r>
      <w:r>
        <w:rPr>
          <w:rFonts w:hint="eastAsia" w:hAnsi="宋体"/>
        </w:rPr>
        <w:t>年由</w:t>
      </w:r>
      <w:r>
        <w:rPr>
          <w:rFonts w:hAnsi="宋体"/>
        </w:rPr>
        <w:t>6</w:t>
      </w:r>
      <w:r>
        <w:rPr>
          <w:rFonts w:hint="eastAsia" w:hAnsi="宋体"/>
        </w:rPr>
        <w:t>家试验室对不同水平样品进行共同试验确定的。每个实验室对每个水平的杂质含量均独立测定</w:t>
      </w:r>
      <w:r>
        <w:rPr>
          <w:rFonts w:hAnsi="宋体"/>
        </w:rPr>
        <w:t>7</w:t>
      </w:r>
      <w:r>
        <w:rPr>
          <w:rFonts w:hint="eastAsia" w:hAnsi="宋体"/>
        </w:rPr>
        <w:t>次。测量的原始数据见附录A。</w:t>
      </w:r>
    </w:p>
    <w:p>
      <w:pPr>
        <w:tabs>
          <w:tab w:val="left" w:pos="1118"/>
        </w:tabs>
        <w:spacing w:line="312" w:lineRule="auto"/>
        <w:ind w:firstLine="405"/>
        <w:rPr>
          <w:rFonts w:hAnsi="宋体"/>
        </w:rPr>
      </w:pPr>
      <w:r>
        <w:rPr>
          <w:rFonts w:hint="eastAsia" w:hAnsi="宋体"/>
        </w:rPr>
        <w:t>在对原始测定数据进行柯克伦检验及格拉布斯检验，剔除离群值后，进行精密度数据计算，从而确定重复性限和再现性限。</w:t>
      </w:r>
      <w:r>
        <w:rPr>
          <w:rFonts w:hAnsi="宋体"/>
        </w:rPr>
        <w:t>各杂质元素</w:t>
      </w:r>
      <w:r>
        <w:rPr>
          <w:rFonts w:hint="eastAsia" w:hAnsi="宋体"/>
        </w:rPr>
        <w:t>统计分析</w:t>
      </w:r>
      <w:r>
        <w:rPr>
          <w:rFonts w:hAnsi="宋体"/>
        </w:rPr>
        <w:t>后</w:t>
      </w:r>
      <w:r>
        <w:rPr>
          <w:rFonts w:hint="eastAsia" w:hAnsi="宋体"/>
        </w:rPr>
        <w:t>结果</w:t>
      </w:r>
      <w:r>
        <w:rPr>
          <w:rFonts w:hAnsi="宋体"/>
        </w:rPr>
        <w:t>可接受的实验室个数、可接受的数据个数、平均值、</w:t>
      </w:r>
      <w:r>
        <w:rPr>
          <w:rFonts w:hint="eastAsia" w:hAnsi="宋体"/>
        </w:rPr>
        <w:t>及</w:t>
      </w:r>
      <w:r>
        <w:rPr>
          <w:rFonts w:hAnsi="宋体"/>
        </w:rPr>
        <w:t>重复性</w:t>
      </w:r>
      <w:r>
        <w:rPr>
          <w:rFonts w:hint="eastAsia" w:hAnsi="宋体"/>
        </w:rPr>
        <w:t>标准差</w:t>
      </w:r>
      <w:r>
        <w:rPr>
          <w:rFonts w:hAnsi="宋体"/>
        </w:rPr>
        <w:t>、再现性标准差</w:t>
      </w:r>
      <w:r>
        <w:rPr>
          <w:rFonts w:hint="eastAsia" w:hAnsi="宋体"/>
        </w:rPr>
        <w:t>、</w:t>
      </w:r>
      <w:r>
        <w:rPr>
          <w:rFonts w:hAnsi="宋体"/>
        </w:rPr>
        <w:t>重复性限</w:t>
      </w:r>
      <w:r>
        <w:rPr>
          <w:rFonts w:hint="eastAsia" w:hAnsi="宋体"/>
        </w:rPr>
        <w:t>、</w:t>
      </w:r>
      <w:r>
        <w:rPr>
          <w:rFonts w:hAnsi="宋体"/>
        </w:rPr>
        <w:t>再现性限</w:t>
      </w:r>
      <w:r>
        <w:rPr>
          <w:rFonts w:hint="eastAsia" w:hAnsi="宋体"/>
        </w:rPr>
        <w:t>见</w:t>
      </w:r>
      <w:r>
        <w:rPr>
          <w:rFonts w:hAnsi="宋体"/>
        </w:rPr>
        <w:t>表</w:t>
      </w:r>
      <w:r>
        <w:rPr>
          <w:rFonts w:hint="eastAsia" w:hAnsi="宋体"/>
        </w:rPr>
        <w:t>5</w:t>
      </w:r>
      <w:r>
        <w:rPr>
          <w:rFonts w:hAnsi="宋体"/>
        </w:rPr>
        <w:t>~表</w:t>
      </w:r>
      <w:r>
        <w:rPr>
          <w:rFonts w:hint="eastAsia" w:hAnsi="宋体"/>
        </w:rPr>
        <w:t>8。根据</w:t>
      </w:r>
      <w:r>
        <w:rPr>
          <w:rFonts w:hAnsi="宋体"/>
        </w:rPr>
        <w:t>表</w:t>
      </w:r>
      <w:r>
        <w:rPr>
          <w:rFonts w:hint="eastAsia" w:hAnsi="宋体"/>
        </w:rPr>
        <w:t>5</w:t>
      </w:r>
      <w:r>
        <w:rPr>
          <w:rFonts w:hAnsi="宋体"/>
        </w:rPr>
        <w:t>~表</w:t>
      </w:r>
      <w:r>
        <w:rPr>
          <w:rFonts w:hint="eastAsia" w:hAnsi="宋体"/>
        </w:rPr>
        <w:t>8对</w:t>
      </w:r>
      <w:r>
        <w:rPr>
          <w:rFonts w:hAnsi="宋体"/>
        </w:rPr>
        <w:t>重复性限和再现性限进行综合评定，确定方法</w:t>
      </w:r>
      <w:r>
        <w:rPr>
          <w:rFonts w:hint="eastAsia" w:hAnsi="宋体"/>
        </w:rPr>
        <w:t>的</w:t>
      </w:r>
      <w:r>
        <w:rPr>
          <w:rFonts w:hAnsi="宋体"/>
        </w:rPr>
        <w:t>重复性限和再现性限，</w:t>
      </w:r>
      <w:r>
        <w:rPr>
          <w:rFonts w:hint="eastAsia" w:hAnsi="宋体"/>
        </w:rPr>
        <w:t>分别</w:t>
      </w:r>
      <w:r>
        <w:rPr>
          <w:rFonts w:hAnsi="宋体"/>
        </w:rPr>
        <w:t>见表</w:t>
      </w:r>
      <w:r>
        <w:rPr>
          <w:rFonts w:hint="eastAsia" w:hAnsi="宋体"/>
        </w:rPr>
        <w:t>9、</w:t>
      </w:r>
      <w:r>
        <w:rPr>
          <w:rFonts w:hAnsi="宋体"/>
        </w:rPr>
        <w:t>表</w:t>
      </w:r>
      <w:r>
        <w:rPr>
          <w:rFonts w:hint="eastAsia" w:hAnsi="宋体"/>
        </w:rPr>
        <w:t>10。</w:t>
      </w:r>
    </w:p>
    <w:p>
      <w:pPr>
        <w:adjustRightInd w:val="0"/>
        <w:snapToGrid w:val="0"/>
        <w:spacing w:before="312" w:beforeLines="100" w:after="156" w:afterLines="50" w:line="360" w:lineRule="exact"/>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5  </w:t>
      </w:r>
      <w:r>
        <w:rPr>
          <w:rFonts w:hint="eastAsia" w:ascii="黑体" w:hAnsi="黑体" w:eastAsia="黑体"/>
          <w:szCs w:val="21"/>
        </w:rPr>
        <w:t>水平1统计结果表</w:t>
      </w:r>
    </w:p>
    <w:tbl>
      <w:tblPr>
        <w:tblStyle w:val="88"/>
        <w:tblW w:w="5000" w:type="pct"/>
        <w:tblInd w:w="0" w:type="dxa"/>
        <w:tblLayout w:type="autofit"/>
        <w:tblCellMar>
          <w:top w:w="0" w:type="dxa"/>
          <w:left w:w="108" w:type="dxa"/>
          <w:bottom w:w="0" w:type="dxa"/>
          <w:right w:w="108" w:type="dxa"/>
        </w:tblCellMar>
      </w:tblPr>
      <w:tblGrid>
        <w:gridCol w:w="611"/>
        <w:gridCol w:w="1374"/>
        <w:gridCol w:w="1679"/>
        <w:gridCol w:w="970"/>
        <w:gridCol w:w="1523"/>
        <w:gridCol w:w="1584"/>
        <w:gridCol w:w="1055"/>
        <w:gridCol w:w="1116"/>
      </w:tblGrid>
      <w:tr>
        <w:tblPrEx>
          <w:tblCellMar>
            <w:top w:w="0" w:type="dxa"/>
            <w:left w:w="108" w:type="dxa"/>
            <w:bottom w:w="0" w:type="dxa"/>
            <w:right w:w="108" w:type="dxa"/>
          </w:tblCellMar>
        </w:tblPrEx>
        <w:trPr>
          <w:trHeight w:val="270" w:hRule="atLeast"/>
        </w:trPr>
        <w:tc>
          <w:tcPr>
            <w:tcW w:w="30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元素</w:t>
            </w:r>
          </w:p>
        </w:tc>
        <w:tc>
          <w:tcPr>
            <w:tcW w:w="69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结果可接受的</w:t>
            </w:r>
          </w:p>
          <w:p>
            <w:pPr>
              <w:widowControl/>
              <w:jc w:val="center"/>
              <w:rPr>
                <w:color w:val="000000"/>
                <w:kern w:val="0"/>
                <w:sz w:val="18"/>
                <w:szCs w:val="18"/>
              </w:rPr>
            </w:pPr>
            <w:r>
              <w:rPr>
                <w:color w:val="000000"/>
                <w:kern w:val="0"/>
                <w:sz w:val="18"/>
                <w:szCs w:val="18"/>
              </w:rPr>
              <w:t>实验室个数</w:t>
            </w:r>
          </w:p>
        </w:tc>
        <w:tc>
          <w:tcPr>
            <w:tcW w:w="84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可接受的数据</w:t>
            </w:r>
          </w:p>
          <w:p>
            <w:pPr>
              <w:widowControl/>
              <w:jc w:val="center"/>
              <w:rPr>
                <w:color w:val="000000"/>
                <w:kern w:val="0"/>
                <w:sz w:val="18"/>
                <w:szCs w:val="18"/>
              </w:rPr>
            </w:pPr>
            <w:r>
              <w:rPr>
                <w:color w:val="000000"/>
                <w:kern w:val="0"/>
                <w:sz w:val="18"/>
                <w:szCs w:val="18"/>
              </w:rPr>
              <w:t>个数</w:t>
            </w:r>
          </w:p>
        </w:tc>
        <w:tc>
          <w:tcPr>
            <w:tcW w:w="48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平均值</w:t>
            </w:r>
          </w:p>
          <w:p>
            <w:pPr>
              <w:widowControl/>
              <w:jc w:val="center"/>
              <w:rPr>
                <w:color w:val="000000"/>
                <w:kern w:val="0"/>
                <w:sz w:val="18"/>
                <w:szCs w:val="18"/>
              </w:rPr>
            </w:pPr>
            <w:r>
              <w:rPr>
                <w:color w:val="000000"/>
                <w:kern w:val="0"/>
                <w:sz w:val="18"/>
                <w:szCs w:val="18"/>
              </w:rPr>
              <w:t>/%</w:t>
            </w:r>
          </w:p>
        </w:tc>
        <w:tc>
          <w:tcPr>
            <w:tcW w:w="76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重复性标准差</w:t>
            </w:r>
          </w:p>
          <w:p>
            <w:pPr>
              <w:widowControl/>
              <w:jc w:val="center"/>
              <w:rPr>
                <w:color w:val="000000"/>
                <w:kern w:val="0"/>
                <w:sz w:val="18"/>
                <w:szCs w:val="18"/>
              </w:rPr>
            </w:pPr>
            <w:r>
              <w:rPr>
                <w:i/>
                <w:color w:val="000000"/>
                <w:kern w:val="0"/>
                <w:sz w:val="18"/>
                <w:szCs w:val="18"/>
              </w:rPr>
              <w:t>S</w:t>
            </w:r>
            <w:r>
              <w:rPr>
                <w:i/>
                <w:color w:val="000000"/>
                <w:kern w:val="0"/>
                <w:sz w:val="18"/>
                <w:szCs w:val="18"/>
                <w:vertAlign w:val="subscript"/>
              </w:rPr>
              <w:t>r</w:t>
            </w:r>
          </w:p>
        </w:tc>
        <w:tc>
          <w:tcPr>
            <w:tcW w:w="79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再现性标准差</w:t>
            </w:r>
          </w:p>
          <w:p>
            <w:pPr>
              <w:widowControl/>
              <w:jc w:val="center"/>
              <w:rPr>
                <w:color w:val="000000"/>
                <w:kern w:val="0"/>
                <w:sz w:val="18"/>
                <w:szCs w:val="18"/>
              </w:rPr>
            </w:pPr>
            <w:r>
              <w:rPr>
                <w:i/>
                <w:color w:val="000000"/>
                <w:kern w:val="0"/>
                <w:sz w:val="18"/>
                <w:szCs w:val="18"/>
              </w:rPr>
              <w:t>S</w:t>
            </w:r>
            <w:r>
              <w:rPr>
                <w:i/>
                <w:color w:val="000000"/>
                <w:kern w:val="0"/>
                <w:sz w:val="18"/>
                <w:szCs w:val="18"/>
                <w:vertAlign w:val="subscript"/>
              </w:rPr>
              <w:t>R</w:t>
            </w:r>
          </w:p>
        </w:tc>
        <w:tc>
          <w:tcPr>
            <w:tcW w:w="53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重复性限</w:t>
            </w:r>
          </w:p>
          <w:p>
            <w:pPr>
              <w:widowControl/>
              <w:jc w:val="center"/>
              <w:rPr>
                <w:i/>
                <w:color w:val="000000"/>
                <w:kern w:val="0"/>
                <w:sz w:val="18"/>
                <w:szCs w:val="18"/>
              </w:rPr>
            </w:pPr>
            <w:r>
              <w:rPr>
                <w:i/>
                <w:color w:val="000000"/>
                <w:kern w:val="0"/>
                <w:sz w:val="18"/>
                <w:szCs w:val="18"/>
              </w:rPr>
              <w:t>r</w:t>
            </w:r>
          </w:p>
        </w:tc>
        <w:tc>
          <w:tcPr>
            <w:tcW w:w="56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再现性限</w:t>
            </w:r>
          </w:p>
          <w:p>
            <w:pPr>
              <w:widowControl/>
              <w:jc w:val="center"/>
              <w:rPr>
                <w:i/>
                <w:color w:val="000000"/>
                <w:kern w:val="0"/>
                <w:sz w:val="18"/>
                <w:szCs w:val="18"/>
              </w:rPr>
            </w:pPr>
            <w:r>
              <w:rPr>
                <w:i/>
                <w:color w:val="000000"/>
                <w:kern w:val="0"/>
                <w:sz w:val="18"/>
                <w:szCs w:val="18"/>
              </w:rPr>
              <w:t>R</w:t>
            </w:r>
          </w:p>
        </w:tc>
      </w:tr>
      <w:tr>
        <w:tblPrEx>
          <w:tblCellMar>
            <w:top w:w="0" w:type="dxa"/>
            <w:left w:w="108" w:type="dxa"/>
            <w:bottom w:w="0" w:type="dxa"/>
            <w:right w:w="108" w:type="dxa"/>
          </w:tblCellMar>
        </w:tblPrEx>
        <w:trPr>
          <w:trHeight w:val="270" w:hRule="atLeast"/>
        </w:trPr>
        <w:tc>
          <w:tcPr>
            <w:tcW w:w="308"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B</w:t>
            </w:r>
          </w:p>
        </w:tc>
        <w:tc>
          <w:tcPr>
            <w:tcW w:w="693"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6</w:t>
            </w:r>
          </w:p>
        </w:tc>
        <w:tc>
          <w:tcPr>
            <w:tcW w:w="847"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42</w:t>
            </w:r>
          </w:p>
        </w:tc>
        <w:tc>
          <w:tcPr>
            <w:tcW w:w="48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0.00066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0.00005</w:t>
            </w:r>
          </w:p>
        </w:tc>
        <w:tc>
          <w:tcPr>
            <w:tcW w:w="79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0.00007</w:t>
            </w:r>
          </w:p>
        </w:tc>
        <w:tc>
          <w:tcPr>
            <w:tcW w:w="532"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0.00014</w:t>
            </w:r>
          </w:p>
        </w:tc>
        <w:tc>
          <w:tcPr>
            <w:tcW w:w="563"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0.00018</w:t>
            </w:r>
          </w:p>
        </w:tc>
      </w:tr>
      <w:tr>
        <w:tblPrEx>
          <w:tblCellMar>
            <w:top w:w="0" w:type="dxa"/>
            <w:left w:w="108" w:type="dxa"/>
            <w:bottom w:w="0" w:type="dxa"/>
            <w:right w:w="108" w:type="dxa"/>
          </w:tblCellMar>
        </w:tblPrEx>
        <w:trPr>
          <w:trHeight w:val="270" w:hRule="atLeast"/>
        </w:trPr>
        <w:tc>
          <w:tcPr>
            <w:tcW w:w="308"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xml:space="preserve"> Na</w:t>
            </w:r>
          </w:p>
        </w:tc>
        <w:tc>
          <w:tcPr>
            <w:tcW w:w="693"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6</w:t>
            </w:r>
          </w:p>
        </w:tc>
        <w:tc>
          <w:tcPr>
            <w:tcW w:w="847"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42</w:t>
            </w:r>
          </w:p>
        </w:tc>
        <w:tc>
          <w:tcPr>
            <w:tcW w:w="48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0.00058</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0.00005</w:t>
            </w:r>
          </w:p>
        </w:tc>
        <w:tc>
          <w:tcPr>
            <w:tcW w:w="79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0.00010</w:t>
            </w:r>
          </w:p>
        </w:tc>
        <w:tc>
          <w:tcPr>
            <w:tcW w:w="532"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0.00015</w:t>
            </w:r>
          </w:p>
        </w:tc>
        <w:tc>
          <w:tcPr>
            <w:tcW w:w="563"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0.00028</w:t>
            </w:r>
          </w:p>
        </w:tc>
      </w:tr>
      <w:tr>
        <w:tblPrEx>
          <w:tblCellMar>
            <w:top w:w="0" w:type="dxa"/>
            <w:left w:w="108" w:type="dxa"/>
            <w:bottom w:w="0" w:type="dxa"/>
            <w:right w:w="108" w:type="dxa"/>
          </w:tblCellMar>
        </w:tblPrEx>
        <w:trPr>
          <w:trHeight w:val="270" w:hRule="atLeast"/>
        </w:trPr>
        <w:tc>
          <w:tcPr>
            <w:tcW w:w="308"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xml:space="preserve"> Mg</w:t>
            </w:r>
          </w:p>
        </w:tc>
        <w:tc>
          <w:tcPr>
            <w:tcW w:w="693"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5</w:t>
            </w:r>
          </w:p>
        </w:tc>
        <w:tc>
          <w:tcPr>
            <w:tcW w:w="847"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35</w:t>
            </w:r>
          </w:p>
        </w:tc>
        <w:tc>
          <w:tcPr>
            <w:tcW w:w="48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0.00015</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0.00001</w:t>
            </w:r>
          </w:p>
        </w:tc>
        <w:tc>
          <w:tcPr>
            <w:tcW w:w="79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0.00002</w:t>
            </w:r>
          </w:p>
        </w:tc>
        <w:tc>
          <w:tcPr>
            <w:tcW w:w="532"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0.00003</w:t>
            </w:r>
          </w:p>
        </w:tc>
        <w:tc>
          <w:tcPr>
            <w:tcW w:w="563"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0.00005</w:t>
            </w:r>
          </w:p>
        </w:tc>
      </w:tr>
      <w:tr>
        <w:tblPrEx>
          <w:tblCellMar>
            <w:top w:w="0" w:type="dxa"/>
            <w:left w:w="108" w:type="dxa"/>
            <w:bottom w:w="0" w:type="dxa"/>
            <w:right w:w="108" w:type="dxa"/>
          </w:tblCellMar>
        </w:tblPrEx>
        <w:trPr>
          <w:trHeight w:val="270" w:hRule="atLeast"/>
        </w:trPr>
        <w:tc>
          <w:tcPr>
            <w:tcW w:w="308"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Ca</w:t>
            </w:r>
          </w:p>
        </w:tc>
        <w:tc>
          <w:tcPr>
            <w:tcW w:w="693"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6</w:t>
            </w:r>
          </w:p>
        </w:tc>
        <w:tc>
          <w:tcPr>
            <w:tcW w:w="847"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42</w:t>
            </w:r>
          </w:p>
        </w:tc>
        <w:tc>
          <w:tcPr>
            <w:tcW w:w="48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0.00109</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0.00007</w:t>
            </w:r>
          </w:p>
        </w:tc>
        <w:tc>
          <w:tcPr>
            <w:tcW w:w="79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0.00010</w:t>
            </w:r>
          </w:p>
        </w:tc>
        <w:tc>
          <w:tcPr>
            <w:tcW w:w="532"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0.00019</w:t>
            </w:r>
          </w:p>
        </w:tc>
        <w:tc>
          <w:tcPr>
            <w:tcW w:w="563"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0.00027</w:t>
            </w:r>
          </w:p>
        </w:tc>
      </w:tr>
      <w:tr>
        <w:tblPrEx>
          <w:tblCellMar>
            <w:top w:w="0" w:type="dxa"/>
            <w:left w:w="108" w:type="dxa"/>
            <w:bottom w:w="0" w:type="dxa"/>
            <w:right w:w="108" w:type="dxa"/>
          </w:tblCellMar>
        </w:tblPrEx>
        <w:trPr>
          <w:trHeight w:val="270" w:hRule="atLeast"/>
        </w:trPr>
        <w:tc>
          <w:tcPr>
            <w:tcW w:w="308"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Ti</w:t>
            </w:r>
          </w:p>
        </w:tc>
        <w:tc>
          <w:tcPr>
            <w:tcW w:w="693"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5</w:t>
            </w:r>
          </w:p>
        </w:tc>
        <w:tc>
          <w:tcPr>
            <w:tcW w:w="847"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35</w:t>
            </w:r>
          </w:p>
        </w:tc>
        <w:tc>
          <w:tcPr>
            <w:tcW w:w="48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0.00024</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0.00003</w:t>
            </w:r>
          </w:p>
        </w:tc>
        <w:tc>
          <w:tcPr>
            <w:tcW w:w="79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0.00005</w:t>
            </w:r>
          </w:p>
        </w:tc>
        <w:tc>
          <w:tcPr>
            <w:tcW w:w="532"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0.00008</w:t>
            </w:r>
          </w:p>
        </w:tc>
        <w:tc>
          <w:tcPr>
            <w:tcW w:w="563"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0.00015</w:t>
            </w:r>
          </w:p>
        </w:tc>
      </w:tr>
      <w:tr>
        <w:tblPrEx>
          <w:tblCellMar>
            <w:top w:w="0" w:type="dxa"/>
            <w:left w:w="108" w:type="dxa"/>
            <w:bottom w:w="0" w:type="dxa"/>
            <w:right w:w="108" w:type="dxa"/>
          </w:tblCellMar>
        </w:tblPrEx>
        <w:trPr>
          <w:trHeight w:val="270" w:hRule="atLeast"/>
        </w:trPr>
        <w:tc>
          <w:tcPr>
            <w:tcW w:w="308"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V</w:t>
            </w:r>
          </w:p>
        </w:tc>
        <w:tc>
          <w:tcPr>
            <w:tcW w:w="693"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6</w:t>
            </w:r>
          </w:p>
        </w:tc>
        <w:tc>
          <w:tcPr>
            <w:tcW w:w="847"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42</w:t>
            </w:r>
          </w:p>
        </w:tc>
        <w:tc>
          <w:tcPr>
            <w:tcW w:w="48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0.00010</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0.00001</w:t>
            </w:r>
          </w:p>
        </w:tc>
        <w:tc>
          <w:tcPr>
            <w:tcW w:w="79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0.00001</w:t>
            </w:r>
          </w:p>
        </w:tc>
        <w:tc>
          <w:tcPr>
            <w:tcW w:w="532"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0.00002</w:t>
            </w:r>
          </w:p>
        </w:tc>
        <w:tc>
          <w:tcPr>
            <w:tcW w:w="563"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0.00003</w:t>
            </w:r>
          </w:p>
        </w:tc>
      </w:tr>
      <w:tr>
        <w:tblPrEx>
          <w:tblCellMar>
            <w:top w:w="0" w:type="dxa"/>
            <w:left w:w="108" w:type="dxa"/>
            <w:bottom w:w="0" w:type="dxa"/>
            <w:right w:w="108" w:type="dxa"/>
          </w:tblCellMar>
        </w:tblPrEx>
        <w:trPr>
          <w:trHeight w:val="270" w:hRule="atLeast"/>
        </w:trPr>
        <w:tc>
          <w:tcPr>
            <w:tcW w:w="308"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Fe</w:t>
            </w:r>
          </w:p>
        </w:tc>
        <w:tc>
          <w:tcPr>
            <w:tcW w:w="693"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6</w:t>
            </w:r>
          </w:p>
        </w:tc>
        <w:tc>
          <w:tcPr>
            <w:tcW w:w="847"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42</w:t>
            </w:r>
          </w:p>
        </w:tc>
        <w:tc>
          <w:tcPr>
            <w:tcW w:w="48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0.00039</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0.00003</w:t>
            </w:r>
          </w:p>
        </w:tc>
        <w:tc>
          <w:tcPr>
            <w:tcW w:w="79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0.00008</w:t>
            </w:r>
          </w:p>
        </w:tc>
        <w:tc>
          <w:tcPr>
            <w:tcW w:w="532"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0.00008</w:t>
            </w:r>
          </w:p>
        </w:tc>
        <w:tc>
          <w:tcPr>
            <w:tcW w:w="563"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0.00023</w:t>
            </w:r>
          </w:p>
        </w:tc>
      </w:tr>
      <w:tr>
        <w:tblPrEx>
          <w:tblCellMar>
            <w:top w:w="0" w:type="dxa"/>
            <w:left w:w="108" w:type="dxa"/>
            <w:bottom w:w="0" w:type="dxa"/>
            <w:right w:w="108" w:type="dxa"/>
          </w:tblCellMar>
        </w:tblPrEx>
        <w:trPr>
          <w:trHeight w:val="270" w:hRule="atLeast"/>
        </w:trPr>
        <w:tc>
          <w:tcPr>
            <w:tcW w:w="308"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Cu</w:t>
            </w:r>
          </w:p>
        </w:tc>
        <w:tc>
          <w:tcPr>
            <w:tcW w:w="693"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6</w:t>
            </w:r>
          </w:p>
        </w:tc>
        <w:tc>
          <w:tcPr>
            <w:tcW w:w="847"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42</w:t>
            </w:r>
          </w:p>
        </w:tc>
        <w:tc>
          <w:tcPr>
            <w:tcW w:w="48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0.00019</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0.00002</w:t>
            </w:r>
          </w:p>
        </w:tc>
        <w:tc>
          <w:tcPr>
            <w:tcW w:w="79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0.00004</w:t>
            </w:r>
          </w:p>
        </w:tc>
        <w:tc>
          <w:tcPr>
            <w:tcW w:w="532"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0.00006</w:t>
            </w:r>
          </w:p>
        </w:tc>
        <w:tc>
          <w:tcPr>
            <w:tcW w:w="563"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0.00012</w:t>
            </w:r>
          </w:p>
        </w:tc>
      </w:tr>
      <w:tr>
        <w:tblPrEx>
          <w:tblCellMar>
            <w:top w:w="0" w:type="dxa"/>
            <w:left w:w="108" w:type="dxa"/>
            <w:bottom w:w="0" w:type="dxa"/>
            <w:right w:w="108" w:type="dxa"/>
          </w:tblCellMar>
        </w:tblPrEx>
        <w:trPr>
          <w:trHeight w:val="270" w:hRule="atLeast"/>
        </w:trPr>
        <w:tc>
          <w:tcPr>
            <w:tcW w:w="308"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Mo</w:t>
            </w:r>
          </w:p>
        </w:tc>
        <w:tc>
          <w:tcPr>
            <w:tcW w:w="693"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6</w:t>
            </w:r>
          </w:p>
        </w:tc>
        <w:tc>
          <w:tcPr>
            <w:tcW w:w="847"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42</w:t>
            </w:r>
          </w:p>
        </w:tc>
        <w:tc>
          <w:tcPr>
            <w:tcW w:w="48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0.00012</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0.00001</w:t>
            </w:r>
          </w:p>
        </w:tc>
        <w:tc>
          <w:tcPr>
            <w:tcW w:w="79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0.00001</w:t>
            </w:r>
          </w:p>
        </w:tc>
        <w:tc>
          <w:tcPr>
            <w:tcW w:w="532"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0.00002</w:t>
            </w:r>
          </w:p>
        </w:tc>
        <w:tc>
          <w:tcPr>
            <w:tcW w:w="563"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0.00003</w:t>
            </w:r>
          </w:p>
        </w:tc>
      </w:tr>
      <w:tr>
        <w:tblPrEx>
          <w:tblCellMar>
            <w:top w:w="0" w:type="dxa"/>
            <w:left w:w="108" w:type="dxa"/>
            <w:bottom w:w="0" w:type="dxa"/>
            <w:right w:w="108" w:type="dxa"/>
          </w:tblCellMar>
        </w:tblPrEx>
        <w:trPr>
          <w:trHeight w:val="270" w:hRule="atLeast"/>
        </w:trPr>
        <w:tc>
          <w:tcPr>
            <w:tcW w:w="308"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Hf</w:t>
            </w:r>
          </w:p>
        </w:tc>
        <w:tc>
          <w:tcPr>
            <w:tcW w:w="693"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6</w:t>
            </w:r>
          </w:p>
        </w:tc>
        <w:tc>
          <w:tcPr>
            <w:tcW w:w="847"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42</w:t>
            </w:r>
          </w:p>
        </w:tc>
        <w:tc>
          <w:tcPr>
            <w:tcW w:w="48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0.00033</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0.00002</w:t>
            </w:r>
          </w:p>
        </w:tc>
        <w:tc>
          <w:tcPr>
            <w:tcW w:w="79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0.00004</w:t>
            </w:r>
          </w:p>
        </w:tc>
        <w:tc>
          <w:tcPr>
            <w:tcW w:w="532"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0.00006</w:t>
            </w:r>
          </w:p>
        </w:tc>
        <w:tc>
          <w:tcPr>
            <w:tcW w:w="563"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0.00010</w:t>
            </w:r>
          </w:p>
        </w:tc>
      </w:tr>
    </w:tbl>
    <w:p>
      <w:pPr>
        <w:adjustRightInd w:val="0"/>
        <w:snapToGrid w:val="0"/>
        <w:spacing w:before="468" w:beforeLines="150" w:after="156" w:afterLines="50" w:line="360" w:lineRule="exact"/>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6  </w:t>
      </w:r>
      <w:r>
        <w:rPr>
          <w:rFonts w:hint="eastAsia" w:ascii="黑体" w:hAnsi="黑体" w:eastAsia="黑体"/>
          <w:szCs w:val="21"/>
        </w:rPr>
        <w:t>水平</w:t>
      </w:r>
      <w:r>
        <w:rPr>
          <w:rFonts w:ascii="黑体" w:hAnsi="黑体" w:eastAsia="黑体"/>
          <w:szCs w:val="21"/>
        </w:rPr>
        <w:t>2</w:t>
      </w:r>
      <w:r>
        <w:rPr>
          <w:rFonts w:hint="eastAsia" w:ascii="黑体" w:hAnsi="黑体" w:eastAsia="黑体"/>
          <w:szCs w:val="21"/>
        </w:rPr>
        <w:t>统计结果表</w:t>
      </w:r>
    </w:p>
    <w:tbl>
      <w:tblPr>
        <w:tblStyle w:val="88"/>
        <w:tblW w:w="5000" w:type="pct"/>
        <w:tblInd w:w="0" w:type="dxa"/>
        <w:tblLayout w:type="autofit"/>
        <w:tblCellMar>
          <w:top w:w="0" w:type="dxa"/>
          <w:left w:w="108" w:type="dxa"/>
          <w:bottom w:w="0" w:type="dxa"/>
          <w:right w:w="108" w:type="dxa"/>
        </w:tblCellMar>
      </w:tblPr>
      <w:tblGrid>
        <w:gridCol w:w="678"/>
        <w:gridCol w:w="1523"/>
        <w:gridCol w:w="1523"/>
        <w:gridCol w:w="942"/>
        <w:gridCol w:w="1523"/>
        <w:gridCol w:w="1523"/>
        <w:gridCol w:w="1100"/>
        <w:gridCol w:w="1100"/>
      </w:tblGrid>
      <w:tr>
        <w:tblPrEx>
          <w:tblCellMar>
            <w:top w:w="0" w:type="dxa"/>
            <w:left w:w="108" w:type="dxa"/>
            <w:bottom w:w="0" w:type="dxa"/>
            <w:right w:w="108" w:type="dxa"/>
          </w:tblCellMar>
        </w:tblPrEx>
        <w:trPr>
          <w:trHeight w:val="270" w:hRule="atLeast"/>
          <w:tblHeader/>
        </w:trPr>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元素</w:t>
            </w:r>
          </w:p>
        </w:tc>
        <w:tc>
          <w:tcPr>
            <w:tcW w:w="76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结果可接受的</w:t>
            </w:r>
          </w:p>
          <w:p>
            <w:pPr>
              <w:widowControl/>
              <w:jc w:val="center"/>
              <w:rPr>
                <w:color w:val="000000"/>
                <w:kern w:val="0"/>
                <w:sz w:val="18"/>
                <w:szCs w:val="18"/>
              </w:rPr>
            </w:pPr>
            <w:r>
              <w:rPr>
                <w:color w:val="000000"/>
                <w:kern w:val="0"/>
                <w:sz w:val="18"/>
                <w:szCs w:val="18"/>
              </w:rPr>
              <w:t>实验室个数</w:t>
            </w:r>
          </w:p>
        </w:tc>
        <w:tc>
          <w:tcPr>
            <w:tcW w:w="76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可接受的数据</w:t>
            </w:r>
          </w:p>
          <w:p>
            <w:pPr>
              <w:widowControl/>
              <w:jc w:val="center"/>
              <w:rPr>
                <w:color w:val="000000"/>
                <w:kern w:val="0"/>
                <w:sz w:val="18"/>
                <w:szCs w:val="18"/>
              </w:rPr>
            </w:pPr>
            <w:r>
              <w:rPr>
                <w:color w:val="000000"/>
                <w:kern w:val="0"/>
                <w:sz w:val="18"/>
                <w:szCs w:val="18"/>
              </w:rPr>
              <w:t>个数</w:t>
            </w:r>
          </w:p>
        </w:tc>
        <w:tc>
          <w:tcPr>
            <w:tcW w:w="47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平均值</w:t>
            </w:r>
          </w:p>
          <w:p>
            <w:pPr>
              <w:widowControl/>
              <w:jc w:val="center"/>
              <w:rPr>
                <w:color w:val="000000"/>
                <w:kern w:val="0"/>
                <w:sz w:val="18"/>
                <w:szCs w:val="18"/>
              </w:rPr>
            </w:pPr>
            <w:r>
              <w:rPr>
                <w:color w:val="000000"/>
                <w:kern w:val="0"/>
                <w:sz w:val="18"/>
                <w:szCs w:val="18"/>
              </w:rPr>
              <w:t>/%</w:t>
            </w:r>
          </w:p>
        </w:tc>
        <w:tc>
          <w:tcPr>
            <w:tcW w:w="76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重复性标准差</w:t>
            </w:r>
          </w:p>
          <w:p>
            <w:pPr>
              <w:widowControl/>
              <w:jc w:val="center"/>
              <w:rPr>
                <w:color w:val="000000"/>
                <w:kern w:val="0"/>
                <w:sz w:val="18"/>
                <w:szCs w:val="18"/>
              </w:rPr>
            </w:pPr>
            <w:r>
              <w:rPr>
                <w:i/>
                <w:color w:val="000000"/>
                <w:kern w:val="0"/>
                <w:sz w:val="18"/>
                <w:szCs w:val="18"/>
              </w:rPr>
              <w:t>S</w:t>
            </w:r>
            <w:r>
              <w:rPr>
                <w:i/>
                <w:color w:val="000000"/>
                <w:kern w:val="0"/>
                <w:sz w:val="18"/>
                <w:szCs w:val="18"/>
                <w:vertAlign w:val="subscript"/>
              </w:rPr>
              <w:t>r</w:t>
            </w:r>
          </w:p>
        </w:tc>
        <w:tc>
          <w:tcPr>
            <w:tcW w:w="76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再现性标准差</w:t>
            </w:r>
          </w:p>
          <w:p>
            <w:pPr>
              <w:widowControl/>
              <w:jc w:val="center"/>
              <w:rPr>
                <w:color w:val="000000"/>
                <w:kern w:val="0"/>
                <w:sz w:val="18"/>
                <w:szCs w:val="18"/>
              </w:rPr>
            </w:pPr>
            <w:r>
              <w:rPr>
                <w:i/>
                <w:color w:val="000000"/>
                <w:kern w:val="0"/>
                <w:sz w:val="18"/>
                <w:szCs w:val="18"/>
              </w:rPr>
              <w:t>S</w:t>
            </w:r>
            <w:r>
              <w:rPr>
                <w:i/>
                <w:color w:val="000000"/>
                <w:kern w:val="0"/>
                <w:sz w:val="18"/>
                <w:szCs w:val="18"/>
                <w:vertAlign w:val="subscript"/>
              </w:rPr>
              <w:t>R</w:t>
            </w:r>
          </w:p>
        </w:tc>
        <w:tc>
          <w:tcPr>
            <w:tcW w:w="55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重复性限</w:t>
            </w:r>
          </w:p>
          <w:p>
            <w:pPr>
              <w:widowControl/>
              <w:jc w:val="center"/>
              <w:rPr>
                <w:i/>
                <w:color w:val="000000"/>
                <w:kern w:val="0"/>
                <w:sz w:val="18"/>
                <w:szCs w:val="18"/>
              </w:rPr>
            </w:pPr>
            <w:r>
              <w:rPr>
                <w:i/>
                <w:color w:val="000000"/>
                <w:kern w:val="0"/>
                <w:sz w:val="18"/>
                <w:szCs w:val="18"/>
              </w:rPr>
              <w:t>r</w:t>
            </w:r>
          </w:p>
        </w:tc>
        <w:tc>
          <w:tcPr>
            <w:tcW w:w="55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再现性限</w:t>
            </w:r>
          </w:p>
          <w:p>
            <w:pPr>
              <w:widowControl/>
              <w:jc w:val="center"/>
              <w:rPr>
                <w:i/>
                <w:color w:val="000000"/>
                <w:kern w:val="0"/>
                <w:sz w:val="18"/>
                <w:szCs w:val="18"/>
              </w:rPr>
            </w:pPr>
            <w:r>
              <w:rPr>
                <w:i/>
                <w:color w:val="000000"/>
                <w:kern w:val="0"/>
                <w:sz w:val="18"/>
                <w:szCs w:val="18"/>
              </w:rPr>
              <w:t>R</w:t>
            </w:r>
          </w:p>
        </w:tc>
      </w:tr>
      <w:tr>
        <w:tblPrEx>
          <w:tblCellMar>
            <w:top w:w="0" w:type="dxa"/>
            <w:left w:w="108" w:type="dxa"/>
            <w:bottom w:w="0" w:type="dxa"/>
            <w:right w:w="108" w:type="dxa"/>
          </w:tblCellMar>
        </w:tblPrEx>
        <w:trPr>
          <w:trHeight w:val="270" w:hRule="atLeast"/>
        </w:trPr>
        <w:tc>
          <w:tcPr>
            <w:tcW w:w="342"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B</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42</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0.00151</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0.00007</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0.00018</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0.00021</w:t>
            </w:r>
          </w:p>
        </w:tc>
      </w:tr>
      <w:tr>
        <w:tblPrEx>
          <w:tblCellMar>
            <w:top w:w="0" w:type="dxa"/>
            <w:left w:w="108" w:type="dxa"/>
            <w:bottom w:w="0" w:type="dxa"/>
            <w:right w:w="108" w:type="dxa"/>
          </w:tblCellMar>
        </w:tblPrEx>
        <w:trPr>
          <w:trHeight w:val="270" w:hRule="atLeast"/>
        </w:trPr>
        <w:tc>
          <w:tcPr>
            <w:tcW w:w="342"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xml:space="preserve"> Na</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42</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0.00215</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0.00007</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0.00009</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0.00020</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0.00026</w:t>
            </w:r>
          </w:p>
        </w:tc>
      </w:tr>
      <w:tr>
        <w:tblPrEx>
          <w:tblCellMar>
            <w:top w:w="0" w:type="dxa"/>
            <w:left w:w="108" w:type="dxa"/>
            <w:bottom w:w="0" w:type="dxa"/>
            <w:right w:w="108" w:type="dxa"/>
          </w:tblCellMar>
        </w:tblPrEx>
        <w:trPr>
          <w:trHeight w:val="270" w:hRule="atLeast"/>
        </w:trPr>
        <w:tc>
          <w:tcPr>
            <w:tcW w:w="342"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xml:space="preserve"> Mg</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42</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0.00160</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0.00004</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0.00006</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0.00011</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0.00017</w:t>
            </w:r>
          </w:p>
        </w:tc>
      </w:tr>
      <w:tr>
        <w:tblPrEx>
          <w:tblCellMar>
            <w:top w:w="0" w:type="dxa"/>
            <w:left w:w="108" w:type="dxa"/>
            <w:bottom w:w="0" w:type="dxa"/>
            <w:right w:w="108" w:type="dxa"/>
          </w:tblCellMar>
        </w:tblPrEx>
        <w:trPr>
          <w:trHeight w:val="270" w:hRule="atLeast"/>
        </w:trPr>
        <w:tc>
          <w:tcPr>
            <w:tcW w:w="342"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Al</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42</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0.00155</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0.00005</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0.00005</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0.00013</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0.00015</w:t>
            </w:r>
          </w:p>
        </w:tc>
      </w:tr>
      <w:tr>
        <w:tblPrEx>
          <w:tblCellMar>
            <w:top w:w="0" w:type="dxa"/>
            <w:left w:w="108" w:type="dxa"/>
            <w:bottom w:w="0" w:type="dxa"/>
            <w:right w:w="108" w:type="dxa"/>
          </w:tblCellMar>
        </w:tblPrEx>
        <w:trPr>
          <w:trHeight w:val="270" w:hRule="atLeast"/>
        </w:trPr>
        <w:tc>
          <w:tcPr>
            <w:tcW w:w="342"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Si</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5</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35</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0.00234</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0.00009</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0.00010</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0.00024</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0.00028</w:t>
            </w:r>
          </w:p>
        </w:tc>
      </w:tr>
      <w:tr>
        <w:tblPrEx>
          <w:tblCellMar>
            <w:top w:w="0" w:type="dxa"/>
            <w:left w:w="108" w:type="dxa"/>
            <w:bottom w:w="0" w:type="dxa"/>
            <w:right w:w="108" w:type="dxa"/>
          </w:tblCellMar>
        </w:tblPrEx>
        <w:trPr>
          <w:trHeight w:val="270" w:hRule="atLeast"/>
        </w:trPr>
        <w:tc>
          <w:tcPr>
            <w:tcW w:w="342"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Ca</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5</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35</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0.00256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0.00011</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0.00013</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0.00030</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0.00037</w:t>
            </w:r>
          </w:p>
        </w:tc>
      </w:tr>
      <w:tr>
        <w:tblPrEx>
          <w:tblCellMar>
            <w:top w:w="0" w:type="dxa"/>
            <w:left w:w="108" w:type="dxa"/>
            <w:bottom w:w="0" w:type="dxa"/>
            <w:right w:w="108" w:type="dxa"/>
          </w:tblCellMar>
        </w:tblPrEx>
        <w:trPr>
          <w:trHeight w:val="270" w:hRule="atLeast"/>
        </w:trPr>
        <w:tc>
          <w:tcPr>
            <w:tcW w:w="342"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Ti</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5</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35</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0.00187</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0.00007</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0.00017</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0.00016</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0.00020</w:t>
            </w:r>
          </w:p>
        </w:tc>
      </w:tr>
      <w:tr>
        <w:tblPrEx>
          <w:tblCellMar>
            <w:top w:w="0" w:type="dxa"/>
            <w:left w:w="108" w:type="dxa"/>
            <w:bottom w:w="0" w:type="dxa"/>
            <w:right w:w="108" w:type="dxa"/>
          </w:tblCellMar>
        </w:tblPrEx>
        <w:trPr>
          <w:trHeight w:val="270" w:hRule="atLeast"/>
        </w:trPr>
        <w:tc>
          <w:tcPr>
            <w:tcW w:w="342"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V</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42</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0.00149</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0.00005</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0.00006</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0.00014</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0.00016</w:t>
            </w:r>
          </w:p>
        </w:tc>
      </w:tr>
      <w:tr>
        <w:tblPrEx>
          <w:tblCellMar>
            <w:top w:w="0" w:type="dxa"/>
            <w:left w:w="108" w:type="dxa"/>
            <w:bottom w:w="0" w:type="dxa"/>
            <w:right w:w="108" w:type="dxa"/>
          </w:tblCellMar>
        </w:tblPrEx>
        <w:trPr>
          <w:trHeight w:val="270" w:hRule="atLeast"/>
        </w:trPr>
        <w:tc>
          <w:tcPr>
            <w:tcW w:w="342"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Cr</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42</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0.00151</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0.00008</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0.00017</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0.00022</w:t>
            </w:r>
          </w:p>
        </w:tc>
      </w:tr>
      <w:tr>
        <w:tblPrEx>
          <w:tblCellMar>
            <w:top w:w="0" w:type="dxa"/>
            <w:left w:w="108" w:type="dxa"/>
            <w:bottom w:w="0" w:type="dxa"/>
            <w:right w:w="108" w:type="dxa"/>
          </w:tblCellMar>
        </w:tblPrEx>
        <w:trPr>
          <w:trHeight w:val="270" w:hRule="atLeast"/>
        </w:trPr>
        <w:tc>
          <w:tcPr>
            <w:tcW w:w="342"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xml:space="preserve"> Mn</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42</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0.00152</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0.00006</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0.00016</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0.00017</w:t>
            </w:r>
          </w:p>
        </w:tc>
      </w:tr>
      <w:tr>
        <w:tblPrEx>
          <w:tblCellMar>
            <w:top w:w="0" w:type="dxa"/>
            <w:left w:w="108" w:type="dxa"/>
            <w:bottom w:w="0" w:type="dxa"/>
            <w:right w:w="108" w:type="dxa"/>
          </w:tblCellMar>
        </w:tblPrEx>
        <w:trPr>
          <w:trHeight w:val="270" w:hRule="atLeast"/>
        </w:trPr>
        <w:tc>
          <w:tcPr>
            <w:tcW w:w="342"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Fe</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42</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0.00199</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0.00008</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0.00018</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0.00023</w:t>
            </w:r>
          </w:p>
        </w:tc>
      </w:tr>
      <w:tr>
        <w:tblPrEx>
          <w:tblCellMar>
            <w:top w:w="0" w:type="dxa"/>
            <w:left w:w="108" w:type="dxa"/>
            <w:bottom w:w="0" w:type="dxa"/>
            <w:right w:w="108" w:type="dxa"/>
          </w:tblCellMar>
        </w:tblPrEx>
        <w:trPr>
          <w:trHeight w:val="270" w:hRule="atLeast"/>
        </w:trPr>
        <w:tc>
          <w:tcPr>
            <w:tcW w:w="342"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Co</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42</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0.00152</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0.00008</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0.00010</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0.00024</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0.00028</w:t>
            </w:r>
          </w:p>
        </w:tc>
      </w:tr>
      <w:tr>
        <w:tblPrEx>
          <w:tblCellMar>
            <w:top w:w="0" w:type="dxa"/>
            <w:left w:w="108" w:type="dxa"/>
            <w:bottom w:w="0" w:type="dxa"/>
            <w:right w:w="108" w:type="dxa"/>
          </w:tblCellMar>
        </w:tblPrEx>
        <w:trPr>
          <w:trHeight w:val="270" w:hRule="atLeast"/>
        </w:trPr>
        <w:tc>
          <w:tcPr>
            <w:tcW w:w="342"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Ni</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42</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0.00150</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0.00006</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0.00017</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0.00017</w:t>
            </w:r>
          </w:p>
        </w:tc>
      </w:tr>
      <w:tr>
        <w:tblPrEx>
          <w:tblCellMar>
            <w:top w:w="0" w:type="dxa"/>
            <w:left w:w="108" w:type="dxa"/>
            <w:bottom w:w="0" w:type="dxa"/>
            <w:right w:w="108" w:type="dxa"/>
          </w:tblCellMar>
        </w:tblPrEx>
        <w:trPr>
          <w:trHeight w:val="270" w:hRule="atLeast"/>
        </w:trPr>
        <w:tc>
          <w:tcPr>
            <w:tcW w:w="342"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Cu</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42</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0.00160</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0.00005</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0.00008</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0.00013</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0.00022</w:t>
            </w:r>
          </w:p>
        </w:tc>
      </w:tr>
      <w:tr>
        <w:tblPrEx>
          <w:tblCellMar>
            <w:top w:w="0" w:type="dxa"/>
            <w:left w:w="108" w:type="dxa"/>
            <w:bottom w:w="0" w:type="dxa"/>
            <w:right w:w="108" w:type="dxa"/>
          </w:tblCellMar>
        </w:tblPrEx>
        <w:trPr>
          <w:trHeight w:val="270" w:hRule="atLeast"/>
        </w:trPr>
        <w:tc>
          <w:tcPr>
            <w:tcW w:w="342"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Zn</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42</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0.00153</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0.00005</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0.00006</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0.00015</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0.00017</w:t>
            </w:r>
          </w:p>
        </w:tc>
      </w:tr>
      <w:tr>
        <w:tblPrEx>
          <w:tblCellMar>
            <w:top w:w="0" w:type="dxa"/>
            <w:left w:w="108" w:type="dxa"/>
            <w:bottom w:w="0" w:type="dxa"/>
            <w:right w:w="108" w:type="dxa"/>
          </w:tblCellMar>
        </w:tblPrEx>
        <w:trPr>
          <w:trHeight w:val="270" w:hRule="atLeast"/>
        </w:trPr>
        <w:tc>
          <w:tcPr>
            <w:tcW w:w="342"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Mo</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42</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0.00151</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0.00005</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0.00006</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0.00014</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0.00016</w:t>
            </w:r>
          </w:p>
        </w:tc>
      </w:tr>
      <w:tr>
        <w:tblPrEx>
          <w:tblCellMar>
            <w:top w:w="0" w:type="dxa"/>
            <w:left w:w="108" w:type="dxa"/>
            <w:bottom w:w="0" w:type="dxa"/>
            <w:right w:w="108" w:type="dxa"/>
          </w:tblCellMar>
        </w:tblPrEx>
        <w:trPr>
          <w:trHeight w:val="270" w:hRule="atLeast"/>
        </w:trPr>
        <w:tc>
          <w:tcPr>
            <w:tcW w:w="342"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Cd</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42</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0.00155</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0.00011</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0.00017</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0.00032</w:t>
            </w:r>
          </w:p>
        </w:tc>
      </w:tr>
      <w:tr>
        <w:tblPrEx>
          <w:tblCellMar>
            <w:top w:w="0" w:type="dxa"/>
            <w:left w:w="108" w:type="dxa"/>
            <w:bottom w:w="0" w:type="dxa"/>
            <w:right w:w="108" w:type="dxa"/>
          </w:tblCellMar>
        </w:tblPrEx>
        <w:trPr>
          <w:trHeight w:val="270" w:hRule="atLeast"/>
        </w:trPr>
        <w:tc>
          <w:tcPr>
            <w:tcW w:w="342"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Hf</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42</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0.00202</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0.00008</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0.00012</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0.00022</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0.00034</w:t>
            </w:r>
          </w:p>
        </w:tc>
      </w:tr>
      <w:tr>
        <w:tblPrEx>
          <w:tblCellMar>
            <w:top w:w="0" w:type="dxa"/>
            <w:left w:w="108" w:type="dxa"/>
            <w:bottom w:w="0" w:type="dxa"/>
            <w:right w:w="108" w:type="dxa"/>
          </w:tblCellMar>
        </w:tblPrEx>
        <w:trPr>
          <w:trHeight w:val="270" w:hRule="atLeast"/>
        </w:trPr>
        <w:tc>
          <w:tcPr>
            <w:tcW w:w="342"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Pb</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42</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0.00152</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0.00005</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0.00008</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0.00013</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0.00022</w:t>
            </w:r>
          </w:p>
        </w:tc>
      </w:tr>
      <w:tr>
        <w:tblPrEx>
          <w:tblCellMar>
            <w:top w:w="0" w:type="dxa"/>
            <w:left w:w="108" w:type="dxa"/>
            <w:bottom w:w="0" w:type="dxa"/>
            <w:right w:w="108" w:type="dxa"/>
          </w:tblCellMar>
        </w:tblPrEx>
        <w:trPr>
          <w:trHeight w:val="270" w:hRule="atLeast"/>
        </w:trPr>
        <w:tc>
          <w:tcPr>
            <w:tcW w:w="342"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Bi</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42</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0.00150</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0.00005</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0.00006</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0.00016</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0.00018</w:t>
            </w:r>
          </w:p>
        </w:tc>
      </w:tr>
    </w:tbl>
    <w:p>
      <w:pPr>
        <w:adjustRightInd w:val="0"/>
        <w:snapToGrid w:val="0"/>
        <w:spacing w:before="468" w:beforeLines="150" w:after="156" w:afterLines="50" w:line="360" w:lineRule="exact"/>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7  </w:t>
      </w:r>
      <w:r>
        <w:rPr>
          <w:rFonts w:hint="eastAsia" w:ascii="黑体" w:hAnsi="黑体" w:eastAsia="黑体"/>
          <w:szCs w:val="21"/>
        </w:rPr>
        <w:t>水平</w:t>
      </w:r>
      <w:r>
        <w:rPr>
          <w:rFonts w:ascii="黑体" w:hAnsi="黑体" w:eastAsia="黑体"/>
          <w:szCs w:val="21"/>
        </w:rPr>
        <w:t>3</w:t>
      </w:r>
      <w:r>
        <w:rPr>
          <w:rFonts w:hint="eastAsia" w:ascii="黑体" w:hAnsi="黑体" w:eastAsia="黑体"/>
          <w:szCs w:val="21"/>
        </w:rPr>
        <w:t>统计结果表</w:t>
      </w:r>
    </w:p>
    <w:tbl>
      <w:tblPr>
        <w:tblStyle w:val="88"/>
        <w:tblW w:w="5000" w:type="pct"/>
        <w:tblInd w:w="0" w:type="dxa"/>
        <w:tblLayout w:type="autofit"/>
        <w:tblCellMar>
          <w:top w:w="0" w:type="dxa"/>
          <w:left w:w="108" w:type="dxa"/>
          <w:bottom w:w="0" w:type="dxa"/>
          <w:right w:w="108" w:type="dxa"/>
        </w:tblCellMar>
      </w:tblPr>
      <w:tblGrid>
        <w:gridCol w:w="678"/>
        <w:gridCol w:w="1523"/>
        <w:gridCol w:w="1523"/>
        <w:gridCol w:w="942"/>
        <w:gridCol w:w="1523"/>
        <w:gridCol w:w="1523"/>
        <w:gridCol w:w="1100"/>
        <w:gridCol w:w="1100"/>
      </w:tblGrid>
      <w:tr>
        <w:tblPrEx>
          <w:tblCellMar>
            <w:top w:w="0" w:type="dxa"/>
            <w:left w:w="108" w:type="dxa"/>
            <w:bottom w:w="0" w:type="dxa"/>
            <w:right w:w="108" w:type="dxa"/>
          </w:tblCellMar>
        </w:tblPrEx>
        <w:trPr>
          <w:trHeight w:val="270" w:hRule="atLeast"/>
        </w:trPr>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元素</w:t>
            </w:r>
          </w:p>
        </w:tc>
        <w:tc>
          <w:tcPr>
            <w:tcW w:w="76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结果可接受的</w:t>
            </w:r>
          </w:p>
          <w:p>
            <w:pPr>
              <w:widowControl/>
              <w:jc w:val="center"/>
              <w:rPr>
                <w:color w:val="000000"/>
                <w:kern w:val="0"/>
                <w:sz w:val="18"/>
                <w:szCs w:val="18"/>
              </w:rPr>
            </w:pPr>
            <w:r>
              <w:rPr>
                <w:color w:val="000000"/>
                <w:kern w:val="0"/>
                <w:sz w:val="18"/>
                <w:szCs w:val="18"/>
              </w:rPr>
              <w:t>实验室个数</w:t>
            </w:r>
          </w:p>
        </w:tc>
        <w:tc>
          <w:tcPr>
            <w:tcW w:w="76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可接受的数据</w:t>
            </w:r>
          </w:p>
          <w:p>
            <w:pPr>
              <w:widowControl/>
              <w:jc w:val="center"/>
              <w:rPr>
                <w:color w:val="000000"/>
                <w:kern w:val="0"/>
                <w:sz w:val="18"/>
                <w:szCs w:val="18"/>
              </w:rPr>
            </w:pPr>
            <w:r>
              <w:rPr>
                <w:color w:val="000000"/>
                <w:kern w:val="0"/>
                <w:sz w:val="18"/>
                <w:szCs w:val="18"/>
              </w:rPr>
              <w:t>个数</w:t>
            </w:r>
          </w:p>
        </w:tc>
        <w:tc>
          <w:tcPr>
            <w:tcW w:w="47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平均值</w:t>
            </w:r>
          </w:p>
          <w:p>
            <w:pPr>
              <w:widowControl/>
              <w:jc w:val="center"/>
              <w:rPr>
                <w:color w:val="000000"/>
                <w:kern w:val="0"/>
                <w:sz w:val="18"/>
                <w:szCs w:val="18"/>
              </w:rPr>
            </w:pPr>
            <w:r>
              <w:rPr>
                <w:color w:val="000000"/>
                <w:kern w:val="0"/>
                <w:sz w:val="18"/>
                <w:szCs w:val="18"/>
              </w:rPr>
              <w:t>/%</w:t>
            </w:r>
          </w:p>
        </w:tc>
        <w:tc>
          <w:tcPr>
            <w:tcW w:w="76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重复性标准差</w:t>
            </w:r>
          </w:p>
          <w:p>
            <w:pPr>
              <w:widowControl/>
              <w:jc w:val="center"/>
              <w:rPr>
                <w:color w:val="000000"/>
                <w:kern w:val="0"/>
                <w:sz w:val="18"/>
                <w:szCs w:val="18"/>
              </w:rPr>
            </w:pPr>
            <w:r>
              <w:rPr>
                <w:i/>
                <w:color w:val="000000"/>
                <w:kern w:val="0"/>
                <w:sz w:val="18"/>
                <w:szCs w:val="18"/>
              </w:rPr>
              <w:t>S</w:t>
            </w:r>
            <w:r>
              <w:rPr>
                <w:i/>
                <w:color w:val="000000"/>
                <w:kern w:val="0"/>
                <w:sz w:val="18"/>
                <w:szCs w:val="18"/>
                <w:vertAlign w:val="subscript"/>
              </w:rPr>
              <w:t>r</w:t>
            </w:r>
          </w:p>
        </w:tc>
        <w:tc>
          <w:tcPr>
            <w:tcW w:w="76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再现性标准差</w:t>
            </w:r>
          </w:p>
          <w:p>
            <w:pPr>
              <w:widowControl/>
              <w:jc w:val="center"/>
              <w:rPr>
                <w:color w:val="000000"/>
                <w:kern w:val="0"/>
                <w:sz w:val="18"/>
                <w:szCs w:val="18"/>
              </w:rPr>
            </w:pPr>
            <w:r>
              <w:rPr>
                <w:i/>
                <w:color w:val="000000"/>
                <w:kern w:val="0"/>
                <w:sz w:val="18"/>
                <w:szCs w:val="18"/>
              </w:rPr>
              <w:t>S</w:t>
            </w:r>
            <w:r>
              <w:rPr>
                <w:i/>
                <w:color w:val="000000"/>
                <w:kern w:val="0"/>
                <w:sz w:val="18"/>
                <w:szCs w:val="18"/>
                <w:vertAlign w:val="subscript"/>
              </w:rPr>
              <w:t>R</w:t>
            </w:r>
          </w:p>
        </w:tc>
        <w:tc>
          <w:tcPr>
            <w:tcW w:w="55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重复性限</w:t>
            </w:r>
          </w:p>
          <w:p>
            <w:pPr>
              <w:widowControl/>
              <w:jc w:val="center"/>
              <w:rPr>
                <w:i/>
                <w:color w:val="000000"/>
                <w:kern w:val="0"/>
                <w:sz w:val="18"/>
                <w:szCs w:val="18"/>
              </w:rPr>
            </w:pPr>
            <w:r>
              <w:rPr>
                <w:i/>
                <w:color w:val="000000"/>
                <w:kern w:val="0"/>
                <w:sz w:val="18"/>
                <w:szCs w:val="18"/>
              </w:rPr>
              <w:t>r</w:t>
            </w:r>
          </w:p>
        </w:tc>
        <w:tc>
          <w:tcPr>
            <w:tcW w:w="55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再现性限</w:t>
            </w:r>
          </w:p>
          <w:p>
            <w:pPr>
              <w:widowControl/>
              <w:jc w:val="center"/>
              <w:rPr>
                <w:i/>
                <w:color w:val="000000"/>
                <w:kern w:val="0"/>
                <w:sz w:val="18"/>
                <w:szCs w:val="18"/>
              </w:rPr>
            </w:pPr>
            <w:r>
              <w:rPr>
                <w:i/>
                <w:color w:val="000000"/>
                <w:kern w:val="0"/>
                <w:sz w:val="18"/>
                <w:szCs w:val="18"/>
              </w:rPr>
              <w:t>R</w:t>
            </w:r>
          </w:p>
        </w:tc>
      </w:tr>
      <w:tr>
        <w:tblPrEx>
          <w:tblCellMar>
            <w:top w:w="0" w:type="dxa"/>
            <w:left w:w="108" w:type="dxa"/>
            <w:bottom w:w="0" w:type="dxa"/>
            <w:right w:w="108" w:type="dxa"/>
          </w:tblCellMar>
        </w:tblPrEx>
        <w:trPr>
          <w:trHeight w:val="270" w:hRule="atLeast"/>
        </w:trPr>
        <w:tc>
          <w:tcPr>
            <w:tcW w:w="342"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B</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42</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0.00405</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0.00010</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0.00020</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0.00029</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0.00058</w:t>
            </w:r>
          </w:p>
        </w:tc>
      </w:tr>
      <w:tr>
        <w:tblPrEx>
          <w:tblCellMar>
            <w:top w:w="0" w:type="dxa"/>
            <w:left w:w="108" w:type="dxa"/>
            <w:bottom w:w="0" w:type="dxa"/>
            <w:right w:w="108" w:type="dxa"/>
          </w:tblCellMar>
        </w:tblPrEx>
        <w:trPr>
          <w:trHeight w:val="270" w:hRule="atLeast"/>
        </w:trPr>
        <w:tc>
          <w:tcPr>
            <w:tcW w:w="342"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xml:space="preserve"> Na</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5</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35</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0.00449</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0.00011</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0.00020</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0.00031</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0.00057</w:t>
            </w:r>
          </w:p>
        </w:tc>
      </w:tr>
      <w:tr>
        <w:tblPrEx>
          <w:tblCellMar>
            <w:top w:w="0" w:type="dxa"/>
            <w:left w:w="108" w:type="dxa"/>
            <w:bottom w:w="0" w:type="dxa"/>
            <w:right w:w="108" w:type="dxa"/>
          </w:tblCellMar>
        </w:tblPrEx>
        <w:trPr>
          <w:trHeight w:val="270" w:hRule="atLeast"/>
        </w:trPr>
        <w:tc>
          <w:tcPr>
            <w:tcW w:w="342"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xml:space="preserve"> Mg</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42</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0.00410</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0.00011</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0.00020</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0.00030</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0.00056</w:t>
            </w:r>
          </w:p>
        </w:tc>
      </w:tr>
      <w:tr>
        <w:tblPrEx>
          <w:tblCellMar>
            <w:top w:w="0" w:type="dxa"/>
            <w:left w:w="108" w:type="dxa"/>
            <w:bottom w:w="0" w:type="dxa"/>
            <w:right w:w="108" w:type="dxa"/>
          </w:tblCellMar>
        </w:tblPrEx>
        <w:trPr>
          <w:trHeight w:val="270" w:hRule="atLeast"/>
        </w:trPr>
        <w:tc>
          <w:tcPr>
            <w:tcW w:w="342"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Al</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5</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35</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0.00391</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0.00008</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0.00010</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0.00023</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0.00029</w:t>
            </w:r>
          </w:p>
        </w:tc>
      </w:tr>
      <w:tr>
        <w:tblPrEx>
          <w:tblCellMar>
            <w:top w:w="0" w:type="dxa"/>
            <w:left w:w="108" w:type="dxa"/>
            <w:bottom w:w="0" w:type="dxa"/>
            <w:right w:w="108" w:type="dxa"/>
          </w:tblCellMar>
        </w:tblPrEx>
        <w:trPr>
          <w:trHeight w:val="270" w:hRule="atLeast"/>
        </w:trPr>
        <w:tc>
          <w:tcPr>
            <w:tcW w:w="342"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Si</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5</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35</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0.00472</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0.00011</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0.00016</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0.00030</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0.00045</w:t>
            </w:r>
          </w:p>
        </w:tc>
      </w:tr>
      <w:tr>
        <w:tblPrEx>
          <w:tblCellMar>
            <w:top w:w="0" w:type="dxa"/>
            <w:left w:w="108" w:type="dxa"/>
            <w:bottom w:w="0" w:type="dxa"/>
            <w:right w:w="108" w:type="dxa"/>
          </w:tblCellMar>
        </w:tblPrEx>
        <w:trPr>
          <w:trHeight w:val="270" w:hRule="atLeast"/>
        </w:trPr>
        <w:tc>
          <w:tcPr>
            <w:tcW w:w="342"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Ca</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5</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35</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0.00500</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0.00013</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0.00022</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0.00037</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0.00062</w:t>
            </w:r>
          </w:p>
        </w:tc>
      </w:tr>
      <w:tr>
        <w:tblPrEx>
          <w:tblCellMar>
            <w:top w:w="0" w:type="dxa"/>
            <w:left w:w="108" w:type="dxa"/>
            <w:bottom w:w="0" w:type="dxa"/>
            <w:right w:w="108" w:type="dxa"/>
          </w:tblCellMar>
        </w:tblPrEx>
        <w:trPr>
          <w:trHeight w:val="270" w:hRule="atLeast"/>
        </w:trPr>
        <w:tc>
          <w:tcPr>
            <w:tcW w:w="342"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Ti</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5</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35</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0.00420</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0.00008</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0.00009</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0.00023</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0.00027</w:t>
            </w:r>
          </w:p>
        </w:tc>
      </w:tr>
      <w:tr>
        <w:tblPrEx>
          <w:tblCellMar>
            <w:top w:w="0" w:type="dxa"/>
            <w:left w:w="108" w:type="dxa"/>
            <w:bottom w:w="0" w:type="dxa"/>
            <w:right w:w="108" w:type="dxa"/>
          </w:tblCellMar>
        </w:tblPrEx>
        <w:trPr>
          <w:trHeight w:val="270" w:hRule="atLeast"/>
        </w:trPr>
        <w:tc>
          <w:tcPr>
            <w:tcW w:w="342"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V</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42</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0.00386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0.00008</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0.00013</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0.00022</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0.00037</w:t>
            </w:r>
          </w:p>
        </w:tc>
      </w:tr>
      <w:tr>
        <w:tblPrEx>
          <w:tblCellMar>
            <w:top w:w="0" w:type="dxa"/>
            <w:left w:w="108" w:type="dxa"/>
            <w:bottom w:w="0" w:type="dxa"/>
            <w:right w:w="108" w:type="dxa"/>
          </w:tblCellMar>
        </w:tblPrEx>
        <w:trPr>
          <w:trHeight w:val="270" w:hRule="atLeast"/>
        </w:trPr>
        <w:tc>
          <w:tcPr>
            <w:tcW w:w="342"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Cr</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42</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0.00399</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0.00009</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0.00012</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0.00025</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0.00034</w:t>
            </w:r>
          </w:p>
        </w:tc>
      </w:tr>
      <w:tr>
        <w:tblPrEx>
          <w:tblCellMar>
            <w:top w:w="0" w:type="dxa"/>
            <w:left w:w="108" w:type="dxa"/>
            <w:bottom w:w="0" w:type="dxa"/>
            <w:right w:w="108" w:type="dxa"/>
          </w:tblCellMar>
        </w:tblPrEx>
        <w:trPr>
          <w:trHeight w:val="270" w:hRule="atLeast"/>
        </w:trPr>
        <w:tc>
          <w:tcPr>
            <w:tcW w:w="342"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xml:space="preserve"> Mn</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5</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35</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0.00397</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0.00010</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0.00011</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0.00029</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0.00031</w:t>
            </w:r>
          </w:p>
        </w:tc>
      </w:tr>
      <w:tr>
        <w:tblPrEx>
          <w:tblCellMar>
            <w:top w:w="0" w:type="dxa"/>
            <w:left w:w="108" w:type="dxa"/>
            <w:bottom w:w="0" w:type="dxa"/>
            <w:right w:w="108" w:type="dxa"/>
          </w:tblCellMar>
        </w:tblPrEx>
        <w:trPr>
          <w:trHeight w:val="270" w:hRule="atLeast"/>
        </w:trPr>
        <w:tc>
          <w:tcPr>
            <w:tcW w:w="342"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Fe</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5</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35</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0.00424</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0.00009</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0.00019</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0.00025</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0.00055</w:t>
            </w:r>
          </w:p>
        </w:tc>
      </w:tr>
      <w:tr>
        <w:tblPrEx>
          <w:tblCellMar>
            <w:top w:w="0" w:type="dxa"/>
            <w:left w:w="108" w:type="dxa"/>
            <w:bottom w:w="0" w:type="dxa"/>
            <w:right w:w="108" w:type="dxa"/>
          </w:tblCellMar>
        </w:tblPrEx>
        <w:trPr>
          <w:trHeight w:val="270" w:hRule="atLeast"/>
        </w:trPr>
        <w:tc>
          <w:tcPr>
            <w:tcW w:w="342"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Co</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42</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0.00394</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0.00008</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0.00014</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0.00023</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0.00040</w:t>
            </w:r>
          </w:p>
        </w:tc>
      </w:tr>
      <w:tr>
        <w:tblPrEx>
          <w:tblCellMar>
            <w:top w:w="0" w:type="dxa"/>
            <w:left w:w="108" w:type="dxa"/>
            <w:bottom w:w="0" w:type="dxa"/>
            <w:right w:w="108" w:type="dxa"/>
          </w:tblCellMar>
        </w:tblPrEx>
        <w:trPr>
          <w:trHeight w:val="270" w:hRule="atLeast"/>
        </w:trPr>
        <w:tc>
          <w:tcPr>
            <w:tcW w:w="342"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Ni</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42</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0.00399</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0.00009</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0.00012</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0.00027</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0.00034</w:t>
            </w:r>
          </w:p>
        </w:tc>
      </w:tr>
      <w:tr>
        <w:tblPrEx>
          <w:tblCellMar>
            <w:top w:w="0" w:type="dxa"/>
            <w:left w:w="108" w:type="dxa"/>
            <w:bottom w:w="0" w:type="dxa"/>
            <w:right w:w="108" w:type="dxa"/>
          </w:tblCellMar>
        </w:tblPrEx>
        <w:trPr>
          <w:trHeight w:val="270" w:hRule="atLeast"/>
        </w:trPr>
        <w:tc>
          <w:tcPr>
            <w:tcW w:w="342"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Cu</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42</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0.00396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0.00009</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0.00020</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0.00027</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0.00056</w:t>
            </w:r>
          </w:p>
        </w:tc>
      </w:tr>
      <w:tr>
        <w:tblPrEx>
          <w:tblCellMar>
            <w:top w:w="0" w:type="dxa"/>
            <w:left w:w="108" w:type="dxa"/>
            <w:bottom w:w="0" w:type="dxa"/>
            <w:right w:w="108" w:type="dxa"/>
          </w:tblCellMar>
        </w:tblPrEx>
        <w:trPr>
          <w:trHeight w:val="270" w:hRule="atLeast"/>
        </w:trPr>
        <w:tc>
          <w:tcPr>
            <w:tcW w:w="342"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Zn</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42</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0.00387</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0.00011</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0.00015</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0.00032</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0.00041</w:t>
            </w:r>
          </w:p>
        </w:tc>
      </w:tr>
      <w:tr>
        <w:tblPrEx>
          <w:tblCellMar>
            <w:top w:w="0" w:type="dxa"/>
            <w:left w:w="108" w:type="dxa"/>
            <w:bottom w:w="0" w:type="dxa"/>
            <w:right w:w="108" w:type="dxa"/>
          </w:tblCellMar>
        </w:tblPrEx>
        <w:trPr>
          <w:trHeight w:val="270" w:hRule="atLeast"/>
        </w:trPr>
        <w:tc>
          <w:tcPr>
            <w:tcW w:w="342"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Mo</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42</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0.00394</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0.00009</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0.00010</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0.00025</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0.00029</w:t>
            </w:r>
          </w:p>
        </w:tc>
      </w:tr>
      <w:tr>
        <w:tblPrEx>
          <w:tblCellMar>
            <w:top w:w="0" w:type="dxa"/>
            <w:left w:w="108" w:type="dxa"/>
            <w:bottom w:w="0" w:type="dxa"/>
            <w:right w:w="108" w:type="dxa"/>
          </w:tblCellMar>
        </w:tblPrEx>
        <w:trPr>
          <w:trHeight w:val="270" w:hRule="atLeast"/>
        </w:trPr>
        <w:tc>
          <w:tcPr>
            <w:tcW w:w="342"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Cd</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42</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0.00402</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0.00009</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0.00011</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0.00024</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0.00031</w:t>
            </w:r>
          </w:p>
        </w:tc>
      </w:tr>
      <w:tr>
        <w:tblPrEx>
          <w:tblCellMar>
            <w:top w:w="0" w:type="dxa"/>
            <w:left w:w="108" w:type="dxa"/>
            <w:bottom w:w="0" w:type="dxa"/>
            <w:right w:w="108" w:type="dxa"/>
          </w:tblCellMar>
        </w:tblPrEx>
        <w:trPr>
          <w:trHeight w:val="270" w:hRule="atLeast"/>
        </w:trPr>
        <w:tc>
          <w:tcPr>
            <w:tcW w:w="342"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Pb</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42</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0.00388</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0.00007</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0.00014</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0.00021</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0.00039</w:t>
            </w:r>
          </w:p>
        </w:tc>
      </w:tr>
      <w:tr>
        <w:tblPrEx>
          <w:tblCellMar>
            <w:top w:w="0" w:type="dxa"/>
            <w:left w:w="108" w:type="dxa"/>
            <w:bottom w:w="0" w:type="dxa"/>
            <w:right w:w="108" w:type="dxa"/>
          </w:tblCellMar>
        </w:tblPrEx>
        <w:trPr>
          <w:trHeight w:val="270" w:hRule="atLeast"/>
        </w:trPr>
        <w:tc>
          <w:tcPr>
            <w:tcW w:w="342"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Bi</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42</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0.00406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0.00008</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0.00017</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0.00023</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0.00049</w:t>
            </w:r>
          </w:p>
        </w:tc>
      </w:tr>
    </w:tbl>
    <w:p>
      <w:pPr>
        <w:adjustRightInd w:val="0"/>
        <w:snapToGrid w:val="0"/>
        <w:spacing w:before="468" w:beforeLines="150" w:after="156" w:afterLines="50" w:line="360" w:lineRule="exact"/>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8  </w:t>
      </w:r>
      <w:r>
        <w:rPr>
          <w:rFonts w:hint="eastAsia" w:ascii="黑体" w:hAnsi="黑体" w:eastAsia="黑体"/>
          <w:szCs w:val="21"/>
        </w:rPr>
        <w:t>水平</w:t>
      </w:r>
      <w:r>
        <w:rPr>
          <w:rFonts w:ascii="黑体" w:hAnsi="黑体" w:eastAsia="黑体"/>
          <w:szCs w:val="21"/>
        </w:rPr>
        <w:t>4</w:t>
      </w:r>
      <w:r>
        <w:rPr>
          <w:rFonts w:hint="eastAsia" w:ascii="黑体" w:hAnsi="黑体" w:eastAsia="黑体"/>
          <w:szCs w:val="21"/>
        </w:rPr>
        <w:t>统计结果表</w:t>
      </w:r>
    </w:p>
    <w:tbl>
      <w:tblPr>
        <w:tblStyle w:val="88"/>
        <w:tblW w:w="5000" w:type="pct"/>
        <w:tblInd w:w="0" w:type="dxa"/>
        <w:tblLayout w:type="autofit"/>
        <w:tblCellMar>
          <w:top w:w="0" w:type="dxa"/>
          <w:left w:w="108" w:type="dxa"/>
          <w:bottom w:w="0" w:type="dxa"/>
          <w:right w:w="108" w:type="dxa"/>
        </w:tblCellMar>
      </w:tblPr>
      <w:tblGrid>
        <w:gridCol w:w="680"/>
        <w:gridCol w:w="1522"/>
        <w:gridCol w:w="1522"/>
        <w:gridCol w:w="942"/>
        <w:gridCol w:w="1522"/>
        <w:gridCol w:w="1522"/>
        <w:gridCol w:w="1101"/>
        <w:gridCol w:w="1101"/>
      </w:tblGrid>
      <w:tr>
        <w:tblPrEx>
          <w:tblCellMar>
            <w:top w:w="0" w:type="dxa"/>
            <w:left w:w="108" w:type="dxa"/>
            <w:bottom w:w="0" w:type="dxa"/>
            <w:right w:w="108" w:type="dxa"/>
          </w:tblCellMar>
        </w:tblPrEx>
        <w:trPr>
          <w:trHeight w:val="270" w:hRule="atLeast"/>
          <w:tblHeader/>
        </w:trPr>
        <w:tc>
          <w:tcPr>
            <w:tcW w:w="34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color w:val="000000"/>
                <w:kern w:val="0"/>
                <w:sz w:val="18"/>
                <w:szCs w:val="18"/>
              </w:rPr>
            </w:pPr>
            <w:r>
              <w:rPr>
                <w:color w:val="000000"/>
                <w:kern w:val="0"/>
                <w:sz w:val="18"/>
                <w:szCs w:val="18"/>
              </w:rPr>
              <w:t>元素</w:t>
            </w:r>
          </w:p>
        </w:tc>
        <w:tc>
          <w:tcPr>
            <w:tcW w:w="76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结果可接受的</w:t>
            </w:r>
          </w:p>
          <w:p>
            <w:pPr>
              <w:widowControl/>
              <w:jc w:val="center"/>
              <w:rPr>
                <w:color w:val="000000"/>
                <w:kern w:val="0"/>
                <w:sz w:val="18"/>
                <w:szCs w:val="18"/>
              </w:rPr>
            </w:pPr>
            <w:r>
              <w:rPr>
                <w:color w:val="000000"/>
                <w:kern w:val="0"/>
                <w:sz w:val="18"/>
                <w:szCs w:val="18"/>
              </w:rPr>
              <w:t>实验室个数</w:t>
            </w:r>
          </w:p>
        </w:tc>
        <w:tc>
          <w:tcPr>
            <w:tcW w:w="76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可接受的数据</w:t>
            </w:r>
          </w:p>
          <w:p>
            <w:pPr>
              <w:widowControl/>
              <w:jc w:val="center"/>
              <w:rPr>
                <w:color w:val="000000"/>
                <w:kern w:val="0"/>
                <w:sz w:val="18"/>
                <w:szCs w:val="18"/>
              </w:rPr>
            </w:pPr>
            <w:r>
              <w:rPr>
                <w:color w:val="000000"/>
                <w:kern w:val="0"/>
                <w:sz w:val="18"/>
                <w:szCs w:val="18"/>
              </w:rPr>
              <w:t>个数</w:t>
            </w:r>
          </w:p>
        </w:tc>
        <w:tc>
          <w:tcPr>
            <w:tcW w:w="47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平均值</w:t>
            </w:r>
          </w:p>
          <w:p>
            <w:pPr>
              <w:widowControl/>
              <w:jc w:val="center"/>
              <w:rPr>
                <w:color w:val="000000"/>
                <w:kern w:val="0"/>
                <w:sz w:val="18"/>
                <w:szCs w:val="18"/>
              </w:rPr>
            </w:pPr>
            <w:r>
              <w:rPr>
                <w:color w:val="000000"/>
                <w:kern w:val="0"/>
                <w:sz w:val="18"/>
                <w:szCs w:val="18"/>
              </w:rPr>
              <w:t>/%</w:t>
            </w:r>
          </w:p>
        </w:tc>
        <w:tc>
          <w:tcPr>
            <w:tcW w:w="76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重复性标准差</w:t>
            </w:r>
          </w:p>
          <w:p>
            <w:pPr>
              <w:widowControl/>
              <w:jc w:val="center"/>
              <w:rPr>
                <w:color w:val="000000"/>
                <w:kern w:val="0"/>
                <w:sz w:val="18"/>
                <w:szCs w:val="18"/>
              </w:rPr>
            </w:pPr>
            <w:r>
              <w:rPr>
                <w:i/>
                <w:color w:val="000000"/>
                <w:kern w:val="0"/>
                <w:sz w:val="18"/>
                <w:szCs w:val="18"/>
              </w:rPr>
              <w:t>S</w:t>
            </w:r>
            <w:r>
              <w:rPr>
                <w:i/>
                <w:color w:val="000000"/>
                <w:kern w:val="0"/>
                <w:sz w:val="18"/>
                <w:szCs w:val="18"/>
                <w:vertAlign w:val="subscript"/>
              </w:rPr>
              <w:t>r</w:t>
            </w:r>
          </w:p>
        </w:tc>
        <w:tc>
          <w:tcPr>
            <w:tcW w:w="76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再现性标准差</w:t>
            </w:r>
          </w:p>
          <w:p>
            <w:pPr>
              <w:widowControl/>
              <w:jc w:val="center"/>
              <w:rPr>
                <w:color w:val="000000"/>
                <w:kern w:val="0"/>
                <w:sz w:val="18"/>
                <w:szCs w:val="18"/>
              </w:rPr>
            </w:pPr>
            <w:r>
              <w:rPr>
                <w:i/>
                <w:color w:val="000000"/>
                <w:kern w:val="0"/>
                <w:sz w:val="18"/>
                <w:szCs w:val="18"/>
              </w:rPr>
              <w:t>S</w:t>
            </w:r>
            <w:r>
              <w:rPr>
                <w:i/>
                <w:color w:val="000000"/>
                <w:kern w:val="0"/>
                <w:sz w:val="18"/>
                <w:szCs w:val="18"/>
                <w:vertAlign w:val="subscript"/>
              </w:rPr>
              <w:t>R</w:t>
            </w:r>
          </w:p>
        </w:tc>
        <w:tc>
          <w:tcPr>
            <w:tcW w:w="55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重复性限</w:t>
            </w:r>
          </w:p>
          <w:p>
            <w:pPr>
              <w:widowControl/>
              <w:jc w:val="center"/>
              <w:rPr>
                <w:i/>
                <w:color w:val="000000"/>
                <w:kern w:val="0"/>
                <w:sz w:val="18"/>
                <w:szCs w:val="18"/>
              </w:rPr>
            </w:pPr>
            <w:r>
              <w:rPr>
                <w:i/>
                <w:color w:val="000000"/>
                <w:kern w:val="0"/>
                <w:sz w:val="18"/>
                <w:szCs w:val="18"/>
              </w:rPr>
              <w:t>r</w:t>
            </w:r>
          </w:p>
        </w:tc>
        <w:tc>
          <w:tcPr>
            <w:tcW w:w="55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再现性限</w:t>
            </w:r>
          </w:p>
          <w:p>
            <w:pPr>
              <w:widowControl/>
              <w:jc w:val="center"/>
              <w:rPr>
                <w:i/>
                <w:color w:val="000000"/>
                <w:kern w:val="0"/>
                <w:sz w:val="18"/>
                <w:szCs w:val="18"/>
              </w:rPr>
            </w:pPr>
            <w:r>
              <w:rPr>
                <w:i/>
                <w:color w:val="000000"/>
                <w:kern w:val="0"/>
                <w:sz w:val="18"/>
                <w:szCs w:val="18"/>
              </w:rPr>
              <w:t>R</w:t>
            </w:r>
          </w:p>
        </w:tc>
      </w:tr>
      <w:tr>
        <w:tblPrEx>
          <w:tblCellMar>
            <w:top w:w="0" w:type="dxa"/>
            <w:left w:w="108" w:type="dxa"/>
            <w:bottom w:w="0" w:type="dxa"/>
            <w:right w:w="108" w:type="dxa"/>
          </w:tblCellMar>
        </w:tblPrEx>
        <w:trPr>
          <w:trHeight w:val="270" w:hRule="atLeast"/>
        </w:trPr>
        <w:tc>
          <w:tcPr>
            <w:tcW w:w="343"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B</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42</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0.00795</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0.00012</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0.00032</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0.00033</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0.00091</w:t>
            </w:r>
          </w:p>
        </w:tc>
      </w:tr>
      <w:tr>
        <w:tblPrEx>
          <w:tblCellMar>
            <w:top w:w="0" w:type="dxa"/>
            <w:left w:w="108" w:type="dxa"/>
            <w:bottom w:w="0" w:type="dxa"/>
            <w:right w:w="108" w:type="dxa"/>
          </w:tblCellMar>
        </w:tblPrEx>
        <w:trPr>
          <w:trHeight w:val="270" w:hRule="atLeast"/>
        </w:trPr>
        <w:tc>
          <w:tcPr>
            <w:tcW w:w="343"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 xml:space="preserve"> Na</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42</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0.00870</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0.00008</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0.00012</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0.00022</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0.00033</w:t>
            </w:r>
          </w:p>
        </w:tc>
      </w:tr>
      <w:tr>
        <w:tblPrEx>
          <w:tblCellMar>
            <w:top w:w="0" w:type="dxa"/>
            <w:left w:w="108" w:type="dxa"/>
            <w:bottom w:w="0" w:type="dxa"/>
            <w:right w:w="108" w:type="dxa"/>
          </w:tblCellMar>
        </w:tblPrEx>
        <w:trPr>
          <w:trHeight w:val="270" w:hRule="atLeast"/>
        </w:trPr>
        <w:tc>
          <w:tcPr>
            <w:tcW w:w="343"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 xml:space="preserve"> Mg</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42</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0.00828</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0.00008</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0.00016</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0.00022</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0.00046</w:t>
            </w:r>
          </w:p>
        </w:tc>
      </w:tr>
      <w:tr>
        <w:tblPrEx>
          <w:tblCellMar>
            <w:top w:w="0" w:type="dxa"/>
            <w:left w:w="108" w:type="dxa"/>
            <w:bottom w:w="0" w:type="dxa"/>
            <w:right w:w="108" w:type="dxa"/>
          </w:tblCellMar>
        </w:tblPrEx>
        <w:trPr>
          <w:trHeight w:val="270" w:hRule="atLeast"/>
        </w:trPr>
        <w:tc>
          <w:tcPr>
            <w:tcW w:w="343"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Al</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5</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35</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0.00808</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0.00012</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0.00015</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0.00034</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0.00041</w:t>
            </w:r>
          </w:p>
        </w:tc>
      </w:tr>
      <w:tr>
        <w:tblPrEx>
          <w:tblCellMar>
            <w:top w:w="0" w:type="dxa"/>
            <w:left w:w="108" w:type="dxa"/>
            <w:bottom w:w="0" w:type="dxa"/>
            <w:right w:w="108" w:type="dxa"/>
          </w:tblCellMar>
        </w:tblPrEx>
        <w:trPr>
          <w:trHeight w:val="270" w:hRule="atLeast"/>
        </w:trPr>
        <w:tc>
          <w:tcPr>
            <w:tcW w:w="343"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Si</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42</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0.00866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0.00018</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0.00020</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0.00050</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0.00056</w:t>
            </w:r>
          </w:p>
        </w:tc>
      </w:tr>
      <w:tr>
        <w:tblPrEx>
          <w:tblCellMar>
            <w:top w:w="0" w:type="dxa"/>
            <w:left w:w="108" w:type="dxa"/>
            <w:bottom w:w="0" w:type="dxa"/>
            <w:right w:w="108" w:type="dxa"/>
          </w:tblCellMar>
        </w:tblPrEx>
        <w:trPr>
          <w:trHeight w:val="270" w:hRule="atLeast"/>
        </w:trPr>
        <w:tc>
          <w:tcPr>
            <w:tcW w:w="343"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Ca</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42</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0.00911</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0.00015</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0.00018</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0.00042</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0.00051</w:t>
            </w:r>
          </w:p>
        </w:tc>
      </w:tr>
      <w:tr>
        <w:tblPrEx>
          <w:tblCellMar>
            <w:top w:w="0" w:type="dxa"/>
            <w:left w:w="108" w:type="dxa"/>
            <w:bottom w:w="0" w:type="dxa"/>
            <w:right w:w="108" w:type="dxa"/>
          </w:tblCellMar>
        </w:tblPrEx>
        <w:trPr>
          <w:trHeight w:val="270" w:hRule="atLeast"/>
        </w:trPr>
        <w:tc>
          <w:tcPr>
            <w:tcW w:w="343"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Ti</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5</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35</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0.00828</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0.00014</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0.00017</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0.00038</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0.00047</w:t>
            </w:r>
          </w:p>
        </w:tc>
      </w:tr>
      <w:tr>
        <w:tblPrEx>
          <w:tblCellMar>
            <w:top w:w="0" w:type="dxa"/>
            <w:left w:w="108" w:type="dxa"/>
            <w:bottom w:w="0" w:type="dxa"/>
            <w:right w:w="108" w:type="dxa"/>
          </w:tblCellMar>
        </w:tblPrEx>
        <w:trPr>
          <w:trHeight w:val="270" w:hRule="atLeast"/>
        </w:trPr>
        <w:tc>
          <w:tcPr>
            <w:tcW w:w="343"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V</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42</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0.00797</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0.00009</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0.00017</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0.00025</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0.00048</w:t>
            </w:r>
          </w:p>
        </w:tc>
      </w:tr>
      <w:tr>
        <w:tblPrEx>
          <w:tblCellMar>
            <w:top w:w="0" w:type="dxa"/>
            <w:left w:w="108" w:type="dxa"/>
            <w:bottom w:w="0" w:type="dxa"/>
            <w:right w:w="108" w:type="dxa"/>
          </w:tblCellMar>
        </w:tblPrEx>
        <w:trPr>
          <w:trHeight w:val="270" w:hRule="atLeast"/>
        </w:trPr>
        <w:tc>
          <w:tcPr>
            <w:tcW w:w="343"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Cr</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42</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0.00804</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0.00010</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0.00011</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0.00027</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0.00032</w:t>
            </w:r>
          </w:p>
        </w:tc>
      </w:tr>
      <w:tr>
        <w:tblPrEx>
          <w:tblCellMar>
            <w:top w:w="0" w:type="dxa"/>
            <w:left w:w="108" w:type="dxa"/>
            <w:bottom w:w="0" w:type="dxa"/>
            <w:right w:w="108" w:type="dxa"/>
          </w:tblCellMar>
        </w:tblPrEx>
        <w:trPr>
          <w:trHeight w:val="270" w:hRule="atLeast"/>
        </w:trPr>
        <w:tc>
          <w:tcPr>
            <w:tcW w:w="343"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 xml:space="preserve"> Mn</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5</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35</w:t>
            </w:r>
          </w:p>
        </w:tc>
        <w:tc>
          <w:tcPr>
            <w:tcW w:w="475" w:type="pct"/>
            <w:tcBorders>
              <w:top w:val="nil"/>
              <w:left w:val="nil"/>
              <w:bottom w:val="nil"/>
              <w:right w:val="nil"/>
            </w:tcBorders>
            <w:shd w:val="clear" w:color="auto" w:fill="auto"/>
            <w:noWrap/>
            <w:vAlign w:val="center"/>
          </w:tcPr>
          <w:p>
            <w:pPr>
              <w:widowControl/>
              <w:jc w:val="center"/>
              <w:rPr>
                <w:color w:val="000000"/>
                <w:kern w:val="0"/>
                <w:sz w:val="18"/>
                <w:szCs w:val="18"/>
              </w:rPr>
            </w:pPr>
            <w:r>
              <w:rPr>
                <w:color w:val="000000"/>
                <w:kern w:val="0"/>
                <w:sz w:val="18"/>
                <w:szCs w:val="18"/>
              </w:rPr>
              <w:t>0.00802</w:t>
            </w:r>
          </w:p>
        </w:tc>
        <w:tc>
          <w:tcPr>
            <w:tcW w:w="76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0.00010</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0.00015</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0.00028</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0.00042</w:t>
            </w:r>
          </w:p>
        </w:tc>
      </w:tr>
      <w:tr>
        <w:tblPrEx>
          <w:tblCellMar>
            <w:top w:w="0" w:type="dxa"/>
            <w:left w:w="108" w:type="dxa"/>
            <w:bottom w:w="0" w:type="dxa"/>
            <w:right w:w="108" w:type="dxa"/>
          </w:tblCellMar>
        </w:tblPrEx>
        <w:trPr>
          <w:trHeight w:val="270" w:hRule="atLeast"/>
        </w:trPr>
        <w:tc>
          <w:tcPr>
            <w:tcW w:w="343"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Fe</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5</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35</w:t>
            </w:r>
          </w:p>
        </w:tc>
        <w:tc>
          <w:tcPr>
            <w:tcW w:w="47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0.00830</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0.00011</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0.00016</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0.00031</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0.00046</w:t>
            </w:r>
          </w:p>
        </w:tc>
      </w:tr>
      <w:tr>
        <w:tblPrEx>
          <w:tblCellMar>
            <w:top w:w="0" w:type="dxa"/>
            <w:left w:w="108" w:type="dxa"/>
            <w:bottom w:w="0" w:type="dxa"/>
            <w:right w:w="108" w:type="dxa"/>
          </w:tblCellMar>
        </w:tblPrEx>
        <w:trPr>
          <w:trHeight w:val="270" w:hRule="atLeast"/>
        </w:trPr>
        <w:tc>
          <w:tcPr>
            <w:tcW w:w="343"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Co</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42</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0.00791</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0.00012</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0.00016</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0.00035</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0.00045</w:t>
            </w:r>
          </w:p>
        </w:tc>
      </w:tr>
      <w:tr>
        <w:tblPrEx>
          <w:tblCellMar>
            <w:top w:w="0" w:type="dxa"/>
            <w:left w:w="108" w:type="dxa"/>
            <w:bottom w:w="0" w:type="dxa"/>
            <w:right w:w="108" w:type="dxa"/>
          </w:tblCellMar>
        </w:tblPrEx>
        <w:trPr>
          <w:trHeight w:val="270" w:hRule="atLeast"/>
        </w:trPr>
        <w:tc>
          <w:tcPr>
            <w:tcW w:w="343"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Ni</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42</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0.00792</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0.00016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0.00027</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0.00046</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0.00078</w:t>
            </w:r>
          </w:p>
        </w:tc>
      </w:tr>
      <w:tr>
        <w:tblPrEx>
          <w:tblCellMar>
            <w:top w:w="0" w:type="dxa"/>
            <w:left w:w="108" w:type="dxa"/>
            <w:bottom w:w="0" w:type="dxa"/>
            <w:right w:w="108" w:type="dxa"/>
          </w:tblCellMar>
        </w:tblPrEx>
        <w:trPr>
          <w:trHeight w:val="270" w:hRule="atLeast"/>
        </w:trPr>
        <w:tc>
          <w:tcPr>
            <w:tcW w:w="343"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Cu</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5</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35</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0.00800</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0.00009</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0.00015</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0.00025</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0.00043</w:t>
            </w:r>
          </w:p>
        </w:tc>
      </w:tr>
      <w:tr>
        <w:trPr>
          <w:trHeight w:val="270" w:hRule="atLeast"/>
        </w:trPr>
        <w:tc>
          <w:tcPr>
            <w:tcW w:w="343"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Zn</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42</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0.00790</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0.00011</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0.00021</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0.00030</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0.00060</w:t>
            </w:r>
          </w:p>
        </w:tc>
      </w:tr>
      <w:tr>
        <w:tblPrEx>
          <w:tblCellMar>
            <w:top w:w="0" w:type="dxa"/>
            <w:left w:w="108" w:type="dxa"/>
            <w:bottom w:w="0" w:type="dxa"/>
            <w:right w:w="108" w:type="dxa"/>
          </w:tblCellMar>
        </w:tblPrEx>
        <w:trPr>
          <w:trHeight w:val="270" w:hRule="atLeast"/>
        </w:trPr>
        <w:tc>
          <w:tcPr>
            <w:tcW w:w="343"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Mo</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42</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0.00802</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0.00018</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0.00025</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0.00052</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0.00070</w:t>
            </w:r>
          </w:p>
        </w:tc>
      </w:tr>
      <w:tr>
        <w:tblPrEx>
          <w:tblCellMar>
            <w:top w:w="0" w:type="dxa"/>
            <w:left w:w="108" w:type="dxa"/>
            <w:bottom w:w="0" w:type="dxa"/>
            <w:right w:w="108" w:type="dxa"/>
          </w:tblCellMar>
        </w:tblPrEx>
        <w:trPr>
          <w:trHeight w:val="270" w:hRule="atLeast"/>
        </w:trPr>
        <w:tc>
          <w:tcPr>
            <w:tcW w:w="343"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Cd</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42</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0.00804</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0.00010</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0.00018</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0.00027</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0.00052</w:t>
            </w:r>
          </w:p>
        </w:tc>
      </w:tr>
      <w:tr>
        <w:tblPrEx>
          <w:tblCellMar>
            <w:top w:w="0" w:type="dxa"/>
            <w:left w:w="108" w:type="dxa"/>
            <w:bottom w:w="0" w:type="dxa"/>
            <w:right w:w="108" w:type="dxa"/>
          </w:tblCellMar>
        </w:tblPrEx>
        <w:trPr>
          <w:trHeight w:val="270" w:hRule="atLeast"/>
        </w:trPr>
        <w:tc>
          <w:tcPr>
            <w:tcW w:w="343"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Hf</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5</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35</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0.00703</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0.00013</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0.00021</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0.00036</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0.00058</w:t>
            </w:r>
          </w:p>
        </w:tc>
      </w:tr>
      <w:tr>
        <w:tblPrEx>
          <w:tblCellMar>
            <w:top w:w="0" w:type="dxa"/>
            <w:left w:w="108" w:type="dxa"/>
            <w:bottom w:w="0" w:type="dxa"/>
            <w:right w:w="108" w:type="dxa"/>
          </w:tblCellMar>
        </w:tblPrEx>
        <w:trPr>
          <w:trHeight w:val="270" w:hRule="atLeast"/>
        </w:trPr>
        <w:tc>
          <w:tcPr>
            <w:tcW w:w="343"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Pb</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42</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0.00798</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0.00010</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0.00015</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0.00028</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0.00042</w:t>
            </w:r>
          </w:p>
        </w:tc>
      </w:tr>
      <w:tr>
        <w:tblPrEx>
          <w:tblCellMar>
            <w:top w:w="0" w:type="dxa"/>
            <w:left w:w="108" w:type="dxa"/>
            <w:bottom w:w="0" w:type="dxa"/>
            <w:right w:w="108" w:type="dxa"/>
          </w:tblCellMar>
        </w:tblPrEx>
        <w:trPr>
          <w:trHeight w:val="270" w:hRule="atLeast"/>
        </w:trPr>
        <w:tc>
          <w:tcPr>
            <w:tcW w:w="343"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Bi</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6</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42</w:t>
            </w:r>
          </w:p>
        </w:tc>
        <w:tc>
          <w:tcPr>
            <w:tcW w:w="47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0.00810</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0.00011</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0.00017</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0.00031</w:t>
            </w:r>
          </w:p>
        </w:tc>
        <w:tc>
          <w:tcPr>
            <w:tcW w:w="55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0.00047</w:t>
            </w:r>
          </w:p>
        </w:tc>
      </w:tr>
    </w:tbl>
    <w:p>
      <w:pPr>
        <w:adjustRightInd w:val="0"/>
        <w:snapToGrid w:val="0"/>
        <w:spacing w:before="468" w:beforeLines="150" w:after="156" w:afterLines="50" w:line="360" w:lineRule="exact"/>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9  </w:t>
      </w:r>
      <w:r>
        <w:rPr>
          <w:rFonts w:hint="eastAsia" w:ascii="黑体" w:hAnsi="黑体" w:eastAsia="黑体"/>
          <w:szCs w:val="21"/>
        </w:rPr>
        <w:t>重复性限</w:t>
      </w:r>
    </w:p>
    <w:tbl>
      <w:tblPr>
        <w:tblStyle w:val="8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856"/>
        <w:gridCol w:w="48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500" w:type="pct"/>
            <w:tcBorders>
              <w:top w:val="single" w:color="auto" w:sz="6" w:space="0"/>
              <w:left w:val="single" w:color="auto" w:sz="6" w:space="0"/>
              <w:bottom w:val="single" w:color="auto" w:sz="6" w:space="0"/>
            </w:tcBorders>
            <w:vAlign w:val="center"/>
          </w:tcPr>
          <w:p>
            <w:pPr>
              <w:adjustRightInd w:val="0"/>
              <w:jc w:val="center"/>
              <w:rPr>
                <w:sz w:val="18"/>
              </w:rPr>
            </w:pPr>
            <w:r>
              <w:rPr>
                <w:rFonts w:hint="eastAsia"/>
                <w:color w:val="000000"/>
                <w:kern w:val="0"/>
                <w:sz w:val="18"/>
                <w:szCs w:val="18"/>
              </w:rPr>
              <w:t>元素</w:t>
            </w:r>
            <w:r>
              <w:rPr>
                <w:rFonts w:hint="eastAsia" w:cs="宋体"/>
                <w:kern w:val="0"/>
                <w:sz w:val="18"/>
              </w:rPr>
              <w:t>质量分数</w:t>
            </w:r>
            <w:r>
              <w:rPr>
                <w:rFonts w:hint="eastAsia" w:cs="宋体"/>
                <w:i/>
                <w:kern w:val="0"/>
                <w:sz w:val="18"/>
              </w:rPr>
              <w:t>w</w:t>
            </w:r>
            <w:r>
              <w:rPr>
                <w:rFonts w:hint="eastAsia" w:cs="宋体"/>
                <w:kern w:val="0"/>
                <w:sz w:val="18"/>
              </w:rPr>
              <w:t>/</w:t>
            </w:r>
            <w:r>
              <w:rPr>
                <w:kern w:val="0"/>
                <w:sz w:val="18"/>
              </w:rPr>
              <w:t>%</w:t>
            </w:r>
          </w:p>
        </w:tc>
        <w:tc>
          <w:tcPr>
            <w:tcW w:w="2500" w:type="pct"/>
            <w:tcBorders>
              <w:top w:val="single" w:color="auto" w:sz="6" w:space="0"/>
              <w:bottom w:val="single" w:color="auto" w:sz="6" w:space="0"/>
              <w:right w:val="single" w:color="auto" w:sz="6" w:space="0"/>
            </w:tcBorders>
            <w:vAlign w:val="center"/>
          </w:tcPr>
          <w:p>
            <w:pPr>
              <w:jc w:val="center"/>
            </w:pPr>
            <w:r>
              <w:rPr>
                <w:rFonts w:hint="eastAsia" w:cs="宋体"/>
                <w:kern w:val="0"/>
                <w:sz w:val="18"/>
              </w:rPr>
              <w:t>重复性限（</w:t>
            </w:r>
            <w:r>
              <w:rPr>
                <w:rFonts w:hint="eastAsia" w:cs="宋体"/>
                <w:i/>
                <w:kern w:val="0"/>
                <w:sz w:val="18"/>
              </w:rPr>
              <w:t>r</w:t>
            </w:r>
            <w:r>
              <w:rPr>
                <w:rFonts w:hint="eastAsia" w:cs="宋体"/>
                <w:kern w:val="0"/>
                <w:sz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500" w:type="pct"/>
            <w:tcBorders>
              <w:top w:val="single" w:color="auto" w:sz="6" w:space="0"/>
              <w:left w:val="single" w:color="auto" w:sz="6" w:space="0"/>
            </w:tcBorders>
            <w:vAlign w:val="center"/>
          </w:tcPr>
          <w:p>
            <w:pPr>
              <w:jc w:val="center"/>
              <w:rPr>
                <w:rFonts w:ascii="宋体" w:hAnsi="宋体"/>
                <w:sz w:val="18"/>
                <w:szCs w:val="18"/>
              </w:rPr>
            </w:pPr>
            <w:r>
              <w:rPr>
                <w:rFonts w:ascii="宋体" w:hAnsi="宋体"/>
                <w:sz w:val="18"/>
                <w:szCs w:val="18"/>
              </w:rPr>
              <w:t>0.0001</w:t>
            </w:r>
          </w:p>
        </w:tc>
        <w:tc>
          <w:tcPr>
            <w:tcW w:w="2500" w:type="pct"/>
            <w:tcBorders>
              <w:top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0.0001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500" w:type="pct"/>
            <w:tcBorders>
              <w:left w:val="single" w:color="auto" w:sz="6" w:space="0"/>
            </w:tcBorders>
            <w:vAlign w:val="center"/>
          </w:tcPr>
          <w:p>
            <w:pPr>
              <w:jc w:val="center"/>
              <w:rPr>
                <w:rFonts w:ascii="宋体" w:hAnsi="宋体"/>
                <w:sz w:val="18"/>
                <w:szCs w:val="18"/>
              </w:rPr>
            </w:pPr>
            <w:r>
              <w:rPr>
                <w:rFonts w:hint="eastAsia" w:ascii="宋体" w:hAnsi="宋体"/>
                <w:sz w:val="18"/>
                <w:szCs w:val="18"/>
              </w:rPr>
              <w:t>0.0</w:t>
            </w:r>
            <w:r>
              <w:rPr>
                <w:rFonts w:ascii="宋体" w:hAnsi="宋体"/>
                <w:sz w:val="18"/>
                <w:szCs w:val="18"/>
              </w:rPr>
              <w:t>0</w:t>
            </w:r>
            <w:r>
              <w:rPr>
                <w:rFonts w:hint="eastAsia" w:ascii="宋体" w:hAnsi="宋体"/>
                <w:sz w:val="18"/>
                <w:szCs w:val="18"/>
              </w:rPr>
              <w:t>10</w:t>
            </w:r>
          </w:p>
        </w:tc>
        <w:tc>
          <w:tcPr>
            <w:tcW w:w="2500" w:type="pct"/>
            <w:tcBorders>
              <w:right w:val="single" w:color="auto" w:sz="6" w:space="0"/>
            </w:tcBorders>
            <w:vAlign w:val="center"/>
          </w:tcPr>
          <w:p>
            <w:pPr>
              <w:jc w:val="center"/>
              <w:rPr>
                <w:rFonts w:ascii="宋体" w:hAnsi="宋体"/>
                <w:sz w:val="18"/>
                <w:szCs w:val="18"/>
              </w:rPr>
            </w:pPr>
            <w:r>
              <w:rPr>
                <w:rFonts w:hint="eastAsia" w:ascii="宋体" w:hAnsi="宋体"/>
                <w:sz w:val="18"/>
                <w:szCs w:val="18"/>
              </w:rPr>
              <w:t>0.0002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500" w:type="pct"/>
            <w:tcBorders>
              <w:left w:val="single" w:color="auto" w:sz="6" w:space="0"/>
            </w:tcBorders>
            <w:vAlign w:val="center"/>
          </w:tcPr>
          <w:p>
            <w:pPr>
              <w:jc w:val="center"/>
              <w:rPr>
                <w:rFonts w:ascii="宋体" w:hAnsi="宋体"/>
                <w:sz w:val="18"/>
                <w:szCs w:val="18"/>
              </w:rPr>
            </w:pPr>
            <w:r>
              <w:rPr>
                <w:rFonts w:hint="eastAsia" w:ascii="宋体" w:hAnsi="宋体"/>
                <w:sz w:val="18"/>
                <w:szCs w:val="18"/>
              </w:rPr>
              <w:t>0.0025</w:t>
            </w:r>
          </w:p>
        </w:tc>
        <w:tc>
          <w:tcPr>
            <w:tcW w:w="2500" w:type="pct"/>
            <w:tcBorders>
              <w:right w:val="single" w:color="auto" w:sz="6" w:space="0"/>
            </w:tcBorders>
            <w:vAlign w:val="center"/>
          </w:tcPr>
          <w:p>
            <w:pPr>
              <w:jc w:val="center"/>
              <w:rPr>
                <w:rFonts w:ascii="宋体" w:hAnsi="宋体"/>
                <w:sz w:val="18"/>
                <w:szCs w:val="18"/>
              </w:rPr>
            </w:pPr>
            <w:r>
              <w:rPr>
                <w:rFonts w:hint="eastAsia" w:ascii="宋体" w:hAnsi="宋体"/>
                <w:sz w:val="18"/>
                <w:szCs w:val="18"/>
              </w:rPr>
              <w:t>0.0003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500" w:type="pct"/>
            <w:tcBorders>
              <w:left w:val="single" w:color="auto" w:sz="6" w:space="0"/>
            </w:tcBorders>
            <w:vAlign w:val="center"/>
          </w:tcPr>
          <w:p>
            <w:pPr>
              <w:jc w:val="center"/>
              <w:rPr>
                <w:rFonts w:ascii="宋体" w:hAnsi="宋体"/>
                <w:sz w:val="18"/>
                <w:szCs w:val="18"/>
              </w:rPr>
            </w:pPr>
            <w:r>
              <w:rPr>
                <w:rFonts w:hint="eastAsia" w:ascii="宋体" w:hAnsi="宋体"/>
                <w:sz w:val="18"/>
                <w:szCs w:val="18"/>
              </w:rPr>
              <w:t>0.0050</w:t>
            </w:r>
          </w:p>
        </w:tc>
        <w:tc>
          <w:tcPr>
            <w:tcW w:w="2500" w:type="pct"/>
            <w:tcBorders>
              <w:right w:val="single" w:color="auto" w:sz="6" w:space="0"/>
            </w:tcBorders>
            <w:vAlign w:val="center"/>
          </w:tcPr>
          <w:p>
            <w:pPr>
              <w:jc w:val="center"/>
              <w:rPr>
                <w:rFonts w:ascii="宋体" w:hAnsi="宋体"/>
                <w:sz w:val="18"/>
                <w:szCs w:val="18"/>
              </w:rPr>
            </w:pPr>
            <w:r>
              <w:rPr>
                <w:rFonts w:hint="eastAsia" w:ascii="宋体" w:hAnsi="宋体"/>
                <w:sz w:val="18"/>
                <w:szCs w:val="18"/>
              </w:rPr>
              <w:t>0.0004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500" w:type="pct"/>
            <w:tcBorders>
              <w:left w:val="single" w:color="auto" w:sz="6" w:space="0"/>
              <w:bottom w:val="single" w:color="auto" w:sz="6" w:space="0"/>
            </w:tcBorders>
            <w:vAlign w:val="center"/>
          </w:tcPr>
          <w:p>
            <w:pPr>
              <w:jc w:val="center"/>
              <w:rPr>
                <w:rFonts w:ascii="宋体" w:hAnsi="宋体"/>
                <w:sz w:val="18"/>
                <w:szCs w:val="18"/>
              </w:rPr>
            </w:pPr>
            <w:r>
              <w:rPr>
                <w:rFonts w:hint="eastAsia" w:ascii="宋体" w:hAnsi="宋体"/>
                <w:sz w:val="18"/>
                <w:szCs w:val="18"/>
              </w:rPr>
              <w:t>0.0080</w:t>
            </w:r>
          </w:p>
        </w:tc>
        <w:tc>
          <w:tcPr>
            <w:tcW w:w="2500" w:type="pct"/>
            <w:tcBorders>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0.0006</w:t>
            </w:r>
          </w:p>
        </w:tc>
      </w:tr>
    </w:tbl>
    <w:p>
      <w:pPr>
        <w:adjustRightInd w:val="0"/>
        <w:snapToGrid w:val="0"/>
        <w:spacing w:before="468" w:beforeLines="150" w:after="156" w:afterLines="50" w:line="360" w:lineRule="exact"/>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10  </w:t>
      </w:r>
      <w:r>
        <w:rPr>
          <w:rFonts w:hint="eastAsia" w:ascii="黑体" w:hAnsi="黑体" w:eastAsia="黑体"/>
          <w:szCs w:val="21"/>
        </w:rPr>
        <w:t>再现性限</w:t>
      </w:r>
    </w:p>
    <w:tbl>
      <w:tblPr>
        <w:tblStyle w:val="88"/>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4856"/>
        <w:gridCol w:w="48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2500" w:type="pct"/>
            <w:vAlign w:val="center"/>
          </w:tcPr>
          <w:p>
            <w:pPr>
              <w:adjustRightInd w:val="0"/>
              <w:jc w:val="center"/>
              <w:rPr>
                <w:sz w:val="18"/>
              </w:rPr>
            </w:pPr>
            <w:r>
              <w:rPr>
                <w:rFonts w:hint="eastAsia"/>
                <w:color w:val="000000"/>
                <w:kern w:val="0"/>
                <w:sz w:val="18"/>
                <w:szCs w:val="18"/>
              </w:rPr>
              <w:t>元素</w:t>
            </w:r>
            <w:r>
              <w:rPr>
                <w:rFonts w:hint="eastAsia" w:cs="宋体"/>
                <w:kern w:val="0"/>
                <w:sz w:val="18"/>
              </w:rPr>
              <w:t>质量分数</w:t>
            </w:r>
            <w:r>
              <w:rPr>
                <w:rFonts w:hint="eastAsia" w:cs="宋体"/>
                <w:i/>
                <w:kern w:val="0"/>
                <w:sz w:val="18"/>
              </w:rPr>
              <w:t>w</w:t>
            </w:r>
            <w:r>
              <w:rPr>
                <w:rFonts w:hint="eastAsia" w:cs="宋体"/>
                <w:kern w:val="0"/>
                <w:sz w:val="18"/>
              </w:rPr>
              <w:t>/</w:t>
            </w:r>
            <w:r>
              <w:rPr>
                <w:kern w:val="0"/>
                <w:sz w:val="18"/>
              </w:rPr>
              <w:t>%</w:t>
            </w:r>
          </w:p>
        </w:tc>
        <w:tc>
          <w:tcPr>
            <w:tcW w:w="2500" w:type="pct"/>
            <w:vAlign w:val="center"/>
          </w:tcPr>
          <w:p>
            <w:pPr>
              <w:jc w:val="center"/>
              <w:rPr>
                <w:sz w:val="18"/>
                <w:szCs w:val="18"/>
              </w:rPr>
            </w:pPr>
            <w:r>
              <w:rPr>
                <w:rFonts w:hint="eastAsia"/>
                <w:sz w:val="18"/>
                <w:szCs w:val="18"/>
              </w:rPr>
              <w:t>再现性限（</w:t>
            </w:r>
            <w:r>
              <w:rPr>
                <w:i/>
                <w:sz w:val="18"/>
                <w:szCs w:val="18"/>
              </w:rPr>
              <w:t>R</w:t>
            </w:r>
            <w:r>
              <w:rPr>
                <w:rFonts w:hint="eastAsia"/>
                <w:sz w:val="18"/>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2500" w:type="pct"/>
            <w:vAlign w:val="center"/>
          </w:tcPr>
          <w:p>
            <w:pPr>
              <w:jc w:val="center"/>
              <w:rPr>
                <w:rFonts w:ascii="宋体" w:hAnsi="宋体"/>
                <w:sz w:val="18"/>
                <w:szCs w:val="18"/>
              </w:rPr>
            </w:pPr>
            <w:r>
              <w:rPr>
                <w:rFonts w:ascii="宋体" w:hAnsi="宋体"/>
                <w:sz w:val="18"/>
                <w:szCs w:val="18"/>
              </w:rPr>
              <w:t>0.0001</w:t>
            </w:r>
          </w:p>
        </w:tc>
        <w:tc>
          <w:tcPr>
            <w:tcW w:w="2500" w:type="pct"/>
            <w:vAlign w:val="center"/>
          </w:tcPr>
          <w:p>
            <w:pPr>
              <w:jc w:val="center"/>
              <w:rPr>
                <w:rFonts w:ascii="宋体" w:hAnsi="宋体"/>
                <w:sz w:val="18"/>
                <w:szCs w:val="18"/>
              </w:rPr>
            </w:pPr>
            <w:r>
              <w:rPr>
                <w:rFonts w:hint="eastAsia" w:ascii="宋体" w:hAnsi="宋体"/>
                <w:sz w:val="18"/>
                <w:szCs w:val="18"/>
              </w:rPr>
              <w:t>0.000</w:t>
            </w:r>
            <w:r>
              <w:rPr>
                <w:rFonts w:ascii="宋体" w:hAnsi="宋体"/>
                <w:sz w:val="18"/>
                <w:szCs w:val="18"/>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2500" w:type="pct"/>
            <w:vAlign w:val="center"/>
          </w:tcPr>
          <w:p>
            <w:pPr>
              <w:jc w:val="center"/>
              <w:rPr>
                <w:rFonts w:ascii="宋体" w:hAnsi="宋体"/>
                <w:sz w:val="18"/>
                <w:szCs w:val="18"/>
              </w:rPr>
            </w:pPr>
            <w:r>
              <w:rPr>
                <w:rFonts w:hint="eastAsia" w:ascii="宋体" w:hAnsi="宋体"/>
                <w:sz w:val="18"/>
                <w:szCs w:val="18"/>
              </w:rPr>
              <w:t>0.0</w:t>
            </w:r>
            <w:r>
              <w:rPr>
                <w:rFonts w:ascii="宋体" w:hAnsi="宋体"/>
                <w:sz w:val="18"/>
                <w:szCs w:val="18"/>
              </w:rPr>
              <w:t>0</w:t>
            </w:r>
            <w:r>
              <w:rPr>
                <w:rFonts w:hint="eastAsia" w:ascii="宋体" w:hAnsi="宋体"/>
                <w:sz w:val="18"/>
                <w:szCs w:val="18"/>
              </w:rPr>
              <w:t>10</w:t>
            </w:r>
          </w:p>
        </w:tc>
        <w:tc>
          <w:tcPr>
            <w:tcW w:w="2500" w:type="pct"/>
            <w:vAlign w:val="center"/>
          </w:tcPr>
          <w:p>
            <w:pPr>
              <w:jc w:val="center"/>
              <w:rPr>
                <w:rFonts w:ascii="宋体" w:hAnsi="宋体"/>
                <w:sz w:val="18"/>
                <w:szCs w:val="18"/>
              </w:rPr>
            </w:pPr>
            <w:r>
              <w:rPr>
                <w:rFonts w:ascii="宋体" w:hAnsi="宋体"/>
                <w:sz w:val="18"/>
                <w:szCs w:val="18"/>
              </w:rPr>
              <w:t>0.0003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2500" w:type="pct"/>
            <w:vAlign w:val="center"/>
          </w:tcPr>
          <w:p>
            <w:pPr>
              <w:jc w:val="center"/>
              <w:rPr>
                <w:rFonts w:ascii="宋体" w:hAnsi="宋体"/>
                <w:sz w:val="18"/>
                <w:szCs w:val="18"/>
              </w:rPr>
            </w:pPr>
            <w:r>
              <w:rPr>
                <w:rFonts w:hint="eastAsia" w:ascii="宋体" w:hAnsi="宋体"/>
                <w:sz w:val="18"/>
                <w:szCs w:val="18"/>
              </w:rPr>
              <w:t>0.0025</w:t>
            </w:r>
          </w:p>
        </w:tc>
        <w:tc>
          <w:tcPr>
            <w:tcW w:w="2500" w:type="pct"/>
            <w:vAlign w:val="center"/>
          </w:tcPr>
          <w:p>
            <w:pPr>
              <w:jc w:val="center"/>
              <w:rPr>
                <w:rFonts w:ascii="宋体" w:hAnsi="宋体"/>
                <w:sz w:val="18"/>
                <w:szCs w:val="18"/>
              </w:rPr>
            </w:pPr>
            <w:r>
              <w:rPr>
                <w:rFonts w:ascii="宋体" w:hAnsi="宋体"/>
                <w:sz w:val="18"/>
                <w:szCs w:val="18"/>
              </w:rPr>
              <w:t>0.0004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2500" w:type="pct"/>
            <w:vAlign w:val="center"/>
          </w:tcPr>
          <w:p>
            <w:pPr>
              <w:jc w:val="center"/>
              <w:rPr>
                <w:rFonts w:ascii="宋体" w:hAnsi="宋体"/>
                <w:sz w:val="18"/>
                <w:szCs w:val="18"/>
              </w:rPr>
            </w:pPr>
            <w:r>
              <w:rPr>
                <w:rFonts w:hint="eastAsia" w:ascii="宋体" w:hAnsi="宋体"/>
                <w:sz w:val="18"/>
                <w:szCs w:val="18"/>
              </w:rPr>
              <w:t>0.0050</w:t>
            </w:r>
          </w:p>
        </w:tc>
        <w:tc>
          <w:tcPr>
            <w:tcW w:w="2500" w:type="pct"/>
            <w:vAlign w:val="center"/>
          </w:tcPr>
          <w:p>
            <w:pPr>
              <w:jc w:val="center"/>
              <w:rPr>
                <w:rFonts w:ascii="宋体" w:hAnsi="宋体"/>
                <w:sz w:val="18"/>
                <w:szCs w:val="18"/>
              </w:rPr>
            </w:pPr>
            <w:r>
              <w:rPr>
                <w:rFonts w:hint="eastAsia" w:ascii="宋体" w:hAnsi="宋体"/>
                <w:sz w:val="18"/>
                <w:szCs w:val="18"/>
              </w:rPr>
              <w:t>0.0007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2500" w:type="pct"/>
            <w:vAlign w:val="center"/>
          </w:tcPr>
          <w:p>
            <w:pPr>
              <w:jc w:val="center"/>
              <w:rPr>
                <w:rFonts w:ascii="宋体" w:hAnsi="宋体"/>
                <w:sz w:val="18"/>
                <w:szCs w:val="18"/>
              </w:rPr>
            </w:pPr>
            <w:r>
              <w:rPr>
                <w:rFonts w:hint="eastAsia" w:ascii="宋体" w:hAnsi="宋体"/>
                <w:sz w:val="18"/>
                <w:szCs w:val="18"/>
              </w:rPr>
              <w:t>0.0080</w:t>
            </w:r>
          </w:p>
        </w:tc>
        <w:tc>
          <w:tcPr>
            <w:tcW w:w="2500" w:type="pct"/>
            <w:vAlign w:val="center"/>
          </w:tcPr>
          <w:p>
            <w:pPr>
              <w:jc w:val="center"/>
              <w:rPr>
                <w:rFonts w:ascii="宋体" w:hAnsi="宋体"/>
                <w:sz w:val="18"/>
                <w:szCs w:val="18"/>
              </w:rPr>
            </w:pPr>
            <w:r>
              <w:rPr>
                <w:rFonts w:ascii="宋体" w:hAnsi="宋体"/>
                <w:sz w:val="18"/>
                <w:szCs w:val="18"/>
              </w:rPr>
              <w:t>0.0009</w:t>
            </w:r>
          </w:p>
        </w:tc>
      </w:tr>
    </w:tbl>
    <w:p>
      <w:pPr>
        <w:spacing w:before="312" w:beforeLines="100" w:after="156" w:afterLines="50" w:line="312" w:lineRule="auto"/>
        <w:rPr>
          <w:rFonts w:ascii="黑体" w:hAnsi="宋体" w:eastAsia="黑体"/>
          <w:bCs/>
          <w:sz w:val="24"/>
        </w:rPr>
      </w:pPr>
      <w:r>
        <w:rPr>
          <w:rFonts w:hint="eastAsia" w:ascii="黑体" w:hAnsi="宋体" w:eastAsia="黑体"/>
          <w:bCs/>
          <w:sz w:val="24"/>
        </w:rPr>
        <w:t>四</w:t>
      </w:r>
      <w:r>
        <w:rPr>
          <w:rFonts w:ascii="黑体" w:hAnsi="宋体" w:eastAsia="黑体"/>
          <w:bCs/>
          <w:sz w:val="24"/>
        </w:rPr>
        <w:t>、</w:t>
      </w:r>
      <w:r>
        <w:rPr>
          <w:rFonts w:hint="eastAsia" w:ascii="黑体" w:hAnsi="宋体" w:eastAsia="黑体"/>
          <w:bCs/>
          <w:sz w:val="24"/>
        </w:rPr>
        <w:t>标准中涉及专利的情况</w:t>
      </w:r>
    </w:p>
    <w:p>
      <w:pPr>
        <w:spacing w:before="156" w:beforeLines="50" w:after="156" w:afterLines="50" w:line="312" w:lineRule="auto"/>
        <w:ind w:firstLine="420" w:firstLineChars="200"/>
      </w:pPr>
      <w:r>
        <w:rPr>
          <w:rFonts w:hint="eastAsia" w:hAnsi="宋体"/>
        </w:rPr>
        <w:t>本标准不涉及专利和知识产权问题。</w:t>
      </w:r>
    </w:p>
    <w:p>
      <w:pPr>
        <w:spacing w:before="156" w:beforeLines="50" w:after="156" w:afterLines="50" w:line="312" w:lineRule="auto"/>
        <w:rPr>
          <w:rFonts w:ascii="黑体" w:hAnsi="宋体" w:eastAsia="黑体"/>
          <w:bCs/>
          <w:sz w:val="24"/>
        </w:rPr>
      </w:pPr>
      <w:r>
        <w:rPr>
          <w:rFonts w:hint="eastAsia" w:ascii="黑体" w:hAnsi="宋体" w:eastAsia="黑体"/>
          <w:bCs/>
          <w:sz w:val="24"/>
        </w:rPr>
        <w:t>五</w:t>
      </w:r>
      <w:r>
        <w:rPr>
          <w:rFonts w:ascii="黑体" w:hAnsi="宋体" w:eastAsia="黑体"/>
          <w:bCs/>
          <w:sz w:val="24"/>
        </w:rPr>
        <w:t>、</w:t>
      </w:r>
      <w:r>
        <w:rPr>
          <w:rFonts w:hint="eastAsia" w:ascii="黑体" w:hAnsi="宋体" w:eastAsia="黑体"/>
          <w:bCs/>
          <w:sz w:val="24"/>
        </w:rPr>
        <w:t>预期达到的社会效益</w:t>
      </w:r>
    </w:p>
    <w:p>
      <w:pPr>
        <w:spacing w:before="156" w:beforeLines="50" w:after="156" w:afterLines="50" w:line="312" w:lineRule="auto"/>
        <w:rPr>
          <w:rFonts w:ascii="黑体" w:hAnsi="宋体" w:eastAsia="黑体"/>
          <w:bCs/>
          <w:sz w:val="24"/>
        </w:rPr>
      </w:pPr>
      <w:r>
        <w:rPr>
          <w:rFonts w:hint="eastAsia" w:ascii="黑体" w:hAnsi="宋体" w:eastAsia="黑体"/>
          <w:bCs/>
          <w:sz w:val="24"/>
        </w:rPr>
        <w:t>（一）项目的必要性</w:t>
      </w:r>
    </w:p>
    <w:p>
      <w:pPr>
        <w:pStyle w:val="136"/>
        <w:spacing w:line="300" w:lineRule="auto"/>
      </w:pPr>
      <w:r>
        <w:rPr>
          <w:rFonts w:hint="eastAsia"/>
        </w:rPr>
        <w:t>氧化锆为白色粉末，导热系数、热膨胀系数、摩擦系数低，化学稳定性高，抗蚀性能优良，大量用于制造耐火材料、研磨材料、陶瓷颜料和锆酸盐等。同时，二氧化锆具有高温氧离子导电性，在汽车工业中使用最多的就是氧化锆式氧传感器。高性能</w:t>
      </w:r>
      <w:r>
        <w:t>Y</w:t>
      </w:r>
      <w:r>
        <w:rPr>
          <w:vertAlign w:val="subscript"/>
        </w:rPr>
        <w:t>2</w:t>
      </w:r>
      <w:r>
        <w:t>O</w:t>
      </w:r>
      <w:r>
        <w:rPr>
          <w:vertAlign w:val="subscript"/>
        </w:rPr>
        <w:t>3</w:t>
      </w:r>
      <w:r>
        <w:rPr>
          <w:rFonts w:hint="eastAsia"/>
        </w:rPr>
        <w:t>等稳定剂稳定的氧化锆热障陶瓷涂层材料，主要应用于高性能涡轮航空发动机。氧化锆已进入《战略性新兴产业分类（</w:t>
      </w:r>
      <w:r>
        <w:t>2018</w:t>
      </w:r>
      <w:r>
        <w:rPr>
          <w:rFonts w:hint="eastAsia"/>
        </w:rPr>
        <w:t>）》的分类表（代码</w:t>
      </w:r>
      <w:r>
        <w:t>3.2.9.1</w:t>
      </w:r>
      <w:r>
        <w:rPr>
          <w:rFonts w:hint="eastAsia"/>
        </w:rPr>
        <w:t>），建立材料的评价体系对于提升产品质量、指导产品应用具有重要的意义。</w:t>
      </w:r>
    </w:p>
    <w:p>
      <w:pPr>
        <w:spacing w:line="312" w:lineRule="auto"/>
        <w:ind w:firstLine="420"/>
      </w:pPr>
      <w:r>
        <w:rPr>
          <w:rFonts w:hint="eastAsia"/>
        </w:rPr>
        <w:t>氧化锆产品的主要检测依据为</w:t>
      </w:r>
      <w:r>
        <w:t>YS/T 568</w:t>
      </w:r>
      <w:r>
        <w:rPr>
          <w:rFonts w:hint="eastAsia"/>
        </w:rPr>
        <w:t>《</w:t>
      </w:r>
      <w:r>
        <w:t> </w:t>
      </w:r>
      <w:r>
        <w:rPr>
          <w:rFonts w:hint="eastAsia"/>
        </w:rPr>
        <w:t>氧化锆、氧化铪化学分析方法》，该方法系列共已经推出</w:t>
      </w:r>
      <w:r>
        <w:t>11</w:t>
      </w:r>
      <w:r>
        <w:rPr>
          <w:rFonts w:hint="eastAsia"/>
        </w:rPr>
        <w:t>部分，主要包括铁、硅、铝、钠、钛、磷的分光光度法以及</w:t>
      </w:r>
      <w:r>
        <w:t>ICP-AES</w:t>
      </w:r>
      <w:r>
        <w:rPr>
          <w:rFonts w:hint="eastAsia"/>
        </w:rPr>
        <w:t>测定氧化锆中铝、钙、镁、锰、钠、镍、铁、钛、锌、钼、钒、铪量。上述方法杂质元素的检出限较高，不能满足高纯度氧化锆产品测定的需要。另一方面，二氧化锆产品标准</w:t>
      </w:r>
      <w:r>
        <w:t>YS/T 402-1994</w:t>
      </w:r>
      <w:r>
        <w:rPr>
          <w:rFonts w:hint="eastAsia"/>
        </w:rPr>
        <w:t>在修订为</w:t>
      </w:r>
      <w:r>
        <w:t>YS/T 402-2016</w:t>
      </w:r>
      <w:r>
        <w:rPr>
          <w:rFonts w:hint="eastAsia"/>
        </w:rPr>
        <w:t>《二氧化锆》时增加了</w:t>
      </w:r>
      <w:r>
        <w:t>B</w:t>
      </w:r>
      <w:r>
        <w:rPr>
          <w:rFonts w:hint="eastAsia"/>
        </w:rPr>
        <w:t>、</w:t>
      </w:r>
      <w:r>
        <w:t>Cd</w:t>
      </w:r>
      <w:r>
        <w:rPr>
          <w:rFonts w:hint="eastAsia"/>
        </w:rPr>
        <w:t>、</w:t>
      </w:r>
      <w:r>
        <w:t>Co</w:t>
      </w:r>
      <w:r>
        <w:rPr>
          <w:rFonts w:hint="eastAsia"/>
        </w:rPr>
        <w:t>的要求，要求：</w:t>
      </w:r>
      <w:r>
        <w:t>B</w:t>
      </w:r>
      <w:r>
        <w:rPr>
          <w:rFonts w:hint="eastAsia"/>
        </w:rPr>
        <w:t>≤</w:t>
      </w:r>
      <w:r>
        <w:t>0.001%</w:t>
      </w:r>
      <w:r>
        <w:rPr>
          <w:rFonts w:hint="eastAsia"/>
        </w:rPr>
        <w:t>；</w:t>
      </w:r>
      <w:r>
        <w:t xml:space="preserve"> Cd</w:t>
      </w:r>
      <w:r>
        <w:rPr>
          <w:rFonts w:hint="eastAsia"/>
        </w:rPr>
        <w:t>≤</w:t>
      </w:r>
      <w:r>
        <w:t>0.001%</w:t>
      </w:r>
      <w:r>
        <w:rPr>
          <w:rFonts w:hint="eastAsia"/>
        </w:rPr>
        <w:t>；</w:t>
      </w:r>
      <w:r>
        <w:t>Co</w:t>
      </w:r>
      <w:r>
        <w:rPr>
          <w:rFonts w:hint="eastAsia"/>
        </w:rPr>
        <w:t>≤</w:t>
      </w:r>
      <w:r>
        <w:t>0.01%</w:t>
      </w:r>
      <w:r>
        <w:rPr>
          <w:rFonts w:hint="eastAsia"/>
        </w:rPr>
        <w:t>；但目前尚无相应的方法标准支持。因此，建立</w:t>
      </w:r>
      <w:r>
        <w:t>YS/T 568.12</w:t>
      </w:r>
      <w:r>
        <w:rPr>
          <w:rFonts w:hint="eastAsia"/>
        </w:rPr>
        <w:t>《氧化锆、氧化铪化学分析方法</w:t>
      </w:r>
      <w:r>
        <w:t xml:space="preserve">  </w:t>
      </w:r>
      <w:r>
        <w:rPr>
          <w:rFonts w:hint="eastAsia"/>
        </w:rPr>
        <w:t>氧化锆中硼、钠、镁、铝、硅、钙、钛、钒、铬、锰、铁、钴、镍、铜、锌、钼、镉、铪、铅、铋含量的测定</w:t>
      </w:r>
      <w:r>
        <w:t xml:space="preserve">  </w:t>
      </w:r>
      <w:r>
        <w:rPr>
          <w:rFonts w:hint="eastAsia"/>
        </w:rPr>
        <w:t>电感耦合等离子体质谱法》具有重要意义。</w:t>
      </w:r>
    </w:p>
    <w:p>
      <w:pPr>
        <w:spacing w:before="156" w:beforeLines="50" w:after="156" w:afterLines="50" w:line="312" w:lineRule="auto"/>
        <w:rPr>
          <w:rFonts w:ascii="黑体" w:hAnsi="宋体" w:eastAsia="黑体"/>
          <w:bCs/>
          <w:sz w:val="24"/>
        </w:rPr>
      </w:pPr>
      <w:r>
        <w:rPr>
          <w:rFonts w:hint="eastAsia" w:ascii="黑体" w:hAnsi="宋体" w:eastAsia="黑体"/>
          <w:bCs/>
          <w:sz w:val="24"/>
        </w:rPr>
        <w:t>（二）项目的可行性</w:t>
      </w:r>
    </w:p>
    <w:p>
      <w:pPr>
        <w:spacing w:line="312" w:lineRule="auto"/>
        <w:ind w:firstLine="420"/>
      </w:pPr>
      <w:r>
        <w:rPr>
          <w:rFonts w:hint="eastAsia"/>
        </w:rPr>
        <w:t>随着科学技术的进步，电感耦合等离子体质谱法（ICP-MS）在分析检测行业占有举足轻重的地位。方法</w:t>
      </w:r>
      <w:r>
        <w:t>多元素同时检测</w:t>
      </w:r>
      <w:r>
        <w:rPr>
          <w:rFonts w:hint="eastAsia"/>
        </w:rPr>
        <w:t>，</w:t>
      </w:r>
      <w:r>
        <w:t>能够大大缩短检测时间</w:t>
      </w:r>
      <w:r>
        <w:rPr>
          <w:rFonts w:hint="eastAsia"/>
        </w:rPr>
        <w:t>，</w:t>
      </w:r>
      <w:r>
        <w:t>节省人力、物力；</w:t>
      </w:r>
      <w:r>
        <w:rPr>
          <w:rFonts w:hint="eastAsia"/>
        </w:rPr>
        <w:t>方法</w:t>
      </w:r>
      <w:r>
        <w:t>能够</w:t>
      </w:r>
      <w:r>
        <w:rPr>
          <w:rFonts w:hint="eastAsia"/>
        </w:rPr>
        <w:t>提供</w:t>
      </w:r>
      <w:r>
        <w:t>更低的检出限</w:t>
      </w:r>
      <w:r>
        <w:rPr>
          <w:rFonts w:hint="eastAsia"/>
        </w:rPr>
        <w:t>，适用于</w:t>
      </w:r>
      <w:r>
        <w:t>痕量杂质</w:t>
      </w:r>
      <w:r>
        <w:rPr>
          <w:rFonts w:hint="eastAsia"/>
        </w:rPr>
        <w:t>元素</w:t>
      </w:r>
      <w:r>
        <w:t>的定量分析</w:t>
      </w:r>
      <w:r>
        <w:rPr>
          <w:rFonts w:hint="eastAsia"/>
        </w:rPr>
        <w:t>其结果</w:t>
      </w:r>
      <w:r>
        <w:t>更加准确。</w:t>
      </w:r>
    </w:p>
    <w:p>
      <w:pPr>
        <w:spacing w:line="312" w:lineRule="auto"/>
        <w:ind w:firstLine="420"/>
      </w:pPr>
      <w:r>
        <w:rPr>
          <w:rFonts w:hint="eastAsia"/>
        </w:rPr>
        <w:t>采用</w:t>
      </w:r>
      <w:r>
        <w:t>ICP-MS</w:t>
      </w:r>
      <w:r>
        <w:rPr>
          <w:rFonts w:hint="eastAsia"/>
        </w:rPr>
        <w:t>测定</w:t>
      </w:r>
      <w:r>
        <w:t>高纯金属或氧化物中痕量金属杂质</w:t>
      </w:r>
      <w:r>
        <w:rPr>
          <w:rFonts w:hint="eastAsia"/>
        </w:rPr>
        <w:t>在</w:t>
      </w:r>
      <w:r>
        <w:t>技术上</w:t>
      </w:r>
      <w:r>
        <w:rPr>
          <w:rFonts w:hint="eastAsia"/>
        </w:rPr>
        <w:t>是</w:t>
      </w:r>
      <w:r>
        <w:t>可行的</w:t>
      </w:r>
      <w:r>
        <w:rPr>
          <w:rFonts w:hint="eastAsia"/>
        </w:rPr>
        <w:t>，</w:t>
      </w:r>
      <w:r>
        <w:t>可检索到相关标准。例如</w:t>
      </w:r>
      <w:r>
        <w:rPr>
          <w:rFonts w:hint="eastAsia"/>
        </w:rPr>
        <w:t>， YS</w:t>
      </w:r>
      <w:r>
        <w:t>/</w:t>
      </w:r>
      <w:r>
        <w:rPr>
          <w:rFonts w:hint="eastAsia"/>
        </w:rPr>
        <w:t>T 902-2013《高纯铼及铼酸铵化学分析方法》、</w:t>
      </w:r>
      <w:r>
        <w:t>GB/T 32650-2016</w:t>
      </w:r>
      <w:r>
        <w:rPr>
          <w:rFonts w:hint="eastAsia"/>
        </w:rPr>
        <w:t>《</w:t>
      </w:r>
      <w:r>
        <w:t>电感耦合等离子质谱法检测石英砂中痕量元素</w:t>
      </w:r>
      <w:r>
        <w:rPr>
          <w:rFonts w:hint="eastAsia"/>
        </w:rPr>
        <w:t>》、</w:t>
      </w:r>
      <w:r>
        <w:t>GB/T 39145-2020</w:t>
      </w:r>
      <w:r>
        <w:rPr>
          <w:rFonts w:hint="eastAsia"/>
        </w:rPr>
        <w:t>《</w:t>
      </w:r>
      <w:r>
        <w:t>硅片表面金属元素含量的测定 电感耦合等离子体质谱法</w:t>
      </w:r>
      <w:r>
        <w:rPr>
          <w:rFonts w:hint="eastAsia"/>
        </w:rPr>
        <w:t>》等。</w:t>
      </w:r>
    </w:p>
    <w:p>
      <w:pPr>
        <w:spacing w:line="312" w:lineRule="auto"/>
        <w:ind w:firstLine="420"/>
        <w:rPr>
          <w:highlight w:val="yellow"/>
        </w:rPr>
      </w:pPr>
      <w:r>
        <w:t>随着技术的进步</w:t>
      </w:r>
      <w:r>
        <w:rPr>
          <w:rFonts w:hint="eastAsia"/>
        </w:rPr>
        <w:t>，国标（北京）检验认证有限公司已将</w:t>
      </w:r>
      <w:r>
        <w:t>ICP-MS应用于</w:t>
      </w:r>
      <w:r>
        <w:rPr>
          <w:rFonts w:hint="eastAsia"/>
        </w:rPr>
        <w:t>氧化锆中</w:t>
      </w:r>
      <w:r>
        <w:t>痕量杂质元素的测定</w:t>
      </w:r>
      <w:r>
        <w:rPr>
          <w:rFonts w:hint="eastAsia"/>
        </w:rPr>
        <w:t>，</w:t>
      </w:r>
      <w:r>
        <w:t>由于没有</w:t>
      </w:r>
      <w:r>
        <w:rPr>
          <w:rFonts w:hint="eastAsia"/>
        </w:rPr>
        <w:t>相关</w:t>
      </w:r>
      <w:r>
        <w:t>的国家标准或行业标准而局限于企业内部使用。</w:t>
      </w:r>
      <w:r>
        <w:rPr>
          <w:rFonts w:hint="eastAsia"/>
        </w:rPr>
        <w:t>本项目</w:t>
      </w:r>
      <w:r>
        <w:t>将</w:t>
      </w:r>
      <w:r>
        <w:rPr>
          <w:rFonts w:hint="eastAsia"/>
        </w:rPr>
        <w:t>完成</w:t>
      </w:r>
      <w:r>
        <w:t>方法的标准化，同时</w:t>
      </w:r>
      <w:r>
        <w:rPr>
          <w:rFonts w:hint="eastAsia"/>
        </w:rPr>
        <w:t>通过方法</w:t>
      </w:r>
      <w:r>
        <w:t>比对、</w:t>
      </w:r>
      <w:r>
        <w:rPr>
          <w:rFonts w:hint="eastAsia"/>
        </w:rPr>
        <w:t>多家</w:t>
      </w:r>
      <w:r>
        <w:t>验证单位进行验证试验等</w:t>
      </w:r>
      <w:r>
        <w:rPr>
          <w:rFonts w:hint="eastAsia"/>
        </w:rPr>
        <w:t>充分验证方法</w:t>
      </w:r>
      <w:r>
        <w:t>的可靠性，</w:t>
      </w:r>
      <w:r>
        <w:rPr>
          <w:rFonts w:hint="eastAsia"/>
        </w:rPr>
        <w:t>也</w:t>
      </w:r>
      <w:r>
        <w:t>为方法日后推广打下基础。</w:t>
      </w:r>
    </w:p>
    <w:p>
      <w:pPr>
        <w:spacing w:before="156" w:beforeLines="50" w:after="156" w:afterLines="50" w:line="312" w:lineRule="auto"/>
        <w:rPr>
          <w:rFonts w:ascii="黑体" w:hAnsi="宋体" w:eastAsia="黑体"/>
          <w:bCs/>
          <w:sz w:val="24"/>
        </w:rPr>
      </w:pPr>
      <w:r>
        <w:rPr>
          <w:rFonts w:hint="eastAsia" w:ascii="黑体" w:hAnsi="宋体" w:eastAsia="黑体"/>
          <w:bCs/>
          <w:sz w:val="24"/>
        </w:rPr>
        <w:t>（三）标准预期的</w:t>
      </w:r>
      <w:r>
        <w:rPr>
          <w:rFonts w:ascii="黑体" w:hAnsi="宋体" w:eastAsia="黑体"/>
          <w:bCs/>
          <w:sz w:val="24"/>
        </w:rPr>
        <w:t>作用和</w:t>
      </w:r>
      <w:r>
        <w:rPr>
          <w:rFonts w:hint="eastAsia" w:ascii="黑体" w:hAnsi="宋体" w:eastAsia="黑体"/>
          <w:bCs/>
          <w:sz w:val="24"/>
        </w:rPr>
        <w:t>效益</w:t>
      </w:r>
    </w:p>
    <w:p>
      <w:pPr>
        <w:spacing w:line="312" w:lineRule="auto"/>
        <w:ind w:firstLine="420"/>
        <w:rPr>
          <w:szCs w:val="22"/>
        </w:rPr>
      </w:pPr>
      <w:r>
        <w:rPr>
          <w:rFonts w:hint="eastAsia"/>
          <w:szCs w:val="22"/>
        </w:rPr>
        <w:t>20世纪20年代</w:t>
      </w:r>
      <w:r>
        <w:rPr>
          <w:rFonts w:hint="eastAsia" w:eastAsiaTheme="minorEastAsia"/>
          <w:szCs w:val="22"/>
        </w:rPr>
        <w:t>氧化锆</w:t>
      </w:r>
      <w:r>
        <w:rPr>
          <w:rFonts w:hint="eastAsia"/>
          <w:szCs w:val="22"/>
        </w:rPr>
        <w:t>即被用于耐火材料领域，直到上世纪70年代中期以来，欧美日先进国家竞相投入巨资研发氧化锆生产技术和氧化锆系列产品，进一步将氧化锆的应用推广到结构材料和功能材料，同时氧化锆也是国家产业政策中鼓励重点发展的高性能材料之一。我国历来对发展新型陶瓷材料高度重视，并取得了许多重大成果。目前杭州万景新材料有限公司、有研科技集团有限公司等已经能够生产高纯氧化锆超细粉体，并出口海外。今后氧化锆将朝着超细、高纯方面发展，产品制造方面将朝着新功能、新领域方向发展，不断扩大其应用领域。</w:t>
      </w:r>
    </w:p>
    <w:p>
      <w:pPr>
        <w:spacing w:line="312" w:lineRule="auto"/>
        <w:ind w:firstLine="420"/>
        <w:rPr>
          <w:kern w:val="0"/>
          <w:szCs w:val="20"/>
        </w:rPr>
      </w:pPr>
      <w:r>
        <w:rPr>
          <w:rFonts w:hint="eastAsia" w:hAnsi="宋体"/>
        </w:rPr>
        <w:t>根据</w:t>
      </w:r>
      <w:r>
        <w:t>YS/T 402-2016</w:t>
      </w:r>
      <w:r>
        <w:rPr>
          <w:rFonts w:hint="eastAsia"/>
        </w:rPr>
        <w:t>《二氧化锆》</w:t>
      </w:r>
      <w:r>
        <w:rPr>
          <w:rFonts w:hAnsi="宋体"/>
        </w:rPr>
        <w:t>产品标准</w:t>
      </w:r>
      <w:r>
        <w:rPr>
          <w:rFonts w:hint="eastAsia" w:hAnsi="宋体"/>
        </w:rPr>
        <w:t>要求</w:t>
      </w:r>
      <w:r>
        <w:rPr>
          <w:rFonts w:hAnsi="宋体"/>
        </w:rPr>
        <w:t>，</w:t>
      </w:r>
      <w:r>
        <w:rPr>
          <w:rFonts w:hint="eastAsia" w:hAnsi="宋体"/>
        </w:rPr>
        <w:t>杂质</w:t>
      </w:r>
      <w:r>
        <w:rPr>
          <w:rFonts w:hAnsi="宋体"/>
        </w:rPr>
        <w:t>元素含量是确定</w:t>
      </w:r>
      <w:r>
        <w:rPr>
          <w:rFonts w:hint="eastAsia" w:hAnsi="宋体"/>
        </w:rPr>
        <w:t>氧化锆产品</w:t>
      </w:r>
      <w:r>
        <w:rPr>
          <w:rFonts w:hAnsi="宋体"/>
        </w:rPr>
        <w:t>牌号、</w:t>
      </w:r>
      <w:r>
        <w:rPr>
          <w:rFonts w:hint="eastAsia" w:hAnsi="宋体"/>
        </w:rPr>
        <w:t>等级</w:t>
      </w:r>
      <w:r>
        <w:rPr>
          <w:rFonts w:hAnsi="宋体"/>
        </w:rPr>
        <w:t>的重要参数之一</w:t>
      </w:r>
      <w:r>
        <w:rPr>
          <w:rFonts w:hint="eastAsia" w:hAnsi="宋体"/>
        </w:rPr>
        <w:t>。</w:t>
      </w:r>
      <w:r>
        <w:rPr>
          <w:kern w:val="0"/>
          <w:szCs w:val="20"/>
        </w:rPr>
        <w:t>本标准</w:t>
      </w:r>
      <w:r>
        <w:rPr>
          <w:rFonts w:hint="eastAsia"/>
          <w:kern w:val="0"/>
          <w:szCs w:val="20"/>
        </w:rPr>
        <w:t>属于分析</w:t>
      </w:r>
      <w:r>
        <w:rPr>
          <w:kern w:val="0"/>
          <w:szCs w:val="20"/>
        </w:rPr>
        <w:t>方法标准，服务于产品标准，</w:t>
      </w:r>
      <w:r>
        <w:rPr>
          <w:rFonts w:hint="eastAsia"/>
          <w:kern w:val="0"/>
          <w:szCs w:val="20"/>
        </w:rPr>
        <w:t>能够满足</w:t>
      </w:r>
      <w:r>
        <w:rPr>
          <w:kern w:val="0"/>
          <w:szCs w:val="20"/>
        </w:rPr>
        <w:t>氧化锆尤其</w:t>
      </w:r>
      <w:r>
        <w:rPr>
          <w:rFonts w:hint="eastAsia"/>
          <w:kern w:val="0"/>
          <w:szCs w:val="20"/>
        </w:rPr>
        <w:t>较高纯度</w:t>
      </w:r>
      <w:r>
        <w:rPr>
          <w:kern w:val="0"/>
          <w:szCs w:val="20"/>
        </w:rPr>
        <w:t>氧化锆</w:t>
      </w:r>
      <w:r>
        <w:rPr>
          <w:rFonts w:hint="eastAsia"/>
          <w:kern w:val="0"/>
          <w:szCs w:val="20"/>
        </w:rPr>
        <w:t>的检测</w:t>
      </w:r>
      <w:r>
        <w:rPr>
          <w:kern w:val="0"/>
          <w:szCs w:val="20"/>
        </w:rPr>
        <w:t>需求</w:t>
      </w:r>
      <w:r>
        <w:rPr>
          <w:rFonts w:hint="eastAsia"/>
          <w:kern w:val="0"/>
          <w:szCs w:val="20"/>
        </w:rPr>
        <w:t>。</w:t>
      </w:r>
      <w:r>
        <w:rPr>
          <w:kern w:val="0"/>
          <w:szCs w:val="20"/>
        </w:rPr>
        <w:t>本部分是对YS/T 568《</w:t>
      </w:r>
      <w:r>
        <w:rPr>
          <w:szCs w:val="20"/>
        </w:rPr>
        <w:t>氧化锆、氧化铪化学分析方法</w:t>
      </w:r>
      <w:r>
        <w:rPr>
          <w:kern w:val="0"/>
          <w:szCs w:val="20"/>
        </w:rPr>
        <w:t>》</w:t>
      </w:r>
      <w:r>
        <w:rPr>
          <w:rFonts w:hint="eastAsia"/>
          <w:kern w:val="0"/>
          <w:szCs w:val="20"/>
        </w:rPr>
        <w:t>系列</w:t>
      </w:r>
      <w:r>
        <w:rPr>
          <w:kern w:val="0"/>
          <w:szCs w:val="20"/>
        </w:rPr>
        <w:t>的补充完善，</w:t>
      </w:r>
      <w:r>
        <w:rPr>
          <w:rFonts w:hint="eastAsia"/>
          <w:kern w:val="0"/>
          <w:szCs w:val="20"/>
        </w:rPr>
        <w:t>增加了</w:t>
      </w:r>
      <w:r>
        <w:rPr>
          <w:kern w:val="0"/>
          <w:szCs w:val="20"/>
        </w:rPr>
        <w:t>元素种类，扩大了检测范围，</w:t>
      </w:r>
      <w:r>
        <w:rPr>
          <w:rFonts w:hint="eastAsia"/>
          <w:kern w:val="0"/>
          <w:szCs w:val="20"/>
        </w:rPr>
        <w:t>提高</w:t>
      </w:r>
      <w:r>
        <w:rPr>
          <w:kern w:val="0"/>
          <w:szCs w:val="20"/>
        </w:rPr>
        <w:t>了其适用性。</w:t>
      </w:r>
    </w:p>
    <w:p>
      <w:pPr>
        <w:autoSpaceDE w:val="0"/>
        <w:autoSpaceDN w:val="0"/>
        <w:adjustRightInd w:val="0"/>
        <w:spacing w:line="360" w:lineRule="auto"/>
        <w:ind w:firstLine="420"/>
        <w:rPr>
          <w:szCs w:val="21"/>
        </w:rPr>
      </w:pPr>
      <w:r>
        <w:rPr>
          <w:rFonts w:hint="eastAsia" w:eastAsiaTheme="minorEastAsia"/>
          <w:szCs w:val="22"/>
        </w:rPr>
        <w:t>氧化锆产业的快速发展离不开分析技术的支持，</w:t>
      </w:r>
      <w:r>
        <w:rPr>
          <w:rFonts w:hint="eastAsia"/>
        </w:rPr>
        <w:t>高纯氧化锆分析</w:t>
      </w:r>
      <w:r>
        <w:t>检测标准的制定</w:t>
      </w:r>
      <w:r>
        <w:rPr>
          <w:rFonts w:hint="eastAsia"/>
        </w:rPr>
        <w:t>将带动</w:t>
      </w:r>
      <w:r>
        <w:t>产品质量提升</w:t>
      </w:r>
      <w:r>
        <w:rPr>
          <w:rFonts w:hint="eastAsia"/>
        </w:rPr>
        <w:t>，</w:t>
      </w:r>
      <w:r>
        <w:rPr>
          <w:rFonts w:hint="eastAsia"/>
          <w:szCs w:val="21"/>
        </w:rPr>
        <w:t>更</w:t>
      </w:r>
      <w:r>
        <w:rPr>
          <w:szCs w:val="21"/>
        </w:rPr>
        <w:t>好的推动</w:t>
      </w:r>
      <w:r>
        <w:rPr>
          <w:rFonts w:hint="eastAsia"/>
          <w:szCs w:val="21"/>
        </w:rPr>
        <w:t>锆</w:t>
      </w:r>
      <w:r>
        <w:rPr>
          <w:szCs w:val="21"/>
        </w:rPr>
        <w:t>产业的发展</w:t>
      </w:r>
      <w:r>
        <w:rPr>
          <w:rFonts w:hint="eastAsia"/>
          <w:szCs w:val="21"/>
        </w:rPr>
        <w:t>，为</w:t>
      </w:r>
      <w:r>
        <w:rPr>
          <w:szCs w:val="21"/>
        </w:rPr>
        <w:t>生产企业</w:t>
      </w:r>
      <w:r>
        <w:rPr>
          <w:rFonts w:hint="eastAsia"/>
          <w:szCs w:val="21"/>
        </w:rPr>
        <w:t>带来可观的经济效益。同时</w:t>
      </w:r>
      <w:r>
        <w:rPr>
          <w:szCs w:val="21"/>
        </w:rPr>
        <w:t>，本标准的颁布实施</w:t>
      </w:r>
      <w:r>
        <w:rPr>
          <w:rFonts w:hint="eastAsia"/>
          <w:szCs w:val="21"/>
        </w:rPr>
        <w:t>能够</w:t>
      </w:r>
      <w:r>
        <w:rPr>
          <w:szCs w:val="21"/>
        </w:rPr>
        <w:t>推动氧化锆检测的标准化，提高数据的准确度</w:t>
      </w:r>
      <w:r>
        <w:rPr>
          <w:rFonts w:hint="eastAsia"/>
          <w:szCs w:val="21"/>
        </w:rPr>
        <w:t>和</w:t>
      </w:r>
      <w:r>
        <w:rPr>
          <w:szCs w:val="21"/>
        </w:rPr>
        <w:t>一致性。</w:t>
      </w:r>
    </w:p>
    <w:p>
      <w:pPr>
        <w:spacing w:before="156" w:beforeLines="50" w:after="156" w:afterLines="50" w:line="312" w:lineRule="auto"/>
        <w:rPr>
          <w:rFonts w:ascii="黑体" w:hAnsi="宋体" w:eastAsia="黑体"/>
          <w:bCs/>
          <w:sz w:val="24"/>
        </w:rPr>
      </w:pPr>
      <w:r>
        <w:rPr>
          <w:rFonts w:hint="eastAsia" w:ascii="黑体" w:hAnsi="宋体" w:eastAsia="黑体"/>
          <w:bCs/>
          <w:sz w:val="24"/>
        </w:rPr>
        <w:t>六</w:t>
      </w:r>
      <w:r>
        <w:rPr>
          <w:rFonts w:ascii="黑体" w:hAnsi="宋体" w:eastAsia="黑体"/>
          <w:bCs/>
          <w:sz w:val="24"/>
        </w:rPr>
        <w:t>、</w:t>
      </w:r>
      <w:r>
        <w:rPr>
          <w:rFonts w:hint="eastAsia" w:ascii="黑体" w:hAnsi="宋体" w:eastAsia="黑体"/>
          <w:bCs/>
          <w:sz w:val="24"/>
        </w:rPr>
        <w:t>采用国际标准和国外先进标准的情况</w:t>
      </w:r>
    </w:p>
    <w:p>
      <w:pPr>
        <w:spacing w:before="156" w:beforeLines="50" w:after="156" w:afterLines="50" w:line="312" w:lineRule="auto"/>
        <w:ind w:firstLine="420" w:firstLineChars="200"/>
        <w:rPr>
          <w:rFonts w:ascii="黑体" w:hAnsi="宋体" w:eastAsia="黑体"/>
          <w:bCs/>
          <w:sz w:val="24"/>
        </w:rPr>
      </w:pPr>
      <w:r>
        <w:rPr>
          <w:rFonts w:hint="eastAsia"/>
        </w:rPr>
        <w:t>本文件为我国首次制定。</w:t>
      </w:r>
      <w:r>
        <w:rPr>
          <w:rFonts w:hint="eastAsia" w:hAnsi="宋体"/>
        </w:rPr>
        <w:t>经查</w:t>
      </w:r>
      <w:r>
        <w:rPr>
          <w:rFonts w:hAnsi="宋体"/>
        </w:rPr>
        <w:t>，</w:t>
      </w:r>
      <w:r>
        <w:rPr>
          <w:rFonts w:hint="eastAsia"/>
        </w:rPr>
        <w:t>本文件与国内外现行标准及制定中的标准无重复交叉情况。</w:t>
      </w:r>
      <w:r>
        <w:rPr>
          <w:rFonts w:hint="eastAsia" w:hAnsi="宋体"/>
        </w:rPr>
        <w:t>本标准</w:t>
      </w:r>
      <w:r>
        <w:rPr>
          <w:rFonts w:hAnsi="宋体"/>
        </w:rPr>
        <w:t>未</w:t>
      </w:r>
      <w:r>
        <w:rPr>
          <w:rFonts w:hint="eastAsia" w:hAnsi="宋体"/>
        </w:rPr>
        <w:t>采用（包括</w:t>
      </w:r>
      <w:r>
        <w:rPr>
          <w:rFonts w:hAnsi="宋体"/>
        </w:rPr>
        <w:t>等同采用、修改采用</w:t>
      </w:r>
      <w:r>
        <w:rPr>
          <w:rFonts w:hint="eastAsia" w:hAnsi="宋体"/>
        </w:rPr>
        <w:t>及</w:t>
      </w:r>
      <w:r>
        <w:rPr>
          <w:rFonts w:hAnsi="宋体"/>
        </w:rPr>
        <w:t>非等效采用</w:t>
      </w:r>
      <w:r>
        <w:rPr>
          <w:rFonts w:hint="eastAsia" w:hAnsi="宋体"/>
        </w:rPr>
        <w:t>）</w:t>
      </w:r>
      <w:r>
        <w:rPr>
          <w:rFonts w:hAnsi="宋体"/>
        </w:rPr>
        <w:t>国际标准或国外先进标准。</w:t>
      </w:r>
    </w:p>
    <w:p>
      <w:pPr>
        <w:spacing w:before="156" w:beforeLines="50" w:after="156" w:afterLines="50" w:line="312" w:lineRule="auto"/>
        <w:rPr>
          <w:rFonts w:ascii="黑体" w:hAnsi="宋体" w:eastAsia="黑体"/>
          <w:bCs/>
          <w:sz w:val="24"/>
        </w:rPr>
      </w:pPr>
      <w:r>
        <w:rPr>
          <w:rFonts w:hint="eastAsia" w:ascii="黑体" w:hAnsi="宋体" w:eastAsia="黑体"/>
          <w:bCs/>
          <w:sz w:val="24"/>
        </w:rPr>
        <w:t>七、与现行法律、法规、强制性国家标准及相关标准的关系</w:t>
      </w:r>
    </w:p>
    <w:p>
      <w:pPr>
        <w:spacing w:before="156" w:beforeLines="50" w:after="156" w:afterLines="50" w:line="312" w:lineRule="auto"/>
        <w:ind w:firstLine="420" w:firstLineChars="200"/>
        <w:rPr>
          <w:rFonts w:hAnsi="宋体"/>
        </w:rPr>
      </w:pPr>
      <w:r>
        <w:rPr>
          <w:rFonts w:hint="eastAsia" w:hAnsi="宋体"/>
        </w:rPr>
        <w:t>本标准属于氧化锆化学分析方法标准，领域内没有强制性国家标准。本标准与现行法律、法规和相关标准相协调、无冲突。</w:t>
      </w:r>
    </w:p>
    <w:p>
      <w:pPr>
        <w:spacing w:before="156" w:beforeLines="50" w:after="156" w:afterLines="50" w:line="312" w:lineRule="auto"/>
        <w:rPr>
          <w:rFonts w:ascii="黑体" w:hAnsi="宋体" w:eastAsia="黑体"/>
          <w:bCs/>
          <w:sz w:val="24"/>
        </w:rPr>
      </w:pPr>
      <w:r>
        <w:rPr>
          <w:rFonts w:hint="eastAsia" w:ascii="黑体" w:hAnsi="宋体" w:eastAsia="黑体"/>
          <w:bCs/>
          <w:sz w:val="24"/>
        </w:rPr>
        <w:t>八、重大分歧意见的处理和依据</w:t>
      </w:r>
    </w:p>
    <w:p>
      <w:pPr>
        <w:spacing w:before="156" w:beforeLines="50" w:after="156" w:afterLines="50" w:line="312" w:lineRule="auto"/>
        <w:ind w:firstLine="420" w:firstLineChars="200"/>
        <w:rPr>
          <w:rFonts w:hAnsi="宋体"/>
        </w:rPr>
      </w:pPr>
      <w:r>
        <w:rPr>
          <w:rFonts w:hint="eastAsia" w:hAnsi="宋体"/>
        </w:rPr>
        <w:t>无重大分歧。</w:t>
      </w:r>
    </w:p>
    <w:p>
      <w:pPr>
        <w:spacing w:before="156" w:beforeLines="50" w:after="156" w:afterLines="50" w:line="312" w:lineRule="auto"/>
        <w:rPr>
          <w:rFonts w:ascii="黑体" w:hAnsi="宋体" w:eastAsia="黑体"/>
          <w:bCs/>
          <w:sz w:val="24"/>
        </w:rPr>
      </w:pPr>
      <w:r>
        <w:rPr>
          <w:rFonts w:hint="eastAsia" w:ascii="黑体" w:hAnsi="宋体" w:eastAsia="黑体"/>
          <w:bCs/>
          <w:sz w:val="24"/>
        </w:rPr>
        <w:t>九、标准作为强制性或推荐性国家（或行业）标准的建议</w:t>
      </w:r>
    </w:p>
    <w:p>
      <w:pPr>
        <w:pStyle w:val="121"/>
        <w:tabs>
          <w:tab w:val="center" w:pos="4201"/>
          <w:tab w:val="right" w:leader="dot" w:pos="9298"/>
        </w:tabs>
        <w:spacing w:line="312" w:lineRule="auto"/>
        <w:ind w:firstLine="420"/>
      </w:pPr>
      <w:r>
        <w:rPr>
          <w:rFonts w:hint="eastAsia"/>
        </w:rPr>
        <w:t>建议本标准为</w:t>
      </w:r>
      <w:r>
        <w:t>推荐</w:t>
      </w:r>
      <w:r>
        <w:rPr>
          <w:rFonts w:hint="eastAsia"/>
        </w:rPr>
        <w:t>性行业</w:t>
      </w:r>
      <w:r>
        <w:t>标准</w:t>
      </w:r>
      <w:r>
        <w:rPr>
          <w:rFonts w:hint="eastAsia"/>
        </w:rPr>
        <w:t>。</w:t>
      </w:r>
    </w:p>
    <w:p>
      <w:pPr>
        <w:spacing w:before="156" w:beforeLines="50" w:after="156" w:afterLines="50" w:line="312" w:lineRule="auto"/>
        <w:rPr>
          <w:rFonts w:ascii="黑体" w:hAnsi="宋体" w:eastAsia="黑体"/>
          <w:bCs/>
          <w:sz w:val="24"/>
        </w:rPr>
      </w:pPr>
      <w:r>
        <w:rPr>
          <w:rFonts w:hint="eastAsia" w:ascii="黑体" w:hAnsi="宋体" w:eastAsia="黑体"/>
          <w:bCs/>
          <w:sz w:val="24"/>
        </w:rPr>
        <w:t>十、贯彻标准的要求和措施建议</w:t>
      </w:r>
    </w:p>
    <w:p>
      <w:pPr>
        <w:spacing w:line="312" w:lineRule="auto"/>
        <w:ind w:firstLine="420" w:firstLineChars="200"/>
        <w:rPr>
          <w:rFonts w:ascii="黑体" w:eastAsia="黑体"/>
          <w:sz w:val="24"/>
        </w:rPr>
      </w:pPr>
      <w:r>
        <w:rPr>
          <w:rFonts w:hint="eastAsia"/>
          <w:kern w:val="0"/>
          <w:szCs w:val="20"/>
        </w:rPr>
        <w:t>本标准涉及氧化锆中微痕量杂质元素的同时测定，采用的设备为电感耦合等离子体质谱仪。该设备目前在各高校院所、企事业单位均具有较高的市场占有率</w:t>
      </w:r>
      <w:r>
        <w:rPr>
          <w:rFonts w:hint="eastAsia" w:ascii="宋体" w:hAnsi="宋体"/>
          <w:kern w:val="0"/>
          <w:szCs w:val="20"/>
        </w:rPr>
        <w:t>。建议氧化锆产品的生产单位及各大检测机构积极组织本标准的学习与宣贯，并向企业、公司和科研院校（所）推荐本标准。标准</w:t>
      </w:r>
      <w:r>
        <w:rPr>
          <w:rFonts w:ascii="宋体" w:hAnsi="宋体"/>
          <w:kern w:val="0"/>
          <w:szCs w:val="20"/>
        </w:rPr>
        <w:t>使用过程中出现疑问，标准的起草单位</w:t>
      </w:r>
      <w:r>
        <w:rPr>
          <w:rFonts w:hint="eastAsia" w:ascii="宋体" w:hAnsi="宋体"/>
          <w:kern w:val="0"/>
          <w:szCs w:val="20"/>
        </w:rPr>
        <w:t>有</w:t>
      </w:r>
      <w:r>
        <w:rPr>
          <w:rFonts w:ascii="宋体" w:hAnsi="宋体"/>
          <w:kern w:val="0"/>
          <w:szCs w:val="20"/>
        </w:rPr>
        <w:t>义务进行必要的解释，可通过网络会议、讲座等形式进行标准</w:t>
      </w:r>
      <w:r>
        <w:rPr>
          <w:rFonts w:hint="eastAsia" w:ascii="宋体" w:hAnsi="宋体"/>
          <w:kern w:val="0"/>
          <w:szCs w:val="20"/>
        </w:rPr>
        <w:t>内容</w:t>
      </w:r>
      <w:r>
        <w:rPr>
          <w:rFonts w:ascii="宋体" w:hAnsi="宋体"/>
          <w:kern w:val="0"/>
          <w:szCs w:val="20"/>
        </w:rPr>
        <w:t>的讲解</w:t>
      </w:r>
      <w:r>
        <w:rPr>
          <w:rFonts w:hint="eastAsia" w:ascii="宋体" w:hAnsi="宋体"/>
          <w:kern w:val="0"/>
          <w:szCs w:val="20"/>
        </w:rPr>
        <w:t>。</w:t>
      </w:r>
      <w:r>
        <w:rPr>
          <w:rFonts w:ascii="宋体" w:hAnsi="宋体"/>
          <w:kern w:val="0"/>
          <w:szCs w:val="20"/>
        </w:rPr>
        <w:t>建议</w:t>
      </w:r>
      <w:r>
        <w:rPr>
          <w:rFonts w:hint="eastAsia" w:ascii="宋体" w:hAnsi="宋体"/>
          <w:kern w:val="0"/>
          <w:szCs w:val="20"/>
        </w:rPr>
        <w:t>标准</w:t>
      </w:r>
      <w:r>
        <w:rPr>
          <w:rFonts w:ascii="宋体" w:hAnsi="宋体"/>
          <w:kern w:val="0"/>
          <w:szCs w:val="20"/>
        </w:rPr>
        <w:t>发布</w:t>
      </w:r>
      <w:r>
        <w:rPr>
          <w:rFonts w:hint="eastAsia" w:ascii="宋体" w:hAnsi="宋体"/>
          <w:kern w:val="0"/>
          <w:szCs w:val="20"/>
        </w:rPr>
        <w:t>6个</w:t>
      </w:r>
      <w:r>
        <w:rPr>
          <w:rFonts w:ascii="宋体" w:hAnsi="宋体"/>
          <w:kern w:val="0"/>
          <w:szCs w:val="20"/>
        </w:rPr>
        <w:t>月后实施。</w:t>
      </w:r>
      <w:r>
        <w:rPr>
          <w:rFonts w:hint="eastAsia" w:ascii="宋体" w:hAnsi="宋体"/>
          <w:kern w:val="0"/>
          <w:szCs w:val="20"/>
        </w:rPr>
        <w:t>同时</w:t>
      </w:r>
      <w:r>
        <w:rPr>
          <w:rFonts w:ascii="宋体" w:hAnsi="宋体"/>
          <w:kern w:val="0"/>
          <w:szCs w:val="20"/>
        </w:rPr>
        <w:t>，</w:t>
      </w:r>
      <w:r>
        <w:rPr>
          <w:rFonts w:hint="eastAsia" w:ascii="宋体" w:hAnsi="宋体"/>
          <w:kern w:val="0"/>
          <w:szCs w:val="20"/>
        </w:rPr>
        <w:t>标准</w:t>
      </w:r>
      <w:r>
        <w:rPr>
          <w:rFonts w:ascii="宋体" w:hAnsi="宋体"/>
          <w:kern w:val="0"/>
          <w:szCs w:val="20"/>
        </w:rPr>
        <w:t>要与时俱进，标准颁布实施后</w:t>
      </w:r>
      <w:r>
        <w:rPr>
          <w:rFonts w:hint="eastAsia" w:ascii="宋体" w:hAnsi="宋体"/>
          <w:kern w:val="0"/>
          <w:szCs w:val="20"/>
        </w:rPr>
        <w:t>要</w:t>
      </w:r>
      <w:r>
        <w:rPr>
          <w:rFonts w:ascii="宋体" w:hAnsi="宋体"/>
          <w:kern w:val="0"/>
          <w:szCs w:val="20"/>
        </w:rPr>
        <w:t>定期进行复审，必要时启动修订程序。</w:t>
      </w:r>
    </w:p>
    <w:p>
      <w:pPr>
        <w:spacing w:before="156" w:beforeLines="50" w:after="156" w:afterLines="50" w:line="312" w:lineRule="auto"/>
        <w:rPr>
          <w:rFonts w:ascii="黑体" w:hAnsi="宋体" w:eastAsia="黑体"/>
          <w:bCs/>
          <w:sz w:val="24"/>
        </w:rPr>
      </w:pPr>
      <w:r>
        <w:rPr>
          <w:rFonts w:hint="eastAsia" w:ascii="黑体" w:hAnsi="宋体" w:eastAsia="黑体"/>
          <w:bCs/>
          <w:sz w:val="24"/>
        </w:rPr>
        <w:t>十一、废止现行有关标准的建议</w:t>
      </w:r>
    </w:p>
    <w:p>
      <w:pPr>
        <w:pStyle w:val="121"/>
        <w:spacing w:line="312" w:lineRule="auto"/>
        <w:ind w:firstLine="420"/>
      </w:pPr>
      <w:r>
        <w:rPr>
          <w:rFonts w:hint="eastAsia"/>
        </w:rPr>
        <w:t>本标准为首次制定，不涉及相关标准的废止。</w:t>
      </w:r>
    </w:p>
    <w:p>
      <w:pPr>
        <w:spacing w:before="156" w:beforeLines="50" w:after="156" w:afterLines="50" w:line="312" w:lineRule="auto"/>
        <w:rPr>
          <w:rFonts w:ascii="黑体" w:hAnsi="宋体" w:eastAsia="黑体"/>
          <w:bCs/>
          <w:sz w:val="24"/>
        </w:rPr>
      </w:pPr>
      <w:r>
        <w:rPr>
          <w:rFonts w:hint="eastAsia" w:ascii="黑体" w:hAnsi="宋体" w:eastAsia="黑体"/>
          <w:bCs/>
          <w:sz w:val="24"/>
        </w:rPr>
        <w:t>十二、其它应予说明的事项</w:t>
      </w:r>
    </w:p>
    <w:p>
      <w:pPr>
        <w:spacing w:line="312" w:lineRule="auto"/>
        <w:ind w:firstLine="480" w:firstLineChars="200"/>
        <w:rPr>
          <w:rFonts w:ascii="黑体" w:eastAsia="黑体"/>
          <w:sz w:val="24"/>
        </w:rPr>
      </w:pPr>
      <w:r>
        <w:rPr>
          <w:rFonts w:hint="eastAsia" w:ascii="黑体" w:eastAsia="黑体"/>
          <w:sz w:val="24"/>
        </w:rPr>
        <w:t>无。</w:t>
      </w:r>
    </w:p>
    <w:p>
      <w:pPr>
        <w:spacing w:line="312" w:lineRule="auto"/>
        <w:ind w:firstLine="480" w:firstLineChars="200"/>
        <w:rPr>
          <w:rFonts w:ascii="黑体" w:eastAsia="黑体"/>
          <w:sz w:val="24"/>
        </w:rPr>
      </w:pPr>
    </w:p>
    <w:p>
      <w:pPr>
        <w:spacing w:line="312" w:lineRule="auto"/>
        <w:ind w:firstLine="480" w:firstLineChars="200"/>
        <w:rPr>
          <w:rFonts w:ascii="黑体" w:eastAsia="黑体"/>
          <w:sz w:val="24"/>
        </w:rPr>
      </w:pPr>
    </w:p>
    <w:p>
      <w:pPr>
        <w:spacing w:line="312" w:lineRule="auto"/>
        <w:ind w:firstLine="480" w:firstLineChars="200"/>
        <w:rPr>
          <w:rFonts w:hint="eastAsia" w:ascii="黑体" w:eastAsia="黑体"/>
          <w:sz w:val="24"/>
        </w:rPr>
      </w:pPr>
    </w:p>
    <w:p>
      <w:pPr>
        <w:spacing w:line="312" w:lineRule="auto"/>
        <w:rPr>
          <w:b/>
          <w:szCs w:val="21"/>
        </w:rPr>
      </w:pPr>
      <w:r>
        <w:rPr>
          <w:rFonts w:hint="eastAsia"/>
          <w:b/>
          <w:szCs w:val="21"/>
        </w:rPr>
        <w:t>附件</w:t>
      </w:r>
      <w:r>
        <w:rPr>
          <w:b/>
          <w:szCs w:val="21"/>
        </w:rPr>
        <w:t>A</w:t>
      </w:r>
      <w:r>
        <w:rPr>
          <w:rFonts w:hint="eastAsia"/>
          <w:b/>
          <w:szCs w:val="21"/>
        </w:rPr>
        <w:t>：</w:t>
      </w:r>
      <w:r>
        <w:rPr>
          <w:rFonts w:ascii="黑体" w:hAnsi="黑体" w:eastAsia="黑体"/>
          <w:szCs w:val="21"/>
        </w:rPr>
        <w:t>各实验室</w:t>
      </w:r>
      <w:r>
        <w:rPr>
          <w:rFonts w:hint="eastAsia" w:ascii="黑体" w:hAnsi="黑体" w:eastAsia="黑体"/>
          <w:szCs w:val="21"/>
        </w:rPr>
        <w:t>原始</w:t>
      </w:r>
      <w:r>
        <w:rPr>
          <w:rFonts w:ascii="黑体" w:hAnsi="黑体" w:eastAsia="黑体"/>
          <w:szCs w:val="21"/>
        </w:rPr>
        <w:t>数据</w:t>
      </w:r>
    </w:p>
    <w:p>
      <w:pPr>
        <w:spacing w:line="312" w:lineRule="auto"/>
        <w:jc w:val="center"/>
        <w:rPr>
          <w:szCs w:val="21"/>
        </w:rPr>
      </w:pPr>
    </w:p>
    <w:tbl>
      <w:tblPr>
        <w:tblStyle w:val="88"/>
        <w:tblW w:w="9720" w:type="dxa"/>
        <w:tblInd w:w="0"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285" w:hRule="atLeast"/>
        </w:trPr>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kern w:val="0"/>
                <w:sz w:val="18"/>
                <w:szCs w:val="18"/>
              </w:rPr>
            </w:pPr>
            <w:r>
              <w:rPr>
                <w:kern w:val="0"/>
                <w:sz w:val="18"/>
                <w:szCs w:val="18"/>
              </w:rPr>
              <w:t>水平数</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kern w:val="0"/>
                <w:sz w:val="18"/>
                <w:szCs w:val="18"/>
              </w:rPr>
            </w:pPr>
            <w:r>
              <w:rPr>
                <w:kern w:val="0"/>
                <w:sz w:val="18"/>
                <w:szCs w:val="18"/>
              </w:rPr>
              <w:t>实验室</w:t>
            </w:r>
          </w:p>
        </w:tc>
        <w:tc>
          <w:tcPr>
            <w:tcW w:w="7560" w:type="dxa"/>
            <w:gridSpan w:val="7"/>
            <w:tcBorders>
              <w:top w:val="single" w:color="auto" w:sz="8" w:space="0"/>
              <w:left w:val="nil"/>
              <w:bottom w:val="single" w:color="auto" w:sz="8" w:space="0"/>
              <w:right w:val="single" w:color="000000" w:sz="8" w:space="0"/>
            </w:tcBorders>
            <w:shd w:val="clear" w:color="auto" w:fill="auto"/>
            <w:noWrap/>
            <w:vAlign w:val="center"/>
          </w:tcPr>
          <w:p>
            <w:pPr>
              <w:widowControl/>
              <w:jc w:val="center"/>
              <w:rPr>
                <w:kern w:val="0"/>
                <w:sz w:val="18"/>
                <w:szCs w:val="18"/>
              </w:rPr>
            </w:pPr>
            <w:r>
              <w:rPr>
                <w:kern w:val="0"/>
                <w:sz w:val="18"/>
                <w:szCs w:val="18"/>
              </w:rPr>
              <w:t>B 的质量分数/%，（n=7）</w:t>
            </w:r>
          </w:p>
        </w:tc>
      </w:tr>
      <w:tr>
        <w:tblPrEx>
          <w:tblCellMar>
            <w:top w:w="0" w:type="dxa"/>
            <w:left w:w="108" w:type="dxa"/>
            <w:bottom w:w="0" w:type="dxa"/>
            <w:right w:w="108" w:type="dxa"/>
          </w:tblCellMar>
        </w:tblPrEx>
        <w:trPr>
          <w:trHeight w:val="345" w:hRule="atLeast"/>
        </w:trPr>
        <w:tc>
          <w:tcPr>
            <w:tcW w:w="1080"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7</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1</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0.00073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0.00064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0.00063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0.00059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0.00067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0.00063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0.00068</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0.00061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0.00058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0.00055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0.00059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0.00054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0.00064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0.00060</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0.00067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0.00072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0.00064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0.00063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0.00070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0.00068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0.00074</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0.00072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0.00072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0.00072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0.00068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0.00060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0.00064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0.00062</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0.00078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0.00069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0.00075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0.00073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0.00065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0.00077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0.00071</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0.00059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0.00058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0.00059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0.00058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0.00076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0.00066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0.00066</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2</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0.00147</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0.00154</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0.00153</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0.00145</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0.00155</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0.00151</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3</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0.00420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0.00401</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0.00456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0.00436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0.00440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0.00422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0.00428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0.00434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0.00424</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0.00389</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0.00380</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0.00421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0.00426</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0.00387</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4</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0.00775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0.00764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0.00769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0.00806</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0.00837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0.00840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0.00850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0.00848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0.00845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0.00854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0.00853</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0.00751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0.00749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0.00771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0.00763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0.00758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0.00761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0.00752</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0.00777</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0.00765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0.00767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0.00763</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0.00797</w:t>
            </w:r>
          </w:p>
        </w:tc>
      </w:tr>
    </w:tbl>
    <w:p>
      <w:pPr>
        <w:jc w:val="center"/>
        <w:rPr>
          <w:sz w:val="18"/>
          <w:szCs w:val="18"/>
        </w:rPr>
      </w:pPr>
    </w:p>
    <w:p>
      <w:pPr>
        <w:jc w:val="center"/>
        <w:rPr>
          <w:sz w:val="18"/>
          <w:szCs w:val="18"/>
        </w:rPr>
      </w:pPr>
    </w:p>
    <w:tbl>
      <w:tblPr>
        <w:tblStyle w:val="88"/>
        <w:tblW w:w="9720" w:type="dxa"/>
        <w:tblInd w:w="0"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285" w:hRule="atLeast"/>
          <w:tblHeader/>
        </w:trPr>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kern w:val="0"/>
                <w:sz w:val="18"/>
                <w:szCs w:val="18"/>
              </w:rPr>
            </w:pPr>
            <w:r>
              <w:rPr>
                <w:kern w:val="0"/>
                <w:sz w:val="18"/>
                <w:szCs w:val="18"/>
              </w:rPr>
              <w:t>水平数</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kern w:val="0"/>
                <w:sz w:val="18"/>
                <w:szCs w:val="18"/>
              </w:rPr>
            </w:pPr>
            <w:r>
              <w:rPr>
                <w:kern w:val="0"/>
                <w:sz w:val="18"/>
                <w:szCs w:val="18"/>
              </w:rPr>
              <w:t>实验室</w:t>
            </w:r>
          </w:p>
        </w:tc>
        <w:tc>
          <w:tcPr>
            <w:tcW w:w="7560" w:type="dxa"/>
            <w:gridSpan w:val="7"/>
            <w:tcBorders>
              <w:top w:val="single" w:color="auto" w:sz="8" w:space="0"/>
              <w:left w:val="nil"/>
              <w:bottom w:val="single" w:color="auto" w:sz="8" w:space="0"/>
              <w:right w:val="single" w:color="000000" w:sz="8" w:space="0"/>
            </w:tcBorders>
            <w:shd w:val="clear" w:color="auto" w:fill="auto"/>
            <w:noWrap/>
            <w:vAlign w:val="center"/>
          </w:tcPr>
          <w:p>
            <w:pPr>
              <w:widowControl/>
              <w:jc w:val="center"/>
              <w:rPr>
                <w:kern w:val="0"/>
                <w:sz w:val="18"/>
                <w:szCs w:val="18"/>
              </w:rPr>
            </w:pPr>
            <w:r>
              <w:rPr>
                <w:kern w:val="0"/>
                <w:sz w:val="18"/>
                <w:szCs w:val="18"/>
              </w:rPr>
              <w:t>Na 的质量分数/%，（n=7）</w:t>
            </w:r>
          </w:p>
        </w:tc>
      </w:tr>
      <w:tr>
        <w:tblPrEx>
          <w:tblCellMar>
            <w:top w:w="0" w:type="dxa"/>
            <w:left w:w="108" w:type="dxa"/>
            <w:bottom w:w="0" w:type="dxa"/>
            <w:right w:w="108" w:type="dxa"/>
          </w:tblCellMar>
        </w:tblPrEx>
        <w:trPr>
          <w:trHeight w:val="345" w:hRule="atLeast"/>
          <w:tblHeader/>
        </w:trPr>
        <w:tc>
          <w:tcPr>
            <w:tcW w:w="1080"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7</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1</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0.00063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0.00058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0.00061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0.00049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0.00049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0.00054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0.00056</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0.00061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0.00061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0.00063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0.00060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0.00061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0.00064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0.00068</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0.00049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0.00045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0.00052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0.00059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0.00055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0.00046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0.00051</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0.00057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0.00058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0.00048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0.00048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0.00046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0.00050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0.00050</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0.00061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0.00055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0.00055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0.00047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0.00069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0.00049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0.00052</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0.00073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0.00076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0.00066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0.00068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0.00079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0.00078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0.00076</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2</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0.00208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0.00213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0.00210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0.00220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0.00213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0.00210</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0.00213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0.00210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0.00214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0.00208</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0.00225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0.00231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0.00228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0.00212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0.00218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0.00222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0.00219</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0.00213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0.00206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0.00210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0.00205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0.00204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0.00196</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0.00221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0.00202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0.00229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0.00207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0.00215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0.00219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0.00226</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0.00223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0.00226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0.00213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0.00236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0.00213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0.00236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0.00214</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3</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0.00461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0.00436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0.00433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0.00455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0.00425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0.00445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0.00452</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0.00432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0.00424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0.00398</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0.00431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0.00444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0.00421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0.00428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0.00437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0.00425</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0.00449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0.00451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0.00444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0.00436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0.00449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0.00439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0.00455</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0.00469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0.00423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0.00465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0.00435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0.00449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0.00459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0.00439</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0.00475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0.00486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0.00469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0.00473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0.00479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0.00478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0.00477</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4</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0.00853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0.00854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0.00863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0.00856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0.00861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0.00861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0.00864</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0.00871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0.00865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0.00879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0.00882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0.00876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0.00893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0.00875</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0.00873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0.00881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0.00873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0.00862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0.00859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0.00867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0.00871</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0.00880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0.00877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0.00883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0.00868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0.00892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0.00880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0.00894</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0.00866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0.00851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0.00873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0.00859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0.00853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0.00865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0.00856</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0.00863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0.00877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0.00866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0.00865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0.00864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0.00873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0.00886</w:t>
            </w:r>
          </w:p>
        </w:tc>
      </w:tr>
    </w:tbl>
    <w:p>
      <w:pPr>
        <w:jc w:val="center"/>
        <w:rPr>
          <w:sz w:val="18"/>
          <w:szCs w:val="18"/>
        </w:rPr>
      </w:pPr>
    </w:p>
    <w:p>
      <w:pPr>
        <w:jc w:val="center"/>
        <w:rPr>
          <w:sz w:val="18"/>
          <w:szCs w:val="18"/>
        </w:rPr>
      </w:pPr>
    </w:p>
    <w:tbl>
      <w:tblPr>
        <w:tblStyle w:val="88"/>
        <w:tblW w:w="9720" w:type="dxa"/>
        <w:tblInd w:w="0"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285" w:hRule="atLeast"/>
          <w:tblHeader/>
        </w:trPr>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kern w:val="0"/>
                <w:sz w:val="18"/>
                <w:szCs w:val="18"/>
              </w:rPr>
            </w:pPr>
            <w:r>
              <w:rPr>
                <w:kern w:val="0"/>
                <w:sz w:val="18"/>
                <w:szCs w:val="18"/>
              </w:rPr>
              <w:t>水平数</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kern w:val="0"/>
                <w:sz w:val="18"/>
                <w:szCs w:val="18"/>
              </w:rPr>
            </w:pPr>
            <w:r>
              <w:rPr>
                <w:kern w:val="0"/>
                <w:sz w:val="18"/>
                <w:szCs w:val="18"/>
              </w:rPr>
              <w:t>实验室</w:t>
            </w:r>
          </w:p>
        </w:tc>
        <w:tc>
          <w:tcPr>
            <w:tcW w:w="7560" w:type="dxa"/>
            <w:gridSpan w:val="7"/>
            <w:tcBorders>
              <w:top w:val="single" w:color="auto" w:sz="8" w:space="0"/>
              <w:left w:val="nil"/>
              <w:bottom w:val="single" w:color="auto" w:sz="8" w:space="0"/>
              <w:right w:val="single" w:color="000000" w:sz="8" w:space="0"/>
            </w:tcBorders>
            <w:shd w:val="clear" w:color="auto" w:fill="auto"/>
            <w:noWrap/>
            <w:vAlign w:val="center"/>
          </w:tcPr>
          <w:p>
            <w:pPr>
              <w:widowControl/>
              <w:jc w:val="center"/>
              <w:rPr>
                <w:kern w:val="0"/>
                <w:sz w:val="18"/>
                <w:szCs w:val="18"/>
              </w:rPr>
            </w:pPr>
            <w:r>
              <w:rPr>
                <w:kern w:val="0"/>
                <w:sz w:val="18"/>
                <w:szCs w:val="18"/>
              </w:rPr>
              <w:t>Mg  的质量分数/%，（n=7）</w:t>
            </w:r>
          </w:p>
        </w:tc>
      </w:tr>
      <w:tr>
        <w:tblPrEx>
          <w:tblCellMar>
            <w:top w:w="0" w:type="dxa"/>
            <w:left w:w="108" w:type="dxa"/>
            <w:bottom w:w="0" w:type="dxa"/>
            <w:right w:w="108" w:type="dxa"/>
          </w:tblCellMar>
        </w:tblPrEx>
        <w:trPr>
          <w:trHeight w:val="345" w:hRule="atLeast"/>
          <w:tblHeader/>
        </w:trPr>
        <w:tc>
          <w:tcPr>
            <w:tcW w:w="1080"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7</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1</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0.00015</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0.00037</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0.00016</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0.00014</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0.00012</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0.00016</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2</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0.00164</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0.00155</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0.00161</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0.00151</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0.00171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0.00170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0.00168</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0.00169</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3</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0.00422</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0.00459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0.00446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0.00436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0.00432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0.00433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0.00436</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0.00428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0.00414</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0.00383</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0.00423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0.00421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0.00413</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0.00423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0.00423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0.00419</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4</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0.00833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0.00832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0.00834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0.00819</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0.00850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0.00845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0.00861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0.00855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0.00856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0.00863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0.00854</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0.00837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0.00839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0.00846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0.00841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0.00823</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0.00818</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0.00835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0.00831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0.00823</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0.00832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0.00811</w:t>
            </w:r>
          </w:p>
        </w:tc>
      </w:tr>
    </w:tbl>
    <w:p>
      <w:pPr>
        <w:jc w:val="center"/>
        <w:rPr>
          <w:sz w:val="18"/>
          <w:szCs w:val="18"/>
        </w:rPr>
      </w:pPr>
    </w:p>
    <w:p>
      <w:pPr>
        <w:jc w:val="center"/>
        <w:rPr>
          <w:sz w:val="18"/>
          <w:szCs w:val="18"/>
        </w:rPr>
      </w:pPr>
    </w:p>
    <w:tbl>
      <w:tblPr>
        <w:tblStyle w:val="88"/>
        <w:tblW w:w="9720" w:type="dxa"/>
        <w:tblInd w:w="0"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285" w:hRule="atLeast"/>
          <w:tblHeader/>
        </w:trPr>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kern w:val="0"/>
                <w:sz w:val="18"/>
                <w:szCs w:val="18"/>
              </w:rPr>
            </w:pPr>
            <w:r>
              <w:rPr>
                <w:kern w:val="0"/>
                <w:sz w:val="18"/>
                <w:szCs w:val="18"/>
              </w:rPr>
              <w:t>水平数</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kern w:val="0"/>
                <w:sz w:val="18"/>
                <w:szCs w:val="18"/>
              </w:rPr>
            </w:pPr>
            <w:r>
              <w:rPr>
                <w:kern w:val="0"/>
                <w:sz w:val="18"/>
                <w:szCs w:val="18"/>
              </w:rPr>
              <w:t>实验室</w:t>
            </w:r>
          </w:p>
        </w:tc>
        <w:tc>
          <w:tcPr>
            <w:tcW w:w="7560" w:type="dxa"/>
            <w:gridSpan w:val="7"/>
            <w:tcBorders>
              <w:top w:val="single" w:color="auto" w:sz="8" w:space="0"/>
              <w:left w:val="nil"/>
              <w:bottom w:val="single" w:color="auto" w:sz="8" w:space="0"/>
              <w:right w:val="single" w:color="000000" w:sz="8" w:space="0"/>
            </w:tcBorders>
            <w:shd w:val="clear" w:color="auto" w:fill="auto"/>
            <w:noWrap/>
            <w:vAlign w:val="center"/>
          </w:tcPr>
          <w:p>
            <w:pPr>
              <w:widowControl/>
              <w:jc w:val="center"/>
              <w:rPr>
                <w:kern w:val="0"/>
                <w:sz w:val="18"/>
                <w:szCs w:val="18"/>
              </w:rPr>
            </w:pPr>
            <w:r>
              <w:rPr>
                <w:kern w:val="0"/>
                <w:sz w:val="18"/>
                <w:szCs w:val="18"/>
              </w:rPr>
              <w:t>Al  的质量分数/%，（n=7）</w:t>
            </w:r>
          </w:p>
        </w:tc>
      </w:tr>
      <w:tr>
        <w:tblPrEx>
          <w:tblCellMar>
            <w:top w:w="0" w:type="dxa"/>
            <w:left w:w="108" w:type="dxa"/>
            <w:bottom w:w="0" w:type="dxa"/>
            <w:right w:w="108" w:type="dxa"/>
          </w:tblCellMar>
        </w:tblPrEx>
        <w:trPr>
          <w:trHeight w:val="345" w:hRule="atLeast"/>
          <w:tblHeader/>
        </w:trPr>
        <w:tc>
          <w:tcPr>
            <w:tcW w:w="1080"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7</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1</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0.00150</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0.00157</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0.00152</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0.00149</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0.00149</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0.00151</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2</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0.00395</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0.00367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0.00356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0.00346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0.00347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0.00351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0.00344</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0.00403</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0.00385</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0.00365</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0.00403</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3</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0.00826</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0.00803</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0.00775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0.00819</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0.00835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0.00835</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0.00796</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0.00801</w:t>
            </w:r>
          </w:p>
        </w:tc>
      </w:tr>
    </w:tbl>
    <w:p>
      <w:pPr>
        <w:jc w:val="center"/>
        <w:rPr>
          <w:sz w:val="18"/>
          <w:szCs w:val="18"/>
        </w:rPr>
      </w:pPr>
    </w:p>
    <w:p>
      <w:pPr>
        <w:jc w:val="center"/>
        <w:rPr>
          <w:sz w:val="18"/>
          <w:szCs w:val="18"/>
        </w:rPr>
      </w:pPr>
    </w:p>
    <w:tbl>
      <w:tblPr>
        <w:tblStyle w:val="88"/>
        <w:tblW w:w="9720" w:type="dxa"/>
        <w:tblInd w:w="0"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285" w:hRule="atLeast"/>
          <w:tblHeader/>
        </w:trPr>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kern w:val="0"/>
                <w:sz w:val="18"/>
                <w:szCs w:val="18"/>
              </w:rPr>
            </w:pPr>
            <w:r>
              <w:rPr>
                <w:kern w:val="0"/>
                <w:sz w:val="18"/>
                <w:szCs w:val="18"/>
              </w:rPr>
              <w:t>水平数</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kern w:val="0"/>
                <w:sz w:val="18"/>
                <w:szCs w:val="18"/>
              </w:rPr>
            </w:pPr>
            <w:r>
              <w:rPr>
                <w:kern w:val="0"/>
                <w:sz w:val="18"/>
                <w:szCs w:val="18"/>
              </w:rPr>
              <w:t>实验室</w:t>
            </w:r>
          </w:p>
        </w:tc>
        <w:tc>
          <w:tcPr>
            <w:tcW w:w="7560" w:type="dxa"/>
            <w:gridSpan w:val="7"/>
            <w:tcBorders>
              <w:top w:val="single" w:color="auto" w:sz="8" w:space="0"/>
              <w:left w:val="nil"/>
              <w:bottom w:val="single" w:color="auto" w:sz="8" w:space="0"/>
              <w:right w:val="single" w:color="000000" w:sz="8" w:space="0"/>
            </w:tcBorders>
            <w:shd w:val="clear" w:color="auto" w:fill="auto"/>
            <w:noWrap/>
            <w:vAlign w:val="center"/>
          </w:tcPr>
          <w:p>
            <w:pPr>
              <w:widowControl/>
              <w:jc w:val="center"/>
              <w:rPr>
                <w:kern w:val="0"/>
                <w:sz w:val="18"/>
                <w:szCs w:val="18"/>
              </w:rPr>
            </w:pPr>
            <w:r>
              <w:rPr>
                <w:kern w:val="0"/>
                <w:sz w:val="18"/>
                <w:szCs w:val="18"/>
              </w:rPr>
              <w:t>Si  的质量分数/%，（n=7）</w:t>
            </w:r>
          </w:p>
        </w:tc>
      </w:tr>
      <w:tr>
        <w:tblPrEx>
          <w:tblCellMar>
            <w:top w:w="0" w:type="dxa"/>
            <w:left w:w="108" w:type="dxa"/>
            <w:bottom w:w="0" w:type="dxa"/>
            <w:right w:w="108" w:type="dxa"/>
          </w:tblCellMar>
        </w:tblPrEx>
        <w:trPr>
          <w:trHeight w:val="345" w:hRule="atLeast"/>
          <w:tblHeader/>
        </w:trPr>
        <w:tc>
          <w:tcPr>
            <w:tcW w:w="1080"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7</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1</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0.00072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0.00071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0.00070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0.00065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0.00058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0.00062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0.00078</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0.00041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0.00041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0.00041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0.00040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0.00045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0.00040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0.00050</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0.00084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0.00063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0.00076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0.00073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0.00081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0.00069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0.00074</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0.00082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0.00068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0.00072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0.00065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0.00068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0.00083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0.00072</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0.00069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0.00061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0.00073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0.00065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0.00063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0.00079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0.00059</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0.00082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0.00079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0.00068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0.00078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0.00076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0.00079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0.00071</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2</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0.00224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0.00233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0.00232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0.00246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0.00234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0.00230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0.00234</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0.00283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0.00283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0.00252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0.00287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0.00222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0.00260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0.00241</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0.00218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0.00234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0.00221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0.00224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0.00214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0.00232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0.00226</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0.00234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0.00213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0.00249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0.00236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0.00234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0.00248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0.00237</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0.00235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0.00246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0.00241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0.00239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0.00250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0.00236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0.00239</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0.00232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0.00235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0.00236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0.00223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0.00254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0.00235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0.00244</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3</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0.00454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0.00452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0.00462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0.00432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0.00482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0.00457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0.00463</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0.00480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0.00480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0.00457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0.00435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0.00422</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0.00473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0.00469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0.00458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0.00465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0.00467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0.00461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0.00458</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0.00474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0.00489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0.00494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0.00462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0.00482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0.00467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0.00461</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0.00479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0.00459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0.00483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0.00466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0.00464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0.00475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0.00476</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0.00483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0.00492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0.00486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0.00499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0.00497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0.00487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0.00496</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4</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0.00899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0.00874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0.00878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0.00872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0.00873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0.00861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0.00872</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0.00843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0.00843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0.00891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0.00830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0.00856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0.00874</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0.00875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0.00853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0.00867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0.00864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0.00859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0.00855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0.00878</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0.00845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0.00839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0.00879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0.00863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0.00841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0.00849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0.00871</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0.00889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0.00869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0.00891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0.00866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0.00883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0.00875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0.00883</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0.00891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0.00886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0.00891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0.00866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0.00861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0.00878</w:t>
            </w:r>
          </w:p>
        </w:tc>
      </w:tr>
    </w:tbl>
    <w:p>
      <w:pPr>
        <w:jc w:val="center"/>
        <w:rPr>
          <w:sz w:val="18"/>
          <w:szCs w:val="18"/>
        </w:rPr>
      </w:pPr>
    </w:p>
    <w:p>
      <w:pPr>
        <w:jc w:val="center"/>
        <w:rPr>
          <w:sz w:val="18"/>
          <w:szCs w:val="18"/>
        </w:rPr>
      </w:pPr>
    </w:p>
    <w:tbl>
      <w:tblPr>
        <w:tblStyle w:val="88"/>
        <w:tblW w:w="9720" w:type="dxa"/>
        <w:tblInd w:w="0"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285" w:hRule="atLeast"/>
          <w:tblHeader/>
        </w:trPr>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kern w:val="0"/>
                <w:sz w:val="18"/>
                <w:szCs w:val="18"/>
              </w:rPr>
            </w:pPr>
            <w:r>
              <w:rPr>
                <w:kern w:val="0"/>
                <w:sz w:val="18"/>
                <w:szCs w:val="18"/>
              </w:rPr>
              <w:t>水平数</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kern w:val="0"/>
                <w:sz w:val="18"/>
                <w:szCs w:val="18"/>
              </w:rPr>
            </w:pPr>
            <w:r>
              <w:rPr>
                <w:kern w:val="0"/>
                <w:sz w:val="18"/>
                <w:szCs w:val="18"/>
              </w:rPr>
              <w:t>实验室</w:t>
            </w:r>
          </w:p>
        </w:tc>
        <w:tc>
          <w:tcPr>
            <w:tcW w:w="7560" w:type="dxa"/>
            <w:gridSpan w:val="7"/>
            <w:tcBorders>
              <w:top w:val="single" w:color="auto" w:sz="8" w:space="0"/>
              <w:left w:val="nil"/>
              <w:bottom w:val="single" w:color="auto" w:sz="8" w:space="0"/>
              <w:right w:val="single" w:color="000000" w:sz="8" w:space="0"/>
            </w:tcBorders>
            <w:shd w:val="clear" w:color="auto" w:fill="auto"/>
            <w:noWrap/>
            <w:vAlign w:val="center"/>
          </w:tcPr>
          <w:p>
            <w:pPr>
              <w:widowControl/>
              <w:jc w:val="center"/>
              <w:rPr>
                <w:kern w:val="0"/>
                <w:sz w:val="18"/>
                <w:szCs w:val="18"/>
              </w:rPr>
            </w:pPr>
            <w:r>
              <w:rPr>
                <w:kern w:val="0"/>
                <w:sz w:val="18"/>
                <w:szCs w:val="18"/>
              </w:rPr>
              <w:t>Ca  的质量分数/%，（n=7）</w:t>
            </w:r>
          </w:p>
        </w:tc>
      </w:tr>
      <w:tr>
        <w:tblPrEx>
          <w:tblCellMar>
            <w:top w:w="0" w:type="dxa"/>
            <w:left w:w="108" w:type="dxa"/>
            <w:bottom w:w="0" w:type="dxa"/>
            <w:right w:w="108" w:type="dxa"/>
          </w:tblCellMar>
        </w:tblPrEx>
        <w:trPr>
          <w:trHeight w:val="345" w:hRule="atLeast"/>
          <w:tblHeader/>
        </w:trPr>
        <w:tc>
          <w:tcPr>
            <w:tcW w:w="1080"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7</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kern w:val="0"/>
                <w:sz w:val="18"/>
                <w:szCs w:val="18"/>
              </w:rPr>
            </w:pPr>
            <w:r>
              <w:rPr>
                <w:kern w:val="0"/>
                <w:sz w:val="18"/>
                <w:szCs w:val="18"/>
              </w:rPr>
              <w:t>1</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0.00108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0.00103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0.00110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0.00107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0.00100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0.00106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0.00115</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0.00100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0.00119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0.00125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0.00122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0.00137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0.00123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0.00123</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0.00109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0.00116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0.00106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0.00114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0.00108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0.00100</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0.00102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0.00105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0.00106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0.00113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0.00117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0.00112</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0.00091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0.00103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0.00098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0.00096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0.00105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0.00096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0.00103</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0.00116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0.00115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0.00117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0.00106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0.00118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0.00103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0.00102</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kern w:val="0"/>
                <w:sz w:val="18"/>
                <w:szCs w:val="18"/>
              </w:rPr>
            </w:pPr>
            <w:r>
              <w:rPr>
                <w:kern w:val="0"/>
                <w:sz w:val="18"/>
                <w:szCs w:val="18"/>
              </w:rPr>
              <w:t>2</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0.00250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0.00253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0.00262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0.00242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0.00266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0.00240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0.00269</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0.00207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0.00259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0.00276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0.00255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0.00236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0.00285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0.00242</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0.00238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0.00259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0.00247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0.00232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0.00249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0.00262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0.00248</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0.00256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0.00265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0.00274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0.00252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0.00250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0.00256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0.00243</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0.00263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0.00249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0.00236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0.00255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0.00253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0.00231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0.00261</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0.00262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0.00269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0.00268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0.00272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0.00263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0.00277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0.00283</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kern w:val="0"/>
                <w:sz w:val="18"/>
                <w:szCs w:val="18"/>
              </w:rPr>
            </w:pPr>
            <w:r>
              <w:rPr>
                <w:kern w:val="0"/>
                <w:sz w:val="18"/>
                <w:szCs w:val="18"/>
              </w:rPr>
              <w:t>3</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0.00496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0.00489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0.00494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0.00471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0.00504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0.00498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0.00511</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0.00561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0.00504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0.00508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0.00476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0.00455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0.00455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0.00475</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0.00487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0.00493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0.00518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0.00510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0.00495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0.00513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0.00504</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0.00520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0.00504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0.00514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0.00510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0.00513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0.00503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0.00504</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0.00503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0.00479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0.00449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0.00456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0.00463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0.00497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0.00453</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0.00513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0.00514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0.00525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0.00523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0.00519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0.00532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0.00511</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kern w:val="0"/>
                <w:sz w:val="18"/>
                <w:szCs w:val="18"/>
              </w:rPr>
            </w:pPr>
            <w:r>
              <w:rPr>
                <w:kern w:val="0"/>
                <w:sz w:val="18"/>
                <w:szCs w:val="18"/>
              </w:rPr>
              <w:t>4</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0.00911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0.00927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0.00894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0.00921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0.00902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0.00895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0.00932</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0.00912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0.00890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0.00935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0.00919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0.00900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0.00909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0.00924</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0.00935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0.00914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0.00915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0.00937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0.00944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0.00921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0.00949</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0.00876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0.00917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0.00895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0.00896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0.00904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0.00892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0.00908</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0.00910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0.00929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0.00867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0.00919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0.00911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0.00879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0.00896</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0.00916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0.00906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0.00913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0.00909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0.00912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0.00914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0.00913</w:t>
            </w:r>
          </w:p>
        </w:tc>
      </w:tr>
    </w:tbl>
    <w:p>
      <w:pPr>
        <w:jc w:val="center"/>
        <w:rPr>
          <w:sz w:val="18"/>
          <w:szCs w:val="18"/>
        </w:rPr>
      </w:pPr>
    </w:p>
    <w:p>
      <w:pPr>
        <w:jc w:val="center"/>
        <w:rPr>
          <w:sz w:val="18"/>
          <w:szCs w:val="18"/>
        </w:rPr>
      </w:pPr>
    </w:p>
    <w:tbl>
      <w:tblPr>
        <w:tblStyle w:val="88"/>
        <w:tblW w:w="9720" w:type="dxa"/>
        <w:tblInd w:w="0"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tblGrid>
      <w:tr>
        <w:trPr>
          <w:trHeight w:val="285" w:hRule="atLeast"/>
          <w:tblHeader/>
        </w:trPr>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kern w:val="0"/>
                <w:sz w:val="18"/>
                <w:szCs w:val="18"/>
              </w:rPr>
            </w:pPr>
            <w:r>
              <w:rPr>
                <w:kern w:val="0"/>
                <w:sz w:val="18"/>
                <w:szCs w:val="18"/>
              </w:rPr>
              <w:t>水平数</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kern w:val="0"/>
                <w:sz w:val="18"/>
                <w:szCs w:val="18"/>
              </w:rPr>
            </w:pPr>
            <w:r>
              <w:rPr>
                <w:kern w:val="0"/>
                <w:sz w:val="18"/>
                <w:szCs w:val="18"/>
              </w:rPr>
              <w:t>实验室</w:t>
            </w:r>
          </w:p>
        </w:tc>
        <w:tc>
          <w:tcPr>
            <w:tcW w:w="7560" w:type="dxa"/>
            <w:gridSpan w:val="7"/>
            <w:tcBorders>
              <w:top w:val="single" w:color="auto" w:sz="8" w:space="0"/>
              <w:left w:val="nil"/>
              <w:bottom w:val="single" w:color="auto" w:sz="8" w:space="0"/>
              <w:right w:val="single" w:color="000000" w:sz="8" w:space="0"/>
            </w:tcBorders>
            <w:shd w:val="clear" w:color="auto" w:fill="auto"/>
            <w:noWrap/>
            <w:vAlign w:val="center"/>
          </w:tcPr>
          <w:p>
            <w:pPr>
              <w:widowControl/>
              <w:jc w:val="center"/>
              <w:rPr>
                <w:kern w:val="0"/>
                <w:sz w:val="18"/>
                <w:szCs w:val="18"/>
              </w:rPr>
            </w:pPr>
            <w:r>
              <w:rPr>
                <w:kern w:val="0"/>
                <w:sz w:val="18"/>
                <w:szCs w:val="18"/>
              </w:rPr>
              <w:t>Ti  的质量分数/%，（n=7）</w:t>
            </w:r>
          </w:p>
        </w:tc>
      </w:tr>
      <w:tr>
        <w:tblPrEx>
          <w:tblCellMar>
            <w:top w:w="0" w:type="dxa"/>
            <w:left w:w="108" w:type="dxa"/>
            <w:bottom w:w="0" w:type="dxa"/>
            <w:right w:w="108" w:type="dxa"/>
          </w:tblCellMar>
        </w:tblPrEx>
        <w:trPr>
          <w:trHeight w:val="345" w:hRule="atLeast"/>
          <w:tblHeader/>
        </w:trPr>
        <w:tc>
          <w:tcPr>
            <w:tcW w:w="1080"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7</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1</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0.00026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0.00024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0.00021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0.00022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0.00023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0.00025</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0.00068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0.00069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0.00086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0.00078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0.00071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0.00068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0.00075</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0.00021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0.00021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0.00024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0.00019</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0.00023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0.00024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0.00028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0.00028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0.00027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0.00025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0.00028</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0.00022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0.00021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0.00025</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0.00029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0.00028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0.00028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0.00029</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2</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0.00188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0.00177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0.00188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0.00177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0.00184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0.00183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0.00171</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0.00219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0.00207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0.00224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0.00235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0.00218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0.00204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0.00222</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0.00198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0.00184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0.00196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0.00193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0.00187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0.00179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0.00184</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0.00182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0.00182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0.00176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0.00178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0.00182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0.00180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0.00172</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0.00170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0.00185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0.00173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0.00177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0.00182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0.00175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0.00169</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0.00177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0.00179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0.00182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0.00176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0.00177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0.00179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0.00183</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3</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0.00424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0.00431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0.00426</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0.00481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0.00471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0.00424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0.00431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0.00441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0.00433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0.00431</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0.00423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0.00426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0.00428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0.00408</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0.00422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0.00414</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0.00435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0.00427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0.00429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0.00435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0.00421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0.00431</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0.00423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0.00445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0.00421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0.00423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0.00423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0.00412</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4</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0.00831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0.00835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0.00835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0.00834</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0.00830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0.00835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0.00815</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0.00834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0.00844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0.00831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0.00846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0.00836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0.00818</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0.00839</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0.00862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0.00863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0.00855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0.00869</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0.00836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0.00838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0.00839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0.00836</w:t>
            </w:r>
          </w:p>
        </w:tc>
      </w:tr>
    </w:tbl>
    <w:p>
      <w:pPr>
        <w:jc w:val="center"/>
        <w:rPr>
          <w:sz w:val="18"/>
          <w:szCs w:val="18"/>
        </w:rPr>
      </w:pPr>
    </w:p>
    <w:p>
      <w:pPr>
        <w:jc w:val="center"/>
        <w:rPr>
          <w:sz w:val="18"/>
          <w:szCs w:val="18"/>
        </w:rPr>
      </w:pPr>
    </w:p>
    <w:tbl>
      <w:tblPr>
        <w:tblStyle w:val="88"/>
        <w:tblW w:w="9720" w:type="dxa"/>
        <w:tblInd w:w="0"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285" w:hRule="atLeast"/>
          <w:tblHeader/>
        </w:trPr>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kern w:val="0"/>
                <w:sz w:val="18"/>
                <w:szCs w:val="18"/>
              </w:rPr>
            </w:pPr>
            <w:r>
              <w:rPr>
                <w:kern w:val="0"/>
                <w:sz w:val="18"/>
                <w:szCs w:val="18"/>
              </w:rPr>
              <w:t>水平数</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kern w:val="0"/>
                <w:sz w:val="18"/>
                <w:szCs w:val="18"/>
              </w:rPr>
            </w:pPr>
            <w:r>
              <w:rPr>
                <w:kern w:val="0"/>
                <w:sz w:val="18"/>
                <w:szCs w:val="18"/>
              </w:rPr>
              <w:t>实验室</w:t>
            </w:r>
          </w:p>
        </w:tc>
        <w:tc>
          <w:tcPr>
            <w:tcW w:w="7560" w:type="dxa"/>
            <w:gridSpan w:val="7"/>
            <w:tcBorders>
              <w:top w:val="single" w:color="auto" w:sz="8" w:space="0"/>
              <w:left w:val="nil"/>
              <w:bottom w:val="single" w:color="auto" w:sz="8" w:space="0"/>
              <w:right w:val="single" w:color="000000" w:sz="8" w:space="0"/>
            </w:tcBorders>
            <w:shd w:val="clear" w:color="auto" w:fill="auto"/>
            <w:noWrap/>
            <w:vAlign w:val="center"/>
          </w:tcPr>
          <w:p>
            <w:pPr>
              <w:widowControl/>
              <w:jc w:val="center"/>
              <w:rPr>
                <w:kern w:val="0"/>
                <w:sz w:val="18"/>
                <w:szCs w:val="18"/>
              </w:rPr>
            </w:pPr>
            <w:r>
              <w:rPr>
                <w:kern w:val="0"/>
                <w:sz w:val="18"/>
                <w:szCs w:val="18"/>
              </w:rPr>
              <w:t>V  的质量分数/%，（n=7）</w:t>
            </w:r>
          </w:p>
        </w:tc>
      </w:tr>
      <w:tr>
        <w:tblPrEx>
          <w:tblCellMar>
            <w:top w:w="0" w:type="dxa"/>
            <w:left w:w="108" w:type="dxa"/>
            <w:bottom w:w="0" w:type="dxa"/>
            <w:right w:w="108" w:type="dxa"/>
          </w:tblCellMar>
        </w:tblPrEx>
        <w:trPr>
          <w:trHeight w:val="345" w:hRule="atLeast"/>
          <w:tblHeader/>
        </w:trPr>
        <w:tc>
          <w:tcPr>
            <w:tcW w:w="1080"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7</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1</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0.00010</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0.00011</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0.00009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0.00009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0.00010</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0.00010</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0.00011</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0.00009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0.00009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0.00009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0.00008</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2</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0.00157</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0.00139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0.00139</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0.00157</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0.00143</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0.00153</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0.00146</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3</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0.00399</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0.00369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0.00363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0.00369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0.00353</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0.00386</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0.00372</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0.00399</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0.00399</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4</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0.00799</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0.00831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0.00823</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0.00804</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0.00774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0.00769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0.00775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0.00766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0.00775</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0.00779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0.00793</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0.00789</w:t>
            </w:r>
          </w:p>
        </w:tc>
      </w:tr>
    </w:tbl>
    <w:p>
      <w:pPr>
        <w:jc w:val="center"/>
        <w:rPr>
          <w:sz w:val="18"/>
          <w:szCs w:val="18"/>
        </w:rPr>
      </w:pPr>
    </w:p>
    <w:p>
      <w:pPr>
        <w:jc w:val="center"/>
        <w:rPr>
          <w:sz w:val="18"/>
          <w:szCs w:val="18"/>
        </w:rPr>
      </w:pPr>
    </w:p>
    <w:tbl>
      <w:tblPr>
        <w:tblStyle w:val="88"/>
        <w:tblW w:w="9720" w:type="dxa"/>
        <w:tblInd w:w="0"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285" w:hRule="atLeast"/>
          <w:tblHeader/>
        </w:trPr>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kern w:val="0"/>
                <w:sz w:val="18"/>
                <w:szCs w:val="18"/>
              </w:rPr>
            </w:pPr>
            <w:r>
              <w:rPr>
                <w:kern w:val="0"/>
                <w:sz w:val="18"/>
                <w:szCs w:val="18"/>
              </w:rPr>
              <w:t>水平数</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kern w:val="0"/>
                <w:sz w:val="18"/>
                <w:szCs w:val="18"/>
              </w:rPr>
            </w:pPr>
            <w:r>
              <w:rPr>
                <w:kern w:val="0"/>
                <w:sz w:val="18"/>
                <w:szCs w:val="18"/>
              </w:rPr>
              <w:t>实验室</w:t>
            </w:r>
          </w:p>
        </w:tc>
        <w:tc>
          <w:tcPr>
            <w:tcW w:w="7560" w:type="dxa"/>
            <w:gridSpan w:val="7"/>
            <w:tcBorders>
              <w:top w:val="single" w:color="auto" w:sz="8" w:space="0"/>
              <w:left w:val="nil"/>
              <w:bottom w:val="single" w:color="auto" w:sz="8" w:space="0"/>
              <w:right w:val="single" w:color="000000" w:sz="8" w:space="0"/>
            </w:tcBorders>
            <w:shd w:val="clear" w:color="auto" w:fill="auto"/>
            <w:noWrap/>
            <w:vAlign w:val="center"/>
          </w:tcPr>
          <w:p>
            <w:pPr>
              <w:widowControl/>
              <w:jc w:val="center"/>
              <w:rPr>
                <w:kern w:val="0"/>
                <w:sz w:val="18"/>
                <w:szCs w:val="18"/>
              </w:rPr>
            </w:pPr>
            <w:r>
              <w:rPr>
                <w:kern w:val="0"/>
                <w:sz w:val="18"/>
                <w:szCs w:val="18"/>
              </w:rPr>
              <w:t>Cr  的质量分数/%，（n=7）</w:t>
            </w:r>
          </w:p>
        </w:tc>
      </w:tr>
      <w:tr>
        <w:tblPrEx>
          <w:tblCellMar>
            <w:top w:w="0" w:type="dxa"/>
            <w:left w:w="108" w:type="dxa"/>
            <w:bottom w:w="0" w:type="dxa"/>
            <w:right w:w="108" w:type="dxa"/>
          </w:tblCellMar>
        </w:tblPrEx>
        <w:trPr>
          <w:trHeight w:val="345" w:hRule="atLeast"/>
          <w:tblHeader/>
        </w:trPr>
        <w:tc>
          <w:tcPr>
            <w:tcW w:w="1080"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7</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1</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0.00142</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0.00137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0.00139</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0.00154</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0.00153</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0.00139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0.00155</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0.00151</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2</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0.00402</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0.00431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0.00397</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0.00411</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0.00386</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0.00388</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0.00411</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3</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0.00819</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0.00798</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0.00809</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0.00817</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0.00806</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0.00813</w:t>
            </w:r>
          </w:p>
        </w:tc>
      </w:tr>
    </w:tbl>
    <w:p>
      <w:pPr>
        <w:jc w:val="center"/>
        <w:rPr>
          <w:sz w:val="18"/>
          <w:szCs w:val="18"/>
        </w:rPr>
      </w:pPr>
    </w:p>
    <w:p>
      <w:pPr>
        <w:jc w:val="center"/>
        <w:rPr>
          <w:sz w:val="18"/>
          <w:szCs w:val="18"/>
        </w:rPr>
      </w:pPr>
    </w:p>
    <w:tbl>
      <w:tblPr>
        <w:tblStyle w:val="88"/>
        <w:tblW w:w="9720" w:type="dxa"/>
        <w:tblInd w:w="0"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285" w:hRule="atLeast"/>
          <w:tblHeader/>
        </w:trPr>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kern w:val="0"/>
                <w:sz w:val="18"/>
                <w:szCs w:val="18"/>
              </w:rPr>
            </w:pPr>
            <w:r>
              <w:rPr>
                <w:kern w:val="0"/>
                <w:sz w:val="18"/>
                <w:szCs w:val="18"/>
              </w:rPr>
              <w:t>水平数</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kern w:val="0"/>
                <w:sz w:val="18"/>
                <w:szCs w:val="18"/>
              </w:rPr>
            </w:pPr>
            <w:r>
              <w:rPr>
                <w:kern w:val="0"/>
                <w:sz w:val="18"/>
                <w:szCs w:val="18"/>
              </w:rPr>
              <w:t>实验室</w:t>
            </w:r>
          </w:p>
        </w:tc>
        <w:tc>
          <w:tcPr>
            <w:tcW w:w="7560" w:type="dxa"/>
            <w:gridSpan w:val="7"/>
            <w:tcBorders>
              <w:top w:val="single" w:color="auto" w:sz="8" w:space="0"/>
              <w:left w:val="nil"/>
              <w:bottom w:val="single" w:color="auto" w:sz="8" w:space="0"/>
              <w:right w:val="single" w:color="000000" w:sz="8" w:space="0"/>
            </w:tcBorders>
            <w:shd w:val="clear" w:color="auto" w:fill="auto"/>
            <w:noWrap/>
            <w:vAlign w:val="center"/>
          </w:tcPr>
          <w:p>
            <w:pPr>
              <w:widowControl/>
              <w:jc w:val="center"/>
              <w:rPr>
                <w:kern w:val="0"/>
                <w:sz w:val="18"/>
                <w:szCs w:val="18"/>
              </w:rPr>
            </w:pPr>
            <w:r>
              <w:rPr>
                <w:kern w:val="0"/>
                <w:sz w:val="18"/>
                <w:szCs w:val="18"/>
              </w:rPr>
              <w:t>Mn  的质量分数/%，（n=7）</w:t>
            </w:r>
          </w:p>
        </w:tc>
      </w:tr>
      <w:tr>
        <w:tblPrEx>
          <w:tblCellMar>
            <w:top w:w="0" w:type="dxa"/>
            <w:left w:w="108" w:type="dxa"/>
            <w:bottom w:w="0" w:type="dxa"/>
            <w:right w:w="108" w:type="dxa"/>
          </w:tblCellMar>
        </w:tblPrEx>
        <w:trPr>
          <w:trHeight w:val="345" w:hRule="atLeast"/>
          <w:tblHeader/>
        </w:trPr>
        <w:tc>
          <w:tcPr>
            <w:tcW w:w="1080"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7</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1</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0.00155</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0.00154</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0.00136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0.00159</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0.00147</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0.00155</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0.00149</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2</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0.00410</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0.00434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0.00399</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0.00409</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0.00398</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0.00402</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0.00499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0.00497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0.00488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0.00511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0.00499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0.00521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0.00513</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3</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0.00810</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0.00774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0.00773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0.00779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0.00773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0.00784</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0.00819</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0.00810</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0.00811</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0.00778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0.00811</w:t>
            </w:r>
          </w:p>
        </w:tc>
      </w:tr>
    </w:tbl>
    <w:p>
      <w:pPr>
        <w:jc w:val="center"/>
        <w:rPr>
          <w:sz w:val="18"/>
          <w:szCs w:val="18"/>
        </w:rPr>
      </w:pPr>
    </w:p>
    <w:p>
      <w:pPr>
        <w:jc w:val="center"/>
        <w:rPr>
          <w:sz w:val="18"/>
          <w:szCs w:val="18"/>
        </w:rPr>
      </w:pPr>
    </w:p>
    <w:tbl>
      <w:tblPr>
        <w:tblStyle w:val="88"/>
        <w:tblW w:w="9720" w:type="dxa"/>
        <w:tblInd w:w="0"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285" w:hRule="atLeast"/>
          <w:tblHeader/>
        </w:trPr>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kern w:val="0"/>
                <w:sz w:val="18"/>
                <w:szCs w:val="18"/>
              </w:rPr>
            </w:pPr>
            <w:r>
              <w:rPr>
                <w:kern w:val="0"/>
                <w:sz w:val="18"/>
                <w:szCs w:val="18"/>
              </w:rPr>
              <w:t>水平数</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kern w:val="0"/>
                <w:sz w:val="18"/>
                <w:szCs w:val="18"/>
              </w:rPr>
            </w:pPr>
            <w:r>
              <w:rPr>
                <w:kern w:val="0"/>
                <w:sz w:val="18"/>
                <w:szCs w:val="18"/>
              </w:rPr>
              <w:t>实验室</w:t>
            </w:r>
          </w:p>
        </w:tc>
        <w:tc>
          <w:tcPr>
            <w:tcW w:w="7560" w:type="dxa"/>
            <w:gridSpan w:val="7"/>
            <w:tcBorders>
              <w:top w:val="single" w:color="auto" w:sz="8" w:space="0"/>
              <w:left w:val="nil"/>
              <w:bottom w:val="single" w:color="auto" w:sz="8" w:space="0"/>
              <w:right w:val="single" w:color="000000" w:sz="8" w:space="0"/>
            </w:tcBorders>
            <w:shd w:val="clear" w:color="auto" w:fill="auto"/>
            <w:noWrap/>
            <w:vAlign w:val="center"/>
          </w:tcPr>
          <w:p>
            <w:pPr>
              <w:widowControl/>
              <w:jc w:val="center"/>
              <w:rPr>
                <w:kern w:val="0"/>
                <w:sz w:val="18"/>
                <w:szCs w:val="18"/>
              </w:rPr>
            </w:pPr>
            <w:r>
              <w:rPr>
                <w:kern w:val="0"/>
                <w:sz w:val="18"/>
                <w:szCs w:val="18"/>
              </w:rPr>
              <w:t>Fe 的质量分数/%，（n=7）</w:t>
            </w:r>
          </w:p>
        </w:tc>
      </w:tr>
      <w:tr>
        <w:tblPrEx>
          <w:tblCellMar>
            <w:top w:w="0" w:type="dxa"/>
            <w:left w:w="108" w:type="dxa"/>
            <w:bottom w:w="0" w:type="dxa"/>
            <w:right w:w="108" w:type="dxa"/>
          </w:tblCellMar>
        </w:tblPrEx>
        <w:trPr>
          <w:trHeight w:val="345" w:hRule="atLeast"/>
          <w:tblHeader/>
        </w:trPr>
        <w:tc>
          <w:tcPr>
            <w:tcW w:w="1080"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7</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1</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0.00044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0.00042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0.00041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0.00040</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0.00025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0.00026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0.00021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0.00024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0.00021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0.00022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0.00026</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0.00041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0.00043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0.00048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0.00045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0.00041</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0.00043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0.00046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0.00044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0.00044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0.00043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0.00046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0.00041</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0.00041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0.00044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0.00042</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0.00045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0.00043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0.00041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0.00046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0.00049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0.00045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0.00045</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2</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0.00182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0.00202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0.00187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0.00191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0.00203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0.00193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0.00190</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0.00206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0.00210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0.00213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0.00205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0.00201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0.00203</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0.00197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0.00207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0.00188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0.00191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0.00186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0.00201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0.00203</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0.00202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0.00198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0.00202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0.00194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0.00200</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0.00191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0.00207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0.00195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0.00202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0.00198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0.00210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0.00193</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0.00192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0.00193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0.00187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0.00199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0.00196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0.00197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0.00197</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3</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0.00423</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0.00459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0.00490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0.00474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0.00483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0.00484</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0.00423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0.00415</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0.00409</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0.00422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0.00425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0.00415</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0.00439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0.00446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0.00456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0.00459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0.00457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0.00443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0.00432</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4</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0.00845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0.00844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0.00844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0.00833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0.00839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0.00830</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0.00811</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0.00836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0.00838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0.00833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0.00845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0.00820</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0.00831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0.00816</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0.00842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0.00831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0.00866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0.00849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0.00853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0.00839</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0.00836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0.00839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0.00846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0.00848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0.00852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0.00851</w:t>
            </w:r>
          </w:p>
        </w:tc>
      </w:tr>
    </w:tbl>
    <w:p>
      <w:pPr>
        <w:jc w:val="center"/>
        <w:rPr>
          <w:sz w:val="18"/>
          <w:szCs w:val="18"/>
        </w:rPr>
      </w:pPr>
    </w:p>
    <w:p>
      <w:pPr>
        <w:jc w:val="center"/>
        <w:rPr>
          <w:sz w:val="18"/>
          <w:szCs w:val="18"/>
        </w:rPr>
      </w:pPr>
    </w:p>
    <w:tbl>
      <w:tblPr>
        <w:tblStyle w:val="88"/>
        <w:tblW w:w="9720" w:type="dxa"/>
        <w:tblInd w:w="0"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285" w:hRule="atLeast"/>
          <w:tblHeader/>
        </w:trPr>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kern w:val="0"/>
                <w:sz w:val="18"/>
                <w:szCs w:val="18"/>
              </w:rPr>
            </w:pPr>
            <w:r>
              <w:rPr>
                <w:kern w:val="0"/>
                <w:sz w:val="18"/>
                <w:szCs w:val="18"/>
              </w:rPr>
              <w:t>水平数</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kern w:val="0"/>
                <w:sz w:val="18"/>
                <w:szCs w:val="18"/>
              </w:rPr>
            </w:pPr>
            <w:r>
              <w:rPr>
                <w:kern w:val="0"/>
                <w:sz w:val="18"/>
                <w:szCs w:val="18"/>
              </w:rPr>
              <w:t>实验室</w:t>
            </w:r>
          </w:p>
        </w:tc>
        <w:tc>
          <w:tcPr>
            <w:tcW w:w="7560" w:type="dxa"/>
            <w:gridSpan w:val="7"/>
            <w:tcBorders>
              <w:top w:val="single" w:color="auto" w:sz="8" w:space="0"/>
              <w:left w:val="nil"/>
              <w:bottom w:val="single" w:color="auto" w:sz="8" w:space="0"/>
              <w:right w:val="single" w:color="000000" w:sz="8" w:space="0"/>
            </w:tcBorders>
            <w:shd w:val="clear" w:color="auto" w:fill="auto"/>
            <w:noWrap/>
            <w:vAlign w:val="center"/>
          </w:tcPr>
          <w:p>
            <w:pPr>
              <w:widowControl/>
              <w:jc w:val="center"/>
              <w:rPr>
                <w:kern w:val="0"/>
                <w:sz w:val="18"/>
                <w:szCs w:val="18"/>
              </w:rPr>
            </w:pPr>
            <w:r>
              <w:rPr>
                <w:kern w:val="0"/>
                <w:sz w:val="18"/>
                <w:szCs w:val="18"/>
              </w:rPr>
              <w:t>Co 的质量分数/%，（n=7）</w:t>
            </w:r>
          </w:p>
        </w:tc>
      </w:tr>
      <w:tr>
        <w:tblPrEx>
          <w:tblCellMar>
            <w:top w:w="0" w:type="dxa"/>
            <w:left w:w="108" w:type="dxa"/>
            <w:bottom w:w="0" w:type="dxa"/>
            <w:right w:w="108" w:type="dxa"/>
          </w:tblCellMar>
        </w:tblPrEx>
        <w:trPr>
          <w:trHeight w:val="345" w:hRule="atLeast"/>
          <w:tblHeader/>
        </w:trPr>
        <w:tc>
          <w:tcPr>
            <w:tcW w:w="1080"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7</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1</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0.00145</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0.00152</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0.00147</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0.00136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0.00137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0.00139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0.00135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0.00133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0.00154</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0.00171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0.00169</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0.00154</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2</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0.00399</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0.00425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0.00396</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0.00412</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0.00365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0.00368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0.00374</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0.00386</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0.00401</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3</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0.00784</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0.00776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0.00776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0.00770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0.00773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0.00772</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0.00793</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0.00773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0.00775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0.00779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0.00790</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0.00741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0.00771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0.00805</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0.00798</w:t>
            </w:r>
          </w:p>
        </w:tc>
      </w:tr>
    </w:tbl>
    <w:p>
      <w:pPr>
        <w:jc w:val="center"/>
        <w:rPr>
          <w:sz w:val="18"/>
          <w:szCs w:val="18"/>
        </w:rPr>
      </w:pPr>
    </w:p>
    <w:p>
      <w:pPr>
        <w:jc w:val="center"/>
        <w:rPr>
          <w:sz w:val="18"/>
          <w:szCs w:val="18"/>
        </w:rPr>
      </w:pPr>
    </w:p>
    <w:tbl>
      <w:tblPr>
        <w:tblStyle w:val="88"/>
        <w:tblW w:w="9720" w:type="dxa"/>
        <w:tblInd w:w="0"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285" w:hRule="atLeast"/>
          <w:tblHeader/>
        </w:trPr>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kern w:val="0"/>
                <w:sz w:val="18"/>
                <w:szCs w:val="18"/>
              </w:rPr>
            </w:pPr>
            <w:r>
              <w:rPr>
                <w:kern w:val="0"/>
                <w:sz w:val="18"/>
                <w:szCs w:val="18"/>
              </w:rPr>
              <w:t>水平数</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kern w:val="0"/>
                <w:sz w:val="18"/>
                <w:szCs w:val="18"/>
              </w:rPr>
            </w:pPr>
            <w:r>
              <w:rPr>
                <w:kern w:val="0"/>
                <w:sz w:val="18"/>
                <w:szCs w:val="18"/>
              </w:rPr>
              <w:t>实验室</w:t>
            </w:r>
          </w:p>
        </w:tc>
        <w:tc>
          <w:tcPr>
            <w:tcW w:w="7560" w:type="dxa"/>
            <w:gridSpan w:val="7"/>
            <w:tcBorders>
              <w:top w:val="single" w:color="auto" w:sz="8" w:space="0"/>
              <w:left w:val="nil"/>
              <w:bottom w:val="single" w:color="auto" w:sz="8" w:space="0"/>
              <w:right w:val="single" w:color="000000" w:sz="8" w:space="0"/>
            </w:tcBorders>
            <w:shd w:val="clear" w:color="auto" w:fill="auto"/>
            <w:noWrap/>
            <w:vAlign w:val="center"/>
          </w:tcPr>
          <w:p>
            <w:pPr>
              <w:widowControl/>
              <w:jc w:val="center"/>
              <w:rPr>
                <w:kern w:val="0"/>
                <w:sz w:val="18"/>
                <w:szCs w:val="18"/>
              </w:rPr>
            </w:pPr>
            <w:r>
              <w:rPr>
                <w:kern w:val="0"/>
                <w:sz w:val="18"/>
                <w:szCs w:val="18"/>
              </w:rPr>
              <w:t>Ni 的质量分数/%，（n=7）</w:t>
            </w:r>
          </w:p>
        </w:tc>
      </w:tr>
      <w:tr>
        <w:tblPrEx>
          <w:tblCellMar>
            <w:top w:w="0" w:type="dxa"/>
            <w:left w:w="108" w:type="dxa"/>
            <w:bottom w:w="0" w:type="dxa"/>
            <w:right w:w="108" w:type="dxa"/>
          </w:tblCellMar>
        </w:tblPrEx>
        <w:trPr>
          <w:trHeight w:val="345" w:hRule="atLeast"/>
          <w:tblHeader/>
        </w:trPr>
        <w:tc>
          <w:tcPr>
            <w:tcW w:w="1080"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7</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1</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0.00151</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0.00134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0.00158</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0.00144</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0.00140</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0.00149</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0.00151</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2</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0.00411</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0.00357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0.00370</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0.00389</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0.00401</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0.00421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0.00409</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0.00411</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3</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0.00860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0.00799</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0.00756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0.00749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0.00769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0.00767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0.00752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0.00758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0.00741</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0.00817</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0.00763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0.00764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0.00761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0.00772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0.00773</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0.00779</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0.00860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0.00799</w:t>
            </w:r>
          </w:p>
        </w:tc>
      </w:tr>
    </w:tbl>
    <w:p>
      <w:pPr>
        <w:jc w:val="center"/>
        <w:rPr>
          <w:sz w:val="18"/>
          <w:szCs w:val="18"/>
        </w:rPr>
      </w:pPr>
    </w:p>
    <w:p>
      <w:pPr>
        <w:jc w:val="center"/>
        <w:rPr>
          <w:sz w:val="18"/>
          <w:szCs w:val="18"/>
        </w:rPr>
      </w:pPr>
    </w:p>
    <w:tbl>
      <w:tblPr>
        <w:tblStyle w:val="88"/>
        <w:tblW w:w="9720" w:type="dxa"/>
        <w:tblInd w:w="0"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285" w:hRule="atLeast"/>
          <w:tblHeader/>
        </w:trPr>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kern w:val="0"/>
                <w:sz w:val="18"/>
                <w:szCs w:val="18"/>
              </w:rPr>
            </w:pPr>
            <w:r>
              <w:rPr>
                <w:kern w:val="0"/>
                <w:sz w:val="18"/>
                <w:szCs w:val="18"/>
              </w:rPr>
              <w:t>水平数</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kern w:val="0"/>
                <w:sz w:val="18"/>
                <w:szCs w:val="18"/>
              </w:rPr>
            </w:pPr>
            <w:r>
              <w:rPr>
                <w:kern w:val="0"/>
                <w:sz w:val="18"/>
                <w:szCs w:val="18"/>
              </w:rPr>
              <w:t>实验室</w:t>
            </w:r>
          </w:p>
        </w:tc>
        <w:tc>
          <w:tcPr>
            <w:tcW w:w="7560" w:type="dxa"/>
            <w:gridSpan w:val="7"/>
            <w:tcBorders>
              <w:top w:val="single" w:color="auto" w:sz="8" w:space="0"/>
              <w:left w:val="nil"/>
              <w:bottom w:val="single" w:color="auto" w:sz="8" w:space="0"/>
              <w:right w:val="single" w:color="000000" w:sz="8" w:space="0"/>
            </w:tcBorders>
            <w:shd w:val="clear" w:color="auto" w:fill="auto"/>
            <w:noWrap/>
            <w:vAlign w:val="center"/>
          </w:tcPr>
          <w:p>
            <w:pPr>
              <w:widowControl/>
              <w:jc w:val="center"/>
              <w:rPr>
                <w:kern w:val="0"/>
                <w:sz w:val="18"/>
                <w:szCs w:val="18"/>
              </w:rPr>
            </w:pPr>
            <w:r>
              <w:rPr>
                <w:kern w:val="0"/>
                <w:sz w:val="18"/>
                <w:szCs w:val="18"/>
              </w:rPr>
              <w:t>Cu  的质量分数/%，（n=7）</w:t>
            </w:r>
          </w:p>
        </w:tc>
      </w:tr>
      <w:tr>
        <w:tblPrEx>
          <w:tblCellMar>
            <w:top w:w="0" w:type="dxa"/>
            <w:left w:w="108" w:type="dxa"/>
            <w:bottom w:w="0" w:type="dxa"/>
            <w:right w:w="108" w:type="dxa"/>
          </w:tblCellMar>
        </w:tblPrEx>
        <w:trPr>
          <w:trHeight w:val="345" w:hRule="atLeast"/>
          <w:tblHeader/>
        </w:trPr>
        <w:tc>
          <w:tcPr>
            <w:tcW w:w="1080"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7</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1</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0.00018</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0.00023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0.00028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0.00026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0.00026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0.00025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0.00024</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0.00020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0.00019</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0.00018</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0.00016</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0.00023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0.00022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0.00021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0.00021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0.00022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0.00021</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2</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0.00161</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0.00154</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0.00155</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0.00170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0.00161</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0.00152</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0.00171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0.00171</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3</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0.00415</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0.00359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0.00369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0.00361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0.00355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0.00359</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0.00415</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0.00395</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0.00401</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0.00421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0.00423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0.00427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0.00428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0.00423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0.00416</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4</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0.00804</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0.00897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0.00889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0.00890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0.00814</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0.00816</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0.00806</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0.00776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0.00772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0.00779</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0.00827</w:t>
            </w:r>
          </w:p>
        </w:tc>
      </w:tr>
    </w:tbl>
    <w:p>
      <w:pPr>
        <w:jc w:val="center"/>
        <w:rPr>
          <w:sz w:val="18"/>
          <w:szCs w:val="18"/>
        </w:rPr>
      </w:pPr>
    </w:p>
    <w:p>
      <w:pPr>
        <w:jc w:val="center"/>
        <w:rPr>
          <w:sz w:val="18"/>
          <w:szCs w:val="18"/>
        </w:rPr>
      </w:pPr>
    </w:p>
    <w:tbl>
      <w:tblPr>
        <w:tblStyle w:val="88"/>
        <w:tblW w:w="9720" w:type="dxa"/>
        <w:tblInd w:w="0"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285" w:hRule="atLeast"/>
          <w:tblHeader/>
        </w:trPr>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kern w:val="0"/>
                <w:sz w:val="18"/>
                <w:szCs w:val="18"/>
              </w:rPr>
            </w:pPr>
            <w:r>
              <w:rPr>
                <w:kern w:val="0"/>
                <w:sz w:val="18"/>
                <w:szCs w:val="18"/>
              </w:rPr>
              <w:t>水平数</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kern w:val="0"/>
                <w:sz w:val="18"/>
                <w:szCs w:val="18"/>
              </w:rPr>
            </w:pPr>
            <w:r>
              <w:rPr>
                <w:kern w:val="0"/>
                <w:sz w:val="18"/>
                <w:szCs w:val="18"/>
              </w:rPr>
              <w:t>实验室</w:t>
            </w:r>
          </w:p>
        </w:tc>
        <w:tc>
          <w:tcPr>
            <w:tcW w:w="7560" w:type="dxa"/>
            <w:gridSpan w:val="7"/>
            <w:tcBorders>
              <w:top w:val="single" w:color="auto" w:sz="8" w:space="0"/>
              <w:left w:val="nil"/>
              <w:bottom w:val="single" w:color="auto" w:sz="8" w:space="0"/>
              <w:right w:val="single" w:color="000000" w:sz="8" w:space="0"/>
            </w:tcBorders>
            <w:shd w:val="clear" w:color="auto" w:fill="auto"/>
            <w:noWrap/>
            <w:vAlign w:val="center"/>
          </w:tcPr>
          <w:p>
            <w:pPr>
              <w:widowControl/>
              <w:jc w:val="center"/>
              <w:rPr>
                <w:kern w:val="0"/>
                <w:sz w:val="18"/>
                <w:szCs w:val="18"/>
              </w:rPr>
            </w:pPr>
            <w:r>
              <w:rPr>
                <w:kern w:val="0"/>
                <w:sz w:val="18"/>
                <w:szCs w:val="18"/>
              </w:rPr>
              <w:t>Zn  的质量分数/%，（n=7）</w:t>
            </w:r>
          </w:p>
        </w:tc>
      </w:tr>
      <w:tr>
        <w:tblPrEx>
          <w:tblCellMar>
            <w:top w:w="0" w:type="dxa"/>
            <w:left w:w="108" w:type="dxa"/>
            <w:bottom w:w="0" w:type="dxa"/>
            <w:right w:w="108" w:type="dxa"/>
          </w:tblCellMar>
        </w:tblPrEx>
        <w:trPr>
          <w:trHeight w:val="345" w:hRule="atLeast"/>
          <w:tblHeader/>
        </w:trPr>
        <w:tc>
          <w:tcPr>
            <w:tcW w:w="1080"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7</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1</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0.00148</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0.00153</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0.00146</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0.00142</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0.00149</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0.00149</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2</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0.00405</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0.00369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0.00373</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0.00401</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0.00368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0.00378</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0.00386</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0.00423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0.00411</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3</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0.00791</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0.00753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0.00749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0.00775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0.00760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0.00751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0.00761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0.00762</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0.00786</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0.00777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0.00768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0.00763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0.00772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0.00779</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0.00782</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0.00816</w:t>
            </w:r>
          </w:p>
        </w:tc>
      </w:tr>
    </w:tbl>
    <w:p>
      <w:pPr>
        <w:jc w:val="center"/>
        <w:rPr>
          <w:sz w:val="18"/>
          <w:szCs w:val="18"/>
        </w:rPr>
      </w:pPr>
    </w:p>
    <w:p>
      <w:pPr>
        <w:jc w:val="center"/>
        <w:rPr>
          <w:sz w:val="18"/>
          <w:szCs w:val="18"/>
        </w:rPr>
      </w:pPr>
    </w:p>
    <w:tbl>
      <w:tblPr>
        <w:tblStyle w:val="88"/>
        <w:tblW w:w="9720" w:type="dxa"/>
        <w:tblInd w:w="0"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285" w:hRule="atLeast"/>
          <w:tblHeader/>
        </w:trPr>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kern w:val="0"/>
                <w:sz w:val="18"/>
                <w:szCs w:val="18"/>
              </w:rPr>
            </w:pPr>
            <w:r>
              <w:rPr>
                <w:kern w:val="0"/>
                <w:sz w:val="18"/>
                <w:szCs w:val="18"/>
              </w:rPr>
              <w:t>水平数</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kern w:val="0"/>
                <w:sz w:val="18"/>
                <w:szCs w:val="18"/>
              </w:rPr>
            </w:pPr>
            <w:r>
              <w:rPr>
                <w:kern w:val="0"/>
                <w:sz w:val="18"/>
                <w:szCs w:val="18"/>
              </w:rPr>
              <w:t>实验室</w:t>
            </w:r>
          </w:p>
        </w:tc>
        <w:tc>
          <w:tcPr>
            <w:tcW w:w="7560" w:type="dxa"/>
            <w:gridSpan w:val="7"/>
            <w:tcBorders>
              <w:top w:val="single" w:color="auto" w:sz="8" w:space="0"/>
              <w:left w:val="nil"/>
              <w:bottom w:val="single" w:color="auto" w:sz="8" w:space="0"/>
              <w:right w:val="single" w:color="000000" w:sz="8" w:space="0"/>
            </w:tcBorders>
            <w:shd w:val="clear" w:color="auto" w:fill="auto"/>
            <w:noWrap/>
            <w:vAlign w:val="center"/>
          </w:tcPr>
          <w:p>
            <w:pPr>
              <w:widowControl/>
              <w:jc w:val="center"/>
              <w:rPr>
                <w:kern w:val="0"/>
                <w:sz w:val="18"/>
                <w:szCs w:val="18"/>
              </w:rPr>
            </w:pPr>
            <w:r>
              <w:rPr>
                <w:kern w:val="0"/>
                <w:sz w:val="18"/>
                <w:szCs w:val="18"/>
              </w:rPr>
              <w:t>Mo  的质量分数/%，（n=7）</w:t>
            </w:r>
          </w:p>
        </w:tc>
      </w:tr>
      <w:tr>
        <w:tblPrEx>
          <w:tblCellMar>
            <w:top w:w="0" w:type="dxa"/>
            <w:left w:w="108" w:type="dxa"/>
            <w:bottom w:w="0" w:type="dxa"/>
            <w:right w:w="108" w:type="dxa"/>
          </w:tblCellMar>
        </w:tblPrEx>
        <w:trPr>
          <w:trHeight w:val="345" w:hRule="atLeast"/>
          <w:tblHeader/>
        </w:trPr>
        <w:tc>
          <w:tcPr>
            <w:tcW w:w="1080"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7</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1</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0.00011</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0.00011</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0.00011</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0.00011</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0.00012</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0.00012</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2</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0.00154</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0.00141</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0.00151</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0.00150</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0.00152</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0.00154</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3</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0.00407</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0.00395</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0.00402</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0.00393</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0.00396</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0.00403</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4</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0.00814</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0.00742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0.00733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0.00746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0.00728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0.00822</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0.00833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0.00809</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0.00825</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0.00811</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0.00803</w:t>
            </w:r>
          </w:p>
        </w:tc>
      </w:tr>
    </w:tbl>
    <w:p>
      <w:pPr>
        <w:jc w:val="center"/>
        <w:rPr>
          <w:sz w:val="18"/>
          <w:szCs w:val="18"/>
        </w:rPr>
      </w:pPr>
    </w:p>
    <w:p>
      <w:pPr>
        <w:jc w:val="center"/>
        <w:rPr>
          <w:sz w:val="18"/>
          <w:szCs w:val="18"/>
        </w:rPr>
      </w:pPr>
    </w:p>
    <w:tbl>
      <w:tblPr>
        <w:tblStyle w:val="88"/>
        <w:tblW w:w="9720" w:type="dxa"/>
        <w:tblInd w:w="0"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285" w:hRule="atLeast"/>
          <w:tblHeader/>
        </w:trPr>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kern w:val="0"/>
                <w:sz w:val="18"/>
                <w:szCs w:val="18"/>
              </w:rPr>
            </w:pPr>
            <w:r>
              <w:rPr>
                <w:kern w:val="0"/>
                <w:sz w:val="18"/>
                <w:szCs w:val="18"/>
              </w:rPr>
              <w:t>水平数</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kern w:val="0"/>
                <w:sz w:val="18"/>
                <w:szCs w:val="18"/>
              </w:rPr>
            </w:pPr>
            <w:r>
              <w:rPr>
                <w:kern w:val="0"/>
                <w:sz w:val="18"/>
                <w:szCs w:val="18"/>
              </w:rPr>
              <w:t>实验室</w:t>
            </w:r>
          </w:p>
        </w:tc>
        <w:tc>
          <w:tcPr>
            <w:tcW w:w="7560" w:type="dxa"/>
            <w:gridSpan w:val="7"/>
            <w:tcBorders>
              <w:top w:val="single" w:color="auto" w:sz="8" w:space="0"/>
              <w:left w:val="nil"/>
              <w:bottom w:val="single" w:color="auto" w:sz="8" w:space="0"/>
              <w:right w:val="single" w:color="000000" w:sz="8" w:space="0"/>
            </w:tcBorders>
            <w:shd w:val="clear" w:color="auto" w:fill="auto"/>
            <w:noWrap/>
            <w:vAlign w:val="center"/>
          </w:tcPr>
          <w:p>
            <w:pPr>
              <w:widowControl/>
              <w:jc w:val="center"/>
              <w:rPr>
                <w:kern w:val="0"/>
                <w:sz w:val="18"/>
                <w:szCs w:val="18"/>
              </w:rPr>
            </w:pPr>
            <w:r>
              <w:rPr>
                <w:kern w:val="0"/>
                <w:sz w:val="18"/>
                <w:szCs w:val="18"/>
              </w:rPr>
              <w:t>Pb  的质量分数/%，（n=7）</w:t>
            </w:r>
          </w:p>
        </w:tc>
      </w:tr>
      <w:tr>
        <w:tblPrEx>
          <w:tblCellMar>
            <w:top w:w="0" w:type="dxa"/>
            <w:left w:w="108" w:type="dxa"/>
            <w:bottom w:w="0" w:type="dxa"/>
            <w:right w:w="108" w:type="dxa"/>
          </w:tblCellMar>
        </w:tblPrEx>
        <w:trPr>
          <w:trHeight w:val="345" w:hRule="atLeast"/>
          <w:tblHeader/>
        </w:trPr>
        <w:tc>
          <w:tcPr>
            <w:tcW w:w="1080"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7</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1</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0.00149</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0.00148</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0.00151</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0.00139</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0.00171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0.00158</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0.00147</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2</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0.00399</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0.00386</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0.00405</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0.00377</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0.00369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0.00355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0.00365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0.00375</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0.00401</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3</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0.00814</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0.00773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0.00772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0.00778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0.00774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0.00773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0.00774</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0.00805</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0.00806</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0.00809</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0.00801</w:t>
            </w:r>
          </w:p>
        </w:tc>
      </w:tr>
    </w:tbl>
    <w:p>
      <w:pPr>
        <w:jc w:val="center"/>
        <w:rPr>
          <w:sz w:val="18"/>
          <w:szCs w:val="18"/>
        </w:rPr>
      </w:pPr>
    </w:p>
    <w:p>
      <w:pPr>
        <w:jc w:val="center"/>
        <w:rPr>
          <w:sz w:val="18"/>
          <w:szCs w:val="18"/>
        </w:rPr>
      </w:pPr>
    </w:p>
    <w:tbl>
      <w:tblPr>
        <w:tblStyle w:val="88"/>
        <w:tblW w:w="9720" w:type="dxa"/>
        <w:tblInd w:w="0"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285" w:hRule="atLeast"/>
          <w:tblHeader/>
        </w:trPr>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kern w:val="0"/>
                <w:sz w:val="18"/>
                <w:szCs w:val="18"/>
              </w:rPr>
            </w:pPr>
            <w:r>
              <w:rPr>
                <w:kern w:val="0"/>
                <w:sz w:val="18"/>
                <w:szCs w:val="18"/>
              </w:rPr>
              <w:t>水平数</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kern w:val="0"/>
                <w:sz w:val="18"/>
                <w:szCs w:val="18"/>
              </w:rPr>
            </w:pPr>
            <w:r>
              <w:rPr>
                <w:kern w:val="0"/>
                <w:sz w:val="18"/>
                <w:szCs w:val="18"/>
              </w:rPr>
              <w:t>实验室</w:t>
            </w:r>
          </w:p>
        </w:tc>
        <w:tc>
          <w:tcPr>
            <w:tcW w:w="7560" w:type="dxa"/>
            <w:gridSpan w:val="7"/>
            <w:tcBorders>
              <w:top w:val="single" w:color="auto" w:sz="8" w:space="0"/>
              <w:left w:val="nil"/>
              <w:bottom w:val="single" w:color="auto" w:sz="8" w:space="0"/>
              <w:right w:val="single" w:color="000000" w:sz="8" w:space="0"/>
            </w:tcBorders>
            <w:shd w:val="clear" w:color="auto" w:fill="auto"/>
            <w:noWrap/>
            <w:vAlign w:val="center"/>
          </w:tcPr>
          <w:p>
            <w:pPr>
              <w:widowControl/>
              <w:jc w:val="center"/>
              <w:rPr>
                <w:kern w:val="0"/>
                <w:sz w:val="18"/>
                <w:szCs w:val="18"/>
              </w:rPr>
            </w:pPr>
            <w:r>
              <w:rPr>
                <w:kern w:val="0"/>
                <w:sz w:val="18"/>
                <w:szCs w:val="18"/>
              </w:rPr>
              <w:t>Bi  的质量分数/%，（n=7）</w:t>
            </w:r>
          </w:p>
        </w:tc>
      </w:tr>
      <w:tr>
        <w:tblPrEx>
          <w:tblCellMar>
            <w:top w:w="0" w:type="dxa"/>
            <w:left w:w="108" w:type="dxa"/>
            <w:bottom w:w="0" w:type="dxa"/>
            <w:right w:w="108" w:type="dxa"/>
          </w:tblCellMar>
        </w:tblPrEx>
        <w:trPr>
          <w:trHeight w:val="345" w:hRule="atLeast"/>
          <w:tblHeader/>
        </w:trPr>
        <w:tc>
          <w:tcPr>
            <w:tcW w:w="1080"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7</w:t>
            </w:r>
          </w:p>
        </w:tc>
      </w:tr>
      <w:tr>
        <w:tblPrEx>
          <w:tblCellMar>
            <w:top w:w="0" w:type="dxa"/>
            <w:left w:w="108" w:type="dxa"/>
            <w:bottom w:w="0" w:type="dxa"/>
            <w:right w:w="108" w:type="dxa"/>
          </w:tblCellMar>
        </w:tblPrEx>
        <w:trPr>
          <w:trHeight w:val="285" w:hRule="atLeast"/>
        </w:trPr>
        <w:tc>
          <w:tcPr>
            <w:tcW w:w="1080" w:type="dxa"/>
            <w:vMerge w:val="restart"/>
            <w:tcBorders>
              <w:top w:val="single" w:color="000000" w:sz="8" w:space="0"/>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1</w:t>
            </w:r>
          </w:p>
        </w:tc>
        <w:tc>
          <w:tcPr>
            <w:tcW w:w="1080" w:type="dxa"/>
            <w:tcBorders>
              <w:top w:val="single" w:color="000000" w:sz="8" w:space="0"/>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0.00148</w:t>
            </w:r>
          </w:p>
        </w:tc>
      </w:tr>
      <w:tr>
        <w:tblPrEx>
          <w:tblCellMar>
            <w:top w:w="0" w:type="dxa"/>
            <w:left w:w="108" w:type="dxa"/>
            <w:bottom w:w="0" w:type="dxa"/>
            <w:right w:w="108" w:type="dxa"/>
          </w:tblCellMar>
        </w:tblPrEx>
        <w:trPr>
          <w:trHeight w:val="285" w:hRule="atLeast"/>
        </w:trPr>
        <w:tc>
          <w:tcPr>
            <w:tcW w:w="108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single" w:color="auto" w:sz="8" w:space="0"/>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0.00147</w:t>
            </w:r>
          </w:p>
        </w:tc>
      </w:tr>
      <w:tr>
        <w:tblPrEx>
          <w:tblCellMar>
            <w:top w:w="0" w:type="dxa"/>
            <w:left w:w="108" w:type="dxa"/>
            <w:bottom w:w="0" w:type="dxa"/>
            <w:right w:w="108" w:type="dxa"/>
          </w:tblCellMar>
        </w:tblPrEx>
        <w:trPr>
          <w:trHeight w:val="285" w:hRule="atLeast"/>
        </w:trPr>
        <w:tc>
          <w:tcPr>
            <w:tcW w:w="108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single" w:color="auto" w:sz="8" w:space="0"/>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0.00135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0.00145</w:t>
            </w:r>
          </w:p>
        </w:tc>
      </w:tr>
      <w:tr>
        <w:tblPrEx>
          <w:tblCellMar>
            <w:top w:w="0" w:type="dxa"/>
            <w:left w:w="108" w:type="dxa"/>
            <w:bottom w:w="0" w:type="dxa"/>
            <w:right w:w="108" w:type="dxa"/>
          </w:tblCellMar>
        </w:tblPrEx>
        <w:trPr>
          <w:trHeight w:val="285" w:hRule="atLeast"/>
        </w:trPr>
        <w:tc>
          <w:tcPr>
            <w:tcW w:w="108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single" w:color="auto" w:sz="8" w:space="0"/>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0.00142</w:t>
            </w:r>
          </w:p>
        </w:tc>
      </w:tr>
      <w:tr>
        <w:tblPrEx>
          <w:tblCellMar>
            <w:top w:w="0" w:type="dxa"/>
            <w:left w:w="108" w:type="dxa"/>
            <w:bottom w:w="0" w:type="dxa"/>
            <w:right w:w="108" w:type="dxa"/>
          </w:tblCellMar>
        </w:tblPrEx>
        <w:trPr>
          <w:trHeight w:val="285" w:hRule="atLeast"/>
        </w:trPr>
        <w:tc>
          <w:tcPr>
            <w:tcW w:w="108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single" w:color="auto" w:sz="8" w:space="0"/>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0.00163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0.00159</w:t>
            </w:r>
          </w:p>
        </w:tc>
      </w:tr>
      <w:tr>
        <w:tblPrEx>
          <w:tblCellMar>
            <w:top w:w="0" w:type="dxa"/>
            <w:left w:w="108" w:type="dxa"/>
            <w:bottom w:w="0" w:type="dxa"/>
            <w:right w:w="108" w:type="dxa"/>
          </w:tblCellMar>
        </w:tblPrEx>
        <w:trPr>
          <w:trHeight w:val="285" w:hRule="atLeast"/>
        </w:trPr>
        <w:tc>
          <w:tcPr>
            <w:tcW w:w="108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single" w:color="auto" w:sz="8" w:space="0"/>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0.00147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0.00154</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2</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0.00412</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0.00434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0.00435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0.00439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0.00438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0.00436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0.00437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0.00439</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0.00412</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0.00391</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0.00389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0.00405</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0.00415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0.00404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0.00397</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3</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0.00828</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0.00792</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0.00819</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0.00836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0.00831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0.00841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0.00841</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0.00821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0.00809</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0.00831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0.00813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0.00801</w:t>
            </w:r>
          </w:p>
        </w:tc>
      </w:tr>
    </w:tbl>
    <w:p>
      <w:pPr>
        <w:jc w:val="center"/>
        <w:rPr>
          <w:sz w:val="18"/>
          <w:szCs w:val="18"/>
        </w:rPr>
      </w:pPr>
    </w:p>
    <w:p>
      <w:pPr>
        <w:jc w:val="center"/>
        <w:rPr>
          <w:sz w:val="18"/>
          <w:szCs w:val="18"/>
        </w:rPr>
      </w:pPr>
    </w:p>
    <w:tbl>
      <w:tblPr>
        <w:tblStyle w:val="88"/>
        <w:tblW w:w="9720" w:type="dxa"/>
        <w:tblInd w:w="0"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285" w:hRule="atLeast"/>
          <w:tblHeader/>
        </w:trPr>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kern w:val="0"/>
                <w:sz w:val="18"/>
                <w:szCs w:val="18"/>
              </w:rPr>
            </w:pPr>
            <w:r>
              <w:rPr>
                <w:kern w:val="0"/>
                <w:sz w:val="18"/>
                <w:szCs w:val="18"/>
              </w:rPr>
              <w:t>水平数</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kern w:val="0"/>
                <w:sz w:val="18"/>
                <w:szCs w:val="18"/>
              </w:rPr>
            </w:pPr>
            <w:r>
              <w:rPr>
                <w:kern w:val="0"/>
                <w:sz w:val="18"/>
                <w:szCs w:val="18"/>
              </w:rPr>
              <w:t>实验室</w:t>
            </w:r>
          </w:p>
        </w:tc>
        <w:tc>
          <w:tcPr>
            <w:tcW w:w="7560" w:type="dxa"/>
            <w:gridSpan w:val="7"/>
            <w:tcBorders>
              <w:top w:val="single" w:color="auto" w:sz="8" w:space="0"/>
              <w:left w:val="nil"/>
              <w:bottom w:val="single" w:color="auto" w:sz="8" w:space="0"/>
              <w:right w:val="single" w:color="000000" w:sz="8" w:space="0"/>
            </w:tcBorders>
            <w:shd w:val="clear" w:color="auto" w:fill="auto"/>
            <w:noWrap/>
            <w:vAlign w:val="center"/>
          </w:tcPr>
          <w:p>
            <w:pPr>
              <w:widowControl/>
              <w:jc w:val="center"/>
              <w:rPr>
                <w:kern w:val="0"/>
                <w:sz w:val="18"/>
                <w:szCs w:val="18"/>
              </w:rPr>
            </w:pPr>
            <w:r>
              <w:rPr>
                <w:kern w:val="0"/>
                <w:sz w:val="18"/>
                <w:szCs w:val="18"/>
              </w:rPr>
              <w:t>Hf  的质量分数/%，（n=7）</w:t>
            </w:r>
          </w:p>
        </w:tc>
      </w:tr>
      <w:tr>
        <w:tblPrEx>
          <w:tblCellMar>
            <w:top w:w="0" w:type="dxa"/>
            <w:left w:w="108" w:type="dxa"/>
            <w:bottom w:w="0" w:type="dxa"/>
            <w:right w:w="108" w:type="dxa"/>
          </w:tblCellMar>
        </w:tblPrEx>
        <w:trPr>
          <w:trHeight w:val="345" w:hRule="atLeast"/>
          <w:tblHeader/>
        </w:trPr>
        <w:tc>
          <w:tcPr>
            <w:tcW w:w="1080"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7</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1</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0.00033</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0.00040</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0.00029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0.00028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0.00028</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0.00030</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0.00040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0.00039</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0.00029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0.00029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0.00026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0.00034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0.00029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0.00029</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2</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0.00199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0.00201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0.00196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0.00185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0.00221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0.00195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0.00197</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0.00209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0.00201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0.00206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0.00205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0.00201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0.00205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0.00207</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0.00216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0.00194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0.00198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0.00203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0.00221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0.00189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0.00201</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0.00193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0.00198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0.00205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0.00201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0.00202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0.00197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0.00196</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0.00183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0.00190</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0.00185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0.00192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0.00179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0.00191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0.00189</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0.00225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0.00229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0.00213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0.00216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0.00215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0.00209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0.00209</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3</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国合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0.00702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0.00711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0.00715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0.00685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0.00693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0.00721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0.00732</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锆铪中心</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0.00798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0.00786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0.00752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0.00763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0.00769</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西部新锆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0.00712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0.00731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0.00703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0.00694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0.00682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0.00726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0.00735</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青岛</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0.00704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0.00697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0.00703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0.00686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0.00692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0.00697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0.00693</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亿金</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0.00663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0.00689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0.00675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0.00669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0.00683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0.00677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0.00685</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kern w:val="0"/>
                <w:sz w:val="18"/>
                <w:szCs w:val="18"/>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kern w:val="0"/>
                <w:sz w:val="18"/>
                <w:szCs w:val="18"/>
              </w:rPr>
            </w:pPr>
            <w:r>
              <w:rPr>
                <w:kern w:val="0"/>
                <w:sz w:val="18"/>
                <w:szCs w:val="18"/>
              </w:rPr>
              <w:t>广东</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0.00726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0.00719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0.00718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0.00716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0.00732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0.00713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kern w:val="0"/>
                <w:sz w:val="18"/>
                <w:szCs w:val="18"/>
              </w:rPr>
            </w:pPr>
            <w:r>
              <w:rPr>
                <w:kern w:val="0"/>
                <w:sz w:val="18"/>
                <w:szCs w:val="18"/>
              </w:rPr>
              <w:t>0.00722</w:t>
            </w:r>
          </w:p>
        </w:tc>
      </w:tr>
    </w:tbl>
    <w:p>
      <w:pPr>
        <w:jc w:val="center"/>
        <w:rPr>
          <w:sz w:val="18"/>
          <w:szCs w:val="18"/>
        </w:rPr>
      </w:pPr>
    </w:p>
    <w:sectPr>
      <w:footerReference r:id="rId3" w:type="default"/>
      <w:pgSz w:w="11850" w:h="16783"/>
      <w:pgMar w:top="1134" w:right="1077" w:bottom="1213"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fldChar w:fldCharType="begin"/>
    </w:r>
    <w:r>
      <w:instrText xml:space="preserve"> PAGE   \* MERGEFORMAT </w:instrText>
    </w:r>
    <w:r>
      <w:fldChar w:fldCharType="separate"/>
    </w:r>
    <w:r>
      <w:rPr>
        <w:lang w:val="zh-CN"/>
      </w:rPr>
      <w:t>21</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BB5F72"/>
    <w:multiLevelType w:val="singleLevel"/>
    <w:tmpl w:val="93BB5F72"/>
    <w:lvl w:ilvl="0" w:tentative="0">
      <w:start w:val="1"/>
      <w:numFmt w:val="decimal"/>
      <w:suff w:val="nothing"/>
      <w:lvlText w:val="%1、"/>
      <w:lvlJc w:val="left"/>
    </w:lvl>
  </w:abstractNum>
  <w:abstractNum w:abstractNumId="1">
    <w:nsid w:val="00000015"/>
    <w:multiLevelType w:val="multilevel"/>
    <w:tmpl w:val="00000015"/>
    <w:lvl w:ilvl="0" w:tentative="0">
      <w:start w:val="1"/>
      <w:numFmt w:val="upperLetter"/>
      <w:pStyle w:val="24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246"/>
      <w:lvlText w:val="（%2）"/>
      <w:lvlJc w:val="left"/>
      <w:pPr>
        <w:ind w:left="0" w:firstLine="0"/>
      </w:pPr>
      <w:rPr>
        <w:rFonts w:hint="default"/>
        <w:b w:val="0"/>
        <w:i w:val="0"/>
        <w:snapToGrid/>
        <w:spacing w:val="0"/>
        <w:w w:val="100"/>
        <w:kern w:val="21"/>
        <w:sz w:val="21"/>
        <w:lang w:val="en-US"/>
      </w:rPr>
    </w:lvl>
    <w:lvl w:ilvl="2" w:tentative="0">
      <w:start w:val="1"/>
      <w:numFmt w:val="decimal"/>
      <w:pStyle w:val="251"/>
      <w:suff w:val="nothing"/>
      <w:lvlText w:val="%1.%2.%3　"/>
      <w:lvlJc w:val="left"/>
      <w:pPr>
        <w:ind w:left="0" w:firstLine="0"/>
      </w:pPr>
      <w:rPr>
        <w:rFonts w:hint="eastAsia" w:ascii="黑体" w:hAnsi="Times New Roman" w:eastAsia="黑体"/>
        <w:b w:val="0"/>
        <w:i w:val="0"/>
        <w:sz w:val="21"/>
      </w:rPr>
    </w:lvl>
    <w:lvl w:ilvl="3" w:tentative="0">
      <w:start w:val="1"/>
      <w:numFmt w:val="decimal"/>
      <w:pStyle w:val="250"/>
      <w:suff w:val="nothing"/>
      <w:lvlText w:val="%1.%2.%3.%4　"/>
      <w:lvlJc w:val="left"/>
      <w:pPr>
        <w:ind w:left="0" w:firstLine="0"/>
      </w:pPr>
      <w:rPr>
        <w:rFonts w:hint="eastAsia" w:ascii="黑体" w:hAnsi="Times New Roman" w:eastAsia="黑体"/>
        <w:b w:val="0"/>
        <w:i w:val="0"/>
        <w:sz w:val="21"/>
      </w:rPr>
    </w:lvl>
    <w:lvl w:ilvl="4" w:tentative="0">
      <w:start w:val="1"/>
      <w:numFmt w:val="decimal"/>
      <w:pStyle w:val="249"/>
      <w:suff w:val="nothing"/>
      <w:lvlText w:val="%1.%2.%3.%4.%5　"/>
      <w:lvlJc w:val="left"/>
      <w:pPr>
        <w:ind w:left="0" w:firstLine="0"/>
      </w:pPr>
      <w:rPr>
        <w:rFonts w:hint="eastAsia" w:ascii="黑体" w:hAnsi="Times New Roman" w:eastAsia="黑体"/>
        <w:b w:val="0"/>
        <w:i w:val="0"/>
        <w:sz w:val="21"/>
      </w:rPr>
    </w:lvl>
    <w:lvl w:ilvl="5" w:tentative="0">
      <w:start w:val="1"/>
      <w:numFmt w:val="decimal"/>
      <w:pStyle w:val="248"/>
      <w:suff w:val="nothing"/>
      <w:lvlText w:val="%1.%2.%3.%4.%5.%6　"/>
      <w:lvlJc w:val="left"/>
      <w:pPr>
        <w:ind w:left="0" w:firstLine="0"/>
      </w:pPr>
      <w:rPr>
        <w:rFonts w:hint="eastAsia" w:ascii="黑体" w:hAnsi="Times New Roman" w:eastAsia="黑体"/>
        <w:b w:val="0"/>
        <w:i w:val="0"/>
        <w:sz w:val="21"/>
      </w:rPr>
    </w:lvl>
    <w:lvl w:ilvl="6" w:tentative="0">
      <w:start w:val="1"/>
      <w:numFmt w:val="decimal"/>
      <w:pStyle w:val="24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3AB"/>
    <w:rsid w:val="00000843"/>
    <w:rsid w:val="000046B0"/>
    <w:rsid w:val="00006A40"/>
    <w:rsid w:val="00010180"/>
    <w:rsid w:val="000102B4"/>
    <w:rsid w:val="000115A6"/>
    <w:rsid w:val="00012DB2"/>
    <w:rsid w:val="00014853"/>
    <w:rsid w:val="00015388"/>
    <w:rsid w:val="0002096F"/>
    <w:rsid w:val="00022FF0"/>
    <w:rsid w:val="00024B42"/>
    <w:rsid w:val="00026D78"/>
    <w:rsid w:val="00032195"/>
    <w:rsid w:val="000332A6"/>
    <w:rsid w:val="00033691"/>
    <w:rsid w:val="00035035"/>
    <w:rsid w:val="00036C57"/>
    <w:rsid w:val="00046620"/>
    <w:rsid w:val="00047D95"/>
    <w:rsid w:val="00050085"/>
    <w:rsid w:val="0005146E"/>
    <w:rsid w:val="0005350B"/>
    <w:rsid w:val="00061D34"/>
    <w:rsid w:val="00061D46"/>
    <w:rsid w:val="00062070"/>
    <w:rsid w:val="0006432D"/>
    <w:rsid w:val="0006477B"/>
    <w:rsid w:val="00071169"/>
    <w:rsid w:val="00072756"/>
    <w:rsid w:val="000734DD"/>
    <w:rsid w:val="00073C3A"/>
    <w:rsid w:val="00074251"/>
    <w:rsid w:val="00081A9E"/>
    <w:rsid w:val="000825CA"/>
    <w:rsid w:val="00083A57"/>
    <w:rsid w:val="000842C3"/>
    <w:rsid w:val="00085404"/>
    <w:rsid w:val="00091DD9"/>
    <w:rsid w:val="000A0C8C"/>
    <w:rsid w:val="000A0CA9"/>
    <w:rsid w:val="000A180E"/>
    <w:rsid w:val="000A1CC0"/>
    <w:rsid w:val="000A1DCD"/>
    <w:rsid w:val="000A2986"/>
    <w:rsid w:val="000A35F1"/>
    <w:rsid w:val="000A54AC"/>
    <w:rsid w:val="000A569E"/>
    <w:rsid w:val="000A5CC2"/>
    <w:rsid w:val="000A7FF3"/>
    <w:rsid w:val="000B14A6"/>
    <w:rsid w:val="000B3127"/>
    <w:rsid w:val="000B313E"/>
    <w:rsid w:val="000B605E"/>
    <w:rsid w:val="000C44B2"/>
    <w:rsid w:val="000C44E3"/>
    <w:rsid w:val="000D6334"/>
    <w:rsid w:val="000D7360"/>
    <w:rsid w:val="000E068C"/>
    <w:rsid w:val="000E3741"/>
    <w:rsid w:val="000E37CA"/>
    <w:rsid w:val="000E5B60"/>
    <w:rsid w:val="000E6E9C"/>
    <w:rsid w:val="000E7ED5"/>
    <w:rsid w:val="000E7EDF"/>
    <w:rsid w:val="000F1FD1"/>
    <w:rsid w:val="000F224C"/>
    <w:rsid w:val="000F2D70"/>
    <w:rsid w:val="000F3489"/>
    <w:rsid w:val="0010034F"/>
    <w:rsid w:val="00100D28"/>
    <w:rsid w:val="00103BE5"/>
    <w:rsid w:val="00106EB6"/>
    <w:rsid w:val="001074F0"/>
    <w:rsid w:val="00110508"/>
    <w:rsid w:val="001115A6"/>
    <w:rsid w:val="00112CBC"/>
    <w:rsid w:val="0011570F"/>
    <w:rsid w:val="00116D8F"/>
    <w:rsid w:val="00122903"/>
    <w:rsid w:val="001241A8"/>
    <w:rsid w:val="0012694B"/>
    <w:rsid w:val="0012792A"/>
    <w:rsid w:val="0013056C"/>
    <w:rsid w:val="001313D9"/>
    <w:rsid w:val="001330C6"/>
    <w:rsid w:val="001345DA"/>
    <w:rsid w:val="00134E2D"/>
    <w:rsid w:val="00135E64"/>
    <w:rsid w:val="00136064"/>
    <w:rsid w:val="00137D4C"/>
    <w:rsid w:val="001424D5"/>
    <w:rsid w:val="001438F6"/>
    <w:rsid w:val="0015171C"/>
    <w:rsid w:val="00151F1C"/>
    <w:rsid w:val="00152747"/>
    <w:rsid w:val="00154608"/>
    <w:rsid w:val="00156452"/>
    <w:rsid w:val="00163B6C"/>
    <w:rsid w:val="001645BF"/>
    <w:rsid w:val="00164CD2"/>
    <w:rsid w:val="0016567C"/>
    <w:rsid w:val="00166ED4"/>
    <w:rsid w:val="00171087"/>
    <w:rsid w:val="0017147D"/>
    <w:rsid w:val="001742D0"/>
    <w:rsid w:val="00176CA2"/>
    <w:rsid w:val="00181F19"/>
    <w:rsid w:val="00182D22"/>
    <w:rsid w:val="00186DB8"/>
    <w:rsid w:val="00187FC9"/>
    <w:rsid w:val="0019163F"/>
    <w:rsid w:val="001927F0"/>
    <w:rsid w:val="00192E96"/>
    <w:rsid w:val="00194EB2"/>
    <w:rsid w:val="001A02DA"/>
    <w:rsid w:val="001A0910"/>
    <w:rsid w:val="001A1931"/>
    <w:rsid w:val="001A1A3D"/>
    <w:rsid w:val="001A287E"/>
    <w:rsid w:val="001A78A3"/>
    <w:rsid w:val="001B3592"/>
    <w:rsid w:val="001B5781"/>
    <w:rsid w:val="001C35AF"/>
    <w:rsid w:val="001C4AB5"/>
    <w:rsid w:val="001C5722"/>
    <w:rsid w:val="001C5E29"/>
    <w:rsid w:val="001C6263"/>
    <w:rsid w:val="001D18F0"/>
    <w:rsid w:val="001D1A3E"/>
    <w:rsid w:val="001D200A"/>
    <w:rsid w:val="001D24F0"/>
    <w:rsid w:val="001D57BC"/>
    <w:rsid w:val="001D5905"/>
    <w:rsid w:val="001D6080"/>
    <w:rsid w:val="001D783C"/>
    <w:rsid w:val="001D7A87"/>
    <w:rsid w:val="001E7268"/>
    <w:rsid w:val="001F4370"/>
    <w:rsid w:val="001F5F9B"/>
    <w:rsid w:val="001F65ED"/>
    <w:rsid w:val="001F6B47"/>
    <w:rsid w:val="001F7DA6"/>
    <w:rsid w:val="0020225C"/>
    <w:rsid w:val="0021099A"/>
    <w:rsid w:val="0021153B"/>
    <w:rsid w:val="002119ED"/>
    <w:rsid w:val="002123C9"/>
    <w:rsid w:val="0021264D"/>
    <w:rsid w:val="0021541A"/>
    <w:rsid w:val="00216076"/>
    <w:rsid w:val="00220A49"/>
    <w:rsid w:val="0022213B"/>
    <w:rsid w:val="00222AF0"/>
    <w:rsid w:val="002246A5"/>
    <w:rsid w:val="00224A26"/>
    <w:rsid w:val="002344C3"/>
    <w:rsid w:val="002367F4"/>
    <w:rsid w:val="00237934"/>
    <w:rsid w:val="002408F8"/>
    <w:rsid w:val="00240D65"/>
    <w:rsid w:val="002414FB"/>
    <w:rsid w:val="00242023"/>
    <w:rsid w:val="00242AAA"/>
    <w:rsid w:val="00243777"/>
    <w:rsid w:val="00245A31"/>
    <w:rsid w:val="0024636D"/>
    <w:rsid w:val="002464C4"/>
    <w:rsid w:val="002474F1"/>
    <w:rsid w:val="00252622"/>
    <w:rsid w:val="00252865"/>
    <w:rsid w:val="00252CB5"/>
    <w:rsid w:val="002569A0"/>
    <w:rsid w:val="00257050"/>
    <w:rsid w:val="00260650"/>
    <w:rsid w:val="002634A5"/>
    <w:rsid w:val="00263B9F"/>
    <w:rsid w:val="00264880"/>
    <w:rsid w:val="002658D8"/>
    <w:rsid w:val="00270709"/>
    <w:rsid w:val="00271256"/>
    <w:rsid w:val="00273376"/>
    <w:rsid w:val="00275581"/>
    <w:rsid w:val="00276D32"/>
    <w:rsid w:val="00277FC2"/>
    <w:rsid w:val="00283872"/>
    <w:rsid w:val="002841A5"/>
    <w:rsid w:val="002842F4"/>
    <w:rsid w:val="0029258B"/>
    <w:rsid w:val="00292C1B"/>
    <w:rsid w:val="002935AF"/>
    <w:rsid w:val="00294B68"/>
    <w:rsid w:val="00295158"/>
    <w:rsid w:val="00295954"/>
    <w:rsid w:val="00296C10"/>
    <w:rsid w:val="00297A7C"/>
    <w:rsid w:val="002A2714"/>
    <w:rsid w:val="002A6909"/>
    <w:rsid w:val="002A7474"/>
    <w:rsid w:val="002A7884"/>
    <w:rsid w:val="002B10D8"/>
    <w:rsid w:val="002B1184"/>
    <w:rsid w:val="002B1448"/>
    <w:rsid w:val="002B1476"/>
    <w:rsid w:val="002B1CDE"/>
    <w:rsid w:val="002B1E00"/>
    <w:rsid w:val="002B1EB8"/>
    <w:rsid w:val="002B39F3"/>
    <w:rsid w:val="002B6730"/>
    <w:rsid w:val="002B6D40"/>
    <w:rsid w:val="002B743A"/>
    <w:rsid w:val="002B7F73"/>
    <w:rsid w:val="002C2432"/>
    <w:rsid w:val="002C5386"/>
    <w:rsid w:val="002C6032"/>
    <w:rsid w:val="002D4DC6"/>
    <w:rsid w:val="002D542A"/>
    <w:rsid w:val="002D7674"/>
    <w:rsid w:val="002E0737"/>
    <w:rsid w:val="002E1898"/>
    <w:rsid w:val="002F1734"/>
    <w:rsid w:val="002F3670"/>
    <w:rsid w:val="002F40D5"/>
    <w:rsid w:val="002F5DB4"/>
    <w:rsid w:val="00300DFD"/>
    <w:rsid w:val="003017C7"/>
    <w:rsid w:val="00302CA7"/>
    <w:rsid w:val="00305AB4"/>
    <w:rsid w:val="00306F8E"/>
    <w:rsid w:val="003070AE"/>
    <w:rsid w:val="00311372"/>
    <w:rsid w:val="0031608B"/>
    <w:rsid w:val="00331DA0"/>
    <w:rsid w:val="003320EC"/>
    <w:rsid w:val="003336E8"/>
    <w:rsid w:val="00333F1C"/>
    <w:rsid w:val="00336817"/>
    <w:rsid w:val="003371FA"/>
    <w:rsid w:val="00340092"/>
    <w:rsid w:val="003402ED"/>
    <w:rsid w:val="003406E3"/>
    <w:rsid w:val="003430B3"/>
    <w:rsid w:val="00352BC9"/>
    <w:rsid w:val="00353E37"/>
    <w:rsid w:val="003639DC"/>
    <w:rsid w:val="00363C9B"/>
    <w:rsid w:val="00363FF5"/>
    <w:rsid w:val="00364128"/>
    <w:rsid w:val="003669B0"/>
    <w:rsid w:val="00366C1C"/>
    <w:rsid w:val="00370FF7"/>
    <w:rsid w:val="00371AA3"/>
    <w:rsid w:val="00372782"/>
    <w:rsid w:val="00372851"/>
    <w:rsid w:val="00373131"/>
    <w:rsid w:val="00376DAF"/>
    <w:rsid w:val="00376F19"/>
    <w:rsid w:val="00383014"/>
    <w:rsid w:val="00383889"/>
    <w:rsid w:val="00385C99"/>
    <w:rsid w:val="00386212"/>
    <w:rsid w:val="003904DF"/>
    <w:rsid w:val="003918BA"/>
    <w:rsid w:val="003922C1"/>
    <w:rsid w:val="00392AC9"/>
    <w:rsid w:val="003936AE"/>
    <w:rsid w:val="003939C9"/>
    <w:rsid w:val="00395B19"/>
    <w:rsid w:val="0039640D"/>
    <w:rsid w:val="003A4DF7"/>
    <w:rsid w:val="003B3203"/>
    <w:rsid w:val="003B4C78"/>
    <w:rsid w:val="003B65F5"/>
    <w:rsid w:val="003B6F67"/>
    <w:rsid w:val="003B7E75"/>
    <w:rsid w:val="003B7F17"/>
    <w:rsid w:val="003C014B"/>
    <w:rsid w:val="003C0CDA"/>
    <w:rsid w:val="003C1F6D"/>
    <w:rsid w:val="003C25C6"/>
    <w:rsid w:val="003C492E"/>
    <w:rsid w:val="003C5392"/>
    <w:rsid w:val="003C5F0B"/>
    <w:rsid w:val="003C7568"/>
    <w:rsid w:val="003C7814"/>
    <w:rsid w:val="003D0CCD"/>
    <w:rsid w:val="003D1280"/>
    <w:rsid w:val="003D79E6"/>
    <w:rsid w:val="003E0A25"/>
    <w:rsid w:val="003E1178"/>
    <w:rsid w:val="003E2665"/>
    <w:rsid w:val="003E47D4"/>
    <w:rsid w:val="003E6AEE"/>
    <w:rsid w:val="003E7121"/>
    <w:rsid w:val="003F03FD"/>
    <w:rsid w:val="003F34E7"/>
    <w:rsid w:val="003F5178"/>
    <w:rsid w:val="003F67B0"/>
    <w:rsid w:val="0040009E"/>
    <w:rsid w:val="00400C26"/>
    <w:rsid w:val="00400ED1"/>
    <w:rsid w:val="00402FE6"/>
    <w:rsid w:val="00404E31"/>
    <w:rsid w:val="00405AFC"/>
    <w:rsid w:val="00407943"/>
    <w:rsid w:val="00411827"/>
    <w:rsid w:val="00415749"/>
    <w:rsid w:val="004169D7"/>
    <w:rsid w:val="00424F60"/>
    <w:rsid w:val="004306FA"/>
    <w:rsid w:val="0043072C"/>
    <w:rsid w:val="00433247"/>
    <w:rsid w:val="00437F04"/>
    <w:rsid w:val="004425AD"/>
    <w:rsid w:val="0044631C"/>
    <w:rsid w:val="004468D7"/>
    <w:rsid w:val="00446A4B"/>
    <w:rsid w:val="0044747A"/>
    <w:rsid w:val="00451D1D"/>
    <w:rsid w:val="0045247E"/>
    <w:rsid w:val="004541E2"/>
    <w:rsid w:val="00457F66"/>
    <w:rsid w:val="00462904"/>
    <w:rsid w:val="00465945"/>
    <w:rsid w:val="00465D91"/>
    <w:rsid w:val="00471A2D"/>
    <w:rsid w:val="004755BD"/>
    <w:rsid w:val="00480F24"/>
    <w:rsid w:val="004814CC"/>
    <w:rsid w:val="00482AB5"/>
    <w:rsid w:val="00483671"/>
    <w:rsid w:val="004837ED"/>
    <w:rsid w:val="0048575A"/>
    <w:rsid w:val="004939BF"/>
    <w:rsid w:val="00493E0A"/>
    <w:rsid w:val="0049424A"/>
    <w:rsid w:val="0049543C"/>
    <w:rsid w:val="004961DA"/>
    <w:rsid w:val="004978F6"/>
    <w:rsid w:val="004A12F6"/>
    <w:rsid w:val="004A28AA"/>
    <w:rsid w:val="004A2C5B"/>
    <w:rsid w:val="004A3A2A"/>
    <w:rsid w:val="004A513C"/>
    <w:rsid w:val="004A6BD1"/>
    <w:rsid w:val="004B415A"/>
    <w:rsid w:val="004B41B0"/>
    <w:rsid w:val="004B5F05"/>
    <w:rsid w:val="004C0C60"/>
    <w:rsid w:val="004C144D"/>
    <w:rsid w:val="004C63B3"/>
    <w:rsid w:val="004C6484"/>
    <w:rsid w:val="004C6DE0"/>
    <w:rsid w:val="004D1285"/>
    <w:rsid w:val="004E282E"/>
    <w:rsid w:val="004E7AD9"/>
    <w:rsid w:val="004F0AC8"/>
    <w:rsid w:val="004F59CD"/>
    <w:rsid w:val="005017D4"/>
    <w:rsid w:val="00503416"/>
    <w:rsid w:val="00503CC1"/>
    <w:rsid w:val="005041BD"/>
    <w:rsid w:val="00505AB2"/>
    <w:rsid w:val="0050616B"/>
    <w:rsid w:val="0051067D"/>
    <w:rsid w:val="00511935"/>
    <w:rsid w:val="00512455"/>
    <w:rsid w:val="00512603"/>
    <w:rsid w:val="005139E1"/>
    <w:rsid w:val="00514BE8"/>
    <w:rsid w:val="00515853"/>
    <w:rsid w:val="0051585A"/>
    <w:rsid w:val="005164FF"/>
    <w:rsid w:val="00517792"/>
    <w:rsid w:val="00526898"/>
    <w:rsid w:val="005275AB"/>
    <w:rsid w:val="00535E44"/>
    <w:rsid w:val="00540267"/>
    <w:rsid w:val="005421E7"/>
    <w:rsid w:val="0054331E"/>
    <w:rsid w:val="005469A5"/>
    <w:rsid w:val="00546DF5"/>
    <w:rsid w:val="005475AF"/>
    <w:rsid w:val="00551151"/>
    <w:rsid w:val="0055122C"/>
    <w:rsid w:val="00554A02"/>
    <w:rsid w:val="00561BAB"/>
    <w:rsid w:val="0056535D"/>
    <w:rsid w:val="005671B8"/>
    <w:rsid w:val="00570BC3"/>
    <w:rsid w:val="005731B4"/>
    <w:rsid w:val="00573F64"/>
    <w:rsid w:val="005812BF"/>
    <w:rsid w:val="0058298B"/>
    <w:rsid w:val="00584051"/>
    <w:rsid w:val="00584DCF"/>
    <w:rsid w:val="00587778"/>
    <w:rsid w:val="0059018B"/>
    <w:rsid w:val="00590DF2"/>
    <w:rsid w:val="00591B99"/>
    <w:rsid w:val="00592A0B"/>
    <w:rsid w:val="0059441F"/>
    <w:rsid w:val="00594AF1"/>
    <w:rsid w:val="00595C2D"/>
    <w:rsid w:val="00596F20"/>
    <w:rsid w:val="005A433E"/>
    <w:rsid w:val="005A6367"/>
    <w:rsid w:val="005A7FAD"/>
    <w:rsid w:val="005B162E"/>
    <w:rsid w:val="005B16F8"/>
    <w:rsid w:val="005B2B1D"/>
    <w:rsid w:val="005B35E5"/>
    <w:rsid w:val="005B3B2F"/>
    <w:rsid w:val="005B42D0"/>
    <w:rsid w:val="005B4F50"/>
    <w:rsid w:val="005B602A"/>
    <w:rsid w:val="005B65D7"/>
    <w:rsid w:val="005C04B7"/>
    <w:rsid w:val="005C0D74"/>
    <w:rsid w:val="005C1E9B"/>
    <w:rsid w:val="005C2AE2"/>
    <w:rsid w:val="005C6623"/>
    <w:rsid w:val="005C6E0A"/>
    <w:rsid w:val="005C748A"/>
    <w:rsid w:val="005C76D7"/>
    <w:rsid w:val="005D1372"/>
    <w:rsid w:val="005D255E"/>
    <w:rsid w:val="005D5B2C"/>
    <w:rsid w:val="005D766F"/>
    <w:rsid w:val="005D7867"/>
    <w:rsid w:val="005E030E"/>
    <w:rsid w:val="005E2C35"/>
    <w:rsid w:val="005E48F0"/>
    <w:rsid w:val="005E578E"/>
    <w:rsid w:val="005E7125"/>
    <w:rsid w:val="005F7971"/>
    <w:rsid w:val="00600224"/>
    <w:rsid w:val="00607C62"/>
    <w:rsid w:val="00607F6D"/>
    <w:rsid w:val="00610273"/>
    <w:rsid w:val="006102D3"/>
    <w:rsid w:val="00613007"/>
    <w:rsid w:val="0061641E"/>
    <w:rsid w:val="006237B0"/>
    <w:rsid w:val="0063380C"/>
    <w:rsid w:val="006343A6"/>
    <w:rsid w:val="0063508A"/>
    <w:rsid w:val="00636BDB"/>
    <w:rsid w:val="00636F2E"/>
    <w:rsid w:val="00642493"/>
    <w:rsid w:val="0064307D"/>
    <w:rsid w:val="00643233"/>
    <w:rsid w:val="006437BE"/>
    <w:rsid w:val="00644B14"/>
    <w:rsid w:val="00645CDE"/>
    <w:rsid w:val="00646F53"/>
    <w:rsid w:val="0065133E"/>
    <w:rsid w:val="00653DEA"/>
    <w:rsid w:val="006555BA"/>
    <w:rsid w:val="00657FDB"/>
    <w:rsid w:val="006619E4"/>
    <w:rsid w:val="0066318E"/>
    <w:rsid w:val="00664E99"/>
    <w:rsid w:val="006664F9"/>
    <w:rsid w:val="00666745"/>
    <w:rsid w:val="006727AA"/>
    <w:rsid w:val="00673F33"/>
    <w:rsid w:val="00674D40"/>
    <w:rsid w:val="00675AA1"/>
    <w:rsid w:val="006773F1"/>
    <w:rsid w:val="00677B56"/>
    <w:rsid w:val="006815E1"/>
    <w:rsid w:val="00681710"/>
    <w:rsid w:val="00683785"/>
    <w:rsid w:val="00685707"/>
    <w:rsid w:val="00686631"/>
    <w:rsid w:val="006877FE"/>
    <w:rsid w:val="006905BF"/>
    <w:rsid w:val="0069435B"/>
    <w:rsid w:val="00696C74"/>
    <w:rsid w:val="006A070E"/>
    <w:rsid w:val="006A3F86"/>
    <w:rsid w:val="006A4377"/>
    <w:rsid w:val="006A6B27"/>
    <w:rsid w:val="006A71CE"/>
    <w:rsid w:val="006B044E"/>
    <w:rsid w:val="006B1820"/>
    <w:rsid w:val="006B2E03"/>
    <w:rsid w:val="006B3ECC"/>
    <w:rsid w:val="006B6228"/>
    <w:rsid w:val="006B643B"/>
    <w:rsid w:val="006B69D8"/>
    <w:rsid w:val="006B7418"/>
    <w:rsid w:val="006C194E"/>
    <w:rsid w:val="006C26B4"/>
    <w:rsid w:val="006C2F95"/>
    <w:rsid w:val="006C3687"/>
    <w:rsid w:val="006C3F70"/>
    <w:rsid w:val="006C5FBA"/>
    <w:rsid w:val="006C6069"/>
    <w:rsid w:val="006C61FC"/>
    <w:rsid w:val="006C74A7"/>
    <w:rsid w:val="006D0BE5"/>
    <w:rsid w:val="006D1A4B"/>
    <w:rsid w:val="006D251E"/>
    <w:rsid w:val="006D253F"/>
    <w:rsid w:val="006D34A7"/>
    <w:rsid w:val="006D42C7"/>
    <w:rsid w:val="006D4A00"/>
    <w:rsid w:val="006D6695"/>
    <w:rsid w:val="006D7755"/>
    <w:rsid w:val="006D7CDB"/>
    <w:rsid w:val="006E02B1"/>
    <w:rsid w:val="006E059D"/>
    <w:rsid w:val="006E1891"/>
    <w:rsid w:val="006E272C"/>
    <w:rsid w:val="006E28B7"/>
    <w:rsid w:val="006E2ACE"/>
    <w:rsid w:val="006E4918"/>
    <w:rsid w:val="006E5A49"/>
    <w:rsid w:val="006E67A8"/>
    <w:rsid w:val="006E7ACD"/>
    <w:rsid w:val="006E7C18"/>
    <w:rsid w:val="006F17C9"/>
    <w:rsid w:val="006F27D4"/>
    <w:rsid w:val="006F2880"/>
    <w:rsid w:val="006F526E"/>
    <w:rsid w:val="006F5BD0"/>
    <w:rsid w:val="006F65DE"/>
    <w:rsid w:val="00700E3B"/>
    <w:rsid w:val="007011A5"/>
    <w:rsid w:val="007023E7"/>
    <w:rsid w:val="00704897"/>
    <w:rsid w:val="00705F22"/>
    <w:rsid w:val="00706838"/>
    <w:rsid w:val="007123C8"/>
    <w:rsid w:val="00712513"/>
    <w:rsid w:val="00713AC2"/>
    <w:rsid w:val="00716A87"/>
    <w:rsid w:val="0071761A"/>
    <w:rsid w:val="00717801"/>
    <w:rsid w:val="0072080A"/>
    <w:rsid w:val="00721597"/>
    <w:rsid w:val="0072235E"/>
    <w:rsid w:val="00723AF6"/>
    <w:rsid w:val="00723B32"/>
    <w:rsid w:val="00723CFC"/>
    <w:rsid w:val="007255D5"/>
    <w:rsid w:val="00726914"/>
    <w:rsid w:val="00726C2F"/>
    <w:rsid w:val="00727AB4"/>
    <w:rsid w:val="00730A75"/>
    <w:rsid w:val="007356C9"/>
    <w:rsid w:val="007415D6"/>
    <w:rsid w:val="007436BB"/>
    <w:rsid w:val="00745D4F"/>
    <w:rsid w:val="00746EF3"/>
    <w:rsid w:val="00747E57"/>
    <w:rsid w:val="00750CFC"/>
    <w:rsid w:val="00752374"/>
    <w:rsid w:val="00752ACC"/>
    <w:rsid w:val="00752FB4"/>
    <w:rsid w:val="00754E21"/>
    <w:rsid w:val="007550C4"/>
    <w:rsid w:val="00755B27"/>
    <w:rsid w:val="00764446"/>
    <w:rsid w:val="00766258"/>
    <w:rsid w:val="007676C6"/>
    <w:rsid w:val="00770976"/>
    <w:rsid w:val="00771198"/>
    <w:rsid w:val="0077459D"/>
    <w:rsid w:val="00780E68"/>
    <w:rsid w:val="0078372D"/>
    <w:rsid w:val="00790C4F"/>
    <w:rsid w:val="00790EBF"/>
    <w:rsid w:val="007967ED"/>
    <w:rsid w:val="00796FFE"/>
    <w:rsid w:val="007A16E2"/>
    <w:rsid w:val="007A3FC1"/>
    <w:rsid w:val="007A7C20"/>
    <w:rsid w:val="007B1B7D"/>
    <w:rsid w:val="007B29F0"/>
    <w:rsid w:val="007B5DB0"/>
    <w:rsid w:val="007B631C"/>
    <w:rsid w:val="007B688D"/>
    <w:rsid w:val="007B74F4"/>
    <w:rsid w:val="007B7906"/>
    <w:rsid w:val="007B7D0F"/>
    <w:rsid w:val="007C2A43"/>
    <w:rsid w:val="007C348D"/>
    <w:rsid w:val="007C35DE"/>
    <w:rsid w:val="007C5B98"/>
    <w:rsid w:val="007D27BC"/>
    <w:rsid w:val="007D75D0"/>
    <w:rsid w:val="007E17FF"/>
    <w:rsid w:val="007E2137"/>
    <w:rsid w:val="007E35EF"/>
    <w:rsid w:val="007E36FC"/>
    <w:rsid w:val="007E50D0"/>
    <w:rsid w:val="007E5723"/>
    <w:rsid w:val="007E5B7A"/>
    <w:rsid w:val="007E70D2"/>
    <w:rsid w:val="007E7DF3"/>
    <w:rsid w:val="007F335B"/>
    <w:rsid w:val="007F3D28"/>
    <w:rsid w:val="007F4259"/>
    <w:rsid w:val="007F42A2"/>
    <w:rsid w:val="00800AEB"/>
    <w:rsid w:val="0080190E"/>
    <w:rsid w:val="00801948"/>
    <w:rsid w:val="008029FF"/>
    <w:rsid w:val="008036B5"/>
    <w:rsid w:val="008039DF"/>
    <w:rsid w:val="008043CF"/>
    <w:rsid w:val="008071D9"/>
    <w:rsid w:val="008130E4"/>
    <w:rsid w:val="008148E9"/>
    <w:rsid w:val="00815521"/>
    <w:rsid w:val="00815B0F"/>
    <w:rsid w:val="0082271E"/>
    <w:rsid w:val="00822777"/>
    <w:rsid w:val="00825D21"/>
    <w:rsid w:val="008260E1"/>
    <w:rsid w:val="0082615F"/>
    <w:rsid w:val="00826C6B"/>
    <w:rsid w:val="0083190B"/>
    <w:rsid w:val="00832B3D"/>
    <w:rsid w:val="00835BDA"/>
    <w:rsid w:val="00842D20"/>
    <w:rsid w:val="0084465E"/>
    <w:rsid w:val="008459EE"/>
    <w:rsid w:val="0084647D"/>
    <w:rsid w:val="00851ED0"/>
    <w:rsid w:val="00854C07"/>
    <w:rsid w:val="0086177D"/>
    <w:rsid w:val="00862280"/>
    <w:rsid w:val="00872C9E"/>
    <w:rsid w:val="00873AC3"/>
    <w:rsid w:val="00874CC9"/>
    <w:rsid w:val="00880BF7"/>
    <w:rsid w:val="00880F82"/>
    <w:rsid w:val="00881B81"/>
    <w:rsid w:val="008913FF"/>
    <w:rsid w:val="00895135"/>
    <w:rsid w:val="008A3569"/>
    <w:rsid w:val="008A36D6"/>
    <w:rsid w:val="008A3C8F"/>
    <w:rsid w:val="008A3FF9"/>
    <w:rsid w:val="008A4E27"/>
    <w:rsid w:val="008B105E"/>
    <w:rsid w:val="008B6805"/>
    <w:rsid w:val="008C306D"/>
    <w:rsid w:val="008C5E1E"/>
    <w:rsid w:val="008C6A2D"/>
    <w:rsid w:val="008C73F2"/>
    <w:rsid w:val="008C754F"/>
    <w:rsid w:val="008D3F5C"/>
    <w:rsid w:val="008D4991"/>
    <w:rsid w:val="008E1C30"/>
    <w:rsid w:val="008E22B8"/>
    <w:rsid w:val="008E2B02"/>
    <w:rsid w:val="008E2C62"/>
    <w:rsid w:val="008E340B"/>
    <w:rsid w:val="008F2540"/>
    <w:rsid w:val="008F58FF"/>
    <w:rsid w:val="008F5C0C"/>
    <w:rsid w:val="009052FB"/>
    <w:rsid w:val="00907A92"/>
    <w:rsid w:val="009118E6"/>
    <w:rsid w:val="00914DB5"/>
    <w:rsid w:val="0091772E"/>
    <w:rsid w:val="00920149"/>
    <w:rsid w:val="0092194B"/>
    <w:rsid w:val="009227CD"/>
    <w:rsid w:val="009254EF"/>
    <w:rsid w:val="009256A5"/>
    <w:rsid w:val="00927C5A"/>
    <w:rsid w:val="009322D7"/>
    <w:rsid w:val="009351AE"/>
    <w:rsid w:val="00937C2A"/>
    <w:rsid w:val="00942DC3"/>
    <w:rsid w:val="00945C50"/>
    <w:rsid w:val="009465BA"/>
    <w:rsid w:val="00950A7E"/>
    <w:rsid w:val="009514E6"/>
    <w:rsid w:val="00952E0B"/>
    <w:rsid w:val="00952E60"/>
    <w:rsid w:val="0095338D"/>
    <w:rsid w:val="00953D99"/>
    <w:rsid w:val="00954F1C"/>
    <w:rsid w:val="00955795"/>
    <w:rsid w:val="00955911"/>
    <w:rsid w:val="009579E5"/>
    <w:rsid w:val="00960BDD"/>
    <w:rsid w:val="0096152F"/>
    <w:rsid w:val="00961FD6"/>
    <w:rsid w:val="00963674"/>
    <w:rsid w:val="00964A13"/>
    <w:rsid w:val="0096554B"/>
    <w:rsid w:val="009660B1"/>
    <w:rsid w:val="00972EAC"/>
    <w:rsid w:val="00974F87"/>
    <w:rsid w:val="00977009"/>
    <w:rsid w:val="00977426"/>
    <w:rsid w:val="0098380E"/>
    <w:rsid w:val="00983DA9"/>
    <w:rsid w:val="00984BB9"/>
    <w:rsid w:val="009855CE"/>
    <w:rsid w:val="009855F9"/>
    <w:rsid w:val="00987010"/>
    <w:rsid w:val="00990368"/>
    <w:rsid w:val="00990D94"/>
    <w:rsid w:val="00991880"/>
    <w:rsid w:val="009938AE"/>
    <w:rsid w:val="00996ADD"/>
    <w:rsid w:val="009A06F2"/>
    <w:rsid w:val="009A0BB9"/>
    <w:rsid w:val="009A2C15"/>
    <w:rsid w:val="009A48B0"/>
    <w:rsid w:val="009B2597"/>
    <w:rsid w:val="009B2744"/>
    <w:rsid w:val="009B79AC"/>
    <w:rsid w:val="009C2CC3"/>
    <w:rsid w:val="009C5117"/>
    <w:rsid w:val="009C5ED8"/>
    <w:rsid w:val="009C76E1"/>
    <w:rsid w:val="009D01F9"/>
    <w:rsid w:val="009D2729"/>
    <w:rsid w:val="009D513B"/>
    <w:rsid w:val="009E2786"/>
    <w:rsid w:val="009E3323"/>
    <w:rsid w:val="009E4222"/>
    <w:rsid w:val="009E437C"/>
    <w:rsid w:val="009E47AE"/>
    <w:rsid w:val="009E4EC4"/>
    <w:rsid w:val="009E532E"/>
    <w:rsid w:val="009E5672"/>
    <w:rsid w:val="009E7658"/>
    <w:rsid w:val="009F3C52"/>
    <w:rsid w:val="009F479E"/>
    <w:rsid w:val="009F5C49"/>
    <w:rsid w:val="009F6382"/>
    <w:rsid w:val="009F7A68"/>
    <w:rsid w:val="00A01650"/>
    <w:rsid w:val="00A0169F"/>
    <w:rsid w:val="00A02009"/>
    <w:rsid w:val="00A0302A"/>
    <w:rsid w:val="00A03103"/>
    <w:rsid w:val="00A03DF7"/>
    <w:rsid w:val="00A042AD"/>
    <w:rsid w:val="00A07086"/>
    <w:rsid w:val="00A07E9D"/>
    <w:rsid w:val="00A1283A"/>
    <w:rsid w:val="00A12D11"/>
    <w:rsid w:val="00A17980"/>
    <w:rsid w:val="00A248DD"/>
    <w:rsid w:val="00A25709"/>
    <w:rsid w:val="00A267A6"/>
    <w:rsid w:val="00A27A5C"/>
    <w:rsid w:val="00A3343B"/>
    <w:rsid w:val="00A339F8"/>
    <w:rsid w:val="00A33A0E"/>
    <w:rsid w:val="00A34DF3"/>
    <w:rsid w:val="00A35580"/>
    <w:rsid w:val="00A365CD"/>
    <w:rsid w:val="00A406A6"/>
    <w:rsid w:val="00A40CF0"/>
    <w:rsid w:val="00A4164F"/>
    <w:rsid w:val="00A41987"/>
    <w:rsid w:val="00A41EFF"/>
    <w:rsid w:val="00A44F99"/>
    <w:rsid w:val="00A4553D"/>
    <w:rsid w:val="00A46447"/>
    <w:rsid w:val="00A46810"/>
    <w:rsid w:val="00A468C1"/>
    <w:rsid w:val="00A47E2B"/>
    <w:rsid w:val="00A5455A"/>
    <w:rsid w:val="00A551AC"/>
    <w:rsid w:val="00A552B7"/>
    <w:rsid w:val="00A56CCD"/>
    <w:rsid w:val="00A60FC6"/>
    <w:rsid w:val="00A61069"/>
    <w:rsid w:val="00A62258"/>
    <w:rsid w:val="00A629BE"/>
    <w:rsid w:val="00A66175"/>
    <w:rsid w:val="00A72A11"/>
    <w:rsid w:val="00A73569"/>
    <w:rsid w:val="00A76449"/>
    <w:rsid w:val="00A77438"/>
    <w:rsid w:val="00A7773A"/>
    <w:rsid w:val="00A77C1A"/>
    <w:rsid w:val="00A8120B"/>
    <w:rsid w:val="00A82F63"/>
    <w:rsid w:val="00A834B6"/>
    <w:rsid w:val="00A847A8"/>
    <w:rsid w:val="00A84C6B"/>
    <w:rsid w:val="00A8711B"/>
    <w:rsid w:val="00A976FA"/>
    <w:rsid w:val="00A97C9F"/>
    <w:rsid w:val="00AA2645"/>
    <w:rsid w:val="00AA265A"/>
    <w:rsid w:val="00AA540B"/>
    <w:rsid w:val="00AB10A7"/>
    <w:rsid w:val="00AB171A"/>
    <w:rsid w:val="00AB640E"/>
    <w:rsid w:val="00AC11C7"/>
    <w:rsid w:val="00AC1627"/>
    <w:rsid w:val="00AC20AF"/>
    <w:rsid w:val="00AC475D"/>
    <w:rsid w:val="00AC5F01"/>
    <w:rsid w:val="00AD0DDB"/>
    <w:rsid w:val="00AD1316"/>
    <w:rsid w:val="00AD1ADA"/>
    <w:rsid w:val="00AD2481"/>
    <w:rsid w:val="00AD2950"/>
    <w:rsid w:val="00AD2C06"/>
    <w:rsid w:val="00AD2E9B"/>
    <w:rsid w:val="00AD7DDD"/>
    <w:rsid w:val="00AE1106"/>
    <w:rsid w:val="00AE24F5"/>
    <w:rsid w:val="00AE3993"/>
    <w:rsid w:val="00AE7126"/>
    <w:rsid w:val="00AE7153"/>
    <w:rsid w:val="00AE723E"/>
    <w:rsid w:val="00AE728B"/>
    <w:rsid w:val="00AF3EFE"/>
    <w:rsid w:val="00AF4851"/>
    <w:rsid w:val="00B01873"/>
    <w:rsid w:val="00B01E95"/>
    <w:rsid w:val="00B02501"/>
    <w:rsid w:val="00B02AD7"/>
    <w:rsid w:val="00B072E8"/>
    <w:rsid w:val="00B13F4A"/>
    <w:rsid w:val="00B1517C"/>
    <w:rsid w:val="00B154A8"/>
    <w:rsid w:val="00B174D9"/>
    <w:rsid w:val="00B220F1"/>
    <w:rsid w:val="00B251A5"/>
    <w:rsid w:val="00B25B50"/>
    <w:rsid w:val="00B2693C"/>
    <w:rsid w:val="00B269C0"/>
    <w:rsid w:val="00B2769A"/>
    <w:rsid w:val="00B27EB5"/>
    <w:rsid w:val="00B33660"/>
    <w:rsid w:val="00B3625D"/>
    <w:rsid w:val="00B36291"/>
    <w:rsid w:val="00B376A0"/>
    <w:rsid w:val="00B462E9"/>
    <w:rsid w:val="00B4737D"/>
    <w:rsid w:val="00B508A5"/>
    <w:rsid w:val="00B510D2"/>
    <w:rsid w:val="00B52556"/>
    <w:rsid w:val="00B54154"/>
    <w:rsid w:val="00B54159"/>
    <w:rsid w:val="00B5610F"/>
    <w:rsid w:val="00B563D6"/>
    <w:rsid w:val="00B56E03"/>
    <w:rsid w:val="00B57954"/>
    <w:rsid w:val="00B60049"/>
    <w:rsid w:val="00B62071"/>
    <w:rsid w:val="00B623AB"/>
    <w:rsid w:val="00B6433D"/>
    <w:rsid w:val="00B66F49"/>
    <w:rsid w:val="00B6789F"/>
    <w:rsid w:val="00B73279"/>
    <w:rsid w:val="00B774DF"/>
    <w:rsid w:val="00B77D4E"/>
    <w:rsid w:val="00B84471"/>
    <w:rsid w:val="00B853E0"/>
    <w:rsid w:val="00B860E9"/>
    <w:rsid w:val="00B86346"/>
    <w:rsid w:val="00B86C55"/>
    <w:rsid w:val="00B879D0"/>
    <w:rsid w:val="00B90866"/>
    <w:rsid w:val="00B917FC"/>
    <w:rsid w:val="00B92BF9"/>
    <w:rsid w:val="00B92F78"/>
    <w:rsid w:val="00B96973"/>
    <w:rsid w:val="00B974DF"/>
    <w:rsid w:val="00B97A1D"/>
    <w:rsid w:val="00B97BD9"/>
    <w:rsid w:val="00BA16C8"/>
    <w:rsid w:val="00BA1787"/>
    <w:rsid w:val="00BA17DA"/>
    <w:rsid w:val="00BA5146"/>
    <w:rsid w:val="00BB29B0"/>
    <w:rsid w:val="00BB6830"/>
    <w:rsid w:val="00BB7322"/>
    <w:rsid w:val="00BC1EBE"/>
    <w:rsid w:val="00BC677B"/>
    <w:rsid w:val="00BC7247"/>
    <w:rsid w:val="00BD1292"/>
    <w:rsid w:val="00BD3E12"/>
    <w:rsid w:val="00BD40FA"/>
    <w:rsid w:val="00BE07C9"/>
    <w:rsid w:val="00BE7122"/>
    <w:rsid w:val="00BF013A"/>
    <w:rsid w:val="00BF1244"/>
    <w:rsid w:val="00BF52B3"/>
    <w:rsid w:val="00BF592D"/>
    <w:rsid w:val="00BF6444"/>
    <w:rsid w:val="00C02390"/>
    <w:rsid w:val="00C027EA"/>
    <w:rsid w:val="00C1097A"/>
    <w:rsid w:val="00C15AC4"/>
    <w:rsid w:val="00C16FCF"/>
    <w:rsid w:val="00C17DCE"/>
    <w:rsid w:val="00C2007B"/>
    <w:rsid w:val="00C22C6B"/>
    <w:rsid w:val="00C24CA2"/>
    <w:rsid w:val="00C27544"/>
    <w:rsid w:val="00C2763A"/>
    <w:rsid w:val="00C27A33"/>
    <w:rsid w:val="00C317D1"/>
    <w:rsid w:val="00C32990"/>
    <w:rsid w:val="00C33B55"/>
    <w:rsid w:val="00C35D4C"/>
    <w:rsid w:val="00C36AA5"/>
    <w:rsid w:val="00C40DAE"/>
    <w:rsid w:val="00C417FC"/>
    <w:rsid w:val="00C5372F"/>
    <w:rsid w:val="00C57F39"/>
    <w:rsid w:val="00C62684"/>
    <w:rsid w:val="00C63201"/>
    <w:rsid w:val="00C659BF"/>
    <w:rsid w:val="00C65B29"/>
    <w:rsid w:val="00C66710"/>
    <w:rsid w:val="00C76442"/>
    <w:rsid w:val="00C76B98"/>
    <w:rsid w:val="00C831AB"/>
    <w:rsid w:val="00C85A32"/>
    <w:rsid w:val="00C915A4"/>
    <w:rsid w:val="00C92209"/>
    <w:rsid w:val="00C923D8"/>
    <w:rsid w:val="00C96A7D"/>
    <w:rsid w:val="00CA0C05"/>
    <w:rsid w:val="00CA283F"/>
    <w:rsid w:val="00CA29BA"/>
    <w:rsid w:val="00CA383D"/>
    <w:rsid w:val="00CA3E13"/>
    <w:rsid w:val="00CA454A"/>
    <w:rsid w:val="00CA76B0"/>
    <w:rsid w:val="00CB10E8"/>
    <w:rsid w:val="00CB1633"/>
    <w:rsid w:val="00CB39F2"/>
    <w:rsid w:val="00CB3E68"/>
    <w:rsid w:val="00CB7BE6"/>
    <w:rsid w:val="00CC4EA7"/>
    <w:rsid w:val="00CC57B8"/>
    <w:rsid w:val="00CC731D"/>
    <w:rsid w:val="00CC7AF7"/>
    <w:rsid w:val="00CC7D45"/>
    <w:rsid w:val="00CD25A3"/>
    <w:rsid w:val="00CD3443"/>
    <w:rsid w:val="00CD4D8F"/>
    <w:rsid w:val="00CD582F"/>
    <w:rsid w:val="00CD6CCF"/>
    <w:rsid w:val="00CD6F3F"/>
    <w:rsid w:val="00CE0C87"/>
    <w:rsid w:val="00CE4947"/>
    <w:rsid w:val="00CE4D8F"/>
    <w:rsid w:val="00CE51DF"/>
    <w:rsid w:val="00CE63C6"/>
    <w:rsid w:val="00CE6DB0"/>
    <w:rsid w:val="00CE7929"/>
    <w:rsid w:val="00CF14FE"/>
    <w:rsid w:val="00CF423F"/>
    <w:rsid w:val="00CF66E5"/>
    <w:rsid w:val="00CF7E52"/>
    <w:rsid w:val="00D00049"/>
    <w:rsid w:val="00D00868"/>
    <w:rsid w:val="00D0344B"/>
    <w:rsid w:val="00D052FF"/>
    <w:rsid w:val="00D053A8"/>
    <w:rsid w:val="00D05572"/>
    <w:rsid w:val="00D059BD"/>
    <w:rsid w:val="00D06868"/>
    <w:rsid w:val="00D10123"/>
    <w:rsid w:val="00D14B3A"/>
    <w:rsid w:val="00D23C7C"/>
    <w:rsid w:val="00D2514B"/>
    <w:rsid w:val="00D26A05"/>
    <w:rsid w:val="00D27AFB"/>
    <w:rsid w:val="00D3251C"/>
    <w:rsid w:val="00D3293E"/>
    <w:rsid w:val="00D358A0"/>
    <w:rsid w:val="00D364E8"/>
    <w:rsid w:val="00D37E79"/>
    <w:rsid w:val="00D40031"/>
    <w:rsid w:val="00D45373"/>
    <w:rsid w:val="00D46973"/>
    <w:rsid w:val="00D5684E"/>
    <w:rsid w:val="00D60CF1"/>
    <w:rsid w:val="00D61D4E"/>
    <w:rsid w:val="00D627A0"/>
    <w:rsid w:val="00D62BBB"/>
    <w:rsid w:val="00D63D6E"/>
    <w:rsid w:val="00D64543"/>
    <w:rsid w:val="00D655D0"/>
    <w:rsid w:val="00D65801"/>
    <w:rsid w:val="00D66B5D"/>
    <w:rsid w:val="00D66FE0"/>
    <w:rsid w:val="00D67E36"/>
    <w:rsid w:val="00D77C0E"/>
    <w:rsid w:val="00D812CF"/>
    <w:rsid w:val="00D81811"/>
    <w:rsid w:val="00D81A5C"/>
    <w:rsid w:val="00D92B70"/>
    <w:rsid w:val="00D9464C"/>
    <w:rsid w:val="00D95D8A"/>
    <w:rsid w:val="00D979B0"/>
    <w:rsid w:val="00DA0918"/>
    <w:rsid w:val="00DA2967"/>
    <w:rsid w:val="00DA43A9"/>
    <w:rsid w:val="00DA4676"/>
    <w:rsid w:val="00DA582E"/>
    <w:rsid w:val="00DC43BA"/>
    <w:rsid w:val="00DC49A2"/>
    <w:rsid w:val="00DC4F44"/>
    <w:rsid w:val="00DC60EE"/>
    <w:rsid w:val="00DD33FA"/>
    <w:rsid w:val="00DD3BAF"/>
    <w:rsid w:val="00DD5A80"/>
    <w:rsid w:val="00DD6D4E"/>
    <w:rsid w:val="00DD70C1"/>
    <w:rsid w:val="00DE2AFA"/>
    <w:rsid w:val="00DE4206"/>
    <w:rsid w:val="00DE68A7"/>
    <w:rsid w:val="00DE6A34"/>
    <w:rsid w:val="00DE6BD9"/>
    <w:rsid w:val="00DF270A"/>
    <w:rsid w:val="00DF45A8"/>
    <w:rsid w:val="00DF4E97"/>
    <w:rsid w:val="00E01E44"/>
    <w:rsid w:val="00E02A78"/>
    <w:rsid w:val="00E06F2D"/>
    <w:rsid w:val="00E16860"/>
    <w:rsid w:val="00E16B6F"/>
    <w:rsid w:val="00E172AB"/>
    <w:rsid w:val="00E17AC3"/>
    <w:rsid w:val="00E203A5"/>
    <w:rsid w:val="00E20C9D"/>
    <w:rsid w:val="00E22DE0"/>
    <w:rsid w:val="00E23F95"/>
    <w:rsid w:val="00E24DCD"/>
    <w:rsid w:val="00E26540"/>
    <w:rsid w:val="00E27E4C"/>
    <w:rsid w:val="00E3074A"/>
    <w:rsid w:val="00E338F5"/>
    <w:rsid w:val="00E340A6"/>
    <w:rsid w:val="00E344A8"/>
    <w:rsid w:val="00E344CA"/>
    <w:rsid w:val="00E45521"/>
    <w:rsid w:val="00E50610"/>
    <w:rsid w:val="00E50944"/>
    <w:rsid w:val="00E51658"/>
    <w:rsid w:val="00E51966"/>
    <w:rsid w:val="00E52C95"/>
    <w:rsid w:val="00E55128"/>
    <w:rsid w:val="00E5542E"/>
    <w:rsid w:val="00E60000"/>
    <w:rsid w:val="00E73FAC"/>
    <w:rsid w:val="00E75019"/>
    <w:rsid w:val="00E76EF5"/>
    <w:rsid w:val="00E861EA"/>
    <w:rsid w:val="00E966A3"/>
    <w:rsid w:val="00E97A93"/>
    <w:rsid w:val="00EA3F4A"/>
    <w:rsid w:val="00EA402C"/>
    <w:rsid w:val="00EA4584"/>
    <w:rsid w:val="00EA545B"/>
    <w:rsid w:val="00EA5E1E"/>
    <w:rsid w:val="00EA7123"/>
    <w:rsid w:val="00EB2942"/>
    <w:rsid w:val="00EB4EEB"/>
    <w:rsid w:val="00EB545C"/>
    <w:rsid w:val="00EB6C07"/>
    <w:rsid w:val="00EC2BC3"/>
    <w:rsid w:val="00EC3811"/>
    <w:rsid w:val="00EC4880"/>
    <w:rsid w:val="00EC4AF8"/>
    <w:rsid w:val="00EC4C53"/>
    <w:rsid w:val="00EC6651"/>
    <w:rsid w:val="00EC6F1C"/>
    <w:rsid w:val="00ED0334"/>
    <w:rsid w:val="00ED4979"/>
    <w:rsid w:val="00ED51F7"/>
    <w:rsid w:val="00EE1A1C"/>
    <w:rsid w:val="00EE207A"/>
    <w:rsid w:val="00EE32C3"/>
    <w:rsid w:val="00EE37FC"/>
    <w:rsid w:val="00EE4D8B"/>
    <w:rsid w:val="00EE580F"/>
    <w:rsid w:val="00EE7CB8"/>
    <w:rsid w:val="00EE7F53"/>
    <w:rsid w:val="00EF13E4"/>
    <w:rsid w:val="00EF1FFC"/>
    <w:rsid w:val="00EF24D7"/>
    <w:rsid w:val="00EF6149"/>
    <w:rsid w:val="00EF7BBA"/>
    <w:rsid w:val="00F01CAF"/>
    <w:rsid w:val="00F01EEF"/>
    <w:rsid w:val="00F03EDB"/>
    <w:rsid w:val="00F04B73"/>
    <w:rsid w:val="00F05F0F"/>
    <w:rsid w:val="00F10465"/>
    <w:rsid w:val="00F10BF7"/>
    <w:rsid w:val="00F115A4"/>
    <w:rsid w:val="00F1351E"/>
    <w:rsid w:val="00F147BD"/>
    <w:rsid w:val="00F16864"/>
    <w:rsid w:val="00F173C9"/>
    <w:rsid w:val="00F2079F"/>
    <w:rsid w:val="00F2098A"/>
    <w:rsid w:val="00F20BBA"/>
    <w:rsid w:val="00F211DE"/>
    <w:rsid w:val="00F23970"/>
    <w:rsid w:val="00F2407A"/>
    <w:rsid w:val="00F25592"/>
    <w:rsid w:val="00F25D6D"/>
    <w:rsid w:val="00F26C05"/>
    <w:rsid w:val="00F26CB0"/>
    <w:rsid w:val="00F31735"/>
    <w:rsid w:val="00F34739"/>
    <w:rsid w:val="00F35194"/>
    <w:rsid w:val="00F355C3"/>
    <w:rsid w:val="00F35782"/>
    <w:rsid w:val="00F36DDC"/>
    <w:rsid w:val="00F40404"/>
    <w:rsid w:val="00F41187"/>
    <w:rsid w:val="00F46975"/>
    <w:rsid w:val="00F46BF3"/>
    <w:rsid w:val="00F503DE"/>
    <w:rsid w:val="00F51D56"/>
    <w:rsid w:val="00F525E0"/>
    <w:rsid w:val="00F56A99"/>
    <w:rsid w:val="00F56F55"/>
    <w:rsid w:val="00F57F6E"/>
    <w:rsid w:val="00F63F99"/>
    <w:rsid w:val="00F64BF1"/>
    <w:rsid w:val="00F65E63"/>
    <w:rsid w:val="00F66868"/>
    <w:rsid w:val="00F672FB"/>
    <w:rsid w:val="00F67DAE"/>
    <w:rsid w:val="00F73967"/>
    <w:rsid w:val="00F74579"/>
    <w:rsid w:val="00F77E9E"/>
    <w:rsid w:val="00F80277"/>
    <w:rsid w:val="00F803B7"/>
    <w:rsid w:val="00F807D4"/>
    <w:rsid w:val="00F81BDE"/>
    <w:rsid w:val="00F82451"/>
    <w:rsid w:val="00F83187"/>
    <w:rsid w:val="00F83590"/>
    <w:rsid w:val="00F85869"/>
    <w:rsid w:val="00F85B7E"/>
    <w:rsid w:val="00F86BC9"/>
    <w:rsid w:val="00F87499"/>
    <w:rsid w:val="00F87729"/>
    <w:rsid w:val="00F902C7"/>
    <w:rsid w:val="00F92A5D"/>
    <w:rsid w:val="00F93070"/>
    <w:rsid w:val="00F95351"/>
    <w:rsid w:val="00FA2949"/>
    <w:rsid w:val="00FA3AD1"/>
    <w:rsid w:val="00FB5882"/>
    <w:rsid w:val="00FB7CDE"/>
    <w:rsid w:val="00FB7D78"/>
    <w:rsid w:val="00FC1558"/>
    <w:rsid w:val="00FC4C72"/>
    <w:rsid w:val="00FC66B5"/>
    <w:rsid w:val="00FD01B2"/>
    <w:rsid w:val="00FD1EA7"/>
    <w:rsid w:val="00FD271E"/>
    <w:rsid w:val="00FD27A1"/>
    <w:rsid w:val="00FD27F7"/>
    <w:rsid w:val="00FD684E"/>
    <w:rsid w:val="00FD6FE1"/>
    <w:rsid w:val="00FE1678"/>
    <w:rsid w:val="00FE33BB"/>
    <w:rsid w:val="00FE3922"/>
    <w:rsid w:val="00FE6B87"/>
    <w:rsid w:val="00FE7DF6"/>
    <w:rsid w:val="00FF1914"/>
    <w:rsid w:val="00FF3C6E"/>
    <w:rsid w:val="00FF595B"/>
    <w:rsid w:val="00FF5B1A"/>
    <w:rsid w:val="00FF6D53"/>
    <w:rsid w:val="00FF7B5D"/>
    <w:rsid w:val="00FF7B8D"/>
    <w:rsid w:val="34EB79D4"/>
    <w:rsid w:val="3DFE6B4D"/>
    <w:rsid w:val="44F81687"/>
    <w:rsid w:val="493823F6"/>
    <w:rsid w:val="4C787046"/>
    <w:rsid w:val="4CA0721A"/>
    <w:rsid w:val="51785CC0"/>
    <w:rsid w:val="55833198"/>
    <w:rsid w:val="6E4B434F"/>
    <w:rsid w:val="707748C2"/>
    <w:rsid w:val="7B5805EA"/>
    <w:rsid w:val="7F0A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10"/>
    <w:qFormat/>
    <w:uiPriority w:val="0"/>
    <w:pPr>
      <w:keepNext/>
      <w:keepLines/>
      <w:spacing w:before="260" w:after="260" w:line="416" w:lineRule="auto"/>
      <w:outlineLvl w:val="2"/>
    </w:pPr>
    <w:rPr>
      <w:b/>
      <w:bCs/>
      <w:sz w:val="32"/>
      <w:szCs w:val="32"/>
    </w:rPr>
  </w:style>
  <w:style w:type="paragraph" w:styleId="6">
    <w:name w:val="heading 4"/>
    <w:basedOn w:val="1"/>
    <w:next w:val="1"/>
    <w:link w:val="11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12"/>
    <w:qFormat/>
    <w:uiPriority w:val="0"/>
    <w:pPr>
      <w:keepNext/>
      <w:keepLines/>
      <w:spacing w:before="280" w:after="290" w:line="376" w:lineRule="auto"/>
      <w:outlineLvl w:val="4"/>
    </w:pPr>
    <w:rPr>
      <w:b/>
      <w:bCs/>
      <w:sz w:val="28"/>
      <w:szCs w:val="28"/>
    </w:rPr>
  </w:style>
  <w:style w:type="paragraph" w:styleId="8">
    <w:name w:val="heading 6"/>
    <w:basedOn w:val="1"/>
    <w:next w:val="1"/>
    <w:link w:val="113"/>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114"/>
    <w:qFormat/>
    <w:uiPriority w:val="0"/>
    <w:pPr>
      <w:keepNext/>
      <w:keepLines/>
      <w:spacing w:before="240" w:after="64" w:line="320" w:lineRule="auto"/>
      <w:outlineLvl w:val="6"/>
    </w:pPr>
    <w:rPr>
      <w:b/>
      <w:bCs/>
      <w:sz w:val="24"/>
    </w:rPr>
  </w:style>
  <w:style w:type="paragraph" w:styleId="10">
    <w:name w:val="heading 8"/>
    <w:basedOn w:val="1"/>
    <w:next w:val="1"/>
    <w:link w:val="115"/>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116"/>
    <w:qFormat/>
    <w:uiPriority w:val="0"/>
    <w:pPr>
      <w:keepNext/>
      <w:keepLines/>
      <w:spacing w:before="240" w:after="64" w:line="320" w:lineRule="auto"/>
      <w:outlineLvl w:val="8"/>
    </w:pPr>
    <w:rPr>
      <w:rFonts w:ascii="Arial" w:hAnsi="Arial" w:eastAsia="黑体"/>
      <w:szCs w:val="21"/>
    </w:rPr>
  </w:style>
  <w:style w:type="character" w:default="1" w:styleId="90">
    <w:name w:val="Default Paragraph Font"/>
    <w:semiHidden/>
    <w:unhideWhenUsed/>
    <w:uiPriority w:val="1"/>
  </w:style>
  <w:style w:type="table" w:default="1" w:styleId="88">
    <w:name w:val="Normal Table"/>
    <w:semiHidden/>
    <w:unhideWhenUsed/>
    <w:uiPriority w:val="99"/>
    <w:tblPr>
      <w:tblCellMar>
        <w:top w:w="0" w:type="dxa"/>
        <w:left w:w="108" w:type="dxa"/>
        <w:bottom w:w="0" w:type="dxa"/>
        <w:right w:w="108" w:type="dxa"/>
      </w:tblCellMar>
    </w:tblPr>
  </w:style>
  <w:style w:type="paragraph" w:styleId="2">
    <w:name w:val="macro"/>
    <w:link w:val="15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2520" w:leftChars="1200"/>
    </w:pPr>
  </w:style>
  <w:style w:type="paragraph" w:styleId="14">
    <w:name w:val="List Number 2"/>
    <w:basedOn w:val="1"/>
    <w:qFormat/>
    <w:uiPriority w:val="0"/>
    <w:pPr>
      <w:tabs>
        <w:tab w:val="left" w:pos="675"/>
        <w:tab w:val="left" w:pos="780"/>
      </w:tabs>
      <w:ind w:left="675" w:hanging="360"/>
    </w:pPr>
  </w:style>
  <w:style w:type="paragraph" w:styleId="15">
    <w:name w:val="table of authorities"/>
    <w:basedOn w:val="1"/>
    <w:next w:val="1"/>
    <w:qFormat/>
    <w:uiPriority w:val="0"/>
    <w:pPr>
      <w:ind w:left="420" w:leftChars="200"/>
    </w:pPr>
  </w:style>
  <w:style w:type="paragraph" w:styleId="16">
    <w:name w:val="Note Heading"/>
    <w:basedOn w:val="1"/>
    <w:next w:val="1"/>
    <w:link w:val="166"/>
    <w:qFormat/>
    <w:uiPriority w:val="0"/>
    <w:pPr>
      <w:jc w:val="center"/>
    </w:pPr>
  </w:style>
  <w:style w:type="paragraph" w:styleId="17">
    <w:name w:val="List Bullet 4"/>
    <w:basedOn w:val="1"/>
    <w:qFormat/>
    <w:uiPriority w:val="0"/>
    <w:pPr>
      <w:tabs>
        <w:tab w:val="left" w:pos="750"/>
        <w:tab w:val="left" w:pos="1620"/>
      </w:tabs>
      <w:ind w:left="750" w:hanging="750"/>
    </w:pPr>
  </w:style>
  <w:style w:type="paragraph" w:styleId="18">
    <w:name w:val="index 8"/>
    <w:basedOn w:val="1"/>
    <w:next w:val="1"/>
    <w:qFormat/>
    <w:uiPriority w:val="0"/>
    <w:pPr>
      <w:ind w:left="1400" w:leftChars="1400"/>
    </w:pPr>
  </w:style>
  <w:style w:type="paragraph" w:styleId="19">
    <w:name w:val="E-mail Signature"/>
    <w:basedOn w:val="1"/>
    <w:link w:val="163"/>
    <w:qFormat/>
    <w:uiPriority w:val="0"/>
  </w:style>
  <w:style w:type="paragraph" w:styleId="20">
    <w:name w:val="List Number"/>
    <w:basedOn w:val="1"/>
    <w:qFormat/>
    <w:uiPriority w:val="0"/>
    <w:pPr>
      <w:tabs>
        <w:tab w:val="left" w:pos="360"/>
        <w:tab w:val="left" w:pos="720"/>
      </w:tabs>
      <w:ind w:left="720" w:hanging="720"/>
    </w:pPr>
  </w:style>
  <w:style w:type="paragraph" w:styleId="21">
    <w:name w:val="Normal Indent"/>
    <w:basedOn w:val="1"/>
    <w:unhideWhenUsed/>
    <w:qFormat/>
    <w:uiPriority w:val="0"/>
    <w:pPr>
      <w:ind w:firstLine="420" w:firstLineChars="200"/>
    </w:pPr>
  </w:style>
  <w:style w:type="paragraph" w:styleId="22">
    <w:name w:val="caption"/>
    <w:basedOn w:val="1"/>
    <w:next w:val="1"/>
    <w:qFormat/>
    <w:uiPriority w:val="0"/>
    <w:pPr>
      <w:jc w:val="center"/>
    </w:pPr>
    <w:rPr>
      <w:rFonts w:ascii="Arial" w:hAnsi="Arial" w:eastAsia="黑体" w:cs="Arial"/>
      <w:sz w:val="24"/>
      <w:szCs w:val="20"/>
    </w:rPr>
  </w:style>
  <w:style w:type="paragraph" w:styleId="23">
    <w:name w:val="index 5"/>
    <w:basedOn w:val="1"/>
    <w:next w:val="1"/>
    <w:qFormat/>
    <w:uiPriority w:val="0"/>
    <w:pPr>
      <w:ind w:left="800" w:leftChars="800"/>
    </w:pPr>
  </w:style>
  <w:style w:type="paragraph" w:styleId="24">
    <w:name w:val="List Bullet"/>
    <w:basedOn w:val="1"/>
    <w:qFormat/>
    <w:uiPriority w:val="0"/>
    <w:pPr>
      <w:tabs>
        <w:tab w:val="left" w:pos="360"/>
        <w:tab w:val="left" w:pos="720"/>
      </w:tabs>
      <w:ind w:left="720" w:hanging="720"/>
    </w:pPr>
  </w:style>
  <w:style w:type="paragraph" w:styleId="25">
    <w:name w:val="envelope address"/>
    <w:basedOn w:val="1"/>
    <w:qFormat/>
    <w:uiPriority w:val="0"/>
    <w:pPr>
      <w:snapToGrid w:val="0"/>
      <w:ind w:left="100" w:leftChars="1400"/>
    </w:pPr>
    <w:rPr>
      <w:rFonts w:ascii="Arial" w:hAnsi="Arial" w:cs="Arial"/>
      <w:sz w:val="24"/>
    </w:rPr>
  </w:style>
  <w:style w:type="paragraph" w:styleId="26">
    <w:name w:val="Document Map"/>
    <w:basedOn w:val="1"/>
    <w:link w:val="159"/>
    <w:qFormat/>
    <w:uiPriority w:val="0"/>
    <w:pPr>
      <w:shd w:val="clear" w:color="auto" w:fill="000080"/>
    </w:pPr>
  </w:style>
  <w:style w:type="paragraph" w:styleId="27">
    <w:name w:val="toa heading"/>
    <w:basedOn w:val="1"/>
    <w:next w:val="1"/>
    <w:qFormat/>
    <w:uiPriority w:val="0"/>
    <w:pPr>
      <w:spacing w:before="120"/>
    </w:pPr>
    <w:rPr>
      <w:rFonts w:ascii="Arial" w:hAnsi="Arial" w:cs="Arial"/>
      <w:sz w:val="24"/>
    </w:rPr>
  </w:style>
  <w:style w:type="paragraph" w:styleId="28">
    <w:name w:val="annotation text"/>
    <w:basedOn w:val="1"/>
    <w:link w:val="122"/>
    <w:unhideWhenUsed/>
    <w:qFormat/>
    <w:uiPriority w:val="0"/>
    <w:pPr>
      <w:jc w:val="left"/>
    </w:pPr>
    <w:rPr>
      <w:szCs w:val="21"/>
    </w:rPr>
  </w:style>
  <w:style w:type="paragraph" w:styleId="29">
    <w:name w:val="index 6"/>
    <w:basedOn w:val="1"/>
    <w:next w:val="1"/>
    <w:qFormat/>
    <w:uiPriority w:val="0"/>
    <w:pPr>
      <w:ind w:left="1000" w:leftChars="1000"/>
    </w:pPr>
  </w:style>
  <w:style w:type="paragraph" w:styleId="30">
    <w:name w:val="Salutation"/>
    <w:basedOn w:val="1"/>
    <w:next w:val="1"/>
    <w:link w:val="168"/>
    <w:qFormat/>
    <w:uiPriority w:val="0"/>
  </w:style>
  <w:style w:type="paragraph" w:styleId="31">
    <w:name w:val="Body Text 3"/>
    <w:basedOn w:val="1"/>
    <w:link w:val="160"/>
    <w:qFormat/>
    <w:uiPriority w:val="0"/>
    <w:pPr>
      <w:spacing w:after="120"/>
    </w:pPr>
    <w:rPr>
      <w:sz w:val="16"/>
      <w:szCs w:val="16"/>
    </w:rPr>
  </w:style>
  <w:style w:type="paragraph" w:styleId="32">
    <w:name w:val="Closing"/>
    <w:basedOn w:val="1"/>
    <w:link w:val="170"/>
    <w:qFormat/>
    <w:uiPriority w:val="0"/>
    <w:pPr>
      <w:ind w:left="100" w:leftChars="2100"/>
    </w:pPr>
  </w:style>
  <w:style w:type="paragraph" w:styleId="33">
    <w:name w:val="List Bullet 3"/>
    <w:basedOn w:val="1"/>
    <w:qFormat/>
    <w:uiPriority w:val="0"/>
    <w:pPr>
      <w:tabs>
        <w:tab w:val="left" w:pos="480"/>
        <w:tab w:val="left" w:pos="1200"/>
      </w:tabs>
      <w:ind w:left="480" w:hanging="480"/>
    </w:pPr>
  </w:style>
  <w:style w:type="paragraph" w:styleId="34">
    <w:name w:val="Body Text"/>
    <w:basedOn w:val="1"/>
    <w:link w:val="155"/>
    <w:qFormat/>
    <w:uiPriority w:val="0"/>
    <w:pPr>
      <w:spacing w:after="120"/>
    </w:pPr>
  </w:style>
  <w:style w:type="paragraph" w:styleId="35">
    <w:name w:val="Body Text Indent"/>
    <w:basedOn w:val="1"/>
    <w:link w:val="157"/>
    <w:qFormat/>
    <w:uiPriority w:val="0"/>
    <w:pPr>
      <w:spacing w:after="120"/>
      <w:ind w:left="420" w:leftChars="200"/>
    </w:pPr>
  </w:style>
  <w:style w:type="paragraph" w:styleId="36">
    <w:name w:val="List Number 3"/>
    <w:basedOn w:val="1"/>
    <w:qFormat/>
    <w:uiPriority w:val="0"/>
    <w:pPr>
      <w:tabs>
        <w:tab w:val="left" w:pos="360"/>
        <w:tab w:val="left" w:pos="1200"/>
      </w:tabs>
      <w:ind w:left="360" w:hanging="360"/>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tabs>
        <w:tab w:val="left" w:pos="720"/>
        <w:tab w:val="left" w:pos="780"/>
      </w:tabs>
      <w:ind w:left="720" w:hanging="360"/>
    </w:pPr>
  </w:style>
  <w:style w:type="paragraph" w:styleId="41">
    <w:name w:val="HTML Address"/>
    <w:basedOn w:val="1"/>
    <w:link w:val="161"/>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tabs>
        <w:tab w:val="right" w:leader="dot" w:pos="8296"/>
      </w:tabs>
      <w:spacing w:line="312" w:lineRule="auto"/>
      <w:ind w:left="400" w:leftChars="400"/>
    </w:pPr>
    <w:rPr>
      <w:sz w:val="24"/>
    </w:rPr>
  </w:style>
  <w:style w:type="paragraph" w:styleId="45">
    <w:name w:val="Plain Text"/>
    <w:basedOn w:val="1"/>
    <w:link w:val="133"/>
    <w:qFormat/>
    <w:uiPriority w:val="0"/>
    <w:rPr>
      <w:rFonts w:ascii="宋体" w:hAnsi="Courier New" w:cs="Courier New"/>
      <w:szCs w:val="21"/>
    </w:rPr>
  </w:style>
  <w:style w:type="paragraph" w:styleId="46">
    <w:name w:val="List Bullet 5"/>
    <w:basedOn w:val="1"/>
    <w:qFormat/>
    <w:uiPriority w:val="0"/>
    <w:pPr>
      <w:tabs>
        <w:tab w:val="left" w:pos="840"/>
        <w:tab w:val="left" w:pos="2040"/>
      </w:tabs>
      <w:ind w:left="840" w:hanging="420"/>
    </w:pPr>
  </w:style>
  <w:style w:type="paragraph" w:styleId="47">
    <w:name w:val="List Number 4"/>
    <w:basedOn w:val="1"/>
    <w:qFormat/>
    <w:uiPriority w:val="0"/>
    <w:pPr>
      <w:tabs>
        <w:tab w:val="left" w:pos="960"/>
        <w:tab w:val="left" w:pos="1620"/>
      </w:tabs>
      <w:ind w:left="960" w:hanging="720"/>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31"/>
    <w:qFormat/>
    <w:uiPriority w:val="0"/>
    <w:pPr>
      <w:ind w:left="100" w:leftChars="2500"/>
    </w:pPr>
  </w:style>
  <w:style w:type="paragraph" w:styleId="51">
    <w:name w:val="Body Text Indent 2"/>
    <w:basedOn w:val="1"/>
    <w:link w:val="171"/>
    <w:qFormat/>
    <w:uiPriority w:val="0"/>
    <w:pPr>
      <w:spacing w:after="120" w:line="480" w:lineRule="auto"/>
      <w:ind w:left="420" w:leftChars="200"/>
    </w:pPr>
  </w:style>
  <w:style w:type="paragraph" w:styleId="52">
    <w:name w:val="endnote text"/>
    <w:basedOn w:val="1"/>
    <w:link w:val="169"/>
    <w:qFormat/>
    <w:uiPriority w:val="0"/>
    <w:pPr>
      <w:snapToGrid w:val="0"/>
      <w:jc w:val="left"/>
    </w:pPr>
  </w:style>
  <w:style w:type="paragraph" w:styleId="53">
    <w:name w:val="List Continue 5"/>
    <w:basedOn w:val="1"/>
    <w:qFormat/>
    <w:uiPriority w:val="0"/>
    <w:pPr>
      <w:spacing w:after="120"/>
      <w:ind w:left="2100" w:leftChars="1000"/>
    </w:pPr>
  </w:style>
  <w:style w:type="paragraph" w:styleId="54">
    <w:name w:val="Balloon Text"/>
    <w:basedOn w:val="1"/>
    <w:link w:val="135"/>
    <w:qFormat/>
    <w:uiPriority w:val="0"/>
    <w:rPr>
      <w:sz w:val="18"/>
      <w:szCs w:val="18"/>
    </w:rPr>
  </w:style>
  <w:style w:type="paragraph" w:styleId="55">
    <w:name w:val="footer"/>
    <w:basedOn w:val="1"/>
    <w:link w:val="124"/>
    <w:qFormat/>
    <w:uiPriority w:val="99"/>
    <w:pPr>
      <w:tabs>
        <w:tab w:val="center" w:pos="4153"/>
        <w:tab w:val="right" w:pos="8306"/>
      </w:tabs>
      <w:snapToGrid w:val="0"/>
      <w:jc w:val="left"/>
    </w:pPr>
    <w:rPr>
      <w:sz w:val="18"/>
    </w:rPr>
  </w:style>
  <w:style w:type="paragraph" w:styleId="56">
    <w:name w:val="envelope return"/>
    <w:basedOn w:val="1"/>
    <w:qFormat/>
    <w:uiPriority w:val="0"/>
    <w:pPr>
      <w:snapToGrid w:val="0"/>
    </w:pPr>
    <w:rPr>
      <w:rFonts w:ascii="Arial" w:hAnsi="Arial" w:cs="Arial"/>
    </w:rPr>
  </w:style>
  <w:style w:type="paragraph" w:styleId="57">
    <w:name w:val="header"/>
    <w:basedOn w:val="1"/>
    <w:link w:val="1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64"/>
    <w:qFormat/>
    <w:uiPriority w:val="0"/>
    <w:pPr>
      <w:ind w:left="100" w:leftChars="2100"/>
    </w:pPr>
  </w:style>
  <w:style w:type="paragraph" w:styleId="59">
    <w:name w:val="toc 1"/>
    <w:basedOn w:val="1"/>
    <w:next w:val="1"/>
    <w:qFormat/>
    <w:uiPriority w:val="0"/>
    <w:pPr>
      <w:tabs>
        <w:tab w:val="right" w:leader="dot" w:pos="8296"/>
      </w:tabs>
      <w:spacing w:line="312" w:lineRule="auto"/>
    </w:pPr>
    <w:rPr>
      <w:sz w:val="24"/>
    </w:rPr>
  </w:style>
  <w:style w:type="paragraph" w:styleId="60">
    <w:name w:val="List Continue 4"/>
    <w:basedOn w:val="1"/>
    <w:qFormat/>
    <w:uiPriority w:val="0"/>
    <w:pPr>
      <w:spacing w:after="120"/>
      <w:ind w:left="1680" w:leftChars="800"/>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Arial" w:hAnsi="Arial" w:cs="Arial"/>
      <w:b/>
      <w:bCs/>
    </w:rPr>
  </w:style>
  <w:style w:type="paragraph" w:styleId="63">
    <w:name w:val="index 1"/>
    <w:basedOn w:val="1"/>
    <w:next w:val="1"/>
    <w:qFormat/>
    <w:uiPriority w:val="0"/>
  </w:style>
  <w:style w:type="paragraph" w:styleId="64">
    <w:name w:val="Subtitle"/>
    <w:basedOn w:val="1"/>
    <w:link w:val="172"/>
    <w:qFormat/>
    <w:uiPriority w:val="0"/>
    <w:pPr>
      <w:spacing w:before="240" w:after="60" w:line="312" w:lineRule="auto"/>
      <w:jc w:val="center"/>
      <w:outlineLvl w:val="1"/>
    </w:pPr>
    <w:rPr>
      <w:rFonts w:ascii="Arial" w:hAnsi="Arial" w:cs="Arial"/>
      <w:b/>
      <w:bCs/>
      <w:kern w:val="28"/>
      <w:sz w:val="32"/>
      <w:szCs w:val="32"/>
    </w:rPr>
  </w:style>
  <w:style w:type="paragraph" w:styleId="65">
    <w:name w:val="List Number 5"/>
    <w:basedOn w:val="1"/>
    <w:qFormat/>
    <w:uiPriority w:val="0"/>
    <w:pPr>
      <w:tabs>
        <w:tab w:val="left" w:pos="2040"/>
      </w:tabs>
    </w:pPr>
  </w:style>
  <w:style w:type="paragraph" w:styleId="66">
    <w:name w:val="List"/>
    <w:basedOn w:val="1"/>
    <w:qFormat/>
    <w:uiPriority w:val="0"/>
    <w:pPr>
      <w:ind w:left="200" w:hanging="200" w:hangingChars="200"/>
    </w:pPr>
  </w:style>
  <w:style w:type="paragraph" w:styleId="67">
    <w:name w:val="footnote text"/>
    <w:basedOn w:val="1"/>
    <w:link w:val="165"/>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pPr>
  </w:style>
  <w:style w:type="paragraph" w:styleId="70">
    <w:name w:val="Body Text Indent 3"/>
    <w:basedOn w:val="1"/>
    <w:link w:val="162"/>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0"/>
    <w:pPr>
      <w:tabs>
        <w:tab w:val="right" w:leader="dot" w:pos="8296"/>
      </w:tabs>
      <w:spacing w:line="312" w:lineRule="auto"/>
      <w:ind w:left="420" w:leftChars="200"/>
    </w:pPr>
    <w:rPr>
      <w:sz w:val="24"/>
    </w:rPr>
  </w:style>
  <w:style w:type="paragraph" w:styleId="75">
    <w:name w:val="toc 9"/>
    <w:basedOn w:val="1"/>
    <w:next w:val="1"/>
    <w:qFormat/>
    <w:uiPriority w:val="0"/>
    <w:pPr>
      <w:ind w:left="3360" w:leftChars="1600"/>
    </w:pPr>
  </w:style>
  <w:style w:type="paragraph" w:styleId="76">
    <w:name w:val="Body Text 2"/>
    <w:basedOn w:val="1"/>
    <w:link w:val="167"/>
    <w:qFormat/>
    <w:uiPriority w:val="0"/>
    <w:pPr>
      <w:spacing w:after="120" w:line="480" w:lineRule="auto"/>
    </w:pPr>
  </w:style>
  <w:style w:type="paragraph" w:styleId="77">
    <w:name w:val="List 4"/>
    <w:basedOn w:val="1"/>
    <w:qFormat/>
    <w:uiPriority w:val="0"/>
    <w:pPr>
      <w:ind w:left="100" w:leftChars="600" w:hanging="200" w:hangingChars="200"/>
    </w:pPr>
  </w:style>
  <w:style w:type="paragraph" w:styleId="78">
    <w:name w:val="List Continue 2"/>
    <w:basedOn w:val="1"/>
    <w:qFormat/>
    <w:uiPriority w:val="0"/>
    <w:pPr>
      <w:spacing w:after="120"/>
      <w:ind w:left="840" w:leftChars="400"/>
    </w:pPr>
  </w:style>
  <w:style w:type="paragraph" w:styleId="79">
    <w:name w:val="Message Header"/>
    <w:basedOn w:val="1"/>
    <w:link w:val="17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0">
    <w:name w:val="HTML Preformatted"/>
    <w:basedOn w:val="1"/>
    <w:link w:val="13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2">
    <w:name w:val="List Continue 3"/>
    <w:basedOn w:val="1"/>
    <w:qFormat/>
    <w:uiPriority w:val="0"/>
    <w:pPr>
      <w:spacing w:after="120"/>
      <w:ind w:left="1260" w:leftChars="600"/>
    </w:pPr>
  </w:style>
  <w:style w:type="paragraph" w:styleId="83">
    <w:name w:val="index 2"/>
    <w:basedOn w:val="1"/>
    <w:next w:val="1"/>
    <w:qFormat/>
    <w:uiPriority w:val="0"/>
    <w:pPr>
      <w:ind w:left="200" w:leftChars="200"/>
    </w:pPr>
  </w:style>
  <w:style w:type="paragraph" w:styleId="84">
    <w:name w:val="Title"/>
    <w:basedOn w:val="1"/>
    <w:link w:val="127"/>
    <w:qFormat/>
    <w:uiPriority w:val="0"/>
    <w:pPr>
      <w:spacing w:before="240" w:after="60"/>
      <w:jc w:val="center"/>
      <w:outlineLvl w:val="0"/>
    </w:pPr>
    <w:rPr>
      <w:rFonts w:ascii="Arial" w:hAnsi="Arial" w:cs="Arial"/>
      <w:b/>
      <w:bCs/>
      <w:sz w:val="32"/>
      <w:szCs w:val="32"/>
    </w:rPr>
  </w:style>
  <w:style w:type="paragraph" w:styleId="85">
    <w:name w:val="annotation subject"/>
    <w:basedOn w:val="28"/>
    <w:next w:val="28"/>
    <w:link w:val="134"/>
    <w:qFormat/>
    <w:uiPriority w:val="0"/>
    <w:rPr>
      <w:b/>
      <w:bCs/>
      <w:szCs w:val="24"/>
    </w:rPr>
  </w:style>
  <w:style w:type="paragraph" w:styleId="86">
    <w:name w:val="Body Text First Indent"/>
    <w:basedOn w:val="34"/>
    <w:link w:val="156"/>
    <w:qFormat/>
    <w:uiPriority w:val="0"/>
    <w:pPr>
      <w:ind w:firstLine="420" w:firstLineChars="100"/>
    </w:pPr>
  </w:style>
  <w:style w:type="paragraph" w:styleId="87">
    <w:name w:val="Body Text First Indent 2"/>
    <w:basedOn w:val="35"/>
    <w:link w:val="158"/>
    <w:qFormat/>
    <w:uiPriority w:val="0"/>
    <w:pPr>
      <w:ind w:firstLine="420" w:firstLineChars="200"/>
    </w:pPr>
  </w:style>
  <w:style w:type="table" w:styleId="89">
    <w:name w:val="Table Grid"/>
    <w:basedOn w:val="8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basedOn w:val="90"/>
    <w:qFormat/>
    <w:uiPriority w:val="22"/>
    <w:rPr>
      <w:b/>
      <w:bCs/>
    </w:rPr>
  </w:style>
  <w:style w:type="character" w:styleId="92">
    <w:name w:val="endnote reference"/>
    <w:qFormat/>
    <w:uiPriority w:val="0"/>
    <w:rPr>
      <w:vertAlign w:val="superscript"/>
    </w:rPr>
  </w:style>
  <w:style w:type="character" w:styleId="93">
    <w:name w:val="page number"/>
    <w:basedOn w:val="90"/>
    <w:unhideWhenUsed/>
    <w:qFormat/>
    <w:uiPriority w:val="0"/>
    <w:rPr>
      <w:rFonts w:ascii="Times New Roman" w:hAnsi="Times New Roman" w:eastAsia="宋体"/>
      <w:sz w:val="18"/>
    </w:rPr>
  </w:style>
  <w:style w:type="character" w:styleId="94">
    <w:name w:val="FollowedHyperlink"/>
    <w:basedOn w:val="90"/>
    <w:qFormat/>
    <w:uiPriority w:val="99"/>
    <w:rPr>
      <w:color w:val="800080" w:themeColor="followedHyperlink"/>
      <w:u w:val="single"/>
      <w14:textFill>
        <w14:solidFill>
          <w14:schemeClr w14:val="folHlink"/>
        </w14:solidFill>
      </w14:textFill>
    </w:rPr>
  </w:style>
  <w:style w:type="character" w:styleId="95">
    <w:name w:val="Emphasis"/>
    <w:qFormat/>
    <w:uiPriority w:val="20"/>
    <w:rPr>
      <w:i/>
      <w:iCs/>
    </w:rPr>
  </w:style>
  <w:style w:type="character" w:styleId="96">
    <w:name w:val="line number"/>
    <w:basedOn w:val="90"/>
    <w:qFormat/>
    <w:uiPriority w:val="0"/>
  </w:style>
  <w:style w:type="character" w:styleId="97">
    <w:name w:val="HTML Definition"/>
    <w:qFormat/>
    <w:uiPriority w:val="0"/>
    <w:rPr>
      <w:i/>
      <w:iCs/>
    </w:rPr>
  </w:style>
  <w:style w:type="character" w:styleId="98">
    <w:name w:val="HTML Typewriter"/>
    <w:qFormat/>
    <w:uiPriority w:val="0"/>
    <w:rPr>
      <w:rFonts w:ascii="Courier New" w:hAnsi="Courier New" w:cs="Courier New"/>
      <w:sz w:val="20"/>
      <w:szCs w:val="20"/>
    </w:rPr>
  </w:style>
  <w:style w:type="character" w:styleId="99">
    <w:name w:val="HTML Acronym"/>
    <w:basedOn w:val="90"/>
    <w:qFormat/>
    <w:uiPriority w:val="0"/>
  </w:style>
  <w:style w:type="character" w:styleId="100">
    <w:name w:val="HTML Variable"/>
    <w:qFormat/>
    <w:uiPriority w:val="0"/>
    <w:rPr>
      <w:i/>
      <w:iCs/>
    </w:rPr>
  </w:style>
  <w:style w:type="character" w:styleId="101">
    <w:name w:val="Hyperlink"/>
    <w:basedOn w:val="90"/>
    <w:qFormat/>
    <w:uiPriority w:val="99"/>
    <w:rPr>
      <w:color w:val="0000FF"/>
      <w:u w:val="single"/>
    </w:rPr>
  </w:style>
  <w:style w:type="character" w:styleId="102">
    <w:name w:val="HTML Code"/>
    <w:qFormat/>
    <w:uiPriority w:val="0"/>
    <w:rPr>
      <w:rFonts w:ascii="Courier New" w:hAnsi="Courier New" w:cs="Courier New"/>
      <w:sz w:val="20"/>
      <w:szCs w:val="20"/>
    </w:rPr>
  </w:style>
  <w:style w:type="character" w:styleId="103">
    <w:name w:val="annotation reference"/>
    <w:basedOn w:val="90"/>
    <w:qFormat/>
    <w:uiPriority w:val="0"/>
    <w:rPr>
      <w:sz w:val="21"/>
      <w:szCs w:val="21"/>
    </w:rPr>
  </w:style>
  <w:style w:type="character" w:styleId="104">
    <w:name w:val="HTML Cite"/>
    <w:qFormat/>
    <w:uiPriority w:val="0"/>
    <w:rPr>
      <w:i/>
      <w:iCs/>
    </w:rPr>
  </w:style>
  <w:style w:type="character" w:styleId="105">
    <w:name w:val="footnote reference"/>
    <w:qFormat/>
    <w:uiPriority w:val="0"/>
    <w:rPr>
      <w:vertAlign w:val="superscript"/>
    </w:rPr>
  </w:style>
  <w:style w:type="character" w:styleId="106">
    <w:name w:val="HTML Keyboard"/>
    <w:qFormat/>
    <w:uiPriority w:val="0"/>
    <w:rPr>
      <w:rFonts w:ascii="Courier New" w:hAnsi="Courier New" w:cs="Courier New"/>
      <w:sz w:val="20"/>
      <w:szCs w:val="20"/>
    </w:rPr>
  </w:style>
  <w:style w:type="character" w:styleId="107">
    <w:name w:val="HTML Sample"/>
    <w:qFormat/>
    <w:uiPriority w:val="0"/>
    <w:rPr>
      <w:rFonts w:ascii="Courier New" w:hAnsi="Courier New" w:cs="Courier New"/>
    </w:rPr>
  </w:style>
  <w:style w:type="character" w:customStyle="1" w:styleId="108">
    <w:name w:val="标题 1 字符"/>
    <w:basedOn w:val="90"/>
    <w:link w:val="3"/>
    <w:qFormat/>
    <w:uiPriority w:val="0"/>
    <w:rPr>
      <w:b/>
      <w:bCs/>
      <w:kern w:val="44"/>
      <w:sz w:val="44"/>
      <w:szCs w:val="44"/>
    </w:rPr>
  </w:style>
  <w:style w:type="character" w:customStyle="1" w:styleId="109">
    <w:name w:val="标题 2 字符"/>
    <w:basedOn w:val="90"/>
    <w:link w:val="4"/>
    <w:qFormat/>
    <w:uiPriority w:val="0"/>
    <w:rPr>
      <w:rFonts w:ascii="Arial" w:hAnsi="Arial" w:eastAsia="黑体"/>
      <w:b/>
      <w:bCs/>
      <w:kern w:val="2"/>
      <w:sz w:val="32"/>
      <w:szCs w:val="32"/>
    </w:rPr>
  </w:style>
  <w:style w:type="character" w:customStyle="1" w:styleId="110">
    <w:name w:val="标题 3 字符"/>
    <w:basedOn w:val="90"/>
    <w:link w:val="5"/>
    <w:qFormat/>
    <w:uiPriority w:val="0"/>
    <w:rPr>
      <w:b/>
      <w:bCs/>
      <w:kern w:val="2"/>
      <w:sz w:val="32"/>
      <w:szCs w:val="32"/>
    </w:rPr>
  </w:style>
  <w:style w:type="character" w:customStyle="1" w:styleId="111">
    <w:name w:val="标题 4 字符"/>
    <w:basedOn w:val="90"/>
    <w:link w:val="6"/>
    <w:qFormat/>
    <w:uiPriority w:val="0"/>
    <w:rPr>
      <w:rFonts w:ascii="Arial" w:hAnsi="Arial" w:eastAsia="黑体"/>
      <w:b/>
      <w:bCs/>
      <w:kern w:val="2"/>
      <w:sz w:val="28"/>
      <w:szCs w:val="28"/>
    </w:rPr>
  </w:style>
  <w:style w:type="character" w:customStyle="1" w:styleId="112">
    <w:name w:val="标题 5 字符"/>
    <w:basedOn w:val="90"/>
    <w:link w:val="7"/>
    <w:qFormat/>
    <w:uiPriority w:val="0"/>
    <w:rPr>
      <w:b/>
      <w:bCs/>
      <w:kern w:val="2"/>
      <w:sz w:val="28"/>
      <w:szCs w:val="28"/>
    </w:rPr>
  </w:style>
  <w:style w:type="character" w:customStyle="1" w:styleId="113">
    <w:name w:val="标题 6 字符"/>
    <w:basedOn w:val="90"/>
    <w:link w:val="8"/>
    <w:qFormat/>
    <w:uiPriority w:val="0"/>
    <w:rPr>
      <w:rFonts w:ascii="Arial" w:hAnsi="Arial" w:eastAsia="黑体"/>
      <w:b/>
      <w:bCs/>
      <w:kern w:val="2"/>
      <w:sz w:val="24"/>
      <w:szCs w:val="24"/>
    </w:rPr>
  </w:style>
  <w:style w:type="character" w:customStyle="1" w:styleId="114">
    <w:name w:val="标题 7 字符"/>
    <w:basedOn w:val="90"/>
    <w:link w:val="9"/>
    <w:qFormat/>
    <w:uiPriority w:val="0"/>
    <w:rPr>
      <w:b/>
      <w:bCs/>
      <w:kern w:val="2"/>
      <w:sz w:val="24"/>
      <w:szCs w:val="24"/>
    </w:rPr>
  </w:style>
  <w:style w:type="character" w:customStyle="1" w:styleId="115">
    <w:name w:val="标题 8 字符"/>
    <w:basedOn w:val="90"/>
    <w:link w:val="10"/>
    <w:qFormat/>
    <w:uiPriority w:val="0"/>
    <w:rPr>
      <w:rFonts w:ascii="Arial" w:hAnsi="Arial" w:eastAsia="黑体"/>
      <w:kern w:val="2"/>
      <w:sz w:val="24"/>
      <w:szCs w:val="24"/>
    </w:rPr>
  </w:style>
  <w:style w:type="character" w:customStyle="1" w:styleId="116">
    <w:name w:val="标题 9 字符"/>
    <w:basedOn w:val="90"/>
    <w:link w:val="11"/>
    <w:qFormat/>
    <w:uiPriority w:val="0"/>
    <w:rPr>
      <w:rFonts w:ascii="Arial" w:hAnsi="Arial" w:eastAsia="黑体"/>
      <w:kern w:val="2"/>
      <w:sz w:val="21"/>
      <w:szCs w:val="21"/>
    </w:rPr>
  </w:style>
  <w:style w:type="paragraph" w:customStyle="1" w:styleId="117">
    <w:name w:val="封面标准英文名称"/>
    <w:qFormat/>
    <w:uiPriority w:val="0"/>
    <w:pPr>
      <w:widowControl w:val="0"/>
      <w:spacing w:before="370" w:line="400" w:lineRule="exact"/>
      <w:ind w:firstLine="200" w:firstLineChars="200"/>
      <w:jc w:val="center"/>
    </w:pPr>
    <w:rPr>
      <w:rFonts w:ascii="Times New Roman" w:hAnsi="Times New Roman" w:eastAsia="宋体" w:cs="Times New Roman"/>
      <w:sz w:val="28"/>
      <w:lang w:val="en-US" w:eastAsia="zh-CN" w:bidi="ar-SA"/>
    </w:rPr>
  </w:style>
  <w:style w:type="paragraph" w:customStyle="1" w:styleId="118">
    <w:name w:val="标准"/>
    <w:basedOn w:val="1"/>
    <w:qFormat/>
    <w:uiPriority w:val="0"/>
    <w:pPr>
      <w:adjustRightInd w:val="0"/>
      <w:spacing w:line="312" w:lineRule="atLeast"/>
      <w:jc w:val="center"/>
      <w:textAlignment w:val="baseline"/>
    </w:pPr>
    <w:rPr>
      <w:kern w:val="0"/>
      <w:szCs w:val="20"/>
    </w:rPr>
  </w:style>
  <w:style w:type="paragraph" w:customStyle="1" w:styleId="119">
    <w:name w:val="封面标准号2"/>
    <w:basedOn w:val="1"/>
    <w:qFormat/>
    <w:uiPriority w:val="0"/>
  </w:style>
  <w:style w:type="paragraph" w:customStyle="1" w:styleId="120">
    <w:name w:val="章标题"/>
    <w:next w:val="1"/>
    <w:qFormat/>
    <w:uiPriority w:val="0"/>
    <w:pPr>
      <w:tabs>
        <w:tab w:val="left" w:pos="675"/>
      </w:tabs>
      <w:spacing w:beforeLines="100" w:afterLines="100"/>
      <w:ind w:left="675" w:hanging="360"/>
      <w:jc w:val="both"/>
      <w:outlineLvl w:val="1"/>
    </w:pPr>
    <w:rPr>
      <w:rFonts w:ascii="黑体" w:hAnsi="Times New Roman" w:eastAsia="黑体" w:cs="Times New Roman"/>
      <w:sz w:val="21"/>
      <w:lang w:val="en-US" w:eastAsia="zh-CN" w:bidi="ar-SA"/>
    </w:rPr>
  </w:style>
  <w:style w:type="paragraph" w:customStyle="1" w:styleId="121">
    <w:name w:val="段"/>
    <w:link w:val="137"/>
    <w:qFormat/>
    <w:uiPriority w:val="0"/>
    <w:pPr>
      <w:autoSpaceDE w:val="0"/>
      <w:autoSpaceDN w:val="0"/>
      <w:ind w:firstLine="200" w:firstLineChars="200"/>
      <w:jc w:val="both"/>
    </w:pPr>
    <w:rPr>
      <w:rFonts w:ascii="宋体" w:hAnsi="宋体" w:eastAsia="宋体" w:cs="Times New Roman"/>
      <w:sz w:val="21"/>
      <w:lang w:val="en-US" w:eastAsia="zh-CN" w:bidi="ar-SA"/>
    </w:rPr>
  </w:style>
  <w:style w:type="character" w:customStyle="1" w:styleId="122">
    <w:name w:val="批注文字 字符"/>
    <w:basedOn w:val="90"/>
    <w:link w:val="28"/>
    <w:qFormat/>
    <w:uiPriority w:val="0"/>
    <w:rPr>
      <w:kern w:val="2"/>
      <w:sz w:val="21"/>
      <w:szCs w:val="21"/>
    </w:rPr>
  </w:style>
  <w:style w:type="character" w:customStyle="1" w:styleId="123">
    <w:name w:val="页眉 字符"/>
    <w:basedOn w:val="90"/>
    <w:link w:val="57"/>
    <w:qFormat/>
    <w:uiPriority w:val="0"/>
    <w:rPr>
      <w:kern w:val="2"/>
      <w:sz w:val="18"/>
      <w:szCs w:val="24"/>
    </w:rPr>
  </w:style>
  <w:style w:type="character" w:customStyle="1" w:styleId="124">
    <w:name w:val="页脚 字符"/>
    <w:basedOn w:val="90"/>
    <w:link w:val="55"/>
    <w:qFormat/>
    <w:uiPriority w:val="99"/>
    <w:rPr>
      <w:kern w:val="2"/>
      <w:sz w:val="18"/>
      <w:szCs w:val="24"/>
    </w:rPr>
  </w:style>
  <w:style w:type="paragraph" w:customStyle="1" w:styleId="125">
    <w:name w:val="列出段落1"/>
    <w:basedOn w:val="1"/>
    <w:qFormat/>
    <w:uiPriority w:val="0"/>
    <w:pPr>
      <w:ind w:firstLine="420" w:firstLineChars="200"/>
    </w:pPr>
    <w:rPr>
      <w:rFonts w:ascii="Calibri" w:hAnsi="Calibri" w:cs="黑体"/>
      <w:szCs w:val="22"/>
    </w:rPr>
  </w:style>
  <w:style w:type="paragraph" w:customStyle="1" w:styleId="126">
    <w:name w:val="Char Char Char Char"/>
    <w:basedOn w:val="1"/>
    <w:qFormat/>
    <w:uiPriority w:val="0"/>
    <w:pPr>
      <w:widowControl/>
      <w:spacing w:after="160" w:line="240" w:lineRule="exact"/>
      <w:jc w:val="left"/>
    </w:pPr>
  </w:style>
  <w:style w:type="character" w:customStyle="1" w:styleId="127">
    <w:name w:val="标题 字符"/>
    <w:basedOn w:val="90"/>
    <w:link w:val="84"/>
    <w:qFormat/>
    <w:uiPriority w:val="0"/>
    <w:rPr>
      <w:rFonts w:ascii="Arial" w:hAnsi="Arial" w:cs="Arial"/>
      <w:b/>
      <w:bCs/>
      <w:kern w:val="2"/>
      <w:sz w:val="32"/>
      <w:szCs w:val="32"/>
    </w:rPr>
  </w:style>
  <w:style w:type="character" w:customStyle="1" w:styleId="128">
    <w:name w:val="t_tag"/>
    <w:basedOn w:val="90"/>
    <w:qFormat/>
    <w:uiPriority w:val="0"/>
  </w:style>
  <w:style w:type="character" w:customStyle="1" w:styleId="129">
    <w:name w:val="apple-converted-space"/>
    <w:basedOn w:val="90"/>
    <w:qFormat/>
    <w:uiPriority w:val="0"/>
  </w:style>
  <w:style w:type="character" w:customStyle="1" w:styleId="130">
    <w:name w:val="apple-style-span"/>
    <w:basedOn w:val="90"/>
    <w:qFormat/>
    <w:uiPriority w:val="0"/>
  </w:style>
  <w:style w:type="character" w:customStyle="1" w:styleId="131">
    <w:name w:val="日期 字符"/>
    <w:basedOn w:val="90"/>
    <w:link w:val="50"/>
    <w:qFormat/>
    <w:uiPriority w:val="0"/>
    <w:rPr>
      <w:kern w:val="2"/>
      <w:sz w:val="21"/>
      <w:szCs w:val="24"/>
    </w:rPr>
  </w:style>
  <w:style w:type="character" w:customStyle="1" w:styleId="132">
    <w:name w:val="HTML 预设格式 字符"/>
    <w:basedOn w:val="90"/>
    <w:link w:val="80"/>
    <w:qFormat/>
    <w:uiPriority w:val="99"/>
    <w:rPr>
      <w:rFonts w:ascii="宋体" w:hAnsi="宋体" w:cs="宋体"/>
      <w:sz w:val="24"/>
      <w:szCs w:val="24"/>
    </w:rPr>
  </w:style>
  <w:style w:type="character" w:customStyle="1" w:styleId="133">
    <w:name w:val="纯文本 字符"/>
    <w:basedOn w:val="90"/>
    <w:link w:val="45"/>
    <w:qFormat/>
    <w:uiPriority w:val="0"/>
    <w:rPr>
      <w:rFonts w:ascii="宋体" w:hAnsi="Courier New" w:cs="Courier New"/>
      <w:kern w:val="2"/>
      <w:sz w:val="21"/>
      <w:szCs w:val="21"/>
    </w:rPr>
  </w:style>
  <w:style w:type="character" w:customStyle="1" w:styleId="134">
    <w:name w:val="批注主题 字符"/>
    <w:basedOn w:val="122"/>
    <w:link w:val="85"/>
    <w:qFormat/>
    <w:uiPriority w:val="0"/>
    <w:rPr>
      <w:b/>
      <w:bCs/>
      <w:kern w:val="2"/>
      <w:sz w:val="21"/>
      <w:szCs w:val="24"/>
    </w:rPr>
  </w:style>
  <w:style w:type="character" w:customStyle="1" w:styleId="135">
    <w:name w:val="批注框文本 字符"/>
    <w:basedOn w:val="90"/>
    <w:link w:val="54"/>
    <w:qFormat/>
    <w:uiPriority w:val="0"/>
    <w:rPr>
      <w:kern w:val="2"/>
      <w:sz w:val="18"/>
      <w:szCs w:val="18"/>
    </w:rPr>
  </w:style>
  <w:style w:type="paragraph" w:styleId="136">
    <w:name w:val="List Paragraph"/>
    <w:basedOn w:val="1"/>
    <w:qFormat/>
    <w:uiPriority w:val="34"/>
    <w:pPr>
      <w:ind w:firstLine="420" w:firstLineChars="200"/>
    </w:pPr>
  </w:style>
  <w:style w:type="character" w:customStyle="1" w:styleId="137">
    <w:name w:val="段 Char Char"/>
    <w:basedOn w:val="90"/>
    <w:link w:val="121"/>
    <w:qFormat/>
    <w:uiPriority w:val="0"/>
    <w:rPr>
      <w:rFonts w:ascii="宋体" w:hAnsi="宋体"/>
      <w:sz w:val="21"/>
    </w:rPr>
  </w:style>
  <w:style w:type="character" w:customStyle="1" w:styleId="138">
    <w:name w:val="short_text1"/>
    <w:basedOn w:val="90"/>
    <w:qFormat/>
    <w:uiPriority w:val="0"/>
    <w:rPr>
      <w:sz w:val="19"/>
      <w:szCs w:val="19"/>
    </w:rPr>
  </w:style>
  <w:style w:type="paragraph" w:customStyle="1" w:styleId="139">
    <w:name w:val="2"/>
    <w:unhideWhenUsed/>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0">
    <w:name w:val="上标"/>
    <w:qFormat/>
    <w:uiPriority w:val="0"/>
    <w:rPr>
      <w:vertAlign w:val="superscript"/>
    </w:rPr>
  </w:style>
  <w:style w:type="character" w:customStyle="1" w:styleId="141">
    <w:name w:val="z题名页日期"/>
    <w:qFormat/>
    <w:uiPriority w:val="0"/>
    <w:rPr>
      <w:rFonts w:ascii="Times New Roman" w:hAnsi="Times New Roman" w:eastAsia="宋体"/>
      <w:spacing w:val="0"/>
      <w:sz w:val="28"/>
    </w:rPr>
  </w:style>
  <w:style w:type="character" w:customStyle="1" w:styleId="142">
    <w:name w:val="z题名页其他"/>
    <w:qFormat/>
    <w:uiPriority w:val="0"/>
    <w:rPr>
      <w:rFonts w:ascii="Times New Roman" w:hAnsi="Times New Roman" w:eastAsia="宋体"/>
      <w:sz w:val="21"/>
    </w:rPr>
  </w:style>
  <w:style w:type="character" w:customStyle="1" w:styleId="143">
    <w:name w:val="datatitle1"/>
    <w:qFormat/>
    <w:uiPriority w:val="0"/>
    <w:rPr>
      <w:b/>
      <w:bCs/>
      <w:color w:val="10619F"/>
      <w:sz w:val="21"/>
      <w:szCs w:val="21"/>
    </w:rPr>
  </w:style>
  <w:style w:type="character" w:customStyle="1" w:styleId="144">
    <w:name w:val="z题名页作者"/>
    <w:basedOn w:val="145"/>
    <w:qFormat/>
    <w:uiPriority w:val="0"/>
    <w:rPr>
      <w:rFonts w:ascii="Times New Roman" w:hAnsi="Times New Roman" w:eastAsia="宋体"/>
      <w:sz w:val="28"/>
    </w:rPr>
  </w:style>
  <w:style w:type="character" w:customStyle="1" w:styleId="145">
    <w:name w:val="z题名页题名"/>
    <w:qFormat/>
    <w:uiPriority w:val="0"/>
    <w:rPr>
      <w:rFonts w:ascii="Times New Roman" w:hAnsi="Times New Roman" w:eastAsia="宋体"/>
      <w:sz w:val="28"/>
    </w:rPr>
  </w:style>
  <w:style w:type="character" w:customStyle="1" w:styleId="146">
    <w:name w:val="z封面题名"/>
    <w:qFormat/>
    <w:uiPriority w:val="0"/>
    <w:rPr>
      <w:rFonts w:ascii="Times New Roman" w:hAnsi="Times New Roman" w:eastAsia="宋体"/>
      <w:b/>
      <w:spacing w:val="0"/>
      <w:sz w:val="36"/>
    </w:rPr>
  </w:style>
  <w:style w:type="character" w:customStyle="1" w:styleId="147">
    <w:name w:val="z封面其他"/>
    <w:qFormat/>
    <w:uiPriority w:val="0"/>
    <w:rPr>
      <w:rFonts w:ascii="Times New Roman" w:hAnsi="Times New Roman" w:eastAsia="宋体"/>
      <w:spacing w:val="0"/>
      <w:sz w:val="30"/>
    </w:rPr>
  </w:style>
  <w:style w:type="character" w:customStyle="1" w:styleId="148">
    <w:name w:val="u关键词"/>
    <w:qFormat/>
    <w:uiPriority w:val="0"/>
    <w:rPr>
      <w:rFonts w:ascii="Times New Roman" w:hAnsi="Times New Roman" w:eastAsia="黑体"/>
      <w:b/>
      <w:sz w:val="24"/>
    </w:rPr>
  </w:style>
  <w:style w:type="character" w:customStyle="1" w:styleId="149">
    <w:name w:val="u正文 Char Char"/>
    <w:link w:val="150"/>
    <w:qFormat/>
    <w:uiPriority w:val="0"/>
    <w:rPr>
      <w:rFonts w:cs="宋体"/>
      <w:kern w:val="2"/>
      <w:sz w:val="24"/>
      <w:szCs w:val="24"/>
    </w:rPr>
  </w:style>
  <w:style w:type="paragraph" w:customStyle="1" w:styleId="150">
    <w:name w:val="u正文 Char"/>
    <w:basedOn w:val="1"/>
    <w:link w:val="149"/>
    <w:qFormat/>
    <w:uiPriority w:val="0"/>
    <w:pPr>
      <w:spacing w:beforeLines="10" w:afterLines="10" w:line="312" w:lineRule="auto"/>
      <w:ind w:firstLine="200" w:firstLineChars="200"/>
    </w:pPr>
    <w:rPr>
      <w:rFonts w:cs="宋体"/>
      <w:sz w:val="24"/>
    </w:rPr>
  </w:style>
  <w:style w:type="character" w:customStyle="1" w:styleId="151">
    <w:name w:val="z封二题名"/>
    <w:qFormat/>
    <w:uiPriority w:val="0"/>
    <w:rPr>
      <w:rFonts w:ascii="Times New Roman" w:hAnsi="Times New Roman" w:eastAsia="宋体"/>
      <w:sz w:val="36"/>
    </w:rPr>
  </w:style>
  <w:style w:type="character" w:customStyle="1" w:styleId="152">
    <w:name w:val="z书脊"/>
    <w:qFormat/>
    <w:uiPriority w:val="0"/>
    <w:rPr>
      <w:rFonts w:ascii="Times New Roman" w:hAnsi="Times New Roman" w:eastAsia="宋体"/>
      <w:b/>
      <w:sz w:val="32"/>
    </w:rPr>
  </w:style>
  <w:style w:type="character" w:customStyle="1" w:styleId="153">
    <w:name w:val="z封二其他"/>
    <w:uiPriority w:val="0"/>
    <w:rPr>
      <w:rFonts w:ascii="Times New Roman" w:hAnsi="Times New Roman" w:eastAsia="宋体"/>
      <w:sz w:val="24"/>
    </w:rPr>
  </w:style>
  <w:style w:type="character" w:customStyle="1" w:styleId="154">
    <w:name w:val="宏文本 字符"/>
    <w:basedOn w:val="90"/>
    <w:link w:val="2"/>
    <w:qFormat/>
    <w:uiPriority w:val="0"/>
    <w:rPr>
      <w:rFonts w:ascii="Courier New" w:hAnsi="Courier New" w:cs="Courier New"/>
      <w:kern w:val="2"/>
      <w:sz w:val="24"/>
      <w:szCs w:val="24"/>
    </w:rPr>
  </w:style>
  <w:style w:type="character" w:customStyle="1" w:styleId="155">
    <w:name w:val="正文文本 字符"/>
    <w:basedOn w:val="90"/>
    <w:link w:val="34"/>
    <w:qFormat/>
    <w:uiPriority w:val="0"/>
    <w:rPr>
      <w:kern w:val="2"/>
      <w:sz w:val="21"/>
      <w:szCs w:val="24"/>
    </w:rPr>
  </w:style>
  <w:style w:type="character" w:customStyle="1" w:styleId="156">
    <w:name w:val="正文首行缩进 字符"/>
    <w:basedOn w:val="155"/>
    <w:link w:val="86"/>
    <w:qFormat/>
    <w:uiPriority w:val="0"/>
    <w:rPr>
      <w:kern w:val="2"/>
      <w:sz w:val="21"/>
      <w:szCs w:val="24"/>
    </w:rPr>
  </w:style>
  <w:style w:type="character" w:customStyle="1" w:styleId="157">
    <w:name w:val="正文文本缩进 字符"/>
    <w:basedOn w:val="90"/>
    <w:link w:val="35"/>
    <w:qFormat/>
    <w:uiPriority w:val="0"/>
    <w:rPr>
      <w:kern w:val="2"/>
      <w:sz w:val="21"/>
      <w:szCs w:val="24"/>
    </w:rPr>
  </w:style>
  <w:style w:type="character" w:customStyle="1" w:styleId="158">
    <w:name w:val="正文首行缩进 2 字符"/>
    <w:basedOn w:val="157"/>
    <w:link w:val="87"/>
    <w:qFormat/>
    <w:uiPriority w:val="0"/>
    <w:rPr>
      <w:kern w:val="2"/>
      <w:sz w:val="21"/>
      <w:szCs w:val="24"/>
    </w:rPr>
  </w:style>
  <w:style w:type="character" w:customStyle="1" w:styleId="159">
    <w:name w:val="文档结构图 字符"/>
    <w:basedOn w:val="90"/>
    <w:link w:val="26"/>
    <w:uiPriority w:val="0"/>
    <w:rPr>
      <w:kern w:val="2"/>
      <w:sz w:val="21"/>
      <w:szCs w:val="24"/>
      <w:shd w:val="clear" w:color="auto" w:fill="000080"/>
    </w:rPr>
  </w:style>
  <w:style w:type="character" w:customStyle="1" w:styleId="160">
    <w:name w:val="正文文本 3 字符"/>
    <w:basedOn w:val="90"/>
    <w:link w:val="31"/>
    <w:qFormat/>
    <w:uiPriority w:val="0"/>
    <w:rPr>
      <w:kern w:val="2"/>
      <w:sz w:val="16"/>
      <w:szCs w:val="16"/>
    </w:rPr>
  </w:style>
  <w:style w:type="character" w:customStyle="1" w:styleId="161">
    <w:name w:val="HTML 地址 字符"/>
    <w:basedOn w:val="90"/>
    <w:link w:val="41"/>
    <w:qFormat/>
    <w:uiPriority w:val="0"/>
    <w:rPr>
      <w:i/>
      <w:iCs/>
      <w:kern w:val="2"/>
      <w:sz w:val="21"/>
      <w:szCs w:val="24"/>
    </w:rPr>
  </w:style>
  <w:style w:type="character" w:customStyle="1" w:styleId="162">
    <w:name w:val="正文文本缩进 3 字符"/>
    <w:basedOn w:val="90"/>
    <w:link w:val="70"/>
    <w:qFormat/>
    <w:uiPriority w:val="0"/>
    <w:rPr>
      <w:kern w:val="2"/>
      <w:sz w:val="16"/>
      <w:szCs w:val="16"/>
    </w:rPr>
  </w:style>
  <w:style w:type="character" w:customStyle="1" w:styleId="163">
    <w:name w:val="电子邮件签名 字符"/>
    <w:basedOn w:val="90"/>
    <w:link w:val="19"/>
    <w:qFormat/>
    <w:uiPriority w:val="0"/>
    <w:rPr>
      <w:kern w:val="2"/>
      <w:sz w:val="21"/>
      <w:szCs w:val="24"/>
    </w:rPr>
  </w:style>
  <w:style w:type="character" w:customStyle="1" w:styleId="164">
    <w:name w:val="签名 字符"/>
    <w:basedOn w:val="90"/>
    <w:link w:val="58"/>
    <w:qFormat/>
    <w:uiPriority w:val="0"/>
    <w:rPr>
      <w:kern w:val="2"/>
      <w:sz w:val="21"/>
      <w:szCs w:val="24"/>
    </w:rPr>
  </w:style>
  <w:style w:type="character" w:customStyle="1" w:styleId="165">
    <w:name w:val="脚注文本 字符"/>
    <w:basedOn w:val="90"/>
    <w:link w:val="67"/>
    <w:qFormat/>
    <w:uiPriority w:val="0"/>
    <w:rPr>
      <w:kern w:val="2"/>
      <w:sz w:val="18"/>
      <w:szCs w:val="18"/>
    </w:rPr>
  </w:style>
  <w:style w:type="character" w:customStyle="1" w:styleId="166">
    <w:name w:val="注释标题 字符"/>
    <w:basedOn w:val="90"/>
    <w:link w:val="16"/>
    <w:qFormat/>
    <w:uiPriority w:val="0"/>
    <w:rPr>
      <w:kern w:val="2"/>
      <w:sz w:val="21"/>
      <w:szCs w:val="24"/>
    </w:rPr>
  </w:style>
  <w:style w:type="character" w:customStyle="1" w:styleId="167">
    <w:name w:val="正文文本 2 字符"/>
    <w:basedOn w:val="90"/>
    <w:link w:val="76"/>
    <w:qFormat/>
    <w:uiPriority w:val="0"/>
    <w:rPr>
      <w:kern w:val="2"/>
      <w:sz w:val="21"/>
      <w:szCs w:val="24"/>
    </w:rPr>
  </w:style>
  <w:style w:type="character" w:customStyle="1" w:styleId="168">
    <w:name w:val="称呼 字符"/>
    <w:basedOn w:val="90"/>
    <w:link w:val="30"/>
    <w:qFormat/>
    <w:uiPriority w:val="0"/>
    <w:rPr>
      <w:kern w:val="2"/>
      <w:sz w:val="21"/>
      <w:szCs w:val="24"/>
    </w:rPr>
  </w:style>
  <w:style w:type="character" w:customStyle="1" w:styleId="169">
    <w:name w:val="尾注文本 字符"/>
    <w:basedOn w:val="90"/>
    <w:link w:val="52"/>
    <w:qFormat/>
    <w:uiPriority w:val="0"/>
    <w:rPr>
      <w:kern w:val="2"/>
      <w:sz w:val="21"/>
      <w:szCs w:val="24"/>
    </w:rPr>
  </w:style>
  <w:style w:type="character" w:customStyle="1" w:styleId="170">
    <w:name w:val="结束语 字符"/>
    <w:basedOn w:val="90"/>
    <w:link w:val="32"/>
    <w:qFormat/>
    <w:uiPriority w:val="0"/>
    <w:rPr>
      <w:kern w:val="2"/>
      <w:sz w:val="21"/>
      <w:szCs w:val="24"/>
    </w:rPr>
  </w:style>
  <w:style w:type="character" w:customStyle="1" w:styleId="171">
    <w:name w:val="正文文本缩进 2 字符"/>
    <w:basedOn w:val="90"/>
    <w:link w:val="51"/>
    <w:qFormat/>
    <w:uiPriority w:val="0"/>
    <w:rPr>
      <w:kern w:val="2"/>
      <w:sz w:val="21"/>
      <w:szCs w:val="24"/>
    </w:rPr>
  </w:style>
  <w:style w:type="character" w:customStyle="1" w:styleId="172">
    <w:name w:val="副标题 字符"/>
    <w:basedOn w:val="90"/>
    <w:link w:val="64"/>
    <w:qFormat/>
    <w:uiPriority w:val="0"/>
    <w:rPr>
      <w:rFonts w:ascii="Arial" w:hAnsi="Arial" w:cs="Arial"/>
      <w:b/>
      <w:bCs/>
      <w:kern w:val="28"/>
      <w:sz w:val="32"/>
      <w:szCs w:val="32"/>
    </w:rPr>
  </w:style>
  <w:style w:type="character" w:customStyle="1" w:styleId="173">
    <w:name w:val="信息标题 字符"/>
    <w:basedOn w:val="90"/>
    <w:link w:val="79"/>
    <w:qFormat/>
    <w:uiPriority w:val="0"/>
    <w:rPr>
      <w:rFonts w:ascii="Arial" w:hAnsi="Arial" w:cs="Arial"/>
      <w:kern w:val="2"/>
      <w:sz w:val="24"/>
      <w:szCs w:val="24"/>
      <w:shd w:val="pct20" w:color="auto" w:fill="auto"/>
    </w:rPr>
  </w:style>
  <w:style w:type="paragraph" w:customStyle="1" w:styleId="174">
    <w:name w:val="u页眉"/>
    <w:basedOn w:val="1"/>
    <w:qFormat/>
    <w:uiPriority w:val="0"/>
    <w:pPr>
      <w:pBdr>
        <w:bottom w:val="single" w:color="auto" w:sz="4" w:space="1"/>
      </w:pBdr>
      <w:jc w:val="center"/>
    </w:pPr>
  </w:style>
  <w:style w:type="paragraph" w:customStyle="1" w:styleId="175">
    <w:name w:val="连续正文文字"/>
    <w:basedOn w:val="34"/>
    <w:qFormat/>
    <w:uiPriority w:val="0"/>
    <w:pPr>
      <w:keepNext/>
      <w:widowControl/>
      <w:spacing w:after="220" w:line="180" w:lineRule="atLeast"/>
      <w:ind w:firstLine="476"/>
      <w:jc w:val="center"/>
    </w:pPr>
    <w:rPr>
      <w:spacing w:val="-5"/>
      <w:kern w:val="0"/>
      <w:sz w:val="30"/>
      <w:szCs w:val="20"/>
    </w:rPr>
  </w:style>
  <w:style w:type="paragraph" w:customStyle="1" w:styleId="176">
    <w:name w:val="正文（结尾部分）"/>
    <w:basedOn w:val="1"/>
    <w:qFormat/>
    <w:uiPriority w:val="0"/>
    <w:pPr>
      <w:adjustRightInd w:val="0"/>
      <w:snapToGrid w:val="0"/>
      <w:spacing w:line="320" w:lineRule="exact"/>
      <w:ind w:firstLine="200" w:firstLineChars="200"/>
    </w:pPr>
  </w:style>
  <w:style w:type="paragraph" w:customStyle="1" w:styleId="177">
    <w:name w:val="基准页眉样式"/>
    <w:basedOn w:val="34"/>
    <w:qFormat/>
    <w:uiPriority w:val="0"/>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178">
    <w:name w:val="图标题"/>
    <w:basedOn w:val="1"/>
    <w:next w:val="1"/>
    <w:qFormat/>
    <w:uiPriority w:val="0"/>
    <w:pPr>
      <w:widowControl/>
      <w:spacing w:before="200" w:after="400" w:line="312" w:lineRule="auto"/>
      <w:ind w:firstLine="476"/>
      <w:jc w:val="center"/>
    </w:pPr>
    <w:rPr>
      <w:b/>
      <w:spacing w:val="-5"/>
      <w:kern w:val="0"/>
      <w:sz w:val="24"/>
      <w:szCs w:val="20"/>
    </w:rPr>
  </w:style>
  <w:style w:type="paragraph" w:customStyle="1" w:styleId="179">
    <w:name w:val="五级条标题"/>
    <w:basedOn w:val="180"/>
    <w:next w:val="121"/>
    <w:qFormat/>
    <w:uiPriority w:val="0"/>
    <w:pPr>
      <w:tabs>
        <w:tab w:val="left" w:pos="1680"/>
        <w:tab w:val="left" w:pos="2100"/>
        <w:tab w:val="left" w:pos="2520"/>
        <w:tab w:val="left" w:pos="2940"/>
        <w:tab w:val="left" w:pos="3360"/>
      </w:tabs>
      <w:ind w:left="3360"/>
      <w:outlineLvl w:val="6"/>
    </w:pPr>
  </w:style>
  <w:style w:type="paragraph" w:customStyle="1" w:styleId="180">
    <w:name w:val="四级条标题"/>
    <w:basedOn w:val="181"/>
    <w:next w:val="121"/>
    <w:qFormat/>
    <w:uiPriority w:val="0"/>
    <w:pPr>
      <w:tabs>
        <w:tab w:val="left" w:pos="1680"/>
        <w:tab w:val="left" w:pos="2100"/>
        <w:tab w:val="left" w:pos="2520"/>
        <w:tab w:val="left" w:pos="2940"/>
      </w:tabs>
      <w:ind w:left="2940"/>
      <w:outlineLvl w:val="5"/>
    </w:pPr>
  </w:style>
  <w:style w:type="paragraph" w:customStyle="1" w:styleId="181">
    <w:name w:val="三级条标题"/>
    <w:basedOn w:val="182"/>
    <w:next w:val="121"/>
    <w:qFormat/>
    <w:uiPriority w:val="0"/>
    <w:pPr>
      <w:tabs>
        <w:tab w:val="left" w:pos="1680"/>
        <w:tab w:val="left" w:pos="2100"/>
        <w:tab w:val="left" w:pos="2520"/>
      </w:tabs>
      <w:ind w:left="2520"/>
      <w:outlineLvl w:val="4"/>
    </w:pPr>
  </w:style>
  <w:style w:type="paragraph" w:customStyle="1" w:styleId="182">
    <w:name w:val="二级条标题"/>
    <w:basedOn w:val="183"/>
    <w:next w:val="121"/>
    <w:qFormat/>
    <w:uiPriority w:val="0"/>
    <w:pPr>
      <w:tabs>
        <w:tab w:val="left" w:pos="1680"/>
        <w:tab w:val="left" w:pos="2100"/>
      </w:tabs>
      <w:ind w:left="2100"/>
      <w:outlineLvl w:val="3"/>
    </w:pPr>
  </w:style>
  <w:style w:type="paragraph" w:customStyle="1" w:styleId="183">
    <w:name w:val="一级条标题"/>
    <w:basedOn w:val="120"/>
    <w:next w:val="121"/>
    <w:qFormat/>
    <w:uiPriority w:val="0"/>
    <w:pPr>
      <w:tabs>
        <w:tab w:val="left" w:pos="1680"/>
        <w:tab w:val="clear" w:pos="675"/>
      </w:tabs>
      <w:spacing w:beforeLines="0" w:afterLines="0"/>
      <w:ind w:left="1680" w:hanging="420"/>
      <w:outlineLvl w:val="2"/>
    </w:pPr>
  </w:style>
  <w:style w:type="paragraph" w:customStyle="1" w:styleId="184">
    <w:name w:val="附录"/>
    <w:basedOn w:val="3"/>
    <w:next w:val="1"/>
    <w:qFormat/>
    <w:uiPriority w:val="0"/>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185">
    <w:name w:val="样式 u正文 + 首行缩进:  2 字符 段前: 0.5 行 段后: 0.5 行"/>
    <w:basedOn w:val="186"/>
    <w:qFormat/>
    <w:uiPriority w:val="0"/>
  </w:style>
  <w:style w:type="paragraph" w:customStyle="1" w:styleId="186">
    <w:name w:val="u正文"/>
    <w:basedOn w:val="1"/>
    <w:qFormat/>
    <w:uiPriority w:val="0"/>
    <w:pPr>
      <w:spacing w:beforeLines="10" w:afterLines="10" w:line="312" w:lineRule="auto"/>
      <w:ind w:firstLine="200" w:firstLineChars="200"/>
    </w:pPr>
    <w:rPr>
      <w:rFonts w:cs="宋体"/>
      <w:sz w:val="24"/>
      <w:szCs w:val="20"/>
    </w:rPr>
  </w:style>
  <w:style w:type="paragraph" w:customStyle="1" w:styleId="187">
    <w:name w:val="u标题 自动分页"/>
    <w:basedOn w:val="188"/>
    <w:next w:val="186"/>
    <w:qFormat/>
    <w:uiPriority w:val="0"/>
    <w:pPr>
      <w:pageBreakBefore/>
    </w:pPr>
  </w:style>
  <w:style w:type="paragraph" w:customStyle="1" w:styleId="188">
    <w:name w:val="u标题"/>
    <w:basedOn w:val="3"/>
    <w:next w:val="150"/>
    <w:uiPriority w:val="0"/>
    <w:pPr>
      <w:spacing w:line="576" w:lineRule="auto"/>
      <w:jc w:val="center"/>
    </w:pPr>
    <w:rPr>
      <w:rFonts w:eastAsia="黑体"/>
      <w:sz w:val="30"/>
    </w:rPr>
  </w:style>
  <w:style w:type="paragraph" w:customStyle="1" w:styleId="189">
    <w:name w:val="基准页脚样式"/>
    <w:basedOn w:val="34"/>
    <w:qFormat/>
    <w:uiPriority w:val="0"/>
    <w:pPr>
      <w:keepLines/>
      <w:widowControl/>
      <w:spacing w:after="220" w:line="200" w:lineRule="atLeast"/>
      <w:ind w:firstLine="476"/>
      <w:jc w:val="center"/>
    </w:pPr>
    <w:rPr>
      <w:spacing w:val="-5"/>
      <w:kern w:val="0"/>
      <w:sz w:val="16"/>
      <w:szCs w:val="20"/>
    </w:rPr>
  </w:style>
  <w:style w:type="paragraph" w:customStyle="1" w:styleId="19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91">
    <w:name w:val="样式 u正文 + 首行缩进:  2 字符 段前: 0.5 行 段后: 0.5 行1"/>
    <w:basedOn w:val="186"/>
    <w:qFormat/>
    <w:uiPriority w:val="0"/>
  </w:style>
  <w:style w:type="paragraph" w:customStyle="1" w:styleId="192">
    <w:name w:val="前言、引言标题"/>
    <w:next w:val="1"/>
    <w:qFormat/>
    <w:uiPriority w:val="0"/>
    <w:pPr>
      <w:shd w:val="clear" w:color="FFFFFF" w:fill="FFFFFF"/>
      <w:tabs>
        <w:tab w:val="left" w:pos="780"/>
      </w:tabs>
      <w:spacing w:before="640" w:after="560"/>
      <w:ind w:left="780" w:hanging="360"/>
      <w:jc w:val="center"/>
      <w:outlineLvl w:val="0"/>
    </w:pPr>
    <w:rPr>
      <w:rFonts w:ascii="黑体" w:hAnsi="Times New Roman" w:eastAsia="黑体" w:cs="Times New Roman"/>
      <w:sz w:val="32"/>
      <w:lang w:val="en-US" w:eastAsia="zh-CN" w:bidi="ar-SA"/>
    </w:rPr>
  </w:style>
  <w:style w:type="paragraph" w:customStyle="1" w:styleId="193">
    <w:name w:val="ustb bt1"/>
    <w:basedOn w:val="3"/>
    <w:qFormat/>
    <w:uiPriority w:val="0"/>
    <w:pPr>
      <w:spacing w:line="576" w:lineRule="auto"/>
    </w:pPr>
  </w:style>
  <w:style w:type="paragraph" w:customStyle="1" w:styleId="194">
    <w:name w:val="u正文2级标题"/>
    <w:basedOn w:val="4"/>
    <w:next w:val="1"/>
    <w:qFormat/>
    <w:uiPriority w:val="0"/>
    <w:pPr>
      <w:spacing w:line="312" w:lineRule="auto"/>
      <w:ind w:left="360"/>
    </w:pPr>
    <w:rPr>
      <w:rFonts w:ascii="Times New Roman" w:hAnsi="Times New Roman" w:eastAsia="Times New Roman"/>
      <w:sz w:val="28"/>
    </w:rPr>
  </w:style>
  <w:style w:type="paragraph" w:customStyle="1" w:styleId="195">
    <w:name w:val="u参考文献条目著者出版年制"/>
    <w:basedOn w:val="1"/>
    <w:qFormat/>
    <w:uiPriority w:val="0"/>
    <w:pPr>
      <w:spacing w:line="312" w:lineRule="auto"/>
      <w:ind w:left="200" w:hanging="200" w:hangingChars="200"/>
    </w:pPr>
    <w:rPr>
      <w:sz w:val="24"/>
    </w:rPr>
  </w:style>
  <w:style w:type="paragraph" w:customStyle="1" w:styleId="196">
    <w:name w:val="基准标题"/>
    <w:basedOn w:val="34"/>
    <w:next w:val="34"/>
    <w:qFormat/>
    <w:uiPriority w:val="0"/>
    <w:pPr>
      <w:keepNext/>
      <w:keepLines/>
      <w:widowControl/>
      <w:spacing w:after="0" w:line="180" w:lineRule="atLeast"/>
      <w:ind w:firstLine="476"/>
      <w:jc w:val="left"/>
    </w:pPr>
    <w:rPr>
      <w:rFonts w:ascii="Arial Black" w:hAnsi="Arial Black"/>
      <w:spacing w:val="-10"/>
      <w:kern w:val="28"/>
      <w:sz w:val="30"/>
      <w:szCs w:val="20"/>
    </w:rPr>
  </w:style>
  <w:style w:type="paragraph" w:customStyle="1" w:styleId="197">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8">
    <w:name w:val="u附录标题"/>
    <w:basedOn w:val="187"/>
    <w:qFormat/>
    <w:uiPriority w:val="0"/>
    <w:pPr>
      <w:pageBreakBefore w:val="0"/>
      <w:tabs>
        <w:tab w:val="left" w:pos="735"/>
        <w:tab w:val="left" w:pos="907"/>
      </w:tabs>
      <w:ind w:left="735" w:hanging="735"/>
      <w:jc w:val="left"/>
    </w:pPr>
  </w:style>
  <w:style w:type="paragraph" w:customStyle="1" w:styleId="199">
    <w:name w:val="样式 u正文 + 首行缩进:  2 字符 段前: 0.5 行1"/>
    <w:basedOn w:val="186"/>
    <w:qFormat/>
    <w:uiPriority w:val="0"/>
    <w:pPr>
      <w:spacing w:beforeLines="20"/>
    </w:pPr>
    <w:rPr>
      <w:kern w:val="0"/>
    </w:rPr>
  </w:style>
  <w:style w:type="paragraph" w:customStyle="1" w:styleId="200">
    <w:name w:val="u表标题"/>
    <w:basedOn w:val="1"/>
    <w:qFormat/>
    <w:uiPriority w:val="0"/>
    <w:pPr>
      <w:spacing w:beforeLines="150" w:afterLines="50" w:line="360" w:lineRule="auto"/>
      <w:jc w:val="center"/>
    </w:pPr>
    <w:rPr>
      <w:rFonts w:eastAsia="黑体"/>
      <w:b/>
    </w:rPr>
  </w:style>
  <w:style w:type="paragraph" w:customStyle="1" w:styleId="201">
    <w:name w:val="图表题"/>
    <w:basedOn w:val="1"/>
    <w:qFormat/>
    <w:uiPriority w:val="0"/>
    <w:pPr>
      <w:adjustRightInd w:val="0"/>
      <w:snapToGrid w:val="0"/>
      <w:spacing w:line="400" w:lineRule="exact"/>
      <w:jc w:val="center"/>
    </w:pPr>
  </w:style>
  <w:style w:type="paragraph" w:customStyle="1" w:styleId="202">
    <w:name w:val="样式 u正文 + 首行缩进:  2 字符 段前: 0.5 行"/>
    <w:basedOn w:val="186"/>
    <w:qFormat/>
    <w:uiPriority w:val="0"/>
    <w:pPr>
      <w:spacing w:beforeLines="0" w:beforeAutospacing="1"/>
    </w:pPr>
  </w:style>
  <w:style w:type="paragraph" w:customStyle="1" w:styleId="203">
    <w:name w:val="u正文1级标题"/>
    <w:basedOn w:val="3"/>
    <w:next w:val="1"/>
    <w:qFormat/>
    <w:uiPriority w:val="0"/>
    <w:pPr>
      <w:pageBreakBefore/>
      <w:spacing w:after="340" w:line="312" w:lineRule="auto"/>
    </w:pPr>
    <w:rPr>
      <w:rFonts w:eastAsia="黑体"/>
      <w:sz w:val="30"/>
    </w:rPr>
  </w:style>
  <w:style w:type="paragraph" w:customStyle="1" w:styleId="204">
    <w:name w:val="u脚注"/>
    <w:basedOn w:val="1"/>
    <w:qFormat/>
    <w:uiPriority w:val="0"/>
    <w:pPr>
      <w:spacing w:before="100" w:beforeAutospacing="1" w:after="100" w:afterAutospacing="1"/>
    </w:pPr>
  </w:style>
  <w:style w:type="paragraph" w:customStyle="1" w:styleId="20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06">
    <w:name w:val="尾消息标题"/>
    <w:basedOn w:val="1"/>
    <w:next w:val="34"/>
    <w:qFormat/>
    <w:uiPriority w:val="0"/>
    <w:pPr>
      <w:widowControl/>
      <w:pBdr>
        <w:bottom w:val="single" w:color="auto" w:sz="6" w:space="19"/>
        <w:between w:val="single" w:color="auto" w:sz="6" w:space="19"/>
      </w:pBdr>
      <w:tabs>
        <w:tab w:val="left" w:pos="1260"/>
        <w:tab w:val="left" w:pos="2940"/>
      </w:tabs>
      <w:spacing w:before="120" w:after="120" w:line="312" w:lineRule="auto"/>
      <w:jc w:val="left"/>
    </w:pPr>
    <w:rPr>
      <w:spacing w:val="-5"/>
      <w:kern w:val="0"/>
      <w:sz w:val="24"/>
      <w:szCs w:val="20"/>
    </w:rPr>
  </w:style>
  <w:style w:type="paragraph" w:customStyle="1" w:styleId="207">
    <w:name w:val="u正文3级标题"/>
    <w:basedOn w:val="5"/>
    <w:next w:val="1"/>
    <w:qFormat/>
    <w:uiPriority w:val="0"/>
    <w:pPr>
      <w:spacing w:line="312" w:lineRule="auto"/>
      <w:ind w:left="2160"/>
    </w:pPr>
    <w:rPr>
      <w:rFonts w:eastAsia="Times New Roman"/>
      <w:sz w:val="28"/>
    </w:rPr>
  </w:style>
  <w:style w:type="paragraph" w:customStyle="1" w:styleId="208">
    <w:name w:val="表标题"/>
    <w:basedOn w:val="1"/>
    <w:next w:val="1"/>
    <w:qFormat/>
    <w:uiPriority w:val="0"/>
    <w:pPr>
      <w:widowControl/>
      <w:spacing w:before="400" w:after="200" w:line="312" w:lineRule="auto"/>
      <w:jc w:val="left"/>
    </w:pPr>
    <w:rPr>
      <w:b/>
      <w:spacing w:val="-5"/>
      <w:kern w:val="0"/>
      <w:sz w:val="24"/>
      <w:szCs w:val="20"/>
    </w:rPr>
  </w:style>
  <w:style w:type="paragraph" w:customStyle="1" w:styleId="209">
    <w:name w:val="其他"/>
    <w:basedOn w:val="1"/>
    <w:qFormat/>
    <w:uiPriority w:val="0"/>
  </w:style>
  <w:style w:type="paragraph" w:customStyle="1" w:styleId="210">
    <w:name w:val="u参考文献条目顺序编码制"/>
    <w:basedOn w:val="1"/>
    <w:qFormat/>
    <w:uiPriority w:val="0"/>
    <w:pPr>
      <w:tabs>
        <w:tab w:val="left" w:pos="525"/>
        <w:tab w:val="left" w:pos="927"/>
      </w:tabs>
      <w:spacing w:before="100" w:beforeAutospacing="1" w:after="100" w:afterAutospacing="1" w:line="312" w:lineRule="auto"/>
      <w:ind w:left="525" w:hanging="525"/>
    </w:pPr>
    <w:rPr>
      <w:sz w:val="24"/>
    </w:rPr>
  </w:style>
  <w:style w:type="paragraph" w:customStyle="1" w:styleId="211">
    <w:name w:val="u正文 + 首行缩进:  2 字符 段前: 0.5 行2"/>
    <w:basedOn w:val="186"/>
    <w:qFormat/>
    <w:uiPriority w:val="0"/>
    <w:pPr>
      <w:spacing w:beforeLines="20"/>
    </w:pPr>
    <w:rPr>
      <w:kern w:val="0"/>
    </w:rPr>
  </w:style>
  <w:style w:type="paragraph" w:customStyle="1" w:styleId="212">
    <w:name w:val="u图标题"/>
    <w:basedOn w:val="1"/>
    <w:next w:val="186"/>
    <w:qFormat/>
    <w:uiPriority w:val="0"/>
    <w:pPr>
      <w:spacing w:beforeLines="50" w:afterLines="150" w:line="360" w:lineRule="auto"/>
      <w:jc w:val="center"/>
    </w:pPr>
    <w:rPr>
      <w:rFonts w:eastAsia="黑体"/>
      <w:b/>
    </w:rPr>
  </w:style>
  <w:style w:type="paragraph" w:customStyle="1" w:styleId="213">
    <w:name w:val="样式 u表标题 + 段前: 1.5 行"/>
    <w:basedOn w:val="200"/>
    <w:qFormat/>
    <w:uiPriority w:val="0"/>
    <w:rPr>
      <w:rFonts w:cs="宋体"/>
      <w:bCs/>
      <w:szCs w:val="20"/>
    </w:rPr>
  </w:style>
  <w:style w:type="paragraph" w:customStyle="1" w:styleId="214">
    <w:name w:val="图片"/>
    <w:basedOn w:val="1"/>
    <w:next w:val="22"/>
    <w:qFormat/>
    <w:uiPriority w:val="0"/>
    <w:pPr>
      <w:keepNext/>
      <w:widowControl/>
      <w:spacing w:line="312" w:lineRule="auto"/>
      <w:ind w:firstLine="476"/>
      <w:jc w:val="left"/>
    </w:pPr>
    <w:rPr>
      <w:spacing w:val="-5"/>
      <w:kern w:val="0"/>
      <w:sz w:val="24"/>
      <w:szCs w:val="20"/>
    </w:rPr>
  </w:style>
  <w:style w:type="paragraph" w:customStyle="1" w:styleId="215">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6">
    <w:name w:val="样式1"/>
    <w:basedOn w:val="1"/>
    <w:qFormat/>
    <w:uiPriority w:val="0"/>
    <w:pPr>
      <w:spacing w:beforeLines="10" w:afterLines="10" w:line="312" w:lineRule="auto"/>
      <w:ind w:firstLine="480" w:firstLineChars="200"/>
    </w:pPr>
    <w:rPr>
      <w:rFonts w:hAnsi="宋体" w:cs="宋体"/>
      <w:sz w:val="24"/>
    </w:rPr>
  </w:style>
  <w:style w:type="paragraph" w:customStyle="1" w:styleId="217">
    <w:name w:val="u标题 不入目录"/>
    <w:basedOn w:val="1"/>
    <w:qFormat/>
    <w:uiPriority w:val="0"/>
    <w:pPr>
      <w:jc w:val="center"/>
    </w:pPr>
    <w:rPr>
      <w:rFonts w:eastAsia="黑体"/>
      <w:b/>
      <w:sz w:val="30"/>
      <w:szCs w:val="30"/>
    </w:rPr>
  </w:style>
  <w:style w:type="paragraph" w:customStyle="1" w:styleId="218">
    <w:name w:val="xl6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1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7">
    <w:name w:val="xl7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28">
    <w:name w:val="xl72"/>
    <w:basedOn w:val="1"/>
    <w:qFormat/>
    <w:uiPriority w:val="0"/>
    <w:pPr>
      <w:widowControl/>
      <w:pBdr>
        <w:left w:val="single" w:color="auto" w:sz="8" w:space="0"/>
        <w:right w:val="single" w:color="auto" w:sz="8" w:space="0"/>
      </w:pBdr>
      <w:spacing w:before="100" w:beforeAutospacing="1" w:after="100" w:afterAutospacing="1"/>
      <w:jc w:val="center"/>
    </w:pPr>
    <w:rPr>
      <w:kern w:val="0"/>
      <w:sz w:val="18"/>
      <w:szCs w:val="18"/>
    </w:rPr>
  </w:style>
  <w:style w:type="paragraph" w:customStyle="1" w:styleId="229">
    <w:name w:val="xl7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30">
    <w:name w:val="xl74"/>
    <w:basedOn w:val="1"/>
    <w:qFormat/>
    <w:uiPriority w:val="0"/>
    <w:pPr>
      <w:widowControl/>
      <w:pBdr>
        <w:bottom w:val="single" w:color="auto" w:sz="8" w:space="0"/>
        <w:right w:val="single" w:color="auto" w:sz="8" w:space="0"/>
      </w:pBdr>
      <w:spacing w:before="100" w:beforeAutospacing="1" w:after="100" w:afterAutospacing="1"/>
      <w:jc w:val="center"/>
    </w:pPr>
    <w:rPr>
      <w:kern w:val="0"/>
      <w:sz w:val="18"/>
      <w:szCs w:val="18"/>
    </w:rPr>
  </w:style>
  <w:style w:type="paragraph" w:customStyle="1" w:styleId="231">
    <w:name w:val="xl75"/>
    <w:basedOn w:val="1"/>
    <w:qFormat/>
    <w:uiPriority w:val="0"/>
    <w:pPr>
      <w:widowControl/>
      <w:pBdr>
        <w:top w:val="single" w:color="auto" w:sz="8" w:space="0"/>
        <w:left w:val="single" w:color="auto" w:sz="8" w:space="0"/>
        <w:bottom w:val="single" w:color="auto" w:sz="8" w:space="0"/>
        <w:right w:val="single" w:color="auto" w:sz="8" w:space="0"/>
      </w:pBdr>
      <w:shd w:val="clear" w:color="000000" w:fill="FF8080"/>
      <w:spacing w:before="100" w:beforeAutospacing="1" w:after="100" w:afterAutospacing="1"/>
      <w:jc w:val="center"/>
    </w:pPr>
    <w:rPr>
      <w:kern w:val="0"/>
      <w:sz w:val="20"/>
      <w:szCs w:val="20"/>
    </w:rPr>
  </w:style>
  <w:style w:type="paragraph" w:customStyle="1" w:styleId="232">
    <w:name w:val="xl76"/>
    <w:basedOn w:val="1"/>
    <w:qFormat/>
    <w:uiPriority w:val="0"/>
    <w:pPr>
      <w:widowControl/>
      <w:pBdr>
        <w:top w:val="single" w:color="auto" w:sz="8" w:space="0"/>
        <w:left w:val="single" w:color="auto" w:sz="8" w:space="0"/>
        <w:bottom w:val="single" w:color="auto" w:sz="8" w:space="0"/>
        <w:right w:val="single" w:color="auto" w:sz="8" w:space="0"/>
      </w:pBdr>
      <w:shd w:val="clear" w:color="000000" w:fill="FFCC99"/>
      <w:spacing w:before="100" w:beforeAutospacing="1" w:after="100" w:afterAutospacing="1"/>
      <w:jc w:val="center"/>
    </w:pPr>
    <w:rPr>
      <w:kern w:val="0"/>
      <w:sz w:val="20"/>
      <w:szCs w:val="20"/>
    </w:rPr>
  </w:style>
  <w:style w:type="paragraph" w:customStyle="1" w:styleId="233">
    <w:name w:val="xl7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34">
    <w:name w:val="xl78"/>
    <w:basedOn w:val="1"/>
    <w:qFormat/>
    <w:uiPriority w:val="0"/>
    <w:pPr>
      <w:widowControl/>
      <w:pBdr>
        <w:top w:val="single" w:color="auto" w:sz="8" w:space="0"/>
        <w:left w:val="single" w:color="auto" w:sz="8" w:space="0"/>
        <w:bottom w:val="single" w:color="auto" w:sz="8" w:space="0"/>
        <w:right w:val="single" w:color="auto" w:sz="8" w:space="0"/>
      </w:pBdr>
      <w:shd w:val="clear" w:color="000000" w:fill="C0C0C0"/>
      <w:spacing w:before="100" w:beforeAutospacing="1" w:after="100" w:afterAutospacing="1"/>
      <w:jc w:val="center"/>
    </w:pPr>
    <w:rPr>
      <w:kern w:val="0"/>
      <w:sz w:val="20"/>
      <w:szCs w:val="20"/>
    </w:rPr>
  </w:style>
  <w:style w:type="paragraph" w:customStyle="1" w:styleId="235">
    <w:name w:val="xl7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6">
    <w:name w:val="xl8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7">
    <w:name w:val="xl81"/>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kern w:val="0"/>
      <w:sz w:val="18"/>
      <w:szCs w:val="18"/>
    </w:rPr>
  </w:style>
  <w:style w:type="paragraph" w:customStyle="1" w:styleId="238">
    <w:name w:val="xl82"/>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39">
    <w:name w:val="xl83"/>
    <w:basedOn w:val="1"/>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40">
    <w:name w:val="xl8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41">
    <w:name w:val="xl85"/>
    <w:basedOn w:val="1"/>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42">
    <w:name w:val="1"/>
    <w:qFormat/>
    <w:uiPriority w:val="99"/>
    <w:pPr>
      <w:widowControl w:val="0"/>
      <w:jc w:val="both"/>
    </w:pPr>
    <w:rPr>
      <w:rFonts w:ascii="Times New Roman" w:hAnsi="Times New Roman" w:eastAsia="宋体" w:cs="Times New Roman"/>
      <w:kern w:val="2"/>
      <w:sz w:val="21"/>
      <w:szCs w:val="24"/>
      <w:lang w:val="en-US" w:eastAsia="zh-CN" w:bidi="ar-SA"/>
    </w:rPr>
  </w:style>
  <w:style w:type="character" w:styleId="243">
    <w:name w:val="Placeholder Text"/>
    <w:basedOn w:val="90"/>
    <w:semiHidden/>
    <w:qFormat/>
    <w:uiPriority w:val="99"/>
    <w:rPr>
      <w:color w:val="808080"/>
    </w:rPr>
  </w:style>
  <w:style w:type="character" w:customStyle="1" w:styleId="244">
    <w:name w:val="段 Char"/>
    <w:qFormat/>
    <w:uiPriority w:val="0"/>
    <w:rPr>
      <w:rFonts w:ascii="宋体"/>
      <w:sz w:val="21"/>
      <w:lang w:bidi="ar-SA"/>
    </w:rPr>
  </w:style>
  <w:style w:type="paragraph" w:customStyle="1" w:styleId="245">
    <w:name w:val="附录标识"/>
    <w:basedOn w:val="192"/>
    <w:qFormat/>
    <w:uiPriority w:val="0"/>
    <w:pPr>
      <w:numPr>
        <w:ilvl w:val="0"/>
        <w:numId w:val="1"/>
      </w:numPr>
      <w:tabs>
        <w:tab w:val="left" w:pos="6405"/>
      </w:tabs>
      <w:spacing w:after="200"/>
    </w:pPr>
    <w:rPr>
      <w:sz w:val="21"/>
    </w:rPr>
  </w:style>
  <w:style w:type="paragraph" w:customStyle="1" w:styleId="246">
    <w:name w:val="附录章标题"/>
    <w:next w:val="121"/>
    <w:qFormat/>
    <w:uiPriority w:val="0"/>
    <w:pPr>
      <w:numPr>
        <w:ilvl w:val="1"/>
        <w:numId w:val="1"/>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47">
    <w:name w:val="附录五级条标题"/>
    <w:basedOn w:val="248"/>
    <w:next w:val="121"/>
    <w:qFormat/>
    <w:uiPriority w:val="0"/>
    <w:pPr>
      <w:numPr>
        <w:ilvl w:val="6"/>
      </w:numPr>
      <w:outlineLvl w:val="6"/>
    </w:pPr>
  </w:style>
  <w:style w:type="paragraph" w:customStyle="1" w:styleId="248">
    <w:name w:val="附录四级条标题"/>
    <w:basedOn w:val="249"/>
    <w:next w:val="121"/>
    <w:qFormat/>
    <w:uiPriority w:val="0"/>
    <w:pPr>
      <w:numPr>
        <w:ilvl w:val="5"/>
      </w:numPr>
      <w:outlineLvl w:val="5"/>
    </w:pPr>
  </w:style>
  <w:style w:type="paragraph" w:customStyle="1" w:styleId="249">
    <w:name w:val="附录三级条标题"/>
    <w:basedOn w:val="250"/>
    <w:next w:val="121"/>
    <w:qFormat/>
    <w:uiPriority w:val="0"/>
    <w:pPr>
      <w:numPr>
        <w:ilvl w:val="4"/>
      </w:numPr>
      <w:outlineLvl w:val="4"/>
    </w:pPr>
  </w:style>
  <w:style w:type="paragraph" w:customStyle="1" w:styleId="250">
    <w:name w:val="附录二级条标题"/>
    <w:basedOn w:val="251"/>
    <w:next w:val="121"/>
    <w:qFormat/>
    <w:uiPriority w:val="0"/>
    <w:pPr>
      <w:numPr>
        <w:ilvl w:val="3"/>
      </w:numPr>
      <w:outlineLvl w:val="3"/>
    </w:pPr>
  </w:style>
  <w:style w:type="paragraph" w:customStyle="1" w:styleId="251">
    <w:name w:val="附录一级条标题"/>
    <w:basedOn w:val="246"/>
    <w:next w:val="121"/>
    <w:qFormat/>
    <w:uiPriority w:val="0"/>
    <w:pPr>
      <w:numPr>
        <w:ilvl w:val="2"/>
      </w:numPr>
      <w:autoSpaceDN w:val="0"/>
      <w:spacing w:beforeLines="0" w:afterLines="0"/>
      <w:outlineLvl w:val="2"/>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6536A5-AFB8-43C5-82E4-4ECE76C074BE}">
  <ds:schemaRefs/>
</ds:datastoreItem>
</file>

<file path=docProps/app.xml><?xml version="1.0" encoding="utf-8"?>
<Properties xmlns="http://schemas.openxmlformats.org/officeDocument/2006/extended-properties" xmlns:vt="http://schemas.openxmlformats.org/officeDocument/2006/docPropsVTypes">
  <Template>Normal</Template>
  <Company>www.xunchi.com</Company>
  <Pages>23</Pages>
  <Words>12367</Words>
  <Characters>25757</Characters>
  <Lines>214</Lines>
  <Paragraphs>76</Paragraphs>
  <TotalTime>156</TotalTime>
  <ScaleCrop>false</ScaleCrop>
  <LinksUpToDate>false</LinksUpToDate>
  <CharactersWithSpaces>38048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2021-05-29T12:45:00Z</dcterms:created>
  <dc:creator>zljy05</dc:creator>
  <cp:lastModifiedBy>CathayMok</cp:lastModifiedBy>
  <cp:lastPrinted>2018-08-20T12:57:00Z</cp:lastPrinted>
  <dcterms:modified xsi:type="dcterms:W3CDTF">2021-07-20T08:37:32Z</dcterms:modified>
  <dc:title>再生锌化学分析方法</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