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160" w:leftChars="-76" w:firstLine="140" w:firstLineChars="5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轻金属分标委审定、</w:t>
      </w:r>
      <w:r>
        <w:rPr>
          <w:rFonts w:hint="eastAsia" w:eastAsia="黑体"/>
          <w:sz w:val="28"/>
          <w:szCs w:val="28"/>
        </w:rPr>
        <w:t>预审和讨论</w:t>
      </w:r>
      <w:r>
        <w:rPr>
          <w:rFonts w:hint="eastAsia" w:ascii="黑体" w:hAnsi="黑体" w:eastAsia="黑体"/>
          <w:sz w:val="28"/>
        </w:rPr>
        <w:t>的标准项目</w:t>
      </w:r>
    </w:p>
    <w:tbl>
      <w:tblPr>
        <w:tblStyle w:val="2"/>
        <w:tblW w:w="4915" w:type="pct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4041"/>
        <w:gridCol w:w="2884"/>
        <w:gridCol w:w="5838"/>
        <w:gridCol w:w="7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62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序号</w:t>
            </w:r>
          </w:p>
        </w:tc>
        <w:tc>
          <w:tcPr>
            <w:tcW w:w="1450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标准项目名称</w:t>
            </w:r>
          </w:p>
        </w:tc>
        <w:tc>
          <w:tcPr>
            <w:tcW w:w="1035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项目编号</w:t>
            </w:r>
          </w:p>
        </w:tc>
        <w:tc>
          <w:tcPr>
            <w:tcW w:w="2095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起草单位</w:t>
            </w:r>
          </w:p>
        </w:tc>
        <w:tc>
          <w:tcPr>
            <w:tcW w:w="258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口罩鼻夹用铝带、线材</w:t>
            </w:r>
          </w:p>
        </w:tc>
        <w:tc>
          <w:tcPr>
            <w:tcW w:w="1035" w:type="pct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2020-1270T-YS</w:t>
            </w:r>
          </w:p>
        </w:tc>
        <w:tc>
          <w:tcPr>
            <w:tcW w:w="2095" w:type="pct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烟台舒朗医疗科技有限公司、有色金属技术经济研究院有限责任公司、西南铝业（集团）有限责任公司、广东省科学院工业分析检测中心等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密封条用铝合金带材</w:t>
            </w: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2020-1269T-YS</w:t>
            </w:r>
          </w:p>
        </w:tc>
        <w:tc>
          <w:tcPr>
            <w:tcW w:w="2095" w:type="pct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西南铝业（集团）有限责任公司、重庆西南铝精密加工有限责任公司、中铝瑞闽股份有限公司 、重庆浩和金属制品有限公司、秦皇岛威卡威汽车零部件有限公司、重庆奥威有色金属有限公司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变形铝及铝合金产品状态代号</w:t>
            </w: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</w:rPr>
              <w:t>待下计划</w:t>
            </w:r>
          </w:p>
        </w:tc>
        <w:tc>
          <w:tcPr>
            <w:tcW w:w="2095" w:type="pct"/>
          </w:tcPr>
          <w:p>
            <w:pPr>
              <w:widowControl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西南铝业（集团）有限责任公司、有色金属技术经济研究院有限责任公司、东北轻合金有限责任公司、有研工程技术研究院有限公司等</w:t>
            </w:r>
          </w:p>
        </w:tc>
        <w:tc>
          <w:tcPr>
            <w:tcW w:w="258" w:type="pct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铝及铝合金产品标识</w:t>
            </w: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</w:rPr>
              <w:t>待下计划</w:t>
            </w:r>
          </w:p>
        </w:tc>
        <w:tc>
          <w:tcPr>
            <w:tcW w:w="2095" w:type="pct"/>
          </w:tcPr>
          <w:p>
            <w:pPr>
              <w:widowControl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东北轻合金有限责任公司、西南铝业（集团）有限责任公司、有色金属技术经济研究院有限责任公司、有研工程技术研究院有限公司等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</w:rPr>
              <w:t>铝熔体测渣方法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压滤法</w:t>
            </w: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中色协科字[2018]165号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2018-056-T/CNIA</w:t>
            </w:r>
          </w:p>
        </w:tc>
        <w:tc>
          <w:tcPr>
            <w:tcW w:w="2095" w:type="pct"/>
          </w:tcPr>
          <w:p>
            <w:pPr>
              <w:widowControl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中铝瑞闽股份有限公司、山东南山铝业股份有限公司等</w:t>
            </w:r>
          </w:p>
        </w:tc>
        <w:tc>
          <w:tcPr>
            <w:tcW w:w="258" w:type="pct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</w:rPr>
              <w:t>铝熔体在线测渣方法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电敏感区法</w:t>
            </w: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中色协科字[2018]165号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2018-054-T/CNIA</w:t>
            </w:r>
          </w:p>
        </w:tc>
        <w:tc>
          <w:tcPr>
            <w:tcW w:w="2095" w:type="pct"/>
          </w:tcPr>
          <w:p>
            <w:pPr>
              <w:widowControl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山东南山铝业股份有限公司、中铝瑞闽股份有限公司、厦门厦顺铝箔有限公司等</w:t>
            </w:r>
          </w:p>
        </w:tc>
        <w:tc>
          <w:tcPr>
            <w:tcW w:w="258" w:type="pct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变形铝铸锭行业绿色工厂评价要求</w:t>
            </w: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工信厅科函[2020]181号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2020-0441T-YS</w:t>
            </w:r>
          </w:p>
        </w:tc>
        <w:tc>
          <w:tcPr>
            <w:tcW w:w="2095" w:type="pct"/>
            <w:vAlign w:val="center"/>
          </w:tcPr>
          <w:p>
            <w:pPr>
              <w:widowControl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山东创新金属科技有限公司、山东南山铝业股份有限公司、厦门厦顺铝箔有限公司、福建省南平铝业有限公司、中铝瑞闽股份有限公司、西南铝业（集团）有限责任公司等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</w:tc>
      </w:tr>
    </w:tbl>
    <w:p>
      <w:pPr>
        <w:adjustRightInd w:val="0"/>
        <w:snapToGrid w:val="0"/>
        <w:spacing w:line="440" w:lineRule="exact"/>
        <w:jc w:val="left"/>
        <w:rPr>
          <w:sz w:val="28"/>
        </w:rPr>
      </w:pPr>
    </w:p>
    <w:p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01C0"/>
    <w:multiLevelType w:val="multilevel"/>
    <w:tmpl w:val="56ED01C0"/>
    <w:lvl w:ilvl="0" w:tentative="0">
      <w:start w:val="1"/>
      <w:numFmt w:val="decimal"/>
      <w:lvlText w:val="%1.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B5E4F"/>
    <w:rsid w:val="1F8B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2021-07-20T07:52:00Z</dcterms:created>
  <dc:creator>CathayMok</dc:creator>
  <cp:lastModifiedBy>CathayMok</cp:lastModifiedBy>
  <dcterms:modified xsi:type="dcterms:W3CDTF">2021-07-20T07:52:16Z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