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pPr>
      <w:bookmarkStart w:id="3" w:name="_GoBack"/>
      <w:bookmarkEnd w:id="3"/>
      <w:bookmarkStart w:id="0" w:name="SectionMark0"/>
      <w:r>
        <w:drawing>
          <wp:anchor distT="0" distB="0" distL="114300" distR="114300" simplePos="0" relativeHeight="251659264" behindDoc="0" locked="1" layoutInCell="1" allowOverlap="1">
            <wp:simplePos x="0" y="0"/>
            <wp:positionH relativeFrom="margin">
              <wp:posOffset>4284345</wp:posOffset>
            </wp:positionH>
            <wp:positionV relativeFrom="margin">
              <wp:posOffset>12065</wp:posOffset>
            </wp:positionV>
            <wp:extent cx="1403350" cy="720090"/>
            <wp:effectExtent l="19050" t="0" r="6350" b="0"/>
            <wp:wrapNone/>
            <wp:docPr id="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BPicture" descr="GB"/>
                    <pic:cNvPicPr>
                      <a:picLocks noChangeAspect="1" noChangeArrowheads="1"/>
                    </pic:cNvPicPr>
                  </pic:nvPicPr>
                  <pic:blipFill>
                    <a:blip r:embed="rId15"/>
                    <a:srcRect/>
                    <a:stretch>
                      <a:fillRect/>
                    </a:stretch>
                  </pic:blipFill>
                  <pic:spPr>
                    <a:xfrm>
                      <a:off x="0" y="0"/>
                      <a:ext cx="1403350" cy="72009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8890000</wp:posOffset>
                </wp:positionV>
                <wp:extent cx="6121400" cy="0"/>
                <wp:effectExtent l="0" t="1270" r="0" b="0"/>
                <wp:wrapNone/>
                <wp:docPr id="11" name="Line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w:pict>
              <v:line id="Line 8" o:spid="_x0000_s1026" o:spt="20" style="position:absolute;left:0pt;margin-left:0pt;margin-top:700pt;height:0pt;width:482pt;z-index:251658240;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GrA71AAAAAoBAAAPAAAAAAAAAAEAIAAAACIAAABkcnMvZG93bnJl&#10;di54bWxQSwECFAAUAAAACACHTuJAekGbRsgBAAChAwAADgAAAAAAAAABACAAAAAjAQAAZHJzL2Uy&#10;b0RvYy54bWxQSwUGAAAAAAYABgBZAQAAXQ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9108440</wp:posOffset>
                </wp:positionV>
                <wp:extent cx="6120130" cy="666115"/>
                <wp:effectExtent l="0" t="635" r="0" b="0"/>
                <wp:wrapNone/>
                <wp:docPr id="10"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666115"/>
                        </a:xfrm>
                        <a:prstGeom prst="rect">
                          <a:avLst/>
                        </a:prstGeom>
                        <a:solidFill>
                          <a:srgbClr val="FFFFFF"/>
                        </a:solidFill>
                        <a:ln>
                          <a:noFill/>
                        </a:ln>
                      </wps:spPr>
                      <wps:txbx>
                        <w:txbxContent>
                          <w:p>
                            <w:pPr>
                              <w:pStyle w:val="44"/>
                              <w:spacing w:line="400" w:lineRule="exact"/>
                              <w:ind w:firstLine="726" w:firstLineChars="149"/>
                              <w:jc w:val="both"/>
                              <w:rPr>
                                <w:rStyle w:val="43"/>
                                <w:spacing w:val="0"/>
                                <w:sz w:val="36"/>
                                <w:szCs w:val="36"/>
                              </w:rPr>
                            </w:pPr>
                            <w:r>
                              <w:rPr>
                                <w:rFonts w:hint="eastAsia"/>
                                <w:spacing w:val="0"/>
                                <w:szCs w:val="36"/>
                              </w:rPr>
                              <w:t>中华人民共和国市场监督</w:t>
                            </w:r>
                            <w:r>
                              <w:rPr>
                                <w:spacing w:val="0"/>
                                <w:szCs w:val="36"/>
                              </w:rPr>
                              <w:t>管理</w:t>
                            </w:r>
                            <w:r>
                              <w:rPr>
                                <w:rFonts w:hint="eastAsia"/>
                                <w:spacing w:val="0"/>
                                <w:szCs w:val="36"/>
                              </w:rPr>
                              <w:t>总局</w:t>
                            </w:r>
                            <w:r>
                              <w:rPr>
                                <w:rStyle w:val="43"/>
                                <w:rFonts w:hint="eastAsia"/>
                                <w:spacing w:val="0"/>
                                <w:sz w:val="36"/>
                                <w:szCs w:val="36"/>
                              </w:rPr>
                              <w:t xml:space="preserve"> </w:t>
                            </w:r>
                          </w:p>
                          <w:p>
                            <w:pPr>
                              <w:pStyle w:val="44"/>
                              <w:spacing w:line="400" w:lineRule="exact"/>
                              <w:ind w:firstLine="661" w:firstLineChars="100"/>
                              <w:jc w:val="both"/>
                            </w:pPr>
                            <w:r>
                              <w:rPr>
                                <w:rFonts w:hint="eastAsia"/>
                                <w:spacing w:val="60"/>
                                <w:w w:val="150"/>
                                <w:szCs w:val="36"/>
                              </w:rPr>
                              <w:t>中国国家标准化管理委会</w:t>
                            </w:r>
                            <w:r>
                              <w:rPr>
                                <w:rFonts w:hint="eastAsia"/>
                                <w:szCs w:val="36"/>
                              </w:rPr>
                              <w:t xml:space="preserve">  </w:t>
                            </w:r>
                            <w:r>
                              <w:rPr>
                                <w:rFonts w:hint="eastAsia"/>
                                <w:spacing w:val="0"/>
                                <w:szCs w:val="36"/>
                              </w:rPr>
                              <w:t xml:space="preserve"> </w:t>
                            </w:r>
                            <w:r>
                              <w:rPr>
                                <w:rStyle w:val="43"/>
                                <w:rFonts w:hint="eastAsia"/>
                              </w:rPr>
                              <w:t>发布</w:t>
                            </w:r>
                          </w:p>
                          <w:p>
                            <w:pPr>
                              <w:pStyle w:val="44"/>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52.45pt;width:481.9pt;mso-position-horizontal-relative:margin;mso-position-vertical-relative:margin;z-index:251658240;mso-width-relative:page;mso-height-relative:page;" fillcolor="#FFFFFF" filled="t" stroked="f" coordsize="21600,21600" o:gfxdata="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YUme2QAAAAoBAAAPAAAAAAAAAAEA&#10;IAAAACIAAABkcnMvZG93bnJldi54bWxQSwECFAAUAAAACACHTuJAb+jcHQ4CAAAsBAAADgAAAAAA&#10;AAABACAAAAAoAQAAZHJzL2Uyb0RvYy54bWxQSwUGAAAAAAYABgBZAQAAqAUAAAAA&#10;">
                <v:fill on="t" focussize="0,0"/>
                <v:stroke on="f"/>
                <v:imagedata o:title=""/>
                <o:lock v:ext="edit" aspectratio="f"/>
                <v:textbox inset="0mm,0mm,0mm,0mm">
                  <w:txbxContent>
                    <w:p>
                      <w:pPr>
                        <w:pStyle w:val="44"/>
                        <w:spacing w:line="400" w:lineRule="exact"/>
                        <w:ind w:firstLine="726" w:firstLineChars="149"/>
                        <w:jc w:val="both"/>
                        <w:rPr>
                          <w:rStyle w:val="43"/>
                          <w:spacing w:val="0"/>
                          <w:sz w:val="36"/>
                          <w:szCs w:val="36"/>
                        </w:rPr>
                      </w:pPr>
                      <w:r>
                        <w:rPr>
                          <w:rFonts w:hint="eastAsia"/>
                          <w:spacing w:val="0"/>
                          <w:szCs w:val="36"/>
                        </w:rPr>
                        <w:t>中华人民共和国市场监督</w:t>
                      </w:r>
                      <w:r>
                        <w:rPr>
                          <w:spacing w:val="0"/>
                          <w:szCs w:val="36"/>
                        </w:rPr>
                        <w:t>管理</w:t>
                      </w:r>
                      <w:r>
                        <w:rPr>
                          <w:rFonts w:hint="eastAsia"/>
                          <w:spacing w:val="0"/>
                          <w:szCs w:val="36"/>
                        </w:rPr>
                        <w:t>总局</w:t>
                      </w:r>
                      <w:r>
                        <w:rPr>
                          <w:rStyle w:val="43"/>
                          <w:rFonts w:hint="eastAsia"/>
                          <w:spacing w:val="0"/>
                          <w:sz w:val="36"/>
                          <w:szCs w:val="36"/>
                        </w:rPr>
                        <w:t xml:space="preserve"> </w:t>
                      </w:r>
                    </w:p>
                    <w:p>
                      <w:pPr>
                        <w:pStyle w:val="44"/>
                        <w:spacing w:line="400" w:lineRule="exact"/>
                        <w:ind w:firstLine="661" w:firstLineChars="100"/>
                        <w:jc w:val="both"/>
                      </w:pPr>
                      <w:r>
                        <w:rPr>
                          <w:rFonts w:hint="eastAsia"/>
                          <w:spacing w:val="60"/>
                          <w:w w:val="150"/>
                          <w:szCs w:val="36"/>
                        </w:rPr>
                        <w:t>中国国家标准化管理委会</w:t>
                      </w:r>
                      <w:r>
                        <w:rPr>
                          <w:rFonts w:hint="eastAsia"/>
                          <w:szCs w:val="36"/>
                        </w:rPr>
                        <w:t xml:space="preserve">  </w:t>
                      </w:r>
                      <w:r>
                        <w:rPr>
                          <w:rFonts w:hint="eastAsia"/>
                          <w:spacing w:val="0"/>
                          <w:szCs w:val="36"/>
                        </w:rPr>
                        <w:t xml:space="preserve"> </w:t>
                      </w:r>
                      <w:r>
                        <w:rPr>
                          <w:rStyle w:val="43"/>
                          <w:rFonts w:hint="eastAsia"/>
                        </w:rPr>
                        <w:t>发布</w:t>
                      </w:r>
                    </w:p>
                    <w:p>
                      <w:pPr>
                        <w:pStyle w:val="44"/>
                      </w:pP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7"/>
                              <w:rPr>
                                <w:rFonts w:ascii="黑体"/>
                              </w:rPr>
                            </w:pPr>
                            <w:r>
                              <w:rPr>
                                <w:rFonts w:hint="eastAsia" w:ascii="黑体"/>
                              </w:rPr>
                              <w:t>201×-××-××实施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721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pPr>
                        <w:pStyle w:val="47"/>
                        <w:rPr>
                          <w:rFonts w:ascii="黑体"/>
                        </w:rPr>
                      </w:pPr>
                      <w:r>
                        <w:rPr>
                          <w:rFonts w:hint="eastAsia" w:ascii="黑体"/>
                        </w:rPr>
                        <w:t>201×-××-××实施</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5"/>
                              <w:rPr>
                                <w:rFonts w:ascii="黑体"/>
                              </w:rPr>
                            </w:pPr>
                            <w:r>
                              <w:rPr>
                                <w:rFonts w:hint="eastAsia" w:ascii="黑体"/>
                              </w:rPr>
                              <w:t>201×-××-××发布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619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pPr>
                        <w:pStyle w:val="45"/>
                        <w:rPr>
                          <w:rFonts w:ascii="黑体"/>
                        </w:rPr>
                      </w:pPr>
                      <w:r>
                        <w:rPr>
                          <w:rFonts w:hint="eastAsia" w:ascii="黑体"/>
                        </w:rPr>
                        <w:t>201×-××-××发布</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3573780</wp:posOffset>
                </wp:positionV>
                <wp:extent cx="6057900" cy="3602355"/>
                <wp:effectExtent l="0" t="0" r="4445" b="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6057900" cy="3602355"/>
                        </a:xfrm>
                        <a:prstGeom prst="rect">
                          <a:avLst/>
                        </a:prstGeom>
                        <a:solidFill>
                          <a:srgbClr val="FFFFFF"/>
                        </a:solidFill>
                        <a:ln>
                          <a:noFill/>
                        </a:ln>
                      </wps:spPr>
                      <wps:txbx>
                        <w:txbxContent>
                          <w:p>
                            <w:pPr>
                              <w:jc w:val="center"/>
                              <w:rPr>
                                <w:rFonts w:ascii="黑体" w:eastAsia="黑体"/>
                                <w:b/>
                                <w:bCs/>
                                <w:sz w:val="44"/>
                                <w:szCs w:val="44"/>
                              </w:rPr>
                            </w:pPr>
                            <w:r>
                              <w:rPr>
                                <w:rFonts w:hint="eastAsia" w:ascii="黑体" w:eastAsia="黑体"/>
                                <w:b/>
                                <w:bCs/>
                                <w:sz w:val="44"/>
                                <w:szCs w:val="44"/>
                              </w:rPr>
                              <w:t>碲锌镉化学分析方法</w:t>
                            </w:r>
                          </w:p>
                          <w:p>
                            <w:pPr>
                              <w:jc w:val="center"/>
                              <w:rPr>
                                <w:rFonts w:ascii="黑体" w:eastAsia="黑体"/>
                                <w:b/>
                                <w:bCs/>
                                <w:sz w:val="44"/>
                                <w:szCs w:val="44"/>
                              </w:rPr>
                            </w:pPr>
                            <w:r>
                              <w:rPr>
                                <w:rFonts w:ascii="黑体" w:eastAsia="黑体"/>
                                <w:b/>
                                <w:bCs/>
                                <w:sz w:val="44"/>
                                <w:szCs w:val="44"/>
                              </w:rPr>
                              <w:t>锌</w:t>
                            </w:r>
                            <w:r>
                              <w:rPr>
                                <w:rFonts w:hint="eastAsia" w:ascii="黑体" w:eastAsia="黑体"/>
                                <w:b/>
                                <w:bCs/>
                                <w:sz w:val="44"/>
                                <w:szCs w:val="44"/>
                              </w:rPr>
                              <w:t>量</w:t>
                            </w:r>
                            <w:r>
                              <w:rPr>
                                <w:rFonts w:ascii="黑体" w:eastAsia="黑体"/>
                                <w:b/>
                                <w:bCs/>
                                <w:sz w:val="44"/>
                                <w:szCs w:val="44"/>
                              </w:rPr>
                              <w:t>、镉</w:t>
                            </w:r>
                            <w:r>
                              <w:rPr>
                                <w:rFonts w:hint="eastAsia" w:ascii="黑体" w:eastAsia="黑体"/>
                                <w:b/>
                                <w:bCs/>
                                <w:sz w:val="44"/>
                                <w:szCs w:val="44"/>
                              </w:rPr>
                              <w:t>量</w:t>
                            </w:r>
                            <w:r>
                              <w:rPr>
                                <w:rFonts w:ascii="黑体" w:eastAsia="黑体"/>
                                <w:b/>
                                <w:bCs/>
                                <w:sz w:val="44"/>
                                <w:szCs w:val="44"/>
                              </w:rPr>
                              <w:t>的测定</w:t>
                            </w:r>
                            <w:r>
                              <w:rPr>
                                <w:rFonts w:hint="eastAsia" w:ascii="黑体" w:eastAsia="黑体"/>
                                <w:b/>
                                <w:bCs/>
                                <w:sz w:val="44"/>
                                <w:szCs w:val="44"/>
                              </w:rPr>
                              <w:t xml:space="preserve"> 电</w:t>
                            </w:r>
                            <w:r>
                              <w:rPr>
                                <w:rFonts w:ascii="黑体" w:eastAsia="黑体"/>
                                <w:b/>
                                <w:bCs/>
                                <w:sz w:val="44"/>
                                <w:szCs w:val="44"/>
                              </w:rPr>
                              <w:t>感耦合等离子发射光谱法</w:t>
                            </w:r>
                          </w:p>
                          <w:p>
                            <w:pPr>
                              <w:ind w:firstLine="3342" w:firstLineChars="1585"/>
                              <w:rPr>
                                <w:rFonts w:ascii="宋体" w:hAnsi="宋体"/>
                                <w:b/>
                              </w:rPr>
                            </w:pPr>
                          </w:p>
                          <w:p>
                            <w:pPr>
                              <w:ind w:firstLine="2100" w:firstLineChars="750"/>
                              <w:rPr>
                                <w:sz w:val="28"/>
                                <w:szCs w:val="28"/>
                              </w:rPr>
                            </w:pPr>
                            <w:r>
                              <w:rPr>
                                <w:rFonts w:hint="eastAsia"/>
                                <w:sz w:val="28"/>
                                <w:szCs w:val="28"/>
                              </w:rPr>
                              <w:t>Methods</w:t>
                            </w:r>
                            <w:r>
                              <w:rPr>
                                <w:sz w:val="28"/>
                                <w:szCs w:val="28"/>
                              </w:rPr>
                              <w:t xml:space="preserve"> </w:t>
                            </w:r>
                            <w:r>
                              <w:rPr>
                                <w:rFonts w:hint="eastAsia"/>
                                <w:sz w:val="28"/>
                                <w:szCs w:val="28"/>
                              </w:rPr>
                              <w:t>for</w:t>
                            </w:r>
                            <w:r>
                              <w:rPr>
                                <w:sz w:val="28"/>
                                <w:szCs w:val="28"/>
                              </w:rPr>
                              <w:t xml:space="preserve"> </w:t>
                            </w:r>
                            <w:r>
                              <w:rPr>
                                <w:rFonts w:hint="eastAsia"/>
                                <w:sz w:val="28"/>
                                <w:szCs w:val="28"/>
                              </w:rPr>
                              <w:t>chemical</w:t>
                            </w:r>
                            <w:r>
                              <w:rPr>
                                <w:sz w:val="28"/>
                                <w:szCs w:val="28"/>
                              </w:rPr>
                              <w:t xml:space="preserve"> </w:t>
                            </w:r>
                            <w:r>
                              <w:rPr>
                                <w:rFonts w:hint="eastAsia"/>
                                <w:sz w:val="28"/>
                                <w:szCs w:val="28"/>
                              </w:rPr>
                              <w:t>analysis of</w:t>
                            </w:r>
                            <w:r>
                              <w:rPr>
                                <w:sz w:val="28"/>
                                <w:szCs w:val="28"/>
                              </w:rPr>
                              <w:t xml:space="preserve"> cadmium</w:t>
                            </w:r>
                            <w:r>
                              <w:rPr>
                                <w:rFonts w:hint="eastAsia"/>
                                <w:sz w:val="28"/>
                                <w:szCs w:val="28"/>
                              </w:rPr>
                              <w:t xml:space="preserve"> </w:t>
                            </w:r>
                            <w:r>
                              <w:rPr>
                                <w:sz w:val="28"/>
                                <w:szCs w:val="28"/>
                              </w:rPr>
                              <w:t>zinc tellur</w:t>
                            </w:r>
                            <w:r>
                              <w:rPr>
                                <w:rFonts w:hint="eastAsia"/>
                                <w:sz w:val="28"/>
                                <w:szCs w:val="28"/>
                              </w:rPr>
                              <w:t>ide</w:t>
                            </w:r>
                            <w:r>
                              <w:rPr>
                                <w:sz w:val="28"/>
                                <w:szCs w:val="28"/>
                              </w:rPr>
                              <w:t xml:space="preserve"> </w:t>
                            </w:r>
                          </w:p>
                          <w:p>
                            <w:pPr>
                              <w:ind w:firstLine="3220" w:firstLineChars="1150"/>
                              <w:rPr>
                                <w:sz w:val="28"/>
                                <w:szCs w:val="28"/>
                              </w:rPr>
                            </w:pPr>
                            <w:r>
                              <w:rPr>
                                <w:sz w:val="28"/>
                                <w:szCs w:val="28"/>
                              </w:rPr>
                              <w:t>-</w:t>
                            </w:r>
                            <w:r>
                              <w:rPr>
                                <w:rFonts w:hint="eastAsia"/>
                                <w:sz w:val="28"/>
                                <w:szCs w:val="28"/>
                              </w:rPr>
                              <w:t>Determination of</w:t>
                            </w:r>
                            <w:r>
                              <w:rPr>
                                <w:sz w:val="28"/>
                                <w:szCs w:val="28"/>
                              </w:rPr>
                              <w:t xml:space="preserve"> cadmium</w:t>
                            </w:r>
                            <w:r>
                              <w:rPr>
                                <w:rFonts w:hint="eastAsia"/>
                                <w:sz w:val="28"/>
                                <w:szCs w:val="28"/>
                              </w:rPr>
                              <w:t>,</w:t>
                            </w:r>
                            <w:r>
                              <w:rPr>
                                <w:sz w:val="28"/>
                                <w:szCs w:val="28"/>
                              </w:rPr>
                              <w:t>zinc</w:t>
                            </w:r>
                            <w:r>
                              <w:rPr>
                                <w:rFonts w:hint="eastAsia"/>
                                <w:sz w:val="28"/>
                                <w:szCs w:val="28"/>
                              </w:rPr>
                              <w:t xml:space="preserve"> content</w:t>
                            </w:r>
                          </w:p>
                          <w:p>
                            <w:pPr>
                              <w:ind w:firstLine="3080" w:firstLineChars="1100"/>
                              <w:rPr>
                                <w:sz w:val="28"/>
                                <w:szCs w:val="28"/>
                              </w:rPr>
                            </w:pPr>
                            <w:r>
                              <w:rPr>
                                <w:rFonts w:hint="eastAsia"/>
                                <w:sz w:val="28"/>
                                <w:szCs w:val="28"/>
                              </w:rPr>
                              <w:t>-Inductively coupled plasma spectrometry</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1.4pt;height:283.65pt;width:477pt;mso-position-horizontal-relative:margin;mso-position-vertical-relative:margin;z-index:251655168;mso-width-relative:page;mso-height-relative:page;" fillcolor="#FFFFFF" filled="t" stroked="f" coordsize="21600,21600" o:gfxdata="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n2yHDYAAAACQEAAA8AAAAAAAAA&#10;AQAgAAAAIgAAAGRycy9kb3ducmV2LnhtbFBLAQIUABQAAAAIAIdO4kAyVsJ5EQIAACwEAAAOAAAA&#10;AAAAAAEAIAAAACcBAABkcnMvZTJvRG9jLnhtbFBLBQYAAAAABgAGAFkBAACqBQAAAAA=&#10;">
                <v:fill on="t" focussize="0,0"/>
                <v:stroke on="f"/>
                <v:imagedata o:title=""/>
                <o:lock v:ext="edit" aspectratio="f"/>
                <v:textbox inset="0mm,0mm,0mm,0mm">
                  <w:txbxContent>
                    <w:p>
                      <w:pPr>
                        <w:jc w:val="center"/>
                        <w:rPr>
                          <w:rFonts w:ascii="黑体" w:eastAsia="黑体"/>
                          <w:b/>
                          <w:bCs/>
                          <w:sz w:val="44"/>
                          <w:szCs w:val="44"/>
                        </w:rPr>
                      </w:pPr>
                      <w:r>
                        <w:rPr>
                          <w:rFonts w:hint="eastAsia" w:ascii="黑体" w:eastAsia="黑体"/>
                          <w:b/>
                          <w:bCs/>
                          <w:sz w:val="44"/>
                          <w:szCs w:val="44"/>
                        </w:rPr>
                        <w:t>碲锌镉化学分析方法</w:t>
                      </w:r>
                    </w:p>
                    <w:p>
                      <w:pPr>
                        <w:jc w:val="center"/>
                        <w:rPr>
                          <w:rFonts w:ascii="黑体" w:eastAsia="黑体"/>
                          <w:b/>
                          <w:bCs/>
                          <w:sz w:val="44"/>
                          <w:szCs w:val="44"/>
                        </w:rPr>
                      </w:pPr>
                      <w:r>
                        <w:rPr>
                          <w:rFonts w:ascii="黑体" w:eastAsia="黑体"/>
                          <w:b/>
                          <w:bCs/>
                          <w:sz w:val="44"/>
                          <w:szCs w:val="44"/>
                        </w:rPr>
                        <w:t>锌</w:t>
                      </w:r>
                      <w:r>
                        <w:rPr>
                          <w:rFonts w:hint="eastAsia" w:ascii="黑体" w:eastAsia="黑体"/>
                          <w:b/>
                          <w:bCs/>
                          <w:sz w:val="44"/>
                          <w:szCs w:val="44"/>
                        </w:rPr>
                        <w:t>量</w:t>
                      </w:r>
                      <w:r>
                        <w:rPr>
                          <w:rFonts w:ascii="黑体" w:eastAsia="黑体"/>
                          <w:b/>
                          <w:bCs/>
                          <w:sz w:val="44"/>
                          <w:szCs w:val="44"/>
                        </w:rPr>
                        <w:t>、镉</w:t>
                      </w:r>
                      <w:r>
                        <w:rPr>
                          <w:rFonts w:hint="eastAsia" w:ascii="黑体" w:eastAsia="黑体"/>
                          <w:b/>
                          <w:bCs/>
                          <w:sz w:val="44"/>
                          <w:szCs w:val="44"/>
                        </w:rPr>
                        <w:t>量</w:t>
                      </w:r>
                      <w:r>
                        <w:rPr>
                          <w:rFonts w:ascii="黑体" w:eastAsia="黑体"/>
                          <w:b/>
                          <w:bCs/>
                          <w:sz w:val="44"/>
                          <w:szCs w:val="44"/>
                        </w:rPr>
                        <w:t>的测定</w:t>
                      </w:r>
                      <w:r>
                        <w:rPr>
                          <w:rFonts w:hint="eastAsia" w:ascii="黑体" w:eastAsia="黑体"/>
                          <w:b/>
                          <w:bCs/>
                          <w:sz w:val="44"/>
                          <w:szCs w:val="44"/>
                        </w:rPr>
                        <w:t xml:space="preserve"> 电</w:t>
                      </w:r>
                      <w:r>
                        <w:rPr>
                          <w:rFonts w:ascii="黑体" w:eastAsia="黑体"/>
                          <w:b/>
                          <w:bCs/>
                          <w:sz w:val="44"/>
                          <w:szCs w:val="44"/>
                        </w:rPr>
                        <w:t>感耦合等离子发射光谱法</w:t>
                      </w:r>
                    </w:p>
                    <w:p>
                      <w:pPr>
                        <w:ind w:firstLine="3342" w:firstLineChars="1585"/>
                        <w:rPr>
                          <w:rFonts w:ascii="宋体" w:hAnsi="宋体"/>
                          <w:b/>
                        </w:rPr>
                      </w:pPr>
                    </w:p>
                    <w:p>
                      <w:pPr>
                        <w:ind w:firstLine="2100" w:firstLineChars="750"/>
                        <w:rPr>
                          <w:sz w:val="28"/>
                          <w:szCs w:val="28"/>
                        </w:rPr>
                      </w:pPr>
                      <w:r>
                        <w:rPr>
                          <w:rFonts w:hint="eastAsia"/>
                          <w:sz w:val="28"/>
                          <w:szCs w:val="28"/>
                        </w:rPr>
                        <w:t>Methods</w:t>
                      </w:r>
                      <w:r>
                        <w:rPr>
                          <w:sz w:val="28"/>
                          <w:szCs w:val="28"/>
                        </w:rPr>
                        <w:t xml:space="preserve"> </w:t>
                      </w:r>
                      <w:r>
                        <w:rPr>
                          <w:rFonts w:hint="eastAsia"/>
                          <w:sz w:val="28"/>
                          <w:szCs w:val="28"/>
                        </w:rPr>
                        <w:t>for</w:t>
                      </w:r>
                      <w:r>
                        <w:rPr>
                          <w:sz w:val="28"/>
                          <w:szCs w:val="28"/>
                        </w:rPr>
                        <w:t xml:space="preserve"> </w:t>
                      </w:r>
                      <w:r>
                        <w:rPr>
                          <w:rFonts w:hint="eastAsia"/>
                          <w:sz w:val="28"/>
                          <w:szCs w:val="28"/>
                        </w:rPr>
                        <w:t>chemical</w:t>
                      </w:r>
                      <w:r>
                        <w:rPr>
                          <w:sz w:val="28"/>
                          <w:szCs w:val="28"/>
                        </w:rPr>
                        <w:t xml:space="preserve"> </w:t>
                      </w:r>
                      <w:r>
                        <w:rPr>
                          <w:rFonts w:hint="eastAsia"/>
                          <w:sz w:val="28"/>
                          <w:szCs w:val="28"/>
                        </w:rPr>
                        <w:t>analysis of</w:t>
                      </w:r>
                      <w:r>
                        <w:rPr>
                          <w:sz w:val="28"/>
                          <w:szCs w:val="28"/>
                        </w:rPr>
                        <w:t xml:space="preserve"> cadmium</w:t>
                      </w:r>
                      <w:r>
                        <w:rPr>
                          <w:rFonts w:hint="eastAsia"/>
                          <w:sz w:val="28"/>
                          <w:szCs w:val="28"/>
                        </w:rPr>
                        <w:t xml:space="preserve"> </w:t>
                      </w:r>
                      <w:r>
                        <w:rPr>
                          <w:sz w:val="28"/>
                          <w:szCs w:val="28"/>
                        </w:rPr>
                        <w:t>zinc tellur</w:t>
                      </w:r>
                      <w:r>
                        <w:rPr>
                          <w:rFonts w:hint="eastAsia"/>
                          <w:sz w:val="28"/>
                          <w:szCs w:val="28"/>
                        </w:rPr>
                        <w:t>ide</w:t>
                      </w:r>
                      <w:r>
                        <w:rPr>
                          <w:sz w:val="28"/>
                          <w:szCs w:val="28"/>
                        </w:rPr>
                        <w:t xml:space="preserve"> </w:t>
                      </w:r>
                    </w:p>
                    <w:p>
                      <w:pPr>
                        <w:ind w:firstLine="3220" w:firstLineChars="1150"/>
                        <w:rPr>
                          <w:sz w:val="28"/>
                          <w:szCs w:val="28"/>
                        </w:rPr>
                      </w:pPr>
                      <w:r>
                        <w:rPr>
                          <w:sz w:val="28"/>
                          <w:szCs w:val="28"/>
                        </w:rPr>
                        <w:t>-</w:t>
                      </w:r>
                      <w:r>
                        <w:rPr>
                          <w:rFonts w:hint="eastAsia"/>
                          <w:sz w:val="28"/>
                          <w:szCs w:val="28"/>
                        </w:rPr>
                        <w:t>Determination of</w:t>
                      </w:r>
                      <w:r>
                        <w:rPr>
                          <w:sz w:val="28"/>
                          <w:szCs w:val="28"/>
                        </w:rPr>
                        <w:t xml:space="preserve"> cadmium</w:t>
                      </w:r>
                      <w:r>
                        <w:rPr>
                          <w:rFonts w:hint="eastAsia"/>
                          <w:sz w:val="28"/>
                          <w:szCs w:val="28"/>
                        </w:rPr>
                        <w:t>,</w:t>
                      </w:r>
                      <w:r>
                        <w:rPr>
                          <w:sz w:val="28"/>
                          <w:szCs w:val="28"/>
                        </w:rPr>
                        <w:t>zinc</w:t>
                      </w:r>
                      <w:r>
                        <w:rPr>
                          <w:rFonts w:hint="eastAsia"/>
                          <w:sz w:val="28"/>
                          <w:szCs w:val="28"/>
                        </w:rPr>
                        <w:t xml:space="preserve"> content</w:t>
                      </w:r>
                    </w:p>
                    <w:p>
                      <w:pPr>
                        <w:ind w:firstLine="3080" w:firstLineChars="1100"/>
                        <w:rPr>
                          <w:sz w:val="28"/>
                          <w:szCs w:val="28"/>
                        </w:rPr>
                      </w:pPr>
                      <w:r>
                        <w:rPr>
                          <w:rFonts w:hint="eastAsia"/>
                          <w:sz w:val="28"/>
                          <w:szCs w:val="28"/>
                        </w:rPr>
                        <w:t>-Inductively coupled plasma spectrometry</w:t>
                      </w: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7"/>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414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JHTQNIOAgAAKwQAAA4AAAAAAAAA&#10;AQAgAAAAJgEAAGRycy9lMm9Eb2MueG1sUEsFBgAAAAAGAAYAWQEAAKYFAAAAAA==&#10;">
                <v:fill on="t" focussize="0,0"/>
                <v:stroke on="f"/>
                <v:imagedata o:title=""/>
                <o:lock v:ext="edit" aspectratio="f"/>
                <v:textbox inset="0mm,0mm,0mm,0mm">
                  <w:txbxContent>
                    <w:p>
                      <w:pPr>
                        <w:pStyle w:val="37"/>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0</wp:posOffset>
                </wp:positionV>
                <wp:extent cx="2540000" cy="657860"/>
                <wp:effectExtent l="0" t="0" r="0" b="1270"/>
                <wp:wrapNone/>
                <wp:docPr id="4"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48"/>
                              <w:spacing w:line="0" w:lineRule="atLeast"/>
                              <w:rPr>
                                <w:rFonts w:ascii="黑体"/>
                              </w:rPr>
                            </w:pPr>
                            <w:r>
                              <w:rPr>
                                <w:rFonts w:hint="eastAsia" w:ascii="黑体"/>
                              </w:rPr>
                              <w:t>ICS</w:t>
                            </w:r>
                            <w:r>
                              <w:rPr>
                                <w:rFonts w:ascii="黑体"/>
                              </w:rPr>
                              <w:t>77.150.99</w:t>
                            </w:r>
                          </w:p>
                          <w:p>
                            <w:pPr>
                              <w:pStyle w:val="48"/>
                              <w:spacing w:line="0" w:lineRule="atLeast"/>
                              <w:rPr>
                                <w:rFonts w:ascii="黑体"/>
                              </w:rPr>
                            </w:pPr>
                            <w:r>
                              <w:rPr>
                                <w:rFonts w:hint="eastAsia" w:ascii="黑体"/>
                              </w:rPr>
                              <w:t xml:space="preserve">H </w:t>
                            </w:r>
                            <w:r>
                              <w:rPr>
                                <w:rFonts w:ascii="黑体"/>
                              </w:rPr>
                              <w:t>14</w:t>
                            </w:r>
                          </w:p>
                          <w:p>
                            <w:pPr>
                              <w:pStyle w:val="4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312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CVYUAYPAgAAKwQAAA4AAAAAAAAAAQAg&#10;AAAAIgEAAGRycy9lMm9Eb2MueG1sUEsFBgAAAAAGAAYAWQEAAKMFAAAAAA==&#10;">
                <v:fill on="t" focussize="0,0"/>
                <v:stroke on="f"/>
                <v:imagedata o:title=""/>
                <o:lock v:ext="edit" aspectratio="f"/>
                <v:textbox inset="0mm,0mm,0mm,0mm">
                  <w:txbxContent>
                    <w:p>
                      <w:pPr>
                        <w:pStyle w:val="48"/>
                        <w:spacing w:line="0" w:lineRule="atLeast"/>
                        <w:rPr>
                          <w:rFonts w:ascii="黑体"/>
                        </w:rPr>
                      </w:pPr>
                      <w:r>
                        <w:rPr>
                          <w:rFonts w:hint="eastAsia" w:ascii="黑体"/>
                        </w:rPr>
                        <w:t>ICS</w:t>
                      </w:r>
                      <w:r>
                        <w:rPr>
                          <w:rFonts w:ascii="黑体"/>
                        </w:rPr>
                        <w:t>77.150.99</w:t>
                      </w:r>
                    </w:p>
                    <w:p>
                      <w:pPr>
                        <w:pStyle w:val="48"/>
                        <w:spacing w:line="0" w:lineRule="atLeast"/>
                        <w:rPr>
                          <w:rFonts w:ascii="黑体"/>
                        </w:rPr>
                      </w:pPr>
                      <w:r>
                        <w:rPr>
                          <w:rFonts w:hint="eastAsia" w:ascii="黑体"/>
                        </w:rPr>
                        <w:t xml:space="preserve">H </w:t>
                      </w:r>
                      <w:r>
                        <w:rPr>
                          <w:rFonts w:ascii="黑体"/>
                        </w:rPr>
                        <w:t>14</w:t>
                      </w:r>
                    </w:p>
                    <w:p>
                      <w:pPr>
                        <w:pStyle w:val="48"/>
                      </w:pPr>
                    </w:p>
                  </w:txbxContent>
                </v:textbox>
                <w10:anchorlock/>
              </v:shape>
            </w:pict>
          </mc:Fallback>
        </mc:AlternateContent>
      </w:r>
    </w:p>
    <w:p>
      <w:pPr>
        <w:pStyle w:val="46"/>
      </w:pPr>
      <w:r>
        <w:rPr>
          <w:rFonts w:hint="eastAsia"/>
        </w:rPr>
        <w:t xml:space="preserve"> </w:t>
      </w:r>
    </w:p>
    <w:p/>
    <w:p/>
    <w:p/>
    <w:p/>
    <w:p/>
    <w:p/>
    <w:p>
      <w:pPr>
        <w:ind w:left="2814" w:leftChars="1340" w:firstLine="4329" w:firstLineChars="1540"/>
        <w:rPr>
          <w:rFonts w:ascii="黑体" w:hAnsi="新宋体" w:eastAsia="黑体"/>
          <w:b/>
          <w:bCs/>
          <w:sz w:val="28"/>
        </w:rPr>
      </w:pPr>
      <w:r>
        <w:rPr>
          <w:rFonts w:hint="eastAsia" w:ascii="黑体" w:hAnsi="新宋体" w:eastAsia="黑体"/>
          <w:b/>
          <w:bCs/>
          <w:sz w:val="28"/>
        </w:rPr>
        <w:t>GB/T XXXX-20</w:t>
      </w:r>
      <w:r>
        <w:rPr>
          <w:rFonts w:ascii="黑体" w:hAnsi="新宋体" w:eastAsia="黑体"/>
          <w:b/>
          <w:bCs/>
          <w:sz w:val="28"/>
        </w:rPr>
        <w:t>XX</w:t>
      </w:r>
    </w:p>
    <w:p>
      <w:pPr>
        <w:ind w:firstLine="540"/>
        <w:jc w:val="center"/>
        <w:sectPr>
          <w:headerReference r:id="rId5" w:type="first"/>
          <w:headerReference r:id="rId3" w:type="default"/>
          <w:footerReference r:id="rId6" w:type="default"/>
          <w:headerReference r:id="rId4" w:type="even"/>
          <w:footerReference r:id="rId7" w:type="even"/>
          <w:pgSz w:w="11907" w:h="16839"/>
          <w:pgMar w:top="567" w:right="851" w:bottom="851" w:left="1418" w:header="0" w:footer="0" w:gutter="0"/>
          <w:pgNumType w:start="1"/>
          <w:cols w:space="425" w:num="1"/>
          <w:titlePg/>
          <w:docGrid w:type="lines" w:linePitch="312" w:charSpace="0"/>
        </w:sectPr>
      </w:pPr>
      <w:r>
        <w:rPr>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6696710</wp:posOffset>
                </wp:positionV>
                <wp:extent cx="6172200" cy="0"/>
                <wp:effectExtent l="5080" t="8255" r="13970" b="10795"/>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0pt;margin-top:527.3pt;height:0pt;width:486pt;z-index:251661312;mso-width-relative:page;mso-height-relative:page;" filled="f" stroked="t" coordsize="21600,21600" o:gfxdata="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pHvL1QAAAAoBAAAPAAAAAAAAAAEAIAAAACIAAABkcnMvZG93&#10;bnJldi54bWxQSwECFAAUAAAACACHTuJAdQXRS8oBAACgAwAADgAAAAAAAAABACAAAAAkAQAAZHJz&#10;L2Uyb0RvYy54bWxQSwUGAAAAAAYABgBZAQAAY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99060</wp:posOffset>
                </wp:positionV>
                <wp:extent cx="6000750" cy="0"/>
                <wp:effectExtent l="5080" t="11430" r="13970" b="7620"/>
                <wp:wrapNone/>
                <wp:docPr id="2" name="Line 10"/>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wps:spPr>
                      <wps:bodyPr/>
                    </wps:wsp>
                  </a:graphicData>
                </a:graphic>
              </wp:anchor>
            </w:drawing>
          </mc:Choice>
          <mc:Fallback>
            <w:pict>
              <v:line id="Line 10" o:spid="_x0000_s1026" o:spt="20" style="position:absolute;left:0pt;flip:x;margin-left:18pt;margin-top:7.8pt;height:0pt;width:472.5pt;z-index:251660288;mso-width-relative:page;mso-height-relative:page;" filled="f" stroked="t" coordsize="21600,21600" o:gfxdata="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zMXi9UAAAAIAQAADwAAAAAAAAABACAAAAAiAAAA&#10;ZHJzL2Rvd25yZXYueG1sUEsBAhQAFAAAAAgAh07iQPoK4OLRAQAAqgMAAA4AAAAAAAAAAQAgAAAA&#10;JAEAAGRycy9lMm9Eb2MueG1sUEsFBgAAAAAGAAYAWQEAAGcFAAAAAA==&#10;">
                <v:fill on="f" focussize="0,0"/>
                <v:stroke color="#000000" joinstyle="round"/>
                <v:imagedata o:title=""/>
                <o:lock v:ext="edit" aspectratio="f"/>
              </v:line>
            </w:pict>
          </mc:Fallback>
        </mc:AlternateContent>
      </w:r>
      <w:r>
        <w:rPr>
          <w:rFonts w:hint="eastAsia"/>
        </w:rPr>
        <w:t xml:space="preserve">          </w:t>
      </w:r>
    </w:p>
    <w:bookmarkEnd w:id="0"/>
    <w:p>
      <w:pPr>
        <w:pStyle w:val="58"/>
        <w:numPr>
          <w:ilvl w:val="0"/>
          <w:numId w:val="0"/>
        </w:numPr>
        <w:ind w:firstLine="4000" w:firstLineChars="1250"/>
        <w:jc w:val="both"/>
      </w:pPr>
      <w:r>
        <w:t>前</w:t>
      </w:r>
      <w:bookmarkStart w:id="1" w:name="BKQY"/>
      <w:r>
        <w:t>  言</w:t>
      </w:r>
      <w:bookmarkEnd w:id="1"/>
    </w:p>
    <w:p>
      <w:pPr>
        <w:pStyle w:val="35"/>
        <w:ind w:firstLine="420"/>
        <w:rPr>
          <w:rFonts w:hAnsi="宋体"/>
        </w:rPr>
      </w:pPr>
      <w:r>
        <w:rPr>
          <w:rFonts w:hint="eastAsia" w:hAnsi="宋体"/>
        </w:rPr>
        <w:t>本标准按照</w:t>
      </w:r>
      <w:r>
        <w:rPr>
          <w:rFonts w:hAnsi="宋体"/>
        </w:rPr>
        <w:t>GB/T 1.1-2009</w:t>
      </w:r>
      <w:r>
        <w:rPr>
          <w:rFonts w:hint="eastAsia" w:hAnsi="宋体"/>
        </w:rPr>
        <w:t xml:space="preserve"> 给出的规则起草。</w:t>
      </w:r>
    </w:p>
    <w:p>
      <w:pPr>
        <w:pStyle w:val="35"/>
        <w:ind w:firstLine="420"/>
        <w:rPr>
          <w:rFonts w:hAnsi="宋体"/>
        </w:rPr>
      </w:pPr>
      <w:r>
        <w:rPr>
          <w:rFonts w:hAnsi="宋体"/>
        </w:rPr>
        <w:t>本</w:t>
      </w:r>
      <w:r>
        <w:rPr>
          <w:rFonts w:hint="eastAsia" w:hAnsi="宋体"/>
        </w:rPr>
        <w:t>标准</w:t>
      </w:r>
      <w:r>
        <w:rPr>
          <w:rFonts w:hAnsi="宋体"/>
        </w:rPr>
        <w:t>由中国有色金属工业协会提出</w:t>
      </w:r>
      <w:r>
        <w:rPr>
          <w:rFonts w:hint="eastAsia" w:hAnsi="宋体"/>
        </w:rPr>
        <w:t>。</w:t>
      </w:r>
    </w:p>
    <w:p>
      <w:pPr>
        <w:pStyle w:val="35"/>
        <w:ind w:firstLine="420"/>
        <w:rPr>
          <w:rFonts w:hAnsi="宋体"/>
        </w:rPr>
      </w:pPr>
      <w:r>
        <w:rPr>
          <w:rFonts w:hint="eastAsia" w:hAnsi="宋体"/>
        </w:rPr>
        <w:t>本</w:t>
      </w:r>
      <w:r>
        <w:rPr>
          <w:rFonts w:hAnsi="宋体"/>
        </w:rPr>
        <w:t>标准由</w:t>
      </w:r>
      <w:r>
        <w:rPr>
          <w:rFonts w:hint="eastAsia" w:hAnsi="宋体"/>
        </w:rPr>
        <w:t>全</w:t>
      </w:r>
      <w:r>
        <w:rPr>
          <w:rFonts w:hAnsi="宋体"/>
        </w:rPr>
        <w:t>国有色金属标准化技术委员会</w:t>
      </w:r>
      <w:r>
        <w:rPr>
          <w:rFonts w:hint="eastAsia" w:hAnsi="宋体"/>
        </w:rPr>
        <w:t>（</w:t>
      </w:r>
      <w:r>
        <w:rPr>
          <w:rFonts w:hAnsi="宋体"/>
        </w:rPr>
        <w:t>SAC/TC 243）归口。</w:t>
      </w:r>
    </w:p>
    <w:p>
      <w:pPr>
        <w:widowControl/>
        <w:adjustRightInd w:val="0"/>
        <w:snapToGrid w:val="0"/>
        <w:ind w:firstLine="420" w:firstLineChars="200"/>
        <w:rPr>
          <w:rFonts w:ascii="宋体" w:hAnsi="宋体"/>
          <w:szCs w:val="21"/>
        </w:rPr>
      </w:pPr>
      <w:r>
        <w:rPr>
          <w:rFonts w:hint="eastAsia" w:ascii="宋体" w:hAnsi="宋体"/>
          <w:szCs w:val="21"/>
        </w:rPr>
        <w:t>本标准负责起草单位：</w:t>
      </w:r>
    </w:p>
    <w:p>
      <w:pPr>
        <w:widowControl/>
        <w:adjustRightInd w:val="0"/>
        <w:snapToGrid w:val="0"/>
        <w:ind w:firstLine="420" w:firstLineChars="200"/>
        <w:rPr>
          <w:rFonts w:hAnsi="宋体"/>
        </w:rPr>
      </w:pPr>
      <w:r>
        <w:rPr>
          <w:rFonts w:hint="eastAsia" w:ascii="宋体" w:hAnsi="宋体"/>
          <w:szCs w:val="21"/>
        </w:rPr>
        <w:t>本标准主要起草人：</w:t>
      </w:r>
      <w:r>
        <w:rPr>
          <w:rFonts w:hAnsi="宋体"/>
        </w:rPr>
        <w:t xml:space="preserve"> </w:t>
      </w:r>
    </w:p>
    <w:p>
      <w:pPr>
        <w:pStyle w:val="35"/>
        <w:ind w:firstLine="436"/>
        <w:rPr>
          <w:rFonts w:hAnsi="宋体"/>
          <w:spacing w:val="4"/>
        </w:rPr>
      </w:pPr>
    </w:p>
    <w:p>
      <w:pPr>
        <w:pStyle w:val="35"/>
        <w:ind w:firstLine="436"/>
        <w:rPr>
          <w:rFonts w:hAnsi="宋体"/>
          <w:spacing w:val="4"/>
        </w:rPr>
      </w:pPr>
    </w:p>
    <w:p>
      <w:pPr>
        <w:pStyle w:val="35"/>
        <w:ind w:firstLine="436"/>
        <w:rPr>
          <w:rFonts w:hAnsi="宋体"/>
          <w:spacing w:val="4"/>
        </w:rPr>
      </w:pPr>
    </w:p>
    <w:p>
      <w:pPr>
        <w:pStyle w:val="35"/>
        <w:ind w:firstLine="436"/>
        <w:rPr>
          <w:rFonts w:hAnsi="宋体"/>
          <w:spacing w:val="4"/>
        </w:rPr>
      </w:pPr>
    </w:p>
    <w:p>
      <w:pPr>
        <w:pStyle w:val="35"/>
        <w:ind w:firstLine="436"/>
        <w:rPr>
          <w:rFonts w:hAnsi="宋体"/>
          <w:spacing w:val="4"/>
        </w:rPr>
      </w:pPr>
    </w:p>
    <w:p>
      <w:pPr>
        <w:rPr>
          <w:rFonts w:ascii="黑体" w:eastAsia="黑体"/>
          <w:sz w:val="36"/>
          <w:szCs w:val="36"/>
        </w:rPr>
      </w:pPr>
    </w:p>
    <w:p>
      <w:pPr>
        <w:rPr>
          <w:rFonts w:ascii="黑体" w:eastAsia="黑体"/>
          <w:sz w:val="36"/>
          <w:szCs w:val="36"/>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ind w:left="10" w:leftChars="-6" w:hanging="22" w:hangingChars="7"/>
        <w:jc w:val="center"/>
        <w:rPr>
          <w:rFonts w:ascii="黑体" w:eastAsia="黑体"/>
          <w:sz w:val="32"/>
          <w:szCs w:val="32"/>
        </w:rPr>
      </w:pPr>
    </w:p>
    <w:p>
      <w:pPr>
        <w:jc w:val="center"/>
        <w:rPr>
          <w:rFonts w:ascii="黑体" w:eastAsia="黑体"/>
          <w:b/>
          <w:bCs/>
          <w:sz w:val="28"/>
          <w:szCs w:val="28"/>
        </w:rPr>
      </w:pPr>
    </w:p>
    <w:p>
      <w:pPr>
        <w:pStyle w:val="51"/>
        <w:spacing w:before="0" w:after="0"/>
        <w:rPr>
          <w:rFonts w:ascii="Times New Roman"/>
        </w:rPr>
      </w:pPr>
    </w:p>
    <w:p>
      <w:pPr>
        <w:pStyle w:val="51"/>
        <w:spacing w:before="0" w:after="0"/>
        <w:rPr>
          <w:rFonts w:ascii="Times New Roman"/>
        </w:rPr>
      </w:pPr>
      <w:r>
        <w:rPr>
          <w:rFonts w:hint="eastAsia" w:ascii="Times New Roman"/>
        </w:rPr>
        <w:t xml:space="preserve">碲锌镉化学分析方法  </w:t>
      </w:r>
      <w:r>
        <w:rPr>
          <w:rFonts w:ascii="Times New Roman"/>
        </w:rPr>
        <w:t>锌</w:t>
      </w:r>
      <w:r>
        <w:rPr>
          <w:rFonts w:hint="eastAsia" w:ascii="Times New Roman"/>
        </w:rPr>
        <w:t>量</w:t>
      </w:r>
      <w:r>
        <w:rPr>
          <w:rFonts w:ascii="Times New Roman"/>
        </w:rPr>
        <w:t>、镉</w:t>
      </w:r>
      <w:r>
        <w:rPr>
          <w:rFonts w:hint="eastAsia" w:ascii="Times New Roman"/>
        </w:rPr>
        <w:t>量</w:t>
      </w:r>
      <w:r>
        <w:rPr>
          <w:rFonts w:ascii="Times New Roman"/>
        </w:rPr>
        <w:t>的测定</w:t>
      </w:r>
      <w:r>
        <w:rPr>
          <w:rFonts w:hint="eastAsia" w:ascii="Times New Roman"/>
        </w:rPr>
        <w:t xml:space="preserve"> </w:t>
      </w:r>
    </w:p>
    <w:p>
      <w:pPr>
        <w:pStyle w:val="51"/>
        <w:spacing w:before="0" w:after="0"/>
        <w:rPr>
          <w:rFonts w:ascii="Times New Roman"/>
        </w:rPr>
      </w:pPr>
      <w:r>
        <w:rPr>
          <w:rFonts w:hint="eastAsia" w:ascii="Times New Roman"/>
        </w:rPr>
        <w:t>电</w:t>
      </w:r>
      <w:r>
        <w:rPr>
          <w:rFonts w:ascii="Times New Roman"/>
        </w:rPr>
        <w:t>感耦合</w:t>
      </w:r>
      <w:r>
        <w:rPr>
          <w:rFonts w:hint="eastAsia" w:ascii="Times New Roman"/>
        </w:rPr>
        <w:t>等离子</w:t>
      </w:r>
      <w:r>
        <w:rPr>
          <w:rFonts w:ascii="Times New Roman"/>
        </w:rPr>
        <w:t>发射光谱法</w:t>
      </w:r>
    </w:p>
    <w:p>
      <w:pPr>
        <w:spacing w:line="400" w:lineRule="exact"/>
        <w:rPr>
          <w:rFonts w:ascii="黑体" w:hAnsi="黑体" w:eastAsia="黑体"/>
        </w:rPr>
      </w:pPr>
      <w:bookmarkStart w:id="2" w:name="SectionMark4"/>
      <w:r>
        <w:rPr>
          <w:rFonts w:hint="eastAsia" w:ascii="黑体" w:hAnsi="黑体" w:eastAsia="黑体"/>
        </w:rPr>
        <w:t>1</w:t>
      </w:r>
      <w:r>
        <w:rPr>
          <w:rFonts w:ascii="黑体" w:hAnsi="黑体" w:eastAsia="黑体"/>
        </w:rPr>
        <w:t>　范围</w:t>
      </w:r>
    </w:p>
    <w:p>
      <w:pPr>
        <w:spacing w:line="400" w:lineRule="exact"/>
        <w:ind w:firstLine="420" w:firstLineChars="200"/>
      </w:pPr>
      <w:r>
        <w:t>本</w:t>
      </w:r>
      <w:r>
        <w:rPr>
          <w:rFonts w:hint="eastAsia"/>
        </w:rPr>
        <w:t>部分</w:t>
      </w:r>
      <w:r>
        <w:t>规定了</w:t>
      </w:r>
      <w:r>
        <w:rPr>
          <w:rFonts w:hint="eastAsia"/>
        </w:rPr>
        <w:t>碲锌镉中锌量、</w:t>
      </w:r>
      <w:r>
        <w:t>镉量</w:t>
      </w:r>
      <w:r>
        <w:rPr>
          <w:rFonts w:hint="eastAsia"/>
        </w:rPr>
        <w:t>的测定</w:t>
      </w:r>
      <w:r>
        <w:t>方法。</w:t>
      </w:r>
    </w:p>
    <w:p>
      <w:pPr>
        <w:spacing w:line="400" w:lineRule="exact"/>
        <w:ind w:firstLine="420" w:firstLineChars="200"/>
      </w:pPr>
      <w:r>
        <w:t>本</w:t>
      </w:r>
      <w:r>
        <w:rPr>
          <w:rFonts w:hint="eastAsia"/>
        </w:rPr>
        <w:t>部分</w:t>
      </w:r>
      <w:r>
        <w:t>适用</w:t>
      </w:r>
      <w:r>
        <w:rPr>
          <w:rFonts w:hint="eastAsia"/>
        </w:rPr>
        <w:t>于碲锌镉中</w:t>
      </w:r>
      <w:r>
        <w:t>锌量、镉量</w:t>
      </w:r>
      <w:r>
        <w:rPr>
          <w:rFonts w:hint="eastAsia"/>
        </w:rPr>
        <w:t>的测定，测定范围（质量分数）：锌</w:t>
      </w:r>
      <w:r>
        <w:t>量为1.00 %~30.00 %</w:t>
      </w:r>
      <w:r>
        <w:rPr>
          <w:rFonts w:hint="eastAsia"/>
        </w:rPr>
        <w:t>，</w:t>
      </w:r>
      <w:r>
        <w:t>镉量为20.00 %~46.00 %</w:t>
      </w:r>
      <w:r>
        <w:rPr>
          <w:rFonts w:hint="eastAsia"/>
        </w:rPr>
        <w:t>。</w:t>
      </w:r>
    </w:p>
    <w:p>
      <w:pPr>
        <w:spacing w:line="400" w:lineRule="exact"/>
        <w:rPr>
          <w:rFonts w:ascii="黑体" w:hAnsi="黑体" w:eastAsia="黑体"/>
        </w:rPr>
      </w:pPr>
      <w:r>
        <w:rPr>
          <w:rFonts w:hint="eastAsia" w:ascii="黑体" w:hAnsi="黑体" w:eastAsia="黑体"/>
        </w:rPr>
        <w:t>2</w:t>
      </w:r>
      <w:r>
        <w:rPr>
          <w:rFonts w:ascii="黑体" w:hAnsi="黑体" w:eastAsia="黑体"/>
        </w:rPr>
        <w:t>　规范性引用文件</w:t>
      </w:r>
    </w:p>
    <w:p>
      <w:pPr>
        <w:spacing w:line="400" w:lineRule="exact"/>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pPr>
      <w:r>
        <w:rPr>
          <w:rFonts w:hint="eastAsia"/>
        </w:rPr>
        <w:t>GB/T 6682  分析实验室用水规格和试验方法</w:t>
      </w:r>
    </w:p>
    <w:p>
      <w:pPr>
        <w:spacing w:line="400" w:lineRule="exact"/>
        <w:ind w:firstLine="420" w:firstLineChars="200"/>
      </w:pPr>
      <w:r>
        <w:rPr>
          <w:rFonts w:hint="eastAsia"/>
        </w:rPr>
        <w:t>GB/T 8170  数值修约规则与极限数值的表示和判定</w:t>
      </w:r>
    </w:p>
    <w:p>
      <w:pPr>
        <w:spacing w:line="400" w:lineRule="exact"/>
        <w:rPr>
          <w:rFonts w:ascii="黑体" w:hAnsi="黑体" w:eastAsia="黑体"/>
        </w:rPr>
      </w:pPr>
      <w:r>
        <w:rPr>
          <w:rFonts w:hint="eastAsia" w:ascii="黑体" w:hAnsi="黑体" w:eastAsia="黑体"/>
        </w:rPr>
        <w:t>3</w:t>
      </w:r>
      <w:r>
        <w:rPr>
          <w:rFonts w:ascii="黑体" w:hAnsi="黑体" w:eastAsia="黑体"/>
        </w:rPr>
        <w:t>　术语和定义</w:t>
      </w:r>
    </w:p>
    <w:p>
      <w:pPr>
        <w:spacing w:line="400" w:lineRule="exact"/>
        <w:ind w:firstLine="420" w:firstLineChars="200"/>
      </w:pPr>
      <w:r>
        <w:rPr>
          <w:rFonts w:hint="eastAsia"/>
        </w:rPr>
        <w:t>本</w:t>
      </w:r>
      <w:r>
        <w:t>文件没有需要</w:t>
      </w:r>
      <w:r>
        <w:rPr>
          <w:rFonts w:hint="eastAsia"/>
        </w:rPr>
        <w:t>界定</w:t>
      </w:r>
      <w:r>
        <w:t>的术语和定义。</w:t>
      </w:r>
    </w:p>
    <w:p>
      <w:pPr>
        <w:spacing w:line="400" w:lineRule="exact"/>
        <w:rPr>
          <w:rFonts w:ascii="黑体" w:hAnsi="黑体" w:eastAsia="黑体"/>
        </w:rPr>
      </w:pPr>
      <w:r>
        <w:rPr>
          <w:rFonts w:hint="eastAsia" w:ascii="黑体" w:hAnsi="黑体" w:eastAsia="黑体"/>
        </w:rPr>
        <w:t>4</w:t>
      </w:r>
      <w:r>
        <w:rPr>
          <w:rFonts w:ascii="黑体" w:hAnsi="黑体" w:eastAsia="黑体"/>
        </w:rPr>
        <w:t>　　</w:t>
      </w:r>
      <w:r>
        <w:rPr>
          <w:rFonts w:hint="eastAsia" w:ascii="黑体" w:hAnsi="黑体" w:eastAsia="黑体"/>
        </w:rPr>
        <w:t>原理</w:t>
      </w:r>
    </w:p>
    <w:p>
      <w:pPr>
        <w:spacing w:line="400" w:lineRule="exact"/>
        <w:ind w:firstLine="420" w:firstLineChars="200"/>
      </w:pPr>
      <w:r>
        <w:rPr>
          <w:rFonts w:hint="eastAsia"/>
        </w:rPr>
        <w:t>试料经硝酸、盐酸溶解后，溶液定容后称重，以钇为内标元素，用电感耦合等离子体原子发射光谱仪测定试料溶液中待测元素特征谱线的强度，通过内标标准曲线法计算出试料中锌</w:t>
      </w:r>
      <w:r>
        <w:t>量、</w:t>
      </w:r>
      <w:r>
        <w:rPr>
          <w:rFonts w:hint="eastAsia"/>
        </w:rPr>
        <w:t>镉量</w:t>
      </w:r>
      <w:r>
        <w:t>。</w:t>
      </w:r>
    </w:p>
    <w:p>
      <w:pPr>
        <w:spacing w:line="400" w:lineRule="exact"/>
        <w:rPr>
          <w:rFonts w:ascii="黑体" w:hAnsi="黑体" w:eastAsia="黑体"/>
        </w:rPr>
      </w:pPr>
      <w:r>
        <w:rPr>
          <w:rFonts w:ascii="黑体" w:hAnsi="黑体" w:eastAsia="黑体"/>
        </w:rPr>
        <w:t>5　</w:t>
      </w:r>
      <w:r>
        <w:rPr>
          <w:rFonts w:hint="eastAsia" w:ascii="黑体" w:hAnsi="黑体" w:eastAsia="黑体"/>
        </w:rPr>
        <w:t>试剂或材料</w:t>
      </w:r>
    </w:p>
    <w:bookmarkEnd w:id="2"/>
    <w:p>
      <w:pPr>
        <w:spacing w:line="400" w:lineRule="exact"/>
        <w:ind w:firstLine="420" w:firstLineChars="200"/>
      </w:pPr>
      <w:r>
        <w:rPr>
          <w:rFonts w:hint="eastAsia"/>
        </w:rPr>
        <w:t>除另有说明，在分析中仅使用确认为分析纯的试剂和符合GB/T 6682规定的实验室二级水。</w:t>
      </w:r>
    </w:p>
    <w:p>
      <w:pPr>
        <w:spacing w:line="400" w:lineRule="exact"/>
      </w:pPr>
      <w:r>
        <w:rPr>
          <w:rFonts w:hint="eastAsia"/>
        </w:rPr>
        <w:t>5.1  盐酸（</w:t>
      </w:r>
      <w:r>
        <w:t>ρ1.19 g/mL</w:t>
      </w:r>
      <w:r>
        <w:rPr>
          <w:rFonts w:hint="eastAsia"/>
        </w:rPr>
        <w:t>）。</w:t>
      </w:r>
    </w:p>
    <w:p>
      <w:pPr>
        <w:spacing w:line="400" w:lineRule="exact"/>
      </w:pPr>
      <w:r>
        <w:rPr>
          <w:rFonts w:hint="eastAsia"/>
        </w:rPr>
        <w:t>5.2  盐酸（</w:t>
      </w:r>
      <w:r>
        <w:t>1+10</w:t>
      </w:r>
      <w:r>
        <w:rPr>
          <w:rFonts w:hint="eastAsia"/>
        </w:rPr>
        <w:t>）。</w:t>
      </w:r>
    </w:p>
    <w:p>
      <w:pPr>
        <w:spacing w:line="400" w:lineRule="exact"/>
      </w:pPr>
      <w:r>
        <w:rPr>
          <w:rFonts w:hint="eastAsia"/>
        </w:rPr>
        <w:t>5.3  硝酸（</w:t>
      </w:r>
      <w:r>
        <w:t>ρ1.42 g/mL</w:t>
      </w:r>
      <w:r>
        <w:rPr>
          <w:rFonts w:hint="eastAsia"/>
        </w:rPr>
        <w:t>）。</w:t>
      </w:r>
    </w:p>
    <w:p>
      <w:pPr>
        <w:spacing w:line="400" w:lineRule="exact"/>
      </w:pPr>
      <w:r>
        <w:t>5.4</w:t>
      </w:r>
      <w:r>
        <w:rPr>
          <w:rFonts w:hint="eastAsia"/>
        </w:rPr>
        <w:t xml:space="preserve">  锌标准溶液：</w:t>
      </w:r>
      <w:r>
        <w:t>称取</w:t>
      </w:r>
      <w:r>
        <w:rPr>
          <w:rFonts w:hint="eastAsia"/>
        </w:rPr>
        <w:t>0.1</w:t>
      </w:r>
      <w:r>
        <w:t>0</w:t>
      </w:r>
      <w:r>
        <w:rPr>
          <w:rFonts w:hint="eastAsia"/>
        </w:rPr>
        <w:t>g金属</w:t>
      </w:r>
      <w:r>
        <w:t>锌（</w:t>
      </w:r>
      <w:r>
        <w:rPr>
          <w:i/>
          <w:sz w:val="28"/>
          <w:szCs w:val="28"/>
        </w:rPr>
        <w:t>ω</w:t>
      </w:r>
      <w:r>
        <w:rPr>
          <w:vertAlign w:val="subscript"/>
        </w:rPr>
        <w:t>Zn</w:t>
      </w:r>
      <w:r>
        <w:t>≥99.9</w:t>
      </w:r>
      <w:r>
        <w:rPr>
          <w:rFonts w:hint="eastAsia"/>
        </w:rPr>
        <w:t xml:space="preserve">9 </w:t>
      </w:r>
      <w:r>
        <w:t>%）</w:t>
      </w:r>
      <w:r>
        <w:rPr>
          <w:rFonts w:hint="eastAsia"/>
        </w:rPr>
        <w:t>（精确到0.0001</w:t>
      </w:r>
      <w:r>
        <w:t>g</w:t>
      </w:r>
      <w:r>
        <w:rPr>
          <w:rFonts w:hint="eastAsia"/>
        </w:rPr>
        <w:t>）于250</w:t>
      </w:r>
      <w:r>
        <w:t xml:space="preserve"> mL</w:t>
      </w:r>
      <w:r>
        <w:rPr>
          <w:rFonts w:hint="eastAsia"/>
        </w:rPr>
        <w:t>烧杯</w:t>
      </w:r>
      <w:r>
        <w:t>中，加入</w:t>
      </w:r>
      <w:r>
        <w:rPr>
          <w:rFonts w:hint="eastAsia"/>
        </w:rPr>
        <w:t>15</w:t>
      </w:r>
      <w:r>
        <w:t xml:space="preserve"> mL</w:t>
      </w:r>
      <w:r>
        <w:rPr>
          <w:rFonts w:hint="eastAsia"/>
        </w:rPr>
        <w:t>盐酸</w:t>
      </w:r>
      <w:r>
        <w:t>（</w:t>
      </w:r>
      <w:r>
        <w:rPr>
          <w:rFonts w:hint="eastAsia"/>
        </w:rPr>
        <w:t>5.1</w:t>
      </w:r>
      <w:r>
        <w:t>）</w:t>
      </w:r>
      <w:r>
        <w:rPr>
          <w:rFonts w:hint="eastAsia"/>
        </w:rPr>
        <w:t>、5</w:t>
      </w:r>
      <w:r>
        <w:t xml:space="preserve"> mL</w:t>
      </w:r>
      <w:r>
        <w:rPr>
          <w:rFonts w:hint="eastAsia"/>
        </w:rPr>
        <w:t>硝酸</w:t>
      </w:r>
      <w:r>
        <w:t>（</w:t>
      </w:r>
      <w:r>
        <w:rPr>
          <w:rFonts w:hint="eastAsia"/>
        </w:rPr>
        <w:t>5.3</w:t>
      </w:r>
      <w:r>
        <w:t>）</w:t>
      </w:r>
      <w:r>
        <w:rPr>
          <w:rFonts w:hint="eastAsia"/>
        </w:rPr>
        <w:t>，低温加热至完全溶解，取下，冷却至室温，用少量水冲洗表面皿，将试液转移入预先烘干称重的</w:t>
      </w:r>
      <w:r>
        <w:t>250</w:t>
      </w:r>
      <w:r>
        <w:rPr>
          <w:rFonts w:hint="eastAsia"/>
        </w:rPr>
        <w:t xml:space="preserve"> </w:t>
      </w:r>
      <w:r>
        <w:t>mL</w:t>
      </w:r>
      <w:r>
        <w:rPr>
          <w:rFonts w:hint="eastAsia"/>
        </w:rPr>
        <w:t>容量瓶（m</w:t>
      </w:r>
      <w:r>
        <w:rPr>
          <w:rFonts w:hint="eastAsia"/>
          <w:vertAlign w:val="subscript"/>
        </w:rPr>
        <w:t>1</w:t>
      </w:r>
      <w:r>
        <w:t>）</w:t>
      </w:r>
      <w:r>
        <w:rPr>
          <w:rFonts w:hint="eastAsia"/>
        </w:rPr>
        <w:t>中，用水稀释至刻度，称取质量(m</w:t>
      </w:r>
      <w:r>
        <w:rPr>
          <w:rFonts w:hint="eastAsia"/>
          <w:vertAlign w:val="subscript"/>
        </w:rPr>
        <w:t>2</w:t>
      </w:r>
      <w:r>
        <w:t>)</w:t>
      </w:r>
      <w:r>
        <w:rPr>
          <w:rFonts w:hint="eastAsia"/>
        </w:rPr>
        <w:t>，混匀，此溶液约每</w:t>
      </w:r>
      <w:r>
        <w:t>g</w:t>
      </w:r>
      <w:r>
        <w:rPr>
          <w:rFonts w:hint="eastAsia"/>
        </w:rPr>
        <w:t>含锌量为400</w:t>
      </w:r>
      <w:r>
        <w:t>ug</w:t>
      </w:r>
      <w:r>
        <w:rPr>
          <w:rFonts w:hint="eastAsia"/>
        </w:rPr>
        <w:t>。</w:t>
      </w:r>
    </w:p>
    <w:p>
      <w:pPr>
        <w:spacing w:line="400" w:lineRule="exact"/>
      </w:pPr>
      <w:r>
        <w:t>5.</w:t>
      </w:r>
      <w:r>
        <w:rPr>
          <w:rFonts w:hint="eastAsia"/>
        </w:rPr>
        <w:t xml:space="preserve"> </w:t>
      </w:r>
      <w:r>
        <w:t>5</w:t>
      </w:r>
      <w:r>
        <w:rPr>
          <w:rFonts w:hint="eastAsia"/>
        </w:rPr>
        <w:t xml:space="preserve">  镉标准溶液：</w:t>
      </w:r>
      <w:r>
        <w:t>称取</w:t>
      </w:r>
      <w:r>
        <w:rPr>
          <w:rFonts w:hint="eastAsia"/>
        </w:rPr>
        <w:t>0.1</w:t>
      </w:r>
      <w:r>
        <w:t>0</w:t>
      </w:r>
      <w:r>
        <w:rPr>
          <w:rFonts w:hint="eastAsia"/>
        </w:rPr>
        <w:t>g金属镉</w:t>
      </w:r>
      <w:r>
        <w:t>（</w:t>
      </w:r>
      <w:r>
        <w:rPr>
          <w:i/>
          <w:sz w:val="28"/>
          <w:szCs w:val="28"/>
        </w:rPr>
        <w:t>ω</w:t>
      </w:r>
      <w:r>
        <w:rPr>
          <w:vertAlign w:val="subscript"/>
        </w:rPr>
        <w:t>Cd</w:t>
      </w:r>
      <w:r>
        <w:t>≥99.9</w:t>
      </w:r>
      <w:r>
        <w:rPr>
          <w:rFonts w:hint="eastAsia"/>
        </w:rPr>
        <w:t xml:space="preserve">9 </w:t>
      </w:r>
      <w:r>
        <w:t>%）</w:t>
      </w:r>
      <w:r>
        <w:rPr>
          <w:rFonts w:hint="eastAsia"/>
        </w:rPr>
        <w:t>（精确到0.0001</w:t>
      </w:r>
      <w:r>
        <w:t>g</w:t>
      </w:r>
      <w:r>
        <w:rPr>
          <w:rFonts w:hint="eastAsia"/>
        </w:rPr>
        <w:t>）于250</w:t>
      </w:r>
      <w:r>
        <w:t xml:space="preserve"> mL</w:t>
      </w:r>
      <w:r>
        <w:rPr>
          <w:rFonts w:hint="eastAsia"/>
        </w:rPr>
        <w:t>烧杯</w:t>
      </w:r>
      <w:r>
        <w:t>中，加入</w:t>
      </w:r>
      <w:r>
        <w:rPr>
          <w:rFonts w:hint="eastAsia"/>
        </w:rPr>
        <w:t>15</w:t>
      </w:r>
      <w:r>
        <w:t xml:space="preserve"> mL</w:t>
      </w:r>
      <w:r>
        <w:rPr>
          <w:rFonts w:hint="eastAsia"/>
        </w:rPr>
        <w:t>盐酸</w:t>
      </w:r>
      <w:r>
        <w:t>（</w:t>
      </w:r>
      <w:r>
        <w:rPr>
          <w:rFonts w:hint="eastAsia"/>
        </w:rPr>
        <w:t>5.1</w:t>
      </w:r>
      <w:r>
        <w:t>）</w:t>
      </w:r>
      <w:r>
        <w:rPr>
          <w:rFonts w:hint="eastAsia"/>
        </w:rPr>
        <w:t>、5</w:t>
      </w:r>
      <w:r>
        <w:t xml:space="preserve"> mL</w:t>
      </w:r>
      <w:r>
        <w:rPr>
          <w:rFonts w:hint="eastAsia"/>
        </w:rPr>
        <w:t>硝酸</w:t>
      </w:r>
      <w:r>
        <w:t>（</w:t>
      </w:r>
      <w:r>
        <w:rPr>
          <w:rFonts w:hint="eastAsia"/>
        </w:rPr>
        <w:t>5.3</w:t>
      </w:r>
      <w:r>
        <w:t>）</w:t>
      </w:r>
      <w:r>
        <w:rPr>
          <w:rFonts w:hint="eastAsia"/>
        </w:rPr>
        <w:t>，低温加热至完全溶解，取下，冷却至室温，用少量水冲洗表面皿，将试液转移入预先烘干称重的</w:t>
      </w:r>
      <w:r>
        <w:t>250</w:t>
      </w:r>
      <w:r>
        <w:rPr>
          <w:rFonts w:hint="eastAsia"/>
        </w:rPr>
        <w:t xml:space="preserve"> </w:t>
      </w:r>
      <w:r>
        <w:t>mL</w:t>
      </w:r>
      <w:r>
        <w:rPr>
          <w:rFonts w:hint="eastAsia"/>
        </w:rPr>
        <w:t>容量瓶（m</w:t>
      </w:r>
      <w:r>
        <w:rPr>
          <w:rFonts w:hint="eastAsia"/>
          <w:vertAlign w:val="subscript"/>
        </w:rPr>
        <w:t>3</w:t>
      </w:r>
      <w:r>
        <w:t>）</w:t>
      </w:r>
      <w:r>
        <w:rPr>
          <w:rFonts w:hint="eastAsia"/>
        </w:rPr>
        <w:t>中，用水稀释至刻度，称取质量(m</w:t>
      </w:r>
      <w:r>
        <w:rPr>
          <w:rFonts w:hint="eastAsia"/>
          <w:vertAlign w:val="subscript"/>
        </w:rPr>
        <w:t>4</w:t>
      </w:r>
      <w:r>
        <w:t>)</w:t>
      </w:r>
      <w:r>
        <w:rPr>
          <w:rFonts w:hint="eastAsia"/>
        </w:rPr>
        <w:t>，</w:t>
      </w:r>
      <w:r>
        <w:t>混匀</w:t>
      </w:r>
      <w:r>
        <w:rPr>
          <w:rFonts w:hint="eastAsia"/>
        </w:rPr>
        <w:t>，此溶液约每</w:t>
      </w:r>
      <w:r>
        <w:t>g</w:t>
      </w:r>
      <w:r>
        <w:rPr>
          <w:rFonts w:hint="eastAsia"/>
        </w:rPr>
        <w:t>含镉量为400</w:t>
      </w:r>
      <w:r>
        <w:t>ug</w:t>
      </w:r>
      <w:r>
        <w:rPr>
          <w:rFonts w:hint="eastAsia"/>
        </w:rPr>
        <w:t>。</w:t>
      </w:r>
    </w:p>
    <w:p>
      <w:pPr>
        <w:spacing w:line="400" w:lineRule="exact"/>
      </w:pPr>
      <w:r>
        <w:t>5.</w:t>
      </w:r>
      <w:r>
        <w:rPr>
          <w:rFonts w:hint="eastAsia"/>
        </w:rPr>
        <w:t xml:space="preserve"> </w:t>
      </w:r>
      <w:r>
        <w:t>6</w:t>
      </w:r>
      <w:r>
        <w:rPr>
          <w:rFonts w:hint="eastAsia"/>
        </w:rPr>
        <w:t xml:space="preserve">  钇标准溶液  称取</w:t>
      </w:r>
      <w:r>
        <w:t>0.1270g</w:t>
      </w:r>
      <w:r>
        <w:rPr>
          <w:rFonts w:hint="eastAsia"/>
        </w:rPr>
        <w:t>三氧化二钇（</w:t>
      </w:r>
      <w:r>
        <w:rPr>
          <w:i/>
          <w:sz w:val="28"/>
          <w:szCs w:val="28"/>
        </w:rPr>
        <w:t>ω</w:t>
      </w:r>
      <w:r>
        <w:rPr>
          <w:vertAlign w:val="subscript"/>
        </w:rPr>
        <w:t>Y2O3</w:t>
      </w:r>
      <w:r>
        <w:t>≥99.9</w:t>
      </w:r>
      <w:r>
        <w:rPr>
          <w:rFonts w:hint="eastAsia"/>
        </w:rPr>
        <w:t xml:space="preserve">9 </w:t>
      </w:r>
      <w:r>
        <w:t>%</w:t>
      </w:r>
      <w:r>
        <w:rPr>
          <w:rFonts w:hint="eastAsia"/>
        </w:rPr>
        <w:t>），加入</w:t>
      </w:r>
      <w:r>
        <w:t>30 mL</w:t>
      </w:r>
      <w:r>
        <w:rPr>
          <w:rFonts w:hint="eastAsia"/>
        </w:rPr>
        <w:t>盐酸（</w:t>
      </w:r>
      <w:r>
        <w:t>5.2</w:t>
      </w:r>
      <w:r>
        <w:rPr>
          <w:rFonts w:hint="eastAsia"/>
        </w:rPr>
        <w:t>），加热溶解，取下冷却至室温，移入</w:t>
      </w:r>
      <w:r>
        <w:t>1000 mL</w:t>
      </w:r>
      <w:r>
        <w:rPr>
          <w:rFonts w:hint="eastAsia"/>
        </w:rPr>
        <w:t>容量瓶中，用水稀释至刻度，混匀，此溶液</w:t>
      </w:r>
      <w:r>
        <w:t>1 mL</w:t>
      </w:r>
      <w:r>
        <w:rPr>
          <w:rFonts w:hint="eastAsia"/>
        </w:rPr>
        <w:t>含</w:t>
      </w:r>
      <w:r>
        <w:t>0.10mg</w:t>
      </w:r>
      <w:r>
        <w:rPr>
          <w:rFonts w:hint="eastAsia"/>
        </w:rPr>
        <w:t>钇。</w:t>
      </w:r>
    </w:p>
    <w:p>
      <w:pPr>
        <w:spacing w:line="400" w:lineRule="exact"/>
      </w:pPr>
      <w:r>
        <w:t>5</w:t>
      </w:r>
      <w:r>
        <w:rPr>
          <w:rFonts w:hint="eastAsia"/>
        </w:rPr>
        <w:t>.7 碲溶液：</w:t>
      </w:r>
      <w:r>
        <w:t>称取</w:t>
      </w:r>
      <w:r>
        <w:rPr>
          <w:rFonts w:hint="eastAsia"/>
        </w:rPr>
        <w:t>0.2</w:t>
      </w:r>
      <w:r>
        <w:t>0</w:t>
      </w:r>
      <w:r>
        <w:rPr>
          <w:rFonts w:hint="eastAsia"/>
        </w:rPr>
        <w:t>g</w:t>
      </w:r>
      <w:r>
        <w:t>碲（</w:t>
      </w:r>
      <w:r>
        <w:rPr>
          <w:i/>
          <w:sz w:val="28"/>
          <w:szCs w:val="28"/>
        </w:rPr>
        <w:t>ω</w:t>
      </w:r>
      <w:r>
        <w:rPr>
          <w:vertAlign w:val="subscript"/>
        </w:rPr>
        <w:t>Te</w:t>
      </w:r>
      <w:r>
        <w:t>≥99.9</w:t>
      </w:r>
      <w:r>
        <w:rPr>
          <w:rFonts w:hint="eastAsia"/>
        </w:rPr>
        <w:t xml:space="preserve">9 </w:t>
      </w:r>
      <w:r>
        <w:t>%）</w:t>
      </w:r>
      <w:r>
        <w:rPr>
          <w:rFonts w:hint="eastAsia"/>
        </w:rPr>
        <w:t>（精确到0.0001</w:t>
      </w:r>
      <w:r>
        <w:t>g</w:t>
      </w:r>
      <w:r>
        <w:rPr>
          <w:rFonts w:hint="eastAsia"/>
        </w:rPr>
        <w:t>）于250</w:t>
      </w:r>
      <w:r>
        <w:t xml:space="preserve"> mL</w:t>
      </w:r>
      <w:r>
        <w:rPr>
          <w:rFonts w:hint="eastAsia"/>
        </w:rPr>
        <w:t>烧杯</w:t>
      </w:r>
      <w:r>
        <w:t>中，加入</w:t>
      </w:r>
      <w:r>
        <w:rPr>
          <w:rFonts w:hint="eastAsia"/>
        </w:rPr>
        <w:t>15</w:t>
      </w:r>
      <w:r>
        <w:t xml:space="preserve"> mL</w:t>
      </w:r>
      <w:r>
        <w:rPr>
          <w:rFonts w:hint="eastAsia"/>
        </w:rPr>
        <w:t>盐酸</w:t>
      </w:r>
      <w:r>
        <w:t>（</w:t>
      </w:r>
      <w:r>
        <w:rPr>
          <w:rFonts w:hint="eastAsia"/>
        </w:rPr>
        <w:t>5.1</w:t>
      </w:r>
      <w:r>
        <w:t>）</w:t>
      </w:r>
      <w:r>
        <w:rPr>
          <w:rFonts w:hint="eastAsia"/>
        </w:rPr>
        <w:t>、5</w:t>
      </w:r>
      <w:r>
        <w:t xml:space="preserve"> mL</w:t>
      </w:r>
      <w:r>
        <w:rPr>
          <w:rFonts w:hint="eastAsia"/>
        </w:rPr>
        <w:t>硝酸</w:t>
      </w:r>
      <w:r>
        <w:t>（</w:t>
      </w:r>
      <w:r>
        <w:rPr>
          <w:rFonts w:hint="eastAsia"/>
        </w:rPr>
        <w:t>5.3</w:t>
      </w:r>
      <w:r>
        <w:t>）</w:t>
      </w:r>
      <w:r>
        <w:rPr>
          <w:rFonts w:hint="eastAsia"/>
        </w:rPr>
        <w:t>，低温加热至完全溶解，取下，冷却至室温，用盐酸（5.2）冲洗表面皿，将试液转移入</w:t>
      </w:r>
      <w:r>
        <w:t>100</w:t>
      </w:r>
      <w:r>
        <w:rPr>
          <w:rFonts w:hint="eastAsia"/>
        </w:rPr>
        <w:t xml:space="preserve"> </w:t>
      </w:r>
      <w:r>
        <w:t>mL</w:t>
      </w:r>
      <w:r>
        <w:rPr>
          <w:rFonts w:hint="eastAsia"/>
        </w:rPr>
        <w:t>容量瓶，用盐酸（5.2））稀释至刻度，混匀。</w:t>
      </w:r>
    </w:p>
    <w:p>
      <w:pPr>
        <w:autoSpaceDE w:val="0"/>
        <w:autoSpaceDN w:val="0"/>
        <w:adjustRightInd w:val="0"/>
        <w:jc w:val="left"/>
        <w:rPr>
          <w:rFonts w:ascii="宋体" w:hAnsi="宋体"/>
          <w:szCs w:val="21"/>
        </w:rPr>
      </w:pPr>
    </w:p>
    <w:p>
      <w:pPr>
        <w:autoSpaceDE w:val="0"/>
        <w:autoSpaceDN w:val="0"/>
        <w:adjustRightInd w:val="0"/>
        <w:jc w:val="left"/>
        <w:rPr>
          <w:rFonts w:eastAsia="黑体"/>
          <w:kern w:val="0"/>
          <w:szCs w:val="20"/>
        </w:rPr>
      </w:pPr>
      <w:r>
        <w:rPr>
          <w:rFonts w:ascii="黑体" w:hAnsi="黑体" w:eastAsia="黑体" w:cs="黑体"/>
          <w:kern w:val="0"/>
          <w:szCs w:val="20"/>
        </w:rPr>
        <w:t>6</w:t>
      </w:r>
      <w:r>
        <w:t>　</w:t>
      </w:r>
      <w:r>
        <w:rPr>
          <w:rFonts w:hint="eastAsia" w:ascii="黑体" w:hAnsi="黑体" w:eastAsia="黑体" w:cs="黑体"/>
          <w:kern w:val="0"/>
          <w:szCs w:val="20"/>
        </w:rPr>
        <w:t>仪器设备</w:t>
      </w:r>
    </w:p>
    <w:p>
      <w:pPr>
        <w:pStyle w:val="52"/>
        <w:spacing w:before="120" w:after="120"/>
        <w:rPr>
          <w:rFonts w:ascii="宋体" w:hAnsi="宋体" w:eastAsia="宋体"/>
        </w:rPr>
      </w:pPr>
      <w:r>
        <w:rPr>
          <w:rFonts w:hint="eastAsia"/>
        </w:rPr>
        <w:t xml:space="preserve">6.1 </w:t>
      </w:r>
      <w:r>
        <w:rPr>
          <w:rFonts w:hint="eastAsia" w:ascii="宋体" w:hAnsi="宋体" w:eastAsia="宋体"/>
        </w:rPr>
        <w:t>电感耦合等离子体原子发射光谱仪，分辨率&lt;0.006 n</w:t>
      </w:r>
      <w:r>
        <w:rPr>
          <w:rFonts w:ascii="宋体" w:hAnsi="宋体" w:eastAsia="宋体"/>
        </w:rPr>
        <w:t>m</w:t>
      </w:r>
      <w:r>
        <w:rPr>
          <w:rFonts w:hint="eastAsia" w:ascii="宋体" w:hAnsi="宋体" w:eastAsia="宋体"/>
        </w:rPr>
        <w:t xml:space="preserve">(200 </w:t>
      </w:r>
      <w:r>
        <w:rPr>
          <w:rFonts w:ascii="宋体" w:hAnsi="宋体" w:eastAsia="宋体"/>
        </w:rPr>
        <w:t>nm</w:t>
      </w:r>
      <w:r>
        <w:rPr>
          <w:rFonts w:hint="eastAsia" w:ascii="宋体" w:hAnsi="宋体" w:eastAsia="宋体"/>
        </w:rPr>
        <w:t>处)。</w:t>
      </w:r>
    </w:p>
    <w:p>
      <w:pPr>
        <w:pStyle w:val="52"/>
        <w:spacing w:before="120" w:after="120"/>
        <w:rPr>
          <w:rFonts w:asciiTheme="minorEastAsia" w:hAnsiTheme="minorEastAsia" w:eastAsiaTheme="minorEastAsia"/>
        </w:rPr>
      </w:pPr>
      <w:r>
        <w:rPr>
          <w:rFonts w:hint="eastAsia" w:asciiTheme="minorEastAsia" w:hAnsiTheme="minorEastAsia" w:eastAsiaTheme="minorEastAsia"/>
        </w:rPr>
        <w:t>6.2 分析线</w:t>
      </w:r>
    </w:p>
    <w:p>
      <w:pPr>
        <w:pStyle w:val="66"/>
      </w:pPr>
      <w:r>
        <w:rPr>
          <w:rFonts w:hint="eastAsia"/>
        </w:rPr>
        <w:t>锌、镉</w:t>
      </w:r>
      <w:r>
        <w:t>、</w:t>
      </w:r>
      <w:r>
        <w:rPr>
          <w:rFonts w:hint="eastAsia"/>
        </w:rPr>
        <w:t>钇分析线见表1。</w:t>
      </w:r>
    </w:p>
    <w:p>
      <w:pPr>
        <w:pStyle w:val="35"/>
        <w:ind w:firstLine="420"/>
        <w:jc w:val="center"/>
        <w:rPr>
          <w:rFonts w:ascii="Times New Roman"/>
        </w:rPr>
      </w:pPr>
      <w:r>
        <w:rPr>
          <w:rFonts w:hint="eastAsia" w:ascii="Times New Roman"/>
        </w:rPr>
        <w:t xml:space="preserve">表1 各元素的分析线                   </w:t>
      </w:r>
    </w:p>
    <w:tbl>
      <w:tblPr>
        <w:tblStyle w:val="26"/>
        <w:tblW w:w="7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9"/>
        <w:gridCol w:w="1418"/>
        <w:gridCol w:w="1418"/>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3309" w:type="dxa"/>
            <w:shd w:val="clear" w:color="auto" w:fill="auto"/>
            <w:vAlign w:val="center"/>
          </w:tcPr>
          <w:p>
            <w:pPr>
              <w:jc w:val="center"/>
              <w:rPr>
                <w:rFonts w:ascii="宋体"/>
                <w:sz w:val="18"/>
              </w:rPr>
            </w:pPr>
            <w:r>
              <w:rPr>
                <w:rFonts w:hint="eastAsia" w:ascii="宋体"/>
                <w:sz w:val="18"/>
              </w:rPr>
              <w:t>元素</w:t>
            </w:r>
          </w:p>
        </w:tc>
        <w:tc>
          <w:tcPr>
            <w:tcW w:w="1418" w:type="dxa"/>
            <w:vAlign w:val="center"/>
          </w:tcPr>
          <w:p>
            <w:pPr>
              <w:jc w:val="center"/>
              <w:rPr>
                <w:sz w:val="18"/>
              </w:rPr>
            </w:pPr>
            <w:r>
              <w:rPr>
                <w:rFonts w:hint="eastAsia"/>
                <w:sz w:val="18"/>
              </w:rPr>
              <w:t>Zn</w:t>
            </w:r>
          </w:p>
        </w:tc>
        <w:tc>
          <w:tcPr>
            <w:tcW w:w="1418" w:type="dxa"/>
            <w:vAlign w:val="center"/>
          </w:tcPr>
          <w:p>
            <w:pPr>
              <w:jc w:val="center"/>
              <w:rPr>
                <w:sz w:val="18"/>
              </w:rPr>
            </w:pPr>
            <w:r>
              <w:rPr>
                <w:rFonts w:hint="eastAsia"/>
                <w:sz w:val="18"/>
              </w:rPr>
              <w:t>Cd</w:t>
            </w:r>
          </w:p>
        </w:tc>
        <w:tc>
          <w:tcPr>
            <w:tcW w:w="1418" w:type="dxa"/>
            <w:shd w:val="clear" w:color="auto" w:fill="auto"/>
            <w:vAlign w:val="center"/>
          </w:tcPr>
          <w:p>
            <w:pPr>
              <w:jc w:val="center"/>
              <w:rPr>
                <w:sz w:val="18"/>
              </w:rPr>
            </w:pPr>
            <w:r>
              <w:rPr>
                <w:rFonts w:hint="eastAsia"/>
                <w:sz w:val="18"/>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3309" w:type="dxa"/>
            <w:shd w:val="clear" w:color="auto" w:fill="auto"/>
            <w:vAlign w:val="center"/>
          </w:tcPr>
          <w:p>
            <w:pPr>
              <w:jc w:val="center"/>
              <w:rPr>
                <w:rFonts w:ascii="宋体"/>
                <w:sz w:val="18"/>
              </w:rPr>
            </w:pPr>
            <w:r>
              <w:rPr>
                <w:rFonts w:hint="eastAsia" w:ascii="宋体" w:hAnsi="宋体"/>
                <w:sz w:val="18"/>
                <w:szCs w:val="21"/>
              </w:rPr>
              <w:t>波长/</w:t>
            </w:r>
            <w:r>
              <w:rPr>
                <w:rFonts w:hint="eastAsia"/>
                <w:sz w:val="18"/>
              </w:rPr>
              <w:t>nm</w:t>
            </w:r>
          </w:p>
        </w:tc>
        <w:tc>
          <w:tcPr>
            <w:tcW w:w="1418" w:type="dxa"/>
            <w:vAlign w:val="center"/>
          </w:tcPr>
          <w:p>
            <w:pPr>
              <w:jc w:val="center"/>
              <w:rPr>
                <w:sz w:val="18"/>
              </w:rPr>
            </w:pPr>
            <w:r>
              <w:rPr>
                <w:rFonts w:hint="eastAsia"/>
                <w:sz w:val="18"/>
              </w:rPr>
              <w:t>213.856</w:t>
            </w:r>
          </w:p>
        </w:tc>
        <w:tc>
          <w:tcPr>
            <w:tcW w:w="1418" w:type="dxa"/>
            <w:vAlign w:val="center"/>
          </w:tcPr>
          <w:p>
            <w:pPr>
              <w:jc w:val="center"/>
              <w:rPr>
                <w:sz w:val="18"/>
              </w:rPr>
            </w:pPr>
            <w:r>
              <w:rPr>
                <w:sz w:val="18"/>
              </w:rPr>
              <w:t>214.438</w:t>
            </w:r>
          </w:p>
        </w:tc>
        <w:tc>
          <w:tcPr>
            <w:tcW w:w="1418" w:type="dxa"/>
            <w:shd w:val="clear" w:color="auto" w:fill="auto"/>
            <w:vAlign w:val="center"/>
          </w:tcPr>
          <w:p>
            <w:pPr>
              <w:jc w:val="center"/>
              <w:rPr>
                <w:sz w:val="18"/>
              </w:rPr>
            </w:pPr>
            <w:r>
              <w:rPr>
                <w:sz w:val="18"/>
              </w:rPr>
              <w:t>360.074</w:t>
            </w:r>
          </w:p>
        </w:tc>
      </w:tr>
    </w:tbl>
    <w:p>
      <w:pPr>
        <w:spacing w:line="400" w:lineRule="exact"/>
        <w:rPr>
          <w:rFonts w:ascii="黑体" w:hAnsi="黑体" w:eastAsia="黑体"/>
        </w:rPr>
      </w:pPr>
      <w:r>
        <w:rPr>
          <w:rFonts w:hint="eastAsia" w:ascii="黑体" w:hAnsi="黑体" w:eastAsia="黑体"/>
        </w:rPr>
        <w:t>7  样品</w:t>
      </w:r>
    </w:p>
    <w:p>
      <w:pPr>
        <w:spacing w:line="400" w:lineRule="exact"/>
      </w:pPr>
      <w:r>
        <w:rPr>
          <w:rFonts w:hint="eastAsia"/>
        </w:rPr>
        <w:t>7.1  试样粒度应不大于</w:t>
      </w:r>
      <w:r>
        <w:t>0.082 mm</w:t>
      </w:r>
      <w:r>
        <w:rPr>
          <w:rFonts w:hint="eastAsia"/>
        </w:rPr>
        <w:t>。</w:t>
      </w:r>
    </w:p>
    <w:p>
      <w:pPr>
        <w:spacing w:line="400" w:lineRule="exact"/>
      </w:pPr>
      <w:r>
        <w:t>7</w:t>
      </w:r>
      <w:r>
        <w:rPr>
          <w:rFonts w:hint="eastAsia"/>
        </w:rPr>
        <w:t>.2  试样经</w:t>
      </w:r>
      <w:r>
        <w:t>10</w:t>
      </w:r>
      <w:r>
        <w:rPr>
          <w:rFonts w:hint="eastAsia"/>
        </w:rPr>
        <w:t xml:space="preserve">5 </w:t>
      </w:r>
      <w:r>
        <w:t>℃</w:t>
      </w:r>
      <w:r>
        <w:rPr>
          <w:rFonts w:hint="eastAsia"/>
        </w:rPr>
        <w:t xml:space="preserve">±5 </w:t>
      </w:r>
      <w:r>
        <w:t>℃</w:t>
      </w:r>
      <w:r>
        <w:rPr>
          <w:rFonts w:hint="eastAsia"/>
        </w:rPr>
        <w:t xml:space="preserve">干燥 </w:t>
      </w:r>
      <w:r>
        <w:t>1</w:t>
      </w:r>
      <w:r>
        <w:rPr>
          <w:rFonts w:hint="eastAsia"/>
        </w:rPr>
        <w:t xml:space="preserve"> </w:t>
      </w:r>
      <w:r>
        <w:t>h</w:t>
      </w:r>
      <w:r>
        <w:rPr>
          <w:rFonts w:hint="eastAsia"/>
        </w:rPr>
        <w:t>，置于干燥器中冷却至室温。</w:t>
      </w:r>
    </w:p>
    <w:p>
      <w:pPr>
        <w:spacing w:line="400" w:lineRule="exact"/>
        <w:rPr>
          <w:rFonts w:ascii="黑体" w:hAnsi="黑体" w:eastAsia="黑体"/>
        </w:rPr>
      </w:pPr>
      <w:r>
        <w:rPr>
          <w:rFonts w:hint="eastAsia" w:ascii="黑体" w:hAnsi="黑体" w:eastAsia="黑体"/>
        </w:rPr>
        <w:t>8  试验步骤</w:t>
      </w:r>
    </w:p>
    <w:p>
      <w:pPr>
        <w:spacing w:line="400" w:lineRule="exact"/>
        <w:rPr>
          <w:rFonts w:ascii="黑体" w:hAnsi="黑体" w:eastAsia="黑体"/>
        </w:rPr>
      </w:pPr>
      <w:r>
        <w:rPr>
          <w:rFonts w:hint="eastAsia" w:ascii="黑体" w:hAnsi="黑体" w:eastAsia="黑体"/>
        </w:rPr>
        <w:t xml:space="preserve">8.1  </w:t>
      </w:r>
      <w:r>
        <w:rPr>
          <w:rFonts w:hint="eastAsia"/>
        </w:rPr>
        <w:t>试料</w:t>
      </w:r>
    </w:p>
    <w:p>
      <w:pPr>
        <w:spacing w:line="400" w:lineRule="exact"/>
      </w:pPr>
      <w:r>
        <w:rPr>
          <w:rFonts w:hint="eastAsia"/>
        </w:rPr>
        <w:t>称取</w:t>
      </w:r>
      <w:r>
        <w:t>0.40 g</w:t>
      </w:r>
      <w:r>
        <w:rPr>
          <w:rFonts w:hint="eastAsia"/>
        </w:rPr>
        <w:t>试样，精确至</w:t>
      </w:r>
      <w:r>
        <w:t>0.000 1</w:t>
      </w:r>
      <w:r>
        <w:rPr>
          <w:rFonts w:hint="eastAsia"/>
        </w:rPr>
        <w:t xml:space="preserve"> </w:t>
      </w:r>
      <w:r>
        <w:t>g</w:t>
      </w:r>
      <w:r>
        <w:rPr>
          <w:rFonts w:hint="eastAsia"/>
        </w:rPr>
        <w:t>。</w:t>
      </w:r>
    </w:p>
    <w:p>
      <w:pPr>
        <w:spacing w:line="400" w:lineRule="exact"/>
        <w:rPr>
          <w:rFonts w:ascii="黑体" w:hAnsi="黑体" w:eastAsia="黑体"/>
        </w:rPr>
      </w:pPr>
      <w:r>
        <w:rPr>
          <w:rFonts w:hint="eastAsia" w:ascii="黑体" w:hAnsi="黑体" w:eastAsia="黑体"/>
        </w:rPr>
        <w:t>8.2  平行试验</w:t>
      </w:r>
    </w:p>
    <w:p>
      <w:pPr>
        <w:spacing w:line="400" w:lineRule="exact"/>
      </w:pPr>
      <w:r>
        <w:rPr>
          <w:rFonts w:hint="eastAsia"/>
        </w:rPr>
        <w:t>独立地</w:t>
      </w:r>
      <w:r>
        <w:t>进行</w:t>
      </w:r>
      <w:r>
        <w:rPr>
          <w:rFonts w:hint="eastAsia"/>
        </w:rPr>
        <w:t>两次</w:t>
      </w:r>
      <w:r>
        <w:t>测定，取其平均值。</w:t>
      </w:r>
    </w:p>
    <w:p>
      <w:pPr>
        <w:spacing w:line="400" w:lineRule="exact"/>
        <w:rPr>
          <w:rFonts w:ascii="黑体" w:hAnsi="黑体" w:eastAsia="黑体"/>
        </w:rPr>
      </w:pPr>
      <w:r>
        <w:rPr>
          <w:rFonts w:hint="eastAsia" w:ascii="黑体" w:hAnsi="黑体" w:eastAsia="黑体"/>
        </w:rPr>
        <w:t>8.3  空白试验</w:t>
      </w:r>
    </w:p>
    <w:p>
      <w:pPr>
        <w:spacing w:line="400" w:lineRule="exact"/>
      </w:pPr>
      <w:r>
        <w:rPr>
          <w:rFonts w:hint="eastAsia"/>
        </w:rPr>
        <w:t xml:space="preserve">    随同试料做空白试验。</w:t>
      </w:r>
    </w:p>
    <w:p>
      <w:pPr>
        <w:spacing w:line="400" w:lineRule="exact"/>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 xml:space="preserve">.4  </w:t>
      </w:r>
      <w:r>
        <w:rPr>
          <w:rFonts w:hint="eastAsia"/>
        </w:rPr>
        <w:t>测定</w:t>
      </w:r>
    </w:p>
    <w:p>
      <w:pPr>
        <w:spacing w:line="400" w:lineRule="exact"/>
      </w:pPr>
      <w:r>
        <w:t>8</w:t>
      </w:r>
      <w:r>
        <w:rPr>
          <w:rFonts w:hint="eastAsia"/>
        </w:rPr>
        <w:t>.4.1 将试料（</w:t>
      </w:r>
      <w:r>
        <w:t>8.1</w:t>
      </w:r>
      <w:r>
        <w:rPr>
          <w:rFonts w:hint="eastAsia"/>
        </w:rPr>
        <w:t>）置于</w:t>
      </w:r>
      <w:r>
        <w:t>250 mL</w:t>
      </w:r>
      <w:r>
        <w:rPr>
          <w:rFonts w:hint="eastAsia"/>
        </w:rPr>
        <w:t>烧杯中，少许水润湿试料，加入5</w:t>
      </w:r>
      <w:r>
        <w:t>mL</w:t>
      </w:r>
      <w:r>
        <w:rPr>
          <w:rFonts w:hint="eastAsia"/>
        </w:rPr>
        <w:t>硝酸（</w:t>
      </w:r>
      <w:r>
        <w:t>5.3</w:t>
      </w:r>
      <w:r>
        <w:rPr>
          <w:rFonts w:hint="eastAsia"/>
        </w:rPr>
        <w:t>）、15</w:t>
      </w:r>
      <w:r>
        <w:t>mL</w:t>
      </w:r>
      <w:r>
        <w:rPr>
          <w:rFonts w:hint="eastAsia"/>
        </w:rPr>
        <w:t>盐酸（</w:t>
      </w:r>
      <w:r>
        <w:t>5.1</w:t>
      </w:r>
      <w:r>
        <w:rPr>
          <w:rFonts w:hint="eastAsia"/>
        </w:rPr>
        <w:t>），盖上表面皿，低温加热至完全溶解，取下，冷却至室温，用盐酸（5.2）冲洗表面皿，将试液转移入</w:t>
      </w:r>
      <w:r>
        <w:t>已预先烘干称重的</w:t>
      </w:r>
      <w:r>
        <w:rPr>
          <w:rFonts w:hint="eastAsia"/>
        </w:rPr>
        <w:t>1</w:t>
      </w:r>
      <w:r>
        <w:t>00</w:t>
      </w:r>
      <w:r>
        <w:rPr>
          <w:rFonts w:hint="eastAsia"/>
        </w:rPr>
        <w:t xml:space="preserve"> </w:t>
      </w:r>
      <w:r>
        <w:t>mL</w:t>
      </w:r>
      <w:r>
        <w:rPr>
          <w:rFonts w:hint="eastAsia"/>
        </w:rPr>
        <w:t>容量瓶（m</w:t>
      </w:r>
      <w:r>
        <w:rPr>
          <w:rFonts w:hint="eastAsia"/>
          <w:vertAlign w:val="subscript"/>
        </w:rPr>
        <w:t>5</w:t>
      </w:r>
      <w:r>
        <w:t>）</w:t>
      </w:r>
      <w:r>
        <w:rPr>
          <w:rFonts w:hint="eastAsia"/>
        </w:rPr>
        <w:t>中，用盐酸（3.2）稀释至刻度，称取质量（m</w:t>
      </w:r>
      <w:r>
        <w:rPr>
          <w:rFonts w:hint="eastAsia"/>
          <w:vertAlign w:val="subscript"/>
        </w:rPr>
        <w:t>6</w:t>
      </w:r>
      <w:r>
        <w:rPr>
          <w:rFonts w:hint="eastAsia"/>
        </w:rPr>
        <w:t>），混匀。</w:t>
      </w:r>
    </w:p>
    <w:p>
      <w:pPr>
        <w:spacing w:line="400" w:lineRule="exact"/>
      </w:pPr>
      <w:r>
        <w:t>8</w:t>
      </w:r>
      <w:r>
        <w:rPr>
          <w:rFonts w:hint="eastAsia"/>
        </w:rPr>
        <w:t>.4.2</w:t>
      </w:r>
      <w:r>
        <w:t xml:space="preserve"> </w:t>
      </w:r>
      <w:r>
        <w:rPr>
          <w:rFonts w:hint="eastAsia"/>
        </w:rPr>
        <w:t>按照下表2移取上述试液于已预先烘干称重的</w:t>
      </w:r>
      <w:r>
        <w:t>100 mL</w:t>
      </w:r>
      <w:r>
        <w:rPr>
          <w:rFonts w:hint="eastAsia"/>
        </w:rPr>
        <w:t>容量瓶（m</w:t>
      </w:r>
      <w:r>
        <w:rPr>
          <w:rFonts w:hint="eastAsia"/>
          <w:vertAlign w:val="subscript"/>
        </w:rPr>
        <w:t>7</w:t>
      </w:r>
      <w:r>
        <w:t>）</w:t>
      </w:r>
      <w:r>
        <w:rPr>
          <w:rFonts w:hint="eastAsia"/>
        </w:rPr>
        <w:t>中,称取移取的溶液质量（m</w:t>
      </w:r>
      <w:r>
        <w:rPr>
          <w:rFonts w:hint="eastAsia"/>
          <w:vertAlign w:val="subscript"/>
        </w:rPr>
        <w:t>8</w:t>
      </w:r>
      <w:r>
        <w:rPr>
          <w:rFonts w:hint="eastAsia"/>
        </w:rPr>
        <w:t>）,加入</w:t>
      </w:r>
      <w:r>
        <w:t>10.00 mL</w:t>
      </w:r>
      <w:r>
        <w:rPr>
          <w:rFonts w:hint="eastAsia"/>
        </w:rPr>
        <w:t>钇标准溶液（</w:t>
      </w:r>
      <w:r>
        <w:t>5.</w:t>
      </w:r>
      <w:r>
        <w:rPr>
          <w:rFonts w:hint="eastAsia"/>
        </w:rPr>
        <w:t>6），用盐酸（5.2）稀释至刻度，称取质量(m</w:t>
      </w:r>
      <w:r>
        <w:rPr>
          <w:rFonts w:hint="eastAsia"/>
          <w:vertAlign w:val="subscript"/>
        </w:rPr>
        <w:t>9</w:t>
      </w:r>
      <w:r>
        <w:t>)</w:t>
      </w:r>
      <w:r>
        <w:rPr>
          <w:rFonts w:hint="eastAsia"/>
        </w:rPr>
        <w:t>，混匀待</w:t>
      </w:r>
      <w:r>
        <w:t>测</w:t>
      </w:r>
      <w:r>
        <w:rPr>
          <w:rFonts w:hint="eastAsia"/>
        </w:rPr>
        <w:t>。</w:t>
      </w:r>
    </w:p>
    <w:p>
      <w:pPr>
        <w:widowControl/>
        <w:autoSpaceDE w:val="0"/>
        <w:autoSpaceDN w:val="0"/>
        <w:rPr>
          <w:rFonts w:ascii="宋体"/>
          <w:kern w:val="0"/>
          <w:szCs w:val="20"/>
        </w:rPr>
      </w:pPr>
      <w:r>
        <w:rPr>
          <w:rFonts w:hint="eastAsia" w:ascii="宋体"/>
          <w:kern w:val="0"/>
          <w:szCs w:val="20"/>
        </w:rPr>
        <w:t xml:space="preserve">                 </w:t>
      </w:r>
      <w:r>
        <w:rPr>
          <w:rFonts w:ascii="宋体"/>
          <w:kern w:val="0"/>
          <w:szCs w:val="20"/>
        </w:rPr>
        <w:t xml:space="preserve">          </w:t>
      </w:r>
    </w:p>
    <w:p>
      <w:pPr>
        <w:widowControl/>
        <w:autoSpaceDE w:val="0"/>
        <w:autoSpaceDN w:val="0"/>
        <w:ind w:firstLine="3045" w:firstLineChars="1450"/>
        <w:rPr>
          <w:rFonts w:ascii="宋体"/>
          <w:kern w:val="0"/>
          <w:szCs w:val="20"/>
        </w:rPr>
      </w:pPr>
      <w:r>
        <w:rPr>
          <w:rFonts w:ascii="宋体"/>
          <w:kern w:val="0"/>
          <w:szCs w:val="20"/>
        </w:rPr>
        <w:t xml:space="preserve"> </w:t>
      </w:r>
      <w:r>
        <w:rPr>
          <w:rFonts w:hint="eastAsia" w:ascii="宋体"/>
          <w:kern w:val="0"/>
          <w:szCs w:val="20"/>
        </w:rPr>
        <w:t>表2 分取的溶液体积</w:t>
      </w:r>
    </w:p>
    <w:p>
      <w:pPr>
        <w:widowControl/>
        <w:autoSpaceDE w:val="0"/>
        <w:autoSpaceDN w:val="0"/>
        <w:rPr>
          <w:rFonts w:ascii="宋体"/>
          <w:kern w:val="0"/>
          <w:szCs w:val="20"/>
        </w:rPr>
      </w:pPr>
      <w:r>
        <w:rPr>
          <w:rFonts w:hint="eastAsia" w:ascii="宋体"/>
          <w:kern w:val="0"/>
          <w:szCs w:val="20"/>
        </w:rPr>
        <w:t xml:space="preserve"> </w:t>
      </w:r>
    </w:p>
    <w:tbl>
      <w:tblPr>
        <w:tblStyle w:val="27"/>
        <w:tblW w:w="0" w:type="auto"/>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1446"/>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widowControl/>
              <w:autoSpaceDE w:val="0"/>
              <w:autoSpaceDN w:val="0"/>
              <w:jc w:val="center"/>
              <w:rPr>
                <w:rFonts w:ascii="宋体" w:hAnsi="Times New Roman" w:eastAsia="宋体" w:cs="Times New Roman"/>
                <w:kern w:val="0"/>
                <w:szCs w:val="20"/>
              </w:rPr>
            </w:pPr>
            <w:r>
              <w:rPr>
                <w:rFonts w:hint="eastAsia" w:ascii="宋体" w:hAnsi="Times New Roman" w:eastAsia="宋体" w:cs="Times New Roman"/>
                <w:kern w:val="0"/>
                <w:szCs w:val="20"/>
              </w:rPr>
              <w:t>样品中的锌含量（%）</w:t>
            </w:r>
          </w:p>
        </w:tc>
        <w:tc>
          <w:tcPr>
            <w:tcW w:w="1446" w:type="dxa"/>
            <w:vAlign w:val="center"/>
          </w:tcPr>
          <w:p>
            <w:pPr>
              <w:widowControl/>
              <w:autoSpaceDE w:val="0"/>
              <w:autoSpaceDN w:val="0"/>
              <w:rPr>
                <w:rFonts w:ascii="宋体" w:hAnsi="Times New Roman" w:eastAsia="宋体" w:cs="Times New Roman"/>
                <w:kern w:val="0"/>
                <w:szCs w:val="20"/>
              </w:rPr>
            </w:pPr>
            <w:r>
              <w:rPr>
                <w:rFonts w:hint="eastAsia" w:ascii="宋体" w:hAnsi="Times New Roman" w:eastAsia="宋体" w:cs="Times New Roman"/>
                <w:kern w:val="0"/>
                <w:szCs w:val="20"/>
              </w:rPr>
              <w:t>移取的溶液体积（mL）</w:t>
            </w:r>
          </w:p>
        </w:tc>
        <w:tc>
          <w:tcPr>
            <w:tcW w:w="2126" w:type="dxa"/>
            <w:vAlign w:val="center"/>
          </w:tcPr>
          <w:p>
            <w:pPr>
              <w:widowControl/>
              <w:autoSpaceDE w:val="0"/>
              <w:autoSpaceDN w:val="0"/>
              <w:jc w:val="center"/>
              <w:rPr>
                <w:rFonts w:ascii="宋体" w:hAnsi="Times New Roman" w:eastAsia="宋体" w:cs="Times New Roman"/>
                <w:kern w:val="0"/>
                <w:szCs w:val="20"/>
              </w:rPr>
            </w:pPr>
            <w:r>
              <w:rPr>
                <w:rFonts w:hint="eastAsia" w:ascii="宋体" w:hAnsi="Times New Roman" w:eastAsia="宋体" w:cs="Times New Roman"/>
                <w:kern w:val="0"/>
                <w:szCs w:val="20"/>
              </w:rPr>
              <w:t>样品中的镉含量（%）</w:t>
            </w:r>
          </w:p>
        </w:tc>
        <w:tc>
          <w:tcPr>
            <w:tcW w:w="1843" w:type="dxa"/>
            <w:vAlign w:val="center"/>
          </w:tcPr>
          <w:p>
            <w:pPr>
              <w:widowControl/>
              <w:autoSpaceDE w:val="0"/>
              <w:autoSpaceDN w:val="0"/>
              <w:ind w:left="210" w:hanging="210" w:hangingChars="100"/>
              <w:jc w:val="center"/>
              <w:rPr>
                <w:rFonts w:ascii="宋体" w:hAnsi="Times New Roman" w:eastAsia="宋体" w:cs="Times New Roman"/>
                <w:kern w:val="0"/>
                <w:szCs w:val="20"/>
              </w:rPr>
            </w:pPr>
            <w:r>
              <w:rPr>
                <w:rFonts w:hint="eastAsia" w:ascii="宋体" w:hAnsi="Times New Roman" w:eastAsia="宋体" w:cs="Times New Roman"/>
                <w:kern w:val="0"/>
                <w:szCs w:val="20"/>
              </w:rPr>
              <w:t>移取的溶液体积（m</w:t>
            </w:r>
            <w:r>
              <w:rPr>
                <w:rFonts w:ascii="宋体" w:hAnsi="Times New Roman" w:eastAsia="宋体" w:cs="Times New Roman"/>
                <w:kern w:val="0"/>
                <w:szCs w:val="20"/>
              </w:rPr>
              <w:t>L</w:t>
            </w:r>
            <w:r>
              <w:rPr>
                <w:rFonts w:hint="eastAsia" w:ascii="宋体" w:hAnsi="Times New Roman" w:eastAsia="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widowControl/>
              <w:autoSpaceDE w:val="0"/>
              <w:autoSpaceDN w:val="0"/>
              <w:ind w:firstLine="210" w:firstLineChars="100"/>
              <w:jc w:val="center"/>
              <w:rPr>
                <w:rFonts w:ascii="宋体" w:hAnsi="Times New Roman" w:eastAsia="宋体" w:cs="Times New Roman"/>
                <w:kern w:val="0"/>
                <w:szCs w:val="20"/>
              </w:rPr>
            </w:pPr>
            <w:r>
              <w:rPr>
                <w:rFonts w:hint="eastAsia" w:ascii="宋体" w:hAnsi="宋体" w:eastAsia="宋体" w:cs="Times New Roman"/>
                <w:kern w:val="0"/>
                <w:szCs w:val="20"/>
              </w:rPr>
              <w:t>1～</w:t>
            </w:r>
            <w:r>
              <w:rPr>
                <w:rFonts w:ascii="宋体" w:hAnsi="宋体" w:eastAsia="宋体" w:cs="Times New Roman"/>
                <w:kern w:val="0"/>
                <w:szCs w:val="20"/>
              </w:rPr>
              <w:t>4</w:t>
            </w:r>
          </w:p>
        </w:tc>
        <w:tc>
          <w:tcPr>
            <w:tcW w:w="1446" w:type="dxa"/>
            <w:vAlign w:val="center"/>
          </w:tcPr>
          <w:p>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10</w:t>
            </w:r>
          </w:p>
        </w:tc>
        <w:tc>
          <w:tcPr>
            <w:tcW w:w="2126" w:type="dxa"/>
            <w:vAlign w:val="center"/>
          </w:tcPr>
          <w:p>
            <w:pPr>
              <w:widowControl/>
              <w:autoSpaceDE w:val="0"/>
              <w:autoSpaceDN w:val="0"/>
              <w:jc w:val="center"/>
              <w:rPr>
                <w:rFonts w:ascii="宋体" w:hAnsi="Times New Roman" w:eastAsia="宋体" w:cs="Times New Roman"/>
                <w:kern w:val="0"/>
                <w:szCs w:val="20"/>
              </w:rPr>
            </w:pPr>
            <w:r>
              <w:rPr>
                <w:rFonts w:hint="eastAsia" w:ascii="宋体" w:hAnsi="Times New Roman" w:eastAsia="宋体" w:cs="Times New Roman"/>
                <w:kern w:val="0"/>
                <w:szCs w:val="20"/>
              </w:rPr>
              <w:t>10</w:t>
            </w:r>
            <w:r>
              <w:rPr>
                <w:rFonts w:hint="eastAsia" w:ascii="宋体" w:hAnsi="宋体" w:eastAsia="宋体" w:cs="Times New Roman"/>
                <w:kern w:val="0"/>
                <w:szCs w:val="20"/>
              </w:rPr>
              <w:t>～</w:t>
            </w:r>
            <w:r>
              <w:rPr>
                <w:rFonts w:ascii="宋体" w:hAnsi="Times New Roman" w:eastAsia="宋体" w:cs="Times New Roman"/>
                <w:kern w:val="0"/>
                <w:szCs w:val="20"/>
              </w:rPr>
              <w:t>50</w:t>
            </w:r>
          </w:p>
        </w:tc>
        <w:tc>
          <w:tcPr>
            <w:tcW w:w="1843" w:type="dxa"/>
            <w:vAlign w:val="center"/>
          </w:tcPr>
          <w:p>
            <w:pPr>
              <w:widowControl/>
              <w:autoSpaceDE w:val="0"/>
              <w:autoSpaceDN w:val="0"/>
              <w:ind w:firstLine="630" w:firstLineChars="300"/>
              <w:jc w:val="center"/>
              <w:rPr>
                <w:rFonts w:ascii="宋体" w:hAnsi="Times New Roman" w:eastAsia="宋体" w:cs="Times New Roman"/>
                <w:kern w:val="0"/>
                <w:szCs w:val="20"/>
              </w:rPr>
            </w:pPr>
            <w:r>
              <w:rPr>
                <w:rFonts w:hint="eastAsia" w:ascii="宋体" w:hAnsi="Times New Roman" w:eastAsia="宋体" w:cs="Times New Roman"/>
                <w:kern w:val="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widowControl/>
              <w:autoSpaceDE w:val="0"/>
              <w:autoSpaceDN w:val="0"/>
              <w:ind w:firstLine="210" w:firstLineChars="100"/>
              <w:jc w:val="center"/>
              <w:rPr>
                <w:rFonts w:ascii="宋体" w:hAnsi="Times New Roman" w:eastAsia="宋体" w:cs="Times New Roman"/>
                <w:kern w:val="0"/>
                <w:szCs w:val="20"/>
              </w:rPr>
            </w:pPr>
            <w:r>
              <w:rPr>
                <w:rFonts w:hint="eastAsia" w:ascii="宋体" w:hAnsi="Times New Roman" w:eastAsia="宋体" w:cs="Times New Roman"/>
                <w:kern w:val="0"/>
                <w:szCs w:val="20"/>
              </w:rPr>
              <w:t>4</w:t>
            </w:r>
            <w:r>
              <w:rPr>
                <w:rFonts w:hint="eastAsia" w:ascii="宋体" w:hAnsi="宋体" w:eastAsia="宋体" w:cs="Times New Roman"/>
                <w:kern w:val="0"/>
                <w:szCs w:val="20"/>
              </w:rPr>
              <w:t>～</w:t>
            </w:r>
            <w:r>
              <w:rPr>
                <w:rFonts w:ascii="宋体" w:hAnsi="Times New Roman" w:eastAsia="宋体" w:cs="Times New Roman"/>
                <w:kern w:val="0"/>
                <w:szCs w:val="20"/>
              </w:rPr>
              <w:t>10</w:t>
            </w:r>
          </w:p>
        </w:tc>
        <w:tc>
          <w:tcPr>
            <w:tcW w:w="1446" w:type="dxa"/>
            <w:vAlign w:val="center"/>
          </w:tcPr>
          <w:p>
            <w:pPr>
              <w:widowControl/>
              <w:autoSpaceDE w:val="0"/>
              <w:autoSpaceDN w:val="0"/>
              <w:ind w:firstLine="525" w:firstLineChars="250"/>
              <w:rPr>
                <w:rFonts w:ascii="宋体" w:hAnsi="Times New Roman" w:eastAsia="宋体" w:cs="Times New Roman"/>
                <w:kern w:val="0"/>
                <w:szCs w:val="20"/>
              </w:rPr>
            </w:pPr>
            <w:r>
              <w:rPr>
                <w:rFonts w:hint="eastAsia" w:ascii="宋体" w:hAnsi="Times New Roman" w:eastAsia="宋体" w:cs="Times New Roman"/>
                <w:kern w:val="0"/>
                <w:szCs w:val="20"/>
              </w:rPr>
              <w:t>5</w:t>
            </w:r>
          </w:p>
        </w:tc>
        <w:tc>
          <w:tcPr>
            <w:tcW w:w="2126" w:type="dxa"/>
            <w:vAlign w:val="center"/>
          </w:tcPr>
          <w:p>
            <w:pPr>
              <w:widowControl/>
              <w:autoSpaceDE w:val="0"/>
              <w:autoSpaceDN w:val="0"/>
              <w:jc w:val="center"/>
              <w:rPr>
                <w:rFonts w:ascii="宋体" w:hAnsi="Times New Roman" w:eastAsia="宋体" w:cs="Times New Roman"/>
                <w:kern w:val="0"/>
                <w:szCs w:val="20"/>
              </w:rPr>
            </w:pPr>
            <w:r>
              <w:rPr>
                <w:rFonts w:hint="eastAsia" w:ascii="宋体" w:hAnsi="Times New Roman" w:eastAsia="宋体" w:cs="Times New Roman"/>
                <w:kern w:val="0"/>
                <w:szCs w:val="20"/>
              </w:rPr>
              <w:t>1</w:t>
            </w:r>
            <w:r>
              <w:rPr>
                <w:rFonts w:hint="eastAsia" w:ascii="宋体" w:hAnsi="宋体" w:eastAsia="宋体" w:cs="Times New Roman"/>
                <w:kern w:val="0"/>
                <w:szCs w:val="20"/>
              </w:rPr>
              <w:t>～</w:t>
            </w:r>
            <w:r>
              <w:rPr>
                <w:rFonts w:ascii="宋体" w:hAnsi="Times New Roman" w:eastAsia="宋体" w:cs="Times New Roman"/>
                <w:kern w:val="0"/>
                <w:szCs w:val="20"/>
              </w:rPr>
              <w:t>10</w:t>
            </w:r>
          </w:p>
        </w:tc>
        <w:tc>
          <w:tcPr>
            <w:tcW w:w="1843" w:type="dxa"/>
            <w:vAlign w:val="center"/>
          </w:tcPr>
          <w:p>
            <w:pPr>
              <w:widowControl/>
              <w:autoSpaceDE w:val="0"/>
              <w:autoSpaceDN w:val="0"/>
              <w:jc w:val="center"/>
              <w:rPr>
                <w:rFonts w:ascii="宋体" w:hAnsi="Times New Roman" w:eastAsia="宋体" w:cs="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widowControl/>
              <w:autoSpaceDE w:val="0"/>
              <w:autoSpaceDN w:val="0"/>
              <w:ind w:firstLine="210" w:firstLineChars="100"/>
              <w:jc w:val="center"/>
              <w:rPr>
                <w:rFonts w:ascii="宋体" w:hAnsi="Times New Roman" w:eastAsia="宋体" w:cs="Times New Roman"/>
                <w:kern w:val="0"/>
                <w:szCs w:val="20"/>
              </w:rPr>
            </w:pPr>
            <w:r>
              <w:rPr>
                <w:rFonts w:hint="eastAsia" w:ascii="宋体" w:hAnsi="Times New Roman" w:eastAsia="宋体" w:cs="Times New Roman"/>
                <w:kern w:val="0"/>
                <w:szCs w:val="20"/>
              </w:rPr>
              <w:t>10</w:t>
            </w:r>
            <w:r>
              <w:rPr>
                <w:rFonts w:hint="eastAsia" w:ascii="宋体" w:hAnsi="宋体" w:eastAsia="宋体" w:cs="Times New Roman"/>
                <w:kern w:val="0"/>
                <w:szCs w:val="20"/>
              </w:rPr>
              <w:t>～</w:t>
            </w:r>
            <w:r>
              <w:rPr>
                <w:rFonts w:ascii="宋体" w:hAnsi="Times New Roman" w:eastAsia="宋体" w:cs="Times New Roman"/>
                <w:kern w:val="0"/>
                <w:szCs w:val="20"/>
              </w:rPr>
              <w:t>30</w:t>
            </w:r>
          </w:p>
        </w:tc>
        <w:tc>
          <w:tcPr>
            <w:tcW w:w="1446" w:type="dxa"/>
            <w:vAlign w:val="center"/>
          </w:tcPr>
          <w:p>
            <w:pPr>
              <w:widowControl/>
              <w:autoSpaceDE w:val="0"/>
              <w:autoSpaceDN w:val="0"/>
              <w:ind w:firstLine="525" w:firstLineChars="250"/>
              <w:rPr>
                <w:rFonts w:ascii="宋体" w:hAnsi="Times New Roman" w:eastAsia="宋体" w:cs="Times New Roman"/>
                <w:kern w:val="0"/>
                <w:szCs w:val="20"/>
              </w:rPr>
            </w:pPr>
            <w:r>
              <w:rPr>
                <w:rFonts w:hint="eastAsia" w:ascii="宋体" w:hAnsi="Times New Roman" w:eastAsia="宋体" w:cs="Times New Roman"/>
                <w:kern w:val="0"/>
                <w:szCs w:val="20"/>
              </w:rPr>
              <w:t>2</w:t>
            </w:r>
          </w:p>
        </w:tc>
        <w:tc>
          <w:tcPr>
            <w:tcW w:w="2126" w:type="dxa"/>
            <w:vAlign w:val="center"/>
          </w:tcPr>
          <w:p>
            <w:pPr>
              <w:widowControl/>
              <w:autoSpaceDE w:val="0"/>
              <w:autoSpaceDN w:val="0"/>
              <w:jc w:val="center"/>
              <w:rPr>
                <w:rFonts w:ascii="宋体" w:hAnsi="Times New Roman" w:eastAsia="宋体" w:cs="Times New Roman"/>
                <w:kern w:val="0"/>
                <w:szCs w:val="20"/>
              </w:rPr>
            </w:pPr>
          </w:p>
        </w:tc>
        <w:tc>
          <w:tcPr>
            <w:tcW w:w="1843" w:type="dxa"/>
            <w:vAlign w:val="center"/>
          </w:tcPr>
          <w:p>
            <w:pPr>
              <w:widowControl/>
              <w:autoSpaceDE w:val="0"/>
              <w:autoSpaceDN w:val="0"/>
              <w:jc w:val="center"/>
              <w:rPr>
                <w:rFonts w:ascii="宋体" w:hAnsi="Times New Roman" w:eastAsia="宋体" w:cs="Times New Roman"/>
                <w:kern w:val="0"/>
                <w:szCs w:val="20"/>
              </w:rPr>
            </w:pPr>
          </w:p>
        </w:tc>
      </w:tr>
    </w:tbl>
    <w:p>
      <w:pPr>
        <w:widowControl/>
        <w:autoSpaceDE w:val="0"/>
        <w:autoSpaceDN w:val="0"/>
        <w:rPr>
          <w:rFonts w:ascii="宋体"/>
          <w:kern w:val="0"/>
          <w:szCs w:val="20"/>
        </w:rPr>
      </w:pPr>
    </w:p>
    <w:p>
      <w:pPr>
        <w:spacing w:line="400" w:lineRule="exact"/>
      </w:pPr>
      <w:r>
        <w:t>注</w:t>
      </w:r>
      <w:r>
        <w:rPr>
          <w:rFonts w:hint="eastAsia"/>
        </w:rPr>
        <w:t>：</w:t>
      </w:r>
      <w:r>
        <w:t>当根据样品中的镉含量分取的溶液体积和根据样品中的锌含量分取的溶液体积相同时</w:t>
      </w:r>
      <w:r>
        <w:rPr>
          <w:rFonts w:hint="eastAsia"/>
        </w:rPr>
        <w:t>，</w:t>
      </w:r>
      <w:r>
        <w:t>可以分取一份同时检测镉含量和锌含量</w:t>
      </w:r>
      <w:r>
        <w:rPr>
          <w:rFonts w:hint="eastAsia"/>
        </w:rPr>
        <w:t>，</w:t>
      </w:r>
      <w:r>
        <w:t>否则需要分取两份分别测定镉含量和锌含量</w:t>
      </w:r>
      <w:r>
        <w:rPr>
          <w:rFonts w:hint="eastAsia"/>
        </w:rPr>
        <w:t>。</w:t>
      </w:r>
    </w:p>
    <w:p>
      <w:pPr>
        <w:spacing w:line="400" w:lineRule="exact"/>
        <w:rPr>
          <w:rFonts w:ascii="黑体" w:hAnsi="黑体" w:eastAsia="黑体"/>
        </w:rPr>
      </w:pPr>
      <w:r>
        <w:rPr>
          <w:rFonts w:hint="eastAsia" w:ascii="黑体" w:hAnsi="黑体" w:eastAsia="黑体"/>
        </w:rPr>
        <w:t>8.5 标准溶液</w:t>
      </w:r>
    </w:p>
    <w:p>
      <w:pPr>
        <w:spacing w:line="400" w:lineRule="exact"/>
      </w:pPr>
      <w:r>
        <w:t>8</w:t>
      </w:r>
      <w:r>
        <w:rPr>
          <w:rFonts w:hint="eastAsia"/>
        </w:rPr>
        <w:t>.5.1 分别</w:t>
      </w:r>
      <w:r>
        <w:t>移取</w:t>
      </w:r>
      <w:r>
        <w:rPr>
          <w:rFonts w:hint="eastAsia"/>
        </w:rPr>
        <w:t>0mL、1.0m</w:t>
      </w:r>
      <w:r>
        <w:t>L</w:t>
      </w:r>
      <w:r>
        <w:rPr>
          <w:rFonts w:hint="eastAsia"/>
        </w:rPr>
        <w:t>、5.0</w:t>
      </w:r>
      <w:r>
        <w:t>mL</w:t>
      </w:r>
      <w:r>
        <w:rPr>
          <w:rFonts w:hint="eastAsia"/>
        </w:rPr>
        <w:t>、10.0mL锌</w:t>
      </w:r>
      <w:r>
        <w:t>标准溶液（</w:t>
      </w:r>
      <w:r>
        <w:rPr>
          <w:rFonts w:hint="eastAsia"/>
        </w:rPr>
        <w:t>5.4</w:t>
      </w:r>
      <w:r>
        <w:t>）</w:t>
      </w:r>
      <w:r>
        <w:rPr>
          <w:rFonts w:hint="eastAsia"/>
        </w:rPr>
        <w:t>于4个已</w:t>
      </w:r>
      <w:r>
        <w:t>预先烘干称重的100mL容量瓶中，</w:t>
      </w:r>
      <w:r>
        <w:rPr>
          <w:rFonts w:hint="eastAsia"/>
        </w:rPr>
        <w:t>称</w:t>
      </w:r>
      <w:r>
        <w:t>重</w:t>
      </w:r>
      <w:r>
        <w:rPr>
          <w:rFonts w:hint="eastAsia"/>
        </w:rPr>
        <w:t>。</w:t>
      </w:r>
      <w:r>
        <w:t>然后再</w:t>
      </w:r>
      <w:r>
        <w:rPr>
          <w:rFonts w:hint="eastAsia"/>
        </w:rPr>
        <w:t>分别</w:t>
      </w:r>
      <w:r>
        <w:t>移取</w:t>
      </w:r>
      <w:r>
        <w:rPr>
          <w:rFonts w:hint="eastAsia"/>
        </w:rPr>
        <w:t>0mL、1.0m</w:t>
      </w:r>
      <w:r>
        <w:t>L</w:t>
      </w:r>
      <w:r>
        <w:rPr>
          <w:rFonts w:hint="eastAsia"/>
        </w:rPr>
        <w:t>、5.0</w:t>
      </w:r>
      <w:r>
        <w:t>mL</w:t>
      </w:r>
      <w:r>
        <w:rPr>
          <w:rFonts w:hint="eastAsia"/>
        </w:rPr>
        <w:t>、10.0mL镉</w:t>
      </w:r>
      <w:r>
        <w:t>标准溶液（</w:t>
      </w:r>
      <w:r>
        <w:rPr>
          <w:rFonts w:hint="eastAsia"/>
        </w:rPr>
        <w:t>5.5</w:t>
      </w:r>
      <w:r>
        <w:t>）</w:t>
      </w:r>
      <w:r>
        <w:rPr>
          <w:rFonts w:hint="eastAsia"/>
        </w:rPr>
        <w:t>于这4个</w:t>
      </w:r>
      <w:r>
        <w:t>容量瓶中，称重。</w:t>
      </w:r>
    </w:p>
    <w:p>
      <w:pPr>
        <w:spacing w:line="400" w:lineRule="exact"/>
      </w:pPr>
      <w:r>
        <w:t>8.5.2 在</w:t>
      </w:r>
      <w:r>
        <w:rPr>
          <w:rFonts w:hint="eastAsia"/>
        </w:rPr>
        <w:t>以上4个</w:t>
      </w:r>
      <w:r>
        <w:t>容量瓶中</w:t>
      </w:r>
      <w:r>
        <w:rPr>
          <w:rFonts w:hint="eastAsia"/>
        </w:rPr>
        <w:t>分别加入</w:t>
      </w:r>
      <w:r>
        <w:t>10.00 mL</w:t>
      </w:r>
      <w:r>
        <w:rPr>
          <w:rFonts w:hint="eastAsia"/>
        </w:rPr>
        <w:t>钇标准溶液（</w:t>
      </w:r>
      <w:r>
        <w:t>5.</w:t>
      </w:r>
      <w:r>
        <w:rPr>
          <w:rFonts w:hint="eastAsia"/>
        </w:rPr>
        <w:t>6），再根据移取的样品中的碲量加入相应体积数的</w:t>
      </w:r>
      <w:r>
        <w:t>碲溶液</w:t>
      </w:r>
      <w:r>
        <w:rPr>
          <w:rFonts w:hint="eastAsia"/>
        </w:rPr>
        <w:t>(5.7</w:t>
      </w:r>
      <w:r>
        <w:t>)</w:t>
      </w:r>
      <w:r>
        <w:rPr>
          <w:rFonts w:hint="eastAsia"/>
        </w:rPr>
        <w:t>，用盐酸（1+10）水稀释至刻度，称取质量，摇匀。</w:t>
      </w:r>
    </w:p>
    <w:p>
      <w:pPr>
        <w:spacing w:line="400" w:lineRule="exact"/>
        <w:rPr>
          <w:rFonts w:ascii="黑体" w:hAnsi="黑体" w:eastAsia="黑体"/>
        </w:rPr>
      </w:pPr>
      <w:r>
        <w:rPr>
          <w:rFonts w:hint="eastAsia" w:ascii="黑体" w:hAnsi="黑体" w:eastAsia="黑体"/>
        </w:rPr>
        <w:t xml:space="preserve">8.6  </w:t>
      </w:r>
      <w:r>
        <w:rPr>
          <w:rFonts w:hint="eastAsia"/>
        </w:rPr>
        <w:t>测定</w:t>
      </w:r>
    </w:p>
    <w:p>
      <w:pPr>
        <w:spacing w:line="400" w:lineRule="exact"/>
      </w:pPr>
      <w:r>
        <w:rPr>
          <w:rFonts w:hint="eastAsia"/>
        </w:rPr>
        <w:t xml:space="preserve">   将空白试验溶液（</w:t>
      </w:r>
      <w:r>
        <w:t>8.3</w:t>
      </w:r>
      <w:r>
        <w:rPr>
          <w:rFonts w:hint="eastAsia"/>
        </w:rPr>
        <w:t>）、分析试液（</w:t>
      </w:r>
      <w:r>
        <w:t>8.4</w:t>
      </w:r>
      <w:r>
        <w:rPr>
          <w:rFonts w:hint="eastAsia"/>
        </w:rPr>
        <w:t>）与标准系列溶液（</w:t>
      </w:r>
      <w:r>
        <w:t>8.5</w:t>
      </w:r>
      <w:r>
        <w:rPr>
          <w:rFonts w:hint="eastAsia"/>
        </w:rPr>
        <w:t>）同时用电感耦合等离子体原子发射光谱仪测定。</w:t>
      </w:r>
    </w:p>
    <w:p>
      <w:pPr>
        <w:spacing w:line="400" w:lineRule="exact"/>
        <w:rPr>
          <w:rFonts w:ascii="黑体" w:hAnsi="黑体" w:eastAsia="黑体"/>
        </w:rPr>
      </w:pPr>
      <w:r>
        <w:rPr>
          <w:rFonts w:hint="eastAsia" w:ascii="黑体" w:hAnsi="黑体" w:eastAsia="黑体"/>
        </w:rPr>
        <w:t>9  分析结果的计算</w:t>
      </w:r>
    </w:p>
    <w:p>
      <w:pPr>
        <w:spacing w:line="400" w:lineRule="exact"/>
        <w:ind w:firstLine="420" w:firstLineChars="200"/>
      </w:pPr>
      <w:r>
        <w:rPr>
          <w:rFonts w:hint="eastAsia"/>
        </w:rPr>
        <w:t>试料中锌</w:t>
      </w:r>
      <w:r>
        <w:t>量</w:t>
      </w:r>
      <w:r>
        <w:rPr>
          <w:rFonts w:hint="eastAsia"/>
        </w:rPr>
        <w:t>、镉量按式（1）进行计算：</w:t>
      </w:r>
    </w:p>
    <w:p>
      <w:pPr>
        <w:autoSpaceDE w:val="0"/>
        <w:autoSpaceDN w:val="0"/>
        <w:adjustRightInd w:val="0"/>
        <w:ind w:firstLine="1260" w:firstLineChars="600"/>
        <w:jc w:val="right"/>
        <w:rPr>
          <w:color w:val="000000"/>
        </w:rPr>
      </w:pPr>
      <w:r>
        <w:rPr>
          <w:rFonts w:ascii="宋体" w:hAnsi="宋体" w:cs="宋体"/>
          <w:color w:val="FF0000"/>
          <w:kern w:val="0"/>
          <w:position w:val="-30"/>
          <w:szCs w:val="21"/>
        </w:rPr>
        <w:object>
          <v:shape id="_x0000_i1025" o:spt="75" type="#_x0000_t75" style="height:36.7pt;width:281.1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color w:val="000000"/>
          <w:sz w:val="24"/>
        </w:rPr>
        <w:t>……………………</w:t>
      </w:r>
      <w:r>
        <w:rPr>
          <w:color w:val="000000"/>
          <w:szCs w:val="21"/>
        </w:rPr>
        <w:t>（</w:t>
      </w:r>
      <w:r>
        <w:rPr>
          <w:rFonts w:hint="eastAsia"/>
          <w:color w:val="000000"/>
          <w:szCs w:val="21"/>
        </w:rPr>
        <w:t>1</w:t>
      </w:r>
      <w:r>
        <w:rPr>
          <w:color w:val="000000"/>
          <w:szCs w:val="21"/>
        </w:rPr>
        <w:t>）</w:t>
      </w:r>
    </w:p>
    <w:p>
      <w:pPr>
        <w:ind w:firstLine="435"/>
        <w:rPr>
          <w:rFonts w:ascii="宋体" w:hAnsi="宋体"/>
          <w:color w:val="000000"/>
          <w:kern w:val="0"/>
        </w:rPr>
      </w:pPr>
      <w:r>
        <w:rPr>
          <w:rFonts w:hint="eastAsia"/>
          <w:color w:val="000000"/>
        </w:rPr>
        <w:t>式</w:t>
      </w:r>
      <w:r>
        <w:rPr>
          <w:rFonts w:hint="eastAsia" w:ascii="宋体" w:hAnsi="宋体"/>
          <w:color w:val="000000"/>
          <w:kern w:val="0"/>
        </w:rPr>
        <w:t>中：</w:t>
      </w:r>
    </w:p>
    <w:p>
      <w:pPr>
        <w:spacing w:line="400" w:lineRule="exact"/>
        <w:ind w:firstLine="420" w:firstLineChars="200"/>
      </w:pPr>
      <w:r>
        <w:rPr>
          <w:rFonts w:hint="eastAsia"/>
          <w:i/>
        </w:rPr>
        <w:t>x</w:t>
      </w:r>
      <w:r>
        <w:rPr>
          <w:i/>
        </w:rPr>
        <w:t xml:space="preserve"> </w:t>
      </w:r>
      <w:r>
        <w:t>——</w:t>
      </w:r>
      <w:r>
        <w:rPr>
          <w:rFonts w:hint="eastAsia"/>
        </w:rPr>
        <w:t>被测元素</w:t>
      </w:r>
      <w:r>
        <w:t>（</w:t>
      </w:r>
      <w:r>
        <w:rPr>
          <w:rFonts w:hint="eastAsia"/>
        </w:rPr>
        <w:t>锌或镉</w:t>
      </w:r>
      <w:r>
        <w:t>）</w:t>
      </w:r>
      <w:r>
        <w:rPr>
          <w:rFonts w:hint="eastAsia"/>
        </w:rPr>
        <w:t>；</w:t>
      </w:r>
    </w:p>
    <w:p>
      <w:pPr>
        <w:spacing w:line="400" w:lineRule="exact"/>
        <w:ind w:firstLine="420" w:firstLineChars="200"/>
      </w:pPr>
      <w:r>
        <w:rPr>
          <w:i/>
        </w:rPr>
        <w:t>ρ</w:t>
      </w:r>
      <w:r>
        <w:rPr>
          <w:i/>
          <w:vertAlign w:val="subscript"/>
        </w:rPr>
        <w:t>x</w:t>
      </w:r>
      <w:r>
        <w:rPr>
          <w:vertAlign w:val="subscript"/>
        </w:rPr>
        <w:t xml:space="preserve"> </w:t>
      </w:r>
      <w:r>
        <w:t>——</w:t>
      </w:r>
      <w:r>
        <w:rPr>
          <w:rFonts w:hint="eastAsia"/>
        </w:rPr>
        <w:t>测</w:t>
      </w:r>
      <w:r>
        <w:t>得</w:t>
      </w:r>
      <w:r>
        <w:rPr>
          <w:rFonts w:hint="eastAsia"/>
        </w:rPr>
        <w:t>被</w:t>
      </w:r>
      <w:r>
        <w:t>测</w:t>
      </w:r>
      <w:r>
        <w:rPr>
          <w:rFonts w:hint="eastAsia"/>
        </w:rPr>
        <w:t>试料溶液中被测元素的</w:t>
      </w:r>
      <w:r>
        <w:t>质量浓度，单位为</w:t>
      </w:r>
      <w:r>
        <w:rPr>
          <w:rFonts w:hint="eastAsia"/>
        </w:rPr>
        <w:t>微克每克(µg/g)；</w:t>
      </w:r>
    </w:p>
    <w:p>
      <w:pPr>
        <w:spacing w:line="400" w:lineRule="exact"/>
        <w:ind w:firstLine="420" w:firstLineChars="200"/>
      </w:pPr>
      <w:r>
        <w:rPr>
          <w:i/>
        </w:rPr>
        <w:t>ρ</w:t>
      </w:r>
      <w:r>
        <w:rPr>
          <w:rFonts w:hint="eastAsia"/>
          <w:i/>
          <w:vertAlign w:val="subscript"/>
        </w:rPr>
        <w:t>0</w:t>
      </w:r>
      <w:r>
        <w:rPr>
          <w:vertAlign w:val="subscript"/>
        </w:rPr>
        <w:t xml:space="preserve"> </w:t>
      </w:r>
      <w:r>
        <w:t>——</w:t>
      </w:r>
      <w:r>
        <w:rPr>
          <w:rFonts w:hint="eastAsia"/>
        </w:rPr>
        <w:t>测</w:t>
      </w:r>
      <w:r>
        <w:t>得</w:t>
      </w:r>
      <w:r>
        <w:rPr>
          <w:rFonts w:hint="eastAsia"/>
        </w:rPr>
        <w:t>空白溶液中被测元素的</w:t>
      </w:r>
      <w:r>
        <w:t>质量浓度，单位为</w:t>
      </w:r>
      <w:r>
        <w:rPr>
          <w:rFonts w:hint="eastAsia"/>
        </w:rPr>
        <w:t>微克每克(µg/g)；</w:t>
      </w:r>
    </w:p>
    <w:p>
      <w:pPr>
        <w:spacing w:line="400" w:lineRule="exact"/>
        <w:ind w:firstLine="420" w:firstLineChars="200"/>
      </w:pPr>
      <w:r>
        <w:rPr>
          <w:i/>
        </w:rPr>
        <w:t>m</w:t>
      </w:r>
      <w:r>
        <w:rPr>
          <w:rFonts w:hint="eastAsia"/>
          <w:i/>
          <w:vertAlign w:val="subscript"/>
        </w:rPr>
        <w:t>5</w:t>
      </w:r>
      <w:r>
        <w:t>——</w:t>
      </w:r>
      <w:r>
        <w:rPr>
          <w:rFonts w:hint="eastAsia"/>
        </w:rPr>
        <w:t>试料</w:t>
      </w:r>
      <w:r>
        <w:t>溶液</w:t>
      </w:r>
      <w:r>
        <w:rPr>
          <w:rFonts w:hint="eastAsia"/>
        </w:rPr>
        <w:t>定容前空容量瓶</w:t>
      </w:r>
      <w:r>
        <w:t>的质量</w:t>
      </w:r>
      <w:r>
        <w:rPr>
          <w:rFonts w:hint="eastAsia"/>
        </w:rPr>
        <w:t>，单位为克（g）；</w:t>
      </w:r>
    </w:p>
    <w:p>
      <w:pPr>
        <w:spacing w:line="400" w:lineRule="exact"/>
        <w:ind w:firstLine="420" w:firstLineChars="200"/>
      </w:pPr>
      <w:r>
        <w:rPr>
          <w:i/>
        </w:rPr>
        <w:t>m</w:t>
      </w:r>
      <w:r>
        <w:rPr>
          <w:rFonts w:hint="eastAsia"/>
          <w:i/>
          <w:vertAlign w:val="subscript"/>
        </w:rPr>
        <w:t>6</w:t>
      </w:r>
      <w:r>
        <w:t>——试料溶液</w:t>
      </w:r>
      <w:r>
        <w:rPr>
          <w:rFonts w:hint="eastAsia"/>
        </w:rPr>
        <w:t>定容后容量瓶和溶液</w:t>
      </w:r>
      <w:r>
        <w:t>的总质量</w:t>
      </w:r>
      <w:r>
        <w:rPr>
          <w:rFonts w:hint="eastAsia"/>
        </w:rPr>
        <w:t>，单位为克（g）；</w:t>
      </w:r>
    </w:p>
    <w:p>
      <w:pPr>
        <w:spacing w:line="400" w:lineRule="exact"/>
        <w:ind w:firstLine="420" w:firstLineChars="200"/>
      </w:pPr>
      <w:r>
        <w:rPr>
          <w:i/>
        </w:rPr>
        <w:t>m</w:t>
      </w:r>
      <w:r>
        <w:rPr>
          <w:rFonts w:hint="eastAsia"/>
          <w:i/>
          <w:vertAlign w:val="subscript"/>
        </w:rPr>
        <w:t>7</w:t>
      </w:r>
      <w:r>
        <w:t>——移取</w:t>
      </w:r>
      <w:r>
        <w:rPr>
          <w:rFonts w:hint="eastAsia"/>
        </w:rPr>
        <w:t>试料</w:t>
      </w:r>
      <w:r>
        <w:t>溶液</w:t>
      </w:r>
      <w:r>
        <w:rPr>
          <w:rFonts w:hint="eastAsia"/>
        </w:rPr>
        <w:t>定容用的空容量瓶</w:t>
      </w:r>
      <w:r>
        <w:t>的质量</w:t>
      </w:r>
      <w:r>
        <w:rPr>
          <w:rFonts w:hint="eastAsia"/>
        </w:rPr>
        <w:t>，单位为克（g）；</w:t>
      </w:r>
    </w:p>
    <w:p>
      <w:pPr>
        <w:spacing w:line="400" w:lineRule="exact"/>
        <w:ind w:firstLine="420" w:firstLineChars="200"/>
      </w:pPr>
      <w:r>
        <w:rPr>
          <w:i/>
        </w:rPr>
        <w:t>m</w:t>
      </w:r>
      <w:r>
        <w:rPr>
          <w:rFonts w:hint="eastAsia"/>
          <w:i/>
          <w:vertAlign w:val="subscript"/>
        </w:rPr>
        <w:t>8</w:t>
      </w:r>
      <w:r>
        <w:t>——</w:t>
      </w:r>
      <w:r>
        <w:rPr>
          <w:rFonts w:hint="eastAsia"/>
        </w:rPr>
        <w:t>移取的溶液</w:t>
      </w:r>
      <w:r>
        <w:t>质量</w:t>
      </w:r>
      <w:r>
        <w:rPr>
          <w:rFonts w:hint="eastAsia"/>
        </w:rPr>
        <w:t>，单位为克（g）；</w:t>
      </w:r>
    </w:p>
    <w:p>
      <w:pPr>
        <w:spacing w:line="400" w:lineRule="exact"/>
        <w:ind w:firstLine="420" w:firstLineChars="200"/>
      </w:pPr>
      <w:r>
        <w:rPr>
          <w:i/>
        </w:rPr>
        <w:t>m</w:t>
      </w:r>
      <w:r>
        <w:rPr>
          <w:rFonts w:hint="eastAsia"/>
          <w:i/>
          <w:vertAlign w:val="subscript"/>
        </w:rPr>
        <w:t>9</w:t>
      </w:r>
      <w:r>
        <w:t>——</w:t>
      </w:r>
      <w:r>
        <w:rPr>
          <w:rFonts w:hint="eastAsia"/>
        </w:rPr>
        <w:t>移取的溶液定容后容量瓶和溶液</w:t>
      </w:r>
      <w:r>
        <w:t>的总质量</w:t>
      </w:r>
      <w:r>
        <w:rPr>
          <w:rFonts w:hint="eastAsia"/>
        </w:rPr>
        <w:t>，单位为克（g）；</w:t>
      </w:r>
    </w:p>
    <w:p>
      <w:pPr>
        <w:spacing w:line="400" w:lineRule="exact"/>
        <w:ind w:firstLine="420" w:firstLineChars="200"/>
      </w:pPr>
      <w:r>
        <w:rPr>
          <w:i/>
          <w:szCs w:val="21"/>
        </w:rPr>
        <w:t>m—</w:t>
      </w:r>
      <w:r>
        <w:t>—</w:t>
      </w:r>
      <w:r>
        <w:rPr>
          <w:rFonts w:hint="eastAsia"/>
        </w:rPr>
        <w:t>称取的样品</w:t>
      </w:r>
      <w:r>
        <w:t>质量</w:t>
      </w:r>
      <w:r>
        <w:rPr>
          <w:rFonts w:hint="eastAsia"/>
        </w:rPr>
        <w:t>，单位为克（g）；</w:t>
      </w:r>
    </w:p>
    <w:p>
      <w:pPr>
        <w:spacing w:line="400" w:lineRule="exact"/>
        <w:ind w:firstLine="420" w:firstLineChars="200"/>
      </w:pPr>
      <w:r>
        <w:rPr>
          <w:rFonts w:hint="eastAsia"/>
        </w:rPr>
        <w:t>计算结果保留至小数点后两位。</w:t>
      </w:r>
    </w:p>
    <w:p>
      <w:pPr>
        <w:spacing w:line="400" w:lineRule="exact"/>
        <w:rPr>
          <w:rFonts w:ascii="黑体" w:hAnsi="黑体" w:eastAsia="黑体"/>
        </w:rPr>
      </w:pPr>
      <w:r>
        <w:rPr>
          <w:rFonts w:hint="eastAsia" w:ascii="黑体" w:hAnsi="黑体" w:eastAsia="黑体"/>
        </w:rPr>
        <w:t>10  精密度</w:t>
      </w:r>
    </w:p>
    <w:p>
      <w:pPr>
        <w:spacing w:line="400" w:lineRule="exact"/>
        <w:rPr>
          <w:rFonts w:ascii="黑体" w:hAnsi="黑体" w:eastAsia="黑体"/>
        </w:rPr>
      </w:pPr>
      <w:r>
        <w:rPr>
          <w:rFonts w:hint="eastAsia" w:ascii="黑体" w:hAnsi="黑体" w:eastAsia="黑体"/>
        </w:rPr>
        <w:t xml:space="preserve">10.1  </w:t>
      </w:r>
      <w:r>
        <w:rPr>
          <w:rFonts w:hint="eastAsia"/>
        </w:rPr>
        <w:t>重复性</w:t>
      </w:r>
    </w:p>
    <w:p>
      <w:pPr>
        <w:spacing w:line="400" w:lineRule="exact"/>
      </w:pPr>
      <w:r>
        <w:rPr>
          <w:rFonts w:hint="eastAsia"/>
        </w:rPr>
        <w:t xml:space="preserve">    在重复性条件下获得的两次独立测试结果的测定值，在以下给出的平均值范围内，这两个测试结果的绝对差值不超过重复性限（</w:t>
      </w:r>
      <w:r>
        <w:t>r</w:t>
      </w:r>
      <w:r>
        <w:rPr>
          <w:rFonts w:hint="eastAsia"/>
        </w:rPr>
        <w:t>）,超过重复性限（</w:t>
      </w:r>
      <w:r>
        <w:t>r</w:t>
      </w:r>
      <w:r>
        <w:rPr>
          <w:rFonts w:hint="eastAsia"/>
        </w:rPr>
        <w:t>）的情况不超过</w:t>
      </w:r>
      <w:r>
        <w:t xml:space="preserve">5 </w:t>
      </w:r>
      <w:r>
        <w:rPr>
          <w:rFonts w:hint="eastAsia"/>
        </w:rPr>
        <w:t>%，重复性限（</w:t>
      </w:r>
      <w:r>
        <w:t>r</w:t>
      </w:r>
      <w:r>
        <w:rPr>
          <w:rFonts w:hint="eastAsia"/>
        </w:rPr>
        <w:t>）按表2数据采用线性内插法获得：</w:t>
      </w:r>
    </w:p>
    <w:p>
      <w:pPr>
        <w:jc w:val="center"/>
        <w:rPr>
          <w:rFonts w:ascii="黑体" w:eastAsia="黑体"/>
        </w:rPr>
      </w:pPr>
    </w:p>
    <w:p>
      <w:pPr>
        <w:spacing w:line="400" w:lineRule="exact"/>
        <w:ind w:firstLine="4200" w:firstLineChars="2000"/>
      </w:pPr>
      <w:r>
        <w:rPr>
          <w:rFonts w:hint="eastAsia"/>
        </w:rPr>
        <w:t>表2  重复性限</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572"/>
        <w:gridCol w:w="1488"/>
        <w:gridCol w:w="1656"/>
        <w:gridCol w:w="165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shd w:val="clear" w:color="auto" w:fill="auto"/>
          </w:tcPr>
          <w:p>
            <w:pPr>
              <w:jc w:val="center"/>
              <w:rPr>
                <w:rFonts w:eastAsia="黑体"/>
                <w:szCs w:val="21"/>
              </w:rPr>
            </w:pPr>
            <w:r>
              <w:rPr>
                <w:i/>
                <w:szCs w:val="21"/>
              </w:rPr>
              <w:t>w</w:t>
            </w:r>
            <w:r>
              <w:rPr>
                <w:rFonts w:hint="eastAsia"/>
                <w:i/>
                <w:szCs w:val="21"/>
                <w:vertAlign w:val="subscript"/>
              </w:rPr>
              <w:t>Ga</w:t>
            </w:r>
            <w:r>
              <w:rPr>
                <w:szCs w:val="21"/>
              </w:rPr>
              <w:t>/</w:t>
            </w:r>
            <w:r>
              <w:rPr>
                <w:rFonts w:hint="eastAsia"/>
                <w:szCs w:val="21"/>
              </w:rPr>
              <w:t xml:space="preserve"> </w:t>
            </w:r>
            <w:r>
              <w:rPr>
                <w:rFonts w:hint="eastAsia"/>
                <w:color w:val="000000"/>
                <w:szCs w:val="21"/>
              </w:rPr>
              <w:t>%</w:t>
            </w:r>
          </w:p>
        </w:tc>
        <w:tc>
          <w:tcPr>
            <w:tcW w:w="1572" w:type="dxa"/>
            <w:shd w:val="clear" w:color="auto" w:fill="auto"/>
          </w:tcPr>
          <w:p>
            <w:pPr>
              <w:jc w:val="center"/>
              <w:rPr>
                <w:rFonts w:eastAsia="黑体"/>
                <w:sz w:val="18"/>
              </w:rPr>
            </w:pPr>
          </w:p>
        </w:tc>
        <w:tc>
          <w:tcPr>
            <w:tcW w:w="1488" w:type="dxa"/>
            <w:shd w:val="clear" w:color="auto" w:fill="auto"/>
          </w:tcPr>
          <w:p>
            <w:pPr>
              <w:jc w:val="center"/>
              <w:rPr>
                <w:rFonts w:eastAsia="黑体"/>
                <w:sz w:val="18"/>
              </w:rPr>
            </w:pPr>
          </w:p>
        </w:tc>
        <w:tc>
          <w:tcPr>
            <w:tcW w:w="1656" w:type="dxa"/>
          </w:tcPr>
          <w:p>
            <w:pPr>
              <w:jc w:val="center"/>
              <w:rPr>
                <w:rFonts w:eastAsia="黑体"/>
                <w:sz w:val="18"/>
              </w:rPr>
            </w:pPr>
          </w:p>
        </w:tc>
        <w:tc>
          <w:tcPr>
            <w:tcW w:w="1656" w:type="dxa"/>
            <w:shd w:val="clear" w:color="auto" w:fill="auto"/>
          </w:tcPr>
          <w:p>
            <w:pPr>
              <w:jc w:val="center"/>
              <w:rPr>
                <w:rFonts w:eastAsia="黑体"/>
                <w:sz w:val="18"/>
              </w:rPr>
            </w:pPr>
          </w:p>
        </w:tc>
        <w:tc>
          <w:tcPr>
            <w:tcW w:w="1573" w:type="dxa"/>
            <w:shd w:val="clear" w:color="auto" w:fill="auto"/>
          </w:tcPr>
          <w:p>
            <w:pPr>
              <w:jc w:val="center"/>
              <w:rPr>
                <w:rFonts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shd w:val="clear" w:color="auto" w:fill="auto"/>
          </w:tcPr>
          <w:p>
            <w:pPr>
              <w:jc w:val="center"/>
              <w:rPr>
                <w:rFonts w:eastAsia="黑体"/>
                <w:szCs w:val="21"/>
              </w:rPr>
            </w:pPr>
            <w:r>
              <w:rPr>
                <w:i/>
              </w:rPr>
              <w:t>r</w:t>
            </w:r>
            <w:r>
              <w:rPr>
                <w:rFonts w:hint="eastAsia"/>
                <w:i/>
                <w:szCs w:val="21"/>
                <w:vertAlign w:val="subscript"/>
              </w:rPr>
              <w:t xml:space="preserve">  </w:t>
            </w:r>
            <w:r>
              <w:rPr>
                <w:szCs w:val="21"/>
              </w:rPr>
              <w:t>/</w:t>
            </w:r>
            <w:r>
              <w:rPr>
                <w:rFonts w:hint="eastAsia"/>
                <w:szCs w:val="21"/>
              </w:rPr>
              <w:t xml:space="preserve"> %</w:t>
            </w:r>
          </w:p>
        </w:tc>
        <w:tc>
          <w:tcPr>
            <w:tcW w:w="1572" w:type="dxa"/>
            <w:shd w:val="clear" w:color="auto" w:fill="auto"/>
          </w:tcPr>
          <w:p>
            <w:pPr>
              <w:jc w:val="center"/>
              <w:rPr>
                <w:rFonts w:eastAsia="黑体"/>
                <w:sz w:val="18"/>
              </w:rPr>
            </w:pPr>
          </w:p>
        </w:tc>
        <w:tc>
          <w:tcPr>
            <w:tcW w:w="1488" w:type="dxa"/>
            <w:shd w:val="clear" w:color="auto" w:fill="auto"/>
          </w:tcPr>
          <w:p>
            <w:pPr>
              <w:jc w:val="center"/>
              <w:rPr>
                <w:rFonts w:eastAsia="黑体"/>
                <w:sz w:val="18"/>
              </w:rPr>
            </w:pPr>
          </w:p>
        </w:tc>
        <w:tc>
          <w:tcPr>
            <w:tcW w:w="1656" w:type="dxa"/>
          </w:tcPr>
          <w:p>
            <w:pPr>
              <w:jc w:val="center"/>
              <w:rPr>
                <w:rFonts w:eastAsia="黑体"/>
                <w:sz w:val="18"/>
              </w:rPr>
            </w:pPr>
          </w:p>
        </w:tc>
        <w:tc>
          <w:tcPr>
            <w:tcW w:w="1656" w:type="dxa"/>
            <w:shd w:val="clear" w:color="auto" w:fill="auto"/>
          </w:tcPr>
          <w:p>
            <w:pPr>
              <w:jc w:val="center"/>
              <w:rPr>
                <w:rFonts w:eastAsia="黑体"/>
                <w:sz w:val="18"/>
              </w:rPr>
            </w:pPr>
          </w:p>
        </w:tc>
        <w:tc>
          <w:tcPr>
            <w:tcW w:w="1573" w:type="dxa"/>
            <w:shd w:val="clear" w:color="auto" w:fill="auto"/>
          </w:tcPr>
          <w:p>
            <w:pPr>
              <w:rPr>
                <w:rFonts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shd w:val="clear" w:color="auto" w:fill="auto"/>
          </w:tcPr>
          <w:p>
            <w:pPr>
              <w:jc w:val="center"/>
              <w:rPr>
                <w:rFonts w:eastAsia="黑体"/>
                <w:szCs w:val="21"/>
              </w:rPr>
            </w:pPr>
            <w:r>
              <w:rPr>
                <w:i/>
                <w:szCs w:val="21"/>
              </w:rPr>
              <w:t>w</w:t>
            </w:r>
            <w:r>
              <w:rPr>
                <w:rFonts w:hint="eastAsia"/>
                <w:i/>
                <w:szCs w:val="21"/>
                <w:vertAlign w:val="subscript"/>
              </w:rPr>
              <w:t>In</w:t>
            </w:r>
            <w:r>
              <w:rPr>
                <w:szCs w:val="21"/>
              </w:rPr>
              <w:t>/</w:t>
            </w:r>
            <w:r>
              <w:rPr>
                <w:rFonts w:hint="eastAsia"/>
                <w:szCs w:val="21"/>
              </w:rPr>
              <w:t xml:space="preserve"> </w:t>
            </w:r>
            <w:r>
              <w:rPr>
                <w:rFonts w:hint="eastAsia"/>
                <w:color w:val="000000"/>
                <w:szCs w:val="21"/>
              </w:rPr>
              <w:t>%</w:t>
            </w:r>
          </w:p>
        </w:tc>
        <w:tc>
          <w:tcPr>
            <w:tcW w:w="1572" w:type="dxa"/>
            <w:shd w:val="clear" w:color="auto" w:fill="auto"/>
          </w:tcPr>
          <w:p>
            <w:pPr>
              <w:jc w:val="center"/>
              <w:rPr>
                <w:rFonts w:eastAsia="黑体"/>
                <w:sz w:val="18"/>
              </w:rPr>
            </w:pPr>
          </w:p>
        </w:tc>
        <w:tc>
          <w:tcPr>
            <w:tcW w:w="1488" w:type="dxa"/>
            <w:shd w:val="clear" w:color="auto" w:fill="auto"/>
          </w:tcPr>
          <w:p>
            <w:pPr>
              <w:jc w:val="center"/>
              <w:rPr>
                <w:rFonts w:eastAsia="黑体"/>
                <w:sz w:val="18"/>
              </w:rPr>
            </w:pPr>
          </w:p>
        </w:tc>
        <w:tc>
          <w:tcPr>
            <w:tcW w:w="1656" w:type="dxa"/>
          </w:tcPr>
          <w:p>
            <w:pPr>
              <w:jc w:val="center"/>
              <w:rPr>
                <w:rFonts w:eastAsia="黑体"/>
                <w:sz w:val="18"/>
              </w:rPr>
            </w:pPr>
          </w:p>
        </w:tc>
        <w:tc>
          <w:tcPr>
            <w:tcW w:w="1656" w:type="dxa"/>
            <w:shd w:val="clear" w:color="auto" w:fill="auto"/>
          </w:tcPr>
          <w:p>
            <w:pPr>
              <w:jc w:val="center"/>
              <w:rPr>
                <w:rFonts w:eastAsia="黑体"/>
                <w:sz w:val="18"/>
              </w:rPr>
            </w:pPr>
          </w:p>
        </w:tc>
        <w:tc>
          <w:tcPr>
            <w:tcW w:w="1573" w:type="dxa"/>
            <w:shd w:val="clear" w:color="auto" w:fill="auto"/>
          </w:tcPr>
          <w:p>
            <w:pPr>
              <w:rPr>
                <w:rFonts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shd w:val="clear" w:color="auto" w:fill="auto"/>
          </w:tcPr>
          <w:p>
            <w:pPr>
              <w:jc w:val="center"/>
              <w:rPr>
                <w:rFonts w:eastAsia="黑体"/>
                <w:szCs w:val="21"/>
              </w:rPr>
            </w:pPr>
            <w:r>
              <w:rPr>
                <w:i/>
              </w:rPr>
              <w:t>r</w:t>
            </w:r>
            <w:r>
              <w:rPr>
                <w:rFonts w:hint="eastAsia"/>
                <w:i/>
                <w:szCs w:val="21"/>
                <w:vertAlign w:val="subscript"/>
              </w:rPr>
              <w:t xml:space="preserve">  </w:t>
            </w:r>
            <w:r>
              <w:rPr>
                <w:szCs w:val="21"/>
              </w:rPr>
              <w:t>/</w:t>
            </w:r>
            <w:r>
              <w:rPr>
                <w:rFonts w:hint="eastAsia"/>
                <w:szCs w:val="21"/>
              </w:rPr>
              <w:t xml:space="preserve"> %</w:t>
            </w:r>
          </w:p>
        </w:tc>
        <w:tc>
          <w:tcPr>
            <w:tcW w:w="1572" w:type="dxa"/>
            <w:shd w:val="clear" w:color="auto" w:fill="auto"/>
          </w:tcPr>
          <w:p>
            <w:pPr>
              <w:jc w:val="center"/>
              <w:rPr>
                <w:rFonts w:eastAsia="黑体"/>
                <w:sz w:val="18"/>
              </w:rPr>
            </w:pPr>
          </w:p>
        </w:tc>
        <w:tc>
          <w:tcPr>
            <w:tcW w:w="1488" w:type="dxa"/>
            <w:shd w:val="clear" w:color="auto" w:fill="auto"/>
          </w:tcPr>
          <w:p>
            <w:pPr>
              <w:jc w:val="center"/>
              <w:rPr>
                <w:rFonts w:eastAsia="黑体"/>
                <w:sz w:val="18"/>
              </w:rPr>
            </w:pPr>
          </w:p>
        </w:tc>
        <w:tc>
          <w:tcPr>
            <w:tcW w:w="1656" w:type="dxa"/>
          </w:tcPr>
          <w:p>
            <w:pPr>
              <w:jc w:val="center"/>
              <w:rPr>
                <w:rFonts w:eastAsia="黑体"/>
                <w:sz w:val="18"/>
              </w:rPr>
            </w:pPr>
          </w:p>
        </w:tc>
        <w:tc>
          <w:tcPr>
            <w:tcW w:w="1656" w:type="dxa"/>
            <w:shd w:val="clear" w:color="auto" w:fill="auto"/>
          </w:tcPr>
          <w:p>
            <w:pPr>
              <w:jc w:val="center"/>
              <w:rPr>
                <w:rFonts w:eastAsia="黑体"/>
                <w:sz w:val="18"/>
              </w:rPr>
            </w:pPr>
          </w:p>
        </w:tc>
        <w:tc>
          <w:tcPr>
            <w:tcW w:w="1573" w:type="dxa"/>
            <w:shd w:val="clear" w:color="auto" w:fill="auto"/>
          </w:tcPr>
          <w:p>
            <w:pPr>
              <w:rPr>
                <w:rFonts w:eastAsia="黑体"/>
                <w:sz w:val="18"/>
              </w:rPr>
            </w:pPr>
          </w:p>
        </w:tc>
      </w:tr>
    </w:tbl>
    <w:p>
      <w:pPr>
        <w:pStyle w:val="35"/>
        <w:ind w:firstLine="0" w:firstLineChars="0"/>
        <w:rPr>
          <w:rFonts w:ascii="黑体" w:eastAsia="黑体"/>
        </w:rPr>
      </w:pPr>
    </w:p>
    <w:p>
      <w:pPr>
        <w:spacing w:line="400" w:lineRule="exact"/>
        <w:rPr>
          <w:rFonts w:ascii="黑体" w:hAnsi="黑体" w:eastAsia="黑体"/>
        </w:rPr>
      </w:pPr>
      <w:r>
        <w:rPr>
          <w:rFonts w:hint="eastAsia" w:ascii="黑体" w:hAnsi="黑体" w:eastAsia="黑体"/>
        </w:rPr>
        <w:t xml:space="preserve">10.2  </w:t>
      </w:r>
      <w:r>
        <w:rPr>
          <w:rFonts w:hint="eastAsia"/>
        </w:rPr>
        <w:t>再现性</w:t>
      </w:r>
    </w:p>
    <w:p>
      <w:pPr>
        <w:spacing w:line="400" w:lineRule="exact"/>
        <w:ind w:firstLine="420" w:firstLineChars="200"/>
      </w:pPr>
      <w:r>
        <w:rPr>
          <w:rFonts w:hint="eastAsia"/>
        </w:rPr>
        <w:t>在再现性条件下获得的两次独立测试结果的绝对差值不大于再现性限（R），超过再现性限（R）的情况不超过5 %，再现性限（R）按表3数据采用线性内插法求得</w:t>
      </w:r>
      <w:r>
        <w:t>。</w:t>
      </w:r>
    </w:p>
    <w:p>
      <w:pPr>
        <w:spacing w:line="400" w:lineRule="exact"/>
        <w:ind w:firstLine="4200" w:firstLineChars="2000"/>
      </w:pPr>
      <w:r>
        <w:rPr>
          <w:rFonts w:hint="eastAsia"/>
        </w:rPr>
        <w:t xml:space="preserve">表 3  再现性限 </w:t>
      </w:r>
    </w:p>
    <w:tbl>
      <w:tblPr>
        <w:tblStyle w:val="2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586"/>
        <w:gridCol w:w="1503"/>
        <w:gridCol w:w="1672"/>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5" w:type="dxa"/>
          </w:tcPr>
          <w:p>
            <w:pPr>
              <w:jc w:val="center"/>
              <w:rPr>
                <w:rFonts w:eastAsia="黑体"/>
                <w:szCs w:val="21"/>
              </w:rPr>
            </w:pPr>
            <w:r>
              <w:rPr>
                <w:i/>
                <w:szCs w:val="21"/>
              </w:rPr>
              <w:t>W</w:t>
            </w:r>
            <w:r>
              <w:rPr>
                <w:rFonts w:hint="eastAsia"/>
                <w:i/>
                <w:szCs w:val="21"/>
                <w:vertAlign w:val="subscript"/>
              </w:rPr>
              <w:t>Z</w:t>
            </w:r>
            <w:r>
              <w:rPr>
                <w:i/>
                <w:szCs w:val="21"/>
                <w:vertAlign w:val="subscript"/>
              </w:rPr>
              <w:t>n</w:t>
            </w:r>
            <w:r>
              <w:rPr>
                <w:szCs w:val="21"/>
              </w:rPr>
              <w:t>/</w:t>
            </w:r>
            <w:r>
              <w:rPr>
                <w:rFonts w:hint="eastAsia"/>
                <w:szCs w:val="21"/>
              </w:rPr>
              <w:t xml:space="preserve"> </w:t>
            </w:r>
            <w:r>
              <w:rPr>
                <w:rFonts w:hint="eastAsia"/>
                <w:color w:val="000000"/>
                <w:szCs w:val="21"/>
              </w:rPr>
              <w:t>%</w:t>
            </w:r>
          </w:p>
        </w:tc>
        <w:tc>
          <w:tcPr>
            <w:tcW w:w="1586" w:type="dxa"/>
            <w:shd w:val="clear" w:color="auto" w:fill="auto"/>
          </w:tcPr>
          <w:p>
            <w:pPr>
              <w:jc w:val="center"/>
              <w:rPr>
                <w:rFonts w:eastAsia="黑体"/>
                <w:sz w:val="18"/>
              </w:rPr>
            </w:pPr>
          </w:p>
        </w:tc>
        <w:tc>
          <w:tcPr>
            <w:tcW w:w="1503" w:type="dxa"/>
            <w:shd w:val="clear" w:color="auto" w:fill="auto"/>
          </w:tcPr>
          <w:p>
            <w:pPr>
              <w:jc w:val="center"/>
              <w:rPr>
                <w:rFonts w:eastAsia="黑体"/>
                <w:sz w:val="18"/>
              </w:rPr>
            </w:pPr>
          </w:p>
        </w:tc>
        <w:tc>
          <w:tcPr>
            <w:tcW w:w="1672" w:type="dxa"/>
            <w:shd w:val="clear" w:color="auto" w:fill="auto"/>
          </w:tcPr>
          <w:p>
            <w:pPr>
              <w:jc w:val="center"/>
              <w:rPr>
                <w:rFonts w:eastAsia="黑体"/>
                <w:sz w:val="18"/>
              </w:rPr>
            </w:pPr>
          </w:p>
        </w:tc>
        <w:tc>
          <w:tcPr>
            <w:tcW w:w="1587" w:type="dxa"/>
          </w:tcPr>
          <w:p>
            <w:pPr>
              <w:jc w:val="center"/>
              <w:rPr>
                <w:rFonts w:eastAsia="黑体"/>
                <w:sz w:val="18"/>
              </w:rPr>
            </w:pPr>
          </w:p>
        </w:tc>
        <w:tc>
          <w:tcPr>
            <w:tcW w:w="1587" w:type="dxa"/>
            <w:shd w:val="clear" w:color="auto" w:fill="auto"/>
          </w:tcPr>
          <w:p>
            <w:pPr>
              <w:jc w:val="center"/>
              <w:rPr>
                <w:rFonts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jc w:val="center"/>
              <w:rPr>
                <w:rFonts w:eastAsia="黑体"/>
                <w:szCs w:val="21"/>
              </w:rPr>
            </w:pPr>
            <w:r>
              <w:rPr>
                <w:rFonts w:hint="eastAsia"/>
                <w:i/>
              </w:rPr>
              <w:t>R</w:t>
            </w:r>
            <w:r>
              <w:rPr>
                <w:rFonts w:hint="eastAsia"/>
                <w:i/>
                <w:szCs w:val="21"/>
                <w:vertAlign w:val="subscript"/>
              </w:rPr>
              <w:t xml:space="preserve">  </w:t>
            </w:r>
            <w:r>
              <w:rPr>
                <w:szCs w:val="21"/>
              </w:rPr>
              <w:t>/</w:t>
            </w:r>
            <w:r>
              <w:rPr>
                <w:rFonts w:hint="eastAsia"/>
                <w:szCs w:val="21"/>
              </w:rPr>
              <w:t xml:space="preserve"> %</w:t>
            </w:r>
          </w:p>
        </w:tc>
        <w:tc>
          <w:tcPr>
            <w:tcW w:w="1586" w:type="dxa"/>
            <w:shd w:val="clear" w:color="auto" w:fill="auto"/>
          </w:tcPr>
          <w:p>
            <w:pPr>
              <w:jc w:val="center"/>
              <w:rPr>
                <w:rFonts w:eastAsia="黑体"/>
                <w:sz w:val="18"/>
              </w:rPr>
            </w:pPr>
          </w:p>
        </w:tc>
        <w:tc>
          <w:tcPr>
            <w:tcW w:w="1503" w:type="dxa"/>
            <w:shd w:val="clear" w:color="auto" w:fill="auto"/>
          </w:tcPr>
          <w:p>
            <w:pPr>
              <w:jc w:val="center"/>
              <w:rPr>
                <w:rFonts w:eastAsia="黑体"/>
                <w:sz w:val="18"/>
              </w:rPr>
            </w:pPr>
          </w:p>
        </w:tc>
        <w:tc>
          <w:tcPr>
            <w:tcW w:w="1672" w:type="dxa"/>
            <w:shd w:val="clear" w:color="auto" w:fill="auto"/>
          </w:tcPr>
          <w:p>
            <w:pPr>
              <w:jc w:val="center"/>
              <w:rPr>
                <w:rFonts w:eastAsia="黑体"/>
                <w:sz w:val="18"/>
              </w:rPr>
            </w:pPr>
          </w:p>
        </w:tc>
        <w:tc>
          <w:tcPr>
            <w:tcW w:w="1587" w:type="dxa"/>
          </w:tcPr>
          <w:p>
            <w:pPr>
              <w:jc w:val="center"/>
              <w:rPr>
                <w:rFonts w:eastAsia="黑体"/>
                <w:sz w:val="18"/>
              </w:rPr>
            </w:pPr>
          </w:p>
        </w:tc>
        <w:tc>
          <w:tcPr>
            <w:tcW w:w="1587" w:type="dxa"/>
            <w:shd w:val="clear" w:color="auto" w:fill="auto"/>
          </w:tcPr>
          <w:p>
            <w:pPr>
              <w:jc w:val="center"/>
              <w:rPr>
                <w:rFonts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jc w:val="center"/>
              <w:rPr>
                <w:rFonts w:eastAsia="黑体"/>
                <w:szCs w:val="21"/>
              </w:rPr>
            </w:pPr>
            <w:r>
              <w:rPr>
                <w:i/>
                <w:szCs w:val="21"/>
              </w:rPr>
              <w:t>W</w:t>
            </w:r>
            <w:r>
              <w:rPr>
                <w:rFonts w:hint="eastAsia"/>
                <w:i/>
                <w:szCs w:val="21"/>
                <w:vertAlign w:val="subscript"/>
              </w:rPr>
              <w:t>C</w:t>
            </w:r>
            <w:r>
              <w:rPr>
                <w:i/>
                <w:szCs w:val="21"/>
                <w:vertAlign w:val="subscript"/>
              </w:rPr>
              <w:t>d</w:t>
            </w:r>
            <w:r>
              <w:rPr>
                <w:szCs w:val="21"/>
              </w:rPr>
              <w:t>/</w:t>
            </w:r>
            <w:r>
              <w:rPr>
                <w:rFonts w:hint="eastAsia"/>
                <w:szCs w:val="21"/>
              </w:rPr>
              <w:t xml:space="preserve"> </w:t>
            </w:r>
            <w:r>
              <w:rPr>
                <w:rFonts w:hint="eastAsia"/>
                <w:color w:val="000000"/>
                <w:szCs w:val="21"/>
              </w:rPr>
              <w:t>%</w:t>
            </w:r>
          </w:p>
        </w:tc>
        <w:tc>
          <w:tcPr>
            <w:tcW w:w="1586" w:type="dxa"/>
            <w:shd w:val="clear" w:color="auto" w:fill="auto"/>
          </w:tcPr>
          <w:p>
            <w:pPr>
              <w:jc w:val="center"/>
              <w:rPr>
                <w:rFonts w:eastAsia="黑体"/>
                <w:sz w:val="18"/>
              </w:rPr>
            </w:pPr>
          </w:p>
        </w:tc>
        <w:tc>
          <w:tcPr>
            <w:tcW w:w="1503" w:type="dxa"/>
            <w:shd w:val="clear" w:color="auto" w:fill="auto"/>
          </w:tcPr>
          <w:p>
            <w:pPr>
              <w:jc w:val="center"/>
              <w:rPr>
                <w:rFonts w:eastAsia="黑体"/>
                <w:sz w:val="18"/>
              </w:rPr>
            </w:pPr>
          </w:p>
        </w:tc>
        <w:tc>
          <w:tcPr>
            <w:tcW w:w="1672" w:type="dxa"/>
            <w:shd w:val="clear" w:color="auto" w:fill="auto"/>
          </w:tcPr>
          <w:p>
            <w:pPr>
              <w:jc w:val="center"/>
              <w:rPr>
                <w:rFonts w:eastAsia="黑体"/>
                <w:sz w:val="18"/>
              </w:rPr>
            </w:pPr>
          </w:p>
        </w:tc>
        <w:tc>
          <w:tcPr>
            <w:tcW w:w="1587" w:type="dxa"/>
          </w:tcPr>
          <w:p>
            <w:pPr>
              <w:jc w:val="center"/>
              <w:rPr>
                <w:rFonts w:eastAsia="黑体"/>
                <w:sz w:val="18"/>
              </w:rPr>
            </w:pPr>
          </w:p>
        </w:tc>
        <w:tc>
          <w:tcPr>
            <w:tcW w:w="1587" w:type="dxa"/>
            <w:shd w:val="clear" w:color="auto" w:fill="auto"/>
          </w:tcPr>
          <w:p>
            <w:pPr>
              <w:jc w:val="center"/>
              <w:rPr>
                <w:rFonts w:eastAsia="黑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jc w:val="center"/>
              <w:rPr>
                <w:rFonts w:eastAsia="黑体"/>
                <w:szCs w:val="21"/>
              </w:rPr>
            </w:pPr>
            <w:r>
              <w:rPr>
                <w:rFonts w:hint="eastAsia"/>
                <w:i/>
              </w:rPr>
              <w:t>R</w:t>
            </w:r>
            <w:r>
              <w:rPr>
                <w:rFonts w:hint="eastAsia"/>
                <w:i/>
                <w:szCs w:val="21"/>
                <w:vertAlign w:val="subscript"/>
              </w:rPr>
              <w:t xml:space="preserve">  </w:t>
            </w:r>
            <w:r>
              <w:rPr>
                <w:szCs w:val="21"/>
              </w:rPr>
              <w:t>/</w:t>
            </w:r>
            <w:r>
              <w:rPr>
                <w:rFonts w:hint="eastAsia"/>
                <w:szCs w:val="21"/>
              </w:rPr>
              <w:t xml:space="preserve"> %</w:t>
            </w:r>
          </w:p>
        </w:tc>
        <w:tc>
          <w:tcPr>
            <w:tcW w:w="1586" w:type="dxa"/>
            <w:shd w:val="clear" w:color="auto" w:fill="auto"/>
          </w:tcPr>
          <w:p>
            <w:pPr>
              <w:jc w:val="center"/>
              <w:rPr>
                <w:rFonts w:eastAsia="黑体"/>
                <w:sz w:val="18"/>
              </w:rPr>
            </w:pPr>
          </w:p>
        </w:tc>
        <w:tc>
          <w:tcPr>
            <w:tcW w:w="1503" w:type="dxa"/>
            <w:shd w:val="clear" w:color="auto" w:fill="auto"/>
          </w:tcPr>
          <w:p>
            <w:pPr>
              <w:jc w:val="center"/>
              <w:rPr>
                <w:rFonts w:eastAsia="黑体"/>
                <w:sz w:val="18"/>
              </w:rPr>
            </w:pPr>
          </w:p>
        </w:tc>
        <w:tc>
          <w:tcPr>
            <w:tcW w:w="1672" w:type="dxa"/>
            <w:shd w:val="clear" w:color="auto" w:fill="auto"/>
          </w:tcPr>
          <w:p>
            <w:pPr>
              <w:jc w:val="center"/>
              <w:rPr>
                <w:rFonts w:eastAsia="黑体"/>
                <w:sz w:val="18"/>
              </w:rPr>
            </w:pPr>
          </w:p>
        </w:tc>
        <w:tc>
          <w:tcPr>
            <w:tcW w:w="1587" w:type="dxa"/>
          </w:tcPr>
          <w:p>
            <w:pPr>
              <w:jc w:val="center"/>
              <w:rPr>
                <w:rFonts w:eastAsia="黑体"/>
                <w:sz w:val="18"/>
              </w:rPr>
            </w:pPr>
          </w:p>
        </w:tc>
        <w:tc>
          <w:tcPr>
            <w:tcW w:w="1587" w:type="dxa"/>
            <w:shd w:val="clear" w:color="auto" w:fill="auto"/>
          </w:tcPr>
          <w:p>
            <w:pPr>
              <w:jc w:val="center"/>
              <w:rPr>
                <w:rFonts w:eastAsia="黑体"/>
                <w:sz w:val="18"/>
              </w:rPr>
            </w:pPr>
          </w:p>
        </w:tc>
      </w:tr>
    </w:tbl>
    <w:p>
      <w:pPr>
        <w:spacing w:before="312" w:beforeLines="100" w:after="312" w:afterLines="100"/>
        <w:rPr>
          <w:rFonts w:ascii="黑体" w:eastAsia="黑体"/>
        </w:rPr>
      </w:pPr>
      <w:r>
        <w:rPr>
          <w:rFonts w:hint="eastAsia" w:ascii="黑体" w:eastAsia="黑体"/>
        </w:rPr>
        <w:t>9  试验报告</w:t>
      </w:r>
    </w:p>
    <w:p>
      <w:pPr>
        <w:ind w:firstLine="420" w:firstLineChars="200"/>
      </w:pPr>
      <w:r>
        <w:rPr>
          <w:rFonts w:hint="eastAsia"/>
        </w:rPr>
        <w:t>试验报告至少应包括以下内容：</w:t>
      </w:r>
    </w:p>
    <w:p>
      <w:pPr>
        <w:ind w:firstLine="420" w:firstLineChars="200"/>
      </w:pPr>
      <w:r>
        <w:rPr>
          <w:rFonts w:hint="eastAsia"/>
        </w:rPr>
        <w:t>——试样；</w:t>
      </w:r>
    </w:p>
    <w:p>
      <w:pPr>
        <w:ind w:firstLine="420" w:firstLineChars="200"/>
      </w:pPr>
      <w:r>
        <w:rPr>
          <w:rFonts w:hint="eastAsia"/>
        </w:rPr>
        <w:t>——使用的标准（包括发布或出版年号）；</w:t>
      </w:r>
    </w:p>
    <w:p>
      <w:pPr>
        <w:pStyle w:val="35"/>
        <w:ind w:firstLine="420"/>
        <w:rPr>
          <w:rFonts w:ascii="Times New Roman"/>
          <w:kern w:val="2"/>
          <w:szCs w:val="24"/>
        </w:rPr>
      </w:pPr>
      <w:r>
        <w:rPr>
          <w:rFonts w:hint="eastAsia" w:ascii="Times New Roman"/>
          <w:kern w:val="2"/>
          <w:szCs w:val="24"/>
        </w:rPr>
        <w:t>——分析结果及其表示；</w:t>
      </w:r>
    </w:p>
    <w:p>
      <w:pPr>
        <w:pStyle w:val="35"/>
        <w:ind w:firstLine="420"/>
        <w:rPr>
          <w:rFonts w:ascii="Times New Roman"/>
          <w:kern w:val="2"/>
          <w:szCs w:val="24"/>
        </w:rPr>
      </w:pPr>
      <w:r>
        <w:rPr>
          <w:rFonts w:hint="eastAsia" w:ascii="Times New Roman"/>
          <w:kern w:val="2"/>
          <w:szCs w:val="24"/>
        </w:rPr>
        <w:t>——与基本分析步骤的差异；</w:t>
      </w:r>
    </w:p>
    <w:p>
      <w:pPr>
        <w:pStyle w:val="35"/>
        <w:ind w:firstLine="420"/>
        <w:rPr>
          <w:rFonts w:ascii="Times New Roman"/>
          <w:kern w:val="2"/>
          <w:szCs w:val="24"/>
        </w:rPr>
      </w:pPr>
      <w:r>
        <w:rPr>
          <w:rFonts w:hint="eastAsia" w:ascii="Times New Roman"/>
          <w:kern w:val="2"/>
          <w:szCs w:val="24"/>
        </w:rPr>
        <w:t>——测定中观察到的异常现象；</w:t>
      </w:r>
    </w:p>
    <w:p>
      <w:pPr>
        <w:pStyle w:val="35"/>
        <w:ind w:firstLine="420"/>
        <w:rPr>
          <w:rFonts w:ascii="Times New Roman"/>
          <w:kern w:val="2"/>
          <w:szCs w:val="24"/>
        </w:rPr>
      </w:pPr>
      <w:r>
        <w:rPr>
          <w:rFonts w:hint="eastAsia" w:ascii="Times New Roman"/>
          <w:kern w:val="2"/>
          <w:szCs w:val="24"/>
        </w:rPr>
        <w:t>——试验日期。</w:t>
      </w: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0" w:firstLineChars="0"/>
        <w:rPr>
          <w:rFonts w:ascii="Times New Roman"/>
        </w:rPr>
      </w:pPr>
    </w:p>
    <w:p>
      <w:pPr>
        <w:pStyle w:val="35"/>
        <w:ind w:firstLine="3990" w:firstLineChars="1900"/>
        <w:rPr>
          <w:rFonts w:ascii="Times New Roman"/>
        </w:rPr>
      </w:pPr>
      <w:r>
        <w:rPr>
          <w:rFonts w:ascii="Times New Roman"/>
        </w:rPr>
        <w:t>附录</w:t>
      </w:r>
      <w:r>
        <w:rPr>
          <w:rFonts w:hint="eastAsia" w:ascii="Times New Roman"/>
        </w:rPr>
        <w:t>A</w:t>
      </w:r>
    </w:p>
    <w:p>
      <w:pPr>
        <w:pStyle w:val="35"/>
        <w:ind w:firstLine="420"/>
        <w:rPr>
          <w:rFonts w:ascii="Times New Roman"/>
        </w:rPr>
      </w:pPr>
      <w:r>
        <w:rPr>
          <w:rFonts w:ascii="Times New Roman"/>
          <w:szCs w:val="21"/>
        </w:rPr>
        <w:t>精密度数据</w:t>
      </w:r>
      <w:r>
        <w:rPr>
          <w:rFonts w:ascii="Times New Roman"/>
        </w:rPr>
        <w:t>是在2021年由12家试验室对4个不同水平样品</w:t>
      </w:r>
      <w:r>
        <w:rPr>
          <w:rFonts w:hint="eastAsia" w:ascii="Times New Roman"/>
        </w:rPr>
        <w:t>的镉含量、锌含量</w:t>
      </w:r>
      <w:r>
        <w:rPr>
          <w:rFonts w:ascii="Times New Roman"/>
        </w:rPr>
        <w:t>进行共同试验确定的。每个实验室对每个水平的</w:t>
      </w:r>
      <w:r>
        <w:rPr>
          <w:rFonts w:hint="eastAsia" w:ascii="Times New Roman"/>
        </w:rPr>
        <w:t>镉</w:t>
      </w:r>
      <w:r>
        <w:rPr>
          <w:rFonts w:ascii="Times New Roman"/>
        </w:rPr>
        <w:t>量</w:t>
      </w:r>
      <w:r>
        <w:rPr>
          <w:rFonts w:hint="eastAsia" w:ascii="Times New Roman"/>
        </w:rPr>
        <w:t>、</w:t>
      </w:r>
      <w:r>
        <w:rPr>
          <w:rFonts w:ascii="Times New Roman"/>
        </w:rPr>
        <w:t>锌量在重复性条件下独立测定11次或</w:t>
      </w:r>
      <w:r>
        <w:rPr>
          <w:rFonts w:hint="eastAsia" w:ascii="Times New Roman"/>
        </w:rPr>
        <w:t>7次</w:t>
      </w:r>
      <w:r>
        <w:rPr>
          <w:rFonts w:ascii="Times New Roman"/>
        </w:rPr>
        <w:t>。测量原始数据见表A.1</w:t>
      </w:r>
    </w:p>
    <w:p>
      <w:pPr>
        <w:pStyle w:val="35"/>
        <w:ind w:firstLine="3990" w:firstLineChars="1900"/>
        <w:rPr>
          <w:rFonts w:ascii="Times New Roman"/>
        </w:rPr>
      </w:pPr>
      <w:r>
        <w:rPr>
          <w:rFonts w:hint="eastAsia" w:ascii="Times New Roman"/>
        </w:rPr>
        <w:t>A.1 精密度试验原始数据</w:t>
      </w:r>
    </w:p>
    <w:tbl>
      <w:tblPr>
        <w:tblStyle w:val="26"/>
        <w:tblW w:w="0" w:type="auto"/>
        <w:tblInd w:w="-5" w:type="dxa"/>
        <w:tblLayout w:type="fixed"/>
        <w:tblCellMar>
          <w:top w:w="0" w:type="dxa"/>
          <w:left w:w="108" w:type="dxa"/>
          <w:bottom w:w="0" w:type="dxa"/>
          <w:right w:w="108" w:type="dxa"/>
        </w:tblCellMar>
      </w:tblPr>
      <w:tblGrid>
        <w:gridCol w:w="1134"/>
        <w:gridCol w:w="993"/>
        <w:gridCol w:w="1044"/>
        <w:gridCol w:w="904"/>
        <w:gridCol w:w="904"/>
        <w:gridCol w:w="904"/>
        <w:gridCol w:w="903"/>
        <w:gridCol w:w="904"/>
        <w:gridCol w:w="904"/>
        <w:gridCol w:w="904"/>
      </w:tblGrid>
      <w:tr>
        <w:tblPrEx>
          <w:tblCellMar>
            <w:top w:w="0" w:type="dxa"/>
            <w:left w:w="108" w:type="dxa"/>
            <w:bottom w:w="0" w:type="dxa"/>
            <w:right w:w="108" w:type="dxa"/>
          </w:tblCellMar>
        </w:tblPrEx>
        <w:trPr>
          <w:trHeight w:val="270" w:hRule="atLeast"/>
        </w:trPr>
        <w:tc>
          <w:tcPr>
            <w:tcW w:w="113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实验室</w:t>
            </w:r>
          </w:p>
        </w:tc>
        <w:tc>
          <w:tcPr>
            <w:tcW w:w="99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Cs w:val="21"/>
              </w:rPr>
            </w:pPr>
            <w:r>
              <w:rPr>
                <w:rFonts w:ascii="宋体" w:hAnsi="宋体" w:cs="宋体"/>
                <w:kern w:val="0"/>
                <w:szCs w:val="21"/>
              </w:rPr>
              <w:t>n</w:t>
            </w:r>
          </w:p>
        </w:tc>
        <w:tc>
          <w:tcPr>
            <w:tcW w:w="19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水平1</w:t>
            </w:r>
          </w:p>
        </w:tc>
        <w:tc>
          <w:tcPr>
            <w:tcW w:w="18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水平2</w:t>
            </w:r>
          </w:p>
        </w:tc>
        <w:tc>
          <w:tcPr>
            <w:tcW w:w="18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水平3</w:t>
            </w:r>
          </w:p>
        </w:tc>
        <w:tc>
          <w:tcPr>
            <w:tcW w:w="18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水平4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993"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rFonts w:hint="eastAsia"/>
                <w:color w:val="000000"/>
                <w:sz w:val="18"/>
                <w:szCs w:val="18"/>
              </w:rPr>
              <w:t>1.057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5.008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39.81</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45.19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5.053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39.84</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5.009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18.86</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5.039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40.01</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39.80</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19.00</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5.046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5.019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19.05</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18.96</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39.79</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45.54</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5.020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39.86</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14.88</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25.90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19.95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19.01</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1.020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45.43</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5.070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40.15</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14.95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26.14</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19.92</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1.000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45.66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5.050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40.08</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25.79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19.71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19.24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1.020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45.47</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4.980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39.68</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25.81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19.75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19.15</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1.030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45.92</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39.89</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14.93</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26.11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20.03</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19.13</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0.990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45.63</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5.020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40.13</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14.85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25.75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19.93</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18.88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0.990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45.65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4.990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39.74</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26.26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20.08</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19.08</w:t>
            </w:r>
          </w:p>
        </w:tc>
      </w:tr>
      <w:tr>
        <w:tblPrEx>
          <w:tblCellMar>
            <w:top w:w="0" w:type="dxa"/>
            <w:left w:w="108" w:type="dxa"/>
            <w:bottom w:w="0" w:type="dxa"/>
            <w:right w:w="108" w:type="dxa"/>
          </w:tblCellMar>
        </w:tblPrEx>
        <w:trPr>
          <w:trHeight w:val="270"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sz w:val="18"/>
                <w:szCs w:val="18"/>
              </w:rPr>
              <w:t>1.001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45.53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5.09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40.12</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15.16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25.98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20.17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18.97</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1.001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45.39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5.11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39.92</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26.01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20.43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19.07</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1.002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44.48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5.12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39.84</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14.94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25.93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20.07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19.01</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0.989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5.05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40.05</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14.99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25.89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20.23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19.11</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1.001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45.43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5.13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40.15</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15.40</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25.99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20.45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0.998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45.64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5.06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39.97</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15.35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26.01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20.15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19.09</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0.991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45.67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5.11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39.88</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25.88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20.43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18.85</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0.999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45.43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5.09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40.25</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14.96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25.89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20.29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19.08</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0.999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45.22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5.13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39.95</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15.22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25.96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20.44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18.96</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1.002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45.48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5.07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40.24</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15.16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25.66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20.12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19.98</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1.000</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45.44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5.14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39.69</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15.15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25.97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20.33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1.030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45.22</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5.010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40.17</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15.31</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26.37</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20.35</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19.16</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1.030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45.45</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4.990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40.44</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15.13</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26.36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20.18</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19.38</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1.090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44.90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4.960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40.22</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15.66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26.42</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19.96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19.12</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1.050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45.23</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5.080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39.80</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15.47</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26.45</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20.02</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19.13</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1.060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45.66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5.170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39.62</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15.66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26.28</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19.24</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1.030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45.38</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5.240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39.76</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15.47</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26.54</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20.29</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19.26</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1.060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45.33</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5.110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40.04</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15.12</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26.23</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19.29</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1.090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45.61</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5.060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40.61</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15.05</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26.33</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20.05</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19.28</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1.080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45.32</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4.970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40.35</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15.09</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26.27</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20.17</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19.37</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1.060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45.39</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5.030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40.12</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15.04</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26.28</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20.15</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19.64</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1.010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45.56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5.060</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39.96</w:t>
            </w:r>
          </w:p>
        </w:tc>
        <w:tc>
          <w:tcPr>
            <w:tcW w:w="903"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26.36</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20.31</w:t>
            </w:r>
          </w:p>
        </w:tc>
        <w:tc>
          <w:tcPr>
            <w:tcW w:w="90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19.36</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1.092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45.06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5.066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39.93</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25.79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1.091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5.088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25.68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19.07</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1.092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5.116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40.11</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1.086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5.102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19.06</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1.090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5.102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40.08</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25.75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19.03</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1.088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5.090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39.89</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1.090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5.101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39.98</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18.97</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5.070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19.15</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5.082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39.66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25.66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1.070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5.055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19.06</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1.068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18.90</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5.061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40.10</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18.85</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39.80</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19.10</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1.062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45.76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5.036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18.99</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4.990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40.19</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19.07</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4.980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40.01</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18.97</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4.979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40.03</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19.06</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4.985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39.98</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5.000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40.07</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26.21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19.03</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4.995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40.20</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5.009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19.03</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39.88</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25.77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4.991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14.89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25.78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4.989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40.11</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18.91</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5.012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5.003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39.94</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39.91</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14.88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19.02</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25.79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19.05</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4.995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39.88</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4.985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39.86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18.79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5.014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40.01</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14.96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5.019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39.77</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15.03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46.01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5.057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40.57</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26.49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19.99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18.79</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1.018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40.36</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18.98</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45.78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5.037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40.28</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15.41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20.40</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18.81</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45.73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40.34</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26.21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18.62</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5.018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40.12</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15.39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19.01</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1.013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5.045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40.07</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18.75</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1.017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45.85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40.01</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20.14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18.82</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45.92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5.051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40.17</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15.30</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18.95</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45.73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5.034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39.98</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15.38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20.08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18.77</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1.012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5.036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40.21</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20.27</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18.83</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5.025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40.06</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15.34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18.92</w:t>
            </w:r>
          </w:p>
        </w:tc>
      </w:tr>
      <w:tr>
        <w:tblPrEx>
          <w:tblCellMar>
            <w:top w:w="0" w:type="dxa"/>
            <w:left w:w="108" w:type="dxa"/>
            <w:bottom w:w="0" w:type="dxa"/>
            <w:right w:w="108" w:type="dxa"/>
          </w:tblCellMar>
        </w:tblPrEx>
        <w:trPr>
          <w:trHeight w:val="270"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1.026</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45.60</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4.900</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40.13</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15.12</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19.09</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4.798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40.09</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15.15</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26.29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20.61</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19.21</w:t>
            </w:r>
          </w:p>
        </w:tc>
      </w:tr>
      <w:tr>
        <w:tblPrEx>
          <w:tblCellMar>
            <w:top w:w="0" w:type="dxa"/>
            <w:left w:w="108" w:type="dxa"/>
            <w:bottom w:w="0" w:type="dxa"/>
            <w:right w:w="108" w:type="dxa"/>
          </w:tblCellMar>
        </w:tblPrEx>
        <w:trPr>
          <w:trHeight w:val="270" w:hRule="atLeast"/>
        </w:trPr>
        <w:tc>
          <w:tcPr>
            <w:tcW w:w="1134"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1.024</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45.59</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4.870</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40.19</w:t>
            </w:r>
          </w:p>
        </w:tc>
        <w:tc>
          <w:tcPr>
            <w:tcW w:w="90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26.03</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20.48</w:t>
            </w:r>
          </w:p>
        </w:tc>
        <w:tc>
          <w:tcPr>
            <w:tcW w:w="90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19.21</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4.847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39.95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45.63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4.882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40.24</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26.20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18.87</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4.908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40.20</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25.88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19.10</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1.022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4.815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40.07</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20.47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19.07</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4.816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45.73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4.895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40.22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19.05</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45.73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4.913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18.94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1.034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40.05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20.40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18.84</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4.935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39.65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15.31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1.050</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4.972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39.54</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45.45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4.935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39.56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19.16</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45.14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4.966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39.42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15.31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45.13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4.956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39.68</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19.12</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4.939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39.65</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19.17</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45.16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4.971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39.56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26.11</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19.16</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45.12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4.956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39.46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19.21</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1.046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4.965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39.66</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15.25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19.03</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1.054</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45.26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4.942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39.42</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15.19</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25.97</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20.23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1.055</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45.36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4.966</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39.69</w:t>
            </w:r>
          </w:p>
        </w:tc>
        <w:tc>
          <w:tcPr>
            <w:tcW w:w="903"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15.18</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26.03</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20.32</w:t>
            </w:r>
          </w:p>
        </w:tc>
        <w:tc>
          <w:tcPr>
            <w:tcW w:w="904" w:type="dxa"/>
            <w:tcBorders>
              <w:top w:val="nil"/>
              <w:left w:val="nil"/>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19.15</w:t>
            </w:r>
          </w:p>
        </w:tc>
      </w:tr>
      <w:tr>
        <w:tblPrEx>
          <w:tblCellMar>
            <w:top w:w="0" w:type="dxa"/>
            <w:left w:w="108" w:type="dxa"/>
            <w:bottom w:w="0" w:type="dxa"/>
            <w:right w:w="108" w:type="dxa"/>
          </w:tblCellMar>
        </w:tblPrEx>
        <w:trPr>
          <w:trHeight w:val="270" w:hRule="atLeast"/>
        </w:trPr>
        <w:tc>
          <w:tcPr>
            <w:tcW w:w="1134"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45.32</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5.110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40.46</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15.02</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25.98</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20.29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18.87</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1.090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45.19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40.05</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26.27</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20.02</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18.94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1.080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45.16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4.970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40.12</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14.91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25.82</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18.79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45.23</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5.030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39.96</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15.04</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25.89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19.89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19.13</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39.92</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26.01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19.04</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1.030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45.38</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39.76</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15.07</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26.04</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20.11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18.78</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4.980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40.04</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14.95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25.89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19.09</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40.31</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26.03</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20.05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19.01</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1.080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45.32</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4.970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40.35</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26.27</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20.17</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19.02</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45.39</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4.920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40.12</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26.08</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20.15</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19.05</w:t>
            </w:r>
          </w:p>
        </w:tc>
      </w:tr>
      <w:tr>
        <w:tblPrEx>
          <w:tblCellMar>
            <w:top w:w="0" w:type="dxa"/>
            <w:left w:w="108" w:type="dxa"/>
            <w:bottom w:w="0" w:type="dxa"/>
            <w:right w:w="108" w:type="dxa"/>
          </w:tblCellMar>
        </w:tblPrEx>
        <w:trPr>
          <w:trHeight w:val="270"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04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1.010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45.56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5.060</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39.93</w:t>
            </w:r>
          </w:p>
        </w:tc>
        <w:tc>
          <w:tcPr>
            <w:tcW w:w="903"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15.06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26.06</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20.31</w:t>
            </w:r>
          </w:p>
        </w:tc>
        <w:tc>
          <w:tcPr>
            <w:tcW w:w="904" w:type="dxa"/>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18.94</w:t>
            </w:r>
          </w:p>
        </w:tc>
      </w:tr>
    </w:tbl>
    <w:p>
      <w:pPr>
        <w:pStyle w:val="35"/>
        <w:ind w:firstLine="3990" w:firstLineChars="1900"/>
        <w:rPr>
          <w:rFonts w:ascii="Times New Roman"/>
        </w:rPr>
      </w:pPr>
    </w:p>
    <w:p>
      <w:pPr>
        <w:pStyle w:val="35"/>
        <w:ind w:firstLine="3990" w:firstLineChars="1900"/>
        <w:rPr>
          <w:rFonts w:ascii="Times New Roman"/>
        </w:rPr>
      </w:pPr>
    </w:p>
    <w:p>
      <w:pPr>
        <w:pStyle w:val="35"/>
        <w:ind w:firstLine="3990" w:firstLineChars="1900"/>
        <w:rPr>
          <w:rFonts w:ascii="Times New Roman"/>
        </w:rPr>
      </w:pPr>
    </w:p>
    <w:p>
      <w:pPr>
        <w:pStyle w:val="35"/>
        <w:ind w:firstLine="3990" w:firstLineChars="1900"/>
        <w:rPr>
          <w:rFonts w:ascii="Times New Roman"/>
        </w:rPr>
      </w:pPr>
    </w:p>
    <w:p>
      <w:pPr>
        <w:pStyle w:val="35"/>
        <w:ind w:firstLine="3990" w:firstLineChars="1900"/>
        <w:rPr>
          <w:rFonts w:hint="eastAsia" w:ascii="Times New Roman"/>
        </w:rPr>
      </w:pPr>
    </w:p>
    <w:p>
      <w:pPr>
        <w:pStyle w:val="35"/>
        <w:ind w:firstLine="0" w:firstLineChars="0"/>
        <w:rPr>
          <w:rFonts w:ascii="Times New Roman"/>
        </w:r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1728470</wp:posOffset>
                </wp:positionH>
                <wp:positionV relativeFrom="paragraph">
                  <wp:posOffset>190500</wp:posOffset>
                </wp:positionV>
                <wp:extent cx="1962150" cy="0"/>
                <wp:effectExtent l="9525" t="12700" r="9525" b="6350"/>
                <wp:wrapNone/>
                <wp:docPr id="1" name="AutoShape 13"/>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anchor>
            </w:drawing>
          </mc:Choice>
          <mc:Fallback>
            <w:pict>
              <v:shape id="AutoShape 13" o:spid="_x0000_s1026" o:spt="32" type="#_x0000_t32" style="position:absolute;left:0pt;margin-left:136.1pt;margin-top:15pt;height:0pt;width:154.5pt;z-index:251662336;mso-width-relative:page;mso-height-relative:page;" filled="f" stroked="t" coordsize="21600,21600" o:gfxdata="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6/lgW1gAAAAkBAAAPAAAAAAAAAAEAIAAA&#10;ACIAAABkcnMvZG93bnJldi54bWxQSwECFAAUAAAACACHTuJAc7vUVtUBAACzAwAADgAAAAAAAAAB&#10;ACAAAAAlAQAAZHJzL2Uyb0RvYy54bWxQSwUGAAAAAAYABgBZAQAAbAUAAAAA&#10;">
                <v:fill on="f" focussize="0,0"/>
                <v:stroke color="#000000" joinstyle="round"/>
                <v:imagedata o:title=""/>
                <o:lock v:ext="edit" aspectratio="f"/>
              </v:shape>
            </w:pict>
          </mc:Fallback>
        </mc:AlternateContent>
      </w:r>
    </w:p>
    <w:p>
      <w:pPr>
        <w:pStyle w:val="35"/>
        <w:ind w:firstLine="0" w:firstLineChars="0"/>
        <w:rPr>
          <w:rFonts w:ascii="Times New Roman"/>
        </w:rPr>
      </w:pPr>
    </w:p>
    <w:p>
      <w:pPr>
        <w:ind w:firstLine="420" w:firstLineChars="200"/>
        <w:rPr>
          <w:rFonts w:eastAsia="黑体"/>
          <w:bCs/>
        </w:rPr>
      </w:pPr>
    </w:p>
    <w:sectPr>
      <w:headerReference r:id="rId10" w:type="first"/>
      <w:footerReference r:id="rId13" w:type="first"/>
      <w:headerReference r:id="rId8" w:type="default"/>
      <w:footerReference r:id="rId11" w:type="default"/>
      <w:headerReference r:id="rId9" w:type="even"/>
      <w:footerReference r:id="rId12" w:type="even"/>
      <w:type w:val="oddPage"/>
      <w:pgSz w:w="11906" w:h="16838"/>
      <w:pgMar w:top="567" w:right="851" w:bottom="851" w:left="1418" w:header="851" w:footer="680"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E-BZ+ZMdJRg-2">
    <w:altName w:val="Times New Roman"/>
    <w:panose1 w:val="00000000000000000000"/>
    <w:charset w:val="00"/>
    <w:family w:val="roman"/>
    <w:pitch w:val="default"/>
    <w:sig w:usb0="00000000" w:usb1="00000000" w:usb2="00000000" w:usb3="00000000" w:csb0="00000001" w:csb1="00000000"/>
  </w:font>
  <w:font w:name="KTJ0+ZMdJRg-5">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29"/>
      </w:rPr>
    </w:pPr>
    <w:r>
      <w:rPr>
        <w:rStyle w:val="29"/>
      </w:rPr>
      <w:fldChar w:fldCharType="begin"/>
    </w:r>
    <w:r>
      <w:rPr>
        <w:rStyle w:val="29"/>
      </w:rPr>
      <w:instrText xml:space="preserve">PAGE  </w:instrText>
    </w:r>
    <w:r>
      <w:rPr>
        <w:rStyle w:val="2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page" w:x="10995" w:y="153"/>
      <w:rPr>
        <w:rStyle w:val="29"/>
      </w:rPr>
    </w:pPr>
    <w:r>
      <w:rPr>
        <w:rStyle w:val="29"/>
      </w:rPr>
      <w:fldChar w:fldCharType="begin"/>
    </w:r>
    <w:r>
      <w:rPr>
        <w:rStyle w:val="29"/>
      </w:rPr>
      <w:instrText xml:space="preserve">PAGE  </w:instrText>
    </w:r>
    <w:r>
      <w:rPr>
        <w:rStyle w:val="29"/>
      </w:rPr>
      <w:fldChar w:fldCharType="separate"/>
    </w:r>
    <w:r>
      <w:rPr>
        <w:rStyle w:val="29"/>
      </w:rPr>
      <w:t>8</w:t>
    </w:r>
    <w:r>
      <w:rPr>
        <w:rStyle w:val="29"/>
      </w:rP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4</w:t>
    </w:r>
    <w:r>
      <w:rPr>
        <w:rStyle w:val="29"/>
      </w:rP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GB/T 12690.—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pPr>
    <w:r>
      <w:rPr>
        <w:rFonts w:hint="eastAsia"/>
      </w:rPr>
      <w:t xml:space="preserve">GB/TXXXX--201X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right="360" w:firstLine="6930" w:firstLineChars="3850"/>
      <w:jc w:val="both"/>
    </w:pPr>
    <w:r>
      <w:rPr>
        <w:rFonts w:hint="eastAsia"/>
      </w:rPr>
      <w:t xml:space="preserve">GB/T </w:t>
    </w:r>
  </w:p>
  <w:p>
    <w:pPr>
      <w:pStyle w:val="22"/>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pPr>
    <w:r>
      <w:rPr>
        <w:rFonts w:hint="eastAsia"/>
      </w:rPr>
      <w:t>GB/T4103.17-201X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9694B"/>
    <w:multiLevelType w:val="multilevel"/>
    <w:tmpl w:val="3779694B"/>
    <w:lvl w:ilvl="0" w:tentative="0">
      <w:start w:val="1"/>
      <w:numFmt w:val="decimal"/>
      <w:lvlText w:val="%1"/>
      <w:lvlJc w:val="left"/>
      <w:pPr>
        <w:tabs>
          <w:tab w:val="left" w:pos="432"/>
        </w:tabs>
        <w:ind w:left="432" w:hanging="432"/>
      </w:pPr>
      <w:rPr>
        <w:rFonts w:hint="default"/>
      </w:rPr>
    </w:lvl>
    <w:lvl w:ilvl="1" w:tentative="0">
      <w:start w:val="1"/>
      <w:numFmt w:val="decimal"/>
      <w:pStyle w:val="108"/>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39E42C35"/>
    <w:multiLevelType w:val="multilevel"/>
    <w:tmpl w:val="39E42C35"/>
    <w:lvl w:ilvl="0" w:tentative="0">
      <w:start w:val="1"/>
      <w:numFmt w:val="chineseCountingThousand"/>
      <w:pStyle w:val="58"/>
      <w:suff w:val="nothing"/>
      <w:lvlText w:val="第%1章"/>
      <w:lvlJc w:val="left"/>
      <w:pPr>
        <w:ind w:left="0" w:firstLine="0"/>
      </w:pPr>
      <w:rPr>
        <w:rFonts w:hint="default"/>
      </w:rPr>
    </w:lvl>
    <w:lvl w:ilvl="1" w:tentative="0">
      <w:start w:val="1"/>
      <w:numFmt w:val="none"/>
      <w:pStyle w:val="54"/>
      <w:suff w:val="nothing"/>
      <w:lvlText w:val=""/>
      <w:lvlJc w:val="left"/>
      <w:pPr>
        <w:ind w:left="0" w:firstLine="0"/>
      </w:pPr>
      <w:rPr>
        <w:rFonts w:hint="default"/>
      </w:rPr>
    </w:lvl>
    <w:lvl w:ilvl="2" w:tentative="0">
      <w:start w:val="1"/>
      <w:numFmt w:val="none"/>
      <w:pStyle w:val="4"/>
      <w:suff w:val="nothing"/>
      <w:lvlText w:val=""/>
      <w:lvlJc w:val="left"/>
      <w:pPr>
        <w:ind w:left="0" w:firstLine="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default"/>
      </w:rPr>
    </w:lvl>
    <w:lvl w:ilvl="5" w:tentative="0">
      <w:start w:val="1"/>
      <w:numFmt w:val="none"/>
      <w:pStyle w:val="7"/>
      <w:suff w:val="nothing"/>
      <w:lvlText w:val=""/>
      <w:lvlJc w:val="left"/>
      <w:pPr>
        <w:ind w:left="0"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abstractNum w:abstractNumId="2">
    <w:nsid w:val="657D3FBC"/>
    <w:multiLevelType w:val="multilevel"/>
    <w:tmpl w:val="657D3FBC"/>
    <w:lvl w:ilvl="0" w:tentative="0">
      <w:start w:val="1"/>
      <w:numFmt w:val="upperLetter"/>
      <w:pStyle w:val="102"/>
      <w:suff w:val="nothing"/>
      <w:lvlText w:val="附　录　%1"/>
      <w:lvlJc w:val="left"/>
      <w:pPr>
        <w:ind w:left="0" w:firstLine="0"/>
      </w:pPr>
      <w:rPr>
        <w:rFonts w:hint="eastAsia" w:ascii="黑体" w:hAnsi="Times New Roman" w:eastAsia="黑体"/>
        <w:b w:val="0"/>
        <w:i w:val="0"/>
        <w:sz w:val="21"/>
      </w:rPr>
    </w:lvl>
    <w:lvl w:ilvl="1" w:tentative="0">
      <w:start w:val="1"/>
      <w:numFmt w:val="decimal"/>
      <w:lvlText w:val="%2."/>
      <w:lvlJc w:val="left"/>
      <w:pPr>
        <w:tabs>
          <w:tab w:val="left" w:pos="420"/>
        </w:tabs>
        <w:ind w:left="420" w:hanging="420"/>
      </w:pPr>
      <w:rPr>
        <w:rFonts w:hint="eastAsia"/>
        <w:b w:val="0"/>
        <w:i w:val="0"/>
        <w:sz w:val="21"/>
      </w:rPr>
    </w:lvl>
    <w:lvl w:ilvl="2" w:tentative="0">
      <w:start w:val="1"/>
      <w:numFmt w:val="decimal"/>
      <w:pStyle w:val="103"/>
      <w:suff w:val="nothing"/>
      <w:lvlText w:val="%1.%2.%3　"/>
      <w:lvlJc w:val="left"/>
      <w:pPr>
        <w:ind w:left="1418"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C5"/>
    <w:rsid w:val="00001465"/>
    <w:rsid w:val="000019C0"/>
    <w:rsid w:val="00011F61"/>
    <w:rsid w:val="00022946"/>
    <w:rsid w:val="0002609A"/>
    <w:rsid w:val="0003229B"/>
    <w:rsid w:val="00050B57"/>
    <w:rsid w:val="00052314"/>
    <w:rsid w:val="00053C45"/>
    <w:rsid w:val="00057027"/>
    <w:rsid w:val="00057E42"/>
    <w:rsid w:val="000612D7"/>
    <w:rsid w:val="00064D0C"/>
    <w:rsid w:val="00070FB4"/>
    <w:rsid w:val="000745DF"/>
    <w:rsid w:val="000B1F1F"/>
    <w:rsid w:val="000B202D"/>
    <w:rsid w:val="000B540D"/>
    <w:rsid w:val="000B6108"/>
    <w:rsid w:val="000C12C6"/>
    <w:rsid w:val="000E4719"/>
    <w:rsid w:val="000F5032"/>
    <w:rsid w:val="000F656D"/>
    <w:rsid w:val="00101EF8"/>
    <w:rsid w:val="00103678"/>
    <w:rsid w:val="00103D39"/>
    <w:rsid w:val="001165AE"/>
    <w:rsid w:val="001169A4"/>
    <w:rsid w:val="00116A6A"/>
    <w:rsid w:val="0012192E"/>
    <w:rsid w:val="001273CF"/>
    <w:rsid w:val="0013140B"/>
    <w:rsid w:val="00132800"/>
    <w:rsid w:val="00157ADD"/>
    <w:rsid w:val="00160F7D"/>
    <w:rsid w:val="00171E70"/>
    <w:rsid w:val="001806E7"/>
    <w:rsid w:val="00180DE1"/>
    <w:rsid w:val="001818FB"/>
    <w:rsid w:val="00184704"/>
    <w:rsid w:val="00191791"/>
    <w:rsid w:val="001A00DD"/>
    <w:rsid w:val="001A1227"/>
    <w:rsid w:val="001A20BF"/>
    <w:rsid w:val="001A2551"/>
    <w:rsid w:val="001A777D"/>
    <w:rsid w:val="001C134A"/>
    <w:rsid w:val="001F2F14"/>
    <w:rsid w:val="00216C70"/>
    <w:rsid w:val="002356D9"/>
    <w:rsid w:val="00244336"/>
    <w:rsid w:val="00251FB3"/>
    <w:rsid w:val="00255275"/>
    <w:rsid w:val="00257FFB"/>
    <w:rsid w:val="0026042A"/>
    <w:rsid w:val="00265D89"/>
    <w:rsid w:val="0028552C"/>
    <w:rsid w:val="00286CD8"/>
    <w:rsid w:val="00295418"/>
    <w:rsid w:val="002A3C06"/>
    <w:rsid w:val="002A58FE"/>
    <w:rsid w:val="002A5FA6"/>
    <w:rsid w:val="002B1DA7"/>
    <w:rsid w:val="002B59C5"/>
    <w:rsid w:val="002B6851"/>
    <w:rsid w:val="002C0C2B"/>
    <w:rsid w:val="002C1403"/>
    <w:rsid w:val="002C1E3B"/>
    <w:rsid w:val="002E34FD"/>
    <w:rsid w:val="002E6CFE"/>
    <w:rsid w:val="002F6901"/>
    <w:rsid w:val="00303662"/>
    <w:rsid w:val="00306C8F"/>
    <w:rsid w:val="00314905"/>
    <w:rsid w:val="003150CA"/>
    <w:rsid w:val="003169D3"/>
    <w:rsid w:val="00325FAE"/>
    <w:rsid w:val="00340600"/>
    <w:rsid w:val="0036180B"/>
    <w:rsid w:val="00363974"/>
    <w:rsid w:val="00364304"/>
    <w:rsid w:val="00374E2D"/>
    <w:rsid w:val="00380C26"/>
    <w:rsid w:val="003B4D1F"/>
    <w:rsid w:val="003B6D8B"/>
    <w:rsid w:val="003D372A"/>
    <w:rsid w:val="003D450E"/>
    <w:rsid w:val="003D6A5B"/>
    <w:rsid w:val="003E7D11"/>
    <w:rsid w:val="00406890"/>
    <w:rsid w:val="0041357D"/>
    <w:rsid w:val="00421536"/>
    <w:rsid w:val="00425660"/>
    <w:rsid w:val="00437469"/>
    <w:rsid w:val="004448F4"/>
    <w:rsid w:val="00456891"/>
    <w:rsid w:val="004639BC"/>
    <w:rsid w:val="004642E0"/>
    <w:rsid w:val="00464C2F"/>
    <w:rsid w:val="00466B66"/>
    <w:rsid w:val="00466B8E"/>
    <w:rsid w:val="0047395C"/>
    <w:rsid w:val="004869E2"/>
    <w:rsid w:val="004910FF"/>
    <w:rsid w:val="00491C1C"/>
    <w:rsid w:val="00494E5C"/>
    <w:rsid w:val="00495762"/>
    <w:rsid w:val="004A3703"/>
    <w:rsid w:val="004A7C23"/>
    <w:rsid w:val="004B1813"/>
    <w:rsid w:val="004B346E"/>
    <w:rsid w:val="004B3707"/>
    <w:rsid w:val="004B3980"/>
    <w:rsid w:val="004B47FC"/>
    <w:rsid w:val="004C0E8B"/>
    <w:rsid w:val="004D34CB"/>
    <w:rsid w:val="004E1B1C"/>
    <w:rsid w:val="004F19EE"/>
    <w:rsid w:val="00507573"/>
    <w:rsid w:val="00511152"/>
    <w:rsid w:val="00521AAF"/>
    <w:rsid w:val="00521E0B"/>
    <w:rsid w:val="00527C2F"/>
    <w:rsid w:val="00527E71"/>
    <w:rsid w:val="005308A2"/>
    <w:rsid w:val="00537120"/>
    <w:rsid w:val="0054061C"/>
    <w:rsid w:val="00553389"/>
    <w:rsid w:val="00560B8B"/>
    <w:rsid w:val="0056199E"/>
    <w:rsid w:val="005627A1"/>
    <w:rsid w:val="00562B13"/>
    <w:rsid w:val="00566DDD"/>
    <w:rsid w:val="00567E12"/>
    <w:rsid w:val="00572EA7"/>
    <w:rsid w:val="005828E7"/>
    <w:rsid w:val="0058404A"/>
    <w:rsid w:val="00591A1A"/>
    <w:rsid w:val="005A6ABA"/>
    <w:rsid w:val="005B242F"/>
    <w:rsid w:val="005C0914"/>
    <w:rsid w:val="005C5604"/>
    <w:rsid w:val="005E35AF"/>
    <w:rsid w:val="006047B9"/>
    <w:rsid w:val="006157DC"/>
    <w:rsid w:val="006243DD"/>
    <w:rsid w:val="00636B28"/>
    <w:rsid w:val="00641F08"/>
    <w:rsid w:val="006474C5"/>
    <w:rsid w:val="006558F1"/>
    <w:rsid w:val="0066513A"/>
    <w:rsid w:val="006811A6"/>
    <w:rsid w:val="00682B27"/>
    <w:rsid w:val="00692FA4"/>
    <w:rsid w:val="00694727"/>
    <w:rsid w:val="006A6F51"/>
    <w:rsid w:val="006B0C8C"/>
    <w:rsid w:val="006C37F7"/>
    <w:rsid w:val="006D5040"/>
    <w:rsid w:val="006E508B"/>
    <w:rsid w:val="006E6369"/>
    <w:rsid w:val="006F203A"/>
    <w:rsid w:val="007020DD"/>
    <w:rsid w:val="00713F90"/>
    <w:rsid w:val="007230F0"/>
    <w:rsid w:val="00737022"/>
    <w:rsid w:val="00742F16"/>
    <w:rsid w:val="00743FFE"/>
    <w:rsid w:val="0075617D"/>
    <w:rsid w:val="00760749"/>
    <w:rsid w:val="0076719F"/>
    <w:rsid w:val="007745D0"/>
    <w:rsid w:val="007777B9"/>
    <w:rsid w:val="007D248A"/>
    <w:rsid w:val="007E0DE3"/>
    <w:rsid w:val="007E2004"/>
    <w:rsid w:val="007E35B6"/>
    <w:rsid w:val="007E4555"/>
    <w:rsid w:val="007E73BA"/>
    <w:rsid w:val="00812A7E"/>
    <w:rsid w:val="00814403"/>
    <w:rsid w:val="00814CFF"/>
    <w:rsid w:val="00817061"/>
    <w:rsid w:val="00817545"/>
    <w:rsid w:val="00820C0A"/>
    <w:rsid w:val="00826691"/>
    <w:rsid w:val="00830CD6"/>
    <w:rsid w:val="008420D4"/>
    <w:rsid w:val="008516F4"/>
    <w:rsid w:val="008540FA"/>
    <w:rsid w:val="008618D8"/>
    <w:rsid w:val="00863AB3"/>
    <w:rsid w:val="0086475E"/>
    <w:rsid w:val="00865CB5"/>
    <w:rsid w:val="00866EB5"/>
    <w:rsid w:val="00890716"/>
    <w:rsid w:val="0089192A"/>
    <w:rsid w:val="0089407B"/>
    <w:rsid w:val="008B6CCF"/>
    <w:rsid w:val="008C2876"/>
    <w:rsid w:val="00903413"/>
    <w:rsid w:val="0090407F"/>
    <w:rsid w:val="009174BD"/>
    <w:rsid w:val="00926BB2"/>
    <w:rsid w:val="009560AC"/>
    <w:rsid w:val="00961BD6"/>
    <w:rsid w:val="00970E56"/>
    <w:rsid w:val="00975A5B"/>
    <w:rsid w:val="00977372"/>
    <w:rsid w:val="009A54F0"/>
    <w:rsid w:val="009A73AB"/>
    <w:rsid w:val="009B44DE"/>
    <w:rsid w:val="009C1993"/>
    <w:rsid w:val="009C7DDF"/>
    <w:rsid w:val="009E3DDB"/>
    <w:rsid w:val="009E68E4"/>
    <w:rsid w:val="009F22CC"/>
    <w:rsid w:val="009F7321"/>
    <w:rsid w:val="009F7A69"/>
    <w:rsid w:val="009F7F04"/>
    <w:rsid w:val="00A0747A"/>
    <w:rsid w:val="00A221D9"/>
    <w:rsid w:val="00A2687B"/>
    <w:rsid w:val="00A30237"/>
    <w:rsid w:val="00A422C8"/>
    <w:rsid w:val="00A4647D"/>
    <w:rsid w:val="00A504FE"/>
    <w:rsid w:val="00A5381A"/>
    <w:rsid w:val="00A711D5"/>
    <w:rsid w:val="00A7521D"/>
    <w:rsid w:val="00A8276B"/>
    <w:rsid w:val="00A8280D"/>
    <w:rsid w:val="00AA37CC"/>
    <w:rsid w:val="00AC0E5D"/>
    <w:rsid w:val="00AC3BB2"/>
    <w:rsid w:val="00AE34C4"/>
    <w:rsid w:val="00AE5DD1"/>
    <w:rsid w:val="00AF44E9"/>
    <w:rsid w:val="00B03830"/>
    <w:rsid w:val="00B165C5"/>
    <w:rsid w:val="00B22E5F"/>
    <w:rsid w:val="00B2371B"/>
    <w:rsid w:val="00B465AB"/>
    <w:rsid w:val="00B52858"/>
    <w:rsid w:val="00B53525"/>
    <w:rsid w:val="00B560DC"/>
    <w:rsid w:val="00B57829"/>
    <w:rsid w:val="00B625A0"/>
    <w:rsid w:val="00B661C3"/>
    <w:rsid w:val="00B7074E"/>
    <w:rsid w:val="00B725E1"/>
    <w:rsid w:val="00B77A2A"/>
    <w:rsid w:val="00B93551"/>
    <w:rsid w:val="00BA4D4E"/>
    <w:rsid w:val="00BB184A"/>
    <w:rsid w:val="00BB3A66"/>
    <w:rsid w:val="00BB40EA"/>
    <w:rsid w:val="00BB563B"/>
    <w:rsid w:val="00BB7A99"/>
    <w:rsid w:val="00BC306A"/>
    <w:rsid w:val="00BE1052"/>
    <w:rsid w:val="00BE5C31"/>
    <w:rsid w:val="00BE6B41"/>
    <w:rsid w:val="00BE6C5F"/>
    <w:rsid w:val="00C12859"/>
    <w:rsid w:val="00C135AC"/>
    <w:rsid w:val="00C20FD1"/>
    <w:rsid w:val="00C423B0"/>
    <w:rsid w:val="00C433B5"/>
    <w:rsid w:val="00C573CD"/>
    <w:rsid w:val="00C73312"/>
    <w:rsid w:val="00C73EB4"/>
    <w:rsid w:val="00C82672"/>
    <w:rsid w:val="00C97847"/>
    <w:rsid w:val="00CA576C"/>
    <w:rsid w:val="00CA7AA6"/>
    <w:rsid w:val="00CC09E4"/>
    <w:rsid w:val="00CD2259"/>
    <w:rsid w:val="00CE7A9C"/>
    <w:rsid w:val="00CF464B"/>
    <w:rsid w:val="00CF7B8D"/>
    <w:rsid w:val="00D05D7F"/>
    <w:rsid w:val="00D07AF7"/>
    <w:rsid w:val="00D07BF1"/>
    <w:rsid w:val="00D17B05"/>
    <w:rsid w:val="00D2040A"/>
    <w:rsid w:val="00D24F55"/>
    <w:rsid w:val="00D447EB"/>
    <w:rsid w:val="00D45161"/>
    <w:rsid w:val="00D62B0C"/>
    <w:rsid w:val="00D65DD8"/>
    <w:rsid w:val="00D710DA"/>
    <w:rsid w:val="00D73616"/>
    <w:rsid w:val="00D86339"/>
    <w:rsid w:val="00D9690F"/>
    <w:rsid w:val="00DA563A"/>
    <w:rsid w:val="00DC0B56"/>
    <w:rsid w:val="00DC3386"/>
    <w:rsid w:val="00DC53B2"/>
    <w:rsid w:val="00DD164E"/>
    <w:rsid w:val="00DD20AE"/>
    <w:rsid w:val="00DD6140"/>
    <w:rsid w:val="00DE2BE8"/>
    <w:rsid w:val="00E01F48"/>
    <w:rsid w:val="00E04350"/>
    <w:rsid w:val="00E046F3"/>
    <w:rsid w:val="00E07E71"/>
    <w:rsid w:val="00E148A3"/>
    <w:rsid w:val="00E17AB5"/>
    <w:rsid w:val="00E214DF"/>
    <w:rsid w:val="00E23D47"/>
    <w:rsid w:val="00E3038D"/>
    <w:rsid w:val="00E523E2"/>
    <w:rsid w:val="00E61787"/>
    <w:rsid w:val="00E7078E"/>
    <w:rsid w:val="00E73939"/>
    <w:rsid w:val="00EB197D"/>
    <w:rsid w:val="00ED3B75"/>
    <w:rsid w:val="00ED43CF"/>
    <w:rsid w:val="00ED655A"/>
    <w:rsid w:val="00ED6571"/>
    <w:rsid w:val="00EE2747"/>
    <w:rsid w:val="00EF1CBF"/>
    <w:rsid w:val="00F1191C"/>
    <w:rsid w:val="00F1561E"/>
    <w:rsid w:val="00F44404"/>
    <w:rsid w:val="00F53379"/>
    <w:rsid w:val="00F606E9"/>
    <w:rsid w:val="00F65A0F"/>
    <w:rsid w:val="00F67B93"/>
    <w:rsid w:val="00F7424A"/>
    <w:rsid w:val="00F748FA"/>
    <w:rsid w:val="00F77ACB"/>
    <w:rsid w:val="00F802D0"/>
    <w:rsid w:val="00F9389A"/>
    <w:rsid w:val="00F951CF"/>
    <w:rsid w:val="00FB7C04"/>
    <w:rsid w:val="00FD08E8"/>
    <w:rsid w:val="00FD5C9E"/>
    <w:rsid w:val="00FE1DBA"/>
    <w:rsid w:val="00FE4883"/>
    <w:rsid w:val="00FE532C"/>
    <w:rsid w:val="00FE62E6"/>
    <w:rsid w:val="5477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9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9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9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95"/>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9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ind w:firstLine="420" w:firstLineChars="200"/>
    </w:pPr>
  </w:style>
  <w:style w:type="paragraph" w:styleId="12">
    <w:name w:val="Document Map"/>
    <w:basedOn w:val="1"/>
    <w:link w:val="99"/>
    <w:uiPriority w:val="0"/>
    <w:pPr>
      <w:shd w:val="clear" w:color="auto" w:fill="000080"/>
    </w:pPr>
  </w:style>
  <w:style w:type="paragraph" w:styleId="13">
    <w:name w:val="annotation text"/>
    <w:basedOn w:val="1"/>
    <w:link w:val="70"/>
    <w:semiHidden/>
    <w:unhideWhenUsed/>
    <w:qFormat/>
    <w:uiPriority w:val="99"/>
    <w:pPr>
      <w:jc w:val="left"/>
    </w:pPr>
    <w:rPr>
      <w:szCs w:val="21"/>
    </w:rPr>
  </w:style>
  <w:style w:type="paragraph" w:styleId="14">
    <w:name w:val="Body Text"/>
    <w:basedOn w:val="1"/>
    <w:link w:val="114"/>
    <w:uiPriority w:val="0"/>
    <w:pPr>
      <w:spacing w:after="120"/>
    </w:pPr>
  </w:style>
  <w:style w:type="paragraph" w:styleId="15">
    <w:name w:val="Body Text Indent"/>
    <w:basedOn w:val="1"/>
    <w:link w:val="80"/>
    <w:qFormat/>
    <w:uiPriority w:val="99"/>
    <w:pPr>
      <w:adjustRightInd w:val="0"/>
      <w:spacing w:line="300" w:lineRule="exact"/>
      <w:ind w:firstLine="420" w:firstLineChars="200"/>
      <w:textAlignment w:val="baseline"/>
    </w:pPr>
    <w:rPr>
      <w:kern w:val="0"/>
      <w:szCs w:val="20"/>
    </w:rPr>
  </w:style>
  <w:style w:type="paragraph" w:styleId="16">
    <w:name w:val="toc 3"/>
    <w:basedOn w:val="17"/>
    <w:next w:val="1"/>
    <w:semiHidden/>
    <w:qFormat/>
    <w:uiPriority w:val="0"/>
    <w:pPr>
      <w:widowControl/>
      <w:ind w:left="0" w:leftChars="0"/>
    </w:pPr>
    <w:rPr>
      <w:rFonts w:ascii="宋体"/>
      <w:kern w:val="0"/>
      <w:szCs w:val="20"/>
    </w:rPr>
  </w:style>
  <w:style w:type="paragraph" w:styleId="17">
    <w:name w:val="toc 2"/>
    <w:basedOn w:val="1"/>
    <w:next w:val="1"/>
    <w:semiHidden/>
    <w:unhideWhenUsed/>
    <w:uiPriority w:val="0"/>
    <w:pPr>
      <w:ind w:left="420" w:leftChars="200"/>
    </w:pPr>
  </w:style>
  <w:style w:type="paragraph" w:styleId="18">
    <w:name w:val="Plain Text"/>
    <w:basedOn w:val="1"/>
    <w:link w:val="50"/>
    <w:uiPriority w:val="0"/>
    <w:rPr>
      <w:rFonts w:ascii="宋体" w:hAnsi="Courier New" w:cs="Courier New"/>
      <w:szCs w:val="21"/>
    </w:rPr>
  </w:style>
  <w:style w:type="paragraph" w:styleId="19">
    <w:name w:val="Date"/>
    <w:basedOn w:val="1"/>
    <w:next w:val="1"/>
    <w:link w:val="49"/>
    <w:qFormat/>
    <w:uiPriority w:val="0"/>
    <w:pPr>
      <w:ind w:left="100" w:leftChars="2500"/>
    </w:pPr>
    <w:rPr>
      <w:rFonts w:eastAsia="Times New Roman"/>
    </w:rPr>
  </w:style>
  <w:style w:type="paragraph" w:styleId="20">
    <w:name w:val="Balloon Text"/>
    <w:basedOn w:val="1"/>
    <w:link w:val="64"/>
    <w:qFormat/>
    <w:uiPriority w:val="99"/>
    <w:rPr>
      <w:sz w:val="18"/>
      <w:szCs w:val="18"/>
    </w:rPr>
  </w:style>
  <w:style w:type="paragraph" w:styleId="21">
    <w:name w:val="footer"/>
    <w:basedOn w:val="1"/>
    <w:link w:val="72"/>
    <w:qFormat/>
    <w:uiPriority w:val="0"/>
    <w:pPr>
      <w:tabs>
        <w:tab w:val="center" w:pos="4153"/>
        <w:tab w:val="right" w:pos="8306"/>
      </w:tabs>
      <w:snapToGrid w:val="0"/>
      <w:jc w:val="left"/>
    </w:pPr>
    <w:rPr>
      <w:sz w:val="18"/>
      <w:szCs w:val="18"/>
    </w:rPr>
  </w:style>
  <w:style w:type="paragraph" w:styleId="22">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line="360" w:lineRule="auto"/>
    </w:pPr>
    <w:rPr>
      <w:rFonts w:asciiTheme="minorHAnsi" w:hAnsiTheme="minorHAnsi" w:eastAsiaTheme="minorEastAsia" w:cstheme="minorBidi"/>
      <w:sz w:val="24"/>
      <w:szCs w:val="22"/>
    </w:rPr>
  </w:style>
  <w:style w:type="paragraph" w:styleId="24">
    <w:name w:val="footnote text"/>
    <w:basedOn w:val="1"/>
    <w:link w:val="100"/>
    <w:uiPriority w:val="0"/>
    <w:pPr>
      <w:snapToGrid w:val="0"/>
      <w:jc w:val="left"/>
    </w:pPr>
    <w:rPr>
      <w:sz w:val="18"/>
      <w:szCs w:val="18"/>
    </w:rPr>
  </w:style>
  <w:style w:type="paragraph" w:styleId="25">
    <w:name w:val="annotation subject"/>
    <w:basedOn w:val="13"/>
    <w:next w:val="13"/>
    <w:link w:val="113"/>
    <w:semiHidden/>
    <w:unhideWhenUsed/>
    <w:uiPriority w:val="99"/>
    <w:rPr>
      <w:rFonts w:asciiTheme="minorHAnsi" w:hAnsiTheme="minorHAnsi" w:eastAsiaTheme="minorEastAsia" w:cstheme="minorBidi"/>
      <w:b/>
      <w:bCs/>
      <w:szCs w:val="22"/>
    </w:rPr>
  </w:style>
  <w:style w:type="table" w:styleId="27">
    <w:name w:val="Table Grid"/>
    <w:basedOn w:val="2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FollowedHyperlink"/>
    <w:basedOn w:val="28"/>
    <w:semiHidden/>
    <w:unhideWhenUsed/>
    <w:uiPriority w:val="99"/>
    <w:rPr>
      <w:color w:val="800080"/>
      <w:u w:val="single"/>
    </w:rPr>
  </w:style>
  <w:style w:type="character" w:styleId="31">
    <w:name w:val="Hyperlink"/>
    <w:basedOn w:val="28"/>
    <w:semiHidden/>
    <w:unhideWhenUsed/>
    <w:uiPriority w:val="99"/>
    <w:rPr>
      <w:color w:val="0000FF"/>
      <w:u w:val="single"/>
    </w:rPr>
  </w:style>
  <w:style w:type="character" w:styleId="32">
    <w:name w:val="annotation reference"/>
    <w:basedOn w:val="28"/>
    <w:semiHidden/>
    <w:unhideWhenUsed/>
    <w:uiPriority w:val="99"/>
    <w:rPr>
      <w:sz w:val="21"/>
      <w:szCs w:val="21"/>
    </w:rPr>
  </w:style>
  <w:style w:type="character" w:styleId="33">
    <w:name w:val="footnote reference"/>
    <w:basedOn w:val="28"/>
    <w:uiPriority w:val="0"/>
    <w:rPr>
      <w:vertAlign w:val="superscript"/>
    </w:rPr>
  </w:style>
  <w:style w:type="paragraph" w:customStyle="1" w:styleId="34">
    <w:name w:val="标准"/>
    <w:basedOn w:val="1"/>
    <w:uiPriority w:val="0"/>
    <w:pPr>
      <w:adjustRightInd w:val="0"/>
      <w:spacing w:line="312" w:lineRule="atLeast"/>
      <w:jc w:val="center"/>
      <w:textAlignment w:val="baseline"/>
    </w:pPr>
    <w:rPr>
      <w:kern w:val="0"/>
      <w:szCs w:val="20"/>
    </w:rPr>
  </w:style>
  <w:style w:type="paragraph" w:customStyle="1" w:styleId="35">
    <w:name w:val="段"/>
    <w:link w:val="6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标准称谓"/>
    <w:next w:val="1"/>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39">
    <w:name w:val="标准书脚_奇数页"/>
    <w:uiPriority w:val="99"/>
    <w:pPr>
      <w:spacing w:before="120"/>
      <w:jc w:val="right"/>
    </w:pPr>
    <w:rPr>
      <w:rFonts w:ascii="Times New Roman" w:hAnsi="Times New Roman" w:eastAsia="宋体" w:cs="Times New Roman"/>
      <w:sz w:val="18"/>
      <w:lang w:val="en-US" w:eastAsia="zh-CN" w:bidi="ar-SA"/>
    </w:rPr>
  </w:style>
  <w:style w:type="paragraph" w:customStyle="1" w:styleId="40">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
    <w:name w:val="标准书眉_偶数页"/>
    <w:basedOn w:val="40"/>
    <w:next w:val="1"/>
    <w:uiPriority w:val="0"/>
    <w:pPr>
      <w:jc w:val="left"/>
    </w:pPr>
  </w:style>
  <w:style w:type="paragraph" w:customStyle="1" w:styleId="42">
    <w:name w:val="标准书眉一"/>
    <w:uiPriority w:val="99"/>
    <w:pPr>
      <w:jc w:val="both"/>
    </w:pPr>
    <w:rPr>
      <w:rFonts w:ascii="Times New Roman" w:hAnsi="Times New Roman" w:eastAsia="宋体" w:cs="Times New Roman"/>
      <w:lang w:val="en-US" w:eastAsia="zh-CN" w:bidi="ar-SA"/>
    </w:rPr>
  </w:style>
  <w:style w:type="character" w:customStyle="1" w:styleId="43">
    <w:name w:val="发布"/>
    <w:basedOn w:val="28"/>
    <w:uiPriority w:val="99"/>
    <w:rPr>
      <w:rFonts w:ascii="黑体" w:eastAsia="黑体"/>
      <w:spacing w:val="22"/>
      <w:w w:val="100"/>
      <w:position w:val="3"/>
      <w:sz w:val="28"/>
    </w:rPr>
  </w:style>
  <w:style w:type="paragraph" w:customStyle="1" w:styleId="44">
    <w:name w:val="发布部门"/>
    <w:next w:val="35"/>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5">
    <w:name w:val="发布日期"/>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6">
    <w:name w:val="封面正文"/>
    <w:uiPriority w:val="99"/>
    <w:pPr>
      <w:jc w:val="both"/>
    </w:pPr>
    <w:rPr>
      <w:rFonts w:ascii="Times New Roman" w:hAnsi="Times New Roman" w:eastAsia="宋体" w:cs="Times New Roman"/>
      <w:lang w:val="en-US" w:eastAsia="zh-CN" w:bidi="ar-SA"/>
    </w:rPr>
  </w:style>
  <w:style w:type="paragraph" w:customStyle="1" w:styleId="47">
    <w:name w:val="实施日期"/>
    <w:basedOn w:val="45"/>
    <w:uiPriority w:val="99"/>
    <w:pPr>
      <w:framePr w:hSpace="0" w:xAlign="right"/>
      <w:jc w:val="right"/>
    </w:pPr>
  </w:style>
  <w:style w:type="paragraph" w:customStyle="1" w:styleId="48">
    <w:name w:val="文献分类号"/>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49">
    <w:name w:val="日期 Char"/>
    <w:basedOn w:val="28"/>
    <w:link w:val="19"/>
    <w:qFormat/>
    <w:uiPriority w:val="0"/>
    <w:rPr>
      <w:kern w:val="2"/>
      <w:sz w:val="21"/>
      <w:szCs w:val="24"/>
      <w:lang w:bidi="ar-SA"/>
    </w:rPr>
  </w:style>
  <w:style w:type="character" w:customStyle="1" w:styleId="50">
    <w:name w:val="纯文本 Char"/>
    <w:basedOn w:val="28"/>
    <w:link w:val="18"/>
    <w:uiPriority w:val="0"/>
    <w:rPr>
      <w:rFonts w:ascii="宋体" w:hAnsi="Courier New" w:eastAsia="宋体" w:cs="Courier New"/>
      <w:kern w:val="2"/>
      <w:sz w:val="21"/>
      <w:szCs w:val="21"/>
      <w:lang w:val="en-US" w:eastAsia="zh-CN" w:bidi="ar-SA"/>
    </w:rPr>
  </w:style>
  <w:style w:type="paragraph" w:customStyle="1" w:styleId="51">
    <w:name w:val="目次、标准名称标题"/>
    <w:basedOn w:val="1"/>
    <w:next w:val="35"/>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一级条标题"/>
    <w:next w:val="1"/>
    <w:qFormat/>
    <w:uiPriority w:val="0"/>
    <w:pPr>
      <w:outlineLvl w:val="2"/>
    </w:pPr>
    <w:rPr>
      <w:rFonts w:ascii="Times New Roman" w:hAnsi="Times New Roman" w:eastAsia="黑体" w:cs="Times New Roman"/>
      <w:kern w:val="2"/>
      <w:sz w:val="21"/>
      <w:szCs w:val="24"/>
      <w:lang w:val="en-US" w:eastAsia="zh-CN" w:bidi="ar-SA"/>
    </w:rPr>
  </w:style>
  <w:style w:type="paragraph" w:customStyle="1" w:styleId="53">
    <w:name w:val="二级条标题"/>
    <w:basedOn w:val="52"/>
    <w:next w:val="1"/>
    <w:qFormat/>
    <w:uiPriority w:val="0"/>
    <w:pPr>
      <w:outlineLvl w:val="3"/>
    </w:pPr>
  </w:style>
  <w:style w:type="paragraph" w:customStyle="1" w:styleId="54">
    <w:name w:val="章标题"/>
    <w:next w:val="1"/>
    <w:link w:val="74"/>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5">
    <w:name w:val="图表脚注"/>
    <w:next w:val="1"/>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56">
    <w:name w:val="封面标准文稿编辑信息"/>
    <w:uiPriority w:val="99"/>
    <w:pPr>
      <w:spacing w:before="180" w:line="180" w:lineRule="exact"/>
      <w:jc w:val="center"/>
    </w:pPr>
    <w:rPr>
      <w:rFonts w:ascii="宋体" w:hAnsi="Times New Roman" w:eastAsia="宋体" w:cs="Times New Roman"/>
      <w:sz w:val="21"/>
      <w:lang w:val="en-US" w:eastAsia="zh-CN" w:bidi="ar-SA"/>
    </w:rPr>
  </w:style>
  <w:style w:type="paragraph" w:customStyle="1" w:styleId="57">
    <w:name w:val="正文表标题"/>
    <w:next w:val="35"/>
    <w:uiPriority w:val="0"/>
    <w:pPr>
      <w:tabs>
        <w:tab w:val="left" w:pos="360"/>
      </w:tabs>
      <w:ind w:left="360" w:hanging="360"/>
      <w:jc w:val="center"/>
    </w:pPr>
    <w:rPr>
      <w:rFonts w:ascii="黑体" w:hAnsi="Times New Roman" w:eastAsia="黑体" w:cs="Times New Roman"/>
      <w:sz w:val="21"/>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Defaul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0">
    <w:name w:val="四级条标题"/>
    <w:basedOn w:val="1"/>
    <w:next w:val="35"/>
    <w:qFormat/>
    <w:uiPriority w:val="0"/>
    <w:pPr>
      <w:widowControl/>
      <w:outlineLvl w:val="5"/>
    </w:pPr>
    <w:rPr>
      <w:rFonts w:ascii="黑体" w:eastAsia="黑体"/>
      <w:kern w:val="0"/>
      <w:szCs w:val="20"/>
    </w:rPr>
  </w:style>
  <w:style w:type="paragraph" w:customStyle="1" w:styleId="61">
    <w:name w:val="封面标准文稿类别"/>
    <w:uiPriority w:val="0"/>
    <w:pPr>
      <w:spacing w:before="440" w:after="200" w:line="400" w:lineRule="exact"/>
      <w:jc w:val="center"/>
    </w:pPr>
    <w:rPr>
      <w:rFonts w:ascii="宋体" w:hAnsi="宋体" w:eastAsia="宋体" w:cs="宋体"/>
      <w:color w:val="000000"/>
      <w:sz w:val="24"/>
      <w:szCs w:val="22"/>
      <w:lang w:val="en-US" w:eastAsia="zh-CN" w:bidi="ar-SA"/>
    </w:rPr>
  </w:style>
  <w:style w:type="character" w:customStyle="1" w:styleId="62">
    <w:name w:val="段 Char"/>
    <w:link w:val="35"/>
    <w:qFormat/>
    <w:uiPriority w:val="99"/>
    <w:rPr>
      <w:rFonts w:ascii="宋体"/>
      <w:sz w:val="21"/>
      <w:lang w:bidi="ar-SA"/>
    </w:rPr>
  </w:style>
  <w:style w:type="paragraph" w:styleId="63">
    <w:name w:val="List Paragraph"/>
    <w:basedOn w:val="1"/>
    <w:qFormat/>
    <w:uiPriority w:val="34"/>
    <w:pPr>
      <w:ind w:firstLine="420" w:firstLineChars="200"/>
    </w:pPr>
    <w:rPr>
      <w:rFonts w:ascii="Calibri" w:hAnsi="Calibri"/>
      <w:szCs w:val="22"/>
    </w:rPr>
  </w:style>
  <w:style w:type="character" w:customStyle="1" w:styleId="64">
    <w:name w:val="批注框文本 Char"/>
    <w:basedOn w:val="28"/>
    <w:link w:val="20"/>
    <w:qFormat/>
    <w:uiPriority w:val="99"/>
    <w:rPr>
      <w:kern w:val="2"/>
      <w:sz w:val="18"/>
      <w:szCs w:val="18"/>
    </w:rPr>
  </w:style>
  <w:style w:type="paragraph" w:customStyle="1" w:styleId="65">
    <w:name w:val="五级条标题"/>
    <w:basedOn w:val="60"/>
    <w:next w:val="35"/>
    <w:qFormat/>
    <w:uiPriority w:val="0"/>
    <w:pPr>
      <w:spacing w:before="50" w:beforeLines="50" w:after="50" w:afterLines="50"/>
      <w:jc w:val="left"/>
      <w:outlineLvl w:val="6"/>
    </w:pPr>
    <w:rPr>
      <w:szCs w:val="21"/>
    </w:rPr>
  </w:style>
  <w:style w:type="paragraph" w:customStyle="1" w:styleId="66">
    <w:name w:val="p0"/>
    <w:basedOn w:val="1"/>
    <w:qFormat/>
    <w:uiPriority w:val="0"/>
    <w:pPr>
      <w:widowControl/>
      <w:jc w:val="left"/>
    </w:pPr>
    <w:rPr>
      <w:kern w:val="0"/>
      <w:szCs w:val="21"/>
    </w:rPr>
  </w:style>
  <w:style w:type="paragraph" w:customStyle="1" w:styleId="67">
    <w:name w:val="Char Char Char"/>
    <w:basedOn w:val="1"/>
    <w:link w:val="68"/>
    <w:uiPriority w:val="0"/>
    <w:pPr>
      <w:widowControl/>
      <w:spacing w:after="160" w:line="240" w:lineRule="exact"/>
      <w:jc w:val="left"/>
    </w:pPr>
    <w:rPr>
      <w:rFonts w:ascii="Arial" w:hAnsi="Arial" w:cs="Verdana"/>
      <w:b/>
      <w:kern w:val="0"/>
      <w:sz w:val="24"/>
      <w:lang w:eastAsia="en-US"/>
    </w:rPr>
  </w:style>
  <w:style w:type="character" w:customStyle="1" w:styleId="68">
    <w:name w:val="Char Char Char Char"/>
    <w:link w:val="67"/>
    <w:uiPriority w:val="0"/>
    <w:rPr>
      <w:rFonts w:ascii="Arial" w:hAnsi="Arial" w:cs="Verdana"/>
      <w:b/>
      <w:sz w:val="24"/>
      <w:szCs w:val="24"/>
      <w:lang w:eastAsia="en-US"/>
    </w:rPr>
  </w:style>
  <w:style w:type="paragraph" w:customStyle="1" w:styleId="69">
    <w:name w:val="三级条标题"/>
    <w:basedOn w:val="53"/>
    <w:next w:val="35"/>
    <w:qFormat/>
    <w:uiPriority w:val="0"/>
    <w:pPr>
      <w:jc w:val="both"/>
      <w:outlineLvl w:val="4"/>
    </w:pPr>
    <w:rPr>
      <w:rFonts w:ascii="黑体"/>
      <w:kern w:val="0"/>
      <w:szCs w:val="20"/>
    </w:rPr>
  </w:style>
  <w:style w:type="character" w:customStyle="1" w:styleId="70">
    <w:name w:val="批注文字 Char"/>
    <w:basedOn w:val="28"/>
    <w:link w:val="13"/>
    <w:semiHidden/>
    <w:qFormat/>
    <w:uiPriority w:val="99"/>
    <w:rPr>
      <w:kern w:val="2"/>
      <w:sz w:val="21"/>
      <w:szCs w:val="21"/>
    </w:rPr>
  </w:style>
  <w:style w:type="character" w:customStyle="1" w:styleId="71">
    <w:name w:val="页眉 Char"/>
    <w:basedOn w:val="28"/>
    <w:link w:val="22"/>
    <w:qFormat/>
    <w:uiPriority w:val="0"/>
    <w:rPr>
      <w:kern w:val="2"/>
      <w:sz w:val="18"/>
      <w:szCs w:val="18"/>
    </w:rPr>
  </w:style>
  <w:style w:type="character" w:customStyle="1" w:styleId="72">
    <w:name w:val="页脚 Char"/>
    <w:basedOn w:val="28"/>
    <w:link w:val="21"/>
    <w:qFormat/>
    <w:uiPriority w:val="0"/>
    <w:rPr>
      <w:kern w:val="2"/>
      <w:sz w:val="18"/>
      <w:szCs w:val="18"/>
    </w:rPr>
  </w:style>
  <w:style w:type="paragraph" w:customStyle="1" w:styleId="73">
    <w:name w:val="Char Char Char1 Char Char Char Char Char Char Char Char Char Char"/>
    <w:basedOn w:val="1"/>
    <w:qFormat/>
    <w:uiPriority w:val="0"/>
    <w:pPr>
      <w:widowControl/>
      <w:spacing w:after="160" w:line="240" w:lineRule="exact"/>
      <w:jc w:val="left"/>
    </w:pPr>
    <w:rPr>
      <w:szCs w:val="20"/>
    </w:rPr>
  </w:style>
  <w:style w:type="character" w:customStyle="1" w:styleId="74">
    <w:name w:val="章标题 Char"/>
    <w:basedOn w:val="28"/>
    <w:link w:val="54"/>
    <w:qFormat/>
    <w:uiPriority w:val="0"/>
    <w:rPr>
      <w:rFonts w:ascii="黑体" w:eastAsia="黑体"/>
      <w:sz w:val="21"/>
    </w:rPr>
  </w:style>
  <w:style w:type="character" w:customStyle="1" w:styleId="75">
    <w:name w:val="fontstyle01"/>
    <w:basedOn w:val="28"/>
    <w:qFormat/>
    <w:uiPriority w:val="0"/>
    <w:rPr>
      <w:rFonts w:hint="eastAsia" w:ascii="宋体" w:hAnsi="宋体" w:eastAsia="宋体"/>
      <w:color w:val="000000"/>
      <w:sz w:val="22"/>
      <w:szCs w:val="22"/>
    </w:rPr>
  </w:style>
  <w:style w:type="character" w:customStyle="1" w:styleId="76">
    <w:name w:val="fontstyle21"/>
    <w:basedOn w:val="28"/>
    <w:qFormat/>
    <w:uiPriority w:val="0"/>
    <w:rPr>
      <w:rFonts w:hint="default" w:ascii="E-BZ+ZMdJRg-2" w:hAnsi="E-BZ+ZMdJRg-2"/>
      <w:color w:val="000000"/>
      <w:sz w:val="22"/>
      <w:szCs w:val="22"/>
    </w:rPr>
  </w:style>
  <w:style w:type="character" w:customStyle="1" w:styleId="77">
    <w:name w:val="fontstyle11"/>
    <w:basedOn w:val="28"/>
    <w:qFormat/>
    <w:uiPriority w:val="0"/>
    <w:rPr>
      <w:rFonts w:hint="eastAsia" w:ascii="宋体" w:hAnsi="宋体" w:eastAsia="宋体"/>
      <w:color w:val="000000"/>
      <w:sz w:val="22"/>
      <w:szCs w:val="22"/>
    </w:rPr>
  </w:style>
  <w:style w:type="character" w:customStyle="1" w:styleId="78">
    <w:name w:val="fontstyle31"/>
    <w:basedOn w:val="28"/>
    <w:uiPriority w:val="0"/>
    <w:rPr>
      <w:rFonts w:hint="default" w:ascii="E-BZ+ZMdJRg-2" w:hAnsi="E-BZ+ZMdJRg-2"/>
      <w:color w:val="000000"/>
      <w:sz w:val="22"/>
      <w:szCs w:val="22"/>
    </w:rPr>
  </w:style>
  <w:style w:type="character" w:customStyle="1" w:styleId="79">
    <w:name w:val="fontstyle41"/>
    <w:basedOn w:val="28"/>
    <w:qFormat/>
    <w:uiPriority w:val="0"/>
    <w:rPr>
      <w:rFonts w:hint="default" w:ascii="KTJ0+ZMdJRg-5" w:hAnsi="KTJ0+ZMdJRg-5"/>
      <w:color w:val="000000"/>
      <w:sz w:val="22"/>
      <w:szCs w:val="22"/>
    </w:rPr>
  </w:style>
  <w:style w:type="character" w:customStyle="1" w:styleId="80">
    <w:name w:val="正文文本缩进 Char"/>
    <w:basedOn w:val="28"/>
    <w:link w:val="15"/>
    <w:qFormat/>
    <w:uiPriority w:val="99"/>
    <w:rPr>
      <w:sz w:val="21"/>
    </w:rPr>
  </w:style>
  <w:style w:type="paragraph" w:customStyle="1" w:styleId="8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82">
    <w:name w:val="标题 1 Char"/>
    <w:basedOn w:val="28"/>
    <w:link w:val="2"/>
    <w:qFormat/>
    <w:uiPriority w:val="9"/>
    <w:rPr>
      <w:b/>
      <w:bCs/>
      <w:kern w:val="44"/>
      <w:sz w:val="44"/>
      <w:szCs w:val="44"/>
    </w:rPr>
  </w:style>
  <w:style w:type="character" w:customStyle="1" w:styleId="83">
    <w:name w:val="标题 2 Char"/>
    <w:basedOn w:val="28"/>
    <w:link w:val="3"/>
    <w:qFormat/>
    <w:uiPriority w:val="9"/>
    <w:rPr>
      <w:rFonts w:ascii="Arial" w:hAnsi="Arial" w:eastAsia="黑体"/>
      <w:b/>
      <w:bCs/>
      <w:kern w:val="2"/>
      <w:sz w:val="32"/>
      <w:szCs w:val="32"/>
    </w:rPr>
  </w:style>
  <w:style w:type="character" w:customStyle="1" w:styleId="84">
    <w:name w:val="段 Char Char"/>
    <w:qFormat/>
    <w:uiPriority w:val="0"/>
    <w:rPr>
      <w:rFonts w:ascii="宋体" w:hAnsi="宋体"/>
      <w:sz w:val="21"/>
      <w:lang w:val="en-US" w:eastAsia="zh-CN" w:bidi="ar-SA"/>
    </w:rPr>
  </w:style>
  <w:style w:type="character" w:customStyle="1" w:styleId="85">
    <w:name w:val="列项——（一级） Char"/>
    <w:basedOn w:val="28"/>
    <w:link w:val="86"/>
    <w:locked/>
    <w:uiPriority w:val="99"/>
    <w:rPr>
      <w:rFonts w:ascii="宋体" w:cs="宋体"/>
      <w:szCs w:val="21"/>
    </w:rPr>
  </w:style>
  <w:style w:type="paragraph" w:customStyle="1" w:styleId="86">
    <w:name w:val="列项——（一级）"/>
    <w:link w:val="85"/>
    <w:qFormat/>
    <w:uiPriority w:val="99"/>
    <w:pPr>
      <w:widowControl w:val="0"/>
      <w:tabs>
        <w:tab w:val="left" w:pos="854"/>
      </w:tabs>
      <w:ind w:left="840" w:leftChars="200" w:hanging="420" w:hangingChars="200"/>
      <w:jc w:val="both"/>
    </w:pPr>
    <w:rPr>
      <w:rFonts w:ascii="宋体" w:hAnsi="Times New Roman" w:eastAsia="宋体" w:cs="宋体"/>
      <w:szCs w:val="21"/>
      <w:lang w:val="en-US" w:eastAsia="zh-CN" w:bidi="ar-SA"/>
    </w:rPr>
  </w:style>
  <w:style w:type="paragraph" w:customStyle="1" w:styleId="87">
    <w:name w:val="封面标准号2"/>
    <w:basedOn w:val="1"/>
    <w:uiPriority w:val="99"/>
    <w:pPr>
      <w:framePr w:w="9138" w:h="1244" w:hRule="exact" w:wrap="around" w:vAnchor="page" w:hAnchor="margin" w:y="2909"/>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88">
    <w:name w:val="封面标准代替信息"/>
    <w:basedOn w:val="87"/>
    <w:qFormat/>
    <w:uiPriority w:val="99"/>
    <w:pPr>
      <w:framePr/>
      <w:spacing w:before="57"/>
    </w:pPr>
    <w:rPr>
      <w:rFonts w:ascii="宋体" w:cs="宋体"/>
      <w:sz w:val="21"/>
      <w:szCs w:val="21"/>
    </w:rPr>
  </w:style>
  <w:style w:type="paragraph" w:customStyle="1" w:styleId="89">
    <w:name w:val="样式1"/>
    <w:basedOn w:val="1"/>
    <w:uiPriority w:val="99"/>
    <w:pPr>
      <w:tabs>
        <w:tab w:val="left" w:pos="525"/>
      </w:tabs>
    </w:pPr>
    <w:rPr>
      <w:rFonts w:ascii="宋体" w:hAnsi="宋体" w:cs="宋体"/>
      <w:szCs w:val="21"/>
    </w:rPr>
  </w:style>
  <w:style w:type="character" w:customStyle="1" w:styleId="90">
    <w:name w:val="标题 3 Char"/>
    <w:basedOn w:val="28"/>
    <w:link w:val="4"/>
    <w:uiPriority w:val="0"/>
    <w:rPr>
      <w:b/>
      <w:bCs/>
      <w:kern w:val="2"/>
      <w:sz w:val="32"/>
      <w:szCs w:val="32"/>
    </w:rPr>
  </w:style>
  <w:style w:type="character" w:customStyle="1" w:styleId="91">
    <w:name w:val="标题 4 Char"/>
    <w:basedOn w:val="28"/>
    <w:link w:val="5"/>
    <w:qFormat/>
    <w:uiPriority w:val="0"/>
    <w:rPr>
      <w:rFonts w:ascii="Arial" w:hAnsi="Arial" w:eastAsia="黑体"/>
      <w:b/>
      <w:bCs/>
      <w:kern w:val="2"/>
      <w:sz w:val="28"/>
      <w:szCs w:val="28"/>
    </w:rPr>
  </w:style>
  <w:style w:type="character" w:customStyle="1" w:styleId="92">
    <w:name w:val="标题 5 Char"/>
    <w:basedOn w:val="28"/>
    <w:link w:val="6"/>
    <w:uiPriority w:val="0"/>
    <w:rPr>
      <w:b/>
      <w:bCs/>
      <w:kern w:val="2"/>
      <w:sz w:val="28"/>
      <w:szCs w:val="28"/>
    </w:rPr>
  </w:style>
  <w:style w:type="character" w:customStyle="1" w:styleId="93">
    <w:name w:val="标题 6 Char"/>
    <w:basedOn w:val="28"/>
    <w:link w:val="7"/>
    <w:qFormat/>
    <w:uiPriority w:val="0"/>
    <w:rPr>
      <w:rFonts w:ascii="Arial" w:hAnsi="Arial" w:eastAsia="黑体"/>
      <w:b/>
      <w:bCs/>
      <w:kern w:val="2"/>
      <w:sz w:val="24"/>
      <w:szCs w:val="24"/>
    </w:rPr>
  </w:style>
  <w:style w:type="character" w:customStyle="1" w:styleId="94">
    <w:name w:val="标题 7 Char"/>
    <w:basedOn w:val="28"/>
    <w:link w:val="8"/>
    <w:qFormat/>
    <w:uiPriority w:val="0"/>
    <w:rPr>
      <w:b/>
      <w:bCs/>
      <w:kern w:val="2"/>
      <w:sz w:val="24"/>
      <w:szCs w:val="24"/>
    </w:rPr>
  </w:style>
  <w:style w:type="character" w:customStyle="1" w:styleId="95">
    <w:name w:val="标题 8 Char"/>
    <w:basedOn w:val="28"/>
    <w:link w:val="9"/>
    <w:uiPriority w:val="0"/>
    <w:rPr>
      <w:rFonts w:ascii="Arial" w:hAnsi="Arial" w:eastAsia="黑体"/>
      <w:kern w:val="2"/>
      <w:sz w:val="24"/>
      <w:szCs w:val="24"/>
    </w:rPr>
  </w:style>
  <w:style w:type="character" w:customStyle="1" w:styleId="96">
    <w:name w:val="标题 9 Char"/>
    <w:basedOn w:val="28"/>
    <w:link w:val="10"/>
    <w:uiPriority w:val="0"/>
    <w:rPr>
      <w:rFonts w:ascii="Arial" w:hAnsi="Arial" w:eastAsia="黑体"/>
      <w:kern w:val="2"/>
      <w:sz w:val="21"/>
      <w:szCs w:val="21"/>
    </w:rPr>
  </w:style>
  <w:style w:type="character" w:customStyle="1" w:styleId="97">
    <w:name w:val="Plain Text Char"/>
    <w:basedOn w:val="28"/>
    <w:link w:val="98"/>
    <w:locked/>
    <w:uiPriority w:val="0"/>
    <w:rPr>
      <w:rFonts w:ascii="宋体" w:hAnsi="Courier New"/>
    </w:rPr>
  </w:style>
  <w:style w:type="paragraph" w:customStyle="1" w:styleId="98">
    <w:name w:val="纯文本1"/>
    <w:basedOn w:val="1"/>
    <w:link w:val="97"/>
    <w:uiPriority w:val="0"/>
    <w:rPr>
      <w:rFonts w:ascii="宋体" w:hAnsi="Courier New"/>
      <w:kern w:val="0"/>
      <w:sz w:val="20"/>
      <w:szCs w:val="20"/>
    </w:rPr>
  </w:style>
  <w:style w:type="character" w:customStyle="1" w:styleId="99">
    <w:name w:val="文档结构图 Char"/>
    <w:basedOn w:val="28"/>
    <w:link w:val="12"/>
    <w:uiPriority w:val="0"/>
    <w:rPr>
      <w:kern w:val="2"/>
      <w:sz w:val="21"/>
      <w:szCs w:val="24"/>
      <w:shd w:val="clear" w:color="auto" w:fill="000080"/>
    </w:rPr>
  </w:style>
  <w:style w:type="character" w:customStyle="1" w:styleId="100">
    <w:name w:val="脚注文本 Char"/>
    <w:basedOn w:val="28"/>
    <w:link w:val="24"/>
    <w:uiPriority w:val="0"/>
    <w:rPr>
      <w:kern w:val="2"/>
      <w:sz w:val="18"/>
      <w:szCs w:val="18"/>
    </w:rPr>
  </w:style>
  <w:style w:type="paragraph" w:customStyle="1" w:styleId="101">
    <w:name w:val="样式3"/>
    <w:basedOn w:val="24"/>
    <w:next w:val="24"/>
    <w:uiPriority w:val="0"/>
    <w:pPr>
      <w:spacing w:line="300" w:lineRule="auto"/>
      <w:ind w:firstLine="480" w:firstLineChars="200"/>
    </w:pPr>
    <w:rPr>
      <w:rFonts w:ascii="宋体" w:hAnsi="宋体"/>
    </w:rPr>
  </w:style>
  <w:style w:type="paragraph" w:customStyle="1" w:styleId="102">
    <w:name w:val="附录标识"/>
    <w:basedOn w:val="1"/>
    <w:uiPriority w:val="0"/>
    <w:pPr>
      <w:widowControl/>
      <w:numPr>
        <w:ilvl w:val="0"/>
        <w:numId w:val="2"/>
      </w:numPr>
      <w:shd w:val="clear" w:color="FFFFFF" w:fill="FFFFFF"/>
      <w:tabs>
        <w:tab w:val="left" w:pos="6405"/>
      </w:tabs>
      <w:spacing w:before="640" w:after="200"/>
      <w:jc w:val="center"/>
      <w:outlineLvl w:val="0"/>
    </w:pPr>
    <w:rPr>
      <w:rFonts w:ascii="黑体" w:eastAsia="黑体"/>
      <w:kern w:val="0"/>
      <w:szCs w:val="20"/>
    </w:rPr>
  </w:style>
  <w:style w:type="paragraph" w:customStyle="1" w:styleId="103">
    <w:name w:val="附录一级条标题"/>
    <w:basedOn w:val="1"/>
    <w:next w:val="1"/>
    <w:uiPriority w:val="0"/>
    <w:pPr>
      <w:widowControl/>
      <w:numPr>
        <w:ilvl w:val="2"/>
        <w:numId w:val="2"/>
      </w:numPr>
      <w:wordWrap w:val="0"/>
      <w:overflowPunct w:val="0"/>
      <w:autoSpaceDE w:val="0"/>
      <w:autoSpaceDN w:val="0"/>
      <w:textAlignment w:val="baseline"/>
      <w:outlineLvl w:val="2"/>
    </w:pPr>
    <w:rPr>
      <w:rFonts w:ascii="黑体" w:eastAsia="黑体"/>
      <w:kern w:val="21"/>
      <w:szCs w:val="20"/>
    </w:rPr>
  </w:style>
  <w:style w:type="paragraph" w:customStyle="1" w:styleId="104">
    <w:name w:val="附录二级条标题"/>
    <w:basedOn w:val="103"/>
    <w:next w:val="1"/>
    <w:uiPriority w:val="0"/>
    <w:pPr>
      <w:numPr>
        <w:ilvl w:val="3"/>
      </w:numPr>
      <w:outlineLvl w:val="3"/>
    </w:pPr>
  </w:style>
  <w:style w:type="paragraph" w:customStyle="1" w:styleId="105">
    <w:name w:val="附录三级条标题"/>
    <w:basedOn w:val="104"/>
    <w:next w:val="1"/>
    <w:uiPriority w:val="0"/>
    <w:pPr>
      <w:numPr>
        <w:ilvl w:val="4"/>
      </w:numPr>
      <w:outlineLvl w:val="4"/>
    </w:pPr>
  </w:style>
  <w:style w:type="paragraph" w:customStyle="1" w:styleId="106">
    <w:name w:val="附录四级条标题"/>
    <w:basedOn w:val="105"/>
    <w:next w:val="1"/>
    <w:qFormat/>
    <w:uiPriority w:val="0"/>
    <w:pPr>
      <w:numPr>
        <w:ilvl w:val="5"/>
      </w:numPr>
      <w:outlineLvl w:val="5"/>
    </w:pPr>
  </w:style>
  <w:style w:type="paragraph" w:customStyle="1" w:styleId="107">
    <w:name w:val="附录五级条标题"/>
    <w:basedOn w:val="106"/>
    <w:next w:val="1"/>
    <w:uiPriority w:val="0"/>
    <w:pPr>
      <w:numPr>
        <w:ilvl w:val="6"/>
      </w:numPr>
      <w:outlineLvl w:val="6"/>
    </w:pPr>
  </w:style>
  <w:style w:type="paragraph" w:customStyle="1" w:styleId="108">
    <w:name w:val="一级无"/>
    <w:basedOn w:val="52"/>
    <w:qFormat/>
    <w:uiPriority w:val="0"/>
    <w:pPr>
      <w:numPr>
        <w:ilvl w:val="1"/>
        <w:numId w:val="3"/>
      </w:numPr>
    </w:pPr>
    <w:rPr>
      <w:rFonts w:ascii="宋体" w:eastAsia="宋体"/>
      <w:kern w:val="0"/>
      <w:szCs w:val="21"/>
    </w:rPr>
  </w:style>
  <w:style w:type="character" w:customStyle="1" w:styleId="109">
    <w:name w:val="apple-converted-space"/>
    <w:basedOn w:val="28"/>
    <w:uiPriority w:val="0"/>
  </w:style>
  <w:style w:type="character" w:customStyle="1" w:styleId="110">
    <w:name w:val="doc_title"/>
    <w:basedOn w:val="28"/>
    <w:uiPriority w:val="0"/>
  </w:style>
  <w:style w:type="paragraph" w:customStyle="1" w:styleId="111">
    <w:name w:val="引用1"/>
    <w:basedOn w:val="1"/>
    <w:next w:val="1"/>
    <w:link w:val="112"/>
    <w:qFormat/>
    <w:uiPriority w:val="29"/>
    <w:pPr>
      <w:widowControl/>
      <w:spacing w:before="200" w:after="160" w:line="264" w:lineRule="auto"/>
      <w:ind w:left="864" w:right="864"/>
      <w:jc w:val="center"/>
    </w:pPr>
    <w:rPr>
      <w:rFonts w:asciiTheme="majorHAnsi" w:hAnsiTheme="majorHAnsi" w:eastAsiaTheme="majorEastAsia" w:cstheme="majorBidi"/>
      <w:i/>
      <w:iCs/>
      <w:kern w:val="0"/>
      <w:sz w:val="24"/>
    </w:rPr>
  </w:style>
  <w:style w:type="character" w:customStyle="1" w:styleId="112">
    <w:name w:val="引用 Char"/>
    <w:basedOn w:val="28"/>
    <w:link w:val="111"/>
    <w:qFormat/>
    <w:uiPriority w:val="29"/>
    <w:rPr>
      <w:rFonts w:asciiTheme="majorHAnsi" w:hAnsiTheme="majorHAnsi" w:eastAsiaTheme="majorEastAsia" w:cstheme="majorBidi"/>
      <w:i/>
      <w:iCs/>
      <w:sz w:val="24"/>
      <w:szCs w:val="24"/>
    </w:rPr>
  </w:style>
  <w:style w:type="character" w:customStyle="1" w:styleId="113">
    <w:name w:val="批注主题 Char"/>
    <w:basedOn w:val="70"/>
    <w:link w:val="25"/>
    <w:semiHidden/>
    <w:qFormat/>
    <w:uiPriority w:val="99"/>
    <w:rPr>
      <w:rFonts w:asciiTheme="minorHAnsi" w:hAnsiTheme="minorHAnsi" w:eastAsiaTheme="minorEastAsia" w:cstheme="minorBidi"/>
      <w:b/>
      <w:bCs/>
      <w:kern w:val="2"/>
      <w:sz w:val="21"/>
      <w:szCs w:val="22"/>
    </w:rPr>
  </w:style>
  <w:style w:type="character" w:customStyle="1" w:styleId="114">
    <w:name w:val="正文文本 Char"/>
    <w:basedOn w:val="28"/>
    <w:link w:val="14"/>
    <w:uiPriority w:val="0"/>
    <w:rPr>
      <w:kern w:val="2"/>
      <w:sz w:val="21"/>
      <w:szCs w:val="24"/>
    </w:rPr>
  </w:style>
  <w:style w:type="paragraph" w:customStyle="1" w:styleId="11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7">
    <w:name w:val="xl64"/>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1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9">
    <w:name w:val="xl6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0">
    <w:name w:val="xl6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1">
    <w:name w:val="xl68"/>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22">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4">
    <w:name w:val="xl7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1403</Words>
  <Characters>8003</Characters>
  <Lines>66</Lines>
  <Paragraphs>18</Paragraphs>
  <TotalTime>377</TotalTime>
  <ScaleCrop>false</ScaleCrop>
  <LinksUpToDate>false</LinksUpToDate>
  <CharactersWithSpaces>9388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2018-01-09T02:35:00Z</dcterms:created>
  <dc:creator>USER</dc:creator>
  <cp:lastModifiedBy>CathayMok</cp:lastModifiedBy>
  <cp:lastPrinted>2018-01-09T01:05:00Z</cp:lastPrinted>
  <dcterms:modified xsi:type="dcterms:W3CDTF">2021-07-15T01:29:49Z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