
<file path=[Content_Types].xml><?xml version="1.0" encoding="utf-8"?>
<Types xmlns="http://schemas.openxmlformats.org/package/2006/content-types">
  <Default Extension="xml" ContentType="application/xml"/>
  <Default Extension="xlsb" ContentType="application/vnd.ms-excel.sheet.binary.macroEnabled.12"/>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1"/>
        </w:rPr>
      </w:pPr>
      <w:bookmarkStart w:id="1" w:name="_GoBack"/>
      <w:bookmarkEnd w:id="1"/>
      <w:r>
        <w:rPr>
          <w:rFonts w:hint="eastAsia"/>
          <w:b/>
          <w:sz w:val="31"/>
        </w:rPr>
        <w:t>《</w:t>
      </w:r>
      <w:r>
        <w:rPr>
          <w:rFonts w:hint="eastAsia"/>
          <w:b/>
          <w:sz w:val="28"/>
          <w:szCs w:val="28"/>
        </w:rPr>
        <w:t>焊材用铜粉</w:t>
      </w:r>
      <w:r>
        <w:rPr>
          <w:rFonts w:hint="eastAsia"/>
          <w:b/>
          <w:sz w:val="31"/>
        </w:rPr>
        <w:t>》</w:t>
      </w:r>
    </w:p>
    <w:p>
      <w:pPr>
        <w:spacing w:after="156" w:afterLines="50" w:line="240" w:lineRule="atLeast"/>
        <w:jc w:val="center"/>
        <w:rPr>
          <w:rFonts w:ascii="宋体" w:hAnsi="宋体"/>
          <w:b/>
          <w:sz w:val="28"/>
          <w:szCs w:val="28"/>
        </w:rPr>
      </w:pPr>
      <w:r>
        <w:rPr>
          <w:rFonts w:hint="eastAsia"/>
          <w:b/>
          <w:sz w:val="28"/>
          <w:szCs w:val="28"/>
        </w:rPr>
        <w:t>行业标准（讨论</w:t>
      </w:r>
      <w:r>
        <w:rPr>
          <w:rFonts w:hint="eastAsia" w:ascii="宋体" w:hAnsi="宋体"/>
          <w:b/>
          <w:kern w:val="0"/>
          <w:sz w:val="28"/>
          <w:szCs w:val="28"/>
        </w:rPr>
        <w:t>）</w:t>
      </w:r>
      <w:r>
        <w:rPr>
          <w:rFonts w:hint="eastAsia" w:ascii="宋体" w:hAnsi="宋体"/>
          <w:b/>
          <w:sz w:val="28"/>
          <w:szCs w:val="28"/>
        </w:rPr>
        <w:t>编制说明</w:t>
      </w:r>
    </w:p>
    <w:p>
      <w:pPr>
        <w:numPr>
          <w:ilvl w:val="0"/>
          <w:numId w:val="7"/>
        </w:numPr>
        <w:spacing w:line="300" w:lineRule="auto"/>
        <w:ind w:firstLine="420" w:firstLineChars="200"/>
        <w:rPr>
          <w:rFonts w:ascii="黑体" w:hAnsi="黑体" w:eastAsia="黑体"/>
          <w:szCs w:val="21"/>
        </w:rPr>
      </w:pPr>
      <w:r>
        <w:rPr>
          <w:rFonts w:hint="eastAsia" w:ascii="黑体" w:hAnsi="黑体" w:eastAsia="黑体"/>
          <w:szCs w:val="21"/>
        </w:rPr>
        <w:t>任务来源</w:t>
      </w:r>
    </w:p>
    <w:p>
      <w:pPr>
        <w:spacing w:line="360" w:lineRule="auto"/>
        <w:ind w:firstLine="420" w:firstLineChars="200"/>
        <w:jc w:val="left"/>
      </w:pPr>
      <w:r>
        <w:t>根据</w:t>
      </w:r>
      <w:r>
        <w:rPr>
          <w:rFonts w:ascii="宋体" w:hAnsi="宋体" w:eastAsia="宋体" w:cs="宋体"/>
          <w:color w:val="000000"/>
          <w:kern w:val="0"/>
          <w:sz w:val="22"/>
        </w:rPr>
        <w:t>工信厅科〔2018〕54号2018-1855-T-AH</w:t>
      </w:r>
      <w:r>
        <w:rPr>
          <w:rFonts w:hint="eastAsia"/>
        </w:rPr>
        <w:t>，《焊材用铜粉》行业标准由安徽鑫佳铜业有限公司和湖北省黄石市产品质量监督检验所、铜陵鑫佳粉体新材料科技有限公司、安徽工业大学共同起草，完成年限2020年，主管单位为原材料司、安徽经信委，归口单位为全国有色金属标准化技术委员会。</w:t>
      </w:r>
    </w:p>
    <w:p>
      <w:pPr>
        <w:spacing w:line="300" w:lineRule="auto"/>
        <w:ind w:firstLine="420" w:firstLineChars="200"/>
        <w:jc w:val="left"/>
        <w:rPr>
          <w:rFonts w:asciiTheme="minorEastAsia" w:hAnsiTheme="minorEastAsia"/>
        </w:rPr>
      </w:pPr>
      <w:r>
        <w:rPr>
          <w:rFonts w:hint="eastAsia" w:asciiTheme="minorEastAsia" w:hAnsiTheme="minorEastAsia"/>
        </w:rPr>
        <w:t>本标准的起草人如下：</w:t>
      </w:r>
    </w:p>
    <w:p>
      <w:pPr>
        <w:spacing w:line="300" w:lineRule="auto"/>
        <w:ind w:firstLine="420" w:firstLineChars="200"/>
        <w:jc w:val="left"/>
        <w:rPr>
          <w:rFonts w:asciiTheme="minorEastAsia" w:hAnsiTheme="minorEastAsia"/>
        </w:rPr>
      </w:pPr>
      <w:r>
        <w:rPr>
          <w:rFonts w:hint="eastAsia" w:asciiTheme="minorEastAsia" w:hAnsiTheme="minorEastAsia"/>
        </w:rPr>
        <w:t>胡柏明：标准执笔人，资料的收集、整理、汇总验证。</w:t>
      </w:r>
    </w:p>
    <w:p>
      <w:pPr>
        <w:spacing w:line="300" w:lineRule="auto"/>
        <w:ind w:firstLine="420" w:firstLineChars="200"/>
        <w:jc w:val="left"/>
        <w:rPr>
          <w:rFonts w:asciiTheme="minorEastAsia" w:hAnsiTheme="minorEastAsia"/>
        </w:rPr>
      </w:pPr>
      <w:r>
        <w:rPr>
          <w:rFonts w:hint="eastAsia" w:asciiTheme="minorEastAsia" w:hAnsiTheme="minorEastAsia"/>
        </w:rPr>
        <w:t>柏雪：标准主要技术指标的数据的收集、整理、汇总。</w:t>
      </w:r>
    </w:p>
    <w:p>
      <w:pPr>
        <w:spacing w:line="300" w:lineRule="auto"/>
        <w:ind w:firstLine="420" w:firstLineChars="200"/>
        <w:jc w:val="left"/>
        <w:rPr>
          <w:rFonts w:asciiTheme="minorEastAsia" w:hAnsiTheme="minorEastAsia"/>
        </w:rPr>
      </w:pPr>
      <w:r>
        <w:rPr>
          <w:rFonts w:hint="eastAsia" w:asciiTheme="minorEastAsia" w:hAnsiTheme="minorEastAsia"/>
        </w:rPr>
        <w:t>樊友奇：标准主要技术指标的数据的验证。</w:t>
      </w:r>
    </w:p>
    <w:p>
      <w:pPr>
        <w:spacing w:line="300" w:lineRule="auto"/>
        <w:ind w:firstLine="420" w:firstLineChars="200"/>
        <w:jc w:val="left"/>
        <w:rPr>
          <w:rFonts w:asciiTheme="minorEastAsia" w:hAnsiTheme="minorEastAsia"/>
        </w:rPr>
      </w:pPr>
      <w:r>
        <w:rPr>
          <w:rFonts w:hint="eastAsia" w:asciiTheme="minorEastAsia" w:hAnsiTheme="minorEastAsia"/>
        </w:rPr>
        <w:t>姚永林：标准主要技术指标的数据的验证。</w:t>
      </w:r>
    </w:p>
    <w:p>
      <w:pPr>
        <w:spacing w:line="300" w:lineRule="auto"/>
        <w:ind w:firstLine="420" w:firstLineChars="200"/>
        <w:jc w:val="left"/>
        <w:rPr>
          <w:rFonts w:asciiTheme="minorEastAsia" w:hAnsiTheme="minorEastAsia"/>
        </w:rPr>
      </w:pPr>
      <w:r>
        <w:rPr>
          <w:rFonts w:hint="eastAsia" w:asciiTheme="minorEastAsia" w:hAnsiTheme="minorEastAsia"/>
        </w:rPr>
        <w:t>王季林：标准主要技术指标的数据的验证。</w:t>
      </w:r>
    </w:p>
    <w:p>
      <w:pPr>
        <w:spacing w:line="300" w:lineRule="auto"/>
        <w:ind w:firstLine="420" w:firstLineChars="200"/>
        <w:jc w:val="left"/>
        <w:rPr>
          <w:rFonts w:asciiTheme="minorEastAsia" w:hAnsiTheme="minorEastAsia"/>
        </w:rPr>
      </w:pPr>
      <w:r>
        <w:rPr>
          <w:rFonts w:hint="eastAsia" w:asciiTheme="minorEastAsia" w:hAnsiTheme="minorEastAsia"/>
        </w:rPr>
        <w:t>郭殿月：标准主要技术指标的数据的验证。</w:t>
      </w:r>
    </w:p>
    <w:p>
      <w:pPr>
        <w:spacing w:line="360" w:lineRule="auto"/>
        <w:ind w:firstLine="420" w:firstLineChars="200"/>
        <w:jc w:val="left"/>
        <w:rPr>
          <w:b/>
          <w:sz w:val="31"/>
        </w:rPr>
      </w:pPr>
      <w:r>
        <w:rPr>
          <w:rFonts w:hint="eastAsia" w:ascii="Times New Roman" w:hAnsi="Times New Roman" w:cs="Times New Roman"/>
        </w:rPr>
        <w:t>伍宏文：标准资料的收集。</w:t>
      </w:r>
    </w:p>
    <w:p>
      <w:pPr>
        <w:spacing w:line="300" w:lineRule="auto"/>
        <w:ind w:firstLine="420" w:firstLineChars="200"/>
        <w:rPr>
          <w:rFonts w:ascii="黑体" w:hAnsi="黑体" w:eastAsia="黑体"/>
          <w:szCs w:val="21"/>
        </w:rPr>
      </w:pP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工作简况</w:t>
      </w:r>
    </w:p>
    <w:p>
      <w:pPr>
        <w:pStyle w:val="13"/>
        <w:numPr>
          <w:ilvl w:val="0"/>
          <w:numId w:val="8"/>
        </w:numPr>
        <w:spacing w:line="300" w:lineRule="auto"/>
        <w:ind w:left="0" w:firstLine="420"/>
        <w:rPr>
          <w:rFonts w:ascii="黑体" w:hAnsi="黑体" w:eastAsia="黑体" w:cs="Times New Roman"/>
          <w:kern w:val="0"/>
          <w:szCs w:val="21"/>
        </w:rPr>
      </w:pPr>
      <w:r>
        <w:rPr>
          <w:rFonts w:hint="eastAsia" w:ascii="黑体" w:hAnsi="黑体" w:eastAsia="黑体"/>
          <w:szCs w:val="21"/>
        </w:rPr>
        <w:t>立项目的和意义</w:t>
      </w:r>
    </w:p>
    <w:p>
      <w:pPr>
        <w:spacing w:line="360" w:lineRule="auto"/>
        <w:ind w:firstLine="420" w:firstLineChars="200"/>
        <w:jc w:val="left"/>
      </w:pPr>
      <w:r>
        <w:rPr>
          <w:rFonts w:hint="eastAsia"/>
        </w:rPr>
        <w:t>焊接指的是采用适当的化学物理过程，使两个分离的固体物体之间产生原子或者分子间的结合而连成一体的方法。近年来，钎焊技术已经逐渐成熟，美国焊接协会2016年发布标准，关于焊接用材料已经形成美国团体标准，现阶段钎焊技术已经成熟，市场用量逐渐扩大。其技术要求也越来越严格，目前就国内在焊接用铜粉的技术指标还没有形成统一的标准。</w:t>
      </w:r>
    </w:p>
    <w:p>
      <w:pPr>
        <w:spacing w:line="360" w:lineRule="auto"/>
        <w:ind w:firstLine="420" w:firstLineChars="200"/>
        <w:jc w:val="left"/>
      </w:pPr>
      <w:r>
        <w:rPr>
          <w:rFonts w:hint="eastAsia"/>
        </w:rPr>
        <w:t>本次立项主要针对铜材料的钎焊建立标准，规范钎焊用铜粉的标准。</w:t>
      </w:r>
    </w:p>
    <w:p>
      <w:pPr>
        <w:pStyle w:val="13"/>
        <w:numPr>
          <w:ilvl w:val="0"/>
          <w:numId w:val="8"/>
        </w:numPr>
        <w:spacing w:line="300" w:lineRule="auto"/>
        <w:ind w:left="0" w:firstLine="420"/>
        <w:rPr>
          <w:rFonts w:ascii="黑体" w:hAnsi="黑体" w:eastAsia="黑体"/>
          <w:szCs w:val="21"/>
        </w:rPr>
      </w:pPr>
      <w:r>
        <w:rPr>
          <w:rFonts w:hint="eastAsia" w:ascii="黑体" w:hAnsi="黑体" w:eastAsia="黑体"/>
          <w:szCs w:val="21"/>
        </w:rPr>
        <w:t>申报单位简况</w:t>
      </w:r>
    </w:p>
    <w:p>
      <w:pPr>
        <w:spacing w:line="360" w:lineRule="auto"/>
        <w:ind w:firstLine="420" w:firstLineChars="200"/>
        <w:jc w:val="left"/>
      </w:pPr>
      <w:r>
        <w:t>安徽鑫佳铜业有限公司（以下简称鑫佳铜业）是一家集金属粉末新材料研发、制造、以及铜锭加工、销售的新科技公司，公司成立于2009年7月14日，注册资金1200万元，坐落于安徽省铜陵市枞阳县老洲镇兴湾工业区，占地总面积约</w:t>
      </w:r>
      <w:r>
        <w:rPr>
          <w:rFonts w:hint="eastAsia"/>
        </w:rPr>
        <w:t>50</w:t>
      </w:r>
      <w:r>
        <w:t>亩</w:t>
      </w:r>
      <w:r>
        <w:rPr>
          <w:rFonts w:hint="eastAsia"/>
        </w:rPr>
        <w:t>。</w:t>
      </w:r>
      <w:r>
        <w:t>现公司已通过</w:t>
      </w:r>
      <w:r>
        <w:rPr>
          <w:rFonts w:hint="eastAsia"/>
        </w:rPr>
        <w:t>ISO</w:t>
      </w:r>
      <w:r>
        <w:t>9001质量</w:t>
      </w:r>
      <w:r>
        <w:rPr>
          <w:rFonts w:hint="eastAsia"/>
        </w:rPr>
        <w:t>管理</w:t>
      </w:r>
      <w:r>
        <w:t>体系、</w:t>
      </w:r>
      <w:r>
        <w:rPr>
          <w:rFonts w:hint="eastAsia"/>
        </w:rPr>
        <w:t>ISO</w:t>
      </w:r>
      <w:r>
        <w:t>14001环境体系、</w:t>
      </w:r>
      <w:r>
        <w:rPr>
          <w:rFonts w:hint="eastAsia"/>
        </w:rPr>
        <w:t>ISO</w:t>
      </w:r>
      <w:r>
        <w:t>18001健康体系、SGS体系认证，已拥有三个商标权，连续多年被省国家税务局和地方税务局评为纳税A级单位。</w:t>
      </w:r>
    </w:p>
    <w:p>
      <w:pPr>
        <w:spacing w:line="360" w:lineRule="auto"/>
        <w:ind w:firstLine="420" w:firstLineChars="200"/>
        <w:jc w:val="left"/>
      </w:pPr>
      <w:r>
        <w:rPr>
          <w:rFonts w:hint="eastAsia"/>
        </w:rPr>
        <w:t>科学技术是第一生产力。</w:t>
      </w:r>
      <w:r>
        <w:t>鑫佳铜业</w:t>
      </w:r>
      <w:r>
        <w:rPr>
          <w:rFonts w:hint="eastAsia"/>
        </w:rPr>
        <w:t>十分重视人才队伍的建设，不断壮大专业人员队伍，有较健全的人才激励机制，通过各种有效途径和方式，不断提高专业技能人员的业务能力和水平。同时，</w:t>
      </w:r>
      <w:r>
        <w:t>鑫佳铜业</w:t>
      </w:r>
      <w:r>
        <w:rPr>
          <w:rFonts w:hint="eastAsia"/>
        </w:rPr>
        <w:t>也非常重视对广大员工的职业职能培训，不断提高广大员工的职业素质和专业技能，这样，鑫佳铜业已形成一支由各类专业技术人员组成的人才队伍，在技术改造、技术创新和新产品开发等项工作方面积极发挥作用，不断取得丰硕的成果，显著的提升了鑫佳铜业的核心竞争力，推动了鑫佳铜业的持续发展。</w:t>
      </w:r>
    </w:p>
    <w:p>
      <w:pPr>
        <w:spacing w:line="360" w:lineRule="auto"/>
        <w:ind w:firstLine="420" w:firstLineChars="200"/>
        <w:jc w:val="left"/>
      </w:pPr>
      <w:r>
        <w:rPr>
          <w:rFonts w:hint="eastAsia"/>
        </w:rPr>
        <w:t>鑫佳铜业技术中心长期以来始终重视技术创新工作，以企业技术中心为创新平台和载体，与安徽工业大学等开展产学研合作，在采用新工艺、新技术及新产品等方面开展了多个创新项目的研究，取得多项重要成果。近年来，鑫佳铜业在品牌建设、技术创新方面取得了突出成绩。同时获多项省、市、区标准化战略项目资助资金和奖励。</w:t>
      </w:r>
    </w:p>
    <w:p>
      <w:pPr>
        <w:spacing w:line="360" w:lineRule="auto"/>
        <w:ind w:firstLine="420" w:firstLineChars="200"/>
        <w:jc w:val="left"/>
      </w:pPr>
      <w:r>
        <w:rPr>
          <w:rFonts w:hint="eastAsia"/>
        </w:rPr>
        <w:t>目前公司正在进行扩产计划，其年产10000吨高性能有色金属粉体项目将打造为数字化、智能化生产车间，并拥有循环经济建设等多项先进成果。</w:t>
      </w:r>
    </w:p>
    <w:p>
      <w:pPr>
        <w:spacing w:line="360" w:lineRule="auto"/>
        <w:ind w:firstLine="420" w:firstLineChars="200"/>
        <w:jc w:val="left"/>
      </w:pPr>
      <w:r>
        <w:rPr>
          <w:rFonts w:hint="eastAsia"/>
        </w:rPr>
        <w:t>近年来，鑫佳铜业作为主要单位积极参与4项行业标准制定的起草工作。</w:t>
      </w:r>
    </w:p>
    <w:p>
      <w:pPr>
        <w:spacing w:line="360" w:lineRule="auto"/>
        <w:ind w:firstLine="420" w:firstLineChars="200"/>
        <w:jc w:val="left"/>
      </w:pPr>
      <w:r>
        <w:rPr>
          <w:rFonts w:hint="eastAsia"/>
        </w:rPr>
        <w:t>3</w:t>
      </w:r>
      <w:r>
        <w:t xml:space="preserve">  </w:t>
      </w:r>
      <w:r>
        <w:rPr>
          <w:rFonts w:hint="eastAsia"/>
        </w:rPr>
        <w:t>主要工作过程</w:t>
      </w:r>
    </w:p>
    <w:p>
      <w:pPr>
        <w:spacing w:line="360" w:lineRule="auto"/>
        <w:ind w:firstLine="420" w:firstLineChars="200"/>
        <w:jc w:val="left"/>
      </w:pPr>
      <w:r>
        <w:rPr>
          <w:rFonts w:hint="eastAsia"/>
        </w:rPr>
        <w:t xml:space="preserve">    经鑫佳铜业有限公司立项申请、全国有色金属标准化技术委员会批准，《焊材用铜粉》行业标准由鑫佳铜业有限公司主要起草制定，黄石市产品质量监督检验所、铜陵鑫佳粉体新材料科技有限公司、安徽工业大学参与起草制定。</w:t>
      </w:r>
    </w:p>
    <w:p>
      <w:pPr>
        <w:spacing w:line="360" w:lineRule="auto"/>
        <w:ind w:firstLine="420" w:firstLineChars="200"/>
        <w:jc w:val="left"/>
      </w:pPr>
      <w:r>
        <w:rPr>
          <w:rFonts w:hint="eastAsia"/>
        </w:rPr>
        <w:t>安徽鑫佳铜业有限公司接到《焊材用铜粉》的制定任务后，立即组织相关技术人员成立标准编制组，进行了相关资料的查询和收集工作，制定了工作计划和进度安排。</w:t>
      </w:r>
      <w:r>
        <w:t> </w:t>
      </w:r>
    </w:p>
    <w:p>
      <w:pPr>
        <w:spacing w:line="300" w:lineRule="auto"/>
        <w:ind w:firstLine="420" w:firstLineChars="200"/>
        <w:rPr>
          <w:rFonts w:ascii="Times New Roman" w:hAnsi="Times New Roman" w:cs="Times New Roman"/>
        </w:rPr>
      </w:pPr>
      <w:r>
        <w:rPr>
          <w:rFonts w:hint="eastAsia"/>
        </w:rPr>
        <w:t>标准制订计划任务正式下达后，</w:t>
      </w:r>
      <w:r>
        <w:t> </w:t>
      </w:r>
      <w:r>
        <w:rPr>
          <w:rFonts w:hint="eastAsia"/>
        </w:rPr>
        <w:t>鑫佳铜业内部立即组织人员进行市场调研，咨询专家，并查阅了大量相关资料，在编制条件成熟后，于2021年1月份，形成了《焊材用铜粉》的讨论稿及编制说明讨论稿。</w:t>
      </w:r>
      <w:r>
        <w:t> </w:t>
      </w:r>
    </w:p>
    <w:p>
      <w:pPr>
        <w:spacing w:line="360" w:lineRule="auto"/>
        <w:ind w:firstLine="420" w:firstLineChars="200"/>
        <w:jc w:val="left"/>
      </w:pPr>
      <w:r>
        <w:rPr>
          <w:rFonts w:hint="eastAsia"/>
        </w:rPr>
        <w:t xml:space="preserve">4 </w:t>
      </w:r>
      <w:r>
        <w:t xml:space="preserve"> </w:t>
      </w:r>
      <w:r>
        <w:rPr>
          <w:rFonts w:hint="eastAsia"/>
        </w:rPr>
        <w:t>编制原则、主要技术指标确定依据</w:t>
      </w:r>
      <w:r>
        <w:t> </w:t>
      </w:r>
    </w:p>
    <w:p>
      <w:pPr>
        <w:spacing w:line="360" w:lineRule="auto"/>
        <w:ind w:firstLine="420" w:firstLineChars="200"/>
        <w:jc w:val="left"/>
      </w:pPr>
      <w:r>
        <w:rPr>
          <w:rFonts w:hint="eastAsia"/>
        </w:rPr>
        <w:t>在查阅相关资料时，目前国内现行无钎焊用铜粉的标准可以参照，我们加大力度回访客户，征求客户的意见和要求，进行了该标准的制定。</w:t>
      </w:r>
      <w:r>
        <w:t> </w:t>
      </w:r>
    </w:p>
    <w:p>
      <w:pPr>
        <w:spacing w:line="360" w:lineRule="auto"/>
        <w:ind w:firstLine="420" w:firstLineChars="200"/>
        <w:jc w:val="left"/>
      </w:pPr>
      <w:r>
        <w:rPr>
          <w:rFonts w:hint="eastAsia"/>
        </w:rPr>
        <w:t>在确定产品规格、牌号时，我们主要依据不同客户对产品的性能要求，经过反复试验、论证，最后确定了焊接铜粉的技术指标，以满足市场的需求。</w:t>
      </w:r>
    </w:p>
    <w:p>
      <w:pPr>
        <w:spacing w:line="360" w:lineRule="auto"/>
        <w:ind w:firstLine="420" w:firstLineChars="200"/>
        <w:jc w:val="left"/>
      </w:pPr>
      <w:r>
        <w:rPr>
          <w:rFonts w:hint="eastAsia"/>
        </w:rPr>
        <w:t>在确定产品的各项性能指标时，同样充分考虑了客户的实际需求，因为标准的性质是指导生产，规范市场，在符合国情的前提下，提高技术水平。</w:t>
      </w:r>
    </w:p>
    <w:p>
      <w:pPr>
        <w:spacing w:line="360" w:lineRule="auto"/>
        <w:ind w:firstLine="420" w:firstLineChars="200"/>
        <w:jc w:val="left"/>
      </w:pPr>
      <w:r>
        <w:rPr>
          <w:rFonts w:hint="eastAsia"/>
        </w:rPr>
        <w:t>根据用户的不同需求选择，使本标准有了广泛的使用基础，生产厂家可根据用户不同要求生产不同产品，本标准可以规范生产。本标准中各项性能的确定，主要基于用户要求和现有生产企业主要产品性能。在此基础上，我们查阅了大量相关资料，进行了多次相关试验，以试验数据为基础，起草的标准更实用、科学，与国际接轨，使我国的焊接用铜粉适应国内外厂商的不同需求。</w:t>
      </w:r>
    </w:p>
    <w:p>
      <w:pPr>
        <w:spacing w:line="360" w:lineRule="auto"/>
        <w:ind w:firstLine="420" w:firstLineChars="200"/>
        <w:jc w:val="left"/>
      </w:pPr>
      <w:r>
        <w:rPr>
          <w:rFonts w:hint="eastAsia"/>
        </w:rPr>
        <w:t>5.1标准题目与适用范围</w:t>
      </w:r>
    </w:p>
    <w:p>
      <w:pPr>
        <w:spacing w:line="360" w:lineRule="auto"/>
        <w:ind w:firstLine="420" w:firstLineChars="200"/>
        <w:jc w:val="left"/>
      </w:pPr>
      <w:r>
        <w:rPr>
          <w:rFonts w:hint="eastAsia"/>
        </w:rPr>
        <w:t>5.1.1本标准立项名称为“焊材用铜粉”，英文名称“</w:t>
      </w:r>
      <w:r>
        <w:t xml:space="preserve">Copper Powder for Brazing </w:t>
      </w:r>
      <w:r>
        <w:rPr>
          <w:rFonts w:hint="eastAsia"/>
        </w:rPr>
        <w:t>”。</w:t>
      </w:r>
    </w:p>
    <w:p>
      <w:pPr>
        <w:spacing w:line="360" w:lineRule="auto"/>
        <w:ind w:firstLine="420" w:firstLineChars="200"/>
        <w:jc w:val="left"/>
      </w:pPr>
      <w:r>
        <w:rPr>
          <w:rFonts w:hint="eastAsia"/>
        </w:rPr>
        <w:t>5.1.2规定了本标准适用范围：</w:t>
      </w:r>
    </w:p>
    <w:p>
      <w:pPr>
        <w:spacing w:line="360" w:lineRule="auto"/>
        <w:ind w:firstLine="420" w:firstLineChars="200"/>
        <w:jc w:val="left"/>
      </w:pPr>
      <w:r>
        <w:rPr>
          <w:rFonts w:hint="eastAsia"/>
        </w:rPr>
        <w:t>本标准规定了焊材用铜粉的牌号、规格和相应的技术要求。</w:t>
      </w:r>
    </w:p>
    <w:p>
      <w:pPr>
        <w:spacing w:line="360" w:lineRule="auto"/>
        <w:ind w:firstLine="420" w:firstLineChars="200"/>
        <w:jc w:val="left"/>
      </w:pPr>
      <w:r>
        <w:rPr>
          <w:rFonts w:hint="eastAsia"/>
        </w:rPr>
        <w:t>本标准适用于雾化工艺制备，适用于钎焊和钎焊填充工艺需求的铜粉。</w:t>
      </w:r>
    </w:p>
    <w:p>
      <w:pPr>
        <w:spacing w:line="360" w:lineRule="auto"/>
        <w:ind w:firstLine="420" w:firstLineChars="200"/>
        <w:jc w:val="left"/>
      </w:pPr>
      <w:r>
        <w:t>4.2要求</w:t>
      </w:r>
    </w:p>
    <w:p>
      <w:pPr>
        <w:spacing w:line="360" w:lineRule="auto"/>
        <w:ind w:firstLine="420" w:firstLineChars="200"/>
        <w:jc w:val="left"/>
      </w:pPr>
      <w:r>
        <w:t>4.2.1产品分类</w:t>
      </w:r>
    </w:p>
    <w:p>
      <w:pPr>
        <w:spacing w:line="360" w:lineRule="auto"/>
        <w:ind w:firstLine="420" w:firstLineChars="200"/>
        <w:jc w:val="left"/>
      </w:pPr>
      <w:r>
        <w:t>产品分类是铜粉粒度分布、松装密度、流动性进行规定，同时规定了产品标记方法见图1 。相关情况分别说明如下：</w:t>
      </w:r>
    </w:p>
    <w:p>
      <w:pPr>
        <w:spacing w:line="360" w:lineRule="auto"/>
        <w:ind w:firstLine="420" w:firstLineChars="200"/>
        <w:jc w:val="center"/>
      </w:pPr>
      <w:bookmarkStart w:id="0" w:name="_1570448935"/>
      <w:bookmarkEnd w:id="0"/>
      <w:r>
        <w:object>
          <v:shape id="_x0000_i1025" o:spt="75" type="#_x0000_t75" style="height:124.4pt;width:205.65pt;" o:ole="t" filled="f" o:preferrelative="t" stroked="f" coordsize="21600,21600">
            <v:path/>
            <v:fill on="f" focussize="0,0"/>
            <v:stroke on="f" joinstyle="miter"/>
            <v:imagedata r:id="rId5" o:title=""/>
            <o:lock v:ext="edit" aspectratio="t"/>
            <w10:wrap type="none"/>
            <w10:anchorlock/>
          </v:shape>
          <o:OLEObject Type="Embed" ProgID="Excel.SheetBinaryMacroEnabled.12" ShapeID="_x0000_i1025" DrawAspect="Content" ObjectID="_1468075725" r:id="rId4">
            <o:LockedField>false</o:LockedField>
          </o:OLEObject>
        </w:object>
      </w:r>
    </w:p>
    <w:p>
      <w:pPr>
        <w:spacing w:line="360" w:lineRule="auto"/>
        <w:ind w:firstLine="400" w:firstLineChars="200"/>
        <w:jc w:val="center"/>
        <w:rPr>
          <w:sz w:val="20"/>
        </w:rPr>
      </w:pPr>
      <w:r>
        <w:rPr>
          <w:sz w:val="20"/>
        </w:rPr>
        <w:t xml:space="preserve">图1 </w:t>
      </w:r>
      <w:r>
        <w:rPr>
          <w:rFonts w:hint="eastAsia"/>
          <w:sz w:val="20"/>
        </w:rPr>
        <w:t>焊材用铜粉</w:t>
      </w:r>
      <w:r>
        <w:rPr>
          <w:sz w:val="20"/>
        </w:rPr>
        <w:t>的牌号标识</w:t>
      </w:r>
    </w:p>
    <w:p>
      <w:pPr>
        <w:spacing w:line="360" w:lineRule="auto"/>
        <w:ind w:firstLine="420" w:firstLineChars="200"/>
        <w:jc w:val="left"/>
      </w:pPr>
      <w:r>
        <w:t>（1）我国目前生产</w:t>
      </w:r>
      <w:r>
        <w:rPr>
          <w:rFonts w:hint="eastAsia"/>
        </w:rPr>
        <w:t>焊材用铜粉</w:t>
      </w:r>
      <w:r>
        <w:t>主要以收缩率进行分类。本标准在根据产品特性制定出能够满足市场和行业发展的物理性能范围更宽泛，实用性更广的</w:t>
      </w:r>
      <w:r>
        <w:rPr>
          <w:rFonts w:hint="eastAsia"/>
        </w:rPr>
        <w:t>焊材用铜粉</w:t>
      </w:r>
      <w:r>
        <w:t>标准。</w:t>
      </w:r>
    </w:p>
    <w:p>
      <w:pPr>
        <w:spacing w:line="360" w:lineRule="auto"/>
        <w:ind w:firstLine="420" w:firstLineChars="200"/>
        <w:jc w:val="left"/>
      </w:pPr>
      <w:r>
        <w:t>（2）通过大量调研，国内目前在</w:t>
      </w:r>
      <w:r>
        <w:rPr>
          <w:rFonts w:hint="eastAsia"/>
        </w:rPr>
        <w:t>焊材</w:t>
      </w:r>
      <w:r>
        <w:t>产品的实际生产中，</w:t>
      </w:r>
      <w:r>
        <w:rPr>
          <w:rFonts w:hint="eastAsia"/>
        </w:rPr>
        <w:t>焊材用铜粉</w:t>
      </w:r>
      <w:r>
        <w:t>主要有</w:t>
      </w:r>
      <w:r>
        <w:rPr>
          <w:rFonts w:hint="eastAsia"/>
        </w:rPr>
        <w:t>4</w:t>
      </w:r>
      <w:r>
        <w:t>个牌号（详情分类见表1）。</w:t>
      </w:r>
    </w:p>
    <w:p>
      <w:pPr>
        <w:spacing w:line="360" w:lineRule="auto"/>
        <w:ind w:firstLine="420" w:firstLineChars="200"/>
        <w:jc w:val="center"/>
      </w:pPr>
      <w:r>
        <w:t xml:space="preserve">表1  </w:t>
      </w:r>
      <w:r>
        <w:rPr>
          <w:rFonts w:hint="eastAsia"/>
          <w:sz w:val="20"/>
        </w:rPr>
        <w:t>焊材用铜粉</w:t>
      </w:r>
      <w:r>
        <w:t>的表示方法</w:t>
      </w:r>
    </w:p>
    <w:tbl>
      <w:tblPr>
        <w:tblStyle w:val="8"/>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94"/>
        <w:gridCol w:w="1418"/>
        <w:gridCol w:w="1275"/>
        <w:gridCol w:w="1134"/>
        <w:gridCol w:w="113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vAlign w:val="center"/>
          </w:tcPr>
          <w:p>
            <w:pPr>
              <w:widowControl/>
              <w:jc w:val="center"/>
              <w:rPr>
                <w:rFonts w:ascii="等线" w:hAnsi="等线" w:cs="宋体"/>
                <w:color w:val="000000"/>
                <w:kern w:val="0"/>
                <w:sz w:val="18"/>
                <w:szCs w:val="18"/>
              </w:rPr>
            </w:pPr>
            <w:r>
              <w:rPr>
                <w:rFonts w:hint="eastAsia" w:ascii="等线" w:hAnsi="等线" w:cs="宋体"/>
                <w:color w:val="000000"/>
                <w:kern w:val="0"/>
                <w:sz w:val="18"/>
                <w:szCs w:val="18"/>
              </w:rPr>
              <w:t>牌号</w:t>
            </w:r>
          </w:p>
        </w:tc>
        <w:tc>
          <w:tcPr>
            <w:tcW w:w="6055" w:type="dxa"/>
            <w:gridSpan w:val="5"/>
          </w:tcPr>
          <w:p>
            <w:pPr>
              <w:widowControl/>
              <w:jc w:val="center"/>
              <w:rPr>
                <w:color w:val="000000"/>
                <w:kern w:val="0"/>
                <w:sz w:val="18"/>
                <w:szCs w:val="18"/>
              </w:rPr>
            </w:pPr>
            <w:r>
              <w:rPr>
                <w:rFonts w:hint="eastAsia" w:ascii="宋体" w:hAnsi="宋体" w:cs="宋体"/>
                <w:color w:val="000000"/>
                <w:kern w:val="0"/>
                <w:sz w:val="18"/>
                <w:szCs w:val="18"/>
              </w:rPr>
              <w:t>粒径组成（质量分数）</w:t>
            </w:r>
            <w:r>
              <w:rPr>
                <w:rFonts w:hint="eastAsia" w:ascii="等线 Light" w:hAnsi="等线 Light" w:eastAsia="等线 Light" w:cs="宋体"/>
                <w:color w:val="000000"/>
                <w:kern w:val="0"/>
                <w:sz w:val="16"/>
                <w:szCs w:val="18"/>
              </w:rPr>
              <w:t>/%</w:t>
            </w:r>
          </w:p>
        </w:tc>
        <w:tc>
          <w:tcPr>
            <w:tcW w:w="1276" w:type="dxa"/>
            <w:vMerge w:val="restart"/>
            <w:vAlign w:val="center"/>
          </w:tcPr>
          <w:p>
            <w:pPr>
              <w:widowControl/>
              <w:jc w:val="center"/>
              <w:rPr>
                <w:color w:val="000000"/>
                <w:kern w:val="0"/>
                <w:sz w:val="18"/>
                <w:szCs w:val="18"/>
              </w:rPr>
            </w:pPr>
            <w:r>
              <w:rPr>
                <w:rFonts w:hint="eastAsia"/>
                <w:color w:val="000000"/>
                <w:kern w:val="0"/>
                <w:sz w:val="18"/>
                <w:szCs w:val="18"/>
              </w:rPr>
              <w:t>松装密度</w:t>
            </w:r>
          </w:p>
          <w:p>
            <w:pPr>
              <w:widowControl/>
              <w:jc w:val="center"/>
              <w:rPr>
                <w:color w:val="000000"/>
                <w:kern w:val="0"/>
                <w:sz w:val="18"/>
                <w:szCs w:val="18"/>
              </w:rPr>
            </w:pPr>
            <w:r>
              <w:rPr>
                <w:rFonts w:hint="eastAsia"/>
                <w:color w:val="000000"/>
                <w:kern w:val="0"/>
                <w:sz w:val="18"/>
                <w:szCs w:val="18"/>
              </w:rPr>
              <w:t>g/cm3</w:t>
            </w:r>
          </w:p>
        </w:tc>
        <w:tc>
          <w:tcPr>
            <w:tcW w:w="1843" w:type="dxa"/>
            <w:vMerge w:val="restart"/>
            <w:vAlign w:val="center"/>
          </w:tcPr>
          <w:p>
            <w:pPr>
              <w:widowControl/>
              <w:jc w:val="center"/>
              <w:rPr>
                <w:color w:val="000000"/>
                <w:kern w:val="0"/>
                <w:sz w:val="18"/>
                <w:szCs w:val="18"/>
              </w:rPr>
            </w:pPr>
            <w:r>
              <w:rPr>
                <w:rFonts w:hint="eastAsia"/>
                <w:color w:val="000000"/>
                <w:kern w:val="0"/>
                <w:sz w:val="18"/>
                <w:szCs w:val="18"/>
              </w:rPr>
              <w:t>流动性</w:t>
            </w:r>
          </w:p>
          <w:p>
            <w:pPr>
              <w:widowControl/>
              <w:jc w:val="center"/>
              <w:rPr>
                <w:color w:val="000000"/>
                <w:kern w:val="0"/>
                <w:sz w:val="18"/>
                <w:szCs w:val="18"/>
              </w:rPr>
            </w:pPr>
            <w:r>
              <w:rPr>
                <w:rFonts w:hint="eastAsia"/>
                <w:color w:val="000000"/>
                <w:kern w:val="0"/>
                <w:sz w:val="18"/>
                <w:szCs w:val="18"/>
              </w:rPr>
              <w:t>s/50g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58" w:type="dxa"/>
            <w:vMerge w:val="continue"/>
            <w:vAlign w:val="center"/>
          </w:tcPr>
          <w:p>
            <w:pPr>
              <w:widowControl/>
              <w:jc w:val="center"/>
              <w:rPr>
                <w:rFonts w:ascii="等线" w:hAnsi="等线" w:cs="宋体"/>
                <w:color w:val="000000"/>
                <w:kern w:val="0"/>
                <w:sz w:val="18"/>
                <w:szCs w:val="18"/>
              </w:rPr>
            </w:pPr>
          </w:p>
        </w:tc>
        <w:tc>
          <w:tcPr>
            <w:tcW w:w="1094" w:type="dxa"/>
            <w:vAlign w:val="center"/>
          </w:tcPr>
          <w:p>
            <w:pPr>
              <w:widowControl/>
              <w:jc w:val="center"/>
              <w:rPr>
                <w:rFonts w:ascii="等线" w:hAnsi="等线"/>
                <w:kern w:val="0"/>
                <w:sz w:val="18"/>
                <w:szCs w:val="18"/>
              </w:rPr>
            </w:pPr>
            <w:r>
              <w:rPr>
                <w:rFonts w:ascii="等线" w:hAnsi="等线"/>
                <w:kern w:val="0"/>
                <w:sz w:val="18"/>
                <w:szCs w:val="18"/>
              </w:rPr>
              <w:t>250μm～1</w:t>
            </w:r>
            <w:r>
              <w:rPr>
                <w:rFonts w:hint="eastAsia" w:ascii="等线" w:hAnsi="等线"/>
                <w:kern w:val="0"/>
                <w:sz w:val="18"/>
                <w:szCs w:val="18"/>
              </w:rPr>
              <w:t>50</w:t>
            </w:r>
            <w:r>
              <w:rPr>
                <w:rFonts w:ascii="等线" w:hAnsi="等线"/>
                <w:kern w:val="0"/>
                <w:sz w:val="18"/>
                <w:szCs w:val="18"/>
              </w:rPr>
              <w:t>μm</w:t>
            </w:r>
          </w:p>
        </w:tc>
        <w:tc>
          <w:tcPr>
            <w:tcW w:w="1418" w:type="dxa"/>
            <w:vAlign w:val="center"/>
          </w:tcPr>
          <w:p>
            <w:pPr>
              <w:widowControl/>
              <w:jc w:val="center"/>
              <w:rPr>
                <w:rFonts w:ascii="等线" w:hAnsi="等线"/>
                <w:kern w:val="0"/>
                <w:sz w:val="18"/>
                <w:szCs w:val="18"/>
              </w:rPr>
            </w:pPr>
            <w:r>
              <w:rPr>
                <w:rFonts w:hint="eastAsia" w:ascii="等线" w:hAnsi="等线"/>
                <w:kern w:val="0"/>
                <w:sz w:val="18"/>
                <w:szCs w:val="18"/>
              </w:rPr>
              <w:t>150</w:t>
            </w:r>
            <w:r>
              <w:rPr>
                <w:rFonts w:ascii="等线" w:hAnsi="等线"/>
                <w:kern w:val="0"/>
                <w:sz w:val="18"/>
                <w:szCs w:val="18"/>
              </w:rPr>
              <w:t>μm～104μm</w:t>
            </w:r>
          </w:p>
        </w:tc>
        <w:tc>
          <w:tcPr>
            <w:tcW w:w="1275" w:type="dxa"/>
            <w:vAlign w:val="center"/>
          </w:tcPr>
          <w:p>
            <w:pPr>
              <w:widowControl/>
              <w:jc w:val="center"/>
              <w:rPr>
                <w:rFonts w:ascii="等线" w:hAnsi="等线"/>
                <w:kern w:val="0"/>
                <w:sz w:val="18"/>
                <w:szCs w:val="18"/>
              </w:rPr>
            </w:pPr>
            <w:r>
              <w:rPr>
                <w:rFonts w:ascii="等线" w:hAnsi="等线"/>
                <w:kern w:val="0"/>
                <w:sz w:val="18"/>
                <w:szCs w:val="18"/>
              </w:rPr>
              <w:t>104μm～75μm</w:t>
            </w:r>
          </w:p>
        </w:tc>
        <w:tc>
          <w:tcPr>
            <w:tcW w:w="1134" w:type="dxa"/>
            <w:vAlign w:val="center"/>
          </w:tcPr>
          <w:p>
            <w:pPr>
              <w:widowControl/>
              <w:jc w:val="center"/>
              <w:rPr>
                <w:rFonts w:ascii="等线" w:hAnsi="等线"/>
                <w:kern w:val="0"/>
                <w:sz w:val="18"/>
                <w:szCs w:val="18"/>
              </w:rPr>
            </w:pPr>
            <w:r>
              <w:rPr>
                <w:rFonts w:ascii="等线" w:hAnsi="等线"/>
                <w:kern w:val="0"/>
                <w:sz w:val="18"/>
                <w:szCs w:val="18"/>
              </w:rPr>
              <w:t>75μm～45μm</w:t>
            </w:r>
          </w:p>
        </w:tc>
        <w:tc>
          <w:tcPr>
            <w:tcW w:w="1134" w:type="dxa"/>
          </w:tcPr>
          <w:p>
            <w:pPr>
              <w:widowControl/>
              <w:jc w:val="center"/>
              <w:rPr>
                <w:rFonts w:ascii="等线" w:hAnsi="等线" w:cs="宋体"/>
                <w:color w:val="000000"/>
                <w:kern w:val="0"/>
                <w:sz w:val="16"/>
                <w:szCs w:val="18"/>
              </w:rPr>
            </w:pPr>
            <w:r>
              <w:rPr>
                <w:rFonts w:hint="eastAsia" w:ascii="宋体" w:hAnsi="宋体"/>
                <w:kern w:val="0"/>
                <w:sz w:val="18"/>
                <w:szCs w:val="18"/>
              </w:rPr>
              <w:t>＜</w:t>
            </w:r>
            <w:r>
              <w:rPr>
                <w:rFonts w:ascii="等线" w:hAnsi="等线"/>
                <w:kern w:val="0"/>
                <w:sz w:val="18"/>
                <w:szCs w:val="18"/>
              </w:rPr>
              <w:t>45μm</w:t>
            </w:r>
          </w:p>
        </w:tc>
        <w:tc>
          <w:tcPr>
            <w:tcW w:w="1276" w:type="dxa"/>
            <w:vMerge w:val="continue"/>
            <w:vAlign w:val="center"/>
          </w:tcPr>
          <w:p>
            <w:pPr>
              <w:widowControl/>
              <w:jc w:val="center"/>
              <w:rPr>
                <w:rFonts w:ascii="等线" w:hAnsi="等线" w:cs="宋体"/>
                <w:color w:val="000000"/>
                <w:kern w:val="0"/>
                <w:sz w:val="16"/>
                <w:szCs w:val="18"/>
              </w:rPr>
            </w:pPr>
          </w:p>
        </w:tc>
        <w:tc>
          <w:tcPr>
            <w:tcW w:w="1843" w:type="dxa"/>
            <w:vMerge w:val="continue"/>
            <w:vAlign w:val="center"/>
          </w:tcPr>
          <w:p>
            <w:pPr>
              <w:widowControl/>
              <w:jc w:val="center"/>
              <w:rPr>
                <w:rFonts w:ascii="等线" w:hAnsi="等线" w:cs="宋体"/>
                <w:color w:val="000000"/>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color w:val="000000"/>
                <w:kern w:val="0"/>
                <w:sz w:val="16"/>
                <w:szCs w:val="18"/>
              </w:rPr>
            </w:pPr>
            <w:r>
              <w:rPr>
                <w:rFonts w:ascii="宋体"/>
                <w:szCs w:val="20"/>
              </w:rPr>
              <w:t>FBWC</w:t>
            </w:r>
            <w:r>
              <w:rPr>
                <w:rFonts w:hint="eastAsia" w:ascii="宋体"/>
                <w:szCs w:val="20"/>
              </w:rPr>
              <w:t>u</w:t>
            </w:r>
            <w:r>
              <w:rPr>
                <w:rFonts w:ascii="宋体"/>
                <w:szCs w:val="20"/>
              </w:rPr>
              <w:t>1</w:t>
            </w:r>
          </w:p>
        </w:tc>
        <w:tc>
          <w:tcPr>
            <w:tcW w:w="109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0.5</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10</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20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30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45</w:t>
            </w:r>
          </w:p>
        </w:tc>
        <w:tc>
          <w:tcPr>
            <w:tcW w:w="1276" w:type="dxa"/>
          </w:tcPr>
          <w:p>
            <w:pPr>
              <w:widowControl/>
              <w:jc w:val="center"/>
              <w:rPr>
                <w:color w:val="000000"/>
                <w:kern w:val="0"/>
                <w:sz w:val="18"/>
                <w:szCs w:val="18"/>
              </w:rPr>
            </w:pPr>
            <w:r>
              <w:rPr>
                <w:rFonts w:hint="eastAsia"/>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color w:val="000000"/>
                <w:kern w:val="0"/>
                <w:sz w:val="16"/>
                <w:szCs w:val="18"/>
              </w:rPr>
            </w:pPr>
            <w:r>
              <w:rPr>
                <w:rFonts w:ascii="宋体"/>
                <w:szCs w:val="20"/>
              </w:rPr>
              <w:t>FBWC</w:t>
            </w:r>
            <w:r>
              <w:rPr>
                <w:rFonts w:hint="eastAsia" w:ascii="宋体"/>
                <w:szCs w:val="20"/>
              </w:rPr>
              <w:t>u</w:t>
            </w:r>
            <w:r>
              <w:rPr>
                <w:rFonts w:ascii="宋体"/>
                <w:szCs w:val="20"/>
              </w:rPr>
              <w:t>2</w:t>
            </w:r>
          </w:p>
        </w:tc>
        <w:tc>
          <w:tcPr>
            <w:tcW w:w="109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0</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5</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20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30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55</w:t>
            </w:r>
          </w:p>
        </w:tc>
        <w:tc>
          <w:tcPr>
            <w:tcW w:w="1276" w:type="dxa"/>
          </w:tcPr>
          <w:p>
            <w:pPr>
              <w:widowControl/>
              <w:jc w:val="center"/>
              <w:rPr>
                <w:color w:val="000000"/>
                <w:kern w:val="0"/>
                <w:sz w:val="18"/>
                <w:szCs w:val="18"/>
              </w:rPr>
            </w:pPr>
            <w:r>
              <w:rPr>
                <w:rFonts w:hint="eastAsia"/>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rFonts w:ascii="宋体"/>
                <w:szCs w:val="20"/>
              </w:rPr>
            </w:pPr>
            <w:r>
              <w:rPr>
                <w:rFonts w:ascii="宋体"/>
                <w:szCs w:val="20"/>
              </w:rPr>
              <w:t>FBWC</w:t>
            </w:r>
            <w:r>
              <w:rPr>
                <w:rFonts w:hint="eastAsia" w:ascii="宋体"/>
                <w:szCs w:val="20"/>
              </w:rPr>
              <w:t>u3</w:t>
            </w:r>
          </w:p>
        </w:tc>
        <w:tc>
          <w:tcPr>
            <w:tcW w:w="109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0.5</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5</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5</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80</w:t>
            </w:r>
          </w:p>
        </w:tc>
        <w:tc>
          <w:tcPr>
            <w:tcW w:w="1276" w:type="dxa"/>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rFonts w:ascii="宋体"/>
                <w:szCs w:val="20"/>
              </w:rPr>
            </w:pPr>
            <w:r>
              <w:rPr>
                <w:rFonts w:ascii="宋体"/>
                <w:szCs w:val="20"/>
              </w:rPr>
              <w:t>FBWC</w:t>
            </w:r>
            <w:r>
              <w:rPr>
                <w:rFonts w:hint="eastAsia" w:ascii="宋体"/>
                <w:szCs w:val="20"/>
              </w:rPr>
              <w:t>u4</w:t>
            </w:r>
          </w:p>
        </w:tc>
        <w:tc>
          <w:tcPr>
            <w:tcW w:w="109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0.5</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 xml:space="preserve"> 10</w:t>
            </w:r>
          </w:p>
        </w:tc>
        <w:tc>
          <w:tcPr>
            <w:tcW w:w="113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Calibri" w:hAnsi="Calibri" w:cs="Calibri"/>
                <w:color w:val="000000"/>
                <w:kern w:val="0"/>
                <w:sz w:val="18"/>
                <w:szCs w:val="18"/>
              </w:rPr>
              <w:t>90</w:t>
            </w:r>
          </w:p>
        </w:tc>
        <w:tc>
          <w:tcPr>
            <w:tcW w:w="1276" w:type="dxa"/>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38</w:t>
            </w:r>
          </w:p>
        </w:tc>
      </w:tr>
    </w:tbl>
    <w:p>
      <w:pPr>
        <w:spacing w:line="360" w:lineRule="auto"/>
        <w:jc w:val="left"/>
      </w:pPr>
    </w:p>
    <w:p>
      <w:pPr>
        <w:spacing w:line="360" w:lineRule="auto"/>
        <w:ind w:firstLine="420" w:firstLineChars="200"/>
        <w:jc w:val="left"/>
      </w:pPr>
      <w:r>
        <w:t>4.2.2化学成分</w:t>
      </w:r>
    </w:p>
    <w:p>
      <w:pPr>
        <w:spacing w:line="360" w:lineRule="auto"/>
        <w:ind w:firstLine="420" w:firstLineChars="200"/>
        <w:jc w:val="left"/>
      </w:pPr>
      <w:r>
        <w:t>化学成分依据GB/T 5121.1铜及铜合金化学分析方法进行分析，方法验证时，选取</w:t>
      </w:r>
      <w:r>
        <w:rPr>
          <w:rFonts w:hint="eastAsia"/>
        </w:rPr>
        <w:t>焊材用铜粉</w:t>
      </w:r>
      <w:r>
        <w:t>4个牌号共20个样品，分析结果见表2，另欧盟为消除电机电子等产品中的六项物质：铅、汞、镉、六价铬、多溴联苯及多溴联苯醚，于2006年7月1日起正式执行电子电机设备中危害物质禁用指令(Restriction of Hazardous Substances, 简称RoHS)，根据市场的需求和战略发展的需要，让产品顺利打入欧盟市场，同时也为提高国内消费者的环保意识、减少电子电器产品对环境的污染，作为原材料供应商，对这六种有害物质必须进行严格控制，故本标准根据用户的要求对相应４种元素也分别作了规定。</w:t>
      </w:r>
      <w:r>
        <w:rPr>
          <w:rFonts w:hint="eastAsia"/>
        </w:rPr>
        <w:t>焊材用铜粉</w:t>
      </w:r>
      <w:r>
        <w:t>化学成分实测数据见表2。</w:t>
      </w:r>
    </w:p>
    <w:p>
      <w:pPr>
        <w:spacing w:line="300" w:lineRule="auto"/>
        <w:ind w:firstLine="400" w:firstLineChars="200"/>
        <w:jc w:val="center"/>
        <w:rPr>
          <w:sz w:val="20"/>
          <w:szCs w:val="21"/>
        </w:rPr>
      </w:pPr>
      <w:r>
        <w:rPr>
          <w:sz w:val="20"/>
        </w:rPr>
        <w:t xml:space="preserve">表2 </w:t>
      </w:r>
      <w:r>
        <w:rPr>
          <w:rFonts w:hint="eastAsia"/>
          <w:sz w:val="20"/>
        </w:rPr>
        <w:t>焊材用铜粉</w:t>
      </w:r>
      <w:r>
        <w:rPr>
          <w:sz w:val="20"/>
        </w:rPr>
        <w:t>化学成分实测数据</w:t>
      </w:r>
    </w:p>
    <w:tbl>
      <w:tblPr>
        <w:tblStyle w:val="8"/>
        <w:tblW w:w="10129" w:type="dxa"/>
        <w:tblInd w:w="-10" w:type="dxa"/>
        <w:tblLayout w:type="autofit"/>
        <w:tblCellMar>
          <w:top w:w="0" w:type="dxa"/>
          <w:left w:w="108" w:type="dxa"/>
          <w:bottom w:w="0" w:type="dxa"/>
          <w:right w:w="108" w:type="dxa"/>
        </w:tblCellMar>
      </w:tblPr>
      <w:tblGrid>
        <w:gridCol w:w="1419"/>
        <w:gridCol w:w="630"/>
        <w:gridCol w:w="576"/>
        <w:gridCol w:w="576"/>
        <w:gridCol w:w="576"/>
        <w:gridCol w:w="576"/>
        <w:gridCol w:w="576"/>
        <w:gridCol w:w="576"/>
        <w:gridCol w:w="576"/>
        <w:gridCol w:w="576"/>
        <w:gridCol w:w="576"/>
        <w:gridCol w:w="576"/>
        <w:gridCol w:w="576"/>
        <w:gridCol w:w="627"/>
        <w:gridCol w:w="584"/>
        <w:gridCol w:w="533"/>
      </w:tblGrid>
      <w:tr>
        <w:tblPrEx>
          <w:tblCellMar>
            <w:top w:w="0" w:type="dxa"/>
            <w:left w:w="108" w:type="dxa"/>
            <w:bottom w:w="0" w:type="dxa"/>
            <w:right w:w="108" w:type="dxa"/>
          </w:tblCellMar>
        </w:tblPrEx>
        <w:trPr>
          <w:trHeight w:val="300" w:hRule="atLeast"/>
        </w:trPr>
        <w:tc>
          <w:tcPr>
            <w:tcW w:w="1419"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样品</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Cu</w:t>
            </w:r>
          </w:p>
        </w:tc>
        <w:tc>
          <w:tcPr>
            <w:tcW w:w="576"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Fe</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Pb</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Zn</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As</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Sb</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Bi</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Ni</w:t>
            </w:r>
          </w:p>
        </w:tc>
        <w:tc>
          <w:tcPr>
            <w:tcW w:w="57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color w:val="000000"/>
                <w:kern w:val="0"/>
                <w:sz w:val="18"/>
                <w:szCs w:val="18"/>
              </w:rPr>
              <w:t>Sn</w:t>
            </w:r>
          </w:p>
        </w:tc>
        <w:tc>
          <w:tcPr>
            <w:tcW w:w="576"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color w:val="000000"/>
                <w:kern w:val="0"/>
                <w:sz w:val="18"/>
                <w:szCs w:val="18"/>
              </w:rPr>
              <w:t>P</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硝酸</w:t>
            </w:r>
            <w:r>
              <w:rPr>
                <w:rFonts w:ascii="Times New Roman" w:hAnsi="Times New Roman" w:eastAsia="宋体" w:cs="Times New Roman"/>
                <w:color w:val="000000"/>
                <w:kern w:val="0"/>
                <w:sz w:val="18"/>
                <w:szCs w:val="18"/>
              </w:rPr>
              <w:t xml:space="preserve">  </w:t>
            </w:r>
            <w:r>
              <w:rPr>
                <w:rFonts w:hint="eastAsia" w:ascii="宋体" w:hAnsi="宋体" w:eastAsia="宋体" w:cs="宋体"/>
                <w:color w:val="000000"/>
                <w:kern w:val="0"/>
                <w:sz w:val="18"/>
                <w:szCs w:val="18"/>
              </w:rPr>
              <w:t>不溶物</w:t>
            </w:r>
          </w:p>
        </w:tc>
        <w:tc>
          <w:tcPr>
            <w:tcW w:w="584"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33"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总和</w:t>
            </w:r>
          </w:p>
        </w:tc>
      </w:tr>
      <w:tr>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FBWCU1样品1</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0.018</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0.40</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FBWCU1样品2</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99.83</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0.009</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0.030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0.17</w:t>
            </w:r>
          </w:p>
        </w:tc>
      </w:tr>
      <w:tr>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FBWCU1样品3</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99.70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0.037</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FBWCU1样品4</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99.57</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0.43</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FBWCU1样品5</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99.81</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0.030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0.19</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2</w:t>
            </w:r>
            <w:r>
              <w:rPr>
                <w:rFonts w:hint="eastAsia" w:ascii="宋体" w:hAnsi="宋体" w:eastAsia="宋体" w:cs="宋体"/>
                <w:kern w:val="0"/>
                <w:sz w:val="18"/>
                <w:szCs w:val="18"/>
              </w:rPr>
              <w:t>样品</w:t>
            </w:r>
            <w:r>
              <w:rPr>
                <w:rFonts w:ascii="宋体" w:hAnsi="宋体" w:eastAsia="宋体" w:cs="宋体"/>
                <w:kern w:val="0"/>
                <w:sz w:val="18"/>
                <w:szCs w:val="18"/>
              </w:rPr>
              <w:t>1</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99.59</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0.41</w:t>
            </w:r>
          </w:p>
        </w:tc>
      </w:tr>
      <w:tr>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2</w:t>
            </w:r>
            <w:r>
              <w:rPr>
                <w:rFonts w:hint="eastAsia" w:ascii="宋体" w:hAnsi="宋体" w:eastAsia="宋体" w:cs="宋体"/>
                <w:kern w:val="0"/>
                <w:sz w:val="18"/>
                <w:szCs w:val="18"/>
              </w:rPr>
              <w:t>样品</w:t>
            </w:r>
            <w:r>
              <w:rPr>
                <w:rFonts w:ascii="宋体" w:hAnsi="宋体" w:eastAsia="宋体" w:cs="宋体"/>
                <w:kern w:val="0"/>
                <w:sz w:val="18"/>
                <w:szCs w:val="18"/>
              </w:rPr>
              <w:t>2</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0.007</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0.049</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0.030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0.40</w:t>
            </w:r>
          </w:p>
        </w:tc>
      </w:tr>
      <w:tr>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2</w:t>
            </w:r>
            <w:r>
              <w:rPr>
                <w:rFonts w:hint="eastAsia" w:ascii="宋体" w:hAnsi="宋体" w:eastAsia="宋体" w:cs="宋体"/>
                <w:kern w:val="0"/>
                <w:sz w:val="18"/>
                <w:szCs w:val="18"/>
              </w:rPr>
              <w:t>样品</w:t>
            </w:r>
            <w:r>
              <w:rPr>
                <w:rFonts w:ascii="宋体" w:hAnsi="宋体" w:eastAsia="宋体" w:cs="宋体"/>
                <w:kern w:val="0"/>
                <w:sz w:val="18"/>
                <w:szCs w:val="18"/>
              </w:rPr>
              <w:t>3</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2</w:t>
            </w:r>
            <w:r>
              <w:rPr>
                <w:rFonts w:hint="eastAsia" w:ascii="宋体" w:hAnsi="宋体" w:eastAsia="宋体" w:cs="宋体"/>
                <w:kern w:val="0"/>
                <w:sz w:val="18"/>
                <w:szCs w:val="18"/>
              </w:rPr>
              <w:t>样品</w:t>
            </w:r>
            <w:r>
              <w:rPr>
                <w:rFonts w:ascii="宋体" w:hAnsi="宋体" w:eastAsia="宋体" w:cs="宋体"/>
                <w:kern w:val="0"/>
                <w:sz w:val="18"/>
                <w:szCs w:val="18"/>
              </w:rPr>
              <w:t>4</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99.62</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0.031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0.39</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2</w:t>
            </w:r>
            <w:r>
              <w:rPr>
                <w:rFonts w:hint="eastAsia" w:ascii="宋体" w:hAnsi="宋体" w:eastAsia="宋体" w:cs="宋体"/>
                <w:kern w:val="0"/>
                <w:sz w:val="18"/>
                <w:szCs w:val="18"/>
              </w:rPr>
              <w:t>样品</w:t>
            </w:r>
            <w:r>
              <w:rPr>
                <w:rFonts w:ascii="宋体" w:hAnsi="宋体" w:eastAsia="宋体" w:cs="宋体"/>
                <w:kern w:val="0"/>
                <w:sz w:val="18"/>
                <w:szCs w:val="18"/>
              </w:rPr>
              <w:t>5</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99.63</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0.008</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0.018</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0.37</w:t>
            </w:r>
          </w:p>
        </w:tc>
      </w:tr>
      <w:tr>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3</w:t>
            </w:r>
            <w:r>
              <w:rPr>
                <w:rFonts w:hint="eastAsia" w:ascii="宋体" w:hAnsi="宋体" w:eastAsia="宋体" w:cs="宋体"/>
                <w:kern w:val="0"/>
                <w:sz w:val="18"/>
                <w:szCs w:val="18"/>
              </w:rPr>
              <w:t>样品1</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99.62</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0.008</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0.38</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3</w:t>
            </w:r>
            <w:r>
              <w:rPr>
                <w:rFonts w:hint="eastAsia" w:ascii="宋体" w:hAnsi="宋体" w:eastAsia="宋体" w:cs="宋体"/>
                <w:kern w:val="0"/>
                <w:sz w:val="18"/>
                <w:szCs w:val="18"/>
              </w:rPr>
              <w:t>样品2</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99.74</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0.017</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0.26</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3</w:t>
            </w:r>
            <w:r>
              <w:rPr>
                <w:rFonts w:hint="eastAsia" w:ascii="宋体" w:hAnsi="宋体" w:eastAsia="宋体" w:cs="宋体"/>
                <w:kern w:val="0"/>
                <w:sz w:val="18"/>
                <w:szCs w:val="18"/>
              </w:rPr>
              <w:t>样品3</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99.81</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0.19</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3</w:t>
            </w:r>
            <w:r>
              <w:rPr>
                <w:rFonts w:hint="eastAsia" w:ascii="宋体" w:hAnsi="宋体" w:eastAsia="宋体" w:cs="宋体"/>
                <w:kern w:val="0"/>
                <w:sz w:val="18"/>
                <w:szCs w:val="18"/>
              </w:rPr>
              <w:t>样品4</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99.75</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0.007</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0.25</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3</w:t>
            </w:r>
            <w:r>
              <w:rPr>
                <w:rFonts w:hint="eastAsia" w:ascii="宋体" w:hAnsi="宋体" w:eastAsia="宋体" w:cs="宋体"/>
                <w:kern w:val="0"/>
                <w:sz w:val="18"/>
                <w:szCs w:val="18"/>
              </w:rPr>
              <w:t>样品5</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4</w:t>
            </w:r>
            <w:r>
              <w:rPr>
                <w:rFonts w:hint="eastAsia" w:ascii="宋体" w:hAnsi="宋体" w:eastAsia="宋体" w:cs="宋体"/>
                <w:kern w:val="0"/>
                <w:sz w:val="18"/>
                <w:szCs w:val="18"/>
              </w:rPr>
              <w:t>样品</w:t>
            </w:r>
            <w:r>
              <w:rPr>
                <w:rFonts w:ascii="宋体" w:hAnsi="宋体" w:eastAsia="宋体" w:cs="宋体"/>
                <w:kern w:val="0"/>
                <w:sz w:val="18"/>
                <w:szCs w:val="18"/>
              </w:rPr>
              <w:t>1</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99.81</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0.044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0.19</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4</w:t>
            </w:r>
            <w:r>
              <w:rPr>
                <w:rFonts w:hint="eastAsia" w:ascii="宋体" w:hAnsi="宋体" w:eastAsia="宋体" w:cs="宋体"/>
                <w:kern w:val="0"/>
                <w:sz w:val="18"/>
                <w:szCs w:val="18"/>
              </w:rPr>
              <w:t>样品</w:t>
            </w:r>
            <w:r>
              <w:rPr>
                <w:rFonts w:ascii="宋体" w:hAnsi="宋体" w:eastAsia="宋体" w:cs="宋体"/>
                <w:kern w:val="0"/>
                <w:sz w:val="18"/>
                <w:szCs w:val="18"/>
              </w:rPr>
              <w:t>2</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99.63</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0.37</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4</w:t>
            </w:r>
            <w:r>
              <w:rPr>
                <w:rFonts w:hint="eastAsia" w:ascii="宋体" w:hAnsi="宋体" w:eastAsia="宋体" w:cs="宋体"/>
                <w:kern w:val="0"/>
                <w:sz w:val="18"/>
                <w:szCs w:val="18"/>
              </w:rPr>
              <w:t>样品</w:t>
            </w:r>
            <w:r>
              <w:rPr>
                <w:rFonts w:ascii="宋体" w:hAnsi="宋体" w:eastAsia="宋体" w:cs="宋体"/>
                <w:kern w:val="0"/>
                <w:sz w:val="18"/>
                <w:szCs w:val="18"/>
              </w:rPr>
              <w:t>3</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99.61</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0.050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0.39</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4</w:t>
            </w:r>
            <w:r>
              <w:rPr>
                <w:rFonts w:hint="eastAsia" w:ascii="宋体" w:hAnsi="宋体" w:eastAsia="宋体" w:cs="宋体"/>
                <w:kern w:val="0"/>
                <w:sz w:val="18"/>
                <w:szCs w:val="18"/>
              </w:rPr>
              <w:t>样品</w:t>
            </w:r>
            <w:r>
              <w:rPr>
                <w:rFonts w:ascii="宋体" w:hAnsi="宋体" w:eastAsia="宋体" w:cs="宋体"/>
                <w:kern w:val="0"/>
                <w:sz w:val="18"/>
                <w:szCs w:val="18"/>
              </w:rPr>
              <w:t>4</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99.84</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0.006</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0.013</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0.16</w:t>
            </w:r>
          </w:p>
        </w:tc>
      </w:tr>
      <w:tr>
        <w:tblPrEx>
          <w:tblCellMar>
            <w:top w:w="0" w:type="dxa"/>
            <w:left w:w="108" w:type="dxa"/>
            <w:bottom w:w="0" w:type="dxa"/>
            <w:right w:w="108" w:type="dxa"/>
          </w:tblCellMar>
        </w:tblPrEx>
        <w:trPr>
          <w:trHeight w:val="300" w:hRule="atLeast"/>
        </w:trPr>
        <w:tc>
          <w:tcPr>
            <w:tcW w:w="1419"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FBWCU</w:t>
            </w:r>
            <w:r>
              <w:rPr>
                <w:rFonts w:ascii="宋体" w:hAnsi="宋体" w:eastAsia="宋体" w:cs="宋体"/>
                <w:kern w:val="0"/>
                <w:sz w:val="18"/>
                <w:szCs w:val="18"/>
              </w:rPr>
              <w:t>4</w:t>
            </w:r>
            <w:r>
              <w:rPr>
                <w:rFonts w:hint="eastAsia" w:ascii="宋体" w:hAnsi="宋体" w:eastAsia="宋体" w:cs="宋体"/>
                <w:kern w:val="0"/>
                <w:sz w:val="18"/>
                <w:szCs w:val="18"/>
              </w:rPr>
              <w:t>样品</w:t>
            </w:r>
            <w:r>
              <w:rPr>
                <w:rFonts w:ascii="宋体" w:hAnsi="宋体" w:eastAsia="宋体" w:cs="宋体"/>
                <w:kern w:val="0"/>
                <w:sz w:val="18"/>
                <w:szCs w:val="18"/>
              </w:rPr>
              <w:t>5</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hint="eastAsia" w:ascii="微软雅黑" w:hAnsi="微软雅黑" w:eastAsia="微软雅黑"/>
                <w:color w:val="333333"/>
                <w:sz w:val="16"/>
                <w:szCs w:val="16"/>
              </w:rPr>
              <w:t>99.80</w:t>
            </w:r>
          </w:p>
        </w:tc>
        <w:tc>
          <w:tcPr>
            <w:tcW w:w="576"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0.014</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0.027</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0.005</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0.001</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576"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0.010</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0.003</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0.002</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0.020</w:t>
            </w:r>
          </w:p>
        </w:tc>
        <w:tc>
          <w:tcPr>
            <w:tcW w:w="584"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0.100</w:t>
            </w:r>
          </w:p>
        </w:tc>
        <w:tc>
          <w:tcPr>
            <w:tcW w:w="53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cs="Times New Roman"/>
                <w:color w:val="000000"/>
                <w:sz w:val="16"/>
                <w:szCs w:val="16"/>
              </w:rPr>
              <w:t>0.20</w:t>
            </w:r>
          </w:p>
        </w:tc>
      </w:tr>
      <w:tr>
        <w:tblPrEx>
          <w:tblCellMar>
            <w:top w:w="0" w:type="dxa"/>
            <w:left w:w="108" w:type="dxa"/>
            <w:bottom w:w="0" w:type="dxa"/>
            <w:right w:w="108" w:type="dxa"/>
          </w:tblCellMar>
        </w:tblPrEx>
        <w:trPr>
          <w:trHeight w:val="300" w:hRule="atLeast"/>
        </w:trPr>
        <w:tc>
          <w:tcPr>
            <w:tcW w:w="10129" w:type="dxa"/>
            <w:gridSpan w:val="16"/>
            <w:tcBorders>
              <w:top w:val="single" w:color="auto" w:sz="4" w:space="0"/>
              <w:left w:val="single" w:color="auto" w:sz="8" w:space="0"/>
              <w:bottom w:val="single" w:color="auto" w:sz="8" w:space="0"/>
              <w:right w:val="single" w:color="auto" w:sz="8" w:space="0"/>
            </w:tcBorders>
          </w:tcPr>
          <w:p>
            <w:pPr>
              <w:widowControl/>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备注：其中Cd，</w:t>
            </w:r>
            <w:r>
              <w:rPr>
                <w:rFonts w:ascii="Times New Roman" w:hAnsi="Times New Roman" w:eastAsia="宋体" w:cs="Times New Roman"/>
                <w:color w:val="000000"/>
                <w:kern w:val="0"/>
                <w:sz w:val="18"/>
                <w:szCs w:val="18"/>
              </w:rPr>
              <w:t>H</w:t>
            </w:r>
            <w:r>
              <w:rPr>
                <w:rFonts w:hint="eastAsia" w:ascii="Times New Roman" w:hAnsi="Times New Roman" w:eastAsia="宋体" w:cs="Times New Roman"/>
                <w:color w:val="000000"/>
                <w:kern w:val="0"/>
                <w:sz w:val="18"/>
                <w:szCs w:val="18"/>
              </w:rPr>
              <w:t>g，Cr未检出。</w:t>
            </w:r>
          </w:p>
        </w:tc>
      </w:tr>
    </w:tbl>
    <w:p>
      <w:pPr>
        <w:spacing w:line="300" w:lineRule="auto"/>
        <w:ind w:firstLine="420" w:firstLineChars="200"/>
        <w:rPr>
          <w:szCs w:val="21"/>
        </w:rPr>
      </w:pPr>
    </w:p>
    <w:p>
      <w:pPr>
        <w:widowControl/>
        <w:spacing w:line="300" w:lineRule="auto"/>
        <w:rPr>
          <w:rFonts w:hAnsi="黑体" w:eastAsia="黑体"/>
          <w:b/>
          <w:bCs/>
        </w:rPr>
      </w:pPr>
      <w:r>
        <w:rPr>
          <w:rFonts w:hint="eastAsia" w:hAnsi="黑体" w:eastAsia="黑体"/>
          <w:b/>
          <w:bCs/>
        </w:rPr>
        <w:t>5.3.3物理性能及其范围：</w:t>
      </w:r>
    </w:p>
    <w:p>
      <w:pPr>
        <w:spacing w:line="300" w:lineRule="auto"/>
        <w:ind w:firstLine="420" w:firstLineChars="200"/>
        <w:contextualSpacing/>
        <w:rPr>
          <w:rFonts w:asciiTheme="minorEastAsia" w:hAnsiTheme="minorEastAsia"/>
          <w:szCs w:val="21"/>
        </w:rPr>
      </w:pPr>
      <w:r>
        <w:rPr>
          <w:rFonts w:hint="eastAsia"/>
        </w:rPr>
        <w:t>（1） 每</w:t>
      </w:r>
      <w:r>
        <w:rPr>
          <w:rFonts w:hint="eastAsia" w:ascii="宋体" w:hAnsi="宋体"/>
          <w:szCs w:val="21"/>
        </w:rPr>
        <w:t>一批产品在出厂前企业须对产品粒径分布进行严格的抽样检测，取样依据标准为GB/T 5314，</w:t>
      </w:r>
      <w:r>
        <w:rPr>
          <w:rFonts w:hint="eastAsia" w:asciiTheme="minorEastAsia" w:hAnsiTheme="minorEastAsia"/>
          <w:szCs w:val="21"/>
        </w:rPr>
        <w:t>物理指标采用《</w:t>
      </w:r>
      <w:r>
        <w:fldChar w:fldCharType="begin"/>
      </w:r>
      <w:r>
        <w:instrText xml:space="preserve"> HYPERLINK "http://www.so.com/link?m=aY1yBA897RwNkc11cCNVUHB9fa0NczyJ2OJsLedtzivDrnpAgwgP1wMJifIpErp2%2FrHCmPwHzu%2FduhsjdMGemLjK37%2BI2D5lqX9lE6HcHDFLOtmax" \t "_blank" </w:instrText>
      </w:r>
      <w:r>
        <w:fldChar w:fldCharType="separate"/>
      </w:r>
      <w:r>
        <w:rPr>
          <w:rFonts w:asciiTheme="minorEastAsia" w:hAnsiTheme="minorEastAsia"/>
          <w:szCs w:val="21"/>
        </w:rPr>
        <w:t>GB/T 1480-2012 金属粉末干筛分法测定粒度</w:t>
      </w:r>
      <w:r>
        <w:rPr>
          <w:rFonts w:asciiTheme="minorEastAsia" w:hAnsiTheme="minorEastAsia"/>
          <w:szCs w:val="21"/>
        </w:rPr>
        <w:fldChar w:fldCharType="end"/>
      </w:r>
      <w:r>
        <w:rPr>
          <w:rFonts w:hint="eastAsia" w:asciiTheme="minorEastAsia" w:hAnsiTheme="minorEastAsia"/>
          <w:szCs w:val="21"/>
        </w:rPr>
        <w:t>》、《</w:t>
      </w:r>
      <w:r>
        <w:fldChar w:fldCharType="begin"/>
      </w:r>
      <w:r>
        <w:instrText xml:space="preserve"> HYPERLINK "http://www.so.com/link?m=abWyo%2BxsEOnHM6IKXICrIzyOo2Uf%2Bx0CBIH%2FoInyniOF66puoVskwajG7c4Jp4dDDANKzFCVFadE%2BBKL4GaHWTavgYBgMAX4Z4LnJKUoRknXR8JEuiaO7Wa4bvnMnegND9njgRg%3D%3D" \t "_blank" </w:instrText>
      </w:r>
      <w:r>
        <w:fldChar w:fldCharType="separate"/>
      </w:r>
      <w:r>
        <w:rPr>
          <w:rFonts w:asciiTheme="minorEastAsia" w:hAnsiTheme="minorEastAsia"/>
          <w:szCs w:val="21"/>
        </w:rPr>
        <w:t>GB/T 1479.1-2011 金属粉末松装密度的测定第1部分:漏斗法</w:t>
      </w:r>
      <w:r>
        <w:rPr>
          <w:rFonts w:asciiTheme="minorEastAsia" w:hAnsiTheme="minorEastAsia"/>
          <w:szCs w:val="21"/>
        </w:rPr>
        <w:fldChar w:fldCharType="end"/>
      </w:r>
      <w:r>
        <w:rPr>
          <w:rFonts w:hint="eastAsia" w:asciiTheme="minorEastAsia" w:hAnsiTheme="minorEastAsia"/>
          <w:szCs w:val="21"/>
        </w:rPr>
        <w:t>》、《</w:t>
      </w:r>
      <w:r>
        <w:rPr>
          <w:rFonts w:asciiTheme="minorEastAsia" w:hAnsiTheme="minorEastAsia"/>
          <w:szCs w:val="21"/>
        </w:rPr>
        <w:t>GB/T 1482-2010 金属粉末流动性的测定标准漏斗法(霍尔流速计)</w:t>
      </w:r>
      <w:r>
        <w:rPr>
          <w:rFonts w:hint="eastAsia" w:asciiTheme="minorEastAsia" w:hAnsiTheme="minorEastAsia"/>
          <w:szCs w:val="21"/>
        </w:rPr>
        <w:t>》，样品检测结果如表2.</w:t>
      </w: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p>
    <w:p>
      <w:pPr>
        <w:tabs>
          <w:tab w:val="left" w:pos="1924"/>
        </w:tabs>
        <w:jc w:val="center"/>
        <w:rPr>
          <w:rFonts w:ascii="宋体" w:hAnsi="宋体"/>
          <w:szCs w:val="21"/>
        </w:rPr>
      </w:pPr>
      <w:r>
        <w:rPr>
          <w:rFonts w:hint="eastAsia" w:ascii="宋体" w:hAnsi="宋体"/>
          <w:szCs w:val="21"/>
        </w:rPr>
        <w:t>表2 焊材用铜粉检测结果统计</w:t>
      </w:r>
    </w:p>
    <w:tbl>
      <w:tblPr>
        <w:tblStyle w:val="8"/>
        <w:tblpPr w:leftFromText="180" w:rightFromText="180" w:vertAnchor="text" w:horzAnchor="page" w:tblpX="684" w:tblpY="431"/>
        <w:tblOverlap w:val="never"/>
        <w:tblW w:w="10622" w:type="dxa"/>
        <w:tblInd w:w="0" w:type="dxa"/>
        <w:tblLayout w:type="fixed"/>
        <w:tblCellMar>
          <w:top w:w="15" w:type="dxa"/>
          <w:left w:w="15" w:type="dxa"/>
          <w:bottom w:w="15" w:type="dxa"/>
          <w:right w:w="15" w:type="dxa"/>
        </w:tblCellMar>
      </w:tblPr>
      <w:tblGrid>
        <w:gridCol w:w="2039"/>
        <w:gridCol w:w="888"/>
        <w:gridCol w:w="1221"/>
        <w:gridCol w:w="1309"/>
        <w:gridCol w:w="1409"/>
        <w:gridCol w:w="916"/>
        <w:gridCol w:w="1615"/>
        <w:gridCol w:w="1225"/>
      </w:tblGrid>
      <w:tr>
        <w:tblPrEx>
          <w:tblCellMar>
            <w:top w:w="15" w:type="dxa"/>
            <w:left w:w="15" w:type="dxa"/>
            <w:bottom w:w="15" w:type="dxa"/>
            <w:right w:w="15" w:type="dxa"/>
          </w:tblCellMar>
        </w:tblPrEx>
        <w:trPr>
          <w:trHeight w:val="268" w:hRule="atLeast"/>
        </w:trPr>
        <w:tc>
          <w:tcPr>
            <w:tcW w:w="203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样品名称及编号</w:t>
            </w:r>
          </w:p>
        </w:tc>
        <w:tc>
          <w:tcPr>
            <w:tcW w:w="5743" w:type="dxa"/>
            <w:gridSpan w:val="5"/>
            <w:tcBorders>
              <w:top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粒度组成(%)</w:t>
            </w:r>
          </w:p>
        </w:tc>
        <w:tc>
          <w:tcPr>
            <w:tcW w:w="161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松装密度(g/cm³)</w:t>
            </w:r>
          </w:p>
        </w:tc>
        <w:tc>
          <w:tcPr>
            <w:tcW w:w="122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流动性(s/50g)</w:t>
            </w:r>
          </w:p>
        </w:tc>
      </w:tr>
      <w:tr>
        <w:tblPrEx>
          <w:tblCellMar>
            <w:top w:w="15" w:type="dxa"/>
            <w:left w:w="15" w:type="dxa"/>
            <w:bottom w:w="15" w:type="dxa"/>
            <w:right w:w="15" w:type="dxa"/>
          </w:tblCellMar>
        </w:tblPrEx>
        <w:trPr>
          <w:trHeight w:val="775" w:hRule="atLeast"/>
        </w:trPr>
        <w:tc>
          <w:tcPr>
            <w:tcW w:w="203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rPr>
                <w:rFonts w:ascii="宋体" w:hAnsi="宋体" w:eastAsia="宋体" w:cs="宋体"/>
                <w:color w:val="000000"/>
                <w:sz w:val="18"/>
                <w:szCs w:val="18"/>
              </w:rPr>
            </w:pP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等线" w:hAnsi="等线"/>
                <w:kern w:val="0"/>
                <w:sz w:val="18"/>
                <w:szCs w:val="18"/>
              </w:rPr>
              <w:t>250μm～1</w:t>
            </w:r>
            <w:r>
              <w:rPr>
                <w:rFonts w:hint="eastAsia" w:ascii="等线" w:hAnsi="等线"/>
                <w:kern w:val="0"/>
                <w:sz w:val="18"/>
                <w:szCs w:val="18"/>
              </w:rPr>
              <w:t>50</w:t>
            </w:r>
            <w:r>
              <w:rPr>
                <w:rFonts w:ascii="等线" w:hAnsi="等线"/>
                <w:kern w:val="0"/>
                <w:sz w:val="18"/>
                <w:szCs w:val="18"/>
              </w:rPr>
              <w:t>μm</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等线" w:hAnsi="等线"/>
                <w:kern w:val="0"/>
                <w:sz w:val="18"/>
                <w:szCs w:val="18"/>
              </w:rPr>
              <w:t>150</w:t>
            </w:r>
            <w:r>
              <w:rPr>
                <w:rFonts w:ascii="等线" w:hAnsi="等线"/>
                <w:kern w:val="0"/>
                <w:sz w:val="18"/>
                <w:szCs w:val="18"/>
              </w:rPr>
              <w:t>μm～104μm</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等线" w:hAnsi="等线"/>
                <w:kern w:val="0"/>
                <w:sz w:val="18"/>
                <w:szCs w:val="18"/>
              </w:rPr>
              <w:t>104μm～75μm</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等线" w:hAnsi="等线"/>
                <w:kern w:val="0"/>
                <w:sz w:val="18"/>
                <w:szCs w:val="18"/>
              </w:rPr>
              <w:t>75μm～45μm</w:t>
            </w:r>
          </w:p>
        </w:tc>
        <w:tc>
          <w:tcPr>
            <w:tcW w:w="916" w:type="dxa"/>
            <w:tcBorders>
              <w:bottom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kern w:val="0"/>
                <w:sz w:val="18"/>
                <w:szCs w:val="18"/>
              </w:rPr>
              <w:t>＜</w:t>
            </w:r>
            <w:r>
              <w:rPr>
                <w:rFonts w:ascii="等线" w:hAnsi="等线"/>
                <w:kern w:val="0"/>
                <w:sz w:val="18"/>
                <w:szCs w:val="18"/>
              </w:rPr>
              <w:t>45μm</w:t>
            </w:r>
          </w:p>
        </w:tc>
        <w:tc>
          <w:tcPr>
            <w:tcW w:w="161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rPr>
                <w:rFonts w:ascii="宋体" w:hAnsi="宋体" w:eastAsia="宋体" w:cs="宋体"/>
                <w:color w:val="000000"/>
                <w:sz w:val="18"/>
                <w:szCs w:val="18"/>
              </w:rPr>
            </w:pPr>
          </w:p>
        </w:tc>
        <w:tc>
          <w:tcPr>
            <w:tcW w:w="12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120" w:lineRule="auto"/>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FBWCU1样品1</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8.5</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13.3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25.3</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52.4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FBWCU1样品2</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9.5</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13.2</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23.3</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54.0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FBWCU1样品3</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7.7</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17.0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24.5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50.3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FBWCU1样品4</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0.1</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4.7</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11.1</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21.5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62.6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FBWCU1样品5</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0.1</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4.3</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20.0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29.3</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46.3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FBWCU1样品6</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4.5</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14.9</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22.4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57.7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FBWCU1样品7</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16.5</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28.4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50.5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FBWCU1样品8</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19.9</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21.7</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54.4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FBWCU1样品9</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0.2</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9.8</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18.9</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24.8</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46.3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FBWCU1样品10</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0.3</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2.9</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12.7</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22.2</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61.9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样品1</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4.6</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12.1</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27.0</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56.3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样品2</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1.9</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18.5</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29.1</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50.5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样品3</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16.7</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21.2</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58.7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样品4</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14.3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23.9</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58.0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样品5</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4.4</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13.5</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23.4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58.7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样品6</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1.3</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16.4</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28.6</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53.7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3.9</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样品7</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0.5</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18.4</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28.2</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52.9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样品8</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17.2</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21.6</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57.1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样品9</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14.5</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26.5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57.4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样品10</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2.1</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16.2</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27.4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54.3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3.9</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w:t>
            </w:r>
            <w:r>
              <w:rPr>
                <w:rFonts w:ascii="宋体" w:hAnsi="宋体" w:eastAsia="宋体" w:cs="宋体"/>
                <w:color w:val="000000"/>
                <w:kern w:val="0"/>
                <w:sz w:val="18"/>
                <w:szCs w:val="18"/>
                <w:lang w:bidi="ar"/>
              </w:rPr>
              <w:t>1</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2.8</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8.1</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85.8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样品2</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6.3</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88.3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样品3</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0.2</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90.5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3.9</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样品4</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3.1</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10.0</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84.4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样品5</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0.5</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88.8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样品6</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0.1</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0.3</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2.7</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92.5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样品7</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0.1</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1.6</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4.4</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7.2</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86.7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4.1</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样品8</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0.2</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2.2</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4.3</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89.3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样品9</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0.2</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0.4</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96.7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样品</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0</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ascii="Times New Roman" w:hAnsi="Times New Roman" w:cs="Times New Roman"/>
                <w:color w:val="000000"/>
                <w:sz w:val="18"/>
                <w:szCs w:val="18"/>
              </w:rPr>
              <w:t>0.2</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4.3</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4.7</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1.8</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89.0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32.0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样品1</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0.1</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6.4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93.5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样品2</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0.4</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95.6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样品3</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0.2</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2.5</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97.3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样品4</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0.4</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96.2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样品5</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9.7</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90.0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样品6</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0.5</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8.9</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90.6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4.2</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33.0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样品7</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0.0</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3.0</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97.0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35.0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样品8</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0.1</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0.4</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99.5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3.8</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268"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样品9</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0.1</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0.8</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99.1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37.0</w:t>
            </w:r>
          </w:p>
        </w:tc>
      </w:tr>
      <w:tr>
        <w:tblPrEx>
          <w:tblCellMar>
            <w:top w:w="15" w:type="dxa"/>
            <w:left w:w="15" w:type="dxa"/>
            <w:bottom w:w="15" w:type="dxa"/>
            <w:right w:w="15" w:type="dxa"/>
          </w:tblCellMar>
        </w:tblPrEx>
        <w:trPr>
          <w:trHeight w:val="360" w:hRule="atLeast"/>
        </w:trPr>
        <w:tc>
          <w:tcPr>
            <w:tcW w:w="2039" w:type="dxa"/>
            <w:tcBorders>
              <w:left w:val="single" w:color="000000" w:sz="12" w:space="0"/>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FBWCU</w:t>
            </w: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样品10</w:t>
            </w:r>
          </w:p>
        </w:tc>
        <w:tc>
          <w:tcPr>
            <w:tcW w:w="888"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等线" w:hAnsi="等线" w:eastAsia="等线" w:cs="等线"/>
                <w:color w:val="000000"/>
                <w:sz w:val="18"/>
                <w:szCs w:val="18"/>
              </w:rPr>
            </w:pPr>
            <w:r>
              <w:rPr>
                <w:rFonts w:hint="eastAsia" w:ascii="等线" w:hAnsi="等线" w:eastAsia="等线"/>
                <w:color w:val="000000"/>
                <w:sz w:val="18"/>
                <w:szCs w:val="18"/>
              </w:rPr>
              <w:t>0</w:t>
            </w:r>
          </w:p>
        </w:tc>
        <w:tc>
          <w:tcPr>
            <w:tcW w:w="1221"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0</w:t>
            </w:r>
          </w:p>
        </w:tc>
        <w:tc>
          <w:tcPr>
            <w:tcW w:w="13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0.3</w:t>
            </w:r>
          </w:p>
        </w:tc>
        <w:tc>
          <w:tcPr>
            <w:tcW w:w="1409"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6.1</w:t>
            </w:r>
          </w:p>
        </w:tc>
        <w:tc>
          <w:tcPr>
            <w:tcW w:w="916"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hint="eastAsia"/>
                <w:color w:val="000000"/>
                <w:sz w:val="18"/>
                <w:szCs w:val="18"/>
              </w:rPr>
              <w:t xml:space="preserve">93.6 </w:t>
            </w:r>
          </w:p>
        </w:tc>
        <w:tc>
          <w:tcPr>
            <w:tcW w:w="161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4.0</w:t>
            </w:r>
          </w:p>
        </w:tc>
        <w:tc>
          <w:tcPr>
            <w:tcW w:w="1225" w:type="dxa"/>
            <w:tcBorders>
              <w:bottom w:val="single" w:color="000000" w:sz="12" w:space="0"/>
              <w:right w:val="single" w:color="000000" w:sz="12" w:space="0"/>
            </w:tcBorders>
            <w:shd w:val="clear" w:color="auto" w:fill="auto"/>
            <w:vAlign w:val="center"/>
          </w:tcPr>
          <w:p>
            <w:pPr>
              <w:widowControl/>
              <w:spacing w:line="120" w:lineRule="auto"/>
              <w:jc w:val="center"/>
              <w:textAlignment w:val="center"/>
              <w:rPr>
                <w:rFonts w:ascii="宋体" w:hAnsi="宋体" w:eastAsia="宋体" w:cs="宋体"/>
                <w:color w:val="000000"/>
                <w:sz w:val="18"/>
                <w:szCs w:val="18"/>
              </w:rPr>
            </w:pPr>
            <w:r>
              <w:rPr>
                <w:rFonts w:ascii="Times New Roman" w:hAnsi="Times New Roman" w:cs="Times New Roman"/>
                <w:color w:val="000000"/>
                <w:sz w:val="18"/>
                <w:szCs w:val="18"/>
              </w:rPr>
              <w:t>36.0</w:t>
            </w:r>
          </w:p>
        </w:tc>
      </w:tr>
    </w:tbl>
    <w:p>
      <w:pPr>
        <w:spacing w:line="300" w:lineRule="auto"/>
        <w:ind w:firstLine="210" w:firstLineChars="100"/>
        <w:jc w:val="left"/>
      </w:pPr>
    </w:p>
    <w:p>
      <w:pPr>
        <w:pStyle w:val="24"/>
        <w:numPr>
          <w:ilvl w:val="0"/>
          <w:numId w:val="0"/>
        </w:numPr>
      </w:pPr>
      <w:r>
        <w:rPr>
          <w:rFonts w:hint="eastAsia"/>
        </w:rPr>
        <w:t xml:space="preserve">表4 </w:t>
      </w:r>
      <w:r>
        <w:rPr>
          <w:rFonts w:hint="eastAsia" w:ascii="宋体" w:hAnsi="宋体"/>
          <w:szCs w:val="21"/>
        </w:rPr>
        <w:t>焊材用铜粉</w:t>
      </w:r>
      <w:r>
        <w:rPr>
          <w:rFonts w:hint="eastAsia"/>
        </w:rPr>
        <w:t>的物理性能</w:t>
      </w:r>
    </w:p>
    <w:p>
      <w:pPr>
        <w:tabs>
          <w:tab w:val="left" w:pos="8348"/>
        </w:tabs>
        <w:spacing w:line="300" w:lineRule="auto"/>
        <w:contextualSpacing/>
        <w:rPr>
          <w:rFonts w:asciiTheme="minorEastAsia" w:hAnsiTheme="minorEastAsia"/>
          <w:szCs w:val="21"/>
        </w:rPr>
      </w:pPr>
    </w:p>
    <w:tbl>
      <w:tblPr>
        <w:tblStyle w:val="8"/>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94"/>
        <w:gridCol w:w="1418"/>
        <w:gridCol w:w="1275"/>
        <w:gridCol w:w="1134"/>
        <w:gridCol w:w="113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vAlign w:val="center"/>
          </w:tcPr>
          <w:p>
            <w:pPr>
              <w:widowControl/>
              <w:jc w:val="center"/>
              <w:rPr>
                <w:rFonts w:ascii="等线" w:hAnsi="等线" w:cs="宋体"/>
                <w:color w:val="000000"/>
                <w:kern w:val="0"/>
                <w:sz w:val="18"/>
                <w:szCs w:val="18"/>
              </w:rPr>
            </w:pPr>
            <w:r>
              <w:rPr>
                <w:rFonts w:hint="eastAsia" w:ascii="等线" w:hAnsi="等线" w:cs="宋体"/>
                <w:color w:val="000000"/>
                <w:kern w:val="0"/>
                <w:sz w:val="18"/>
                <w:szCs w:val="18"/>
              </w:rPr>
              <w:t>牌号</w:t>
            </w:r>
          </w:p>
        </w:tc>
        <w:tc>
          <w:tcPr>
            <w:tcW w:w="6055" w:type="dxa"/>
            <w:gridSpan w:val="5"/>
          </w:tcPr>
          <w:p>
            <w:pPr>
              <w:widowControl/>
              <w:jc w:val="center"/>
              <w:rPr>
                <w:color w:val="000000"/>
                <w:kern w:val="0"/>
                <w:sz w:val="18"/>
                <w:szCs w:val="18"/>
              </w:rPr>
            </w:pPr>
            <w:r>
              <w:rPr>
                <w:rFonts w:hint="eastAsia" w:ascii="宋体" w:hAnsi="宋体" w:cs="宋体"/>
                <w:color w:val="000000"/>
                <w:kern w:val="0"/>
                <w:sz w:val="18"/>
                <w:szCs w:val="18"/>
              </w:rPr>
              <w:t>粒径组成（质量分数）</w:t>
            </w:r>
            <w:r>
              <w:rPr>
                <w:rFonts w:hint="eastAsia" w:ascii="等线 Light" w:hAnsi="等线 Light" w:eastAsia="等线 Light" w:cs="宋体"/>
                <w:color w:val="000000"/>
                <w:kern w:val="0"/>
                <w:sz w:val="16"/>
                <w:szCs w:val="18"/>
              </w:rPr>
              <w:t>/%</w:t>
            </w:r>
          </w:p>
        </w:tc>
        <w:tc>
          <w:tcPr>
            <w:tcW w:w="1276" w:type="dxa"/>
            <w:vMerge w:val="restart"/>
            <w:vAlign w:val="center"/>
          </w:tcPr>
          <w:p>
            <w:pPr>
              <w:widowControl/>
              <w:jc w:val="center"/>
              <w:rPr>
                <w:color w:val="000000"/>
                <w:kern w:val="0"/>
                <w:sz w:val="18"/>
                <w:szCs w:val="18"/>
              </w:rPr>
            </w:pPr>
            <w:r>
              <w:rPr>
                <w:rFonts w:hint="eastAsia"/>
                <w:color w:val="000000"/>
                <w:kern w:val="0"/>
                <w:sz w:val="18"/>
                <w:szCs w:val="18"/>
              </w:rPr>
              <w:t>松装密度</w:t>
            </w:r>
          </w:p>
          <w:p>
            <w:pPr>
              <w:widowControl/>
              <w:jc w:val="center"/>
              <w:rPr>
                <w:color w:val="000000"/>
                <w:kern w:val="0"/>
                <w:sz w:val="18"/>
                <w:szCs w:val="18"/>
              </w:rPr>
            </w:pPr>
            <w:r>
              <w:rPr>
                <w:rFonts w:hint="eastAsia"/>
                <w:color w:val="000000"/>
                <w:kern w:val="0"/>
                <w:sz w:val="18"/>
                <w:szCs w:val="18"/>
              </w:rPr>
              <w:t>g/cm3</w:t>
            </w:r>
          </w:p>
        </w:tc>
        <w:tc>
          <w:tcPr>
            <w:tcW w:w="1843" w:type="dxa"/>
            <w:vMerge w:val="restart"/>
            <w:vAlign w:val="center"/>
          </w:tcPr>
          <w:p>
            <w:pPr>
              <w:widowControl/>
              <w:jc w:val="center"/>
              <w:rPr>
                <w:color w:val="000000"/>
                <w:kern w:val="0"/>
                <w:sz w:val="18"/>
                <w:szCs w:val="18"/>
              </w:rPr>
            </w:pPr>
            <w:r>
              <w:rPr>
                <w:rFonts w:hint="eastAsia"/>
                <w:color w:val="000000"/>
                <w:kern w:val="0"/>
                <w:sz w:val="18"/>
                <w:szCs w:val="18"/>
              </w:rPr>
              <w:t>流动性</w:t>
            </w:r>
          </w:p>
          <w:p>
            <w:pPr>
              <w:widowControl/>
              <w:jc w:val="center"/>
              <w:rPr>
                <w:color w:val="000000"/>
                <w:kern w:val="0"/>
                <w:sz w:val="18"/>
                <w:szCs w:val="18"/>
              </w:rPr>
            </w:pPr>
            <w:r>
              <w:rPr>
                <w:rFonts w:hint="eastAsia"/>
                <w:color w:val="000000"/>
                <w:kern w:val="0"/>
                <w:sz w:val="18"/>
                <w:szCs w:val="18"/>
              </w:rPr>
              <w:t>s/50g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58" w:type="dxa"/>
            <w:vMerge w:val="continue"/>
            <w:vAlign w:val="center"/>
          </w:tcPr>
          <w:p>
            <w:pPr>
              <w:widowControl/>
              <w:jc w:val="center"/>
              <w:rPr>
                <w:rFonts w:ascii="等线" w:hAnsi="等线" w:cs="宋体"/>
                <w:color w:val="000000"/>
                <w:kern w:val="0"/>
                <w:sz w:val="18"/>
                <w:szCs w:val="18"/>
              </w:rPr>
            </w:pPr>
          </w:p>
        </w:tc>
        <w:tc>
          <w:tcPr>
            <w:tcW w:w="1094" w:type="dxa"/>
            <w:vAlign w:val="center"/>
          </w:tcPr>
          <w:p>
            <w:pPr>
              <w:widowControl/>
              <w:jc w:val="center"/>
              <w:rPr>
                <w:rFonts w:ascii="等线" w:hAnsi="等线"/>
                <w:kern w:val="0"/>
                <w:sz w:val="18"/>
                <w:szCs w:val="18"/>
              </w:rPr>
            </w:pPr>
            <w:r>
              <w:rPr>
                <w:rFonts w:ascii="等线" w:hAnsi="等线"/>
                <w:kern w:val="0"/>
                <w:sz w:val="18"/>
                <w:szCs w:val="18"/>
              </w:rPr>
              <w:t>250μm～1</w:t>
            </w:r>
            <w:r>
              <w:rPr>
                <w:rFonts w:hint="eastAsia" w:ascii="等线" w:hAnsi="等线"/>
                <w:kern w:val="0"/>
                <w:sz w:val="18"/>
                <w:szCs w:val="18"/>
              </w:rPr>
              <w:t>50</w:t>
            </w:r>
            <w:r>
              <w:rPr>
                <w:rFonts w:ascii="等线" w:hAnsi="等线"/>
                <w:kern w:val="0"/>
                <w:sz w:val="18"/>
                <w:szCs w:val="18"/>
              </w:rPr>
              <w:t>μm</w:t>
            </w:r>
          </w:p>
        </w:tc>
        <w:tc>
          <w:tcPr>
            <w:tcW w:w="1418" w:type="dxa"/>
            <w:vAlign w:val="center"/>
          </w:tcPr>
          <w:p>
            <w:pPr>
              <w:widowControl/>
              <w:jc w:val="center"/>
              <w:rPr>
                <w:rFonts w:ascii="等线" w:hAnsi="等线"/>
                <w:kern w:val="0"/>
                <w:sz w:val="18"/>
                <w:szCs w:val="18"/>
              </w:rPr>
            </w:pPr>
            <w:r>
              <w:rPr>
                <w:rFonts w:hint="eastAsia" w:ascii="等线" w:hAnsi="等线"/>
                <w:kern w:val="0"/>
                <w:sz w:val="18"/>
                <w:szCs w:val="18"/>
              </w:rPr>
              <w:t>150</w:t>
            </w:r>
            <w:r>
              <w:rPr>
                <w:rFonts w:ascii="等线" w:hAnsi="等线"/>
                <w:kern w:val="0"/>
                <w:sz w:val="18"/>
                <w:szCs w:val="18"/>
              </w:rPr>
              <w:t>μm～104μm</w:t>
            </w:r>
          </w:p>
        </w:tc>
        <w:tc>
          <w:tcPr>
            <w:tcW w:w="1275" w:type="dxa"/>
            <w:vAlign w:val="center"/>
          </w:tcPr>
          <w:p>
            <w:pPr>
              <w:widowControl/>
              <w:jc w:val="center"/>
              <w:rPr>
                <w:rFonts w:ascii="等线" w:hAnsi="等线"/>
                <w:kern w:val="0"/>
                <w:sz w:val="18"/>
                <w:szCs w:val="18"/>
              </w:rPr>
            </w:pPr>
            <w:r>
              <w:rPr>
                <w:rFonts w:ascii="等线" w:hAnsi="等线"/>
                <w:kern w:val="0"/>
                <w:sz w:val="18"/>
                <w:szCs w:val="18"/>
              </w:rPr>
              <w:t>104μm～75μm</w:t>
            </w:r>
          </w:p>
        </w:tc>
        <w:tc>
          <w:tcPr>
            <w:tcW w:w="1134" w:type="dxa"/>
            <w:vAlign w:val="center"/>
          </w:tcPr>
          <w:p>
            <w:pPr>
              <w:widowControl/>
              <w:jc w:val="center"/>
              <w:rPr>
                <w:rFonts w:ascii="等线" w:hAnsi="等线"/>
                <w:kern w:val="0"/>
                <w:sz w:val="18"/>
                <w:szCs w:val="18"/>
              </w:rPr>
            </w:pPr>
            <w:r>
              <w:rPr>
                <w:rFonts w:ascii="等线" w:hAnsi="等线"/>
                <w:kern w:val="0"/>
                <w:sz w:val="18"/>
                <w:szCs w:val="18"/>
              </w:rPr>
              <w:t>75μm～45μm</w:t>
            </w:r>
          </w:p>
        </w:tc>
        <w:tc>
          <w:tcPr>
            <w:tcW w:w="1134" w:type="dxa"/>
          </w:tcPr>
          <w:p>
            <w:pPr>
              <w:widowControl/>
              <w:jc w:val="center"/>
              <w:rPr>
                <w:rFonts w:ascii="等线" w:hAnsi="等线" w:cs="宋体"/>
                <w:color w:val="000000"/>
                <w:kern w:val="0"/>
                <w:sz w:val="16"/>
                <w:szCs w:val="18"/>
              </w:rPr>
            </w:pPr>
            <w:r>
              <w:rPr>
                <w:rFonts w:hint="eastAsia" w:ascii="宋体" w:hAnsi="宋体"/>
                <w:kern w:val="0"/>
                <w:sz w:val="18"/>
                <w:szCs w:val="18"/>
              </w:rPr>
              <w:t>＜</w:t>
            </w:r>
            <w:r>
              <w:rPr>
                <w:rFonts w:ascii="等线" w:hAnsi="等线"/>
                <w:kern w:val="0"/>
                <w:sz w:val="18"/>
                <w:szCs w:val="18"/>
              </w:rPr>
              <w:t>45μm</w:t>
            </w:r>
          </w:p>
        </w:tc>
        <w:tc>
          <w:tcPr>
            <w:tcW w:w="1276" w:type="dxa"/>
            <w:vMerge w:val="continue"/>
            <w:vAlign w:val="center"/>
          </w:tcPr>
          <w:p>
            <w:pPr>
              <w:widowControl/>
              <w:jc w:val="center"/>
              <w:rPr>
                <w:rFonts w:ascii="等线" w:hAnsi="等线" w:cs="宋体"/>
                <w:color w:val="000000"/>
                <w:kern w:val="0"/>
                <w:sz w:val="16"/>
                <w:szCs w:val="18"/>
              </w:rPr>
            </w:pPr>
          </w:p>
        </w:tc>
        <w:tc>
          <w:tcPr>
            <w:tcW w:w="1843" w:type="dxa"/>
            <w:vMerge w:val="continue"/>
            <w:vAlign w:val="center"/>
          </w:tcPr>
          <w:p>
            <w:pPr>
              <w:widowControl/>
              <w:jc w:val="center"/>
              <w:rPr>
                <w:rFonts w:ascii="等线" w:hAnsi="等线" w:cs="宋体"/>
                <w:color w:val="000000"/>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color w:val="000000"/>
                <w:kern w:val="0"/>
                <w:sz w:val="16"/>
                <w:szCs w:val="18"/>
              </w:rPr>
            </w:pPr>
            <w:r>
              <w:rPr>
                <w:rFonts w:ascii="宋体"/>
                <w:szCs w:val="20"/>
              </w:rPr>
              <w:t>FBWC</w:t>
            </w:r>
            <w:r>
              <w:rPr>
                <w:rFonts w:hint="eastAsia" w:ascii="宋体"/>
                <w:szCs w:val="20"/>
              </w:rPr>
              <w:t>u</w:t>
            </w:r>
            <w:r>
              <w:rPr>
                <w:rFonts w:ascii="宋体"/>
                <w:szCs w:val="20"/>
              </w:rPr>
              <w:t>1</w:t>
            </w:r>
          </w:p>
        </w:tc>
        <w:tc>
          <w:tcPr>
            <w:tcW w:w="1094" w:type="dxa"/>
            <w:vAlign w:val="center"/>
          </w:tcPr>
          <w:p>
            <w:pPr>
              <w:widowControl/>
              <w:jc w:val="center"/>
              <w:rPr>
                <w:color w:val="000000"/>
                <w:kern w:val="0"/>
                <w:sz w:val="18"/>
                <w:szCs w:val="18"/>
              </w:rPr>
            </w:pPr>
            <w:r>
              <w:rPr>
                <w:rFonts w:hint="eastAsia"/>
                <w:color w:val="000000"/>
                <w:kern w:val="0"/>
                <w:sz w:val="18"/>
                <w:szCs w:val="18"/>
              </w:rPr>
              <w:t>≤ 0</w:t>
            </w:r>
          </w:p>
        </w:tc>
        <w:tc>
          <w:tcPr>
            <w:tcW w:w="1418" w:type="dxa"/>
            <w:vAlign w:val="center"/>
          </w:tcPr>
          <w:p>
            <w:pPr>
              <w:widowControl/>
              <w:jc w:val="center"/>
              <w:rPr>
                <w:color w:val="000000"/>
                <w:kern w:val="0"/>
                <w:sz w:val="18"/>
                <w:szCs w:val="18"/>
              </w:rPr>
            </w:pPr>
            <w:r>
              <w:rPr>
                <w:rFonts w:hint="eastAsia"/>
                <w:color w:val="000000"/>
                <w:kern w:val="0"/>
                <w:sz w:val="18"/>
                <w:szCs w:val="18"/>
              </w:rPr>
              <w:t>≤ 5</w:t>
            </w:r>
          </w:p>
        </w:tc>
        <w:tc>
          <w:tcPr>
            <w:tcW w:w="1275" w:type="dxa"/>
            <w:vAlign w:val="center"/>
          </w:tcPr>
          <w:p>
            <w:pPr>
              <w:widowControl/>
              <w:jc w:val="center"/>
              <w:rPr>
                <w:color w:val="000000"/>
                <w:kern w:val="0"/>
                <w:sz w:val="18"/>
                <w:szCs w:val="18"/>
              </w:rPr>
            </w:pPr>
            <w:r>
              <w:rPr>
                <w:rFonts w:hint="eastAsia"/>
                <w:color w:val="000000"/>
                <w:kern w:val="0"/>
                <w:sz w:val="18"/>
                <w:szCs w:val="18"/>
              </w:rPr>
              <w:t>≤20</w:t>
            </w:r>
          </w:p>
        </w:tc>
        <w:tc>
          <w:tcPr>
            <w:tcW w:w="1134" w:type="dxa"/>
            <w:vAlign w:val="center"/>
          </w:tcPr>
          <w:p>
            <w:pPr>
              <w:widowControl/>
              <w:jc w:val="center"/>
              <w:rPr>
                <w:color w:val="000000"/>
                <w:kern w:val="0"/>
                <w:sz w:val="18"/>
                <w:szCs w:val="18"/>
              </w:rPr>
            </w:pPr>
            <w:r>
              <w:rPr>
                <w:rFonts w:hint="eastAsia"/>
                <w:color w:val="000000"/>
                <w:kern w:val="0"/>
                <w:sz w:val="18"/>
                <w:szCs w:val="18"/>
              </w:rPr>
              <w:t>≤30</w:t>
            </w:r>
          </w:p>
        </w:tc>
        <w:tc>
          <w:tcPr>
            <w:tcW w:w="1134" w:type="dxa"/>
          </w:tcPr>
          <w:p>
            <w:pPr>
              <w:widowControl/>
              <w:jc w:val="center"/>
              <w:rPr>
                <w:color w:val="000000"/>
                <w:kern w:val="0"/>
                <w:sz w:val="18"/>
                <w:szCs w:val="18"/>
              </w:rPr>
            </w:pPr>
            <w:r>
              <w:rPr>
                <w:rFonts w:hint="eastAsia"/>
                <w:color w:val="000000"/>
                <w:kern w:val="0"/>
                <w:sz w:val="18"/>
                <w:szCs w:val="18"/>
              </w:rPr>
              <w:t>≥55</w:t>
            </w:r>
          </w:p>
        </w:tc>
        <w:tc>
          <w:tcPr>
            <w:tcW w:w="1276" w:type="dxa"/>
          </w:tcPr>
          <w:p>
            <w:pPr>
              <w:widowControl/>
              <w:jc w:val="center"/>
              <w:rPr>
                <w:color w:val="000000"/>
                <w:kern w:val="0"/>
                <w:sz w:val="18"/>
                <w:szCs w:val="18"/>
              </w:rPr>
            </w:pPr>
            <w:r>
              <w:rPr>
                <w:rFonts w:hint="eastAsia"/>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color w:val="000000"/>
                <w:kern w:val="0"/>
                <w:sz w:val="16"/>
                <w:szCs w:val="18"/>
              </w:rPr>
            </w:pPr>
            <w:r>
              <w:rPr>
                <w:rFonts w:ascii="宋体"/>
                <w:szCs w:val="20"/>
              </w:rPr>
              <w:t>FBWC</w:t>
            </w:r>
            <w:r>
              <w:rPr>
                <w:rFonts w:hint="eastAsia" w:ascii="宋体"/>
                <w:szCs w:val="20"/>
              </w:rPr>
              <w:t>u</w:t>
            </w:r>
            <w:r>
              <w:rPr>
                <w:rFonts w:ascii="宋体"/>
                <w:szCs w:val="20"/>
              </w:rPr>
              <w:t>2</w:t>
            </w:r>
          </w:p>
        </w:tc>
        <w:tc>
          <w:tcPr>
            <w:tcW w:w="1094" w:type="dxa"/>
            <w:vAlign w:val="center"/>
          </w:tcPr>
          <w:p>
            <w:pPr>
              <w:widowControl/>
              <w:jc w:val="center"/>
              <w:rPr>
                <w:color w:val="000000"/>
                <w:kern w:val="0"/>
                <w:sz w:val="18"/>
                <w:szCs w:val="18"/>
              </w:rPr>
            </w:pPr>
            <w:r>
              <w:rPr>
                <w:rFonts w:hint="eastAsia"/>
                <w:color w:val="000000"/>
                <w:kern w:val="0"/>
                <w:sz w:val="18"/>
                <w:szCs w:val="18"/>
              </w:rPr>
              <w:t>≤ 0.5</w:t>
            </w:r>
          </w:p>
        </w:tc>
        <w:tc>
          <w:tcPr>
            <w:tcW w:w="1418" w:type="dxa"/>
            <w:vAlign w:val="center"/>
          </w:tcPr>
          <w:p>
            <w:pPr>
              <w:widowControl/>
              <w:jc w:val="center"/>
              <w:rPr>
                <w:color w:val="000000"/>
                <w:kern w:val="0"/>
                <w:sz w:val="18"/>
                <w:szCs w:val="18"/>
              </w:rPr>
            </w:pPr>
            <w:r>
              <w:rPr>
                <w:rFonts w:hint="eastAsia"/>
                <w:color w:val="000000"/>
                <w:kern w:val="0"/>
                <w:sz w:val="18"/>
                <w:szCs w:val="18"/>
              </w:rPr>
              <w:t>≤ 10</w:t>
            </w:r>
          </w:p>
        </w:tc>
        <w:tc>
          <w:tcPr>
            <w:tcW w:w="1275" w:type="dxa"/>
            <w:vAlign w:val="center"/>
          </w:tcPr>
          <w:p>
            <w:pPr>
              <w:widowControl/>
              <w:jc w:val="center"/>
              <w:rPr>
                <w:color w:val="000000"/>
                <w:kern w:val="0"/>
                <w:sz w:val="18"/>
                <w:szCs w:val="18"/>
              </w:rPr>
            </w:pPr>
            <w:r>
              <w:rPr>
                <w:rFonts w:hint="eastAsia"/>
                <w:color w:val="000000"/>
                <w:kern w:val="0"/>
                <w:sz w:val="18"/>
                <w:szCs w:val="18"/>
              </w:rPr>
              <w:t>≤5</w:t>
            </w:r>
          </w:p>
        </w:tc>
        <w:tc>
          <w:tcPr>
            <w:tcW w:w="1134" w:type="dxa"/>
            <w:vAlign w:val="center"/>
          </w:tcPr>
          <w:p>
            <w:pPr>
              <w:widowControl/>
              <w:jc w:val="center"/>
              <w:rPr>
                <w:color w:val="000000"/>
                <w:kern w:val="0"/>
                <w:sz w:val="18"/>
                <w:szCs w:val="18"/>
              </w:rPr>
            </w:pPr>
            <w:r>
              <w:rPr>
                <w:rFonts w:hint="eastAsia"/>
                <w:color w:val="000000"/>
                <w:kern w:val="0"/>
                <w:sz w:val="18"/>
                <w:szCs w:val="18"/>
              </w:rPr>
              <w:t>≤5</w:t>
            </w:r>
          </w:p>
        </w:tc>
        <w:tc>
          <w:tcPr>
            <w:tcW w:w="1134" w:type="dxa"/>
          </w:tcPr>
          <w:p>
            <w:pPr>
              <w:widowControl/>
              <w:jc w:val="center"/>
              <w:rPr>
                <w:color w:val="000000"/>
                <w:kern w:val="0"/>
                <w:sz w:val="18"/>
                <w:szCs w:val="18"/>
              </w:rPr>
            </w:pPr>
            <w:r>
              <w:rPr>
                <w:rFonts w:hint="eastAsia"/>
                <w:color w:val="000000"/>
                <w:kern w:val="0"/>
                <w:sz w:val="18"/>
                <w:szCs w:val="18"/>
              </w:rPr>
              <w:t>≥80</w:t>
            </w:r>
          </w:p>
        </w:tc>
        <w:tc>
          <w:tcPr>
            <w:tcW w:w="1276" w:type="dxa"/>
          </w:tcPr>
          <w:p>
            <w:pPr>
              <w:widowControl/>
              <w:jc w:val="center"/>
              <w:rPr>
                <w:color w:val="000000"/>
                <w:kern w:val="0"/>
                <w:sz w:val="18"/>
                <w:szCs w:val="18"/>
              </w:rPr>
            </w:pPr>
            <w:r>
              <w:rPr>
                <w:rFonts w:hint="eastAsia"/>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rFonts w:ascii="宋体"/>
                <w:szCs w:val="20"/>
              </w:rPr>
            </w:pPr>
            <w:r>
              <w:rPr>
                <w:rFonts w:ascii="宋体"/>
                <w:szCs w:val="20"/>
              </w:rPr>
              <w:t>FBWC</w:t>
            </w:r>
            <w:r>
              <w:rPr>
                <w:rFonts w:hint="eastAsia" w:ascii="宋体"/>
                <w:szCs w:val="20"/>
              </w:rPr>
              <w:t>u3</w:t>
            </w:r>
          </w:p>
        </w:tc>
        <w:tc>
          <w:tcPr>
            <w:tcW w:w="1094" w:type="dxa"/>
            <w:vAlign w:val="center"/>
          </w:tcPr>
          <w:p>
            <w:pPr>
              <w:widowControl/>
              <w:jc w:val="center"/>
              <w:rPr>
                <w:color w:val="000000"/>
                <w:kern w:val="0"/>
                <w:sz w:val="18"/>
                <w:szCs w:val="18"/>
              </w:rPr>
            </w:pPr>
            <w:r>
              <w:rPr>
                <w:rFonts w:hint="eastAsia"/>
                <w:color w:val="000000"/>
                <w:kern w:val="0"/>
                <w:sz w:val="18"/>
                <w:szCs w:val="18"/>
              </w:rPr>
              <w:t>≤ 0.5</w:t>
            </w:r>
          </w:p>
        </w:tc>
        <w:tc>
          <w:tcPr>
            <w:tcW w:w="1418" w:type="dxa"/>
            <w:vAlign w:val="center"/>
          </w:tcPr>
          <w:p>
            <w:pPr>
              <w:widowControl/>
              <w:jc w:val="center"/>
              <w:rPr>
                <w:color w:val="000000"/>
                <w:kern w:val="0"/>
                <w:sz w:val="18"/>
                <w:szCs w:val="18"/>
              </w:rPr>
            </w:pPr>
            <w:r>
              <w:rPr>
                <w:rFonts w:hint="eastAsia"/>
                <w:color w:val="000000"/>
                <w:kern w:val="0"/>
                <w:sz w:val="18"/>
                <w:szCs w:val="18"/>
              </w:rPr>
              <w:t>≤ 10</w:t>
            </w:r>
          </w:p>
        </w:tc>
        <w:tc>
          <w:tcPr>
            <w:tcW w:w="1275" w:type="dxa"/>
            <w:vAlign w:val="center"/>
          </w:tcPr>
          <w:p>
            <w:pPr>
              <w:widowControl/>
              <w:jc w:val="center"/>
              <w:rPr>
                <w:color w:val="000000"/>
                <w:kern w:val="0"/>
                <w:sz w:val="18"/>
                <w:szCs w:val="18"/>
              </w:rPr>
            </w:pPr>
            <w:r>
              <w:rPr>
                <w:rFonts w:hint="eastAsia"/>
                <w:color w:val="000000"/>
                <w:kern w:val="0"/>
                <w:sz w:val="18"/>
                <w:szCs w:val="18"/>
              </w:rPr>
              <w:t>≤20</w:t>
            </w:r>
          </w:p>
        </w:tc>
        <w:tc>
          <w:tcPr>
            <w:tcW w:w="1134" w:type="dxa"/>
            <w:vAlign w:val="center"/>
          </w:tcPr>
          <w:p>
            <w:pPr>
              <w:widowControl/>
              <w:jc w:val="center"/>
              <w:rPr>
                <w:color w:val="000000"/>
                <w:kern w:val="0"/>
                <w:sz w:val="18"/>
                <w:szCs w:val="18"/>
              </w:rPr>
            </w:pPr>
            <w:r>
              <w:rPr>
                <w:rFonts w:hint="eastAsia"/>
                <w:color w:val="000000"/>
                <w:kern w:val="0"/>
                <w:sz w:val="18"/>
                <w:szCs w:val="18"/>
              </w:rPr>
              <w:t>≤30</w:t>
            </w:r>
          </w:p>
        </w:tc>
        <w:tc>
          <w:tcPr>
            <w:tcW w:w="1134" w:type="dxa"/>
          </w:tcPr>
          <w:p>
            <w:pPr>
              <w:widowControl/>
              <w:jc w:val="center"/>
              <w:rPr>
                <w:color w:val="000000"/>
                <w:kern w:val="0"/>
                <w:sz w:val="18"/>
                <w:szCs w:val="18"/>
              </w:rPr>
            </w:pPr>
            <w:r>
              <w:rPr>
                <w:rFonts w:hint="eastAsia"/>
                <w:color w:val="000000"/>
                <w:kern w:val="0"/>
                <w:sz w:val="18"/>
                <w:szCs w:val="18"/>
              </w:rPr>
              <w:t>≥45</w:t>
            </w:r>
          </w:p>
        </w:tc>
        <w:tc>
          <w:tcPr>
            <w:tcW w:w="1276" w:type="dxa"/>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8" w:type="dxa"/>
            <w:vAlign w:val="center"/>
          </w:tcPr>
          <w:p>
            <w:pPr>
              <w:widowControl/>
              <w:jc w:val="center"/>
              <w:rPr>
                <w:rFonts w:ascii="宋体"/>
                <w:szCs w:val="20"/>
              </w:rPr>
            </w:pPr>
            <w:r>
              <w:rPr>
                <w:rFonts w:ascii="宋体"/>
                <w:szCs w:val="20"/>
              </w:rPr>
              <w:t>FBWC</w:t>
            </w:r>
            <w:r>
              <w:rPr>
                <w:rFonts w:hint="eastAsia" w:ascii="宋体"/>
                <w:szCs w:val="20"/>
              </w:rPr>
              <w:t>u4</w:t>
            </w:r>
          </w:p>
        </w:tc>
        <w:tc>
          <w:tcPr>
            <w:tcW w:w="1094" w:type="dxa"/>
            <w:vAlign w:val="center"/>
          </w:tcPr>
          <w:p>
            <w:pPr>
              <w:widowControl/>
              <w:jc w:val="center"/>
              <w:rPr>
                <w:color w:val="000000"/>
                <w:kern w:val="0"/>
                <w:sz w:val="18"/>
                <w:szCs w:val="18"/>
              </w:rPr>
            </w:pPr>
            <w:r>
              <w:rPr>
                <w:rFonts w:hint="eastAsia"/>
                <w:color w:val="000000"/>
                <w:kern w:val="0"/>
                <w:sz w:val="18"/>
                <w:szCs w:val="18"/>
              </w:rPr>
              <w:t>—</w:t>
            </w:r>
          </w:p>
        </w:tc>
        <w:tc>
          <w:tcPr>
            <w:tcW w:w="1418" w:type="dxa"/>
            <w:vAlign w:val="center"/>
          </w:tcPr>
          <w:p>
            <w:pPr>
              <w:widowControl/>
              <w:jc w:val="center"/>
              <w:rPr>
                <w:color w:val="000000"/>
                <w:kern w:val="0"/>
                <w:sz w:val="18"/>
                <w:szCs w:val="18"/>
              </w:rPr>
            </w:pPr>
            <w:r>
              <w:rPr>
                <w:rFonts w:hint="eastAsia"/>
                <w:color w:val="000000"/>
                <w:kern w:val="0"/>
                <w:sz w:val="18"/>
                <w:szCs w:val="18"/>
              </w:rPr>
              <w:t>—</w:t>
            </w:r>
          </w:p>
        </w:tc>
        <w:tc>
          <w:tcPr>
            <w:tcW w:w="1275" w:type="dxa"/>
            <w:vAlign w:val="center"/>
          </w:tcPr>
          <w:p>
            <w:pPr>
              <w:widowControl/>
              <w:jc w:val="center"/>
              <w:rPr>
                <w:color w:val="000000"/>
                <w:kern w:val="0"/>
                <w:sz w:val="18"/>
                <w:szCs w:val="18"/>
              </w:rPr>
            </w:pPr>
            <w:r>
              <w:rPr>
                <w:rFonts w:hint="eastAsia"/>
                <w:color w:val="000000"/>
                <w:kern w:val="0"/>
                <w:sz w:val="18"/>
                <w:szCs w:val="18"/>
              </w:rPr>
              <w:t>≤ 0.5</w:t>
            </w:r>
          </w:p>
        </w:tc>
        <w:tc>
          <w:tcPr>
            <w:tcW w:w="1134" w:type="dxa"/>
            <w:vAlign w:val="center"/>
          </w:tcPr>
          <w:p>
            <w:pPr>
              <w:widowControl/>
              <w:jc w:val="center"/>
              <w:rPr>
                <w:color w:val="000000"/>
                <w:kern w:val="0"/>
                <w:sz w:val="18"/>
                <w:szCs w:val="18"/>
              </w:rPr>
            </w:pPr>
            <w:r>
              <w:rPr>
                <w:rFonts w:hint="eastAsia"/>
                <w:color w:val="000000"/>
                <w:kern w:val="0"/>
                <w:sz w:val="18"/>
                <w:szCs w:val="18"/>
              </w:rPr>
              <w:t>≤ 10</w:t>
            </w:r>
          </w:p>
        </w:tc>
        <w:tc>
          <w:tcPr>
            <w:tcW w:w="1134" w:type="dxa"/>
          </w:tcPr>
          <w:p>
            <w:pPr>
              <w:widowControl/>
              <w:jc w:val="center"/>
              <w:rPr>
                <w:color w:val="000000"/>
                <w:kern w:val="0"/>
                <w:sz w:val="18"/>
                <w:szCs w:val="18"/>
              </w:rPr>
            </w:pPr>
            <w:r>
              <w:rPr>
                <w:rFonts w:hint="eastAsia"/>
                <w:color w:val="000000"/>
                <w:kern w:val="0"/>
                <w:sz w:val="18"/>
                <w:szCs w:val="18"/>
              </w:rPr>
              <w:t>≥90</w:t>
            </w:r>
          </w:p>
        </w:tc>
        <w:tc>
          <w:tcPr>
            <w:tcW w:w="1276" w:type="dxa"/>
          </w:tcPr>
          <w:p>
            <w:pPr>
              <w:widowControl/>
              <w:jc w:val="center"/>
              <w:rPr>
                <w:color w:val="000000"/>
                <w:kern w:val="0"/>
                <w:sz w:val="18"/>
                <w:szCs w:val="18"/>
              </w:rPr>
            </w:pPr>
            <w:r>
              <w:rPr>
                <w:rFonts w:hint="eastAsia"/>
                <w:color w:val="000000"/>
                <w:kern w:val="0"/>
                <w:sz w:val="18"/>
                <w:szCs w:val="18"/>
              </w:rPr>
              <w:t>≥</w:t>
            </w:r>
            <w:r>
              <w:rPr>
                <w:color w:val="000000"/>
                <w:kern w:val="0"/>
                <w:sz w:val="18"/>
                <w:szCs w:val="18"/>
              </w:rPr>
              <w:t>3.6</w:t>
            </w:r>
          </w:p>
        </w:tc>
        <w:tc>
          <w:tcPr>
            <w:tcW w:w="1843" w:type="dxa"/>
            <w:vAlign w:val="center"/>
          </w:tcPr>
          <w:p>
            <w:pPr>
              <w:widowControl/>
              <w:jc w:val="center"/>
              <w:rPr>
                <w:color w:val="000000"/>
                <w:kern w:val="0"/>
                <w:sz w:val="18"/>
                <w:szCs w:val="18"/>
              </w:rPr>
            </w:pPr>
            <w:r>
              <w:rPr>
                <w:rFonts w:hint="eastAsia"/>
                <w:color w:val="000000"/>
                <w:kern w:val="0"/>
                <w:sz w:val="18"/>
                <w:szCs w:val="18"/>
              </w:rPr>
              <w:t>≤ 45</w:t>
            </w:r>
          </w:p>
        </w:tc>
      </w:tr>
    </w:tbl>
    <w:p>
      <w:pPr>
        <w:tabs>
          <w:tab w:val="left" w:pos="8348"/>
        </w:tabs>
        <w:spacing w:line="300" w:lineRule="auto"/>
        <w:contextualSpacing/>
        <w:rPr>
          <w:rFonts w:asciiTheme="minorEastAsia" w:hAnsiTheme="minorEastAsia"/>
          <w:szCs w:val="21"/>
        </w:rPr>
      </w:pPr>
    </w:p>
    <w:p>
      <w:pPr>
        <w:spacing w:line="300" w:lineRule="auto"/>
        <w:jc w:val="left"/>
        <w:rPr>
          <w:rFonts w:asciiTheme="minorEastAsia" w:hAnsiTheme="minorEastAsia"/>
          <w:b/>
          <w:szCs w:val="21"/>
        </w:rPr>
      </w:pPr>
      <w:r>
        <w:rPr>
          <w:rFonts w:hint="eastAsia" w:asciiTheme="minorEastAsia" w:hAnsiTheme="minorEastAsia"/>
          <w:b/>
          <w:szCs w:val="21"/>
        </w:rPr>
        <w:t>6</w:t>
      </w:r>
      <w:r>
        <w:rPr>
          <w:rFonts w:asciiTheme="minorEastAsia" w:hAnsiTheme="minorEastAsia"/>
          <w:b/>
          <w:szCs w:val="21"/>
        </w:rPr>
        <w:t xml:space="preserve">  </w:t>
      </w:r>
      <w:r>
        <w:rPr>
          <w:rFonts w:hint="eastAsia" w:asciiTheme="minorEastAsia" w:hAnsiTheme="minorEastAsia"/>
          <w:b/>
          <w:szCs w:val="21"/>
        </w:rPr>
        <w:t>标准水平分析</w:t>
      </w:r>
    </w:p>
    <w:p>
      <w:pPr>
        <w:pStyle w:val="13"/>
        <w:spacing w:line="300" w:lineRule="auto"/>
        <w:contextualSpacing/>
        <w:jc w:val="left"/>
        <w:rPr>
          <w:rFonts w:asciiTheme="minorEastAsia" w:hAnsiTheme="minorEastAsia"/>
        </w:rPr>
      </w:pPr>
      <w:r>
        <w:rPr>
          <w:rFonts w:hint="eastAsia" w:asciiTheme="minorEastAsia" w:hAnsiTheme="minorEastAsia"/>
        </w:rPr>
        <w:t>从各项技术指标分析看，本标准对焊材用铜粉的各项性能指标及要求进行了详细、明确的规定，能更好的对产品进行规范，满足产品的适用性，促进铜钎焊行业的发展。本标准的整体内容达到国内先进水平。</w:t>
      </w:r>
    </w:p>
    <w:p>
      <w:pPr>
        <w:spacing w:line="300" w:lineRule="auto"/>
        <w:jc w:val="left"/>
        <w:rPr>
          <w:rFonts w:asciiTheme="minorEastAsia" w:hAnsiTheme="minorEastAsia"/>
          <w:b/>
          <w:szCs w:val="21"/>
        </w:rPr>
      </w:pPr>
      <w:r>
        <w:rPr>
          <w:rFonts w:hint="eastAsia" w:asciiTheme="minorEastAsia" w:hAnsiTheme="minorEastAsia"/>
          <w:b/>
          <w:szCs w:val="21"/>
        </w:rPr>
        <w:t>7</w:t>
      </w:r>
      <w:r>
        <w:rPr>
          <w:rFonts w:asciiTheme="minorEastAsia" w:hAnsiTheme="minorEastAsia"/>
          <w:b/>
          <w:szCs w:val="21"/>
        </w:rPr>
        <w:t xml:space="preserve">  </w:t>
      </w:r>
      <w:r>
        <w:rPr>
          <w:rFonts w:hint="eastAsia" w:asciiTheme="minorEastAsia" w:hAnsiTheme="minorEastAsia"/>
          <w:b/>
          <w:szCs w:val="21"/>
        </w:rPr>
        <w:t>与现行相关法律、法规、规章及相关标准，特别是强制性标准的协调性</w:t>
      </w:r>
    </w:p>
    <w:p>
      <w:pPr>
        <w:spacing w:line="300" w:lineRule="auto"/>
        <w:ind w:firstLine="420" w:firstLineChars="200"/>
        <w:jc w:val="left"/>
        <w:rPr>
          <w:rFonts w:asciiTheme="minorEastAsia" w:hAnsiTheme="minorEastAsia"/>
        </w:rPr>
      </w:pPr>
      <w:r>
        <w:rPr>
          <w:rFonts w:hint="eastAsia" w:asciiTheme="minorEastAsia" w:hAnsiTheme="minorEastAsia"/>
        </w:rPr>
        <w:t>本标准等效采用了</w:t>
      </w:r>
      <w:r>
        <w:rPr>
          <w:rFonts w:asciiTheme="minorEastAsia" w:hAnsiTheme="minorEastAsia"/>
        </w:rPr>
        <w:t>RoHS</w:t>
      </w:r>
      <w:r>
        <w:rPr>
          <w:rFonts w:hint="eastAsia" w:asciiTheme="minorEastAsia" w:hAnsiTheme="minorEastAsia"/>
        </w:rPr>
        <w:t>指令。</w:t>
      </w:r>
      <w:r>
        <w:rPr>
          <w:rFonts w:asciiTheme="minorEastAsia" w:hAnsiTheme="minorEastAsia"/>
        </w:rPr>
        <w:t>RoHS</w:t>
      </w:r>
      <w:r>
        <w:rPr>
          <w:rFonts w:hint="eastAsia" w:asciiTheme="minorEastAsia" w:hAnsiTheme="minorEastAsia"/>
        </w:rPr>
        <w:t>指令见表7。</w:t>
      </w:r>
    </w:p>
    <w:p>
      <w:pPr>
        <w:spacing w:line="300" w:lineRule="auto"/>
        <w:ind w:firstLine="420" w:firstLineChars="200"/>
        <w:jc w:val="center"/>
        <w:rPr>
          <w:rFonts w:asciiTheme="minorEastAsia" w:hAnsiTheme="minorEastAsia"/>
        </w:rPr>
      </w:pPr>
      <w:r>
        <w:rPr>
          <w:rFonts w:hint="eastAsia" w:asciiTheme="minorEastAsia" w:hAnsiTheme="minorEastAsia"/>
        </w:rPr>
        <w:t>表7</w:t>
      </w:r>
      <w:r>
        <w:rPr>
          <w:rFonts w:asciiTheme="minorEastAsia" w:hAnsiTheme="minorEastAsia"/>
        </w:rPr>
        <w:t xml:space="preserve"> RoHS</w:t>
      </w:r>
      <w:r>
        <w:rPr>
          <w:rFonts w:hint="eastAsia" w:asciiTheme="minorEastAsia" w:hAnsiTheme="minorEastAsia"/>
        </w:rPr>
        <w:t>指令</w:t>
      </w:r>
    </w:p>
    <w:tbl>
      <w:tblPr>
        <w:tblStyle w:val="8"/>
        <w:tblW w:w="7220" w:type="dxa"/>
        <w:jc w:val="center"/>
        <w:tblLayout w:type="autofit"/>
        <w:tblCellMar>
          <w:top w:w="0" w:type="dxa"/>
          <w:left w:w="108" w:type="dxa"/>
          <w:bottom w:w="0" w:type="dxa"/>
          <w:right w:w="108" w:type="dxa"/>
        </w:tblCellMar>
      </w:tblPr>
      <w:tblGrid>
        <w:gridCol w:w="5080"/>
        <w:gridCol w:w="2140"/>
      </w:tblGrid>
      <w:tr>
        <w:tblPrEx>
          <w:tblCellMar>
            <w:top w:w="0" w:type="dxa"/>
            <w:left w:w="108" w:type="dxa"/>
            <w:bottom w:w="0" w:type="dxa"/>
            <w:right w:w="108" w:type="dxa"/>
          </w:tblCellMar>
        </w:tblPrEx>
        <w:trPr>
          <w:trHeight w:val="285" w:hRule="atLeast"/>
          <w:jc w:val="center"/>
        </w:trPr>
        <w:tc>
          <w:tcPr>
            <w:tcW w:w="5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检测物质</w:t>
            </w:r>
          </w:p>
        </w:tc>
        <w:tc>
          <w:tcPr>
            <w:tcW w:w="21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ROHS Limint(ppm)</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Cadmium(Cd)镉</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Lead(Pb)铅</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1000</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Mercury(Hg)汞</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1000</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Hexavalent chromium[Cr(Ⅵ)]六价铬</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1000</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Polybrominated Biphenyl(PBBs)多溴联苯</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1000</w:t>
            </w:r>
          </w:p>
        </w:tc>
      </w:tr>
      <w:tr>
        <w:tblPrEx>
          <w:tblCellMar>
            <w:top w:w="0" w:type="dxa"/>
            <w:left w:w="108" w:type="dxa"/>
            <w:bottom w:w="0" w:type="dxa"/>
            <w:right w:w="108" w:type="dxa"/>
          </w:tblCellMar>
        </w:tblPrEx>
        <w:trPr>
          <w:trHeight w:val="285" w:hRule="atLeast"/>
          <w:jc w:val="center"/>
        </w:trPr>
        <w:tc>
          <w:tcPr>
            <w:tcW w:w="5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rPr>
            </w:pPr>
            <w:r>
              <w:rPr>
                <w:rFonts w:hint="eastAsia" w:asciiTheme="minorEastAsia" w:hAnsiTheme="minorEastAsia"/>
              </w:rPr>
              <w:t xml:space="preserve"> Polybrominated diphenylether(PBDEs)多溴二苯醚</w:t>
            </w:r>
          </w:p>
        </w:tc>
        <w:tc>
          <w:tcPr>
            <w:tcW w:w="2140" w:type="dxa"/>
            <w:tcBorders>
              <w:top w:val="nil"/>
              <w:left w:val="nil"/>
              <w:bottom w:val="single" w:color="auto" w:sz="4" w:space="0"/>
              <w:right w:val="single" w:color="auto" w:sz="4" w:space="0"/>
            </w:tcBorders>
            <w:shd w:val="clear" w:color="auto" w:fill="auto"/>
            <w:noWrap/>
            <w:vAlign w:val="bottom"/>
          </w:tcPr>
          <w:p>
            <w:pPr>
              <w:widowControl/>
              <w:jc w:val="right"/>
              <w:rPr>
                <w:rFonts w:asciiTheme="minorEastAsia" w:hAnsiTheme="minorEastAsia"/>
              </w:rPr>
            </w:pPr>
            <w:r>
              <w:rPr>
                <w:rFonts w:hint="eastAsia" w:asciiTheme="minorEastAsia" w:hAnsiTheme="minorEastAsia"/>
              </w:rPr>
              <w:t>1000</w:t>
            </w:r>
          </w:p>
        </w:tc>
      </w:tr>
    </w:tbl>
    <w:p>
      <w:pPr>
        <w:spacing w:line="300" w:lineRule="auto"/>
        <w:jc w:val="left"/>
        <w:rPr>
          <w:rFonts w:asciiTheme="minorEastAsia" w:hAnsiTheme="minorEastAsia"/>
        </w:rPr>
      </w:pPr>
    </w:p>
    <w:p>
      <w:pPr>
        <w:spacing w:line="300" w:lineRule="auto"/>
        <w:jc w:val="left"/>
        <w:rPr>
          <w:rFonts w:asciiTheme="minorEastAsia" w:hAnsiTheme="minorEastAsia"/>
          <w:b/>
          <w:szCs w:val="21"/>
        </w:rPr>
      </w:pPr>
      <w:r>
        <w:rPr>
          <w:rFonts w:asciiTheme="minorEastAsia" w:hAnsiTheme="minorEastAsia"/>
          <w:b/>
          <w:szCs w:val="21"/>
        </w:rPr>
        <w:t xml:space="preserve">8  </w:t>
      </w:r>
      <w:r>
        <w:rPr>
          <w:rFonts w:hint="eastAsia" w:asciiTheme="minorEastAsia" w:hAnsiTheme="minorEastAsia"/>
          <w:b/>
          <w:szCs w:val="21"/>
        </w:rPr>
        <w:t>重大分歧意见的处理经过和依据</w:t>
      </w:r>
    </w:p>
    <w:p>
      <w:pPr>
        <w:pStyle w:val="13"/>
        <w:spacing w:line="300" w:lineRule="auto"/>
        <w:jc w:val="left"/>
        <w:rPr>
          <w:rFonts w:asciiTheme="minorEastAsia" w:hAnsiTheme="minorEastAsia"/>
          <w:szCs w:val="21"/>
        </w:rPr>
      </w:pPr>
      <w:r>
        <w:rPr>
          <w:rFonts w:hint="eastAsia" w:asciiTheme="minorEastAsia" w:hAnsiTheme="minorEastAsia"/>
          <w:szCs w:val="21"/>
        </w:rPr>
        <w:t>无</w:t>
      </w:r>
    </w:p>
    <w:p>
      <w:pPr>
        <w:spacing w:line="300" w:lineRule="auto"/>
        <w:jc w:val="left"/>
        <w:rPr>
          <w:rFonts w:asciiTheme="minorEastAsia" w:hAnsiTheme="minorEastAsia"/>
          <w:b/>
          <w:szCs w:val="21"/>
        </w:rPr>
      </w:pPr>
      <w:r>
        <w:rPr>
          <w:rFonts w:hint="eastAsia" w:asciiTheme="minorEastAsia" w:hAnsiTheme="minorEastAsia"/>
          <w:b/>
          <w:szCs w:val="21"/>
        </w:rPr>
        <w:t>9</w:t>
      </w:r>
      <w:r>
        <w:rPr>
          <w:rFonts w:asciiTheme="minorEastAsia" w:hAnsiTheme="minorEastAsia"/>
          <w:b/>
          <w:szCs w:val="21"/>
        </w:rPr>
        <w:t xml:space="preserve">  </w:t>
      </w:r>
      <w:r>
        <w:rPr>
          <w:rFonts w:hint="eastAsia" w:asciiTheme="minorEastAsia" w:hAnsiTheme="minorEastAsia"/>
          <w:b/>
          <w:szCs w:val="21"/>
        </w:rPr>
        <w:t>标准作为强制性或推荐性标准的建议</w:t>
      </w:r>
    </w:p>
    <w:p>
      <w:pPr>
        <w:pStyle w:val="13"/>
        <w:spacing w:line="300" w:lineRule="auto"/>
        <w:jc w:val="left"/>
        <w:rPr>
          <w:rFonts w:asciiTheme="minorEastAsia" w:hAnsiTheme="minorEastAsia"/>
          <w:szCs w:val="21"/>
        </w:rPr>
      </w:pPr>
      <w:r>
        <w:rPr>
          <w:rFonts w:hint="eastAsia" w:asciiTheme="minorEastAsia" w:hAnsiTheme="minorEastAsia"/>
          <w:szCs w:val="21"/>
        </w:rPr>
        <w:t>本标准建议作为推荐性行业标准</w:t>
      </w:r>
    </w:p>
    <w:p>
      <w:pPr>
        <w:spacing w:line="300" w:lineRule="auto"/>
        <w:jc w:val="left"/>
        <w:rPr>
          <w:rFonts w:asciiTheme="minorEastAsia" w:hAnsiTheme="minorEastAsia"/>
          <w:b/>
          <w:szCs w:val="21"/>
        </w:rPr>
      </w:pPr>
      <w:r>
        <w:rPr>
          <w:rFonts w:hint="eastAsia" w:asciiTheme="minorEastAsia" w:hAnsiTheme="minorEastAsia"/>
          <w:b/>
          <w:szCs w:val="21"/>
        </w:rPr>
        <w:t>10</w:t>
      </w:r>
      <w:r>
        <w:rPr>
          <w:rFonts w:asciiTheme="minorEastAsia" w:hAnsiTheme="minorEastAsia"/>
          <w:b/>
          <w:szCs w:val="21"/>
        </w:rPr>
        <w:t xml:space="preserve">  </w:t>
      </w:r>
      <w:r>
        <w:rPr>
          <w:rFonts w:hint="eastAsia" w:asciiTheme="minorEastAsia" w:hAnsiTheme="minorEastAsia"/>
          <w:b/>
          <w:szCs w:val="21"/>
        </w:rPr>
        <w:t>贯彻标准的要求和措施建议</w:t>
      </w:r>
    </w:p>
    <w:p>
      <w:pPr>
        <w:pStyle w:val="13"/>
        <w:spacing w:line="300" w:lineRule="auto"/>
        <w:jc w:val="left"/>
        <w:rPr>
          <w:rFonts w:asciiTheme="minorEastAsia" w:hAnsiTheme="minorEastAsia"/>
          <w:szCs w:val="21"/>
        </w:rPr>
      </w:pPr>
      <w:r>
        <w:rPr>
          <w:rFonts w:hint="eastAsia" w:asciiTheme="minorEastAsia" w:hAnsiTheme="minorEastAsia"/>
          <w:szCs w:val="21"/>
        </w:rPr>
        <w:t>本标准是以我国焊材用铜粉的实际生产现状为基础，结合国内、外订货合同及技术标准要求而进行制定。标准全面覆盖了钎焊用铜粉产品的技术要求，建议相关生产及使用单位组织专项标准宣传贯彻会进行系统学习。本标准发布后，各企业应积极宣传和贯彻，并按照本标准进行组织生产，以保证产品质量，满足国内、外市场及用户的需要。</w:t>
      </w:r>
    </w:p>
    <w:p>
      <w:pPr>
        <w:spacing w:line="300" w:lineRule="auto"/>
        <w:jc w:val="left"/>
        <w:rPr>
          <w:rFonts w:asciiTheme="minorEastAsia" w:hAnsiTheme="minorEastAsia"/>
          <w:b/>
          <w:szCs w:val="21"/>
        </w:rPr>
      </w:pPr>
      <w:r>
        <w:rPr>
          <w:rFonts w:hint="eastAsia" w:asciiTheme="minorEastAsia" w:hAnsiTheme="minorEastAsia"/>
          <w:b/>
          <w:szCs w:val="21"/>
        </w:rPr>
        <w:t>11</w:t>
      </w:r>
      <w:r>
        <w:rPr>
          <w:rFonts w:asciiTheme="minorEastAsia" w:hAnsiTheme="minorEastAsia"/>
          <w:b/>
          <w:szCs w:val="21"/>
        </w:rPr>
        <w:t xml:space="preserve">  </w:t>
      </w:r>
      <w:r>
        <w:rPr>
          <w:rFonts w:hint="eastAsia" w:asciiTheme="minorEastAsia" w:hAnsiTheme="minorEastAsia"/>
          <w:b/>
          <w:szCs w:val="21"/>
        </w:rPr>
        <w:t>废止现行有关标准的建议</w:t>
      </w:r>
    </w:p>
    <w:p>
      <w:pPr>
        <w:pStyle w:val="13"/>
        <w:spacing w:line="300" w:lineRule="auto"/>
        <w:ind w:left="420" w:firstLine="0" w:firstLineChars="0"/>
        <w:jc w:val="left"/>
        <w:rPr>
          <w:rFonts w:asciiTheme="minorEastAsia" w:hAnsiTheme="minorEastAsia"/>
          <w:szCs w:val="21"/>
        </w:rPr>
      </w:pPr>
      <w:r>
        <w:rPr>
          <w:rFonts w:hint="eastAsia" w:asciiTheme="minorEastAsia" w:hAnsiTheme="minorEastAsia"/>
          <w:szCs w:val="21"/>
        </w:rPr>
        <w:t>无</w:t>
      </w:r>
    </w:p>
    <w:p>
      <w:pPr>
        <w:spacing w:line="300" w:lineRule="auto"/>
        <w:jc w:val="left"/>
        <w:rPr>
          <w:rFonts w:asciiTheme="minorEastAsia" w:hAnsiTheme="minorEastAsia"/>
          <w:b/>
          <w:szCs w:val="21"/>
        </w:rPr>
      </w:pPr>
      <w:r>
        <w:rPr>
          <w:rFonts w:hint="eastAsia" w:asciiTheme="minorEastAsia" w:hAnsiTheme="minorEastAsia"/>
          <w:b/>
          <w:szCs w:val="21"/>
        </w:rPr>
        <w:t>12</w:t>
      </w:r>
      <w:r>
        <w:rPr>
          <w:rFonts w:asciiTheme="minorEastAsia" w:hAnsiTheme="minorEastAsia"/>
          <w:b/>
          <w:szCs w:val="21"/>
        </w:rPr>
        <w:t xml:space="preserve">  </w:t>
      </w:r>
      <w:r>
        <w:rPr>
          <w:rFonts w:hint="eastAsia" w:asciiTheme="minorEastAsia" w:hAnsiTheme="minorEastAsia"/>
          <w:b/>
          <w:szCs w:val="21"/>
        </w:rPr>
        <w:t>预期效果</w:t>
      </w:r>
    </w:p>
    <w:p>
      <w:pPr>
        <w:spacing w:line="300" w:lineRule="auto"/>
        <w:ind w:firstLine="420" w:firstLineChars="200"/>
        <w:jc w:val="left"/>
        <w:rPr>
          <w:rFonts w:asciiTheme="minorEastAsia" w:hAnsiTheme="minorEastAsia"/>
          <w:szCs w:val="21"/>
        </w:rPr>
      </w:pPr>
      <w:r>
        <w:rPr>
          <w:rFonts w:hint="eastAsia" w:asciiTheme="minorEastAsia" w:hAnsiTheme="minorEastAsia"/>
          <w:szCs w:val="21"/>
        </w:rPr>
        <w:t>本标准在国内生产企业及国内外用户需求的基础上，参照国内外相关产品标准规范制定，技术指标先进，具有普遍性、广泛性、适用性、科学性和先进性。本标准发布后，将更好的规范我国焊材用铜粉产品的性能和技术要求，提高产品在国内、外市场上的竞争力，给生产企业带来更大的经济效益。</w:t>
      </w:r>
    </w:p>
    <w:p>
      <w:pPr>
        <w:spacing w:line="300" w:lineRule="auto"/>
        <w:ind w:firstLine="420" w:firstLineChars="200"/>
        <w:contextualSpacing/>
        <w:jc w:val="left"/>
        <w:rPr>
          <w:rFonts w:asciiTheme="minorEastAsia" w:hAnsiTheme="minorEastAsia"/>
        </w:rPr>
      </w:pPr>
    </w:p>
    <w:sectPr>
      <w:pgSz w:w="11906" w:h="16838"/>
      <w:pgMar w:top="1247" w:right="1247" w:bottom="1247" w:left="124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10FF4047"/>
    <w:multiLevelType w:val="multilevel"/>
    <w:tmpl w:val="10FF4047"/>
    <w:lvl w:ilvl="0" w:tentative="0">
      <w:start w:val="1"/>
      <w:numFmt w:val="decimal"/>
      <w:pStyle w:val="3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8"/>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2827D5B"/>
    <w:multiLevelType w:val="multilevel"/>
    <w:tmpl w:val="22827D5B"/>
    <w:lvl w:ilvl="0" w:tentative="0">
      <w:start w:val="1"/>
      <w:numFmt w:val="none"/>
      <w:pStyle w:val="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6260FA"/>
    <w:multiLevelType w:val="multilevel"/>
    <w:tmpl w:val="646260FA"/>
    <w:lvl w:ilvl="0" w:tentative="0">
      <w:start w:val="1"/>
      <w:numFmt w:val="decimal"/>
      <w:pStyle w:val="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76933334"/>
    <w:multiLevelType w:val="multilevel"/>
    <w:tmpl w:val="76933334"/>
    <w:lvl w:ilvl="0" w:tentative="0">
      <w:start w:val="1"/>
      <w:numFmt w:val="none"/>
      <w:pStyle w:val="17"/>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4"/>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4A"/>
    <w:rsid w:val="00022501"/>
    <w:rsid w:val="00041112"/>
    <w:rsid w:val="00043C7B"/>
    <w:rsid w:val="000631C4"/>
    <w:rsid w:val="00066BE2"/>
    <w:rsid w:val="0006788B"/>
    <w:rsid w:val="00067CC8"/>
    <w:rsid w:val="000734FF"/>
    <w:rsid w:val="00074BB7"/>
    <w:rsid w:val="00076A12"/>
    <w:rsid w:val="000904EA"/>
    <w:rsid w:val="00094682"/>
    <w:rsid w:val="000965BC"/>
    <w:rsid w:val="000B1605"/>
    <w:rsid w:val="000B5EFE"/>
    <w:rsid w:val="000C5471"/>
    <w:rsid w:val="000C6334"/>
    <w:rsid w:val="000D1C25"/>
    <w:rsid w:val="000E7974"/>
    <w:rsid w:val="000F2A2B"/>
    <w:rsid w:val="00100F4B"/>
    <w:rsid w:val="001056E5"/>
    <w:rsid w:val="00113E84"/>
    <w:rsid w:val="001238F6"/>
    <w:rsid w:val="0014273A"/>
    <w:rsid w:val="00151357"/>
    <w:rsid w:val="0015515F"/>
    <w:rsid w:val="00160A5A"/>
    <w:rsid w:val="0016585E"/>
    <w:rsid w:val="00182CD0"/>
    <w:rsid w:val="0018376E"/>
    <w:rsid w:val="00185351"/>
    <w:rsid w:val="00192BC7"/>
    <w:rsid w:val="001954EB"/>
    <w:rsid w:val="001A362C"/>
    <w:rsid w:val="001A45EF"/>
    <w:rsid w:val="001A717F"/>
    <w:rsid w:val="001B7FE4"/>
    <w:rsid w:val="001D004D"/>
    <w:rsid w:val="001D157F"/>
    <w:rsid w:val="001D56FA"/>
    <w:rsid w:val="001F4C6C"/>
    <w:rsid w:val="00206883"/>
    <w:rsid w:val="00207193"/>
    <w:rsid w:val="002236A6"/>
    <w:rsid w:val="00241454"/>
    <w:rsid w:val="00245AAF"/>
    <w:rsid w:val="00252B87"/>
    <w:rsid w:val="002717F6"/>
    <w:rsid w:val="0027721A"/>
    <w:rsid w:val="0028691E"/>
    <w:rsid w:val="002911D0"/>
    <w:rsid w:val="002A1A9A"/>
    <w:rsid w:val="002A2F32"/>
    <w:rsid w:val="002B0897"/>
    <w:rsid w:val="002C1198"/>
    <w:rsid w:val="002C2248"/>
    <w:rsid w:val="002C56D5"/>
    <w:rsid w:val="002C7B78"/>
    <w:rsid w:val="002E5681"/>
    <w:rsid w:val="002E6DAD"/>
    <w:rsid w:val="002F2155"/>
    <w:rsid w:val="002F652B"/>
    <w:rsid w:val="003102F9"/>
    <w:rsid w:val="00312A09"/>
    <w:rsid w:val="0031542D"/>
    <w:rsid w:val="00315777"/>
    <w:rsid w:val="00320047"/>
    <w:rsid w:val="00326C58"/>
    <w:rsid w:val="00340578"/>
    <w:rsid w:val="00342213"/>
    <w:rsid w:val="00343915"/>
    <w:rsid w:val="00344E6D"/>
    <w:rsid w:val="00345A6B"/>
    <w:rsid w:val="00376504"/>
    <w:rsid w:val="003820CD"/>
    <w:rsid w:val="00390A0A"/>
    <w:rsid w:val="003951E4"/>
    <w:rsid w:val="003A68B8"/>
    <w:rsid w:val="003B7EA5"/>
    <w:rsid w:val="003C03BB"/>
    <w:rsid w:val="003D0A03"/>
    <w:rsid w:val="003D39B8"/>
    <w:rsid w:val="003D3AA2"/>
    <w:rsid w:val="003D64F1"/>
    <w:rsid w:val="003E560E"/>
    <w:rsid w:val="003E6023"/>
    <w:rsid w:val="003F0A6C"/>
    <w:rsid w:val="00411434"/>
    <w:rsid w:val="004413B2"/>
    <w:rsid w:val="00446B59"/>
    <w:rsid w:val="00466E56"/>
    <w:rsid w:val="00476D0E"/>
    <w:rsid w:val="004801E3"/>
    <w:rsid w:val="0048350B"/>
    <w:rsid w:val="0048372F"/>
    <w:rsid w:val="00487639"/>
    <w:rsid w:val="004908F2"/>
    <w:rsid w:val="00497FF6"/>
    <w:rsid w:val="004A5D8E"/>
    <w:rsid w:val="004B7AFE"/>
    <w:rsid w:val="004E00C0"/>
    <w:rsid w:val="004E07CE"/>
    <w:rsid w:val="004E5FDC"/>
    <w:rsid w:val="004F0731"/>
    <w:rsid w:val="004F41BD"/>
    <w:rsid w:val="004F5CA0"/>
    <w:rsid w:val="004F79E9"/>
    <w:rsid w:val="00502283"/>
    <w:rsid w:val="00502342"/>
    <w:rsid w:val="00507165"/>
    <w:rsid w:val="005336EB"/>
    <w:rsid w:val="005343F8"/>
    <w:rsid w:val="00540BE4"/>
    <w:rsid w:val="005426A3"/>
    <w:rsid w:val="00554CDD"/>
    <w:rsid w:val="00557291"/>
    <w:rsid w:val="00557E9A"/>
    <w:rsid w:val="00573D7A"/>
    <w:rsid w:val="00576611"/>
    <w:rsid w:val="00591873"/>
    <w:rsid w:val="005A0599"/>
    <w:rsid w:val="005B5024"/>
    <w:rsid w:val="005C5697"/>
    <w:rsid w:val="005C5E10"/>
    <w:rsid w:val="005D2B3C"/>
    <w:rsid w:val="005E5551"/>
    <w:rsid w:val="00607F57"/>
    <w:rsid w:val="00624258"/>
    <w:rsid w:val="006417C4"/>
    <w:rsid w:val="006523E2"/>
    <w:rsid w:val="00657274"/>
    <w:rsid w:val="0066274A"/>
    <w:rsid w:val="00664E23"/>
    <w:rsid w:val="00672F9A"/>
    <w:rsid w:val="00677735"/>
    <w:rsid w:val="006A08DE"/>
    <w:rsid w:val="006A3EC6"/>
    <w:rsid w:val="006B3FC7"/>
    <w:rsid w:val="006B4DCB"/>
    <w:rsid w:val="006C3E32"/>
    <w:rsid w:val="006D107C"/>
    <w:rsid w:val="006D274C"/>
    <w:rsid w:val="006D55C4"/>
    <w:rsid w:val="006E5891"/>
    <w:rsid w:val="006F65CA"/>
    <w:rsid w:val="00701C0D"/>
    <w:rsid w:val="007048B2"/>
    <w:rsid w:val="00722395"/>
    <w:rsid w:val="00726226"/>
    <w:rsid w:val="007415AC"/>
    <w:rsid w:val="00746BC9"/>
    <w:rsid w:val="00756A57"/>
    <w:rsid w:val="00762AF2"/>
    <w:rsid w:val="00774234"/>
    <w:rsid w:val="00784A53"/>
    <w:rsid w:val="00796F6E"/>
    <w:rsid w:val="007B235E"/>
    <w:rsid w:val="007D53E8"/>
    <w:rsid w:val="007D5927"/>
    <w:rsid w:val="007F57AB"/>
    <w:rsid w:val="00814858"/>
    <w:rsid w:val="00825610"/>
    <w:rsid w:val="00843561"/>
    <w:rsid w:val="00845F87"/>
    <w:rsid w:val="0085356F"/>
    <w:rsid w:val="008754FC"/>
    <w:rsid w:val="00881A8E"/>
    <w:rsid w:val="008828E0"/>
    <w:rsid w:val="008845EE"/>
    <w:rsid w:val="008A7045"/>
    <w:rsid w:val="008B786F"/>
    <w:rsid w:val="008C0A5F"/>
    <w:rsid w:val="008C5A47"/>
    <w:rsid w:val="008C7FF6"/>
    <w:rsid w:val="008D2A3E"/>
    <w:rsid w:val="008E244F"/>
    <w:rsid w:val="008F096E"/>
    <w:rsid w:val="008F293F"/>
    <w:rsid w:val="008F3463"/>
    <w:rsid w:val="008F711D"/>
    <w:rsid w:val="00903023"/>
    <w:rsid w:val="009034BF"/>
    <w:rsid w:val="0090782A"/>
    <w:rsid w:val="00907988"/>
    <w:rsid w:val="00914145"/>
    <w:rsid w:val="009156DB"/>
    <w:rsid w:val="00925287"/>
    <w:rsid w:val="009346E9"/>
    <w:rsid w:val="00960B1D"/>
    <w:rsid w:val="00960DA9"/>
    <w:rsid w:val="0096691E"/>
    <w:rsid w:val="0097714A"/>
    <w:rsid w:val="0098625D"/>
    <w:rsid w:val="009A34D5"/>
    <w:rsid w:val="009B26C9"/>
    <w:rsid w:val="009B4186"/>
    <w:rsid w:val="009E1148"/>
    <w:rsid w:val="009F4C6D"/>
    <w:rsid w:val="00A03DF5"/>
    <w:rsid w:val="00A11164"/>
    <w:rsid w:val="00A15C4C"/>
    <w:rsid w:val="00A208FE"/>
    <w:rsid w:val="00A36FDF"/>
    <w:rsid w:val="00A4353D"/>
    <w:rsid w:val="00A57D48"/>
    <w:rsid w:val="00A64A7F"/>
    <w:rsid w:val="00A70DB5"/>
    <w:rsid w:val="00A83011"/>
    <w:rsid w:val="00A9023D"/>
    <w:rsid w:val="00A90D3C"/>
    <w:rsid w:val="00AA4849"/>
    <w:rsid w:val="00AA65C8"/>
    <w:rsid w:val="00AB21D0"/>
    <w:rsid w:val="00AB44E3"/>
    <w:rsid w:val="00AB5D81"/>
    <w:rsid w:val="00AB7FDA"/>
    <w:rsid w:val="00AC2AEE"/>
    <w:rsid w:val="00AD4307"/>
    <w:rsid w:val="00AD52D8"/>
    <w:rsid w:val="00AE10A7"/>
    <w:rsid w:val="00B1053C"/>
    <w:rsid w:val="00B20009"/>
    <w:rsid w:val="00B26CDC"/>
    <w:rsid w:val="00B34309"/>
    <w:rsid w:val="00B4342C"/>
    <w:rsid w:val="00B60385"/>
    <w:rsid w:val="00B65317"/>
    <w:rsid w:val="00B70D88"/>
    <w:rsid w:val="00B71F1F"/>
    <w:rsid w:val="00B90234"/>
    <w:rsid w:val="00B94B3A"/>
    <w:rsid w:val="00B96571"/>
    <w:rsid w:val="00B9772F"/>
    <w:rsid w:val="00BD601A"/>
    <w:rsid w:val="00BF03AC"/>
    <w:rsid w:val="00BF4FDE"/>
    <w:rsid w:val="00BF5720"/>
    <w:rsid w:val="00C04279"/>
    <w:rsid w:val="00C04974"/>
    <w:rsid w:val="00C05ADE"/>
    <w:rsid w:val="00C1178F"/>
    <w:rsid w:val="00C2147E"/>
    <w:rsid w:val="00C23869"/>
    <w:rsid w:val="00C24688"/>
    <w:rsid w:val="00C3613F"/>
    <w:rsid w:val="00C43BC7"/>
    <w:rsid w:val="00C57479"/>
    <w:rsid w:val="00C63074"/>
    <w:rsid w:val="00C7030F"/>
    <w:rsid w:val="00C747C7"/>
    <w:rsid w:val="00C75DE2"/>
    <w:rsid w:val="00C7736B"/>
    <w:rsid w:val="00C83A1F"/>
    <w:rsid w:val="00C9517A"/>
    <w:rsid w:val="00C97C78"/>
    <w:rsid w:val="00CE445B"/>
    <w:rsid w:val="00CE44C6"/>
    <w:rsid w:val="00CF5C0B"/>
    <w:rsid w:val="00D1642F"/>
    <w:rsid w:val="00D216EE"/>
    <w:rsid w:val="00D346E1"/>
    <w:rsid w:val="00D44184"/>
    <w:rsid w:val="00D64E42"/>
    <w:rsid w:val="00D74B70"/>
    <w:rsid w:val="00D74B77"/>
    <w:rsid w:val="00D82488"/>
    <w:rsid w:val="00D84092"/>
    <w:rsid w:val="00DA1FF4"/>
    <w:rsid w:val="00DA508B"/>
    <w:rsid w:val="00DA64E3"/>
    <w:rsid w:val="00DB7C10"/>
    <w:rsid w:val="00DC4E52"/>
    <w:rsid w:val="00DD0A16"/>
    <w:rsid w:val="00DD76C3"/>
    <w:rsid w:val="00DE003A"/>
    <w:rsid w:val="00DE4989"/>
    <w:rsid w:val="00DF1C80"/>
    <w:rsid w:val="00DF2D2C"/>
    <w:rsid w:val="00DF3B22"/>
    <w:rsid w:val="00DF3FDB"/>
    <w:rsid w:val="00DF4179"/>
    <w:rsid w:val="00DF755D"/>
    <w:rsid w:val="00E03027"/>
    <w:rsid w:val="00E32A26"/>
    <w:rsid w:val="00E343CC"/>
    <w:rsid w:val="00E36720"/>
    <w:rsid w:val="00E46743"/>
    <w:rsid w:val="00E641EF"/>
    <w:rsid w:val="00E72975"/>
    <w:rsid w:val="00E7437B"/>
    <w:rsid w:val="00E82B9E"/>
    <w:rsid w:val="00EA2607"/>
    <w:rsid w:val="00EA3754"/>
    <w:rsid w:val="00EB2A1A"/>
    <w:rsid w:val="00ED4237"/>
    <w:rsid w:val="00EE096A"/>
    <w:rsid w:val="00EE371C"/>
    <w:rsid w:val="00F146FB"/>
    <w:rsid w:val="00F1739A"/>
    <w:rsid w:val="00F24979"/>
    <w:rsid w:val="00F329B8"/>
    <w:rsid w:val="00F41049"/>
    <w:rsid w:val="00F44BE9"/>
    <w:rsid w:val="00F46460"/>
    <w:rsid w:val="00F61543"/>
    <w:rsid w:val="00F67946"/>
    <w:rsid w:val="00F75FD7"/>
    <w:rsid w:val="00F822A0"/>
    <w:rsid w:val="00F9172C"/>
    <w:rsid w:val="00FB03D9"/>
    <w:rsid w:val="00FB73F6"/>
    <w:rsid w:val="00FC6320"/>
    <w:rsid w:val="00FD162E"/>
    <w:rsid w:val="00FD32FB"/>
    <w:rsid w:val="00FF26D6"/>
    <w:rsid w:val="00FF7480"/>
    <w:rsid w:val="1AE030A1"/>
    <w:rsid w:val="45E576E3"/>
    <w:rsid w:val="4806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numPr>
        <w:numId w:val="1"/>
      </w:numPr>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Emphasis"/>
    <w:basedOn w:val="10"/>
    <w:qFormat/>
    <w:uiPriority w:val="20"/>
    <w:rPr>
      <w:i/>
      <w:iCs/>
    </w:rPr>
  </w:style>
  <w:style w:type="character" w:styleId="12">
    <w:name w:val="Hyperlink"/>
    <w:basedOn w:val="10"/>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qFormat/>
    <w:uiPriority w:val="99"/>
    <w:rPr>
      <w:sz w:val="18"/>
      <w:szCs w:val="18"/>
    </w:rPr>
  </w:style>
  <w:style w:type="paragraph" w:customStyle="1" w:styleId="17">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character" w:customStyle="1" w:styleId="18">
    <w:name w:val="标题 3 字符"/>
    <w:basedOn w:val="10"/>
    <w:link w:val="3"/>
    <w:qFormat/>
    <w:uiPriority w:val="9"/>
    <w:rPr>
      <w:rFonts w:ascii="宋体" w:hAnsi="宋体" w:eastAsia="宋体" w:cs="宋体"/>
      <w:b/>
      <w:bCs/>
      <w:kern w:val="0"/>
      <w:sz w:val="27"/>
      <w:szCs w:val="27"/>
    </w:rPr>
  </w:style>
  <w:style w:type="character" w:customStyle="1" w:styleId="19">
    <w:name w:val="apple-converted-space"/>
    <w:basedOn w:val="10"/>
    <w:qFormat/>
    <w:uiPriority w:val="0"/>
  </w:style>
  <w:style w:type="character" w:customStyle="1" w:styleId="20">
    <w:name w:val="段 Char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2">
    <w:name w:val="段 Char"/>
    <w:qFormat/>
    <w:uiPriority w:val="0"/>
    <w:rPr>
      <w:rFonts w:ascii="宋体"/>
      <w:sz w:val="21"/>
      <w:lang w:val="en-US" w:eastAsia="zh-CN" w:bidi="ar-SA"/>
    </w:rPr>
  </w:style>
  <w:style w:type="paragraph" w:customStyle="1" w:styleId="23">
    <w:name w:val="注：（正文）"/>
    <w:basedOn w:val="1"/>
    <w:next w:val="21"/>
    <w:qFormat/>
    <w:uiPriority w:val="0"/>
    <w:pPr>
      <w:numPr>
        <w:ilvl w:val="0"/>
        <w:numId w:val="3"/>
      </w:numPr>
      <w:autoSpaceDE w:val="0"/>
      <w:autoSpaceDN w:val="0"/>
    </w:pPr>
    <w:rPr>
      <w:rFonts w:ascii="宋体" w:hAnsi="Times New Roman" w:eastAsia="宋体" w:cs="Times New Roman"/>
      <w:kern w:val="0"/>
      <w:sz w:val="18"/>
      <w:szCs w:val="18"/>
    </w:rPr>
  </w:style>
  <w:style w:type="paragraph" w:customStyle="1" w:styleId="24">
    <w:name w:val="正文表标题"/>
    <w:next w:val="21"/>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character" w:customStyle="1" w:styleId="25">
    <w:name w:val="标题 1 字符"/>
    <w:basedOn w:val="10"/>
    <w:link w:val="2"/>
    <w:uiPriority w:val="9"/>
    <w:rPr>
      <w:b/>
      <w:bCs/>
      <w:kern w:val="44"/>
      <w:sz w:val="44"/>
      <w:szCs w:val="44"/>
    </w:rPr>
  </w:style>
  <w:style w:type="paragraph" w:customStyle="1" w:styleId="26">
    <w:name w:val="一级条标题"/>
    <w:next w:val="21"/>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章标题"/>
    <w:next w:val="21"/>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21"/>
    <w:qFormat/>
    <w:uiPriority w:val="0"/>
    <w:pPr>
      <w:numPr>
        <w:ilvl w:val="2"/>
      </w:numPr>
      <w:spacing w:before="50" w:after="50"/>
      <w:outlineLvl w:val="3"/>
    </w:pPr>
  </w:style>
  <w:style w:type="paragraph" w:customStyle="1" w:styleId="29">
    <w:name w:val="四级条标题"/>
    <w:basedOn w:val="1"/>
    <w:next w:val="21"/>
    <w:qFormat/>
    <w:uiPriority w:val="0"/>
    <w:pPr>
      <w:widowControl/>
      <w:numPr>
        <w:ilvl w:val="4"/>
        <w:numId w:val="5"/>
      </w:numPr>
      <w:spacing w:before="50" w:beforeLines="50" w:after="50" w:afterLines="50"/>
      <w:jc w:val="left"/>
      <w:outlineLvl w:val="5"/>
    </w:pPr>
    <w:rPr>
      <w:rFonts w:ascii="黑体" w:hAnsi="Times New Roman" w:eastAsia="黑体" w:cs="Times New Roman"/>
      <w:kern w:val="0"/>
      <w:szCs w:val="21"/>
    </w:rPr>
  </w:style>
  <w:style w:type="paragraph" w:customStyle="1" w:styleId="30">
    <w:name w:val="五级条标题"/>
    <w:basedOn w:val="29"/>
    <w:next w:val="21"/>
    <w:qFormat/>
    <w:uiPriority w:val="0"/>
    <w:pPr>
      <w:numPr>
        <w:ilvl w:val="5"/>
      </w:numPr>
      <w:outlineLvl w:val="6"/>
    </w:pPr>
  </w:style>
  <w:style w:type="character" w:customStyle="1" w:styleId="31">
    <w:name w:val="fontstyle01"/>
    <w:basedOn w:val="10"/>
    <w:qFormat/>
    <w:uiPriority w:val="0"/>
    <w:rPr>
      <w:rFonts w:hint="eastAsia" w:ascii="宋体" w:hAnsi="宋体" w:eastAsia="宋体"/>
      <w:color w:val="000000"/>
      <w:sz w:val="22"/>
      <w:szCs w:val="22"/>
    </w:rPr>
  </w:style>
  <w:style w:type="character" w:customStyle="1" w:styleId="32">
    <w:name w:val="font11"/>
    <w:basedOn w:val="10"/>
    <w:uiPriority w:val="0"/>
    <w:rPr>
      <w:rFonts w:hint="eastAsia" w:ascii="宋体" w:hAnsi="宋体" w:eastAsia="宋体" w:cs="宋体"/>
      <w:color w:val="000000"/>
      <w:sz w:val="18"/>
      <w:szCs w:val="18"/>
      <w:u w:val="none"/>
    </w:rPr>
  </w:style>
  <w:style w:type="paragraph" w:customStyle="1" w:styleId="33">
    <w:name w:val="注×：（正文）"/>
    <w:qFormat/>
    <w:uiPriority w:val="0"/>
    <w:pPr>
      <w:numPr>
        <w:ilvl w:val="0"/>
        <w:numId w:val="6"/>
      </w:numPr>
      <w:jc w:val="both"/>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Workbook1.xlsb"/><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7FE86-4A38-46C2-99DE-FE9E9D1EE293}">
  <ds:schemaRefs/>
</ds:datastoreItem>
</file>

<file path=docProps/app.xml><?xml version="1.0" encoding="utf-8"?>
<Properties xmlns="http://schemas.openxmlformats.org/officeDocument/2006/extended-properties" xmlns:vt="http://schemas.openxmlformats.org/officeDocument/2006/docPropsVTypes">
  <Template>Normal</Template>
  <Pages>7</Pages>
  <Words>1209</Words>
  <Characters>6892</Characters>
  <Lines>57</Lines>
  <Paragraphs>16</Paragraphs>
  <TotalTime>108</TotalTime>
  <ScaleCrop>false</ScaleCrop>
  <LinksUpToDate>false</LinksUpToDate>
  <CharactersWithSpaces>8085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2021-04-12T01:19:00Z</dcterms:created>
  <dc:creator>蒋杰</dc:creator>
  <cp:lastModifiedBy>CathayMok</cp:lastModifiedBy>
  <dcterms:modified xsi:type="dcterms:W3CDTF">2021-07-13T15:56:53Z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327DAD17415C4C1E977B353E3DC0296F</vt:lpwstr>
  </property>
</Properties>
</file>