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附件1：</w:t>
      </w:r>
    </w:p>
    <w:p>
      <w:pPr>
        <w:spacing w:line="48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全国有色金属标准化技术委员会碳排放和低碳标准化工作组</w:t>
      </w:r>
    </w:p>
    <w:p>
      <w:pPr>
        <w:spacing w:line="48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委员任职条件</w:t>
      </w:r>
    </w:p>
    <w:p>
      <w:pPr>
        <w:numPr>
          <w:ilvl w:val="0"/>
          <w:numId w:val="1"/>
        </w:numPr>
        <w:spacing w:before="156" w:beforeLines="50" w:after="156" w:afterLines="50" w:line="54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应为标准化领域的专家或具备标准化工作和管理经验，具有较高的理论水平、扎实的专业知识和丰富的实践经验的在职人员；</w:t>
      </w:r>
    </w:p>
    <w:p>
      <w:pPr>
        <w:numPr>
          <w:ilvl w:val="0"/>
          <w:numId w:val="1"/>
        </w:numPr>
        <w:spacing w:before="156" w:beforeLines="50" w:after="156" w:afterLines="50" w:line="540" w:lineRule="exact"/>
        <w:ind w:firstLine="560" w:firstLineChars="200"/>
        <w:rPr>
          <w:rFonts w:ascii="宋体" w:hAnsi="宋体" w:eastAsia="宋体" w:cs="宋体"/>
          <w:color w:val="auto"/>
          <w:sz w:val="28"/>
          <w:szCs w:val="28"/>
        </w:rPr>
      </w:pPr>
      <w:r>
        <w:rPr>
          <w:rFonts w:hint="eastAsia" w:ascii="宋体" w:hAnsi="宋体" w:eastAsia="宋体" w:cs="宋体"/>
          <w:color w:val="000000" w:themeColor="text1"/>
          <w:sz w:val="28"/>
          <w:szCs w:val="28"/>
          <w14:textFill>
            <w14:solidFill>
              <w14:schemeClr w14:val="tx1"/>
            </w14:solidFill>
          </w14:textFill>
        </w:rPr>
        <w:t>应为有色金属行业碳排放和低碳领域的专家，所在单位应为有色领域的科研院所、</w:t>
      </w:r>
      <w:r>
        <w:rPr>
          <w:rFonts w:hint="eastAsia" w:asciiTheme="majorEastAsia" w:hAnsiTheme="majorEastAsia" w:eastAsiaTheme="majorEastAsia" w:cstheme="majorEastAsia"/>
          <w:color w:val="000000" w:themeColor="text1"/>
          <w:sz w:val="28"/>
          <w:szCs w:val="28"/>
          <w14:textFill>
            <w14:solidFill>
              <w14:schemeClr w14:val="tx1"/>
            </w14:solidFill>
          </w14:textFill>
        </w:rPr>
        <w:t>大中型企业、科技型企业、国家高新技术企业、国家创新型企</w:t>
      </w:r>
      <w:r>
        <w:rPr>
          <w:rFonts w:hint="eastAsia" w:asciiTheme="majorEastAsia" w:hAnsiTheme="majorEastAsia" w:eastAsiaTheme="majorEastAsia" w:cstheme="majorEastAsia"/>
          <w:color w:val="auto"/>
          <w:sz w:val="28"/>
          <w:szCs w:val="28"/>
        </w:rPr>
        <w:t>业、国家级高新区、科技园区（试点、示范）等，包括具备碳排放和低碳技术相关经验，以及可提供碳排放评价服务的机构等；</w:t>
      </w:r>
    </w:p>
    <w:p>
      <w:pPr>
        <w:spacing w:before="156" w:beforeLines="50" w:after="156" w:afterLines="50" w:line="540" w:lineRule="exact"/>
        <w:ind w:firstLine="560" w:firstLineChars="200"/>
        <w:rPr>
          <w:rFonts w:ascii="方正小标宋简体" w:hAnsi="宋体" w:eastAsia="方正小标宋简体"/>
          <w:color w:val="auto"/>
          <w:sz w:val="32"/>
          <w:szCs w:val="32"/>
        </w:rPr>
      </w:pPr>
      <w:r>
        <w:rPr>
          <w:rFonts w:hint="eastAsia" w:ascii="宋体" w:hAnsi="宋体" w:eastAsia="宋体" w:cs="宋体"/>
          <w:color w:val="auto"/>
          <w:sz w:val="28"/>
          <w:szCs w:val="28"/>
        </w:rPr>
        <w:t>3、具有中级以上（含中级）专业技术职称，或者具有与中级以上专业技术职称相对应的技术管理职务的在职人员；</w:t>
      </w:r>
    </w:p>
    <w:p>
      <w:pPr>
        <w:spacing w:before="156" w:beforeLines="50" w:after="156" w:afterLines="50" w:line="54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4、应熟悉标准化工作流程，具有良好的沟通能力，能积极参加标准化工作组的各项活动，履行工作组成员的职责和义务。</w:t>
      </w: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pPr>
        <w:spacing w:before="156" w:beforeLines="50" w:after="156" w:afterLines="50" w:line="540" w:lineRule="exact"/>
        <w:jc w:val="center"/>
        <w:rPr>
          <w:rFonts w:ascii="方正小标宋简体" w:hAnsi="宋体" w:eastAsia="方正小标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18071"/>
    <w:multiLevelType w:val="singleLevel"/>
    <w:tmpl w:val="962180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72A62"/>
    <w:rsid w:val="73A7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2021-07-05T04:47:00Z</dcterms:created>
  <dc:creator>CathayMok</dc:creator>
  <cp:lastModifiedBy>CathayMok</cp:lastModifiedBy>
  <dcterms:modified xsi:type="dcterms:W3CDTF">2021-07-05T04:48:15Z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