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ectionMark0"/>
    <w:bookmarkStart w:id="1" w:name="SectionMark4"/>
    <w:p w:rsidR="0004299E" w:rsidRPr="00A4795A" w:rsidRDefault="00043D6D">
      <w:pPr>
        <w:pStyle w:val="affff9"/>
      </w:pPr>
      <w:r w:rsidRPr="00A4795A">
        <w:rPr>
          <w:noProof/>
        </w:rPr>
        <mc:AlternateContent>
          <mc:Choice Requires="wps">
            <w:drawing>
              <wp:anchor distT="0" distB="0" distL="114300" distR="114300" simplePos="0" relativeHeight="251655168" behindDoc="0" locked="1" layoutInCell="1" allowOverlap="1" wp14:anchorId="7F3383A2" wp14:editId="764DCBC5">
                <wp:simplePos x="0" y="0"/>
                <wp:positionH relativeFrom="margin">
                  <wp:posOffset>-8255</wp:posOffset>
                </wp:positionH>
                <wp:positionV relativeFrom="margin">
                  <wp:posOffset>7177405</wp:posOffset>
                </wp:positionV>
                <wp:extent cx="6120130" cy="1544320"/>
                <wp:effectExtent l="0" t="0" r="13970" b="17780"/>
                <wp:wrapNone/>
                <wp:docPr id="1" name="fmFrame7"/>
                <wp:cNvGraphicFramePr/>
                <a:graphic xmlns:a="http://schemas.openxmlformats.org/drawingml/2006/main">
                  <a:graphicData uri="http://schemas.microsoft.com/office/word/2010/wordprocessingShape">
                    <wps:wsp>
                      <wps:cNvSpPr/>
                      <wps:spPr>
                        <a:xfrm>
                          <a:off x="0" y="0"/>
                          <a:ext cx="6120130" cy="1544320"/>
                        </a:xfrm>
                        <a:prstGeom prst="rect">
                          <a:avLst/>
                        </a:prstGeom>
                        <a:solidFill>
                          <a:srgbClr val="FFFFFF"/>
                        </a:solidFill>
                        <a:ln>
                          <a:noFill/>
                        </a:ln>
                      </wps:spPr>
                      <wps:txbx>
                        <w:txbxContent>
                          <w:p w:rsidR="00411DC2" w:rsidRDefault="00411DC2" w:rsidP="00004648">
                            <w:pPr>
                              <w:pStyle w:val="afffb"/>
                              <w:rPr>
                                <w:rFonts w:ascii="宋体" w:eastAsia="宋体" w:hAnsi="宋体" w:cs="宋体"/>
                                <w:spacing w:val="58"/>
                                <w:w w:val="120"/>
                                <w:kern w:val="2"/>
                                <w:sz w:val="28"/>
                                <w:szCs w:val="28"/>
                              </w:rPr>
                            </w:pPr>
                          </w:p>
                          <w:p w:rsidR="00411DC2" w:rsidRPr="00004648" w:rsidRDefault="00545F22" w:rsidP="00004648">
                            <w:pPr>
                              <w:pStyle w:val="afffb"/>
                              <w:rPr>
                                <w:rFonts w:ascii="宋体" w:eastAsia="宋体" w:hAnsi="宋体" w:cs="宋体"/>
                                <w:spacing w:val="58"/>
                                <w:w w:val="120"/>
                                <w:kern w:val="2"/>
                                <w:sz w:val="28"/>
                                <w:szCs w:val="28"/>
                              </w:rPr>
                            </w:pPr>
                            <w:r>
                              <w:rPr>
                                <w:rFonts w:ascii="宋体" w:eastAsia="宋体" w:hAnsi="宋体" w:cs="宋体" w:hint="eastAsia"/>
                                <w:spacing w:val="58"/>
                                <w:w w:val="120"/>
                                <w:kern w:val="2"/>
                                <w:sz w:val="28"/>
                                <w:szCs w:val="28"/>
                              </w:rPr>
                              <w:t>真空退火炉</w:t>
                            </w:r>
                            <w:r w:rsidR="00411DC2" w:rsidRPr="00004648">
                              <w:rPr>
                                <w:rFonts w:ascii="宋体" w:eastAsia="宋体" w:hAnsi="宋体" w:cs="宋体" w:hint="eastAsia"/>
                                <w:spacing w:val="58"/>
                                <w:w w:val="120"/>
                                <w:kern w:val="2"/>
                                <w:sz w:val="28"/>
                                <w:szCs w:val="28"/>
                              </w:rPr>
                              <w:t>校准规范</w:t>
                            </w:r>
                          </w:p>
                          <w:p w:rsidR="00411DC2" w:rsidRDefault="00411DC2">
                            <w:pPr>
                              <w:jc w:val="center"/>
                              <w:rPr>
                                <w:rFonts w:ascii="宋体" w:hAnsi="宋体" w:cs="宋体"/>
                                <w:sz w:val="28"/>
                                <w:szCs w:val="28"/>
                              </w:rPr>
                            </w:pPr>
                            <w:r>
                              <w:rPr>
                                <w:rFonts w:ascii="宋体" w:hAnsi="宋体" w:cs="宋体" w:hint="eastAsia"/>
                                <w:spacing w:val="58"/>
                                <w:w w:val="120"/>
                                <w:sz w:val="28"/>
                                <w:szCs w:val="28"/>
                              </w:rPr>
                              <w:t>编制组</w:t>
                            </w:r>
                          </w:p>
                          <w:p w:rsidR="00411DC2" w:rsidRDefault="00411DC2">
                            <w:pPr>
                              <w:pStyle w:val="afffff1"/>
                              <w:rPr>
                                <w:rFonts w:ascii="宋体" w:eastAsia="宋体" w:hAnsi="宋体" w:cs="宋体"/>
                                <w:sz w:val="28"/>
                                <w:szCs w:val="28"/>
                              </w:rPr>
                            </w:pPr>
                            <w:r>
                              <w:rPr>
                                <w:rFonts w:ascii="宋体" w:eastAsia="宋体" w:hAnsi="宋体" w:cs="宋体" w:hint="eastAsia"/>
                                <w:sz w:val="28"/>
                                <w:szCs w:val="28"/>
                              </w:rPr>
                              <w:t>主编单位：西安汉唐分析检测有限公司</w:t>
                            </w:r>
                          </w:p>
                        </w:txbxContent>
                      </wps:txbx>
                      <wps:bodyPr lIns="0" tIns="0" rIns="0" bIns="0" upright="1"/>
                    </wps:wsp>
                  </a:graphicData>
                </a:graphic>
              </wp:anchor>
            </w:drawing>
          </mc:Choice>
          <mc:Fallback>
            <w:pict>
              <v:rect id="fmFrame7" o:spid="_x0000_s1026" style="position:absolute;left:0;text-align:left;margin-left:-.65pt;margin-top:565.15pt;width:481.9pt;height:121.6pt;z-index:25165516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" stroked="f">
                <v:textbox inset="0,0,0,0">
                  <w:txbxContent>
                    <w:p w:rsidR="00411DC2" w:rsidRDefault="00411DC2" w:rsidP="00004648">
                      <w:pPr>
                        <w:pStyle w:val="afffb"/>
                        <w:rPr>
                          <w:rFonts w:ascii="宋体" w:eastAsia="宋体" w:hAnsi="宋体" w:cs="宋体"/>
                          <w:spacing w:val="58"/>
                          <w:w w:val="120"/>
                          <w:kern w:val="2"/>
                          <w:sz w:val="28"/>
                          <w:szCs w:val="28"/>
                        </w:rPr>
                      </w:pPr>
                    </w:p>
                    <w:p w:rsidR="00411DC2" w:rsidRPr="00004648" w:rsidRDefault="00545F22" w:rsidP="00004648">
                      <w:pPr>
                        <w:pStyle w:val="afffb"/>
                        <w:rPr>
                          <w:rFonts w:ascii="宋体" w:eastAsia="宋体" w:hAnsi="宋体" w:cs="宋体"/>
                          <w:spacing w:val="58"/>
                          <w:w w:val="120"/>
                          <w:kern w:val="2"/>
                          <w:sz w:val="28"/>
                          <w:szCs w:val="28"/>
                        </w:rPr>
                      </w:pPr>
                      <w:r>
                        <w:rPr>
                          <w:rFonts w:ascii="宋体" w:eastAsia="宋体" w:hAnsi="宋体" w:cs="宋体" w:hint="eastAsia"/>
                          <w:spacing w:val="58"/>
                          <w:w w:val="120"/>
                          <w:kern w:val="2"/>
                          <w:sz w:val="28"/>
                          <w:szCs w:val="28"/>
                        </w:rPr>
                        <w:t>真空退火炉</w:t>
                      </w:r>
                      <w:r w:rsidR="00411DC2" w:rsidRPr="00004648">
                        <w:rPr>
                          <w:rFonts w:ascii="宋体" w:eastAsia="宋体" w:hAnsi="宋体" w:cs="宋体" w:hint="eastAsia"/>
                          <w:spacing w:val="58"/>
                          <w:w w:val="120"/>
                          <w:kern w:val="2"/>
                          <w:sz w:val="28"/>
                          <w:szCs w:val="28"/>
                        </w:rPr>
                        <w:t>校准规范</w:t>
                      </w:r>
                    </w:p>
                    <w:p w:rsidR="00411DC2" w:rsidRDefault="00411DC2">
                      <w:pPr>
                        <w:jc w:val="center"/>
                        <w:rPr>
                          <w:rFonts w:ascii="宋体" w:hAnsi="宋体" w:cs="宋体"/>
                          <w:sz w:val="28"/>
                          <w:szCs w:val="28"/>
                        </w:rPr>
                      </w:pPr>
                      <w:r>
                        <w:rPr>
                          <w:rFonts w:ascii="宋体" w:hAnsi="宋体" w:cs="宋体" w:hint="eastAsia"/>
                          <w:spacing w:val="58"/>
                          <w:w w:val="120"/>
                          <w:sz w:val="28"/>
                          <w:szCs w:val="28"/>
                        </w:rPr>
                        <w:t>编制组</w:t>
                      </w:r>
                    </w:p>
                    <w:p w:rsidR="00411DC2" w:rsidRDefault="00411DC2">
                      <w:pPr>
                        <w:pStyle w:val="afffff1"/>
                        <w:rPr>
                          <w:rFonts w:ascii="宋体" w:eastAsia="宋体" w:hAnsi="宋体" w:cs="宋体"/>
                          <w:sz w:val="28"/>
                          <w:szCs w:val="28"/>
                        </w:rPr>
                      </w:pPr>
                      <w:r>
                        <w:rPr>
                          <w:rFonts w:ascii="宋体" w:eastAsia="宋体" w:hAnsi="宋体" w:cs="宋体" w:hint="eastAsia"/>
                          <w:sz w:val="28"/>
                          <w:szCs w:val="28"/>
                        </w:rPr>
                        <w:t>主编单位：西安汉唐分析检测有限公司</w:t>
                      </w:r>
                    </w:p>
                  </w:txbxContent>
                </v:textbox>
                <w10:wrap anchorx="margin" anchory="margin"/>
                <w10:anchorlock/>
              </v:rect>
            </w:pict>
          </mc:Fallback>
        </mc:AlternateContent>
      </w:r>
      <w:r w:rsidRPr="00A4795A">
        <w:rPr>
          <w:noProof/>
        </w:rPr>
        <mc:AlternateContent>
          <mc:Choice Requires="wps">
            <w:drawing>
              <wp:anchor distT="0" distB="0" distL="114300" distR="114300" simplePos="0" relativeHeight="251656192" behindDoc="0" locked="1" layoutInCell="1" allowOverlap="1" wp14:anchorId="218F3064" wp14:editId="0D402E7E">
                <wp:simplePos x="0" y="0"/>
                <wp:positionH relativeFrom="margin">
                  <wp:posOffset>1270</wp:posOffset>
                </wp:positionH>
                <wp:positionV relativeFrom="margin">
                  <wp:posOffset>4467225</wp:posOffset>
                </wp:positionV>
                <wp:extent cx="5969000" cy="1779270"/>
                <wp:effectExtent l="0" t="0" r="12700" b="11430"/>
                <wp:wrapNone/>
                <wp:docPr id="2" name="文本框 5"/>
                <wp:cNvGraphicFramePr/>
                <a:graphic xmlns:a="http://schemas.openxmlformats.org/drawingml/2006/main">
                  <a:graphicData uri="http://schemas.microsoft.com/office/word/2010/wordprocessingShape">
                    <wps:wsp>
                      <wps:cNvSpPr/>
                      <wps:spPr>
                        <a:xfrm>
                          <a:off x="0" y="0"/>
                          <a:ext cx="5969000" cy="1779270"/>
                        </a:xfrm>
                        <a:prstGeom prst="rect">
                          <a:avLst/>
                        </a:prstGeom>
                        <a:solidFill>
                          <a:srgbClr val="FFFFFF"/>
                        </a:solidFill>
                        <a:ln>
                          <a:noFill/>
                        </a:ln>
                      </wps:spPr>
                      <wps:txbx>
                        <w:txbxContent>
                          <w:p w:rsidR="00411DC2" w:rsidRDefault="00411DC2">
                            <w:pPr>
                              <w:pStyle w:val="afff6"/>
                              <w:spacing w:before="600"/>
                              <w:rPr>
                                <w:rFonts w:ascii="黑体" w:eastAsia="黑体" w:hAnsi="黑体"/>
                                <w:sz w:val="36"/>
                                <w:szCs w:val="36"/>
                              </w:rPr>
                            </w:pPr>
                            <w:r>
                              <w:rPr>
                                <w:rFonts w:ascii="黑体" w:eastAsia="黑体" w:hAnsi="黑体" w:hint="eastAsia"/>
                                <w:sz w:val="36"/>
                                <w:szCs w:val="36"/>
                              </w:rPr>
                              <w:t>征求意见稿</w:t>
                            </w:r>
                          </w:p>
                          <w:p w:rsidR="00411DC2" w:rsidRDefault="00411DC2">
                            <w:pPr>
                              <w:pStyle w:val="afff6"/>
                              <w:spacing w:before="600"/>
                              <w:rPr>
                                <w:rFonts w:ascii="黑体" w:eastAsia="黑体" w:hAnsi="黑体"/>
                                <w:sz w:val="36"/>
                                <w:szCs w:val="36"/>
                              </w:rPr>
                            </w:pPr>
                            <w:r>
                              <w:rPr>
                                <w:rFonts w:ascii="黑体" w:eastAsia="黑体" w:hAnsi="黑体" w:hint="eastAsia"/>
                                <w:sz w:val="36"/>
                                <w:szCs w:val="36"/>
                              </w:rPr>
                              <w:t>20</w:t>
                            </w:r>
                            <w:r>
                              <w:rPr>
                                <w:rFonts w:ascii="黑体" w:eastAsia="黑体" w:hAnsi="黑体"/>
                                <w:sz w:val="36"/>
                                <w:szCs w:val="36"/>
                              </w:rPr>
                              <w:t>2</w:t>
                            </w:r>
                            <w:r>
                              <w:rPr>
                                <w:rFonts w:ascii="黑体" w:eastAsia="黑体" w:hAnsi="黑体" w:hint="eastAsia"/>
                                <w:sz w:val="36"/>
                                <w:szCs w:val="36"/>
                              </w:rPr>
                              <w:t>1-06-10</w:t>
                            </w:r>
                          </w:p>
                        </w:txbxContent>
                      </wps:txbx>
                      <wps:bodyPr lIns="0" tIns="0" rIns="0" bIns="0" upright="1"/>
                    </wps:wsp>
                  </a:graphicData>
                </a:graphic>
              </wp:anchor>
            </w:drawing>
          </mc:Choice>
          <mc:Fallback>
            <w:pict>
              <v:rect id="文本框 5" o:spid="_x0000_s1027" style="position:absolute;left:0;text-align:left;margin-left:.1pt;margin-top:351.75pt;width:470pt;height:140.1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" stroked="f">
                <v:textbox inset="0,0,0,0">
                  <w:txbxContent>
                    <w:p w:rsidR="00411DC2" w:rsidRDefault="00411DC2">
                      <w:pPr>
                        <w:pStyle w:val="afff6"/>
                        <w:spacing w:before="600"/>
                        <w:rPr>
                          <w:rFonts w:ascii="黑体" w:eastAsia="黑体" w:hAnsi="黑体"/>
                          <w:sz w:val="36"/>
                          <w:szCs w:val="36"/>
                        </w:rPr>
                      </w:pPr>
                      <w:r>
                        <w:rPr>
                          <w:rFonts w:ascii="黑体" w:eastAsia="黑体" w:hAnsi="黑体" w:hint="eastAsia"/>
                          <w:sz w:val="36"/>
                          <w:szCs w:val="36"/>
                        </w:rPr>
                        <w:t>征求意见稿</w:t>
                      </w:r>
                    </w:p>
                    <w:p w:rsidR="00411DC2" w:rsidRDefault="00411DC2">
                      <w:pPr>
                        <w:pStyle w:val="afff6"/>
                        <w:spacing w:before="600"/>
                        <w:rPr>
                          <w:rFonts w:ascii="黑体" w:eastAsia="黑体" w:hAnsi="黑体"/>
                          <w:sz w:val="36"/>
                          <w:szCs w:val="36"/>
                        </w:rPr>
                      </w:pPr>
                      <w:r>
                        <w:rPr>
                          <w:rFonts w:ascii="黑体" w:eastAsia="黑体" w:hAnsi="黑体" w:hint="eastAsia"/>
                          <w:sz w:val="36"/>
                          <w:szCs w:val="36"/>
                        </w:rPr>
                        <w:t>20</w:t>
                      </w:r>
                      <w:r>
                        <w:rPr>
                          <w:rFonts w:ascii="黑体" w:eastAsia="黑体" w:hAnsi="黑体"/>
                          <w:sz w:val="36"/>
                          <w:szCs w:val="36"/>
                        </w:rPr>
                        <w:t>2</w:t>
                      </w:r>
                      <w:r>
                        <w:rPr>
                          <w:rFonts w:ascii="黑体" w:eastAsia="黑体" w:hAnsi="黑体" w:hint="eastAsia"/>
                          <w:sz w:val="36"/>
                          <w:szCs w:val="36"/>
                        </w:rPr>
                        <w:t>1-06-10</w:t>
                      </w:r>
                    </w:p>
                  </w:txbxContent>
                </v:textbox>
                <w10:wrap anchorx="margin" anchory="margin"/>
                <w10:anchorlock/>
              </v:rect>
            </w:pict>
          </mc:Fallback>
        </mc:AlternateContent>
      </w:r>
      <w:r w:rsidRPr="00A4795A">
        <w:rPr>
          <w:noProof/>
        </w:rPr>
        <mc:AlternateContent>
          <mc:Choice Requires="wps">
            <w:drawing>
              <wp:anchor distT="0" distB="0" distL="114300" distR="114300" simplePos="0" relativeHeight="251657216" behindDoc="0" locked="1" layoutInCell="1" allowOverlap="1" wp14:anchorId="72445A28" wp14:editId="4343AE30">
                <wp:simplePos x="0" y="0"/>
                <wp:positionH relativeFrom="margin">
                  <wp:posOffset>152400</wp:posOffset>
                </wp:positionH>
                <wp:positionV relativeFrom="margin">
                  <wp:posOffset>1163320</wp:posOffset>
                </wp:positionV>
                <wp:extent cx="6120130" cy="2383790"/>
                <wp:effectExtent l="0" t="0" r="13970" b="16510"/>
                <wp:wrapNone/>
                <wp:docPr id="3" name="文本框 4"/>
                <wp:cNvGraphicFramePr/>
                <a:graphic xmlns:a="http://schemas.openxmlformats.org/drawingml/2006/main">
                  <a:graphicData uri="http://schemas.microsoft.com/office/word/2010/wordprocessingShape">
                    <wps:wsp>
                      <wps:cNvSpPr/>
                      <wps:spPr>
                        <a:xfrm>
                          <a:off x="0" y="0"/>
                          <a:ext cx="6120130" cy="2383790"/>
                        </a:xfrm>
                        <a:prstGeom prst="rect">
                          <a:avLst/>
                        </a:prstGeom>
                        <a:solidFill>
                          <a:srgbClr val="FFFFFF"/>
                        </a:solidFill>
                        <a:ln>
                          <a:noFill/>
                        </a:ln>
                      </wps:spPr>
                      <wps:txbx>
                        <w:txbxContent>
                          <w:p w:rsidR="00411DC2" w:rsidRDefault="00411DC2">
                            <w:pPr>
                              <w:pStyle w:val="afffb"/>
                              <w:rPr>
                                <w:rFonts w:hAnsi="黑体" w:cs="黑体"/>
                                <w:sz w:val="44"/>
                                <w:szCs w:val="44"/>
                              </w:rPr>
                            </w:pPr>
                            <w:bookmarkStart w:id="2" w:name="_Hlk23687263"/>
                            <w:r>
                              <w:rPr>
                                <w:rFonts w:hAnsi="黑体" w:cs="黑体" w:hint="eastAsia"/>
                                <w:sz w:val="44"/>
                                <w:szCs w:val="44"/>
                              </w:rPr>
                              <w:t xml:space="preserve"> JJF（有色金属）xxxx—xxxx</w:t>
                            </w:r>
                          </w:p>
                          <w:bookmarkEnd w:id="2"/>
                          <w:p w:rsidR="00C74160" w:rsidRDefault="00C74160">
                            <w:pPr>
                              <w:jc w:val="center"/>
                              <w:rPr>
                                <w:rFonts w:ascii="黑体" w:eastAsia="黑体" w:hAnsi="黑体" w:cs="黑体"/>
                                <w:kern w:val="0"/>
                                <w:sz w:val="44"/>
                                <w:szCs w:val="44"/>
                              </w:rPr>
                            </w:pPr>
                            <w:r w:rsidRPr="00C74160">
                              <w:rPr>
                                <w:rFonts w:ascii="黑体" w:eastAsia="黑体" w:hAnsi="黑体" w:cs="黑体" w:hint="eastAsia"/>
                                <w:kern w:val="0"/>
                                <w:sz w:val="44"/>
                                <w:szCs w:val="44"/>
                              </w:rPr>
                              <w:t>真空退火炉校准规范</w:t>
                            </w:r>
                          </w:p>
                          <w:p w:rsidR="00411DC2" w:rsidRPr="00C74160" w:rsidRDefault="00411DC2">
                            <w:pPr>
                              <w:jc w:val="center"/>
                              <w:rPr>
                                <w:rFonts w:ascii="黑体" w:eastAsia="黑体" w:hAnsi="黑体" w:cs="黑体"/>
                                <w:kern w:val="0"/>
                                <w:sz w:val="44"/>
                                <w:szCs w:val="44"/>
                              </w:rPr>
                            </w:pPr>
                            <w:r w:rsidRPr="00C74160">
                              <w:rPr>
                                <w:rFonts w:ascii="黑体" w:eastAsia="黑体" w:hAnsi="黑体" w:cs="黑体" w:hint="eastAsia"/>
                                <w:kern w:val="0"/>
                                <w:sz w:val="44"/>
                                <w:szCs w:val="44"/>
                              </w:rPr>
                              <w:t>(编制说明)</w:t>
                            </w:r>
                          </w:p>
                        </w:txbxContent>
                      </wps:txbx>
                      <wps:bodyPr lIns="0" tIns="0" rIns="0" bIns="0" upright="1"/>
                    </wps:wsp>
                  </a:graphicData>
                </a:graphic>
              </wp:anchor>
            </w:drawing>
          </mc:Choice>
          <mc:Fallback>
            <w:pict>
              <v:rect id="文本框 4" o:spid="_x0000_s1028" style="position:absolute;left:0;text-align:left;margin-left:12pt;margin-top:91.6pt;width:481.9pt;height:187.7pt;z-index:25165721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" stroked="f">
                <v:textbox inset="0,0,0,0">
                  <w:txbxContent>
                    <w:p w:rsidR="00411DC2" w:rsidRDefault="00411DC2">
                      <w:pPr>
                        <w:pStyle w:val="afffb"/>
                        <w:rPr>
                          <w:rFonts w:hAnsi="黑体" w:cs="黑体"/>
                          <w:sz w:val="44"/>
                          <w:szCs w:val="44"/>
                        </w:rPr>
                      </w:pPr>
                      <w:bookmarkStart w:id="3" w:name="_Hlk23687263"/>
                      <w:r>
                        <w:rPr>
                          <w:rFonts w:hAnsi="黑体" w:cs="黑体" w:hint="eastAsia"/>
                          <w:sz w:val="44"/>
                          <w:szCs w:val="44"/>
                        </w:rPr>
                        <w:t xml:space="preserve"> JJF（有色金属）xxxx—xxxx</w:t>
                      </w:r>
                    </w:p>
                    <w:bookmarkEnd w:id="3"/>
                    <w:p w:rsidR="00C74160" w:rsidRDefault="00C74160">
                      <w:pPr>
                        <w:jc w:val="center"/>
                        <w:rPr>
                          <w:rFonts w:ascii="黑体" w:eastAsia="黑体" w:hAnsi="黑体" w:cs="黑体"/>
                          <w:kern w:val="0"/>
                          <w:sz w:val="44"/>
                          <w:szCs w:val="44"/>
                        </w:rPr>
                      </w:pPr>
                      <w:r w:rsidRPr="00C74160">
                        <w:rPr>
                          <w:rFonts w:ascii="黑体" w:eastAsia="黑体" w:hAnsi="黑体" w:cs="黑体" w:hint="eastAsia"/>
                          <w:kern w:val="0"/>
                          <w:sz w:val="44"/>
                          <w:szCs w:val="44"/>
                        </w:rPr>
                        <w:t>真空退火炉校准规范</w:t>
                      </w:r>
                    </w:p>
                    <w:p w:rsidR="00411DC2" w:rsidRPr="00C74160" w:rsidRDefault="00411DC2">
                      <w:pPr>
                        <w:jc w:val="center"/>
                        <w:rPr>
                          <w:rFonts w:ascii="黑体" w:eastAsia="黑体" w:hAnsi="黑体" w:cs="黑体"/>
                          <w:kern w:val="0"/>
                          <w:sz w:val="44"/>
                          <w:szCs w:val="44"/>
                        </w:rPr>
                      </w:pPr>
                      <w:r w:rsidRPr="00C74160">
                        <w:rPr>
                          <w:rFonts w:ascii="黑体" w:eastAsia="黑体" w:hAnsi="黑体" w:cs="黑体" w:hint="eastAsia"/>
                          <w:kern w:val="0"/>
                          <w:sz w:val="44"/>
                          <w:szCs w:val="44"/>
                        </w:rPr>
                        <w:t>(编制说明)</w:t>
                      </w:r>
                    </w:p>
                  </w:txbxContent>
                </v:textbox>
                <w10:wrap anchorx="margin" anchory="margin"/>
                <w10:anchorlock/>
              </v:rect>
            </w:pict>
          </mc:Fallback>
        </mc:AlternateContent>
      </w:r>
      <w:bookmarkEnd w:id="0"/>
    </w:p>
    <w:p w:rsidR="0004299E" w:rsidRPr="00A4795A" w:rsidRDefault="0004299E">
      <w:pPr>
        <w:pStyle w:val="af8"/>
        <w:numPr>
          <w:ilvl w:val="0"/>
          <w:numId w:val="0"/>
        </w:numPr>
        <w:ind w:left="840" w:hanging="420"/>
        <w:jc w:val="center"/>
        <w:rPr>
          <w:b/>
        </w:rPr>
      </w:pPr>
    </w:p>
    <w:p w:rsidR="0004299E" w:rsidRPr="00A4795A" w:rsidRDefault="0004299E">
      <w:pPr>
        <w:pStyle w:val="afff4"/>
        <w:ind w:firstLine="420"/>
        <w:sectPr w:rsidR="0004299E" w:rsidRPr="00A4795A">
          <w:headerReference w:type="even" r:id="rId10"/>
          <w:headerReference w:type="default" r:id="rId11"/>
          <w:footerReference w:type="even" r:id="rId12"/>
          <w:footerReference w:type="default" r:id="rId13"/>
          <w:pgSz w:w="11907" w:h="16839"/>
          <w:pgMar w:top="1418" w:right="1134" w:bottom="1134" w:left="1418" w:header="1418" w:footer="851" w:gutter="0"/>
          <w:pgNumType w:fmt="upperRoman" w:start="1"/>
          <w:cols w:space="720"/>
          <w:docGrid w:type="linesAndChars" w:linePitch="312"/>
        </w:sectPr>
      </w:pPr>
    </w:p>
    <w:p w:rsidR="0004299E" w:rsidRPr="00A4795A" w:rsidRDefault="00043D6D">
      <w:pPr>
        <w:pStyle w:val="afffa"/>
        <w:numPr>
          <w:ilvl w:val="0"/>
          <w:numId w:val="11"/>
        </w:numPr>
        <w:tabs>
          <w:tab w:val="left" w:pos="426"/>
        </w:tabs>
        <w:spacing w:beforeLines="100" w:before="312" w:afterLines="100" w:after="312"/>
        <w:ind w:hangingChars="200"/>
        <w:jc w:val="left"/>
      </w:pPr>
      <w:bookmarkStart w:id="3" w:name="_Toc464728891"/>
      <w:r w:rsidRPr="00A4795A">
        <w:rPr>
          <w:rFonts w:hint="eastAsia"/>
        </w:rPr>
        <w:lastRenderedPageBreak/>
        <w:t>工作简况</w:t>
      </w:r>
      <w:bookmarkEnd w:id="3"/>
    </w:p>
    <w:p w:rsidR="0004299E" w:rsidRPr="00A4795A" w:rsidRDefault="00043D6D">
      <w:pPr>
        <w:pStyle w:val="af2"/>
        <w:spacing w:before="156" w:after="156" w:line="300" w:lineRule="auto"/>
        <w:contextualSpacing/>
      </w:pPr>
      <w:bookmarkStart w:id="4" w:name="_Toc464728892"/>
      <w:bookmarkStart w:id="5" w:name="_Toc456592524"/>
      <w:r w:rsidRPr="00A4795A">
        <w:rPr>
          <w:rFonts w:hint="eastAsia"/>
        </w:rPr>
        <w:t>立项目的</w:t>
      </w:r>
      <w:bookmarkEnd w:id="4"/>
      <w:bookmarkEnd w:id="5"/>
    </w:p>
    <w:p w:rsidR="00545F22" w:rsidRPr="00A4795A" w:rsidRDefault="00545F22" w:rsidP="00004648">
      <w:pPr>
        <w:spacing w:line="300" w:lineRule="auto"/>
        <w:ind w:firstLineChars="200" w:firstLine="420"/>
        <w:rPr>
          <w:szCs w:val="21"/>
        </w:rPr>
      </w:pPr>
      <w:bookmarkStart w:id="6" w:name="_Toc464728896"/>
      <w:r w:rsidRPr="00A4795A">
        <w:rPr>
          <w:szCs w:val="21"/>
        </w:rPr>
        <w:t>真空退火炉</w:t>
      </w:r>
      <w:r w:rsidRPr="00A4795A">
        <w:rPr>
          <w:rFonts w:hint="eastAsia"/>
          <w:szCs w:val="21"/>
        </w:rPr>
        <w:t>是</w:t>
      </w:r>
      <w:r w:rsidRPr="00A4795A">
        <w:rPr>
          <w:szCs w:val="21"/>
        </w:rPr>
        <w:t>在保护气氛控制下</w:t>
      </w:r>
      <w:r w:rsidRPr="00A4795A">
        <w:rPr>
          <w:rFonts w:hint="eastAsia"/>
          <w:szCs w:val="21"/>
        </w:rPr>
        <w:t>对材料</w:t>
      </w:r>
      <w:r w:rsidRPr="00A4795A">
        <w:rPr>
          <w:szCs w:val="21"/>
        </w:rPr>
        <w:t>进行连续光亮退火、固溶、退磁及不锈钢淬火处理</w:t>
      </w:r>
      <w:r w:rsidRPr="00A4795A">
        <w:rPr>
          <w:rFonts w:hint="eastAsia"/>
          <w:szCs w:val="21"/>
        </w:rPr>
        <w:t>等，</w:t>
      </w:r>
      <w:r w:rsidRPr="00A4795A">
        <w:rPr>
          <w:szCs w:val="21"/>
        </w:rPr>
        <w:t>处理后产品表面光洁、不氧化、不脱碳</w:t>
      </w:r>
      <w:r w:rsidRPr="00A4795A">
        <w:rPr>
          <w:rFonts w:hint="eastAsia"/>
          <w:szCs w:val="21"/>
        </w:rPr>
        <w:t>，</w:t>
      </w:r>
      <w:r w:rsidRPr="00A4795A">
        <w:rPr>
          <w:szCs w:val="21"/>
        </w:rPr>
        <w:t>具有生产效率高、能耗低、污染少、操作使用方便、劳动强度低等优点</w:t>
      </w:r>
      <w:r w:rsidRPr="00A4795A">
        <w:rPr>
          <w:rFonts w:hint="eastAsia"/>
          <w:szCs w:val="21"/>
        </w:rPr>
        <w:t>，近年来广泛</w:t>
      </w:r>
      <w:r w:rsidRPr="00A4795A">
        <w:rPr>
          <w:szCs w:val="21"/>
        </w:rPr>
        <w:t>应用</w:t>
      </w:r>
      <w:r w:rsidRPr="00A4795A">
        <w:rPr>
          <w:rFonts w:hint="eastAsia"/>
          <w:szCs w:val="21"/>
        </w:rPr>
        <w:t>于</w:t>
      </w:r>
      <w:r w:rsidRPr="00A4795A">
        <w:rPr>
          <w:szCs w:val="21"/>
        </w:rPr>
        <w:t>高温合金钢、磁性材料、有色金属和钛合金等材料的退火</w:t>
      </w:r>
      <w:r w:rsidRPr="00A4795A">
        <w:rPr>
          <w:rFonts w:hint="eastAsia"/>
          <w:szCs w:val="21"/>
        </w:rPr>
        <w:t>，但是真空退火炉存在炉腔容量大、加热温区多、各温区间温度扰动大、控温精度要求高、多温区均温性差异大、真空条件下温度计量困难等特点，也对其计量提出了新要求。基于</w:t>
      </w:r>
      <w:r w:rsidRPr="00A4795A">
        <w:rPr>
          <w:szCs w:val="21"/>
        </w:rPr>
        <w:t>真空退火炉</w:t>
      </w:r>
      <w:r w:rsidRPr="00A4795A">
        <w:rPr>
          <w:rFonts w:hint="eastAsia"/>
          <w:szCs w:val="21"/>
        </w:rPr>
        <w:t>的工作原理，在负压和保护气氛下加热，这对炉体密封性、真空度提出了更高</w:t>
      </w:r>
      <w:bookmarkStart w:id="7" w:name="_GoBack"/>
      <w:bookmarkEnd w:id="7"/>
      <w:r w:rsidRPr="00A4795A">
        <w:rPr>
          <w:rFonts w:hint="eastAsia"/>
          <w:szCs w:val="21"/>
        </w:rPr>
        <w:t>的要求，也为炉内温度计量带来了困难和挑战。为了解决不改变真空退火炉现有炉膛结构和运行方式的前提下，对真空退火炉进行</w:t>
      </w:r>
      <w:r w:rsidRPr="00A4795A">
        <w:rPr>
          <w:rFonts w:hint="eastAsia"/>
          <w:szCs w:val="21"/>
        </w:rPr>
        <w:t>300</w:t>
      </w:r>
      <w:r w:rsidRPr="00A4795A">
        <w:rPr>
          <w:rFonts w:hint="eastAsia"/>
          <w:szCs w:val="21"/>
        </w:rPr>
        <w:t>℃</w:t>
      </w:r>
      <w:r w:rsidRPr="00A4795A">
        <w:rPr>
          <w:rFonts w:hint="eastAsia"/>
          <w:szCs w:val="21"/>
        </w:rPr>
        <w:t>~1000</w:t>
      </w:r>
      <w:r w:rsidRPr="00A4795A">
        <w:rPr>
          <w:rFonts w:hint="eastAsia"/>
          <w:szCs w:val="21"/>
        </w:rPr>
        <w:t>℃范围内的温度进行多区位测量的问题，需要设计一种工装，保证传感器和炉体之间密封性良好，真空度、</w:t>
      </w:r>
      <w:r w:rsidRPr="00A4795A">
        <w:rPr>
          <w:szCs w:val="21"/>
        </w:rPr>
        <w:t>电流</w:t>
      </w:r>
      <w:r w:rsidRPr="00A4795A">
        <w:rPr>
          <w:rFonts w:hint="eastAsia"/>
          <w:szCs w:val="21"/>
        </w:rPr>
        <w:t>和</w:t>
      </w:r>
      <w:r w:rsidRPr="00A4795A">
        <w:rPr>
          <w:szCs w:val="21"/>
        </w:rPr>
        <w:t>电压</w:t>
      </w:r>
      <w:r w:rsidRPr="00A4795A">
        <w:rPr>
          <w:rFonts w:hint="eastAsia"/>
          <w:szCs w:val="21"/>
        </w:rPr>
        <w:t>等参数对炉内温度也有一定的影响，现有的检定规程</w:t>
      </w:r>
      <w:r w:rsidRPr="00A4795A">
        <w:rPr>
          <w:rFonts w:hint="eastAsia"/>
          <w:szCs w:val="21"/>
        </w:rPr>
        <w:t>/</w:t>
      </w:r>
      <w:r w:rsidRPr="00A4795A">
        <w:rPr>
          <w:rFonts w:hint="eastAsia"/>
          <w:szCs w:val="21"/>
        </w:rPr>
        <w:t>校准规范已经不能完全满足真空退火炉的校准工作需求，所提出的真空退火炉校准规范旨在其工作原理的基础上，采用温度传感器和数据采集器对真空退火炉全量程温度范围内进行多区位校准。目前，各省市计量技术研究院对真空退火炉的校准工作未开展，或存在不合理不统一的操作。所提出的校准规范望能开展对真空退火炉的校准工作，促进真空退火炉在科研院所及工业产品中更合理更准确的应用。</w:t>
      </w:r>
    </w:p>
    <w:p w:rsidR="0004299E" w:rsidRPr="00A4795A" w:rsidRDefault="00043D6D">
      <w:pPr>
        <w:pStyle w:val="af2"/>
        <w:spacing w:before="156" w:after="156" w:line="300" w:lineRule="auto"/>
        <w:contextualSpacing/>
      </w:pPr>
      <w:r w:rsidRPr="00A4795A">
        <w:rPr>
          <w:rFonts w:hint="eastAsia"/>
        </w:rPr>
        <w:t>任务来源</w:t>
      </w:r>
      <w:bookmarkEnd w:id="6"/>
    </w:p>
    <w:p w:rsidR="0004299E" w:rsidRPr="00A4795A" w:rsidRDefault="00043D6D">
      <w:pPr>
        <w:spacing w:line="300" w:lineRule="auto"/>
        <w:ind w:firstLineChars="200" w:firstLine="420"/>
        <w:contextualSpacing/>
        <w:jc w:val="left"/>
        <w:rPr>
          <w:szCs w:val="21"/>
        </w:rPr>
      </w:pPr>
      <w:r w:rsidRPr="00A4795A">
        <w:rPr>
          <w:rFonts w:hint="eastAsia"/>
          <w:szCs w:val="21"/>
        </w:rPr>
        <w:t>为保证和提升我国</w:t>
      </w:r>
      <w:r w:rsidR="00FD235D" w:rsidRPr="00A4795A">
        <w:rPr>
          <w:rFonts w:hint="eastAsia"/>
          <w:szCs w:val="21"/>
        </w:rPr>
        <w:t>高压釜腐蚀试验</w:t>
      </w:r>
      <w:r w:rsidRPr="00A4795A">
        <w:rPr>
          <w:rFonts w:hint="eastAsia"/>
          <w:szCs w:val="21"/>
        </w:rPr>
        <w:t>数据的准确性，适应我国有色金属行业的快速发展和满足国内外市场的需要，工业和信息化部以工信厅科函</w:t>
      </w:r>
      <w:r w:rsidRPr="00A4795A">
        <w:rPr>
          <w:rFonts w:hint="eastAsia"/>
          <w:szCs w:val="21"/>
        </w:rPr>
        <w:t>[20</w:t>
      </w:r>
      <w:r w:rsidR="00FD235D" w:rsidRPr="00A4795A">
        <w:rPr>
          <w:rFonts w:hint="eastAsia"/>
          <w:szCs w:val="21"/>
        </w:rPr>
        <w:t>20</w:t>
      </w:r>
      <w:r w:rsidRPr="00A4795A">
        <w:rPr>
          <w:rFonts w:hint="eastAsia"/>
          <w:szCs w:val="21"/>
        </w:rPr>
        <w:t>]</w:t>
      </w:r>
      <w:r w:rsidRPr="00A4795A">
        <w:rPr>
          <w:rFonts w:hint="eastAsia"/>
          <w:szCs w:val="21"/>
        </w:rPr>
        <w:t>号文下达了《工业和信息化部办公厅关于印发</w:t>
      </w:r>
      <w:r w:rsidRPr="00A4795A">
        <w:rPr>
          <w:rFonts w:hint="eastAsia"/>
          <w:szCs w:val="21"/>
        </w:rPr>
        <w:t>20</w:t>
      </w:r>
      <w:r w:rsidR="00FD235D" w:rsidRPr="00A4795A">
        <w:rPr>
          <w:rFonts w:hint="eastAsia"/>
          <w:szCs w:val="21"/>
        </w:rPr>
        <w:t>20</w:t>
      </w:r>
      <w:r w:rsidRPr="00A4795A">
        <w:rPr>
          <w:rFonts w:hint="eastAsia"/>
          <w:szCs w:val="21"/>
        </w:rPr>
        <w:t>年行业计量技术规范制修订计划的通知》，其计划项目代号为：</w:t>
      </w:r>
      <w:r w:rsidRPr="00A4795A">
        <w:rPr>
          <w:rFonts w:hint="eastAsia"/>
          <w:szCs w:val="21"/>
        </w:rPr>
        <w:t>JJFZ(</w:t>
      </w:r>
      <w:r w:rsidRPr="00A4795A">
        <w:rPr>
          <w:rFonts w:hint="eastAsia"/>
          <w:szCs w:val="21"/>
        </w:rPr>
        <w:t>有色金属</w:t>
      </w:r>
      <w:r w:rsidRPr="00A4795A">
        <w:rPr>
          <w:rFonts w:hint="eastAsia"/>
          <w:szCs w:val="21"/>
        </w:rPr>
        <w:t>)</w:t>
      </w:r>
      <w:r w:rsidR="00545F22" w:rsidRPr="00A4795A">
        <w:rPr>
          <w:szCs w:val="21"/>
        </w:rPr>
        <w:t>×××</w:t>
      </w:r>
      <w:r w:rsidRPr="00A4795A">
        <w:rPr>
          <w:rFonts w:hint="eastAsia"/>
          <w:szCs w:val="21"/>
        </w:rPr>
        <w:t>-20</w:t>
      </w:r>
      <w:r w:rsidR="00FD235D" w:rsidRPr="00A4795A">
        <w:rPr>
          <w:rFonts w:hint="eastAsia"/>
          <w:szCs w:val="21"/>
        </w:rPr>
        <w:t>20</w:t>
      </w:r>
      <w:r w:rsidRPr="00A4795A">
        <w:rPr>
          <w:rFonts w:hint="eastAsia"/>
          <w:szCs w:val="21"/>
        </w:rPr>
        <w:t>，计划完成年限为</w:t>
      </w:r>
      <w:r w:rsidRPr="00A4795A">
        <w:rPr>
          <w:rFonts w:hint="eastAsia"/>
          <w:szCs w:val="21"/>
        </w:rPr>
        <w:t>202</w:t>
      </w:r>
      <w:r w:rsidR="00FD235D" w:rsidRPr="00A4795A">
        <w:rPr>
          <w:rFonts w:hint="eastAsia"/>
          <w:szCs w:val="21"/>
        </w:rPr>
        <w:t>2</w:t>
      </w:r>
      <w:r w:rsidRPr="00A4795A">
        <w:rPr>
          <w:rFonts w:hint="eastAsia"/>
          <w:szCs w:val="21"/>
        </w:rPr>
        <w:t>年。</w:t>
      </w:r>
    </w:p>
    <w:p w:rsidR="0004299E" w:rsidRPr="00A4795A" w:rsidRDefault="00043D6D">
      <w:pPr>
        <w:pStyle w:val="af2"/>
        <w:spacing w:before="156" w:after="156" w:line="300" w:lineRule="auto"/>
        <w:contextualSpacing/>
      </w:pPr>
      <w:bookmarkStart w:id="8" w:name="_Toc462884342"/>
      <w:bookmarkStart w:id="9" w:name="_Toc464728898"/>
      <w:r w:rsidRPr="00A4795A">
        <w:rPr>
          <w:rFonts w:hint="eastAsia"/>
        </w:rPr>
        <w:t>项目编制组单位简况</w:t>
      </w:r>
      <w:bookmarkEnd w:id="8"/>
      <w:bookmarkEnd w:id="9"/>
      <w:r w:rsidRPr="00A4795A">
        <w:rPr>
          <w:rFonts w:hint="eastAsia"/>
        </w:rPr>
        <w:t xml:space="preserve">      </w:t>
      </w:r>
    </w:p>
    <w:p w:rsidR="0004299E" w:rsidRPr="00A4795A" w:rsidRDefault="00043D6D">
      <w:pPr>
        <w:pStyle w:val="af3"/>
        <w:spacing w:beforeLines="50" w:before="156" w:afterLines="50" w:after="156" w:line="240" w:lineRule="auto"/>
        <w:ind w:left="0"/>
        <w:rPr>
          <w:color w:val="auto"/>
        </w:rPr>
      </w:pPr>
      <w:bookmarkStart w:id="10" w:name="_Toc462884343"/>
      <w:bookmarkStart w:id="11" w:name="_Toc464728899"/>
      <w:r w:rsidRPr="00A4795A">
        <w:rPr>
          <w:rFonts w:hint="eastAsia"/>
          <w:color w:val="auto"/>
        </w:rPr>
        <w:t>编制组成员单位</w:t>
      </w:r>
      <w:bookmarkEnd w:id="10"/>
      <w:bookmarkEnd w:id="11"/>
    </w:p>
    <w:p w:rsidR="0004299E" w:rsidRPr="00A4795A" w:rsidRDefault="00043D6D" w:rsidP="00545F22">
      <w:pPr>
        <w:widowControl/>
        <w:autoSpaceDE w:val="0"/>
        <w:autoSpaceDN w:val="0"/>
        <w:spacing w:line="360" w:lineRule="auto"/>
        <w:ind w:firstLineChars="200" w:firstLine="420"/>
        <w:rPr>
          <w:szCs w:val="21"/>
        </w:rPr>
      </w:pPr>
      <w:bookmarkStart w:id="12" w:name="_Toc462884344"/>
      <w:bookmarkStart w:id="13" w:name="_Toc464728900"/>
      <w:r w:rsidRPr="00A4795A">
        <w:rPr>
          <w:rFonts w:hint="eastAsia"/>
          <w:szCs w:val="21"/>
        </w:rPr>
        <w:t>本</w:t>
      </w:r>
      <w:r w:rsidR="00ED5F91" w:rsidRPr="00A4795A">
        <w:rPr>
          <w:rFonts w:hint="eastAsia"/>
          <w:szCs w:val="21"/>
        </w:rPr>
        <w:t>规范</w:t>
      </w:r>
      <w:r w:rsidRPr="00A4795A">
        <w:rPr>
          <w:rFonts w:hint="eastAsia"/>
          <w:szCs w:val="21"/>
        </w:rPr>
        <w:t>的编制组单位为：西安汉唐分析检测有限公司、</w:t>
      </w:r>
      <w:r w:rsidR="00545F22" w:rsidRPr="00A4795A">
        <w:rPr>
          <w:rFonts w:hint="eastAsia"/>
          <w:szCs w:val="21"/>
        </w:rPr>
        <w:t>陕西有色榆林新材料集团有限责任公司、</w:t>
      </w:r>
      <w:r w:rsidR="00545F22" w:rsidRPr="00A4795A">
        <w:rPr>
          <w:szCs w:val="21"/>
        </w:rPr>
        <w:t>陕西亿创钛锆检测有限公司、</w:t>
      </w:r>
      <w:r w:rsidR="00545F22" w:rsidRPr="00A4795A">
        <w:rPr>
          <w:rFonts w:hint="eastAsia"/>
          <w:szCs w:val="21"/>
        </w:rPr>
        <w:t>陕西天成航空材料有限公司、</w:t>
      </w:r>
      <w:r w:rsidR="00545F22" w:rsidRPr="00A4795A">
        <w:rPr>
          <w:szCs w:val="21"/>
        </w:rPr>
        <w:t>西安交通大学、</w:t>
      </w:r>
      <w:r w:rsidR="00545F22" w:rsidRPr="00A4795A">
        <w:rPr>
          <w:rFonts w:hint="eastAsia"/>
          <w:szCs w:val="21"/>
        </w:rPr>
        <w:t>中钢集团西安重机有限公司</w:t>
      </w:r>
      <w:r w:rsidRPr="00A4795A">
        <w:rPr>
          <w:rFonts w:hint="eastAsia"/>
          <w:szCs w:val="21"/>
        </w:rPr>
        <w:t>。编制组成员单位均是我国有色金属行业的主要计量及科研研制单位。</w:t>
      </w:r>
    </w:p>
    <w:bookmarkEnd w:id="12"/>
    <w:bookmarkEnd w:id="13"/>
    <w:p w:rsidR="0004299E" w:rsidRPr="00A4795A" w:rsidRDefault="00043D6D">
      <w:pPr>
        <w:pStyle w:val="af3"/>
        <w:spacing w:beforeLines="50" w:before="156" w:afterLines="50" w:after="156"/>
        <w:ind w:left="0"/>
        <w:contextualSpacing/>
        <w:rPr>
          <w:rFonts w:hAnsi="黑体"/>
          <w:color w:val="auto"/>
        </w:rPr>
      </w:pPr>
      <w:r w:rsidRPr="00A4795A">
        <w:rPr>
          <w:rFonts w:hAnsi="黑体" w:hint="eastAsia"/>
          <w:color w:val="auto"/>
        </w:rPr>
        <w:t>主编单位简介</w:t>
      </w:r>
    </w:p>
    <w:p w:rsidR="0004299E" w:rsidRPr="00A4795A" w:rsidRDefault="00043D6D">
      <w:pPr>
        <w:pStyle w:val="af4"/>
        <w:spacing w:beforeLines="50" w:before="156" w:afterLines="50" w:after="156"/>
        <w:ind w:left="2"/>
        <w:contextualSpacing/>
        <w:rPr>
          <w:color w:val="auto"/>
        </w:rPr>
      </w:pPr>
      <w:r w:rsidRPr="00A4795A">
        <w:rPr>
          <w:rFonts w:hint="eastAsia"/>
          <w:color w:val="auto"/>
        </w:rPr>
        <w:t>西安汉唐分析检测有限公司</w:t>
      </w:r>
    </w:p>
    <w:p w:rsidR="0004299E" w:rsidRPr="00A4795A" w:rsidRDefault="00043D6D" w:rsidP="00247A7D">
      <w:pPr>
        <w:spacing w:line="360" w:lineRule="auto"/>
        <w:ind w:firstLineChars="200" w:firstLine="420"/>
        <w:rPr>
          <w:szCs w:val="21"/>
        </w:rPr>
      </w:pPr>
      <w:r w:rsidRPr="00A4795A">
        <w:rPr>
          <w:rFonts w:hint="eastAsia"/>
          <w:szCs w:val="21"/>
        </w:rPr>
        <w:t>西安汉唐分析检测有限公司是西北有色金属研究院</w:t>
      </w:r>
      <w:r w:rsidRPr="00A4795A">
        <w:rPr>
          <w:rFonts w:hint="eastAsia"/>
          <w:szCs w:val="21"/>
        </w:rPr>
        <w:t>(</w:t>
      </w:r>
      <w:r w:rsidRPr="00A4795A">
        <w:rPr>
          <w:rFonts w:hint="eastAsia"/>
          <w:szCs w:val="21"/>
        </w:rPr>
        <w:t>集团</w:t>
      </w:r>
      <w:r w:rsidRPr="00A4795A">
        <w:rPr>
          <w:rFonts w:hint="eastAsia"/>
          <w:szCs w:val="21"/>
        </w:rPr>
        <w:t>)</w:t>
      </w:r>
      <w:r w:rsidRPr="00A4795A">
        <w:rPr>
          <w:rFonts w:hint="eastAsia"/>
          <w:szCs w:val="21"/>
        </w:rPr>
        <w:t>控股子公司，属国有企业，主要从事有色产品的检测、可靠性评价、失效分析、质量评估、腐蚀性能及表面测试与表征、</w:t>
      </w:r>
      <w:r w:rsidR="00ED5F91" w:rsidRPr="00A4795A">
        <w:rPr>
          <w:rFonts w:hint="eastAsia"/>
          <w:szCs w:val="21"/>
        </w:rPr>
        <w:t>规范</w:t>
      </w:r>
      <w:r w:rsidRPr="00A4795A">
        <w:rPr>
          <w:rFonts w:hint="eastAsia"/>
          <w:szCs w:val="21"/>
        </w:rPr>
        <w:t>起草、检测方法的开发、标物的研制、设备的计量校准等。</w:t>
      </w:r>
    </w:p>
    <w:p w:rsidR="0004299E" w:rsidRPr="00A4795A" w:rsidRDefault="00043D6D" w:rsidP="00247A7D">
      <w:pPr>
        <w:spacing w:line="360" w:lineRule="auto"/>
        <w:ind w:firstLineChars="200" w:firstLine="420"/>
        <w:rPr>
          <w:szCs w:val="21"/>
        </w:rPr>
      </w:pPr>
      <w:r w:rsidRPr="00A4795A">
        <w:rPr>
          <w:rFonts w:hint="eastAsia"/>
          <w:szCs w:val="21"/>
        </w:rPr>
        <w:t>公司于</w:t>
      </w:r>
      <w:r w:rsidRPr="00A4795A">
        <w:rPr>
          <w:rFonts w:hint="eastAsia"/>
          <w:szCs w:val="21"/>
        </w:rPr>
        <w:t>1985</w:t>
      </w:r>
      <w:r w:rsidRPr="00A4795A">
        <w:rPr>
          <w:rFonts w:hint="eastAsia"/>
          <w:szCs w:val="21"/>
        </w:rPr>
        <w:t>年被陕西省质监局授权为陕西省有色金属产品质量监督检验站。</w:t>
      </w:r>
      <w:r w:rsidRPr="00A4795A">
        <w:rPr>
          <w:rFonts w:hint="eastAsia"/>
          <w:szCs w:val="21"/>
        </w:rPr>
        <w:t>1987</w:t>
      </w:r>
      <w:r w:rsidRPr="00A4795A">
        <w:rPr>
          <w:rFonts w:hint="eastAsia"/>
          <w:szCs w:val="21"/>
        </w:rPr>
        <w:t>年被中国有色金属工业总公司授权为西北质量监督检验中心，先后被国家质检总局确定为钛及钛合金、铜及铜合金管材生产许可证检验工作实施单位；公司通过</w:t>
      </w:r>
      <w:r w:rsidRPr="00A4795A">
        <w:rPr>
          <w:rFonts w:hint="eastAsia"/>
          <w:szCs w:val="21"/>
        </w:rPr>
        <w:t>CNAS</w:t>
      </w:r>
      <w:r w:rsidRPr="00A4795A">
        <w:rPr>
          <w:rFonts w:hint="eastAsia"/>
          <w:szCs w:val="21"/>
        </w:rPr>
        <w:t>、</w:t>
      </w:r>
      <w:r w:rsidRPr="00A4795A">
        <w:rPr>
          <w:rFonts w:hint="eastAsia"/>
          <w:szCs w:val="21"/>
        </w:rPr>
        <w:t>CMA</w:t>
      </w:r>
      <w:r w:rsidRPr="00A4795A">
        <w:rPr>
          <w:rFonts w:hint="eastAsia"/>
          <w:szCs w:val="21"/>
        </w:rPr>
        <w:t>、国防</w:t>
      </w:r>
      <w:r w:rsidRPr="00A4795A">
        <w:rPr>
          <w:rFonts w:hint="eastAsia"/>
          <w:szCs w:val="21"/>
        </w:rPr>
        <w:t>DiLAC</w:t>
      </w:r>
      <w:r w:rsidRPr="00A4795A">
        <w:rPr>
          <w:rFonts w:hint="eastAsia"/>
          <w:szCs w:val="21"/>
        </w:rPr>
        <w:t>等认证认可，是陕西省有色金属材料分析检测与评价中心、陕西省稀有金属材料安全评估和失效分析中心、工业（稀有金属）产品质量和技术评价实验室、陕西省核工业用金属材料检测与评价服务平台挂靠单位。公司是国内最早从事有色金属材料及其产品分析检验检测与评价研究的专业机构之一，技术装备水平国内一流、国际先进，在我省优势产业稀有金属材料领域的检测能力和水平处于领先地位；先后承担了国家、省市多项重大课题，目前已建成国内唯一的核电堆芯材料分析检测平台、多层金属复合材料测试和评价平台、钛及钛合金专业检测平台。</w:t>
      </w:r>
    </w:p>
    <w:p w:rsidR="0004299E" w:rsidRPr="00A4795A" w:rsidRDefault="00043D6D" w:rsidP="00247A7D">
      <w:pPr>
        <w:spacing w:line="360" w:lineRule="auto"/>
        <w:ind w:firstLineChars="200" w:firstLine="420"/>
        <w:rPr>
          <w:szCs w:val="21"/>
        </w:rPr>
      </w:pPr>
      <w:r w:rsidRPr="00A4795A">
        <w:rPr>
          <w:rFonts w:hint="eastAsia"/>
          <w:szCs w:val="21"/>
        </w:rPr>
        <w:t>近</w:t>
      </w:r>
      <w:r w:rsidRPr="00A4795A">
        <w:rPr>
          <w:rFonts w:hint="eastAsia"/>
          <w:szCs w:val="21"/>
        </w:rPr>
        <w:t>10</w:t>
      </w:r>
      <w:r w:rsidRPr="00A4795A">
        <w:rPr>
          <w:rFonts w:hint="eastAsia"/>
          <w:szCs w:val="21"/>
        </w:rPr>
        <w:t>年起草有色金属国家</w:t>
      </w:r>
      <w:r w:rsidRPr="00A4795A">
        <w:rPr>
          <w:rFonts w:hint="eastAsia"/>
          <w:szCs w:val="21"/>
        </w:rPr>
        <w:t>/</w:t>
      </w:r>
      <w:r w:rsidRPr="00A4795A">
        <w:rPr>
          <w:rFonts w:hint="eastAsia"/>
          <w:szCs w:val="21"/>
        </w:rPr>
        <w:t>行业</w:t>
      </w:r>
      <w:r w:rsidR="00ED5F91" w:rsidRPr="00A4795A">
        <w:rPr>
          <w:rFonts w:hint="eastAsia"/>
          <w:szCs w:val="21"/>
        </w:rPr>
        <w:t>规范</w:t>
      </w:r>
      <w:r w:rsidRPr="00A4795A">
        <w:rPr>
          <w:rFonts w:hint="eastAsia"/>
          <w:szCs w:val="21"/>
        </w:rPr>
        <w:t>共</w:t>
      </w:r>
      <w:r w:rsidRPr="00A4795A">
        <w:rPr>
          <w:rFonts w:hint="eastAsia"/>
          <w:szCs w:val="21"/>
        </w:rPr>
        <w:t>80</w:t>
      </w:r>
      <w:r w:rsidRPr="00A4795A">
        <w:rPr>
          <w:rFonts w:hint="eastAsia"/>
          <w:szCs w:val="21"/>
        </w:rPr>
        <w:t>余项、发表论文</w:t>
      </w:r>
      <w:r w:rsidRPr="00A4795A">
        <w:rPr>
          <w:rFonts w:hint="eastAsia"/>
          <w:szCs w:val="21"/>
        </w:rPr>
        <w:t>120</w:t>
      </w:r>
      <w:r w:rsidRPr="00A4795A">
        <w:rPr>
          <w:rFonts w:hint="eastAsia"/>
          <w:szCs w:val="21"/>
        </w:rPr>
        <w:t>余篇、授权专利</w:t>
      </w:r>
      <w:r w:rsidRPr="00A4795A">
        <w:rPr>
          <w:rFonts w:hint="eastAsia"/>
          <w:szCs w:val="21"/>
        </w:rPr>
        <w:t>30</w:t>
      </w:r>
      <w:r w:rsidRPr="00A4795A">
        <w:rPr>
          <w:rFonts w:hint="eastAsia"/>
          <w:szCs w:val="21"/>
        </w:rPr>
        <w:t>余项。先后荣获中国有色金属工业一等奖、二等奖</w:t>
      </w:r>
      <w:r w:rsidRPr="00A4795A">
        <w:rPr>
          <w:rFonts w:hint="eastAsia"/>
          <w:szCs w:val="21"/>
        </w:rPr>
        <w:t>20</w:t>
      </w:r>
      <w:r w:rsidRPr="00A4795A">
        <w:rPr>
          <w:rFonts w:hint="eastAsia"/>
          <w:szCs w:val="21"/>
        </w:rPr>
        <w:t>余次。</w:t>
      </w:r>
    </w:p>
    <w:p w:rsidR="0004299E" w:rsidRPr="00A4795A" w:rsidRDefault="00043D6D" w:rsidP="00247A7D">
      <w:pPr>
        <w:spacing w:line="360" w:lineRule="auto"/>
        <w:ind w:firstLineChars="200" w:firstLine="420"/>
        <w:contextualSpacing/>
        <w:jc w:val="left"/>
        <w:rPr>
          <w:szCs w:val="21"/>
        </w:rPr>
      </w:pPr>
      <w:r w:rsidRPr="00A4795A">
        <w:rPr>
          <w:rFonts w:hint="eastAsia"/>
          <w:szCs w:val="21"/>
        </w:rPr>
        <w:t>本单位积极组织编制组各次工作会议，开展相关的校准，有效组织参编单位多次对</w:t>
      </w:r>
      <w:r w:rsidR="00ED5F91" w:rsidRPr="00A4795A">
        <w:rPr>
          <w:rFonts w:hint="eastAsia"/>
          <w:szCs w:val="21"/>
        </w:rPr>
        <w:t>规范</w:t>
      </w:r>
      <w:r w:rsidRPr="00A4795A">
        <w:rPr>
          <w:rFonts w:hint="eastAsia"/>
          <w:szCs w:val="21"/>
        </w:rPr>
        <w:t>的各版《征求意见稿》进行认真的讨论和审议，提出大量有益的意见和建议，在编制组中发挥了牵头作用。</w:t>
      </w:r>
    </w:p>
    <w:p w:rsidR="006D1B98" w:rsidRPr="00A4795A" w:rsidRDefault="006D1B98" w:rsidP="006D1B98">
      <w:pPr>
        <w:pStyle w:val="af3"/>
        <w:spacing w:beforeLines="50" w:before="156" w:afterLines="50" w:after="156" w:line="240" w:lineRule="auto"/>
        <w:ind w:left="0"/>
        <w:rPr>
          <w:color w:val="auto"/>
        </w:rPr>
      </w:pPr>
      <w:bookmarkStart w:id="14" w:name="_Toc464728901"/>
      <w:bookmarkStart w:id="15" w:name="_Toc462884345"/>
      <w:r w:rsidRPr="00A4795A">
        <w:rPr>
          <w:rFonts w:hint="eastAsia"/>
          <w:color w:val="auto"/>
        </w:rPr>
        <w:t>成员单位简介</w:t>
      </w:r>
      <w:bookmarkEnd w:id="14"/>
      <w:bookmarkEnd w:id="15"/>
    </w:p>
    <w:p w:rsidR="00127F16" w:rsidRPr="00A4795A" w:rsidRDefault="00127F16" w:rsidP="00127F16">
      <w:pPr>
        <w:pStyle w:val="af4"/>
        <w:spacing w:beforeLines="50" w:before="156" w:afterLines="50" w:after="156"/>
        <w:ind w:left="2"/>
        <w:contextualSpacing/>
        <w:rPr>
          <w:color w:val="auto"/>
        </w:rPr>
      </w:pPr>
      <w:bookmarkStart w:id="16" w:name="_Hlk24398210"/>
      <w:r w:rsidRPr="00A4795A">
        <w:rPr>
          <w:rFonts w:hint="eastAsia"/>
          <w:color w:val="auto"/>
        </w:rPr>
        <w:t>陕西有色榆林新材料集团有限责任公司</w:t>
      </w:r>
    </w:p>
    <w:p w:rsidR="00FE28B9" w:rsidRPr="00A4795A" w:rsidRDefault="00FE28B9" w:rsidP="00FE28B9">
      <w:pPr>
        <w:spacing w:line="360" w:lineRule="auto"/>
        <w:ind w:firstLineChars="200" w:firstLine="420"/>
        <w:contextualSpacing/>
        <w:jc w:val="left"/>
        <w:rPr>
          <w:szCs w:val="21"/>
        </w:rPr>
      </w:pPr>
      <w:r w:rsidRPr="00A4795A">
        <w:rPr>
          <w:rFonts w:hint="eastAsia"/>
          <w:szCs w:val="21"/>
        </w:rPr>
        <w:t> </w:t>
      </w:r>
      <w:r w:rsidRPr="00A4795A">
        <w:rPr>
          <w:rFonts w:hint="eastAsia"/>
          <w:szCs w:val="21"/>
        </w:rPr>
        <w:t>陕西有色榆林新材料集团有限责任公司主要经营铝、铝基合金、炭素产品、化工产品（易制毒、危险、监控化学品除外）、多晶硅及原辅材料的生产、销售（涉及国家有专项专营规定的从其规定）；自备电厂经营；有色金属及原料、贵金属、机电产品的销售；进出口贸易（国家限定或禁止公司经营的商品和技术除外）；技术咨询、技术服务；黄金的加工、销售。</w:t>
      </w:r>
    </w:p>
    <w:p w:rsidR="00FE28B9" w:rsidRPr="00A4795A" w:rsidRDefault="00FE28B9" w:rsidP="00FE28B9">
      <w:pPr>
        <w:pStyle w:val="af4"/>
        <w:spacing w:beforeLines="50" w:before="156" w:afterLines="50" w:after="156"/>
        <w:ind w:left="2"/>
        <w:contextualSpacing/>
        <w:rPr>
          <w:color w:val="auto"/>
        </w:rPr>
      </w:pPr>
      <w:bookmarkStart w:id="17" w:name="_Toc462884347"/>
      <w:bookmarkStart w:id="18" w:name="_Toc464728903"/>
      <w:bookmarkStart w:id="19" w:name="_Toc462884357"/>
      <w:bookmarkStart w:id="20" w:name="_Toc464728913"/>
      <w:bookmarkEnd w:id="16"/>
      <w:r w:rsidRPr="00A4795A">
        <w:rPr>
          <w:color w:val="auto"/>
        </w:rPr>
        <w:t>陕西亿创钛锆检测有限公司</w:t>
      </w:r>
    </w:p>
    <w:p w:rsidR="00FE28B9" w:rsidRPr="00A4795A" w:rsidRDefault="0094594C" w:rsidP="0094594C">
      <w:pPr>
        <w:spacing w:line="360" w:lineRule="auto"/>
        <w:ind w:firstLineChars="200" w:firstLine="420"/>
        <w:rPr>
          <w:szCs w:val="21"/>
        </w:rPr>
      </w:pPr>
      <w:r w:rsidRPr="00A4795A">
        <w:rPr>
          <w:szCs w:val="21"/>
        </w:rPr>
        <w:t>陕西亿创钛锆检测有限公司，</w:t>
      </w:r>
      <w:r w:rsidRPr="00A4795A">
        <w:rPr>
          <w:szCs w:val="21"/>
        </w:rPr>
        <w:t>2014</w:t>
      </w:r>
      <w:r w:rsidRPr="00A4795A">
        <w:rPr>
          <w:szCs w:val="21"/>
        </w:rPr>
        <w:t>年</w:t>
      </w:r>
      <w:r w:rsidRPr="00A4795A">
        <w:rPr>
          <w:szCs w:val="21"/>
        </w:rPr>
        <w:t>01</w:t>
      </w:r>
      <w:r w:rsidRPr="00A4795A">
        <w:rPr>
          <w:szCs w:val="21"/>
        </w:rPr>
        <w:t>月</w:t>
      </w:r>
      <w:r w:rsidRPr="00A4795A">
        <w:rPr>
          <w:szCs w:val="21"/>
        </w:rPr>
        <w:t>29</w:t>
      </w:r>
      <w:r w:rsidRPr="00A4795A">
        <w:rPr>
          <w:szCs w:val="21"/>
        </w:rPr>
        <w:t>日成立，经营范围包括许可经营项目：有色金属和黑色金属及其复合材料产品的外观尺寸、化学成分、力学及工艺性能、金相组织、失效分析、无损检测等项目的检测。</w:t>
      </w:r>
      <w:r w:rsidRPr="00A4795A">
        <w:rPr>
          <w:szCs w:val="21"/>
        </w:rPr>
        <w:t>(</w:t>
      </w:r>
      <w:r w:rsidRPr="00A4795A">
        <w:rPr>
          <w:szCs w:val="21"/>
        </w:rPr>
        <w:t>上述经营范围涉及许可经营项目的，凭许可证明文件或批准证书在有效期内经营，未经许可不得经营</w:t>
      </w:r>
      <w:r w:rsidRPr="00A4795A">
        <w:rPr>
          <w:szCs w:val="21"/>
        </w:rPr>
        <w:t>)</w:t>
      </w:r>
      <w:r w:rsidRPr="00A4795A">
        <w:rPr>
          <w:szCs w:val="21"/>
        </w:rPr>
        <w:t>一般经营项目：金属材料标准样品的制作、销售等。</w:t>
      </w:r>
    </w:p>
    <w:p w:rsidR="00A11A21" w:rsidRPr="00A4795A" w:rsidRDefault="0094594C" w:rsidP="00A11A21">
      <w:pPr>
        <w:pStyle w:val="af4"/>
        <w:spacing w:beforeLines="50" w:before="156" w:afterLines="50" w:after="156"/>
        <w:ind w:left="2"/>
        <w:contextualSpacing/>
        <w:rPr>
          <w:color w:val="auto"/>
        </w:rPr>
      </w:pPr>
      <w:r w:rsidRPr="00A4795A">
        <w:rPr>
          <w:rFonts w:hint="eastAsia"/>
          <w:color w:val="auto"/>
        </w:rPr>
        <w:t>陕西天成航空材料有限公司</w:t>
      </w:r>
    </w:p>
    <w:p w:rsidR="0094594C" w:rsidRPr="00A4795A" w:rsidRDefault="0094594C" w:rsidP="0094594C">
      <w:pPr>
        <w:spacing w:line="360" w:lineRule="auto"/>
        <w:ind w:firstLineChars="200" w:firstLine="420"/>
        <w:rPr>
          <w:szCs w:val="21"/>
        </w:rPr>
      </w:pPr>
      <w:r w:rsidRPr="00A4795A">
        <w:rPr>
          <w:szCs w:val="21"/>
        </w:rPr>
        <w:t>陕西天成航空材料股份有限公司是一家专业从事钛合金材料生产、研发的高新技术企业。公司于</w:t>
      </w:r>
      <w:r w:rsidRPr="00A4795A">
        <w:rPr>
          <w:szCs w:val="21"/>
        </w:rPr>
        <w:t>2008</w:t>
      </w:r>
      <w:r w:rsidRPr="00A4795A">
        <w:rPr>
          <w:szCs w:val="21"/>
        </w:rPr>
        <w:t>年投产，经过几年的快速发展，相继取得了武器装备生产制造《三级保密认证》，国际航空材料制造企业</w:t>
      </w:r>
      <w:r w:rsidRPr="00A4795A">
        <w:rPr>
          <w:szCs w:val="21"/>
        </w:rPr>
        <w:t>AS9100D</w:t>
      </w:r>
      <w:r w:rsidRPr="00A4795A">
        <w:rPr>
          <w:szCs w:val="21"/>
        </w:rPr>
        <w:t>、武器装备国军标质量体系及</w:t>
      </w:r>
      <w:r w:rsidRPr="00A4795A">
        <w:rPr>
          <w:szCs w:val="21"/>
        </w:rPr>
        <w:t>OHSAS18001</w:t>
      </w:r>
      <w:r w:rsidRPr="00A4795A">
        <w:rPr>
          <w:szCs w:val="21"/>
        </w:rPr>
        <w:t>、</w:t>
      </w:r>
      <w:r w:rsidRPr="00A4795A">
        <w:rPr>
          <w:szCs w:val="21"/>
        </w:rPr>
        <w:t>ISO14001</w:t>
      </w:r>
      <w:r w:rsidRPr="00A4795A">
        <w:rPr>
          <w:szCs w:val="21"/>
        </w:rPr>
        <w:t>等一系列相关体系认证。</w:t>
      </w:r>
    </w:p>
    <w:p w:rsidR="0094594C" w:rsidRPr="00A4795A" w:rsidRDefault="0094594C" w:rsidP="0094594C">
      <w:pPr>
        <w:spacing w:line="360" w:lineRule="auto"/>
        <w:ind w:firstLineChars="200" w:firstLine="420"/>
        <w:rPr>
          <w:szCs w:val="21"/>
        </w:rPr>
      </w:pPr>
      <w:r w:rsidRPr="00A4795A">
        <w:rPr>
          <w:szCs w:val="21"/>
        </w:rPr>
        <w:t>我们向基础产业提供产品，并渗透到全球市场著名的领域，航空航天、新能源、海洋开发、生物工程和环境保护等，尤其以高品质航空用棒材、锻件为主。</w:t>
      </w:r>
      <w:r w:rsidRPr="00A4795A">
        <w:rPr>
          <w:szCs w:val="21"/>
        </w:rPr>
        <w:t>2012</w:t>
      </w:r>
      <w:r w:rsidRPr="00A4795A">
        <w:rPr>
          <w:szCs w:val="21"/>
        </w:rPr>
        <w:t>年进入军工行业，先后与中国船舶重工、中国兵器、中航工业、航天科工集团等</w:t>
      </w:r>
      <w:r w:rsidRPr="00A4795A">
        <w:rPr>
          <w:szCs w:val="21"/>
        </w:rPr>
        <w:t>20</w:t>
      </w:r>
      <w:r w:rsidRPr="00A4795A">
        <w:rPr>
          <w:szCs w:val="21"/>
        </w:rPr>
        <w:t>多家国家重点军工装备制造企业建立合作关系。并作为唯一的民营企业主研、参研了多个新型航空发动机及新型战机项目。在国际市场远销欧美，并在国际航空市场崭露头角已与波音、空客、古德里奇、安东诺夫等航空巨头建立了合作关系，成为国际航空钛合金领域亚太地区第二家钛合金供应商。</w:t>
      </w:r>
    </w:p>
    <w:p w:rsidR="006510D6" w:rsidRPr="00A4795A" w:rsidRDefault="0094594C" w:rsidP="006510D6">
      <w:pPr>
        <w:pStyle w:val="af4"/>
        <w:spacing w:beforeLines="50" w:before="156" w:afterLines="50" w:after="156"/>
        <w:ind w:left="2"/>
        <w:contextualSpacing/>
        <w:rPr>
          <w:color w:val="auto"/>
        </w:rPr>
      </w:pPr>
      <w:r w:rsidRPr="00A4795A">
        <w:rPr>
          <w:rFonts w:hint="eastAsia"/>
          <w:color w:val="auto"/>
        </w:rPr>
        <w:t>西安交通大学</w:t>
      </w:r>
    </w:p>
    <w:p w:rsidR="0094594C" w:rsidRPr="00A4795A" w:rsidRDefault="0094594C" w:rsidP="0094594C">
      <w:pPr>
        <w:spacing w:line="360" w:lineRule="auto"/>
        <w:ind w:firstLineChars="200" w:firstLine="420"/>
        <w:rPr>
          <w:szCs w:val="21"/>
        </w:rPr>
      </w:pPr>
      <w:r w:rsidRPr="00A4795A">
        <w:rPr>
          <w:szCs w:val="21"/>
        </w:rPr>
        <w:t>西安交通大学（</w:t>
      </w:r>
      <w:r w:rsidRPr="00A4795A">
        <w:rPr>
          <w:szCs w:val="21"/>
        </w:rPr>
        <w:t>Xi’an Jiaotong University</w:t>
      </w:r>
      <w:r w:rsidRPr="00A4795A">
        <w:rPr>
          <w:szCs w:val="21"/>
        </w:rPr>
        <w:t>）简称</w:t>
      </w:r>
      <w:r w:rsidRPr="00A4795A">
        <w:rPr>
          <w:szCs w:val="21"/>
        </w:rPr>
        <w:t>“</w:t>
      </w:r>
      <w:r w:rsidRPr="00A4795A">
        <w:rPr>
          <w:szCs w:val="21"/>
        </w:rPr>
        <w:t>西安交大</w:t>
      </w:r>
      <w:r w:rsidRPr="00A4795A">
        <w:rPr>
          <w:szCs w:val="21"/>
        </w:rPr>
        <w:t>”</w:t>
      </w:r>
      <w:r w:rsidRPr="00A4795A">
        <w:rPr>
          <w:szCs w:val="21"/>
        </w:rPr>
        <w:t>，是中华人民共和国教育部直属的综合性研究型全国重点大学，由</w:t>
      </w:r>
      <w:hyperlink r:id="rId14" w:tgtFrame="_blank" w:history="1">
        <w:r w:rsidRPr="00A4795A">
          <w:rPr>
            <w:szCs w:val="21"/>
          </w:rPr>
          <w:t>教育部</w:t>
        </w:r>
      </w:hyperlink>
      <w:r w:rsidRPr="00A4795A">
        <w:rPr>
          <w:szCs w:val="21"/>
        </w:rPr>
        <w:t>与国家国防科技工业局共建，位列世界一流大学建设高校</w:t>
      </w:r>
      <w:r w:rsidRPr="00A4795A">
        <w:rPr>
          <w:szCs w:val="21"/>
        </w:rPr>
        <w:t>A</w:t>
      </w:r>
      <w:r w:rsidRPr="00A4795A">
        <w:rPr>
          <w:szCs w:val="21"/>
        </w:rPr>
        <w:t>类、国家</w:t>
      </w:r>
      <w:r w:rsidRPr="00A4795A">
        <w:rPr>
          <w:szCs w:val="21"/>
        </w:rPr>
        <w:t>“</w:t>
      </w:r>
      <w:r w:rsidRPr="00A4795A">
        <w:rPr>
          <w:szCs w:val="21"/>
        </w:rPr>
        <w:t>七五</w:t>
      </w:r>
      <w:r w:rsidRPr="00A4795A">
        <w:rPr>
          <w:szCs w:val="21"/>
        </w:rPr>
        <w:t>”“</w:t>
      </w:r>
      <w:r w:rsidRPr="00A4795A">
        <w:rPr>
          <w:szCs w:val="21"/>
        </w:rPr>
        <w:t>八五</w:t>
      </w:r>
      <w:r w:rsidRPr="00A4795A">
        <w:rPr>
          <w:szCs w:val="21"/>
        </w:rPr>
        <w:t>”</w:t>
      </w:r>
      <w:r w:rsidRPr="00A4795A">
        <w:rPr>
          <w:szCs w:val="21"/>
        </w:rPr>
        <w:t>重点建设高校、国家</w:t>
      </w:r>
      <w:r w:rsidRPr="00A4795A">
        <w:rPr>
          <w:szCs w:val="21"/>
        </w:rPr>
        <w:t>“</w:t>
      </w:r>
      <w:hyperlink r:id="rId15" w:tgtFrame="_blank" w:history="1">
        <w:r w:rsidRPr="00A4795A">
          <w:rPr>
            <w:szCs w:val="21"/>
          </w:rPr>
          <w:t>211</w:t>
        </w:r>
        <w:r w:rsidRPr="00A4795A">
          <w:rPr>
            <w:szCs w:val="21"/>
          </w:rPr>
          <w:t>工程</w:t>
        </w:r>
      </w:hyperlink>
      <w:r w:rsidRPr="00A4795A">
        <w:rPr>
          <w:szCs w:val="21"/>
        </w:rPr>
        <w:t>”</w:t>
      </w:r>
      <w:r w:rsidRPr="00A4795A">
        <w:rPr>
          <w:szCs w:val="21"/>
        </w:rPr>
        <w:t>和</w:t>
      </w:r>
      <w:r w:rsidRPr="00A4795A">
        <w:rPr>
          <w:szCs w:val="21"/>
        </w:rPr>
        <w:t>“985</w:t>
      </w:r>
      <w:r w:rsidRPr="00A4795A">
        <w:rPr>
          <w:szCs w:val="21"/>
        </w:rPr>
        <w:t>工程</w:t>
      </w:r>
      <w:r w:rsidRPr="00A4795A">
        <w:rPr>
          <w:szCs w:val="21"/>
        </w:rPr>
        <w:t>”</w:t>
      </w:r>
      <w:r w:rsidRPr="00A4795A">
        <w:rPr>
          <w:szCs w:val="21"/>
        </w:rPr>
        <w:t>首批重点建设高校，入选国家</w:t>
      </w:r>
      <w:r w:rsidRPr="00A4795A">
        <w:rPr>
          <w:szCs w:val="21"/>
        </w:rPr>
        <w:t>“</w:t>
      </w:r>
      <w:r w:rsidRPr="00A4795A">
        <w:rPr>
          <w:szCs w:val="21"/>
        </w:rPr>
        <w:t>珠峰计划</w:t>
      </w:r>
      <w:r w:rsidRPr="00A4795A">
        <w:rPr>
          <w:szCs w:val="21"/>
        </w:rPr>
        <w:t>”</w:t>
      </w:r>
      <w:r w:rsidRPr="00A4795A">
        <w:rPr>
          <w:szCs w:val="21"/>
        </w:rPr>
        <w:t>、</w:t>
      </w:r>
      <w:r w:rsidRPr="00A4795A">
        <w:rPr>
          <w:szCs w:val="21"/>
        </w:rPr>
        <w:t>“</w:t>
      </w:r>
      <w:r w:rsidRPr="00A4795A">
        <w:rPr>
          <w:szCs w:val="21"/>
        </w:rPr>
        <w:t>强基计划</w:t>
      </w:r>
      <w:r w:rsidRPr="00A4795A">
        <w:rPr>
          <w:szCs w:val="21"/>
        </w:rPr>
        <w:t>”</w:t>
      </w:r>
      <w:r w:rsidRPr="00A4795A">
        <w:rPr>
          <w:szCs w:val="21"/>
        </w:rPr>
        <w:t>、</w:t>
      </w:r>
      <w:r w:rsidRPr="00A4795A">
        <w:rPr>
          <w:szCs w:val="21"/>
        </w:rPr>
        <w:t>“</w:t>
      </w:r>
      <w:hyperlink r:id="rId16" w:tgtFrame="_blank" w:history="1">
        <w:r w:rsidRPr="00A4795A">
          <w:rPr>
            <w:szCs w:val="21"/>
          </w:rPr>
          <w:t>2011</w:t>
        </w:r>
        <w:r w:rsidRPr="00A4795A">
          <w:rPr>
            <w:szCs w:val="21"/>
          </w:rPr>
          <w:t>计划</w:t>
        </w:r>
      </w:hyperlink>
      <w:r w:rsidRPr="00A4795A">
        <w:rPr>
          <w:szCs w:val="21"/>
        </w:rPr>
        <w:t>”</w:t>
      </w:r>
      <w:r w:rsidRPr="00A4795A">
        <w:rPr>
          <w:szCs w:val="21"/>
        </w:rPr>
        <w:t>、</w:t>
      </w:r>
      <w:r w:rsidRPr="00A4795A">
        <w:rPr>
          <w:szCs w:val="21"/>
        </w:rPr>
        <w:t>“111</w:t>
      </w:r>
      <w:r w:rsidRPr="00A4795A">
        <w:rPr>
          <w:szCs w:val="21"/>
        </w:rPr>
        <w:t>计划</w:t>
      </w:r>
      <w:r w:rsidRPr="00A4795A">
        <w:rPr>
          <w:szCs w:val="21"/>
        </w:rPr>
        <w:t>”</w:t>
      </w:r>
      <w:r w:rsidRPr="00A4795A">
        <w:rPr>
          <w:szCs w:val="21"/>
        </w:rPr>
        <w:t>、卓越工程师教育培养计划、</w:t>
      </w:r>
      <w:hyperlink r:id="rId17" w:tgtFrame="_blank" w:history="1">
        <w:r w:rsidRPr="00A4795A">
          <w:rPr>
            <w:szCs w:val="21"/>
          </w:rPr>
          <w:t>卓越医生教育培养计划</w:t>
        </w:r>
      </w:hyperlink>
      <w:r w:rsidRPr="00A4795A">
        <w:rPr>
          <w:szCs w:val="21"/>
        </w:rPr>
        <w:t>、</w:t>
      </w:r>
      <w:hyperlink r:id="rId18" w:tgtFrame="_blank" w:history="1">
        <w:r w:rsidRPr="00A4795A">
          <w:rPr>
            <w:szCs w:val="21"/>
          </w:rPr>
          <w:t>卓越法律人才教育培养计划</w:t>
        </w:r>
      </w:hyperlink>
      <w:r w:rsidRPr="00A4795A">
        <w:rPr>
          <w:szCs w:val="21"/>
        </w:rPr>
        <w:t>，环太平洋大学联盟、</w:t>
      </w:r>
      <w:r w:rsidRPr="00A4795A">
        <w:rPr>
          <w:szCs w:val="21"/>
        </w:rPr>
        <w:t>C9</w:t>
      </w:r>
      <w:r w:rsidRPr="00A4795A">
        <w:rPr>
          <w:szCs w:val="21"/>
        </w:rPr>
        <w:t>联盟、中国大学校长联谊会、全球能源互联网大学联盟、中俄交通大学联盟、</w:t>
      </w:r>
      <w:r w:rsidRPr="00A4795A">
        <w:rPr>
          <w:szCs w:val="21"/>
        </w:rPr>
        <w:t>CDIO</w:t>
      </w:r>
      <w:r w:rsidRPr="00A4795A">
        <w:rPr>
          <w:szCs w:val="21"/>
        </w:rPr>
        <w:t>工程教育联盟、丝绸之路大学联盟成员高校，中国人工智能教育联席会理事长单位，学位授权自主审核单位，中国三所开设少年班高校之一。</w:t>
      </w:r>
      <w:r w:rsidRPr="00A4795A">
        <w:rPr>
          <w:szCs w:val="21"/>
        </w:rPr>
        <w:t> </w:t>
      </w:r>
    </w:p>
    <w:p w:rsidR="0094594C" w:rsidRPr="00A4795A" w:rsidRDefault="0094594C" w:rsidP="0094594C">
      <w:pPr>
        <w:spacing w:line="360" w:lineRule="auto"/>
        <w:ind w:firstLineChars="200" w:firstLine="420"/>
        <w:rPr>
          <w:szCs w:val="21"/>
        </w:rPr>
      </w:pPr>
      <w:r w:rsidRPr="00A4795A">
        <w:rPr>
          <w:szCs w:val="21"/>
        </w:rPr>
        <w:t>1896</w:t>
      </w:r>
      <w:r w:rsidRPr="00A4795A">
        <w:rPr>
          <w:szCs w:val="21"/>
        </w:rPr>
        <w:t>年在上海创建了南洋公学；</w:t>
      </w:r>
      <w:r w:rsidRPr="00A4795A">
        <w:rPr>
          <w:szCs w:val="21"/>
        </w:rPr>
        <w:t>1921</w:t>
      </w:r>
      <w:r w:rsidRPr="00A4795A">
        <w:rPr>
          <w:szCs w:val="21"/>
        </w:rPr>
        <w:t>年定名为交通大学；</w:t>
      </w:r>
      <w:r w:rsidRPr="00A4795A">
        <w:rPr>
          <w:szCs w:val="21"/>
        </w:rPr>
        <w:t>1956</w:t>
      </w:r>
      <w:r w:rsidRPr="00A4795A">
        <w:rPr>
          <w:szCs w:val="21"/>
        </w:rPr>
        <w:t>年交通大学的主体内迁西安；</w:t>
      </w:r>
      <w:r w:rsidRPr="00A4795A">
        <w:rPr>
          <w:szCs w:val="21"/>
        </w:rPr>
        <w:t>1957</w:t>
      </w:r>
      <w:r w:rsidRPr="00A4795A">
        <w:rPr>
          <w:szCs w:val="21"/>
        </w:rPr>
        <w:t>年分设为交通大学西安、</w:t>
      </w:r>
      <w:hyperlink r:id="rId19" w:tgtFrame="_blank" w:history="1">
        <w:r w:rsidRPr="00A4795A">
          <w:rPr>
            <w:szCs w:val="21"/>
          </w:rPr>
          <w:t>上海</w:t>
        </w:r>
      </w:hyperlink>
      <w:r w:rsidRPr="00A4795A">
        <w:rPr>
          <w:szCs w:val="21"/>
        </w:rPr>
        <w:t>两个部分，实行统一领导；</w:t>
      </w:r>
      <w:r w:rsidRPr="00A4795A">
        <w:rPr>
          <w:szCs w:val="21"/>
        </w:rPr>
        <w:t>1959</w:t>
      </w:r>
      <w:r w:rsidRPr="00A4795A">
        <w:rPr>
          <w:szCs w:val="21"/>
        </w:rPr>
        <w:t>年，交通大学西安部分定名为西安交通大学；</w:t>
      </w:r>
      <w:r w:rsidRPr="00A4795A">
        <w:rPr>
          <w:szCs w:val="21"/>
        </w:rPr>
        <w:t>2000</w:t>
      </w:r>
      <w:r w:rsidRPr="00A4795A">
        <w:rPr>
          <w:szCs w:val="21"/>
        </w:rPr>
        <w:t>年国务院决定将西安交通大学、西安医科大学、陕西财经学院三校合并，组成新的西安交通大学。</w:t>
      </w:r>
    </w:p>
    <w:p w:rsidR="0094594C" w:rsidRPr="00A4795A" w:rsidRDefault="0094594C" w:rsidP="0094594C">
      <w:pPr>
        <w:spacing w:line="360" w:lineRule="auto"/>
        <w:ind w:firstLineChars="200" w:firstLine="420"/>
        <w:rPr>
          <w:szCs w:val="21"/>
        </w:rPr>
      </w:pPr>
      <w:r w:rsidRPr="00A4795A">
        <w:rPr>
          <w:szCs w:val="21"/>
        </w:rPr>
        <w:t>截至</w:t>
      </w:r>
      <w:r w:rsidRPr="00A4795A">
        <w:rPr>
          <w:szCs w:val="21"/>
        </w:rPr>
        <w:t>2021</w:t>
      </w:r>
      <w:r w:rsidRPr="00A4795A">
        <w:rPr>
          <w:szCs w:val="21"/>
        </w:rPr>
        <w:t>年</w:t>
      </w:r>
      <w:r w:rsidRPr="00A4795A">
        <w:rPr>
          <w:szCs w:val="21"/>
        </w:rPr>
        <w:t>3</w:t>
      </w:r>
      <w:r w:rsidRPr="00A4795A">
        <w:rPr>
          <w:szCs w:val="21"/>
        </w:rPr>
        <w:t>月，学校兴庆、雁塔、曲江、中国西部科技创新港四个校区占地约</w:t>
      </w:r>
      <w:r w:rsidRPr="00A4795A">
        <w:rPr>
          <w:szCs w:val="21"/>
        </w:rPr>
        <w:t>8000</w:t>
      </w:r>
      <w:r w:rsidRPr="00A4795A">
        <w:rPr>
          <w:szCs w:val="21"/>
        </w:rPr>
        <w:t>亩，下设</w:t>
      </w:r>
      <w:r w:rsidRPr="00A4795A">
        <w:rPr>
          <w:szCs w:val="21"/>
        </w:rPr>
        <w:t>27</w:t>
      </w:r>
      <w:r w:rsidRPr="00A4795A">
        <w:rPr>
          <w:szCs w:val="21"/>
        </w:rPr>
        <w:t>个学院（部、中心）、</w:t>
      </w:r>
      <w:r w:rsidRPr="00A4795A">
        <w:rPr>
          <w:szCs w:val="21"/>
        </w:rPr>
        <w:t>9</w:t>
      </w:r>
      <w:r w:rsidRPr="00A4795A">
        <w:rPr>
          <w:szCs w:val="21"/>
        </w:rPr>
        <w:t>个本科书院，开设</w:t>
      </w:r>
      <w:r w:rsidRPr="00A4795A">
        <w:rPr>
          <w:szCs w:val="21"/>
        </w:rPr>
        <w:t>90</w:t>
      </w:r>
      <w:r w:rsidRPr="00A4795A">
        <w:rPr>
          <w:szCs w:val="21"/>
        </w:rPr>
        <w:t>个本科专业；拥有博士后流动站</w:t>
      </w:r>
      <w:r w:rsidRPr="00A4795A">
        <w:rPr>
          <w:szCs w:val="21"/>
        </w:rPr>
        <w:t>30</w:t>
      </w:r>
      <w:r w:rsidRPr="00A4795A">
        <w:rPr>
          <w:szCs w:val="21"/>
        </w:rPr>
        <w:t>个，一级学科博士点</w:t>
      </w:r>
      <w:r w:rsidRPr="00A4795A">
        <w:rPr>
          <w:szCs w:val="21"/>
        </w:rPr>
        <w:t>32</w:t>
      </w:r>
      <w:r w:rsidRPr="00A4795A">
        <w:rPr>
          <w:szCs w:val="21"/>
        </w:rPr>
        <w:t>个，专业学位博士点</w:t>
      </w:r>
      <w:r w:rsidRPr="00A4795A">
        <w:rPr>
          <w:szCs w:val="21"/>
        </w:rPr>
        <w:t>5</w:t>
      </w:r>
      <w:r w:rsidRPr="00A4795A">
        <w:rPr>
          <w:szCs w:val="21"/>
        </w:rPr>
        <w:t>个，一级学科硕士点</w:t>
      </w:r>
      <w:r w:rsidRPr="00A4795A">
        <w:rPr>
          <w:szCs w:val="21"/>
        </w:rPr>
        <w:t>41</w:t>
      </w:r>
      <w:r w:rsidRPr="00A4795A">
        <w:rPr>
          <w:szCs w:val="21"/>
        </w:rPr>
        <w:t>个，专业学位硕士点</w:t>
      </w:r>
      <w:r w:rsidRPr="00A4795A">
        <w:rPr>
          <w:szCs w:val="21"/>
        </w:rPr>
        <w:t>27</w:t>
      </w:r>
      <w:r w:rsidRPr="00A4795A">
        <w:rPr>
          <w:szCs w:val="21"/>
        </w:rPr>
        <w:t>个。</w:t>
      </w:r>
    </w:p>
    <w:p w:rsidR="006510D6" w:rsidRPr="00A4795A" w:rsidRDefault="0094594C" w:rsidP="006510D6">
      <w:pPr>
        <w:pStyle w:val="af4"/>
        <w:spacing w:beforeLines="50" w:before="156" w:afterLines="50" w:after="156"/>
        <w:ind w:left="2"/>
        <w:contextualSpacing/>
        <w:rPr>
          <w:color w:val="auto"/>
        </w:rPr>
      </w:pPr>
      <w:r w:rsidRPr="00A4795A">
        <w:rPr>
          <w:rFonts w:hint="eastAsia"/>
          <w:color w:val="auto"/>
        </w:rPr>
        <w:t>中钢集团西安重机有限公司</w:t>
      </w:r>
    </w:p>
    <w:p w:rsidR="0094594C" w:rsidRPr="00A4795A" w:rsidRDefault="0094594C" w:rsidP="0094594C">
      <w:pPr>
        <w:spacing w:line="360" w:lineRule="auto"/>
        <w:ind w:firstLineChars="200" w:firstLine="420"/>
        <w:rPr>
          <w:szCs w:val="21"/>
        </w:rPr>
      </w:pPr>
      <w:r w:rsidRPr="00A4795A">
        <w:rPr>
          <w:rFonts w:hint="eastAsia"/>
          <w:szCs w:val="21"/>
        </w:rPr>
        <w:t>中钢集团西安重机有限公司（简称中钢西重）前身为冶金工业部西安冶金机械厂，始建于</w:t>
      </w:r>
      <w:r w:rsidRPr="00A4795A">
        <w:rPr>
          <w:rFonts w:hint="eastAsia"/>
          <w:szCs w:val="21"/>
        </w:rPr>
        <w:t>1958</w:t>
      </w:r>
      <w:r w:rsidRPr="00A4795A">
        <w:rPr>
          <w:rFonts w:hint="eastAsia"/>
          <w:szCs w:val="21"/>
        </w:rPr>
        <w:t>年，</w:t>
      </w:r>
      <w:r w:rsidRPr="00A4795A">
        <w:rPr>
          <w:rFonts w:hint="eastAsia"/>
          <w:szCs w:val="21"/>
        </w:rPr>
        <w:t>2001</w:t>
      </w:r>
      <w:r w:rsidRPr="00A4795A">
        <w:rPr>
          <w:rFonts w:hint="eastAsia"/>
          <w:szCs w:val="21"/>
        </w:rPr>
        <w:t>年实施“债转股”改制成立西安冶金机械有限公司，</w:t>
      </w:r>
      <w:r w:rsidRPr="00A4795A">
        <w:rPr>
          <w:rFonts w:hint="eastAsia"/>
          <w:szCs w:val="21"/>
        </w:rPr>
        <w:t>2005</w:t>
      </w:r>
      <w:r w:rsidRPr="00A4795A">
        <w:rPr>
          <w:rFonts w:hint="eastAsia"/>
          <w:szCs w:val="21"/>
        </w:rPr>
        <w:t>年加入中国中钢集团公司。</w:t>
      </w:r>
    </w:p>
    <w:p w:rsidR="0094594C" w:rsidRPr="00A4795A" w:rsidRDefault="0094594C" w:rsidP="0094594C">
      <w:pPr>
        <w:spacing w:line="360" w:lineRule="auto"/>
        <w:ind w:firstLineChars="200" w:firstLine="420"/>
        <w:rPr>
          <w:szCs w:val="21"/>
        </w:rPr>
      </w:pPr>
      <w:r w:rsidRPr="00A4795A">
        <w:rPr>
          <w:rFonts w:hint="eastAsia"/>
          <w:szCs w:val="21"/>
        </w:rPr>
        <w:t>公司属国家大型一类企业，主要从事冶金成套设备、矿山机械及其它大型机械设备的设计和制造。位于西安市经济技术开发区泾渭工业园中钢大道。生产基地总占地面积</w:t>
      </w:r>
      <w:r w:rsidRPr="00A4795A">
        <w:rPr>
          <w:rFonts w:hint="eastAsia"/>
          <w:szCs w:val="21"/>
        </w:rPr>
        <w:t>1100</w:t>
      </w:r>
      <w:r w:rsidRPr="00A4795A">
        <w:rPr>
          <w:rFonts w:hint="eastAsia"/>
          <w:szCs w:val="21"/>
        </w:rPr>
        <w:t>亩，厂房建筑面积</w:t>
      </w:r>
      <w:r w:rsidRPr="00A4795A">
        <w:rPr>
          <w:rFonts w:hint="eastAsia"/>
          <w:szCs w:val="21"/>
        </w:rPr>
        <w:t>26</w:t>
      </w:r>
      <w:r w:rsidRPr="00A4795A">
        <w:rPr>
          <w:rFonts w:hint="eastAsia"/>
          <w:szCs w:val="21"/>
        </w:rPr>
        <w:t>万平方米。公司下设</w:t>
      </w:r>
      <w:r w:rsidRPr="00A4795A">
        <w:rPr>
          <w:rFonts w:hint="eastAsia"/>
          <w:szCs w:val="21"/>
        </w:rPr>
        <w:t>7</w:t>
      </w:r>
      <w:r w:rsidRPr="00A4795A">
        <w:rPr>
          <w:rFonts w:hint="eastAsia"/>
          <w:szCs w:val="21"/>
        </w:rPr>
        <w:t>个管理部室、</w:t>
      </w:r>
      <w:r w:rsidRPr="00A4795A">
        <w:rPr>
          <w:rFonts w:hint="eastAsia"/>
          <w:szCs w:val="21"/>
        </w:rPr>
        <w:t>6</w:t>
      </w:r>
      <w:r w:rsidRPr="00A4795A">
        <w:rPr>
          <w:rFonts w:hint="eastAsia"/>
          <w:szCs w:val="21"/>
        </w:rPr>
        <w:t>个生产经营性分公司和</w:t>
      </w:r>
      <w:r w:rsidRPr="00A4795A">
        <w:rPr>
          <w:rFonts w:hint="eastAsia"/>
          <w:szCs w:val="21"/>
        </w:rPr>
        <w:t>1</w:t>
      </w:r>
      <w:r w:rsidRPr="00A4795A">
        <w:rPr>
          <w:rFonts w:hint="eastAsia"/>
          <w:szCs w:val="21"/>
        </w:rPr>
        <w:t>个进出口业务部门、</w:t>
      </w:r>
      <w:r w:rsidRPr="00A4795A">
        <w:rPr>
          <w:rFonts w:hint="eastAsia"/>
          <w:szCs w:val="21"/>
        </w:rPr>
        <w:t>5</w:t>
      </w:r>
      <w:r w:rsidRPr="00A4795A">
        <w:rPr>
          <w:rFonts w:hint="eastAsia"/>
          <w:szCs w:val="21"/>
        </w:rPr>
        <w:t>个生产服务单位。</w:t>
      </w:r>
    </w:p>
    <w:p w:rsidR="0094594C" w:rsidRPr="00A4795A" w:rsidRDefault="0094594C" w:rsidP="0094594C">
      <w:pPr>
        <w:spacing w:line="360" w:lineRule="auto"/>
        <w:ind w:firstLineChars="200" w:firstLine="420"/>
        <w:rPr>
          <w:szCs w:val="21"/>
        </w:rPr>
      </w:pPr>
      <w:r w:rsidRPr="00A4795A">
        <w:rPr>
          <w:rFonts w:hint="eastAsia"/>
          <w:szCs w:val="21"/>
        </w:rPr>
        <w:t>公司配备主要生产设备</w:t>
      </w:r>
      <w:r w:rsidRPr="00A4795A">
        <w:rPr>
          <w:rFonts w:hint="eastAsia"/>
          <w:szCs w:val="21"/>
        </w:rPr>
        <w:t>1300</w:t>
      </w:r>
      <w:r w:rsidRPr="00A4795A">
        <w:rPr>
          <w:rFonts w:hint="eastAsia"/>
          <w:szCs w:val="21"/>
        </w:rPr>
        <w:t>余台（套），大型及数控机床</w:t>
      </w:r>
      <w:r w:rsidRPr="00A4795A">
        <w:rPr>
          <w:rFonts w:hint="eastAsia"/>
          <w:szCs w:val="21"/>
        </w:rPr>
        <w:t>480</w:t>
      </w:r>
      <w:r w:rsidRPr="00A4795A">
        <w:rPr>
          <w:rFonts w:hint="eastAsia"/>
          <w:szCs w:val="21"/>
        </w:rPr>
        <w:t>多台，可生产最大铸钢件</w:t>
      </w:r>
      <w:r w:rsidRPr="00A4795A">
        <w:rPr>
          <w:rFonts w:hint="eastAsia"/>
          <w:szCs w:val="21"/>
        </w:rPr>
        <w:t>100</w:t>
      </w:r>
      <w:r w:rsidRPr="00A4795A">
        <w:rPr>
          <w:rFonts w:hint="eastAsia"/>
          <w:szCs w:val="21"/>
        </w:rPr>
        <w:t>吨，铁铸件</w:t>
      </w:r>
      <w:r w:rsidRPr="00A4795A">
        <w:rPr>
          <w:rFonts w:hint="eastAsia"/>
          <w:szCs w:val="21"/>
        </w:rPr>
        <w:t>60</w:t>
      </w:r>
      <w:r w:rsidRPr="00A4795A">
        <w:rPr>
          <w:rFonts w:hint="eastAsia"/>
          <w:szCs w:val="21"/>
        </w:rPr>
        <w:t>吨，最大锻件</w:t>
      </w:r>
      <w:r w:rsidRPr="00A4795A">
        <w:rPr>
          <w:rFonts w:hint="eastAsia"/>
          <w:szCs w:val="21"/>
        </w:rPr>
        <w:t>30</w:t>
      </w:r>
      <w:r w:rsidRPr="00A4795A">
        <w:rPr>
          <w:rFonts w:hint="eastAsia"/>
          <w:szCs w:val="21"/>
        </w:rPr>
        <w:t>吨，最大起重能力</w:t>
      </w:r>
      <w:r w:rsidRPr="00A4795A">
        <w:rPr>
          <w:rFonts w:hint="eastAsia"/>
          <w:szCs w:val="21"/>
        </w:rPr>
        <w:t>260</w:t>
      </w:r>
      <w:r w:rsidRPr="00A4795A">
        <w:rPr>
          <w:rFonts w:hint="eastAsia"/>
          <w:szCs w:val="21"/>
        </w:rPr>
        <w:t>吨，具有年产机械加工装配件</w:t>
      </w:r>
      <w:r w:rsidRPr="00A4795A">
        <w:rPr>
          <w:rFonts w:hint="eastAsia"/>
          <w:szCs w:val="21"/>
        </w:rPr>
        <w:t>6.5</w:t>
      </w:r>
      <w:r w:rsidRPr="00A4795A">
        <w:rPr>
          <w:rFonts w:hint="eastAsia"/>
          <w:szCs w:val="21"/>
        </w:rPr>
        <w:t>万吨，铸锻件</w:t>
      </w:r>
      <w:r w:rsidRPr="00A4795A">
        <w:rPr>
          <w:rFonts w:hint="eastAsia"/>
          <w:szCs w:val="21"/>
        </w:rPr>
        <w:t>5</w:t>
      </w:r>
      <w:r w:rsidRPr="00A4795A">
        <w:rPr>
          <w:rFonts w:hint="eastAsia"/>
          <w:szCs w:val="21"/>
        </w:rPr>
        <w:t>万吨，结构件、压力容器</w:t>
      </w:r>
      <w:r w:rsidRPr="00A4795A">
        <w:rPr>
          <w:rFonts w:hint="eastAsia"/>
          <w:szCs w:val="21"/>
        </w:rPr>
        <w:t>2.5</w:t>
      </w:r>
      <w:r w:rsidRPr="00A4795A">
        <w:rPr>
          <w:rFonts w:hint="eastAsia"/>
          <w:szCs w:val="21"/>
        </w:rPr>
        <w:t>万吨的综合生产能力。</w:t>
      </w:r>
    </w:p>
    <w:bookmarkEnd w:id="17"/>
    <w:bookmarkEnd w:id="18"/>
    <w:p w:rsidR="0004299E" w:rsidRPr="00A4795A" w:rsidRDefault="00043D6D">
      <w:pPr>
        <w:pStyle w:val="af2"/>
        <w:spacing w:before="156" w:after="156" w:line="300" w:lineRule="auto"/>
        <w:contextualSpacing/>
      </w:pPr>
      <w:r w:rsidRPr="00A4795A">
        <w:rPr>
          <w:rFonts w:hint="eastAsia"/>
        </w:rPr>
        <w:t>主要工作过程</w:t>
      </w:r>
      <w:bookmarkEnd w:id="19"/>
      <w:bookmarkEnd w:id="20"/>
    </w:p>
    <w:p w:rsidR="0004299E" w:rsidRPr="00A4795A" w:rsidRDefault="00043D6D">
      <w:pPr>
        <w:pStyle w:val="af3"/>
        <w:spacing w:beforeLines="50" w:before="156" w:afterLines="50" w:after="156" w:line="240" w:lineRule="auto"/>
        <w:ind w:left="0"/>
        <w:rPr>
          <w:color w:val="auto"/>
        </w:rPr>
      </w:pPr>
      <w:r w:rsidRPr="00A4795A">
        <w:rPr>
          <w:rFonts w:hint="eastAsia"/>
          <w:color w:val="auto"/>
        </w:rPr>
        <w:t>任务落实会</w:t>
      </w:r>
    </w:p>
    <w:p w:rsidR="0004299E" w:rsidRPr="00A4795A" w:rsidRDefault="00043D6D" w:rsidP="00247A7D">
      <w:pPr>
        <w:widowControl/>
        <w:autoSpaceDE w:val="0"/>
        <w:autoSpaceDN w:val="0"/>
        <w:spacing w:line="360" w:lineRule="auto"/>
        <w:ind w:firstLineChars="200" w:firstLine="420"/>
        <w:rPr>
          <w:szCs w:val="21"/>
        </w:rPr>
      </w:pPr>
      <w:r w:rsidRPr="00A4795A">
        <w:rPr>
          <w:rFonts w:hint="eastAsia"/>
          <w:szCs w:val="21"/>
        </w:rPr>
        <w:t>2020</w:t>
      </w:r>
      <w:r w:rsidRPr="00A4795A">
        <w:rPr>
          <w:rFonts w:hint="eastAsia"/>
          <w:szCs w:val="21"/>
        </w:rPr>
        <w:t>年</w:t>
      </w:r>
      <w:r w:rsidRPr="00A4795A">
        <w:rPr>
          <w:rFonts w:hint="eastAsia"/>
          <w:szCs w:val="21"/>
        </w:rPr>
        <w:t>9</w:t>
      </w:r>
      <w:r w:rsidRPr="00A4795A">
        <w:rPr>
          <w:rFonts w:hint="eastAsia"/>
          <w:szCs w:val="21"/>
        </w:rPr>
        <w:t>月</w:t>
      </w:r>
      <w:r w:rsidR="007E56C9" w:rsidRPr="00A4795A">
        <w:rPr>
          <w:rFonts w:hint="eastAsia"/>
          <w:szCs w:val="21"/>
        </w:rPr>
        <w:t>21-</w:t>
      </w:r>
      <w:r w:rsidRPr="00A4795A">
        <w:rPr>
          <w:rFonts w:hint="eastAsia"/>
          <w:szCs w:val="21"/>
        </w:rPr>
        <w:t>22</w:t>
      </w:r>
      <w:r w:rsidRPr="00A4795A">
        <w:rPr>
          <w:rFonts w:hint="eastAsia"/>
          <w:szCs w:val="21"/>
        </w:rPr>
        <w:t>日，有色金属行业计量技术委员会工作会在北京召开，此次会议有色金属行业</w:t>
      </w:r>
      <w:r w:rsidRPr="00A4795A">
        <w:rPr>
          <w:rFonts w:hint="eastAsia"/>
          <w:szCs w:val="21"/>
        </w:rPr>
        <w:t>10</w:t>
      </w:r>
      <w:r w:rsidRPr="00A4795A">
        <w:rPr>
          <w:rFonts w:hint="eastAsia"/>
          <w:szCs w:val="21"/>
        </w:rPr>
        <w:t>余家企事业单位</w:t>
      </w:r>
      <w:r w:rsidR="007E56C9" w:rsidRPr="00A4795A">
        <w:rPr>
          <w:rFonts w:hint="eastAsia"/>
          <w:szCs w:val="21"/>
        </w:rPr>
        <w:t>17</w:t>
      </w:r>
      <w:r w:rsidRPr="00A4795A">
        <w:rPr>
          <w:rFonts w:hint="eastAsia"/>
          <w:szCs w:val="21"/>
        </w:rPr>
        <w:t>名代表参加，在会议上</w:t>
      </w:r>
      <w:r w:rsidR="007E56C9" w:rsidRPr="00A4795A">
        <w:rPr>
          <w:rFonts w:hint="eastAsia"/>
          <w:szCs w:val="21"/>
        </w:rPr>
        <w:t>对《</w:t>
      </w:r>
      <w:r w:rsidR="00C8763C" w:rsidRPr="00A4795A">
        <w:rPr>
          <w:rFonts w:hint="eastAsia"/>
          <w:szCs w:val="21"/>
        </w:rPr>
        <w:t>真空退火炉</w:t>
      </w:r>
      <w:r w:rsidR="007E56C9" w:rsidRPr="00A4795A">
        <w:rPr>
          <w:rFonts w:hint="eastAsia"/>
          <w:szCs w:val="21"/>
        </w:rPr>
        <w:t>校准规范》等</w:t>
      </w:r>
      <w:r w:rsidR="007E56C9" w:rsidRPr="00A4795A">
        <w:rPr>
          <w:rFonts w:hint="eastAsia"/>
          <w:szCs w:val="21"/>
        </w:rPr>
        <w:t xml:space="preserve"> 5</w:t>
      </w:r>
      <w:r w:rsidR="007E56C9" w:rsidRPr="00A4795A">
        <w:rPr>
          <w:rFonts w:hint="eastAsia"/>
          <w:szCs w:val="21"/>
        </w:rPr>
        <w:t>项有色金属行业计量技术规范进行了讨论，</w:t>
      </w:r>
      <w:r w:rsidRPr="00A4795A">
        <w:rPr>
          <w:rFonts w:hint="eastAsia"/>
          <w:szCs w:val="21"/>
        </w:rPr>
        <w:t>进行了本规程的任务落实，会上确定了</w:t>
      </w:r>
      <w:r w:rsidR="00C8763C" w:rsidRPr="00A4795A">
        <w:rPr>
          <w:rFonts w:hint="eastAsia"/>
          <w:szCs w:val="21"/>
        </w:rPr>
        <w:t>陕西有色榆林新材料集团有限责任公司、</w:t>
      </w:r>
      <w:r w:rsidR="00C8763C" w:rsidRPr="00A4795A">
        <w:rPr>
          <w:szCs w:val="21"/>
        </w:rPr>
        <w:t>陕西亿创钛锆检测有限公司、</w:t>
      </w:r>
      <w:r w:rsidR="00C8763C" w:rsidRPr="00A4795A">
        <w:rPr>
          <w:rFonts w:hint="eastAsia"/>
          <w:szCs w:val="21"/>
        </w:rPr>
        <w:t>陕西天成航空材料有限公司、</w:t>
      </w:r>
      <w:r w:rsidR="00C8763C" w:rsidRPr="00A4795A">
        <w:rPr>
          <w:szCs w:val="21"/>
        </w:rPr>
        <w:t>西安交通大学、</w:t>
      </w:r>
      <w:r w:rsidR="00C8763C" w:rsidRPr="00A4795A">
        <w:rPr>
          <w:rFonts w:hint="eastAsia"/>
          <w:szCs w:val="21"/>
        </w:rPr>
        <w:t>中钢集团西安重机有限公司参</w:t>
      </w:r>
      <w:r w:rsidRPr="00A4795A">
        <w:rPr>
          <w:rFonts w:hint="eastAsia"/>
          <w:szCs w:val="21"/>
        </w:rPr>
        <w:t>与本规程的制定工作。</w:t>
      </w:r>
    </w:p>
    <w:p w:rsidR="00BB7985" w:rsidRPr="00A4795A" w:rsidRDefault="00BB7985" w:rsidP="00BB7985">
      <w:pPr>
        <w:pStyle w:val="af3"/>
        <w:spacing w:beforeLines="50" w:before="156" w:afterLines="50" w:after="156" w:line="240" w:lineRule="auto"/>
        <w:ind w:left="0"/>
        <w:rPr>
          <w:color w:val="auto"/>
        </w:rPr>
      </w:pPr>
      <w:r w:rsidRPr="00A4795A">
        <w:rPr>
          <w:rFonts w:hint="eastAsia"/>
          <w:color w:val="auto"/>
        </w:rPr>
        <w:t>前期准备工作</w:t>
      </w:r>
    </w:p>
    <w:p w:rsidR="00BB7985" w:rsidRPr="00A4795A" w:rsidRDefault="00BB7985" w:rsidP="00BB7985">
      <w:pPr>
        <w:pStyle w:val="afff4"/>
        <w:spacing w:line="360" w:lineRule="auto"/>
        <w:ind w:firstLine="420"/>
      </w:pPr>
      <w:r w:rsidRPr="00A4795A">
        <w:rPr>
          <w:rFonts w:ascii="Times New Roman" w:hAnsi="Times New Roman" w:hint="eastAsia"/>
          <w:kern w:val="2"/>
          <w:szCs w:val="21"/>
        </w:rPr>
        <w:t>2021</w:t>
      </w:r>
      <w:r w:rsidRPr="00A4795A">
        <w:rPr>
          <w:rFonts w:ascii="Times New Roman" w:hAnsi="Times New Roman" w:hint="eastAsia"/>
          <w:kern w:val="2"/>
          <w:szCs w:val="21"/>
        </w:rPr>
        <w:t>年</w:t>
      </w:r>
      <w:r w:rsidRPr="00A4795A">
        <w:rPr>
          <w:rFonts w:ascii="Times New Roman" w:hAnsi="Times New Roman" w:hint="eastAsia"/>
          <w:kern w:val="2"/>
          <w:szCs w:val="21"/>
        </w:rPr>
        <w:t>1</w:t>
      </w:r>
      <w:r w:rsidRPr="00A4795A">
        <w:rPr>
          <w:rFonts w:ascii="Times New Roman" w:hAnsi="Times New Roman" w:hint="eastAsia"/>
          <w:kern w:val="2"/>
          <w:szCs w:val="21"/>
        </w:rPr>
        <w:t>月</w:t>
      </w:r>
      <w:r w:rsidRPr="00A4795A">
        <w:rPr>
          <w:rFonts w:ascii="Times New Roman" w:hAnsi="Times New Roman" w:hint="eastAsia"/>
          <w:kern w:val="2"/>
          <w:szCs w:val="21"/>
        </w:rPr>
        <w:t>~5</w:t>
      </w:r>
      <w:r w:rsidRPr="00A4795A">
        <w:rPr>
          <w:rFonts w:ascii="Times New Roman" w:hAnsi="Times New Roman" w:hint="eastAsia"/>
          <w:kern w:val="2"/>
          <w:szCs w:val="21"/>
        </w:rPr>
        <w:t>月，搜集</w:t>
      </w:r>
      <w:r w:rsidR="00C8763C" w:rsidRPr="00A4795A">
        <w:rPr>
          <w:rFonts w:ascii="Times New Roman" w:hAnsi="Times New Roman" w:hint="eastAsia"/>
          <w:kern w:val="2"/>
          <w:szCs w:val="21"/>
        </w:rPr>
        <w:t>真空退火炉</w:t>
      </w:r>
      <w:r w:rsidRPr="00A4795A">
        <w:rPr>
          <w:rFonts w:ascii="Times New Roman" w:hAnsi="Times New Roman" w:hint="eastAsia"/>
          <w:kern w:val="2"/>
          <w:szCs w:val="21"/>
        </w:rPr>
        <w:t>相关技术资料、检测</w:t>
      </w:r>
      <w:r w:rsidRPr="00A4795A">
        <w:rPr>
          <w:rFonts w:ascii="Times New Roman" w:hAnsi="Times New Roman" w:hint="eastAsia"/>
          <w:kern w:val="2"/>
          <w:szCs w:val="21"/>
        </w:rPr>
        <w:t>/</w:t>
      </w:r>
      <w:r w:rsidRPr="00A4795A">
        <w:rPr>
          <w:rFonts w:ascii="Times New Roman" w:hAnsi="Times New Roman" w:hint="eastAsia"/>
          <w:kern w:val="2"/>
          <w:szCs w:val="21"/>
        </w:rPr>
        <w:t>校准方法等，研究</w:t>
      </w:r>
      <w:r w:rsidR="00C8763C" w:rsidRPr="00A4795A">
        <w:rPr>
          <w:rFonts w:ascii="Times New Roman" w:hAnsi="Times New Roman" w:hint="eastAsia"/>
          <w:kern w:val="2"/>
          <w:szCs w:val="21"/>
        </w:rPr>
        <w:t>真空退火炉</w:t>
      </w:r>
      <w:r w:rsidRPr="00A4795A">
        <w:rPr>
          <w:rFonts w:ascii="Times New Roman" w:hAnsi="Times New Roman" w:hint="eastAsia"/>
          <w:kern w:val="2"/>
          <w:szCs w:val="21"/>
        </w:rPr>
        <w:t>校准方法、设计并制作</w:t>
      </w:r>
      <w:r w:rsidR="00C8763C" w:rsidRPr="00A4795A">
        <w:rPr>
          <w:rFonts w:ascii="Times New Roman" w:hAnsi="Times New Roman" w:hint="eastAsia"/>
          <w:kern w:val="2"/>
          <w:szCs w:val="21"/>
        </w:rPr>
        <w:t>真空退火炉</w:t>
      </w:r>
      <w:r w:rsidRPr="00A4795A">
        <w:rPr>
          <w:rFonts w:ascii="Times New Roman" w:hAnsi="Times New Roman" w:hint="eastAsia"/>
          <w:kern w:val="2"/>
          <w:szCs w:val="21"/>
        </w:rPr>
        <w:t>校准装置，制定</w:t>
      </w:r>
      <w:r w:rsidR="00C8763C" w:rsidRPr="00A4795A">
        <w:rPr>
          <w:rFonts w:ascii="Times New Roman" w:hAnsi="Times New Roman" w:hint="eastAsia"/>
          <w:kern w:val="2"/>
          <w:szCs w:val="21"/>
        </w:rPr>
        <w:t>真空退火炉</w:t>
      </w:r>
      <w:r w:rsidRPr="00A4795A">
        <w:rPr>
          <w:rFonts w:ascii="Times New Roman" w:hAnsi="Times New Roman" w:hint="eastAsia"/>
          <w:kern w:val="2"/>
          <w:szCs w:val="21"/>
        </w:rPr>
        <w:t>校准方案，并进行前期基础性实验，验证试验方法可行性，确定</w:t>
      </w:r>
      <w:r w:rsidR="00C8763C" w:rsidRPr="00A4795A">
        <w:rPr>
          <w:rFonts w:ascii="Times New Roman" w:hAnsi="Times New Roman" w:hint="eastAsia"/>
          <w:kern w:val="2"/>
          <w:szCs w:val="21"/>
        </w:rPr>
        <w:t>真空退火炉</w:t>
      </w:r>
      <w:r w:rsidRPr="00A4795A">
        <w:rPr>
          <w:rFonts w:ascii="Times New Roman" w:hAnsi="Times New Roman" w:hint="eastAsia"/>
          <w:kern w:val="2"/>
          <w:szCs w:val="21"/>
        </w:rPr>
        <w:t>技术要求、校准项目、校准方法等，形成《讨论稿》。</w:t>
      </w:r>
    </w:p>
    <w:p w:rsidR="0004299E" w:rsidRPr="00A4795A" w:rsidRDefault="00043D6D">
      <w:pPr>
        <w:widowControl/>
        <w:numPr>
          <w:ilvl w:val="2"/>
          <w:numId w:val="1"/>
        </w:numPr>
        <w:spacing w:beforeLines="50" w:before="156" w:afterLines="50" w:after="156"/>
        <w:ind w:left="0"/>
        <w:outlineLvl w:val="2"/>
        <w:rPr>
          <w:rFonts w:ascii="黑体" w:eastAsia="黑体"/>
          <w:spacing w:val="-4"/>
          <w:kern w:val="0"/>
        </w:rPr>
      </w:pPr>
      <w:r w:rsidRPr="00A4795A">
        <w:rPr>
          <w:rFonts w:ascii="黑体" w:eastAsia="黑体" w:hint="eastAsia"/>
          <w:spacing w:val="-4"/>
          <w:kern w:val="0"/>
        </w:rPr>
        <w:t>征求意见稿</w:t>
      </w:r>
    </w:p>
    <w:p w:rsidR="00FF5630" w:rsidRPr="00A4795A" w:rsidRDefault="00043D6D" w:rsidP="00C8763C">
      <w:pPr>
        <w:widowControl/>
        <w:autoSpaceDE w:val="0"/>
        <w:autoSpaceDN w:val="0"/>
        <w:adjustRightInd w:val="0"/>
        <w:snapToGrid w:val="0"/>
        <w:spacing w:line="360" w:lineRule="auto"/>
        <w:ind w:firstLineChars="200" w:firstLine="420"/>
        <w:rPr>
          <w:rFonts w:ascii="宋体" w:hAnsi="宋体"/>
          <w:kern w:val="0"/>
          <w:szCs w:val="21"/>
        </w:rPr>
      </w:pPr>
      <w:r w:rsidRPr="00A4795A">
        <w:rPr>
          <w:rFonts w:hint="eastAsia"/>
          <w:szCs w:val="21"/>
        </w:rPr>
        <w:t>202</w:t>
      </w:r>
      <w:r w:rsidR="00746BAC" w:rsidRPr="00A4795A">
        <w:rPr>
          <w:rFonts w:hint="eastAsia"/>
          <w:szCs w:val="21"/>
        </w:rPr>
        <w:t>1</w:t>
      </w:r>
      <w:r w:rsidRPr="00A4795A">
        <w:rPr>
          <w:rFonts w:hint="eastAsia"/>
          <w:szCs w:val="21"/>
        </w:rPr>
        <w:t>年</w:t>
      </w:r>
      <w:r w:rsidR="00746BAC" w:rsidRPr="00A4795A">
        <w:rPr>
          <w:rFonts w:hint="eastAsia"/>
          <w:szCs w:val="21"/>
        </w:rPr>
        <w:t>06</w:t>
      </w:r>
      <w:r w:rsidRPr="00A4795A">
        <w:rPr>
          <w:rFonts w:hint="eastAsia"/>
          <w:szCs w:val="21"/>
        </w:rPr>
        <w:t>月</w:t>
      </w:r>
      <w:r w:rsidR="00BB7985" w:rsidRPr="00A4795A">
        <w:rPr>
          <w:rFonts w:hint="eastAsia"/>
          <w:szCs w:val="21"/>
        </w:rPr>
        <w:t>01</w:t>
      </w:r>
      <w:r w:rsidRPr="00A4795A">
        <w:rPr>
          <w:rFonts w:hint="eastAsia"/>
          <w:szCs w:val="21"/>
        </w:rPr>
        <w:t>日，</w:t>
      </w:r>
      <w:r w:rsidRPr="00A4795A">
        <w:rPr>
          <w:rFonts w:ascii="宋体" w:hAnsi="宋体" w:hint="eastAsia"/>
          <w:kern w:val="0"/>
          <w:szCs w:val="21"/>
        </w:rPr>
        <w:t>根据试验结果情况</w:t>
      </w:r>
      <w:r w:rsidR="00BB7985" w:rsidRPr="00A4795A">
        <w:rPr>
          <w:rFonts w:ascii="宋体" w:hAnsi="宋体" w:hint="eastAsia"/>
          <w:kern w:val="0"/>
          <w:szCs w:val="21"/>
        </w:rPr>
        <w:t>和讨论会上行业专家所提意见</w:t>
      </w:r>
      <w:r w:rsidRPr="00A4795A">
        <w:rPr>
          <w:rFonts w:ascii="宋体" w:hAnsi="宋体" w:hint="eastAsia"/>
          <w:kern w:val="0"/>
          <w:szCs w:val="21"/>
        </w:rPr>
        <w:t>编制完成了征求意见稿，并发往</w:t>
      </w:r>
      <w:r w:rsidR="004C6FDF" w:rsidRPr="00A4795A">
        <w:rPr>
          <w:rFonts w:ascii="宋体" w:hAnsi="宋体"/>
          <w:kern w:val="0"/>
          <w:szCs w:val="21"/>
        </w:rPr>
        <w:t>5</w:t>
      </w:r>
      <w:r w:rsidRPr="00A4795A">
        <w:rPr>
          <w:rFonts w:ascii="宋体" w:hAnsi="宋体" w:hint="eastAsia"/>
          <w:kern w:val="0"/>
          <w:szCs w:val="21"/>
        </w:rPr>
        <w:t>家相关单位征求意见。收到单位回函的</w:t>
      </w:r>
      <w:r w:rsidR="00BB7985" w:rsidRPr="00A4795A">
        <w:rPr>
          <w:rFonts w:ascii="宋体" w:hAnsi="宋体" w:hint="eastAsia"/>
          <w:kern w:val="0"/>
          <w:szCs w:val="21"/>
        </w:rPr>
        <w:t>5</w:t>
      </w:r>
      <w:r w:rsidRPr="00A4795A">
        <w:rPr>
          <w:rFonts w:ascii="宋体" w:hAnsi="宋体" w:hint="eastAsia"/>
          <w:kern w:val="0"/>
          <w:szCs w:val="21"/>
        </w:rPr>
        <w:t>家，未回函</w:t>
      </w:r>
      <w:r w:rsidR="00BB7985" w:rsidRPr="00A4795A">
        <w:rPr>
          <w:rFonts w:ascii="宋体" w:hAnsi="宋体" w:hint="eastAsia"/>
          <w:kern w:val="0"/>
          <w:szCs w:val="21"/>
        </w:rPr>
        <w:t>0</w:t>
      </w:r>
      <w:r w:rsidRPr="00A4795A">
        <w:rPr>
          <w:rFonts w:ascii="宋体" w:hAnsi="宋体" w:hint="eastAsia"/>
          <w:kern w:val="0"/>
          <w:szCs w:val="21"/>
        </w:rPr>
        <w:t>家。</w:t>
      </w:r>
      <w:r w:rsidR="00FF5630" w:rsidRPr="00A4795A">
        <w:rPr>
          <w:rFonts w:hint="eastAsia"/>
          <w:szCs w:val="21"/>
        </w:rPr>
        <w:t>202</w:t>
      </w:r>
      <w:r w:rsidR="00BB7985" w:rsidRPr="00A4795A">
        <w:rPr>
          <w:rFonts w:hint="eastAsia"/>
          <w:szCs w:val="21"/>
        </w:rPr>
        <w:t>1</w:t>
      </w:r>
      <w:r w:rsidR="00FF5630" w:rsidRPr="00A4795A">
        <w:rPr>
          <w:rFonts w:hint="eastAsia"/>
          <w:szCs w:val="21"/>
        </w:rPr>
        <w:t>年</w:t>
      </w:r>
      <w:r w:rsidR="00BB7985" w:rsidRPr="00A4795A">
        <w:rPr>
          <w:rFonts w:hint="eastAsia"/>
          <w:szCs w:val="21"/>
        </w:rPr>
        <w:t>06</w:t>
      </w:r>
      <w:r w:rsidR="00FF5630" w:rsidRPr="00A4795A">
        <w:rPr>
          <w:rFonts w:hint="eastAsia"/>
          <w:szCs w:val="21"/>
        </w:rPr>
        <w:t>月</w:t>
      </w:r>
      <w:r w:rsidR="00FF5630" w:rsidRPr="00A4795A">
        <w:rPr>
          <w:rFonts w:hint="eastAsia"/>
          <w:szCs w:val="21"/>
        </w:rPr>
        <w:t>~</w:t>
      </w:r>
      <w:r w:rsidR="00BB7985" w:rsidRPr="00A4795A">
        <w:rPr>
          <w:rFonts w:hint="eastAsia"/>
          <w:szCs w:val="21"/>
        </w:rPr>
        <w:t>07</w:t>
      </w:r>
      <w:r w:rsidR="00FF5630" w:rsidRPr="00A4795A">
        <w:rPr>
          <w:rFonts w:hint="eastAsia"/>
          <w:szCs w:val="21"/>
        </w:rPr>
        <w:t>月，</w:t>
      </w:r>
      <w:r w:rsidR="00FF5630" w:rsidRPr="00A4795A">
        <w:rPr>
          <w:rFonts w:ascii="宋体" w:hAnsi="宋体" w:hint="eastAsia"/>
          <w:kern w:val="0"/>
          <w:szCs w:val="21"/>
        </w:rPr>
        <w:t>邀请</w:t>
      </w:r>
      <w:r w:rsidR="00C8763C" w:rsidRPr="00A4795A">
        <w:rPr>
          <w:rFonts w:hint="eastAsia"/>
          <w:szCs w:val="21"/>
        </w:rPr>
        <w:t>陕西有色榆林新材料集团有限责任公司、</w:t>
      </w:r>
      <w:r w:rsidR="00C8763C" w:rsidRPr="00A4795A">
        <w:rPr>
          <w:szCs w:val="21"/>
        </w:rPr>
        <w:t>陕西亿创钛锆检测有限公司、</w:t>
      </w:r>
      <w:r w:rsidR="00C8763C" w:rsidRPr="00A4795A">
        <w:rPr>
          <w:rFonts w:hint="eastAsia"/>
          <w:szCs w:val="21"/>
        </w:rPr>
        <w:t>陕西天成航空材料有限公司、</w:t>
      </w:r>
      <w:r w:rsidR="00C8763C" w:rsidRPr="00A4795A">
        <w:rPr>
          <w:szCs w:val="21"/>
        </w:rPr>
        <w:t>西安交通大学、</w:t>
      </w:r>
      <w:r w:rsidR="00C8763C" w:rsidRPr="00A4795A">
        <w:rPr>
          <w:rFonts w:hint="eastAsia"/>
          <w:szCs w:val="21"/>
        </w:rPr>
        <w:t>中钢集团西安重机有限公司</w:t>
      </w:r>
      <w:r w:rsidR="00FF5630" w:rsidRPr="00A4795A">
        <w:rPr>
          <w:rFonts w:ascii="宋体" w:hAnsi="宋体" w:hint="eastAsia"/>
          <w:kern w:val="0"/>
          <w:szCs w:val="21"/>
        </w:rPr>
        <w:t>等机构，依据</w:t>
      </w:r>
      <w:r w:rsidR="00FF5630" w:rsidRPr="00A4795A">
        <w:rPr>
          <w:kern w:val="0"/>
          <w:szCs w:val="21"/>
        </w:rPr>
        <w:t>JJF</w:t>
      </w:r>
      <w:r w:rsidR="00FF5630" w:rsidRPr="00A4795A">
        <w:rPr>
          <w:rFonts w:ascii="宋体" w:hAnsi="宋体" w:hint="eastAsia"/>
          <w:kern w:val="0"/>
          <w:szCs w:val="21"/>
        </w:rPr>
        <w:t>(有色金属)</w:t>
      </w:r>
      <w:r w:rsidR="00BB7985" w:rsidRPr="00A4795A">
        <w:rPr>
          <w:kern w:val="0"/>
          <w:szCs w:val="21"/>
        </w:rPr>
        <w:t xml:space="preserve"> xxx</w:t>
      </w:r>
      <w:r w:rsidR="00FF5630" w:rsidRPr="00A4795A">
        <w:rPr>
          <w:kern w:val="0"/>
          <w:szCs w:val="21"/>
        </w:rPr>
        <w:t>-xxx</w:t>
      </w:r>
      <w:r w:rsidR="00BB7985" w:rsidRPr="00A4795A">
        <w:rPr>
          <w:kern w:val="0"/>
          <w:szCs w:val="21"/>
        </w:rPr>
        <w:t>x</w:t>
      </w:r>
      <w:r w:rsidR="00FF5630" w:rsidRPr="00A4795A">
        <w:rPr>
          <w:rFonts w:ascii="宋体" w:hAnsi="宋体" w:hint="eastAsia"/>
          <w:kern w:val="0"/>
          <w:szCs w:val="21"/>
        </w:rPr>
        <w:t>《</w:t>
      </w:r>
      <w:r w:rsidR="00C8763C" w:rsidRPr="00A4795A">
        <w:rPr>
          <w:rFonts w:hint="eastAsia"/>
          <w:szCs w:val="21"/>
        </w:rPr>
        <w:t>真空退火炉</w:t>
      </w:r>
      <w:r w:rsidR="00BB7985" w:rsidRPr="00A4795A">
        <w:rPr>
          <w:rFonts w:hint="eastAsia"/>
          <w:szCs w:val="21"/>
        </w:rPr>
        <w:t>校准规范</w:t>
      </w:r>
      <w:r w:rsidR="00FF5630" w:rsidRPr="00A4795A">
        <w:rPr>
          <w:rFonts w:ascii="宋体" w:hAnsi="宋体" w:hint="eastAsia"/>
          <w:kern w:val="0"/>
          <w:szCs w:val="21"/>
        </w:rPr>
        <w:t>》校准方法对</w:t>
      </w:r>
      <w:r w:rsidR="00C8763C" w:rsidRPr="00A4795A">
        <w:rPr>
          <w:rFonts w:hint="eastAsia"/>
          <w:szCs w:val="21"/>
        </w:rPr>
        <w:t>真空退火炉</w:t>
      </w:r>
      <w:r w:rsidR="00FF5630" w:rsidRPr="00A4795A">
        <w:rPr>
          <w:rFonts w:ascii="宋体" w:hAnsi="宋体" w:hint="eastAsia"/>
          <w:kern w:val="0"/>
          <w:szCs w:val="21"/>
        </w:rPr>
        <w:t>进行校准，根据试验结果编制了论证报告。</w:t>
      </w:r>
    </w:p>
    <w:p w:rsidR="0004299E" w:rsidRPr="00A4795A" w:rsidRDefault="00043D6D">
      <w:pPr>
        <w:widowControl/>
        <w:numPr>
          <w:ilvl w:val="2"/>
          <w:numId w:val="1"/>
        </w:numPr>
        <w:spacing w:beforeLines="50" w:before="156" w:afterLines="50" w:after="156"/>
        <w:ind w:left="0"/>
        <w:outlineLvl w:val="2"/>
        <w:rPr>
          <w:rFonts w:ascii="黑体" w:eastAsia="黑体"/>
          <w:spacing w:val="-4"/>
          <w:kern w:val="0"/>
        </w:rPr>
      </w:pPr>
      <w:bookmarkStart w:id="21" w:name="_Toc464728921"/>
      <w:bookmarkStart w:id="22" w:name="_Toc462884365"/>
      <w:r w:rsidRPr="00A4795A">
        <w:rPr>
          <w:rFonts w:ascii="黑体" w:eastAsia="黑体" w:hint="eastAsia"/>
          <w:spacing w:val="-4"/>
          <w:kern w:val="0"/>
        </w:rPr>
        <w:t>编制《送审稿》</w:t>
      </w:r>
      <w:bookmarkEnd w:id="21"/>
      <w:bookmarkEnd w:id="22"/>
    </w:p>
    <w:p w:rsidR="0004299E" w:rsidRPr="00A4795A" w:rsidRDefault="00043D6D" w:rsidP="00FF5630">
      <w:pPr>
        <w:widowControl/>
        <w:autoSpaceDE w:val="0"/>
        <w:autoSpaceDN w:val="0"/>
        <w:adjustRightInd w:val="0"/>
        <w:snapToGrid w:val="0"/>
        <w:spacing w:line="360" w:lineRule="auto"/>
        <w:ind w:firstLineChars="200" w:firstLine="420"/>
        <w:rPr>
          <w:rFonts w:ascii="宋体" w:hAnsi="宋体"/>
          <w:kern w:val="0"/>
          <w:szCs w:val="21"/>
        </w:rPr>
      </w:pPr>
      <w:r w:rsidRPr="00A4795A">
        <w:rPr>
          <w:rFonts w:ascii="宋体" w:hAnsi="宋体" w:hint="eastAsia"/>
          <w:kern w:val="0"/>
          <w:szCs w:val="21"/>
        </w:rPr>
        <w:t>编制组根据《征求意见稿》的回函意见、工作组会议精神和本</w:t>
      </w:r>
      <w:r w:rsidR="00ED5F91" w:rsidRPr="00A4795A">
        <w:rPr>
          <w:rFonts w:ascii="宋体" w:hAnsi="宋体" w:hint="eastAsia"/>
          <w:kern w:val="0"/>
          <w:szCs w:val="21"/>
        </w:rPr>
        <w:t>规范</w:t>
      </w:r>
      <w:r w:rsidRPr="00A4795A">
        <w:rPr>
          <w:rFonts w:ascii="宋体" w:hAnsi="宋体" w:hint="eastAsia"/>
          <w:kern w:val="0"/>
          <w:szCs w:val="21"/>
        </w:rPr>
        <w:t>的试验验证情况，于</w:t>
      </w:r>
      <w:r w:rsidRPr="00A4795A">
        <w:rPr>
          <w:szCs w:val="21"/>
        </w:rPr>
        <w:t>202</w:t>
      </w:r>
      <w:r w:rsidR="00BB7985" w:rsidRPr="00A4795A">
        <w:rPr>
          <w:rFonts w:hint="eastAsia"/>
          <w:szCs w:val="21"/>
        </w:rPr>
        <w:t>1</w:t>
      </w:r>
      <w:r w:rsidRPr="00A4795A">
        <w:rPr>
          <w:rFonts w:hint="eastAsia"/>
          <w:szCs w:val="21"/>
        </w:rPr>
        <w:t>年</w:t>
      </w:r>
      <w:r w:rsidR="003318C1" w:rsidRPr="00A4795A">
        <w:rPr>
          <w:rFonts w:hint="eastAsia"/>
          <w:szCs w:val="21"/>
        </w:rPr>
        <w:t>11</w:t>
      </w:r>
      <w:r w:rsidRPr="00A4795A">
        <w:rPr>
          <w:rFonts w:hint="eastAsia"/>
          <w:szCs w:val="21"/>
        </w:rPr>
        <w:t>月编制</w:t>
      </w:r>
      <w:r w:rsidRPr="00A4795A">
        <w:rPr>
          <w:rFonts w:ascii="宋体" w:hAnsi="宋体" w:hint="eastAsia"/>
          <w:kern w:val="0"/>
          <w:szCs w:val="21"/>
        </w:rPr>
        <w:t>出本</w:t>
      </w:r>
      <w:r w:rsidR="00ED5F91" w:rsidRPr="00A4795A">
        <w:rPr>
          <w:rFonts w:ascii="宋体" w:hAnsi="宋体" w:hint="eastAsia"/>
          <w:kern w:val="0"/>
          <w:szCs w:val="21"/>
        </w:rPr>
        <w:t>规范</w:t>
      </w:r>
      <w:r w:rsidRPr="00A4795A">
        <w:rPr>
          <w:rFonts w:ascii="宋体" w:hAnsi="宋体" w:hint="eastAsia"/>
          <w:kern w:val="0"/>
          <w:szCs w:val="21"/>
        </w:rPr>
        <w:t>的《送审稿》。</w:t>
      </w:r>
    </w:p>
    <w:p w:rsidR="0004299E" w:rsidRPr="00A4795A" w:rsidRDefault="00043D6D">
      <w:pPr>
        <w:pStyle w:val="af3"/>
        <w:ind w:left="0"/>
        <w:rPr>
          <w:color w:val="auto"/>
        </w:rPr>
      </w:pPr>
      <w:r w:rsidRPr="00A4795A">
        <w:rPr>
          <w:rFonts w:hint="eastAsia"/>
          <w:color w:val="auto"/>
        </w:rPr>
        <w:t>编制《报批稿》</w:t>
      </w:r>
    </w:p>
    <w:p w:rsidR="0004299E" w:rsidRPr="00A4795A" w:rsidRDefault="009C2D10" w:rsidP="00400BF2">
      <w:pPr>
        <w:spacing w:line="360" w:lineRule="auto"/>
        <w:ind w:firstLineChars="200" w:firstLine="420"/>
      </w:pPr>
      <w:r w:rsidRPr="00A4795A">
        <w:rPr>
          <w:rFonts w:hint="eastAsia"/>
        </w:rPr>
        <w:t>2</w:t>
      </w:r>
      <w:r w:rsidRPr="00A4795A">
        <w:rPr>
          <w:rFonts w:hint="eastAsia"/>
          <w:szCs w:val="21"/>
        </w:rPr>
        <w:t>02</w:t>
      </w:r>
      <w:r w:rsidR="00735A75" w:rsidRPr="00A4795A">
        <w:rPr>
          <w:rFonts w:hint="eastAsia"/>
          <w:szCs w:val="21"/>
        </w:rPr>
        <w:t>1</w:t>
      </w:r>
      <w:r w:rsidRPr="00A4795A">
        <w:rPr>
          <w:rFonts w:hint="eastAsia"/>
          <w:szCs w:val="21"/>
        </w:rPr>
        <w:t>年</w:t>
      </w:r>
      <w:r w:rsidRPr="00A4795A">
        <w:rPr>
          <w:rFonts w:hint="eastAsia"/>
          <w:szCs w:val="21"/>
        </w:rPr>
        <w:t>12</w:t>
      </w:r>
      <w:r w:rsidRPr="00A4795A">
        <w:rPr>
          <w:rFonts w:hint="eastAsia"/>
          <w:szCs w:val="21"/>
        </w:rPr>
        <w:t>月</w:t>
      </w:r>
      <w:r w:rsidRPr="00A4795A">
        <w:rPr>
          <w:rFonts w:hint="eastAsia"/>
          <w:szCs w:val="21"/>
        </w:rPr>
        <w:t>8</w:t>
      </w:r>
      <w:r w:rsidRPr="00A4795A">
        <w:rPr>
          <w:rFonts w:hint="eastAsia"/>
          <w:szCs w:val="21"/>
        </w:rPr>
        <w:t>日</w:t>
      </w:r>
      <w:r w:rsidRPr="00A4795A">
        <w:rPr>
          <w:rFonts w:hint="eastAsia"/>
          <w:szCs w:val="21"/>
        </w:rPr>
        <w:t>~12</w:t>
      </w:r>
      <w:r w:rsidRPr="00A4795A">
        <w:rPr>
          <w:rFonts w:hint="eastAsia"/>
          <w:szCs w:val="21"/>
        </w:rPr>
        <w:t>月</w:t>
      </w:r>
      <w:r w:rsidRPr="00A4795A">
        <w:rPr>
          <w:rFonts w:hint="eastAsia"/>
          <w:szCs w:val="21"/>
        </w:rPr>
        <w:t>10</w:t>
      </w:r>
      <w:r w:rsidRPr="00A4795A">
        <w:rPr>
          <w:rFonts w:hint="eastAsia"/>
          <w:szCs w:val="21"/>
        </w:rPr>
        <w:t>日</w:t>
      </w:r>
      <w:r w:rsidRPr="00A4795A">
        <w:rPr>
          <w:rFonts w:hint="eastAsia"/>
        </w:rPr>
        <w:t>，在云南省昆明市召开有色金属行业计量技术委员会工作会议，会议审定</w:t>
      </w:r>
      <w:r w:rsidR="00400BF2" w:rsidRPr="00A4795A">
        <w:rPr>
          <w:rFonts w:hint="eastAsia"/>
        </w:rPr>
        <w:t>了</w:t>
      </w:r>
      <w:r w:rsidRPr="00A4795A">
        <w:rPr>
          <w:rFonts w:hint="eastAsia"/>
        </w:rPr>
        <w:t>《</w:t>
      </w:r>
      <w:r w:rsidR="00C8763C" w:rsidRPr="00A4795A">
        <w:rPr>
          <w:rFonts w:hint="eastAsia"/>
          <w:szCs w:val="21"/>
        </w:rPr>
        <w:t>真空退火炉校准规范</w:t>
      </w:r>
      <w:r w:rsidRPr="00A4795A">
        <w:rPr>
          <w:rFonts w:hint="eastAsia"/>
        </w:rPr>
        <w:t>》等</w:t>
      </w:r>
      <w:r w:rsidRPr="00A4795A">
        <w:rPr>
          <w:rFonts w:hint="eastAsia"/>
        </w:rPr>
        <w:t>5</w:t>
      </w:r>
      <w:r w:rsidRPr="00A4795A">
        <w:rPr>
          <w:rFonts w:hint="eastAsia"/>
        </w:rPr>
        <w:t>项有色金属行业计量技术规范项目，</w:t>
      </w:r>
      <w:r w:rsidR="00400BF2" w:rsidRPr="00A4795A">
        <w:rPr>
          <w:rFonts w:hint="eastAsia"/>
        </w:rPr>
        <w:t>会上来自不同单位的</w:t>
      </w:r>
      <w:r w:rsidR="00400BF2" w:rsidRPr="00A4795A">
        <w:rPr>
          <w:rFonts w:hint="eastAsia"/>
        </w:rPr>
        <w:t>29</w:t>
      </w:r>
      <w:r w:rsidR="00400BF2" w:rsidRPr="00A4795A">
        <w:rPr>
          <w:rFonts w:hint="eastAsia"/>
        </w:rPr>
        <w:t>位技术委员会委员、专家对《</w:t>
      </w:r>
      <w:r w:rsidR="00C8763C" w:rsidRPr="00A4795A">
        <w:rPr>
          <w:rFonts w:hint="eastAsia"/>
          <w:szCs w:val="21"/>
        </w:rPr>
        <w:t>真空退火炉校准规范</w:t>
      </w:r>
      <w:r w:rsidR="00400BF2" w:rsidRPr="00A4795A">
        <w:rPr>
          <w:rFonts w:hint="eastAsia"/>
        </w:rPr>
        <w:t>》提出了</w:t>
      </w:r>
      <w:r w:rsidR="00400BF2" w:rsidRPr="00A4795A">
        <w:rPr>
          <w:rFonts w:hint="eastAsia"/>
        </w:rPr>
        <w:t>16</w:t>
      </w:r>
      <w:r w:rsidR="00400BF2" w:rsidRPr="00A4795A">
        <w:rPr>
          <w:rFonts w:hint="eastAsia"/>
        </w:rPr>
        <w:t>条整改建议和意见，经过整改后，</w:t>
      </w:r>
      <w:r w:rsidR="00400BF2" w:rsidRPr="00A4795A">
        <w:rPr>
          <w:rFonts w:hint="eastAsia"/>
        </w:rPr>
        <w:t>29</w:t>
      </w:r>
      <w:r w:rsidR="00400BF2" w:rsidRPr="00A4795A">
        <w:rPr>
          <w:rFonts w:hint="eastAsia"/>
        </w:rPr>
        <w:t>位技术委员会委员、专家全部赞成该校准规范，</w:t>
      </w:r>
      <w:r w:rsidR="00043D6D" w:rsidRPr="00A4795A">
        <w:rPr>
          <w:rFonts w:hint="eastAsia"/>
        </w:rPr>
        <w:t>专家委员一致同意将其修改后作为有色金属行业计量校准规范上报。</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23" w:name="_Toc464728924"/>
      <w:r w:rsidRPr="00A4795A">
        <w:rPr>
          <w:rFonts w:hint="eastAsia"/>
        </w:rPr>
        <w:t>规程编制原则和确定主要内容</w:t>
      </w:r>
      <w:bookmarkEnd w:id="23"/>
    </w:p>
    <w:p w:rsidR="0004299E" w:rsidRPr="00A4795A" w:rsidRDefault="00043D6D">
      <w:pPr>
        <w:pStyle w:val="a9"/>
        <w:wordWrap/>
        <w:spacing w:beforeLines="0" w:after="156" w:line="360" w:lineRule="auto"/>
      </w:pPr>
      <w:bookmarkStart w:id="24" w:name="_Toc464728925"/>
      <w:r w:rsidRPr="00A4795A">
        <w:rPr>
          <w:rFonts w:hint="eastAsia"/>
        </w:rPr>
        <w:t>编制原则</w:t>
      </w:r>
      <w:bookmarkEnd w:id="24"/>
    </w:p>
    <w:p w:rsidR="0004299E" w:rsidRPr="00A4795A" w:rsidRDefault="00043D6D">
      <w:pPr>
        <w:pStyle w:val="afff4"/>
        <w:numPr>
          <w:ilvl w:val="0"/>
          <w:numId w:val="12"/>
        </w:numPr>
        <w:spacing w:line="324" w:lineRule="auto"/>
        <w:ind w:firstLine="420"/>
        <w:rPr>
          <w:szCs w:val="21"/>
        </w:rPr>
      </w:pPr>
      <w:bookmarkStart w:id="25" w:name="_Toc464728926"/>
      <w:r w:rsidRPr="00A4795A">
        <w:rPr>
          <w:rFonts w:hint="eastAsia"/>
          <w:szCs w:val="21"/>
        </w:rPr>
        <w:t>保证有色行业的特殊性和适用性</w:t>
      </w:r>
    </w:p>
    <w:p w:rsidR="0004299E" w:rsidRPr="00A4795A" w:rsidRDefault="00043D6D">
      <w:pPr>
        <w:pStyle w:val="afff4"/>
        <w:numPr>
          <w:ilvl w:val="0"/>
          <w:numId w:val="12"/>
        </w:numPr>
        <w:spacing w:line="324" w:lineRule="auto"/>
        <w:ind w:firstLine="420"/>
        <w:rPr>
          <w:szCs w:val="21"/>
        </w:rPr>
      </w:pPr>
      <w:r w:rsidRPr="00A4795A">
        <w:rPr>
          <w:rFonts w:hint="eastAsia"/>
          <w:szCs w:val="21"/>
        </w:rPr>
        <w:t>保证计量规程的规范性</w:t>
      </w:r>
    </w:p>
    <w:p w:rsidR="0004299E" w:rsidRPr="00A4795A" w:rsidRDefault="00043D6D">
      <w:pPr>
        <w:pStyle w:val="a9"/>
        <w:spacing w:beforeLines="100" w:before="312" w:afterLines="100" w:after="312"/>
        <w:rPr>
          <w:rFonts w:ascii="宋体" w:hAnsi="宋体"/>
        </w:rPr>
      </w:pPr>
      <w:r w:rsidRPr="00A4795A">
        <w:rPr>
          <w:rFonts w:hint="eastAsia"/>
        </w:rPr>
        <w:t>确定主要内</w:t>
      </w:r>
      <w:bookmarkEnd w:id="25"/>
      <w:r w:rsidRPr="00A4795A">
        <w:rPr>
          <w:rFonts w:hint="eastAsia"/>
        </w:rPr>
        <w:t>容</w:t>
      </w:r>
    </w:p>
    <w:p w:rsidR="0004299E" w:rsidRPr="00A4795A" w:rsidRDefault="00043D6D">
      <w:pPr>
        <w:pStyle w:val="af2"/>
        <w:numPr>
          <w:ilvl w:val="1"/>
          <w:numId w:val="13"/>
        </w:numPr>
        <w:spacing w:beforeLines="100" w:before="312" w:afterLines="100" w:after="312"/>
        <w:contextualSpacing/>
        <w:rPr>
          <w:rFonts w:hAnsi="黑体"/>
          <w:szCs w:val="21"/>
        </w:rPr>
      </w:pPr>
      <w:bookmarkStart w:id="26" w:name="_Toc464728964"/>
      <w:r w:rsidRPr="00A4795A">
        <w:rPr>
          <w:rFonts w:hAnsi="黑体" w:hint="eastAsia"/>
          <w:szCs w:val="21"/>
        </w:rPr>
        <w:t>范围</w:t>
      </w:r>
    </w:p>
    <w:p w:rsidR="0004299E" w:rsidRPr="00A4795A" w:rsidRDefault="00C8763C" w:rsidP="00C8763C">
      <w:pPr>
        <w:spacing w:line="360" w:lineRule="auto"/>
        <w:ind w:firstLineChars="200" w:firstLine="420"/>
        <w:rPr>
          <w:szCs w:val="21"/>
        </w:rPr>
      </w:pPr>
      <w:r w:rsidRPr="00A4795A">
        <w:rPr>
          <w:rFonts w:hint="eastAsia"/>
        </w:rPr>
        <w:t>本规范适用于温度不超过</w:t>
      </w:r>
      <w:r w:rsidRPr="00A4795A">
        <w:rPr>
          <w:rFonts w:hint="eastAsia"/>
        </w:rPr>
        <w:t>1200</w:t>
      </w:r>
      <w:r w:rsidRPr="00A4795A">
        <w:rPr>
          <w:rFonts w:hint="eastAsia"/>
        </w:rPr>
        <w:t>℃电阻式真空炉（以下简称真空炉）的校准，其他类似的电阻炉的校准也可参考本标准。</w:t>
      </w:r>
      <w:r w:rsidR="00043D6D" w:rsidRPr="00A4795A">
        <w:rPr>
          <w:rFonts w:hint="eastAsia"/>
        </w:rPr>
        <w:t>由于</w:t>
      </w:r>
      <w:r w:rsidRPr="00A4795A">
        <w:rPr>
          <w:rFonts w:hint="eastAsia"/>
        </w:rPr>
        <w:t>真空退火炉</w:t>
      </w:r>
      <w:r w:rsidR="00043D6D" w:rsidRPr="00A4795A">
        <w:rPr>
          <w:rFonts w:hint="eastAsia"/>
        </w:rPr>
        <w:t>广泛应用于</w:t>
      </w:r>
      <w:r w:rsidR="00043D6D" w:rsidRPr="00A4795A">
        <w:rPr>
          <w:rFonts w:hint="eastAsia"/>
          <w:szCs w:val="21"/>
        </w:rPr>
        <w:t>有色金属行业应用，属于行业特色设备，国内外缺少本设备的校准规程，因此本规范对</w:t>
      </w:r>
      <w:r w:rsidRPr="00A4795A">
        <w:rPr>
          <w:rFonts w:hint="eastAsia"/>
        </w:rPr>
        <w:t>真空退火炉</w:t>
      </w:r>
      <w:r w:rsidR="00043D6D" w:rsidRPr="00A4795A">
        <w:rPr>
          <w:rFonts w:hint="eastAsia"/>
          <w:szCs w:val="21"/>
        </w:rPr>
        <w:t>的计量特性进行了校准。本校准规范规定了</w:t>
      </w:r>
      <w:r w:rsidRPr="00A4795A">
        <w:rPr>
          <w:rFonts w:hint="eastAsia"/>
        </w:rPr>
        <w:t>真空退火炉</w:t>
      </w:r>
      <w:r w:rsidR="00043D6D" w:rsidRPr="00A4795A">
        <w:rPr>
          <w:rFonts w:hint="eastAsia"/>
          <w:szCs w:val="21"/>
        </w:rPr>
        <w:t>的计量性能要求、通用技术要求、校准条件、校准项目和校准方法、校准结果表达及复校时间间隔。</w:t>
      </w:r>
    </w:p>
    <w:p w:rsidR="0004299E" w:rsidRPr="00A4795A" w:rsidRDefault="00043D6D">
      <w:pPr>
        <w:pStyle w:val="af2"/>
        <w:spacing w:beforeLines="100" w:before="312" w:afterLines="100" w:after="312"/>
        <w:contextualSpacing/>
        <w:rPr>
          <w:rFonts w:hAnsi="黑体"/>
          <w:szCs w:val="21"/>
        </w:rPr>
      </w:pPr>
      <w:r w:rsidRPr="00A4795A">
        <w:rPr>
          <w:rFonts w:hAnsi="黑体" w:hint="eastAsia"/>
          <w:szCs w:val="21"/>
        </w:rPr>
        <w:t>引用文件</w:t>
      </w:r>
    </w:p>
    <w:p w:rsidR="00ED5F91" w:rsidRPr="00A4795A" w:rsidRDefault="00043D6D">
      <w:pPr>
        <w:pStyle w:val="afff4"/>
        <w:spacing w:line="324" w:lineRule="auto"/>
        <w:ind w:firstLine="420"/>
        <w:rPr>
          <w:szCs w:val="21"/>
        </w:rPr>
      </w:pPr>
      <w:r w:rsidRPr="00A4795A">
        <w:rPr>
          <w:rFonts w:hint="eastAsia"/>
          <w:szCs w:val="21"/>
        </w:rPr>
        <w:t>本</w:t>
      </w:r>
      <w:r w:rsidR="00ED5F91" w:rsidRPr="00A4795A">
        <w:rPr>
          <w:rFonts w:hint="eastAsia"/>
          <w:szCs w:val="21"/>
        </w:rPr>
        <w:t>规范引用了下列文件：</w:t>
      </w:r>
    </w:p>
    <w:p w:rsidR="00F60A46" w:rsidRPr="00A4795A" w:rsidRDefault="00F60A46" w:rsidP="00F60A46">
      <w:pPr>
        <w:pStyle w:val="afff4"/>
        <w:spacing w:line="324" w:lineRule="auto"/>
        <w:ind w:firstLine="420"/>
        <w:rPr>
          <w:rFonts w:ascii="Times New Roman" w:hAnsi="Times New Roman"/>
          <w:szCs w:val="21"/>
        </w:rPr>
      </w:pPr>
      <w:bookmarkStart w:id="27" w:name="_Hlk37535606"/>
      <w:r w:rsidRPr="00A4795A">
        <w:rPr>
          <w:rFonts w:ascii="Times New Roman" w:hAnsi="Times New Roman"/>
          <w:szCs w:val="21"/>
        </w:rPr>
        <w:t xml:space="preserve">JJF 1376 </w:t>
      </w:r>
      <w:r w:rsidRPr="00A4795A">
        <w:rPr>
          <w:rFonts w:ascii="Times New Roman" w:hAnsi="Times New Roman"/>
          <w:szCs w:val="21"/>
        </w:rPr>
        <w:t>箱式电阻炉校准规范</w:t>
      </w:r>
    </w:p>
    <w:p w:rsidR="00F60A46" w:rsidRPr="00A4795A" w:rsidRDefault="00F60A46" w:rsidP="00F60A46">
      <w:pPr>
        <w:pStyle w:val="afff4"/>
        <w:spacing w:line="324" w:lineRule="auto"/>
        <w:ind w:firstLine="420"/>
        <w:rPr>
          <w:rFonts w:ascii="Times New Roman" w:hAnsi="Times New Roman"/>
          <w:szCs w:val="21"/>
        </w:rPr>
      </w:pPr>
      <w:r w:rsidRPr="00A4795A">
        <w:rPr>
          <w:rFonts w:ascii="Times New Roman" w:hAnsi="Times New Roman"/>
          <w:szCs w:val="21"/>
        </w:rPr>
        <w:t xml:space="preserve">GB/T 9452 </w:t>
      </w:r>
      <w:r w:rsidRPr="00A4795A">
        <w:rPr>
          <w:rFonts w:ascii="Times New Roman" w:hAnsi="Times New Roman"/>
          <w:szCs w:val="21"/>
        </w:rPr>
        <w:t>热处理炉有效加热区测定方法</w:t>
      </w:r>
    </w:p>
    <w:bookmarkEnd w:id="27"/>
    <w:p w:rsidR="00ED5F91" w:rsidRPr="00A4795A" w:rsidRDefault="00ED5F91" w:rsidP="00ED5F91">
      <w:pPr>
        <w:spacing w:line="360" w:lineRule="auto"/>
        <w:ind w:firstLineChars="200" w:firstLine="420"/>
        <w:rPr>
          <w:kern w:val="0"/>
          <w:szCs w:val="20"/>
        </w:rPr>
      </w:pPr>
      <w:r w:rsidRPr="00A4795A">
        <w:rPr>
          <w:rFonts w:hint="eastAsia"/>
          <w:kern w:val="0"/>
          <w:szCs w:val="20"/>
        </w:rPr>
        <w:t>凡是注日期的引用文件，仅注日期的版本适用于本规范；凡是不注日期的引用文件，其最新版本（包括所有的修改单）适用于本规范。</w:t>
      </w:r>
    </w:p>
    <w:p w:rsidR="0004299E" w:rsidRPr="00A4795A" w:rsidRDefault="00043D6D">
      <w:pPr>
        <w:pStyle w:val="af2"/>
        <w:spacing w:beforeLines="100" w:before="312" w:afterLines="100" w:after="312"/>
        <w:contextualSpacing/>
        <w:rPr>
          <w:rFonts w:hAnsi="黑体"/>
          <w:szCs w:val="21"/>
        </w:rPr>
      </w:pPr>
      <w:bookmarkStart w:id="28" w:name="_Toc193619097"/>
      <w:bookmarkStart w:id="29" w:name="_Toc193618952"/>
      <w:bookmarkStart w:id="30" w:name="_Toc500258937"/>
      <w:bookmarkStart w:id="31" w:name="_Toc193860211"/>
      <w:bookmarkStart w:id="32" w:name="_Toc193619055"/>
      <w:bookmarkStart w:id="33" w:name="_Toc193860180"/>
      <w:bookmarkStart w:id="34" w:name="_Toc116_WPSOffice_Level1"/>
      <w:bookmarkStart w:id="35" w:name="_Toc193860030"/>
      <w:r w:rsidRPr="00A4795A">
        <w:rPr>
          <w:rFonts w:hAnsi="黑体" w:hint="eastAsia"/>
          <w:szCs w:val="21"/>
        </w:rPr>
        <w:t>概述</w:t>
      </w:r>
      <w:bookmarkEnd w:id="28"/>
      <w:bookmarkEnd w:id="29"/>
      <w:bookmarkEnd w:id="30"/>
      <w:bookmarkEnd w:id="31"/>
      <w:bookmarkEnd w:id="32"/>
      <w:bookmarkEnd w:id="33"/>
      <w:bookmarkEnd w:id="34"/>
      <w:bookmarkEnd w:id="35"/>
    </w:p>
    <w:p w:rsidR="00CE4021" w:rsidRPr="00A4795A" w:rsidRDefault="00CE4021" w:rsidP="00CE4021">
      <w:pPr>
        <w:spacing w:line="360" w:lineRule="auto"/>
        <w:ind w:firstLineChars="200" w:firstLine="420"/>
        <w:rPr>
          <w:kern w:val="0"/>
          <w:szCs w:val="20"/>
        </w:rPr>
      </w:pPr>
      <w:bookmarkStart w:id="36" w:name="_Toc193860031"/>
      <w:bookmarkStart w:id="37" w:name="_Toc193619098"/>
      <w:bookmarkStart w:id="38" w:name="_Toc500258938"/>
      <w:bookmarkStart w:id="39" w:name="_Toc193860212"/>
      <w:bookmarkStart w:id="40" w:name="_Toc193618953"/>
      <w:bookmarkStart w:id="41" w:name="_Toc193619056"/>
      <w:bookmarkStart w:id="42" w:name="_Toc16188_WPSOffice_Level1"/>
      <w:bookmarkStart w:id="43" w:name="_Toc193860181"/>
      <w:r w:rsidRPr="00A4795A">
        <w:rPr>
          <w:kern w:val="0"/>
          <w:szCs w:val="20"/>
        </w:rPr>
        <w:t>真空退火炉</w:t>
      </w:r>
      <w:r w:rsidRPr="00A4795A">
        <w:rPr>
          <w:rFonts w:hint="eastAsia"/>
          <w:kern w:val="0"/>
          <w:szCs w:val="20"/>
        </w:rPr>
        <w:t>是</w:t>
      </w:r>
      <w:r w:rsidRPr="00A4795A">
        <w:rPr>
          <w:kern w:val="0"/>
          <w:szCs w:val="20"/>
        </w:rPr>
        <w:t>在保护气氛控制下</w:t>
      </w:r>
      <w:r w:rsidRPr="00A4795A">
        <w:rPr>
          <w:rFonts w:hint="eastAsia"/>
          <w:kern w:val="0"/>
          <w:szCs w:val="20"/>
        </w:rPr>
        <w:t>对材料</w:t>
      </w:r>
      <w:r w:rsidRPr="00A4795A">
        <w:rPr>
          <w:kern w:val="0"/>
          <w:szCs w:val="20"/>
        </w:rPr>
        <w:t>进行连续光亮退火、固溶、退磁及不锈钢淬火处理</w:t>
      </w:r>
      <w:r w:rsidRPr="00A4795A">
        <w:rPr>
          <w:rFonts w:hint="eastAsia"/>
          <w:kern w:val="0"/>
          <w:szCs w:val="20"/>
        </w:rPr>
        <w:t>等，</w:t>
      </w:r>
      <w:r w:rsidRPr="00A4795A">
        <w:rPr>
          <w:kern w:val="0"/>
          <w:szCs w:val="20"/>
        </w:rPr>
        <w:t>处理后产品表面光洁、不氧化、不脱碳，</w:t>
      </w:r>
      <w:r w:rsidRPr="00A4795A">
        <w:rPr>
          <w:rFonts w:hint="eastAsia"/>
          <w:kern w:val="0"/>
          <w:szCs w:val="20"/>
        </w:rPr>
        <w:t>广泛</w:t>
      </w:r>
      <w:r w:rsidRPr="00A4795A">
        <w:rPr>
          <w:kern w:val="0"/>
          <w:szCs w:val="20"/>
        </w:rPr>
        <w:t>应用</w:t>
      </w:r>
      <w:r w:rsidRPr="00A4795A">
        <w:rPr>
          <w:rFonts w:hint="eastAsia"/>
          <w:kern w:val="0"/>
          <w:szCs w:val="20"/>
        </w:rPr>
        <w:t>于</w:t>
      </w:r>
      <w:r w:rsidRPr="00A4795A">
        <w:rPr>
          <w:kern w:val="0"/>
          <w:szCs w:val="20"/>
        </w:rPr>
        <w:t>高温合金钢、磁性材料、有色金属和钛合金等材料的退火。</w:t>
      </w:r>
    </w:p>
    <w:p w:rsidR="00CE4021" w:rsidRPr="00A4795A" w:rsidRDefault="00CE4021" w:rsidP="00CE4021">
      <w:pPr>
        <w:spacing w:line="360" w:lineRule="auto"/>
        <w:ind w:firstLineChars="200" w:firstLine="420"/>
        <w:rPr>
          <w:kern w:val="0"/>
          <w:szCs w:val="20"/>
        </w:rPr>
      </w:pPr>
      <w:r w:rsidRPr="00A4795A">
        <w:rPr>
          <w:kern w:val="0"/>
          <w:szCs w:val="20"/>
        </w:rPr>
        <w:t>真空炉热处理炉主要由炉体、</w:t>
      </w:r>
      <w:r w:rsidRPr="00A4795A">
        <w:rPr>
          <w:rFonts w:hint="eastAsia"/>
          <w:kern w:val="0"/>
          <w:szCs w:val="20"/>
        </w:rPr>
        <w:t>保温加热系统、</w:t>
      </w:r>
      <w:r w:rsidRPr="00A4795A">
        <w:rPr>
          <w:kern w:val="0"/>
          <w:szCs w:val="20"/>
        </w:rPr>
        <w:t>真空系统、工艺气路系统、水冷系统和电气控制系统等组成。热处理常用真空炉结构一般分为卧式炉、立式炉。卧式结构图见图（</w:t>
      </w:r>
      <w:r w:rsidRPr="00A4795A">
        <w:rPr>
          <w:kern w:val="0"/>
          <w:szCs w:val="20"/>
        </w:rPr>
        <w:t>1</w:t>
      </w:r>
      <w:r w:rsidRPr="00A4795A">
        <w:rPr>
          <w:kern w:val="0"/>
          <w:szCs w:val="20"/>
        </w:rPr>
        <w:t>），立式结构见图（</w:t>
      </w:r>
      <w:r w:rsidRPr="00A4795A">
        <w:rPr>
          <w:kern w:val="0"/>
          <w:szCs w:val="20"/>
        </w:rPr>
        <w:t>2</w:t>
      </w:r>
      <w:r w:rsidRPr="00A4795A">
        <w:rPr>
          <w:kern w:val="0"/>
          <w:szCs w:val="20"/>
        </w:rPr>
        <w:t>）。</w:t>
      </w:r>
    </w:p>
    <w:p w:rsidR="00C10883" w:rsidRPr="00A4795A" w:rsidRDefault="00C10883" w:rsidP="00C10883">
      <w:pPr>
        <w:pStyle w:val="af1"/>
      </w:pPr>
    </w:p>
    <w:p w:rsidR="00C10883" w:rsidRPr="00A4795A" w:rsidRDefault="00C10883" w:rsidP="00C10883">
      <w:pPr>
        <w:pStyle w:val="af1"/>
      </w:pPr>
    </w:p>
    <w:p w:rsidR="00C10883" w:rsidRPr="00A4795A" w:rsidRDefault="00CE4021" w:rsidP="00C10883">
      <w:pPr>
        <w:pStyle w:val="af1"/>
      </w:pPr>
      <w:r w:rsidRPr="00A4795A">
        <w:rPr>
          <w:noProof/>
        </w:rPr>
        <w:drawing>
          <wp:anchor distT="0" distB="0" distL="114300" distR="114300" simplePos="0" relativeHeight="251730944" behindDoc="0" locked="0" layoutInCell="1" allowOverlap="1" wp14:anchorId="167E3272" wp14:editId="0261EC13">
            <wp:simplePos x="0" y="0"/>
            <wp:positionH relativeFrom="column">
              <wp:posOffset>768350</wp:posOffset>
            </wp:positionH>
            <wp:positionV relativeFrom="paragraph">
              <wp:posOffset>-722630</wp:posOffset>
            </wp:positionV>
            <wp:extent cx="3898900" cy="3010535"/>
            <wp:effectExtent l="0" t="0" r="635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rotWithShape="1">
                    <a:blip r:embed="rId20">
                      <a:extLst>
                        <a:ext uri="{28A0092B-C50C-407E-A947-70E740481C1C}">
                          <a14:useLocalDpi xmlns:a14="http://schemas.microsoft.com/office/drawing/2010/main" val="0"/>
                        </a:ext>
                      </a:extLst>
                    </a:blip>
                    <a:srcRect b="26247"/>
                    <a:stretch/>
                  </pic:blipFill>
                  <pic:spPr bwMode="auto">
                    <a:xfrm>
                      <a:off x="0" y="0"/>
                      <a:ext cx="3898900" cy="301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 w:rsidR="00CE4021" w:rsidRPr="00A4795A" w:rsidRDefault="00CE4021" w:rsidP="00CE4021">
      <w:pPr>
        <w:pStyle w:val="afff4"/>
        <w:spacing w:line="360" w:lineRule="auto"/>
        <w:ind w:firstLine="360"/>
        <w:jc w:val="center"/>
        <w:rPr>
          <w:sz w:val="18"/>
          <w:szCs w:val="18"/>
        </w:rPr>
      </w:pPr>
    </w:p>
    <w:p w:rsidR="00CE4021" w:rsidRPr="00A4795A" w:rsidRDefault="00CE4021" w:rsidP="00CE4021">
      <w:pPr>
        <w:pStyle w:val="afff4"/>
        <w:spacing w:line="360" w:lineRule="auto"/>
        <w:ind w:firstLine="360"/>
        <w:jc w:val="center"/>
        <w:rPr>
          <w:sz w:val="18"/>
          <w:szCs w:val="18"/>
        </w:rPr>
      </w:pPr>
      <w:r w:rsidRPr="00A4795A">
        <w:rPr>
          <w:rFonts w:hint="eastAsia"/>
          <w:sz w:val="18"/>
          <w:szCs w:val="18"/>
        </w:rPr>
        <w:t>1.炉体主体；2.保温加热系统；3.工艺气路系统；</w:t>
      </w:r>
    </w:p>
    <w:p w:rsidR="00CE4021" w:rsidRPr="00A4795A" w:rsidRDefault="00CE4021" w:rsidP="00CE4021">
      <w:pPr>
        <w:pStyle w:val="afff4"/>
        <w:spacing w:line="360" w:lineRule="auto"/>
        <w:ind w:firstLine="360"/>
        <w:jc w:val="center"/>
        <w:rPr>
          <w:sz w:val="18"/>
          <w:szCs w:val="18"/>
        </w:rPr>
      </w:pPr>
      <w:r w:rsidRPr="00A4795A">
        <w:rPr>
          <w:rFonts w:hint="eastAsia"/>
          <w:sz w:val="18"/>
          <w:szCs w:val="18"/>
        </w:rPr>
        <w:t>4.电气控制系统；5.加热电源；6.真空系统；7.水冷系统；</w:t>
      </w: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r w:rsidRPr="00A4795A">
        <w:rPr>
          <w:rFonts w:ascii="黑体" w:eastAsia="黑体" w:hAnsi="黑体" w:hint="eastAsia"/>
          <w:sz w:val="18"/>
          <w:szCs w:val="18"/>
        </w:rPr>
        <w:t>图</w:t>
      </w:r>
      <w:r w:rsidRPr="00A4795A">
        <w:rPr>
          <w:rFonts w:ascii="黑体" w:eastAsia="黑体" w:hAnsi="黑体"/>
          <w:sz w:val="18"/>
          <w:szCs w:val="18"/>
        </w:rPr>
        <w:t>1</w:t>
      </w:r>
      <w:r w:rsidRPr="00A4795A">
        <w:rPr>
          <w:rFonts w:ascii="黑体" w:eastAsia="黑体" w:hAnsi="黑体" w:hint="eastAsia"/>
          <w:sz w:val="18"/>
          <w:szCs w:val="18"/>
        </w:rPr>
        <w:t xml:space="preserve"> 卧式电阻式真空炉总体结构示意图</w:t>
      </w: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r w:rsidRPr="00A4795A">
        <w:rPr>
          <w:noProof/>
        </w:rPr>
        <w:drawing>
          <wp:anchor distT="0" distB="0" distL="114300" distR="114300" simplePos="0" relativeHeight="251732992" behindDoc="0" locked="0" layoutInCell="1" allowOverlap="1" wp14:anchorId="01AA5246" wp14:editId="7E22F1D7">
            <wp:simplePos x="0" y="0"/>
            <wp:positionH relativeFrom="column">
              <wp:posOffset>622935</wp:posOffset>
            </wp:positionH>
            <wp:positionV relativeFrom="paragraph">
              <wp:posOffset>108643</wp:posOffset>
            </wp:positionV>
            <wp:extent cx="3667760" cy="4001135"/>
            <wp:effectExtent l="0" t="0" r="889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rotWithShape="1">
                    <a:blip r:embed="rId21">
                      <a:extLst>
                        <a:ext uri="{28A0092B-C50C-407E-A947-70E740481C1C}">
                          <a14:useLocalDpi xmlns:a14="http://schemas.microsoft.com/office/drawing/2010/main" val="0"/>
                        </a:ext>
                      </a:extLst>
                    </a:blip>
                    <a:srcRect b="25199"/>
                    <a:stretch/>
                  </pic:blipFill>
                  <pic:spPr bwMode="auto">
                    <a:xfrm>
                      <a:off x="0" y="0"/>
                      <a:ext cx="3667760" cy="4001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p>
    <w:p w:rsidR="00CE4021" w:rsidRPr="00A4795A" w:rsidRDefault="00CE4021" w:rsidP="00CE4021">
      <w:pPr>
        <w:pStyle w:val="afff4"/>
        <w:spacing w:line="360" w:lineRule="auto"/>
        <w:ind w:firstLine="360"/>
        <w:jc w:val="center"/>
        <w:rPr>
          <w:sz w:val="18"/>
          <w:szCs w:val="18"/>
        </w:rPr>
      </w:pPr>
    </w:p>
    <w:p w:rsidR="00CE4021" w:rsidRPr="00A4795A" w:rsidRDefault="00CE4021" w:rsidP="00CE4021">
      <w:pPr>
        <w:pStyle w:val="afff4"/>
        <w:spacing w:line="360" w:lineRule="auto"/>
        <w:ind w:firstLine="360"/>
        <w:jc w:val="center"/>
        <w:rPr>
          <w:sz w:val="18"/>
          <w:szCs w:val="18"/>
        </w:rPr>
      </w:pPr>
      <w:r w:rsidRPr="00A4795A">
        <w:rPr>
          <w:rFonts w:hint="eastAsia"/>
          <w:sz w:val="18"/>
          <w:szCs w:val="18"/>
        </w:rPr>
        <w:t>1.炉体主体；2.保温加热系统；3.工艺气路系统；4.电气控制系统；</w:t>
      </w:r>
    </w:p>
    <w:p w:rsidR="00CE4021" w:rsidRPr="00A4795A" w:rsidRDefault="00CE4021" w:rsidP="00CE4021">
      <w:pPr>
        <w:pStyle w:val="afff4"/>
        <w:spacing w:line="360" w:lineRule="auto"/>
        <w:ind w:firstLine="360"/>
        <w:jc w:val="center"/>
        <w:rPr>
          <w:sz w:val="18"/>
          <w:szCs w:val="18"/>
        </w:rPr>
      </w:pPr>
      <w:r w:rsidRPr="00A4795A">
        <w:rPr>
          <w:rFonts w:hint="eastAsia"/>
          <w:sz w:val="18"/>
          <w:szCs w:val="18"/>
        </w:rPr>
        <w:t>5.加热电源；6.真空系统；7.水冷系统；8.工作平台；</w:t>
      </w:r>
    </w:p>
    <w:p w:rsidR="00CE4021" w:rsidRPr="00A4795A" w:rsidRDefault="00CE4021" w:rsidP="00CE4021">
      <w:pPr>
        <w:autoSpaceDE w:val="0"/>
        <w:autoSpaceDN w:val="0"/>
        <w:adjustRightInd w:val="0"/>
        <w:spacing w:line="440" w:lineRule="exact"/>
        <w:jc w:val="center"/>
        <w:rPr>
          <w:rFonts w:ascii="黑体" w:eastAsia="黑体" w:hAnsi="黑体"/>
          <w:sz w:val="18"/>
          <w:szCs w:val="18"/>
        </w:rPr>
      </w:pPr>
      <w:r w:rsidRPr="00A4795A">
        <w:rPr>
          <w:rFonts w:ascii="黑体" w:eastAsia="黑体" w:hAnsi="黑体" w:hint="eastAsia"/>
          <w:sz w:val="18"/>
          <w:szCs w:val="18"/>
        </w:rPr>
        <w:t>图</w:t>
      </w:r>
      <w:r w:rsidRPr="00A4795A">
        <w:rPr>
          <w:rFonts w:ascii="黑体" w:eastAsia="黑体" w:hAnsi="黑体"/>
          <w:sz w:val="18"/>
          <w:szCs w:val="18"/>
        </w:rPr>
        <w:t>2</w:t>
      </w:r>
      <w:r w:rsidRPr="00A4795A">
        <w:rPr>
          <w:rFonts w:ascii="黑体" w:eastAsia="黑体" w:hAnsi="黑体" w:hint="eastAsia"/>
          <w:sz w:val="18"/>
          <w:szCs w:val="18"/>
        </w:rPr>
        <w:t xml:space="preserve"> 立式电阻式真空炉总体结构示意图</w:t>
      </w:r>
    </w:p>
    <w:p w:rsidR="0004299E" w:rsidRPr="00A4795A" w:rsidRDefault="006738AA" w:rsidP="006738AA">
      <w:pPr>
        <w:pStyle w:val="af2"/>
        <w:numPr>
          <w:ilvl w:val="0"/>
          <w:numId w:val="0"/>
        </w:numPr>
        <w:spacing w:beforeLines="100" w:before="312" w:afterLines="100" w:after="312"/>
        <w:contextualSpacing/>
        <w:rPr>
          <w:rFonts w:hAnsi="黑体"/>
          <w:szCs w:val="21"/>
        </w:rPr>
      </w:pPr>
      <w:r w:rsidRPr="00A4795A">
        <w:rPr>
          <w:rFonts w:hAnsi="黑体" w:hint="eastAsia"/>
          <w:szCs w:val="21"/>
        </w:rPr>
        <w:t xml:space="preserve">4 </w:t>
      </w:r>
      <w:r w:rsidR="00043D6D" w:rsidRPr="00A4795A">
        <w:rPr>
          <w:rFonts w:hAnsi="黑体" w:hint="eastAsia"/>
          <w:szCs w:val="21"/>
        </w:rPr>
        <w:t>计量特性</w:t>
      </w:r>
      <w:bookmarkEnd w:id="36"/>
      <w:bookmarkEnd w:id="37"/>
      <w:bookmarkEnd w:id="38"/>
      <w:bookmarkEnd w:id="39"/>
      <w:bookmarkEnd w:id="40"/>
      <w:bookmarkEnd w:id="41"/>
      <w:bookmarkEnd w:id="42"/>
      <w:bookmarkEnd w:id="43"/>
    </w:p>
    <w:p w:rsidR="00CE4021" w:rsidRPr="00A4795A" w:rsidRDefault="00CE4021" w:rsidP="00CE4021">
      <w:pPr>
        <w:ind w:firstLineChars="200" w:firstLine="420"/>
        <w:rPr>
          <w:kern w:val="0"/>
          <w:szCs w:val="20"/>
        </w:rPr>
      </w:pPr>
      <w:bookmarkStart w:id="44" w:name="_Toc37859816"/>
      <w:r w:rsidRPr="00A4795A">
        <w:rPr>
          <w:kern w:val="0"/>
          <w:szCs w:val="20"/>
        </w:rPr>
        <w:t>炉温均匀性应满足</w:t>
      </w:r>
      <w:r w:rsidRPr="00A4795A">
        <w:rPr>
          <w:rFonts w:hint="eastAsia"/>
          <w:kern w:val="0"/>
          <w:szCs w:val="20"/>
        </w:rPr>
        <w:t>GB/T 9452</w:t>
      </w:r>
      <w:r w:rsidRPr="00A4795A">
        <w:rPr>
          <w:kern w:val="0"/>
          <w:szCs w:val="20"/>
        </w:rPr>
        <w:t>表</w:t>
      </w:r>
      <w:r w:rsidRPr="00A4795A">
        <w:rPr>
          <w:rFonts w:hint="eastAsia"/>
          <w:kern w:val="0"/>
          <w:szCs w:val="20"/>
        </w:rPr>
        <w:t>1</w:t>
      </w:r>
      <w:r w:rsidRPr="00A4795A">
        <w:rPr>
          <w:kern w:val="0"/>
          <w:szCs w:val="20"/>
        </w:rPr>
        <w:t>的规定或用户的使用要求。</w:t>
      </w:r>
    </w:p>
    <w:p w:rsidR="00CE4021" w:rsidRPr="00A4795A" w:rsidRDefault="00CE4021" w:rsidP="00CE4021">
      <w:pPr>
        <w:ind w:firstLineChars="1700" w:firstLine="3570"/>
        <w:rPr>
          <w:kern w:val="0"/>
          <w:szCs w:val="20"/>
        </w:rPr>
      </w:pPr>
      <w:r w:rsidRPr="00A4795A">
        <w:rPr>
          <w:kern w:val="0"/>
          <w:szCs w:val="20"/>
        </w:rPr>
        <w:t>表</w:t>
      </w:r>
      <w:r w:rsidRPr="00A4795A">
        <w:rPr>
          <w:kern w:val="0"/>
          <w:szCs w:val="20"/>
        </w:rPr>
        <w:t xml:space="preserve">1 </w:t>
      </w:r>
      <w:r w:rsidRPr="00A4795A">
        <w:rPr>
          <w:rFonts w:hint="eastAsia"/>
          <w:kern w:val="0"/>
          <w:szCs w:val="20"/>
        </w:rPr>
        <w:t>真空退火炉</w:t>
      </w:r>
      <w:r w:rsidRPr="00A4795A">
        <w:rPr>
          <w:kern w:val="0"/>
          <w:szCs w:val="20"/>
        </w:rPr>
        <w:t>炉温均匀性</w:t>
      </w:r>
      <w:r w:rsidRPr="00A4795A">
        <w:rPr>
          <w:kern w:val="0"/>
          <w:szCs w:val="20"/>
        </w:rPr>
        <w:t xml:space="preserve">                   </w:t>
      </w:r>
      <w:r w:rsidRPr="00A4795A">
        <w:rPr>
          <w:kern w:val="0"/>
          <w:szCs w:val="20"/>
        </w:rPr>
        <w:t>单位：</w:t>
      </w:r>
      <w:r w:rsidRPr="00A4795A">
        <w:rPr>
          <w:kern w:val="0"/>
          <w:szCs w:val="20"/>
        </w:rPr>
        <w:t>℃</w:t>
      </w:r>
    </w:p>
    <w:tbl>
      <w:tblPr>
        <w:tblW w:w="868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1215"/>
        <w:gridCol w:w="1215"/>
        <w:gridCol w:w="1215"/>
        <w:gridCol w:w="1215"/>
        <w:gridCol w:w="1319"/>
      </w:tblGrid>
      <w:tr w:rsidR="00A4795A" w:rsidRPr="00A4795A" w:rsidTr="009C56A6">
        <w:trPr>
          <w:trHeight w:val="521"/>
          <w:jc w:val="center"/>
        </w:trPr>
        <w:tc>
          <w:tcPr>
            <w:tcW w:w="2506"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真空热处理炉类型</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Ⅰ</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Ⅱ</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ⅢA</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Ⅲ</w:t>
            </w:r>
          </w:p>
        </w:tc>
        <w:tc>
          <w:tcPr>
            <w:tcW w:w="1319"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Ⅳ</w:t>
            </w:r>
          </w:p>
        </w:tc>
      </w:tr>
      <w:tr w:rsidR="00A4795A" w:rsidRPr="00A4795A" w:rsidTr="009C56A6">
        <w:trPr>
          <w:trHeight w:val="414"/>
          <w:jc w:val="center"/>
        </w:trPr>
        <w:tc>
          <w:tcPr>
            <w:tcW w:w="2506"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炉温均匀性</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±3</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±5</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±8</w:t>
            </w:r>
          </w:p>
        </w:tc>
        <w:tc>
          <w:tcPr>
            <w:tcW w:w="1215"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±10</w:t>
            </w:r>
          </w:p>
        </w:tc>
        <w:tc>
          <w:tcPr>
            <w:tcW w:w="1319" w:type="dxa"/>
            <w:shd w:val="clear" w:color="auto" w:fill="auto"/>
            <w:vAlign w:val="center"/>
          </w:tcPr>
          <w:p w:rsidR="00CE4021" w:rsidRPr="00A4795A" w:rsidRDefault="00CE4021" w:rsidP="00CE4021">
            <w:pPr>
              <w:ind w:firstLineChars="200" w:firstLine="420"/>
              <w:rPr>
                <w:kern w:val="0"/>
                <w:szCs w:val="20"/>
              </w:rPr>
            </w:pPr>
            <w:r w:rsidRPr="00A4795A">
              <w:rPr>
                <w:kern w:val="0"/>
                <w:szCs w:val="20"/>
              </w:rPr>
              <w:t>±15</w:t>
            </w:r>
          </w:p>
        </w:tc>
      </w:tr>
    </w:tbl>
    <w:p w:rsidR="00CE4021" w:rsidRPr="00A4795A" w:rsidRDefault="00CE4021" w:rsidP="00CE4021">
      <w:pPr>
        <w:ind w:firstLineChars="200" w:firstLine="420"/>
        <w:rPr>
          <w:kern w:val="0"/>
          <w:szCs w:val="20"/>
        </w:rPr>
      </w:pPr>
      <w:r w:rsidRPr="00A4795A">
        <w:rPr>
          <w:rFonts w:hint="eastAsia"/>
          <w:kern w:val="0"/>
          <w:szCs w:val="20"/>
        </w:rPr>
        <w:t xml:space="preserve">     </w:t>
      </w:r>
      <w:r w:rsidRPr="00A4795A">
        <w:rPr>
          <w:rFonts w:hint="eastAsia"/>
          <w:kern w:val="0"/>
          <w:szCs w:val="20"/>
        </w:rPr>
        <w:t>注：以上指标要求不作为合格性判定依据，仅供参考。</w:t>
      </w:r>
    </w:p>
    <w:p w:rsidR="00CE4021" w:rsidRPr="00A4795A" w:rsidRDefault="00CE4021" w:rsidP="00CE4021">
      <w:pPr>
        <w:pStyle w:val="af2"/>
        <w:numPr>
          <w:ilvl w:val="0"/>
          <w:numId w:val="0"/>
        </w:numPr>
        <w:spacing w:beforeLines="100" w:before="312" w:afterLines="100" w:after="312"/>
        <w:contextualSpacing/>
        <w:rPr>
          <w:rFonts w:hAnsi="黑体"/>
          <w:szCs w:val="21"/>
        </w:rPr>
      </w:pPr>
      <w:r w:rsidRPr="00A4795A">
        <w:rPr>
          <w:rFonts w:hAnsi="黑体" w:hint="eastAsia"/>
          <w:szCs w:val="21"/>
        </w:rPr>
        <w:t>5校准条件</w:t>
      </w:r>
    </w:p>
    <w:p w:rsidR="00CE4021" w:rsidRPr="00A4795A" w:rsidRDefault="00CE4021" w:rsidP="00CE4021">
      <w:pPr>
        <w:spacing w:line="360" w:lineRule="auto"/>
        <w:rPr>
          <w:rFonts w:ascii="宋体" w:hAnsi="宋体"/>
          <w:szCs w:val="21"/>
        </w:rPr>
      </w:pPr>
      <w:bookmarkStart w:id="45" w:name="_Toc500258944"/>
      <w:bookmarkStart w:id="46" w:name="_Toc27112_WPSOffice_Level1"/>
      <w:bookmarkEnd w:id="44"/>
      <w:r w:rsidRPr="00A4795A">
        <w:rPr>
          <w:rFonts w:ascii="宋体" w:hAnsi="宋体"/>
          <w:szCs w:val="21"/>
        </w:rPr>
        <w:t>5.1</w:t>
      </w:r>
      <w:r w:rsidRPr="00A4795A">
        <w:rPr>
          <w:rFonts w:ascii="宋体" w:hAnsi="宋体" w:hint="eastAsia"/>
          <w:szCs w:val="21"/>
        </w:rPr>
        <w:t xml:space="preserve"> 环境条件</w:t>
      </w:r>
    </w:p>
    <w:p w:rsidR="00CE4021" w:rsidRPr="00A4795A" w:rsidRDefault="00CE4021" w:rsidP="00CE4021">
      <w:pPr>
        <w:pStyle w:val="afff4"/>
        <w:spacing w:line="360" w:lineRule="auto"/>
        <w:ind w:firstLine="420"/>
        <w:rPr>
          <w:szCs w:val="21"/>
        </w:rPr>
      </w:pPr>
      <w:r w:rsidRPr="00A4795A">
        <w:rPr>
          <w:rFonts w:hint="eastAsia"/>
          <w:szCs w:val="21"/>
        </w:rPr>
        <w:t>校准试验应在</w:t>
      </w:r>
      <w:r w:rsidRPr="00A4795A">
        <w:rPr>
          <w:szCs w:val="21"/>
        </w:rPr>
        <w:t>（15～35）℃</w:t>
      </w:r>
      <w:r w:rsidRPr="00A4795A">
        <w:rPr>
          <w:rFonts w:hint="eastAsia"/>
          <w:szCs w:val="21"/>
        </w:rPr>
        <w:t>，相对湿度≤85%的条件下进行。</w:t>
      </w:r>
    </w:p>
    <w:p w:rsidR="00CE4021" w:rsidRPr="00A4795A" w:rsidRDefault="00CE4021" w:rsidP="00CE4021">
      <w:pPr>
        <w:spacing w:line="360" w:lineRule="auto"/>
        <w:rPr>
          <w:rFonts w:ascii="宋体" w:hAnsi="宋体"/>
          <w:szCs w:val="21"/>
        </w:rPr>
      </w:pPr>
      <w:r w:rsidRPr="00A4795A">
        <w:rPr>
          <w:rFonts w:ascii="宋体" w:hAnsi="宋体"/>
          <w:szCs w:val="21"/>
        </w:rPr>
        <w:t>5.2</w:t>
      </w:r>
      <w:r w:rsidRPr="00A4795A">
        <w:rPr>
          <w:rFonts w:ascii="宋体" w:hAnsi="宋体" w:hint="eastAsia"/>
          <w:szCs w:val="21"/>
        </w:rPr>
        <w:t xml:space="preserve"> 测量标准</w:t>
      </w:r>
    </w:p>
    <w:p w:rsidR="00CE4021" w:rsidRPr="00A4795A" w:rsidRDefault="00CE4021" w:rsidP="00CE4021">
      <w:pPr>
        <w:pStyle w:val="afff4"/>
        <w:spacing w:line="360" w:lineRule="auto"/>
        <w:ind w:firstLine="420"/>
        <w:rPr>
          <w:szCs w:val="21"/>
        </w:rPr>
      </w:pPr>
      <w:r w:rsidRPr="00A4795A">
        <w:rPr>
          <w:szCs w:val="21"/>
        </w:rPr>
        <w:t>测量标准见表</w:t>
      </w:r>
      <w:r w:rsidRPr="00A4795A">
        <w:rPr>
          <w:rFonts w:hint="eastAsia"/>
          <w:szCs w:val="21"/>
        </w:rPr>
        <w:t>2</w:t>
      </w:r>
      <w:r w:rsidRPr="00A4795A">
        <w:rPr>
          <w:szCs w:val="21"/>
        </w:rPr>
        <w:t>。</w:t>
      </w:r>
    </w:p>
    <w:p w:rsidR="00CE4021" w:rsidRPr="00A4795A" w:rsidRDefault="00CE4021" w:rsidP="00CE4021">
      <w:pPr>
        <w:numPr>
          <w:ilvl w:val="0"/>
          <w:numId w:val="16"/>
        </w:numPr>
        <w:autoSpaceDE w:val="0"/>
        <w:autoSpaceDN w:val="0"/>
        <w:adjustRightInd w:val="0"/>
        <w:spacing w:line="440" w:lineRule="exact"/>
        <w:jc w:val="center"/>
        <w:rPr>
          <w:rFonts w:ascii="宋体" w:hAnsi="宋体"/>
          <w:kern w:val="0"/>
          <w:szCs w:val="21"/>
        </w:rPr>
      </w:pPr>
      <w:r w:rsidRPr="00A4795A">
        <w:rPr>
          <w:rFonts w:ascii="宋体" w:hAnsi="宋体"/>
          <w:kern w:val="0"/>
          <w:szCs w:val="21"/>
        </w:rPr>
        <w:t>表</w:t>
      </w:r>
      <w:r w:rsidRPr="00A4795A">
        <w:rPr>
          <w:rFonts w:ascii="宋体" w:hAnsi="宋体" w:hint="eastAsia"/>
          <w:kern w:val="0"/>
          <w:szCs w:val="21"/>
        </w:rPr>
        <w:t xml:space="preserve">2 </w:t>
      </w:r>
      <w:r w:rsidRPr="00A4795A">
        <w:rPr>
          <w:rFonts w:ascii="宋体" w:hAnsi="宋体"/>
          <w:kern w:val="0"/>
          <w:szCs w:val="21"/>
        </w:rPr>
        <w:t>测量标准</w:t>
      </w:r>
    </w:p>
    <w:tbl>
      <w:tblPr>
        <w:tblW w:w="8737" w:type="dxa"/>
        <w:jc w:val="center"/>
        <w:tblInd w:w="464" w:type="dxa"/>
        <w:tblLayout w:type="fixed"/>
        <w:tblCellMar>
          <w:left w:w="10" w:type="dxa"/>
          <w:right w:w="10" w:type="dxa"/>
        </w:tblCellMar>
        <w:tblLook w:val="04A0" w:firstRow="1" w:lastRow="0" w:firstColumn="1" w:lastColumn="0" w:noHBand="0" w:noVBand="1"/>
      </w:tblPr>
      <w:tblGrid>
        <w:gridCol w:w="825"/>
        <w:gridCol w:w="2410"/>
        <w:gridCol w:w="2268"/>
        <w:gridCol w:w="3234"/>
      </w:tblGrid>
      <w:tr w:rsidR="00A4795A" w:rsidRPr="00A4795A" w:rsidTr="009C56A6">
        <w:trPr>
          <w:trHeight w:val="379"/>
          <w:jc w:val="center"/>
        </w:trPr>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序号</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名称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测量范围</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技术要求</w:t>
            </w:r>
          </w:p>
        </w:tc>
      </w:tr>
      <w:tr w:rsidR="00A4795A" w:rsidRPr="00A4795A" w:rsidTr="009C56A6">
        <w:trPr>
          <w:trHeight w:val="598"/>
          <w:jc w:val="center"/>
        </w:trPr>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1</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铠装热电偶</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（0～1300）℃</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廉金属偶不低于Ⅰ级</w:t>
            </w:r>
          </w:p>
        </w:tc>
      </w:tr>
      <w:tr w:rsidR="00A4795A" w:rsidRPr="00A4795A" w:rsidTr="009C56A6">
        <w:trPr>
          <w:trHeight w:val="539"/>
          <w:jc w:val="center"/>
        </w:trPr>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jc w:val="center"/>
              <w:rPr>
                <w:rFonts w:ascii="宋体" w:hAnsi="宋体"/>
                <w:kern w:val="0"/>
                <w:szCs w:val="21"/>
              </w:rPr>
            </w:pPr>
            <w:r w:rsidRPr="00A4795A">
              <w:rPr>
                <w:rFonts w:ascii="宋体" w:hAnsi="宋体"/>
                <w:kern w:val="0"/>
                <w:szCs w:val="21"/>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多通道数据采集器或多通道温度巡检仪</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（0～1300）℃</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E4021" w:rsidRPr="00A4795A" w:rsidRDefault="00CE4021" w:rsidP="009C56A6">
            <w:pPr>
              <w:adjustRightInd w:val="0"/>
              <w:snapToGrid w:val="0"/>
              <w:jc w:val="center"/>
              <w:rPr>
                <w:rFonts w:ascii="宋体" w:hAnsi="宋体"/>
                <w:kern w:val="0"/>
                <w:szCs w:val="21"/>
              </w:rPr>
            </w:pPr>
            <w:r w:rsidRPr="00A4795A">
              <w:rPr>
                <w:rFonts w:ascii="宋体" w:hAnsi="宋体"/>
                <w:kern w:val="0"/>
                <w:szCs w:val="21"/>
              </w:rPr>
              <w:t>不低于0.02级，具备修正功能，可修正热电偶示值误差。</w:t>
            </w:r>
          </w:p>
        </w:tc>
      </w:tr>
    </w:tbl>
    <w:p w:rsidR="00CE4021" w:rsidRPr="00A4795A" w:rsidRDefault="00CE4021" w:rsidP="00CE4021">
      <w:pPr>
        <w:numPr>
          <w:ilvl w:val="0"/>
          <w:numId w:val="16"/>
        </w:numPr>
        <w:spacing w:line="360" w:lineRule="auto"/>
        <w:ind w:firstLineChars="200" w:firstLine="420"/>
        <w:rPr>
          <w:rFonts w:eastAsia="仿宋"/>
          <w:bCs/>
          <w:szCs w:val="18"/>
        </w:rPr>
      </w:pPr>
      <w:r w:rsidRPr="00A4795A">
        <w:rPr>
          <w:rFonts w:eastAsia="仿宋"/>
          <w:bCs/>
          <w:szCs w:val="18"/>
        </w:rPr>
        <w:t>注：也可采用满足测量不确定度要求的其它测量设备进行校准。</w:t>
      </w:r>
    </w:p>
    <w:p w:rsidR="00CE4021" w:rsidRPr="00A4795A" w:rsidRDefault="00CE4021" w:rsidP="00CE4021">
      <w:pPr>
        <w:pStyle w:val="afffffa"/>
        <w:numPr>
          <w:ilvl w:val="0"/>
          <w:numId w:val="16"/>
        </w:numPr>
        <w:spacing w:line="360" w:lineRule="auto"/>
        <w:ind w:firstLineChars="0"/>
        <w:rPr>
          <w:rFonts w:eastAsiaTheme="minorEastAsia"/>
          <w:szCs w:val="21"/>
        </w:rPr>
      </w:pPr>
      <w:r w:rsidRPr="00A4795A">
        <w:rPr>
          <w:rFonts w:eastAsiaTheme="minorEastAsia" w:hint="eastAsia"/>
          <w:szCs w:val="21"/>
        </w:rPr>
        <w:t>5.3</w:t>
      </w:r>
      <w:r w:rsidRPr="00A4795A">
        <w:rPr>
          <w:rFonts w:eastAsiaTheme="minorEastAsia" w:hint="eastAsia"/>
          <w:szCs w:val="21"/>
        </w:rPr>
        <w:t>辅助设备</w:t>
      </w:r>
    </w:p>
    <w:p w:rsidR="00CE4021" w:rsidRPr="00A4795A" w:rsidRDefault="00CE4021" w:rsidP="00CE4021">
      <w:pPr>
        <w:pStyle w:val="afffffa"/>
        <w:numPr>
          <w:ilvl w:val="0"/>
          <w:numId w:val="16"/>
        </w:numPr>
        <w:spacing w:line="360" w:lineRule="auto"/>
        <w:ind w:firstLineChars="0"/>
        <w:rPr>
          <w:rFonts w:eastAsiaTheme="minorEastAsia"/>
          <w:szCs w:val="21"/>
        </w:rPr>
      </w:pPr>
      <w:r w:rsidRPr="00A4795A">
        <w:rPr>
          <w:rFonts w:eastAsiaTheme="minorEastAsia" w:hint="eastAsia"/>
          <w:szCs w:val="21"/>
        </w:rPr>
        <w:t>5</w:t>
      </w:r>
      <w:r w:rsidRPr="00A4795A">
        <w:rPr>
          <w:rFonts w:eastAsiaTheme="minorEastAsia"/>
          <w:szCs w:val="21"/>
        </w:rPr>
        <w:t>.3.1</w:t>
      </w:r>
      <w:r w:rsidRPr="00A4795A">
        <w:rPr>
          <w:rFonts w:eastAsiaTheme="minorEastAsia"/>
          <w:szCs w:val="21"/>
        </w:rPr>
        <w:t>测温法兰</w:t>
      </w:r>
    </w:p>
    <w:p w:rsidR="00CE4021" w:rsidRPr="00A4795A" w:rsidRDefault="00CE4021" w:rsidP="00CE4021">
      <w:pPr>
        <w:pStyle w:val="afffffa"/>
        <w:numPr>
          <w:ilvl w:val="0"/>
          <w:numId w:val="16"/>
        </w:numPr>
        <w:spacing w:line="360" w:lineRule="auto"/>
        <w:ind w:firstLineChars="0"/>
        <w:rPr>
          <w:rFonts w:eastAsiaTheme="minorEastAsia"/>
          <w:szCs w:val="21"/>
        </w:rPr>
      </w:pPr>
      <w:r w:rsidRPr="00A4795A">
        <w:rPr>
          <w:rFonts w:eastAsiaTheme="minorEastAsia"/>
          <w:szCs w:val="21"/>
        </w:rPr>
        <w:t>测温法兰主要是连接热电偶与真空热处理炉的辅助工装（如图</w:t>
      </w:r>
      <w:r w:rsidRPr="00A4795A">
        <w:rPr>
          <w:rFonts w:eastAsiaTheme="minorEastAsia" w:hint="eastAsia"/>
          <w:szCs w:val="21"/>
        </w:rPr>
        <w:t>3</w:t>
      </w:r>
      <w:r w:rsidRPr="00A4795A">
        <w:rPr>
          <w:rFonts w:eastAsiaTheme="minorEastAsia" w:hint="eastAsia"/>
          <w:szCs w:val="21"/>
        </w:rPr>
        <w:t>所示</w:t>
      </w:r>
      <w:r w:rsidRPr="00A4795A">
        <w:rPr>
          <w:rFonts w:eastAsiaTheme="minorEastAsia"/>
          <w:szCs w:val="21"/>
        </w:rPr>
        <w:t>），测温法兰上预留了热电偶安装孔，保证测温热电偶顺利穿入真空炉内，且能保证真空炉的密封性。</w:t>
      </w:r>
    </w:p>
    <w:p w:rsidR="00CE4021" w:rsidRPr="00A4795A" w:rsidRDefault="00CE4021" w:rsidP="00CE4021">
      <w:pPr>
        <w:pStyle w:val="afffffa"/>
        <w:numPr>
          <w:ilvl w:val="0"/>
          <w:numId w:val="16"/>
        </w:numPr>
        <w:spacing w:line="440" w:lineRule="exact"/>
        <w:ind w:firstLineChars="0"/>
        <w:rPr>
          <w:rFonts w:eastAsiaTheme="minorEastAsia"/>
          <w:sz w:val="24"/>
        </w:rPr>
      </w:pPr>
      <w:r w:rsidRPr="00A4795A">
        <w:rPr>
          <w:noProof/>
        </w:rPr>
        <w:drawing>
          <wp:anchor distT="0" distB="0" distL="114300" distR="114300" simplePos="0" relativeHeight="251735040" behindDoc="0" locked="0" layoutInCell="1" allowOverlap="1" wp14:anchorId="1DA4AE9A" wp14:editId="51CB0703">
            <wp:simplePos x="0" y="0"/>
            <wp:positionH relativeFrom="column">
              <wp:posOffset>1683859</wp:posOffset>
            </wp:positionH>
            <wp:positionV relativeFrom="paragraph">
              <wp:posOffset>42545</wp:posOffset>
            </wp:positionV>
            <wp:extent cx="2415540" cy="1616710"/>
            <wp:effectExtent l="0" t="0" r="0" b="2540"/>
            <wp:wrapNone/>
            <wp:docPr id="41" name="图片 41" descr="C:\Users\汉唐计量\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汉唐计量\Desktop\1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900" t="9685" r="-4038" b="11190"/>
                    <a:stretch/>
                  </pic:blipFill>
                  <pic:spPr bwMode="auto">
                    <a:xfrm>
                      <a:off x="0" y="0"/>
                      <a:ext cx="2415540"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4021" w:rsidRPr="00A4795A" w:rsidRDefault="00CE4021" w:rsidP="00CE4021">
      <w:pPr>
        <w:pStyle w:val="afffffa"/>
        <w:numPr>
          <w:ilvl w:val="0"/>
          <w:numId w:val="16"/>
        </w:numPr>
        <w:spacing w:line="440" w:lineRule="exact"/>
        <w:ind w:firstLineChars="0"/>
        <w:rPr>
          <w:rFonts w:eastAsiaTheme="minorEastAsia"/>
          <w:sz w:val="24"/>
        </w:rPr>
      </w:pPr>
    </w:p>
    <w:p w:rsidR="00CE4021" w:rsidRPr="00A4795A" w:rsidRDefault="00CE4021" w:rsidP="00CE4021">
      <w:pPr>
        <w:pStyle w:val="afffffa"/>
        <w:numPr>
          <w:ilvl w:val="0"/>
          <w:numId w:val="16"/>
        </w:numPr>
        <w:spacing w:line="440" w:lineRule="exact"/>
        <w:ind w:firstLineChars="0"/>
        <w:rPr>
          <w:rFonts w:eastAsiaTheme="minorEastAsia"/>
          <w:sz w:val="24"/>
        </w:rPr>
      </w:pPr>
    </w:p>
    <w:p w:rsidR="00CE4021" w:rsidRPr="00A4795A" w:rsidRDefault="00CE4021" w:rsidP="00CE4021">
      <w:pPr>
        <w:pStyle w:val="afffffa"/>
        <w:numPr>
          <w:ilvl w:val="0"/>
          <w:numId w:val="16"/>
        </w:numPr>
        <w:spacing w:line="440" w:lineRule="exact"/>
        <w:ind w:firstLineChars="0"/>
        <w:rPr>
          <w:rFonts w:eastAsiaTheme="minorEastAsia"/>
          <w:sz w:val="24"/>
        </w:rPr>
      </w:pPr>
      <w:r w:rsidRPr="00A4795A">
        <w:rPr>
          <w:noProof/>
        </w:rPr>
        <w:drawing>
          <wp:inline distT="0" distB="0" distL="0" distR="0" wp14:anchorId="74D8D959" wp14:editId="3E1734AD">
            <wp:extent cx="5940425" cy="5462644"/>
            <wp:effectExtent l="0" t="0" r="3175" b="5080"/>
            <wp:docPr id="40" name="图片 40" descr="C:\Users\汉唐计量\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汉唐计量\Desktop\12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5462644"/>
                    </a:xfrm>
                    <a:prstGeom prst="rect">
                      <a:avLst/>
                    </a:prstGeom>
                    <a:noFill/>
                    <a:ln>
                      <a:noFill/>
                    </a:ln>
                  </pic:spPr>
                </pic:pic>
              </a:graphicData>
            </a:graphic>
          </wp:inline>
        </w:drawing>
      </w:r>
    </w:p>
    <w:p w:rsidR="00CE4021" w:rsidRPr="00A4795A" w:rsidRDefault="00CE4021" w:rsidP="00CE4021">
      <w:pPr>
        <w:pStyle w:val="afffffa"/>
        <w:numPr>
          <w:ilvl w:val="0"/>
          <w:numId w:val="16"/>
        </w:numPr>
        <w:spacing w:line="440" w:lineRule="exact"/>
        <w:ind w:firstLineChars="0"/>
        <w:rPr>
          <w:rFonts w:eastAsiaTheme="minorEastAsia"/>
          <w:sz w:val="24"/>
        </w:rPr>
      </w:pPr>
    </w:p>
    <w:p w:rsidR="00CE4021" w:rsidRPr="00A4795A" w:rsidRDefault="00CE4021" w:rsidP="00CE4021">
      <w:pPr>
        <w:pStyle w:val="afffffa"/>
        <w:numPr>
          <w:ilvl w:val="0"/>
          <w:numId w:val="16"/>
        </w:numPr>
        <w:spacing w:line="440" w:lineRule="exact"/>
        <w:ind w:firstLineChars="0"/>
        <w:rPr>
          <w:rFonts w:eastAsiaTheme="minorEastAsia"/>
          <w:sz w:val="24"/>
        </w:rPr>
      </w:pPr>
    </w:p>
    <w:p w:rsidR="00CE4021" w:rsidRPr="00A4795A" w:rsidRDefault="00CE4021" w:rsidP="00CE4021">
      <w:pPr>
        <w:pStyle w:val="afff4"/>
        <w:numPr>
          <w:ilvl w:val="0"/>
          <w:numId w:val="16"/>
        </w:numPr>
        <w:spacing w:line="360" w:lineRule="auto"/>
        <w:ind w:firstLineChars="0"/>
        <w:jc w:val="center"/>
        <w:rPr>
          <w:sz w:val="18"/>
          <w:szCs w:val="18"/>
        </w:rPr>
      </w:pPr>
      <w:r w:rsidRPr="00A4795A">
        <w:rPr>
          <w:rFonts w:hint="eastAsia"/>
          <w:sz w:val="18"/>
          <w:szCs w:val="18"/>
        </w:rPr>
        <w:t>1. 真空退火炉连接台；2.安装通道；3.热电偶紧固螺母；</w:t>
      </w:r>
    </w:p>
    <w:p w:rsidR="00CE4021" w:rsidRPr="00A4795A" w:rsidRDefault="00CE4021" w:rsidP="00CE4021">
      <w:pPr>
        <w:pStyle w:val="afff4"/>
        <w:numPr>
          <w:ilvl w:val="0"/>
          <w:numId w:val="16"/>
        </w:numPr>
        <w:spacing w:line="360" w:lineRule="auto"/>
        <w:ind w:firstLineChars="0"/>
        <w:jc w:val="center"/>
        <w:rPr>
          <w:sz w:val="18"/>
          <w:szCs w:val="18"/>
        </w:rPr>
      </w:pPr>
      <w:r w:rsidRPr="00A4795A">
        <w:rPr>
          <w:rFonts w:hint="eastAsia"/>
          <w:sz w:val="18"/>
          <w:szCs w:val="18"/>
        </w:rPr>
        <w:t>4.热电偶安装孔；5.连接台安装孔；</w:t>
      </w:r>
    </w:p>
    <w:p w:rsidR="00CE4021" w:rsidRPr="00A4795A" w:rsidRDefault="00CE4021" w:rsidP="00CE4021">
      <w:pPr>
        <w:pStyle w:val="afffffa"/>
        <w:numPr>
          <w:ilvl w:val="0"/>
          <w:numId w:val="16"/>
        </w:numPr>
        <w:autoSpaceDE w:val="0"/>
        <w:autoSpaceDN w:val="0"/>
        <w:adjustRightInd w:val="0"/>
        <w:spacing w:line="360" w:lineRule="auto"/>
        <w:ind w:firstLineChars="0"/>
        <w:jc w:val="center"/>
        <w:rPr>
          <w:rFonts w:ascii="黑体" w:eastAsia="黑体" w:hAnsi="黑体"/>
          <w:sz w:val="18"/>
          <w:szCs w:val="18"/>
        </w:rPr>
      </w:pPr>
      <w:r w:rsidRPr="00A4795A">
        <w:rPr>
          <w:rFonts w:ascii="黑体" w:eastAsia="黑体" w:hAnsi="黑体" w:hint="eastAsia"/>
          <w:sz w:val="18"/>
          <w:szCs w:val="18"/>
        </w:rPr>
        <w:t>图3 立式电阻式真空炉总体结构示意图</w:t>
      </w:r>
    </w:p>
    <w:p w:rsidR="00CE4021" w:rsidRPr="00A4795A" w:rsidRDefault="00CE4021" w:rsidP="00CE4021">
      <w:pPr>
        <w:pStyle w:val="afffffa"/>
        <w:numPr>
          <w:ilvl w:val="0"/>
          <w:numId w:val="16"/>
        </w:numPr>
        <w:spacing w:line="440" w:lineRule="exact"/>
        <w:ind w:firstLineChars="0"/>
        <w:rPr>
          <w:rFonts w:eastAsiaTheme="minorEastAsia"/>
          <w:szCs w:val="21"/>
        </w:rPr>
      </w:pPr>
      <w:r w:rsidRPr="00A4795A">
        <w:rPr>
          <w:rFonts w:eastAsiaTheme="minorEastAsia" w:hint="eastAsia"/>
          <w:szCs w:val="21"/>
        </w:rPr>
        <w:t>5</w:t>
      </w:r>
      <w:r w:rsidRPr="00A4795A">
        <w:rPr>
          <w:rFonts w:eastAsiaTheme="minorEastAsia"/>
          <w:szCs w:val="21"/>
        </w:rPr>
        <w:t>.3.2</w:t>
      </w:r>
      <w:r w:rsidRPr="00A4795A">
        <w:rPr>
          <w:rFonts w:eastAsiaTheme="minorEastAsia"/>
          <w:szCs w:val="21"/>
        </w:rPr>
        <w:t>测温架</w:t>
      </w:r>
    </w:p>
    <w:p w:rsidR="00CE4021" w:rsidRPr="00A4795A" w:rsidRDefault="00CE4021" w:rsidP="00CE4021">
      <w:pPr>
        <w:pStyle w:val="afffffa"/>
        <w:numPr>
          <w:ilvl w:val="0"/>
          <w:numId w:val="16"/>
        </w:numPr>
        <w:spacing w:line="440" w:lineRule="exact"/>
        <w:ind w:firstLineChars="0"/>
        <w:rPr>
          <w:rFonts w:eastAsiaTheme="minorEastAsia"/>
          <w:szCs w:val="21"/>
        </w:rPr>
      </w:pPr>
      <w:r w:rsidRPr="00A4795A">
        <w:rPr>
          <w:rFonts w:eastAsiaTheme="minorEastAsia" w:hint="eastAsia"/>
          <w:szCs w:val="21"/>
        </w:rPr>
        <w:t>采用高温合金、不锈钢或低碳钢管</w:t>
      </w:r>
      <w:r w:rsidRPr="00A4795A">
        <w:rPr>
          <w:rFonts w:eastAsiaTheme="minorEastAsia" w:hint="eastAsia"/>
          <w:szCs w:val="21"/>
        </w:rPr>
        <w:t>(</w:t>
      </w:r>
      <w:r w:rsidRPr="00A4795A">
        <w:rPr>
          <w:rFonts w:eastAsiaTheme="minorEastAsia" w:hint="eastAsia"/>
          <w:szCs w:val="21"/>
        </w:rPr>
        <w:t>棒</w:t>
      </w:r>
      <w:r w:rsidRPr="00A4795A">
        <w:rPr>
          <w:rFonts w:eastAsiaTheme="minorEastAsia" w:hint="eastAsia"/>
          <w:szCs w:val="21"/>
        </w:rPr>
        <w:t>)</w:t>
      </w:r>
      <w:r w:rsidRPr="00A4795A">
        <w:rPr>
          <w:rFonts w:eastAsiaTheme="minorEastAsia" w:hint="eastAsia"/>
          <w:szCs w:val="21"/>
        </w:rPr>
        <w:t>焊接而成，用于固定测温铠装热电偶，其形状和大小随真空退火炉有效加热区及测试方法而定。一般用长方体和圆柱体结构作为测温架。</w:t>
      </w:r>
    </w:p>
    <w:p w:rsidR="0004299E" w:rsidRPr="00A4795A" w:rsidRDefault="006738AA" w:rsidP="006738AA">
      <w:pPr>
        <w:pStyle w:val="af2"/>
        <w:numPr>
          <w:ilvl w:val="0"/>
          <w:numId w:val="0"/>
        </w:numPr>
        <w:spacing w:beforeLines="100" w:before="312" w:afterLines="100" w:after="312"/>
        <w:contextualSpacing/>
        <w:rPr>
          <w:rFonts w:hAnsi="黑体"/>
          <w:szCs w:val="21"/>
        </w:rPr>
      </w:pPr>
      <w:r w:rsidRPr="00A4795A">
        <w:rPr>
          <w:rFonts w:hAnsi="黑体" w:hint="eastAsia"/>
          <w:szCs w:val="21"/>
        </w:rPr>
        <w:t>6</w:t>
      </w:r>
      <w:r w:rsidR="00043D6D" w:rsidRPr="00A4795A">
        <w:rPr>
          <w:rFonts w:hAnsi="黑体" w:hint="eastAsia"/>
          <w:szCs w:val="21"/>
        </w:rPr>
        <w:t>校准项目和校准方法</w:t>
      </w:r>
      <w:bookmarkEnd w:id="45"/>
      <w:bookmarkEnd w:id="46"/>
    </w:p>
    <w:p w:rsidR="00CE4021" w:rsidRPr="00A4795A" w:rsidRDefault="00CE4021" w:rsidP="00CE4021">
      <w:pPr>
        <w:rPr>
          <w:rFonts w:asciiTheme="minorEastAsia" w:eastAsiaTheme="minorEastAsia" w:hAnsiTheme="minorEastAsia"/>
          <w:szCs w:val="21"/>
        </w:rPr>
      </w:pPr>
      <w:bookmarkStart w:id="47" w:name="_Toc500258945"/>
      <w:bookmarkStart w:id="48" w:name="_Toc22718_WPSOffice_Level2"/>
      <w:r w:rsidRPr="00A4795A">
        <w:rPr>
          <w:rFonts w:hint="eastAsia"/>
          <w:kern w:val="0"/>
          <w:szCs w:val="21"/>
        </w:rPr>
        <w:t>6.1</w:t>
      </w:r>
      <w:r w:rsidRPr="00A4795A">
        <w:rPr>
          <w:rFonts w:asciiTheme="minorEastAsia" w:eastAsiaTheme="minorEastAsia" w:hAnsiTheme="minorEastAsia" w:hint="eastAsia"/>
          <w:szCs w:val="21"/>
        </w:rPr>
        <w:t xml:space="preserve"> 校准项目</w:t>
      </w:r>
    </w:p>
    <w:p w:rsidR="00CE4021" w:rsidRPr="00A4795A" w:rsidRDefault="00CE4021" w:rsidP="00CE4021">
      <w:pPr>
        <w:spacing w:line="360" w:lineRule="auto"/>
        <w:rPr>
          <w:rFonts w:ascii="宋体" w:hAnsi="宋体"/>
          <w:kern w:val="0"/>
          <w:szCs w:val="21"/>
        </w:rPr>
      </w:pPr>
      <w:r w:rsidRPr="00A4795A">
        <w:rPr>
          <w:rFonts w:hint="eastAsia"/>
          <w:kern w:val="0"/>
          <w:szCs w:val="21"/>
        </w:rPr>
        <w:t>6.1.1</w:t>
      </w:r>
      <w:r w:rsidRPr="00A4795A">
        <w:rPr>
          <w:rFonts w:ascii="宋体" w:hAnsi="宋体" w:hint="eastAsia"/>
          <w:kern w:val="0"/>
          <w:szCs w:val="21"/>
        </w:rPr>
        <w:t xml:space="preserve"> 外观及通用要求</w:t>
      </w:r>
    </w:p>
    <w:p w:rsidR="00CE4021" w:rsidRPr="00A4795A" w:rsidRDefault="00CE4021" w:rsidP="00CE4021">
      <w:pPr>
        <w:pStyle w:val="afff4"/>
        <w:spacing w:line="360" w:lineRule="auto"/>
        <w:ind w:firstLine="420"/>
        <w:rPr>
          <w:szCs w:val="21"/>
        </w:rPr>
      </w:pPr>
      <w:bookmarkStart w:id="49" w:name="_Hlk37534244"/>
      <w:r w:rsidRPr="00A4795A">
        <w:rPr>
          <w:rFonts w:hint="eastAsia"/>
          <w:szCs w:val="21"/>
        </w:rPr>
        <w:t>真空退火炉应标明产品名称、规格型号、制造厂名称、出厂编号的铭牌。各功能正常，不应有影响</w:t>
      </w:r>
      <w:bookmarkEnd w:id="49"/>
      <w:r w:rsidRPr="00A4795A">
        <w:rPr>
          <w:rFonts w:hint="eastAsia"/>
          <w:szCs w:val="21"/>
        </w:rPr>
        <w:t>校准结果的故障。</w:t>
      </w:r>
    </w:p>
    <w:p w:rsidR="00CE4021" w:rsidRPr="00A4795A" w:rsidRDefault="00CE4021" w:rsidP="00CE4021">
      <w:pPr>
        <w:pStyle w:val="afff4"/>
        <w:spacing w:line="360" w:lineRule="auto"/>
        <w:ind w:firstLineChars="0" w:firstLine="0"/>
        <w:rPr>
          <w:szCs w:val="21"/>
        </w:rPr>
      </w:pPr>
      <w:r w:rsidRPr="00A4795A">
        <w:rPr>
          <w:rFonts w:ascii="Times New Roman" w:hAnsi="Times New Roman" w:hint="eastAsia"/>
          <w:szCs w:val="21"/>
        </w:rPr>
        <w:t>6.1.2</w:t>
      </w:r>
      <w:r w:rsidRPr="00A4795A">
        <w:rPr>
          <w:rFonts w:hint="eastAsia"/>
          <w:szCs w:val="21"/>
        </w:rPr>
        <w:t xml:space="preserve"> 校准项目</w:t>
      </w:r>
    </w:p>
    <w:p w:rsidR="00CE4021" w:rsidRPr="00A4795A" w:rsidRDefault="00CE4021" w:rsidP="00CE4021">
      <w:pPr>
        <w:spacing w:line="360" w:lineRule="auto"/>
        <w:ind w:firstLineChars="200" w:firstLine="420"/>
        <w:rPr>
          <w:rFonts w:ascii="宋体" w:hAnsi="宋体"/>
          <w:kern w:val="0"/>
          <w:szCs w:val="21"/>
        </w:rPr>
      </w:pPr>
      <w:bookmarkStart w:id="50" w:name="_Toc22008_WPSOffice_Level2"/>
      <w:r w:rsidRPr="00A4795A">
        <w:rPr>
          <w:rFonts w:ascii="宋体" w:hAnsi="宋体" w:hint="eastAsia"/>
          <w:kern w:val="0"/>
          <w:szCs w:val="21"/>
        </w:rPr>
        <w:t>炉温均匀性</w:t>
      </w:r>
    </w:p>
    <w:p w:rsidR="00CE4021" w:rsidRPr="00A4795A" w:rsidRDefault="00CE4021" w:rsidP="00CE4021">
      <w:pPr>
        <w:spacing w:line="360" w:lineRule="auto"/>
        <w:rPr>
          <w:rFonts w:asciiTheme="minorEastAsia" w:eastAsiaTheme="minorEastAsia" w:hAnsiTheme="minorEastAsia"/>
          <w:szCs w:val="21"/>
        </w:rPr>
      </w:pPr>
      <w:r w:rsidRPr="00A4795A">
        <w:rPr>
          <w:rFonts w:hint="eastAsia"/>
          <w:kern w:val="0"/>
          <w:szCs w:val="21"/>
        </w:rPr>
        <w:t>6.2</w:t>
      </w:r>
      <w:r w:rsidRPr="00A4795A">
        <w:rPr>
          <w:rFonts w:asciiTheme="minorEastAsia" w:eastAsiaTheme="minorEastAsia" w:hAnsiTheme="minorEastAsia" w:hint="eastAsia"/>
          <w:szCs w:val="21"/>
        </w:rPr>
        <w:t xml:space="preserve"> 校准方法</w:t>
      </w:r>
      <w:bookmarkEnd w:id="50"/>
    </w:p>
    <w:p w:rsidR="00CE4021" w:rsidRPr="00A4795A" w:rsidRDefault="00CE4021" w:rsidP="00CE4021">
      <w:pPr>
        <w:spacing w:line="360" w:lineRule="auto"/>
        <w:outlineLvl w:val="0"/>
        <w:rPr>
          <w:rFonts w:asciiTheme="minorEastAsia" w:eastAsiaTheme="minorEastAsia" w:hAnsiTheme="minorEastAsia"/>
          <w:szCs w:val="21"/>
        </w:rPr>
      </w:pPr>
      <w:r w:rsidRPr="00A4795A">
        <w:rPr>
          <w:rFonts w:hint="eastAsia"/>
          <w:kern w:val="0"/>
          <w:szCs w:val="21"/>
        </w:rPr>
        <w:t>6.2.1</w:t>
      </w:r>
      <w:r w:rsidRPr="00A4795A">
        <w:rPr>
          <w:rFonts w:asciiTheme="minorEastAsia" w:eastAsiaTheme="minorEastAsia" w:hAnsiTheme="minorEastAsia" w:hint="eastAsia"/>
          <w:szCs w:val="21"/>
        </w:rPr>
        <w:t xml:space="preserve"> 外观及通用要求的检查</w:t>
      </w:r>
    </w:p>
    <w:p w:rsidR="00CE4021" w:rsidRPr="00A4795A" w:rsidRDefault="00CE4021" w:rsidP="00CE4021">
      <w:pPr>
        <w:spacing w:line="360" w:lineRule="auto"/>
        <w:ind w:firstLine="480"/>
        <w:rPr>
          <w:rFonts w:asciiTheme="minorEastAsia" w:eastAsiaTheme="minorEastAsia" w:hAnsiTheme="minorEastAsia"/>
          <w:szCs w:val="21"/>
        </w:rPr>
      </w:pPr>
      <w:r w:rsidRPr="00A4795A">
        <w:rPr>
          <w:rFonts w:asciiTheme="minorEastAsia" w:eastAsiaTheme="minorEastAsia" w:hAnsiTheme="minorEastAsia" w:hint="eastAsia"/>
          <w:szCs w:val="21"/>
        </w:rPr>
        <w:t>应采用目测及手动的方法进行校准，</w:t>
      </w:r>
      <w:r w:rsidRPr="00A4795A">
        <w:rPr>
          <w:rFonts w:asciiTheme="minorEastAsia" w:eastAsiaTheme="minorEastAsia" w:hAnsiTheme="minorEastAsia"/>
          <w:szCs w:val="21"/>
        </w:rPr>
        <w:t>校准前，</w:t>
      </w:r>
      <w:r w:rsidRPr="00A4795A">
        <w:rPr>
          <w:rFonts w:asciiTheme="minorEastAsia" w:eastAsiaTheme="minorEastAsia" w:hAnsiTheme="minorEastAsia" w:hint="eastAsia"/>
          <w:szCs w:val="21"/>
        </w:rPr>
        <w:t>首先应检查真空退火炉的</w:t>
      </w:r>
      <w:r w:rsidRPr="00A4795A">
        <w:rPr>
          <w:rFonts w:asciiTheme="minorEastAsia" w:eastAsiaTheme="minorEastAsia" w:hAnsiTheme="minorEastAsia"/>
          <w:szCs w:val="21"/>
        </w:rPr>
        <w:t>外观</w:t>
      </w:r>
      <w:r w:rsidRPr="00A4795A">
        <w:rPr>
          <w:rFonts w:asciiTheme="minorEastAsia" w:eastAsiaTheme="minorEastAsia" w:hAnsiTheme="minorEastAsia" w:hint="eastAsia"/>
          <w:szCs w:val="21"/>
        </w:rPr>
        <w:t>，加热系统，温控系统等是否运行正常。</w:t>
      </w:r>
    </w:p>
    <w:p w:rsidR="00CE4021" w:rsidRPr="00A4795A" w:rsidRDefault="00CE4021" w:rsidP="00CE4021">
      <w:pPr>
        <w:spacing w:line="360" w:lineRule="auto"/>
        <w:outlineLvl w:val="0"/>
        <w:rPr>
          <w:kern w:val="0"/>
          <w:szCs w:val="21"/>
        </w:rPr>
      </w:pPr>
      <w:r w:rsidRPr="00A4795A">
        <w:rPr>
          <w:rFonts w:hint="eastAsia"/>
          <w:kern w:val="0"/>
          <w:szCs w:val="21"/>
        </w:rPr>
        <w:t>6.2.2</w:t>
      </w:r>
      <w:r w:rsidRPr="00A4795A">
        <w:rPr>
          <w:kern w:val="0"/>
          <w:szCs w:val="21"/>
        </w:rPr>
        <w:t>测试温度点的选择</w:t>
      </w:r>
    </w:p>
    <w:p w:rsidR="00CE4021" w:rsidRPr="00A4795A" w:rsidRDefault="00CE4021" w:rsidP="00CE4021">
      <w:pPr>
        <w:spacing w:line="440" w:lineRule="exact"/>
        <w:ind w:firstLineChars="200" w:firstLine="420"/>
        <w:rPr>
          <w:rFonts w:asciiTheme="minorEastAsia" w:eastAsiaTheme="minorEastAsia" w:hAnsiTheme="minorEastAsia"/>
          <w:szCs w:val="21"/>
        </w:rPr>
      </w:pPr>
      <w:r w:rsidRPr="00A4795A">
        <w:rPr>
          <w:rFonts w:asciiTheme="minorEastAsia" w:eastAsiaTheme="minorEastAsia" w:hAnsiTheme="minorEastAsia"/>
          <w:szCs w:val="21"/>
        </w:rPr>
        <w:t>一般根据用户常用温度作为测量点，当客户满量程范围使用时，至少应该在真空炉标称温度范围选择低、中、高作为测试点。</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3</w:t>
      </w:r>
      <w:r w:rsidRPr="00A4795A">
        <w:rPr>
          <w:rFonts w:asciiTheme="minorEastAsia" w:eastAsiaTheme="minorEastAsia" w:hAnsiTheme="minorEastAsia"/>
          <w:szCs w:val="21"/>
        </w:rPr>
        <w:t>测温区的选择</w:t>
      </w:r>
    </w:p>
    <w:p w:rsidR="00CE4021" w:rsidRPr="00A4795A" w:rsidRDefault="00CE4021" w:rsidP="00CE4021">
      <w:pPr>
        <w:spacing w:line="440" w:lineRule="exact"/>
        <w:ind w:firstLineChars="200" w:firstLine="420"/>
        <w:rPr>
          <w:rFonts w:asciiTheme="minorEastAsia" w:eastAsiaTheme="minorEastAsia" w:hAnsiTheme="minorEastAsia"/>
          <w:szCs w:val="21"/>
        </w:rPr>
      </w:pPr>
      <w:r w:rsidRPr="00A4795A">
        <w:rPr>
          <w:rFonts w:asciiTheme="minorEastAsia" w:eastAsiaTheme="minorEastAsia" w:hAnsiTheme="minorEastAsia"/>
          <w:szCs w:val="21"/>
        </w:rPr>
        <w:t>用户实际使用的工件放置区域作为测试区域。</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4</w:t>
      </w:r>
      <w:r w:rsidRPr="00A4795A">
        <w:rPr>
          <w:rFonts w:asciiTheme="minorEastAsia" w:eastAsiaTheme="minorEastAsia" w:hAnsiTheme="minorEastAsia"/>
          <w:szCs w:val="21"/>
        </w:rPr>
        <w:t>测试点的数量和热电偶位置分布</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4</w:t>
      </w:r>
      <w:r w:rsidRPr="00A4795A">
        <w:rPr>
          <w:rFonts w:asciiTheme="minorEastAsia" w:eastAsiaTheme="minorEastAsia" w:hAnsiTheme="minorEastAsia"/>
          <w:szCs w:val="21"/>
        </w:rPr>
        <w:t>.1卧式真空炉</w:t>
      </w:r>
    </w:p>
    <w:p w:rsidR="00CE4021" w:rsidRPr="00A4795A" w:rsidRDefault="00CE4021" w:rsidP="00CE4021">
      <w:pPr>
        <w:spacing w:line="440" w:lineRule="exact"/>
        <w:ind w:firstLineChars="200" w:firstLine="420"/>
        <w:rPr>
          <w:rFonts w:asciiTheme="minorEastAsia" w:eastAsiaTheme="minorEastAsia" w:hAnsiTheme="minorEastAsia"/>
          <w:szCs w:val="21"/>
        </w:rPr>
      </w:pPr>
      <w:r w:rsidRPr="00A4795A">
        <w:rPr>
          <w:rFonts w:asciiTheme="minorEastAsia" w:eastAsiaTheme="minorEastAsia" w:hAnsiTheme="minorEastAsia"/>
          <w:szCs w:val="21"/>
        </w:rPr>
        <w:t>卧式真空炉的均温区是一个长方体区域，测温位置和分布见下表</w:t>
      </w:r>
      <w:r w:rsidRPr="00A4795A">
        <w:rPr>
          <w:rFonts w:asciiTheme="minorEastAsia" w:eastAsiaTheme="minorEastAsia" w:hAnsiTheme="minorEastAsia" w:hint="eastAsia"/>
          <w:szCs w:val="21"/>
        </w:rPr>
        <w:t>3</w:t>
      </w:r>
      <w:r w:rsidRPr="00A4795A">
        <w:rPr>
          <w:rFonts w:asciiTheme="minorEastAsia" w:eastAsiaTheme="minorEastAsia" w:hAnsiTheme="minorEastAsia"/>
          <w:szCs w:val="21"/>
        </w:rPr>
        <w:t>。</w:t>
      </w:r>
    </w:p>
    <w:p w:rsidR="00CE4021" w:rsidRPr="00A4795A" w:rsidRDefault="00CE4021" w:rsidP="00CE4021">
      <w:pPr>
        <w:numPr>
          <w:ilvl w:val="0"/>
          <w:numId w:val="16"/>
        </w:numPr>
        <w:autoSpaceDE w:val="0"/>
        <w:autoSpaceDN w:val="0"/>
        <w:adjustRightInd w:val="0"/>
        <w:spacing w:line="440" w:lineRule="exact"/>
        <w:jc w:val="right"/>
        <w:rPr>
          <w:rFonts w:eastAsia="黑体"/>
          <w:kern w:val="0"/>
        </w:rPr>
      </w:pPr>
      <w:r w:rsidRPr="00A4795A">
        <w:rPr>
          <w:rFonts w:eastAsia="黑体"/>
          <w:kern w:val="0"/>
        </w:rPr>
        <w:t>表</w:t>
      </w:r>
      <w:r w:rsidRPr="00A4795A">
        <w:rPr>
          <w:rFonts w:eastAsia="黑体" w:hint="eastAsia"/>
          <w:kern w:val="0"/>
        </w:rPr>
        <w:t xml:space="preserve">3  </w:t>
      </w:r>
      <w:r w:rsidRPr="00A4795A">
        <w:rPr>
          <w:rFonts w:eastAsia="黑体"/>
          <w:kern w:val="0"/>
        </w:rPr>
        <w:t>卧式真空炉热电偶数量和位置分布</w:t>
      </w:r>
      <w:r w:rsidRPr="00A4795A">
        <w:rPr>
          <w:rFonts w:eastAsia="黑体"/>
          <w:kern w:val="0"/>
        </w:rPr>
        <w:t xml:space="preserve">                    </w:t>
      </w:r>
      <w:r w:rsidRPr="00A4795A">
        <w:rPr>
          <w:rFonts w:eastAsia="黑体"/>
          <w:kern w:val="0"/>
        </w:rPr>
        <w:t>单位：</w:t>
      </w:r>
      <w:r w:rsidRPr="00A4795A">
        <w:rPr>
          <w:rFonts w:eastAsia="黑体"/>
          <w:kern w:val="0"/>
        </w:rPr>
        <w:t>m</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001"/>
        <w:gridCol w:w="3636"/>
        <w:gridCol w:w="4095"/>
      </w:tblGrid>
      <w:tr w:rsidR="00A4795A" w:rsidRPr="00A4795A" w:rsidTr="009C56A6">
        <w:trPr>
          <w:trHeight w:val="474"/>
          <w:jc w:val="center"/>
        </w:trPr>
        <w:tc>
          <w:tcPr>
            <w:tcW w:w="675" w:type="dxa"/>
            <w:vMerge w:val="restart"/>
            <w:vAlign w:val="center"/>
          </w:tcPr>
          <w:p w:rsidR="00CE4021" w:rsidRPr="00A4795A" w:rsidRDefault="00CE4021" w:rsidP="009C56A6">
            <w:pPr>
              <w:jc w:val="center"/>
            </w:pPr>
            <w:r w:rsidRPr="00A4795A">
              <w:t>宽</w:t>
            </w:r>
            <w:r w:rsidRPr="00A4795A">
              <w:rPr>
                <w:i/>
                <w:iCs/>
              </w:rPr>
              <w:t>b</w:t>
            </w:r>
          </w:p>
        </w:tc>
        <w:tc>
          <w:tcPr>
            <w:tcW w:w="1001" w:type="dxa"/>
            <w:vMerge w:val="restart"/>
            <w:vAlign w:val="center"/>
          </w:tcPr>
          <w:p w:rsidR="00CE4021" w:rsidRPr="00A4795A" w:rsidRDefault="00CE4021" w:rsidP="009C56A6">
            <w:pPr>
              <w:jc w:val="center"/>
            </w:pPr>
            <w:r w:rsidRPr="00A4795A">
              <w:t>长度（深度）</w:t>
            </w:r>
            <w:r w:rsidRPr="00A4795A">
              <w:rPr>
                <w:i/>
                <w:iCs/>
              </w:rPr>
              <w:t>l</w:t>
            </w:r>
          </w:p>
        </w:tc>
        <w:tc>
          <w:tcPr>
            <w:tcW w:w="7731" w:type="dxa"/>
            <w:gridSpan w:val="2"/>
            <w:vAlign w:val="center"/>
          </w:tcPr>
          <w:p w:rsidR="00CE4021" w:rsidRPr="00A4795A" w:rsidRDefault="00CE4021" w:rsidP="009C56A6">
            <w:pPr>
              <w:jc w:val="center"/>
            </w:pPr>
            <w:r w:rsidRPr="00A4795A">
              <w:t>高</w:t>
            </w:r>
            <w:r w:rsidRPr="00A4795A">
              <w:rPr>
                <w:i/>
                <w:iCs/>
              </w:rPr>
              <w:t>h</w:t>
            </w:r>
          </w:p>
        </w:tc>
      </w:tr>
      <w:tr w:rsidR="00A4795A" w:rsidRPr="00A4795A" w:rsidTr="009C56A6">
        <w:trPr>
          <w:trHeight w:val="453"/>
          <w:jc w:val="center"/>
        </w:trPr>
        <w:tc>
          <w:tcPr>
            <w:tcW w:w="675" w:type="dxa"/>
            <w:vMerge/>
            <w:vAlign w:val="center"/>
          </w:tcPr>
          <w:p w:rsidR="00CE4021" w:rsidRPr="00A4795A" w:rsidRDefault="00CE4021" w:rsidP="009C56A6">
            <w:pPr>
              <w:jc w:val="center"/>
            </w:pPr>
          </w:p>
        </w:tc>
        <w:tc>
          <w:tcPr>
            <w:tcW w:w="1001" w:type="dxa"/>
            <w:vMerge/>
            <w:vAlign w:val="center"/>
          </w:tcPr>
          <w:p w:rsidR="00CE4021" w:rsidRPr="00A4795A" w:rsidRDefault="00CE4021" w:rsidP="009C56A6">
            <w:pPr>
              <w:jc w:val="center"/>
            </w:pPr>
          </w:p>
        </w:tc>
        <w:tc>
          <w:tcPr>
            <w:tcW w:w="3636" w:type="dxa"/>
            <w:vAlign w:val="center"/>
          </w:tcPr>
          <w:p w:rsidR="00CE4021" w:rsidRPr="00A4795A" w:rsidRDefault="00CE4021" w:rsidP="009C56A6">
            <w:pPr>
              <w:jc w:val="center"/>
            </w:pPr>
            <w:r w:rsidRPr="00A4795A">
              <w:t>&lt;0.5</w:t>
            </w:r>
          </w:p>
        </w:tc>
        <w:tc>
          <w:tcPr>
            <w:tcW w:w="4095" w:type="dxa"/>
            <w:vAlign w:val="center"/>
          </w:tcPr>
          <w:p w:rsidR="00CE4021" w:rsidRPr="00A4795A" w:rsidRDefault="00CE4021" w:rsidP="009C56A6">
            <w:pPr>
              <w:jc w:val="center"/>
            </w:pPr>
            <w:r w:rsidRPr="00A4795A">
              <w:t>≥0.5</w:t>
            </w:r>
          </w:p>
        </w:tc>
      </w:tr>
      <w:tr w:rsidR="00A4795A" w:rsidRPr="00A4795A" w:rsidTr="009C56A6">
        <w:trPr>
          <w:trHeight w:val="3072"/>
          <w:jc w:val="center"/>
        </w:trPr>
        <w:tc>
          <w:tcPr>
            <w:tcW w:w="675" w:type="dxa"/>
            <w:vMerge w:val="restart"/>
            <w:vAlign w:val="center"/>
          </w:tcPr>
          <w:p w:rsidR="00CE4021" w:rsidRPr="00A4795A" w:rsidRDefault="00CE4021" w:rsidP="009C56A6">
            <w:pPr>
              <w:jc w:val="center"/>
            </w:pPr>
            <w:r w:rsidRPr="00A4795A">
              <w:t>≤1.5</w:t>
            </w:r>
          </w:p>
        </w:tc>
        <w:tc>
          <w:tcPr>
            <w:tcW w:w="1001" w:type="dxa"/>
            <w:vAlign w:val="center"/>
          </w:tcPr>
          <w:p w:rsidR="00CE4021" w:rsidRPr="00A4795A" w:rsidRDefault="00CE4021" w:rsidP="009C56A6">
            <w:pPr>
              <w:jc w:val="center"/>
            </w:pPr>
            <w:r w:rsidRPr="00A4795A">
              <w:t>&lt;2</w:t>
            </w:r>
          </w:p>
        </w:tc>
        <w:tc>
          <w:tcPr>
            <w:tcW w:w="3636" w:type="dxa"/>
            <w:vAlign w:val="center"/>
          </w:tcPr>
          <w:p w:rsidR="00CE4021" w:rsidRPr="00A4795A" w:rsidRDefault="00CE4021" w:rsidP="009C56A6">
            <w:pPr>
              <w:jc w:val="center"/>
            </w:pPr>
            <w:r w:rsidRPr="00A4795A">
              <w:rPr>
                <w:noProof/>
              </w:rPr>
              <w:drawing>
                <wp:inline distT="0" distB="0" distL="0" distR="0" wp14:anchorId="1B4CA8BE" wp14:editId="66F236F8">
                  <wp:extent cx="2169795" cy="1671955"/>
                  <wp:effectExtent l="0" t="0" r="190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69795" cy="1671955"/>
                          </a:xfrm>
                          <a:prstGeom prst="rect">
                            <a:avLst/>
                          </a:prstGeom>
                          <a:noFill/>
                          <a:ln>
                            <a:noFill/>
                          </a:ln>
                        </pic:spPr>
                      </pic:pic>
                    </a:graphicData>
                  </a:graphic>
                </wp:inline>
              </w:drawing>
            </w:r>
          </w:p>
        </w:tc>
        <w:tc>
          <w:tcPr>
            <w:tcW w:w="4095" w:type="dxa"/>
            <w:vAlign w:val="center"/>
          </w:tcPr>
          <w:p w:rsidR="00CE4021" w:rsidRPr="00A4795A" w:rsidRDefault="00CE4021" w:rsidP="009C56A6">
            <w:pPr>
              <w:jc w:val="center"/>
            </w:pPr>
            <w:r w:rsidRPr="00A4795A">
              <w:rPr>
                <w:noProof/>
              </w:rPr>
              <w:drawing>
                <wp:inline distT="0" distB="0" distL="0" distR="0" wp14:anchorId="7533BFE7" wp14:editId="5D55EBC4">
                  <wp:extent cx="2204085" cy="162433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204085" cy="1624330"/>
                          </a:xfrm>
                          <a:prstGeom prst="rect">
                            <a:avLst/>
                          </a:prstGeom>
                          <a:noFill/>
                          <a:ln>
                            <a:noFill/>
                          </a:ln>
                        </pic:spPr>
                      </pic:pic>
                    </a:graphicData>
                  </a:graphic>
                </wp:inline>
              </w:drawing>
            </w:r>
          </w:p>
        </w:tc>
      </w:tr>
      <w:tr w:rsidR="00A4795A" w:rsidRPr="00A4795A" w:rsidTr="009C56A6">
        <w:trPr>
          <w:trHeight w:val="2690"/>
          <w:jc w:val="center"/>
        </w:trPr>
        <w:tc>
          <w:tcPr>
            <w:tcW w:w="675" w:type="dxa"/>
            <w:vMerge/>
            <w:vAlign w:val="center"/>
          </w:tcPr>
          <w:p w:rsidR="00CE4021" w:rsidRPr="00A4795A" w:rsidRDefault="00CE4021" w:rsidP="009C56A6">
            <w:pPr>
              <w:jc w:val="center"/>
            </w:pPr>
          </w:p>
        </w:tc>
        <w:tc>
          <w:tcPr>
            <w:tcW w:w="1001" w:type="dxa"/>
            <w:vAlign w:val="center"/>
          </w:tcPr>
          <w:p w:rsidR="00CE4021" w:rsidRPr="00A4795A" w:rsidRDefault="00CE4021" w:rsidP="009C56A6">
            <w:pPr>
              <w:jc w:val="center"/>
            </w:pPr>
            <w:r w:rsidRPr="00A4795A">
              <w:rPr>
                <w:kern w:val="0"/>
              </w:rPr>
              <w:t>2≤</w:t>
            </w:r>
            <w:r w:rsidRPr="00A4795A">
              <w:rPr>
                <w:i/>
                <w:iCs/>
              </w:rPr>
              <w:t>l</w:t>
            </w:r>
            <w:r w:rsidRPr="00A4795A">
              <w:t>&lt;3.5</w:t>
            </w:r>
          </w:p>
        </w:tc>
        <w:tc>
          <w:tcPr>
            <w:tcW w:w="3636" w:type="dxa"/>
            <w:vAlign w:val="center"/>
          </w:tcPr>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tc>
        <w:tc>
          <w:tcPr>
            <w:tcW w:w="4095" w:type="dxa"/>
            <w:vAlign w:val="center"/>
          </w:tcPr>
          <w:p w:rsidR="00CE4021" w:rsidRPr="00A4795A" w:rsidRDefault="00CE4021" w:rsidP="009C56A6">
            <w:pPr>
              <w:jc w:val="center"/>
            </w:pPr>
            <w:r w:rsidRPr="00A4795A">
              <w:rPr>
                <w:noProof/>
              </w:rPr>
              <w:drawing>
                <wp:inline distT="0" distB="0" distL="0" distR="0" wp14:anchorId="444298CB" wp14:editId="49EC6E60">
                  <wp:extent cx="2340610" cy="16649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340610" cy="1664970"/>
                          </a:xfrm>
                          <a:prstGeom prst="rect">
                            <a:avLst/>
                          </a:prstGeom>
                          <a:noFill/>
                          <a:ln>
                            <a:noFill/>
                          </a:ln>
                        </pic:spPr>
                      </pic:pic>
                    </a:graphicData>
                  </a:graphic>
                </wp:inline>
              </w:drawing>
            </w:r>
          </w:p>
        </w:tc>
      </w:tr>
      <w:tr w:rsidR="00A4795A" w:rsidRPr="00A4795A" w:rsidTr="009C56A6">
        <w:trPr>
          <w:trHeight w:val="3269"/>
          <w:jc w:val="center"/>
        </w:trPr>
        <w:tc>
          <w:tcPr>
            <w:tcW w:w="675" w:type="dxa"/>
            <w:vMerge/>
            <w:vAlign w:val="center"/>
          </w:tcPr>
          <w:p w:rsidR="00CE4021" w:rsidRPr="00A4795A" w:rsidRDefault="00CE4021" w:rsidP="009C56A6">
            <w:pPr>
              <w:jc w:val="center"/>
            </w:pPr>
          </w:p>
        </w:tc>
        <w:tc>
          <w:tcPr>
            <w:tcW w:w="1001" w:type="dxa"/>
            <w:vAlign w:val="center"/>
          </w:tcPr>
          <w:p w:rsidR="00CE4021" w:rsidRPr="00A4795A" w:rsidRDefault="00CE4021" w:rsidP="009C56A6">
            <w:pPr>
              <w:jc w:val="center"/>
            </w:pPr>
            <w:r w:rsidRPr="00A4795A">
              <w:rPr>
                <w:kern w:val="0"/>
              </w:rPr>
              <w:t>3.5</w:t>
            </w:r>
            <w:r w:rsidRPr="00A4795A">
              <w:rPr>
                <w:kern w:val="0"/>
              </w:rPr>
              <w:t>＜</w:t>
            </w:r>
            <w:r w:rsidRPr="00A4795A">
              <w:rPr>
                <w:i/>
                <w:iCs/>
              </w:rPr>
              <w:t>l</w:t>
            </w:r>
            <w:r w:rsidRPr="00A4795A">
              <w:rPr>
                <w:kern w:val="0"/>
              </w:rPr>
              <w:t>≤</w:t>
            </w:r>
            <w:r w:rsidRPr="00A4795A">
              <w:t>5</w:t>
            </w:r>
          </w:p>
        </w:tc>
        <w:tc>
          <w:tcPr>
            <w:tcW w:w="3636" w:type="dxa"/>
            <w:vAlign w:val="center"/>
          </w:tcPr>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tc>
        <w:tc>
          <w:tcPr>
            <w:tcW w:w="4095" w:type="dxa"/>
            <w:vAlign w:val="center"/>
          </w:tcPr>
          <w:p w:rsidR="00CE4021" w:rsidRPr="00A4795A" w:rsidRDefault="00CE4021" w:rsidP="009C56A6">
            <w:pPr>
              <w:jc w:val="center"/>
            </w:pPr>
            <w:r w:rsidRPr="00A4795A">
              <w:rPr>
                <w:noProof/>
              </w:rPr>
              <w:drawing>
                <wp:inline distT="0" distB="0" distL="0" distR="0" wp14:anchorId="0E532F6C" wp14:editId="284EEDD8">
                  <wp:extent cx="2463165" cy="18014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63165" cy="1801495"/>
                          </a:xfrm>
                          <a:prstGeom prst="rect">
                            <a:avLst/>
                          </a:prstGeom>
                          <a:noFill/>
                          <a:ln>
                            <a:noFill/>
                          </a:ln>
                        </pic:spPr>
                      </pic:pic>
                    </a:graphicData>
                  </a:graphic>
                </wp:inline>
              </w:drawing>
            </w:r>
          </w:p>
        </w:tc>
      </w:tr>
      <w:tr w:rsidR="00A4795A" w:rsidRPr="00A4795A" w:rsidTr="009C56A6">
        <w:trPr>
          <w:trHeight w:val="870"/>
          <w:jc w:val="center"/>
        </w:trPr>
        <w:tc>
          <w:tcPr>
            <w:tcW w:w="9407" w:type="dxa"/>
            <w:gridSpan w:val="4"/>
            <w:vAlign w:val="center"/>
          </w:tcPr>
          <w:p w:rsidR="00CE4021" w:rsidRPr="00A4795A" w:rsidRDefault="00CE4021" w:rsidP="009C56A6">
            <w:pPr>
              <w:ind w:firstLineChars="200" w:firstLine="420"/>
            </w:pPr>
            <w:r w:rsidRPr="00A4795A">
              <w:t>备注：当真空炉均温区尺寸超出此表规定的尺寸范围，热电偶的布置参考</w:t>
            </w:r>
            <w:r w:rsidRPr="00A4795A">
              <w:t>GB/T 9452-2012</w:t>
            </w:r>
            <w:r w:rsidRPr="00A4795A">
              <w:t>表</w:t>
            </w:r>
            <w:r w:rsidRPr="00A4795A">
              <w:t>7</w:t>
            </w:r>
            <w:r w:rsidRPr="00A4795A">
              <w:t>中大尺寸周期式热处理炉检测点数量布置热电偶。</w:t>
            </w:r>
          </w:p>
        </w:tc>
      </w:tr>
    </w:tbl>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4</w:t>
      </w:r>
      <w:r w:rsidRPr="00A4795A">
        <w:rPr>
          <w:rFonts w:asciiTheme="minorEastAsia" w:eastAsiaTheme="minorEastAsia" w:hAnsiTheme="minorEastAsia"/>
          <w:szCs w:val="21"/>
        </w:rPr>
        <w:t>.2立式真空炉</w:t>
      </w:r>
    </w:p>
    <w:p w:rsidR="00CE4021" w:rsidRPr="00A4795A" w:rsidRDefault="00CE4021" w:rsidP="00544042">
      <w:pPr>
        <w:spacing w:line="440" w:lineRule="exact"/>
        <w:ind w:firstLineChars="200" w:firstLine="420"/>
        <w:rPr>
          <w:rFonts w:asciiTheme="minorEastAsia" w:eastAsiaTheme="minorEastAsia" w:hAnsiTheme="minorEastAsia"/>
          <w:szCs w:val="21"/>
        </w:rPr>
      </w:pPr>
      <w:r w:rsidRPr="00A4795A">
        <w:rPr>
          <w:rFonts w:asciiTheme="minorEastAsia" w:eastAsiaTheme="minorEastAsia" w:hAnsiTheme="minorEastAsia"/>
          <w:szCs w:val="21"/>
        </w:rPr>
        <w:t>立式真空炉测温点数量和分布位置见表</w:t>
      </w:r>
      <w:r w:rsidRPr="00A4795A">
        <w:rPr>
          <w:rFonts w:asciiTheme="minorEastAsia" w:eastAsiaTheme="minorEastAsia" w:hAnsiTheme="minorEastAsia" w:hint="eastAsia"/>
          <w:szCs w:val="21"/>
        </w:rPr>
        <w:t>4</w:t>
      </w:r>
      <w:r w:rsidRPr="00A4795A">
        <w:rPr>
          <w:rFonts w:asciiTheme="minorEastAsia" w:eastAsiaTheme="minorEastAsia" w:hAnsiTheme="minorEastAsia"/>
          <w:szCs w:val="21"/>
        </w:rPr>
        <w:t>。</w:t>
      </w:r>
    </w:p>
    <w:p w:rsidR="00CE4021" w:rsidRPr="00A4795A" w:rsidRDefault="00CE4021" w:rsidP="00CE4021">
      <w:pPr>
        <w:numPr>
          <w:ilvl w:val="0"/>
          <w:numId w:val="16"/>
        </w:numPr>
        <w:autoSpaceDE w:val="0"/>
        <w:autoSpaceDN w:val="0"/>
        <w:adjustRightInd w:val="0"/>
        <w:spacing w:line="440" w:lineRule="exact"/>
        <w:jc w:val="right"/>
        <w:rPr>
          <w:rFonts w:eastAsia="黑体"/>
          <w:kern w:val="0"/>
        </w:rPr>
      </w:pPr>
      <w:r w:rsidRPr="00A4795A">
        <w:rPr>
          <w:rFonts w:eastAsia="黑体"/>
          <w:kern w:val="0"/>
        </w:rPr>
        <w:t>表</w:t>
      </w:r>
      <w:r w:rsidRPr="00A4795A">
        <w:rPr>
          <w:rFonts w:eastAsia="黑体" w:hint="eastAsia"/>
          <w:kern w:val="0"/>
        </w:rPr>
        <w:t xml:space="preserve">4 </w:t>
      </w:r>
      <w:r w:rsidRPr="00A4795A">
        <w:rPr>
          <w:rFonts w:eastAsia="黑体"/>
          <w:kern w:val="0"/>
        </w:rPr>
        <w:t>立式真空炉热电偶数量和位置分布</w:t>
      </w:r>
      <w:r w:rsidRPr="00A4795A">
        <w:rPr>
          <w:rFonts w:eastAsia="黑体"/>
          <w:kern w:val="0"/>
        </w:rPr>
        <w:t xml:space="preserve">                       </w:t>
      </w:r>
      <w:r w:rsidRPr="00A4795A">
        <w:rPr>
          <w:rFonts w:eastAsia="黑体"/>
          <w:kern w:val="0"/>
        </w:rPr>
        <w:t>单位：</w:t>
      </w:r>
      <w:r w:rsidRPr="00A4795A">
        <w:rPr>
          <w:rFonts w:eastAsia="黑体"/>
          <w:kern w:val="0"/>
        </w:rPr>
        <w:t>m</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3917"/>
        <w:gridCol w:w="4480"/>
      </w:tblGrid>
      <w:tr w:rsidR="00A4795A" w:rsidRPr="00A4795A" w:rsidTr="009C56A6">
        <w:trPr>
          <w:trHeight w:val="508"/>
          <w:jc w:val="center"/>
        </w:trPr>
        <w:tc>
          <w:tcPr>
            <w:tcW w:w="1042" w:type="dxa"/>
            <w:vMerge w:val="restart"/>
            <w:vAlign w:val="center"/>
          </w:tcPr>
          <w:p w:rsidR="00CE4021" w:rsidRPr="00A4795A" w:rsidRDefault="00CE4021" w:rsidP="009C56A6">
            <w:pPr>
              <w:jc w:val="center"/>
            </w:pPr>
            <w:r w:rsidRPr="00A4795A">
              <w:t>高</w:t>
            </w:r>
            <w:r w:rsidRPr="00A4795A">
              <w:rPr>
                <w:i/>
                <w:iCs/>
              </w:rPr>
              <w:t>h</w:t>
            </w:r>
          </w:p>
        </w:tc>
        <w:tc>
          <w:tcPr>
            <w:tcW w:w="8397" w:type="dxa"/>
            <w:gridSpan w:val="2"/>
            <w:vAlign w:val="center"/>
          </w:tcPr>
          <w:p w:rsidR="00CE4021" w:rsidRPr="00A4795A" w:rsidRDefault="00CE4021" w:rsidP="009C56A6">
            <w:pPr>
              <w:jc w:val="center"/>
            </w:pPr>
            <w:r w:rsidRPr="00A4795A">
              <w:t>直径</w:t>
            </w:r>
            <w:r w:rsidRPr="00A4795A">
              <w:rPr>
                <w:i/>
                <w:iCs/>
              </w:rPr>
              <w:t>d</w:t>
            </w:r>
          </w:p>
        </w:tc>
      </w:tr>
      <w:tr w:rsidR="00A4795A" w:rsidRPr="00A4795A" w:rsidTr="009C56A6">
        <w:trPr>
          <w:trHeight w:val="487"/>
          <w:jc w:val="center"/>
        </w:trPr>
        <w:tc>
          <w:tcPr>
            <w:tcW w:w="1042" w:type="dxa"/>
            <w:vMerge/>
            <w:vAlign w:val="center"/>
          </w:tcPr>
          <w:p w:rsidR="00CE4021" w:rsidRPr="00A4795A" w:rsidRDefault="00CE4021" w:rsidP="009C56A6">
            <w:pPr>
              <w:jc w:val="center"/>
            </w:pPr>
          </w:p>
        </w:tc>
        <w:tc>
          <w:tcPr>
            <w:tcW w:w="3917" w:type="dxa"/>
            <w:vAlign w:val="center"/>
          </w:tcPr>
          <w:p w:rsidR="00CE4021" w:rsidRPr="00A4795A" w:rsidRDefault="00CE4021" w:rsidP="009C56A6">
            <w:pPr>
              <w:jc w:val="center"/>
            </w:pPr>
            <w:r w:rsidRPr="00A4795A">
              <w:t>&lt;0.5</w:t>
            </w:r>
          </w:p>
        </w:tc>
        <w:tc>
          <w:tcPr>
            <w:tcW w:w="4480" w:type="dxa"/>
            <w:vAlign w:val="center"/>
          </w:tcPr>
          <w:p w:rsidR="00CE4021" w:rsidRPr="00A4795A" w:rsidRDefault="00CE4021" w:rsidP="009C56A6">
            <w:pPr>
              <w:jc w:val="center"/>
            </w:pPr>
            <w:r w:rsidRPr="00A4795A">
              <w:t>≥0.5</w:t>
            </w:r>
            <w:r w:rsidRPr="00A4795A">
              <w:rPr>
                <w:kern w:val="0"/>
              </w:rPr>
              <w:t>～</w:t>
            </w:r>
            <w:r w:rsidRPr="00A4795A">
              <w:rPr>
                <w:kern w:val="0"/>
              </w:rPr>
              <w:t>2</w:t>
            </w:r>
          </w:p>
        </w:tc>
      </w:tr>
      <w:tr w:rsidR="00A4795A" w:rsidRPr="00A4795A" w:rsidTr="009C56A6">
        <w:trPr>
          <w:trHeight w:val="3183"/>
          <w:jc w:val="center"/>
        </w:trPr>
        <w:tc>
          <w:tcPr>
            <w:tcW w:w="1042" w:type="dxa"/>
            <w:vAlign w:val="center"/>
          </w:tcPr>
          <w:p w:rsidR="00CE4021" w:rsidRPr="00A4795A" w:rsidRDefault="00CE4021" w:rsidP="009C56A6">
            <w:pPr>
              <w:jc w:val="center"/>
            </w:pPr>
            <w:r w:rsidRPr="00A4795A">
              <w:t>&lt;1</w:t>
            </w:r>
          </w:p>
        </w:tc>
        <w:tc>
          <w:tcPr>
            <w:tcW w:w="3917" w:type="dxa"/>
            <w:vAlign w:val="center"/>
          </w:tcPr>
          <w:p w:rsidR="00CE4021" w:rsidRPr="00A4795A" w:rsidRDefault="00CE4021" w:rsidP="009C56A6">
            <w:pPr>
              <w:jc w:val="center"/>
            </w:pPr>
            <w:r w:rsidRPr="00A4795A">
              <w:rPr>
                <w:noProof/>
              </w:rPr>
              <w:drawing>
                <wp:inline distT="0" distB="0" distL="0" distR="0" wp14:anchorId="7707465D" wp14:editId="6D236840">
                  <wp:extent cx="1296670" cy="19996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96670" cy="1999615"/>
                          </a:xfrm>
                          <a:prstGeom prst="rect">
                            <a:avLst/>
                          </a:prstGeom>
                          <a:noFill/>
                          <a:ln>
                            <a:noFill/>
                          </a:ln>
                        </pic:spPr>
                      </pic:pic>
                    </a:graphicData>
                  </a:graphic>
                </wp:inline>
              </w:drawing>
            </w:r>
          </w:p>
        </w:tc>
        <w:tc>
          <w:tcPr>
            <w:tcW w:w="4480" w:type="dxa"/>
            <w:vAlign w:val="center"/>
          </w:tcPr>
          <w:p w:rsidR="00CE4021" w:rsidRPr="00A4795A" w:rsidRDefault="00CE4021" w:rsidP="009C56A6">
            <w:pPr>
              <w:jc w:val="center"/>
            </w:pPr>
            <w:r w:rsidRPr="00A4795A">
              <w:rPr>
                <w:noProof/>
              </w:rPr>
              <w:drawing>
                <wp:inline distT="0" distB="0" distL="0" distR="0" wp14:anchorId="026352DE" wp14:editId="376ECC9D">
                  <wp:extent cx="1446530" cy="219075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46530" cy="2190750"/>
                          </a:xfrm>
                          <a:prstGeom prst="rect">
                            <a:avLst/>
                          </a:prstGeom>
                          <a:noFill/>
                          <a:ln>
                            <a:noFill/>
                          </a:ln>
                        </pic:spPr>
                      </pic:pic>
                    </a:graphicData>
                  </a:graphic>
                </wp:inline>
              </w:drawing>
            </w:r>
          </w:p>
        </w:tc>
      </w:tr>
      <w:tr w:rsidR="00A4795A" w:rsidRPr="00A4795A" w:rsidTr="009C56A6">
        <w:trPr>
          <w:trHeight w:val="3183"/>
          <w:jc w:val="center"/>
        </w:trPr>
        <w:tc>
          <w:tcPr>
            <w:tcW w:w="1042" w:type="dxa"/>
            <w:vAlign w:val="center"/>
          </w:tcPr>
          <w:p w:rsidR="00CE4021" w:rsidRPr="00A4795A" w:rsidRDefault="00CE4021" w:rsidP="009C56A6">
            <w:pPr>
              <w:jc w:val="center"/>
            </w:pPr>
            <w:r w:rsidRPr="00A4795A">
              <w:t>1</w:t>
            </w:r>
            <w:r w:rsidRPr="00A4795A">
              <w:rPr>
                <w:kern w:val="0"/>
              </w:rPr>
              <w:t>～</w:t>
            </w:r>
            <w:r w:rsidRPr="00A4795A">
              <w:rPr>
                <w:kern w:val="0"/>
              </w:rPr>
              <w:t>2</w:t>
            </w:r>
          </w:p>
        </w:tc>
        <w:tc>
          <w:tcPr>
            <w:tcW w:w="3917" w:type="dxa"/>
            <w:vAlign w:val="center"/>
          </w:tcPr>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tc>
        <w:tc>
          <w:tcPr>
            <w:tcW w:w="4480" w:type="dxa"/>
            <w:vAlign w:val="center"/>
          </w:tcPr>
          <w:p w:rsidR="00CE4021" w:rsidRPr="00A4795A" w:rsidRDefault="00CE4021" w:rsidP="009C56A6">
            <w:pPr>
              <w:jc w:val="center"/>
            </w:pPr>
            <w:r w:rsidRPr="00A4795A">
              <w:rPr>
                <w:noProof/>
              </w:rPr>
              <w:drawing>
                <wp:inline distT="0" distB="0" distL="0" distR="0" wp14:anchorId="30AC8532" wp14:editId="657E97B1">
                  <wp:extent cx="1214755" cy="21971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214755" cy="2197100"/>
                          </a:xfrm>
                          <a:prstGeom prst="rect">
                            <a:avLst/>
                          </a:prstGeom>
                          <a:noFill/>
                          <a:ln>
                            <a:noFill/>
                          </a:ln>
                        </pic:spPr>
                      </pic:pic>
                    </a:graphicData>
                  </a:graphic>
                </wp:inline>
              </w:drawing>
            </w:r>
          </w:p>
        </w:tc>
      </w:tr>
      <w:tr w:rsidR="00A4795A" w:rsidRPr="00A4795A" w:rsidTr="009C56A6">
        <w:trPr>
          <w:trHeight w:val="3529"/>
          <w:jc w:val="center"/>
        </w:trPr>
        <w:tc>
          <w:tcPr>
            <w:tcW w:w="1042" w:type="dxa"/>
            <w:vAlign w:val="center"/>
          </w:tcPr>
          <w:p w:rsidR="00CE4021" w:rsidRPr="00A4795A" w:rsidRDefault="00CE4021" w:rsidP="009C56A6">
            <w:pPr>
              <w:jc w:val="center"/>
            </w:pPr>
            <w:r w:rsidRPr="00A4795A">
              <w:t>＞</w:t>
            </w:r>
            <w:r w:rsidRPr="00A4795A">
              <w:t>2</w:t>
            </w:r>
          </w:p>
        </w:tc>
        <w:tc>
          <w:tcPr>
            <w:tcW w:w="3917" w:type="dxa"/>
            <w:vAlign w:val="center"/>
          </w:tcPr>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p w:rsidR="00CE4021" w:rsidRPr="00A4795A" w:rsidRDefault="00CE4021" w:rsidP="009C56A6">
            <w:pPr>
              <w:jc w:val="center"/>
            </w:pPr>
          </w:p>
        </w:tc>
        <w:tc>
          <w:tcPr>
            <w:tcW w:w="4480" w:type="dxa"/>
            <w:vAlign w:val="center"/>
          </w:tcPr>
          <w:p w:rsidR="00CE4021" w:rsidRPr="00A4795A" w:rsidRDefault="00CE4021" w:rsidP="009C56A6">
            <w:pPr>
              <w:jc w:val="center"/>
            </w:pPr>
            <w:r w:rsidRPr="00A4795A">
              <w:rPr>
                <w:noProof/>
              </w:rPr>
              <w:drawing>
                <wp:inline distT="0" distB="0" distL="0" distR="0" wp14:anchorId="448E5AE9" wp14:editId="24426EEB">
                  <wp:extent cx="1426210" cy="225171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26210" cy="2251710"/>
                          </a:xfrm>
                          <a:prstGeom prst="rect">
                            <a:avLst/>
                          </a:prstGeom>
                          <a:noFill/>
                          <a:ln>
                            <a:noFill/>
                          </a:ln>
                        </pic:spPr>
                      </pic:pic>
                    </a:graphicData>
                  </a:graphic>
                </wp:inline>
              </w:drawing>
            </w:r>
          </w:p>
        </w:tc>
      </w:tr>
    </w:tbl>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校准步骤</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.1将安装好铠装热电偶的测温法兰装配至真空炉上；</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.2将铠装偶测量端固定在测温架各个测温点上（推荐使用廉金属热偶丝），测量端</w:t>
      </w:r>
      <w:r w:rsidRPr="00A4795A">
        <w:rPr>
          <w:rFonts w:asciiTheme="minorEastAsia" w:eastAsiaTheme="minorEastAsia" w:hAnsiTheme="minorEastAsia" w:hint="eastAsia"/>
          <w:szCs w:val="21"/>
        </w:rPr>
        <w:t>不</w:t>
      </w:r>
      <w:r w:rsidRPr="00A4795A">
        <w:rPr>
          <w:rFonts w:asciiTheme="minorEastAsia" w:eastAsiaTheme="minorEastAsia" w:hAnsiTheme="minorEastAsia"/>
          <w:szCs w:val="21"/>
        </w:rPr>
        <w:t>应偏离测温位置1cm，做好位置标记；</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.3将安装好热电偶的测温架放置在工作测温区域，并将热电偶捋顺；</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.4关闭真空炉门，将真空抽至工作真空度，开始加热；</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.5将测温偶连接至测温标准器，并将热电偶的的修正值通过测温标准器进行修正；</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6待温度升至设定温度点后，保温30min，先进行3组预测量，观察数据的规律，当各测温点温度不能对称分布在设置温度左右，应通过控温仪表进行修正，直至各测试点的温度能够基本对称的分布在设置温度左右，调节完毕后，保温30min后开始测量，标准器每1min巡检测量一次，共测量30次，记录每个测试点的最大温度值与最小温度值。</w:t>
      </w:r>
    </w:p>
    <w:p w:rsidR="00CE4021" w:rsidRPr="00A4795A" w:rsidRDefault="00CE4021" w:rsidP="00CE4021">
      <w:pPr>
        <w:spacing w:line="440" w:lineRule="exact"/>
        <w:rPr>
          <w:rFonts w:asciiTheme="minorEastAsia" w:eastAsiaTheme="minorEastAsia" w:hAnsiTheme="minorEastAsia"/>
          <w:szCs w:val="21"/>
        </w:rPr>
      </w:pPr>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.2.</w:t>
      </w:r>
      <w:r w:rsidRPr="00A4795A">
        <w:rPr>
          <w:rFonts w:asciiTheme="minorEastAsia" w:eastAsiaTheme="minorEastAsia" w:hAnsiTheme="minorEastAsia" w:hint="eastAsia"/>
          <w:szCs w:val="21"/>
        </w:rPr>
        <w:t>5</w:t>
      </w:r>
      <w:r w:rsidRPr="00A4795A">
        <w:rPr>
          <w:rFonts w:asciiTheme="minorEastAsia" w:eastAsiaTheme="minorEastAsia" w:hAnsiTheme="minorEastAsia"/>
          <w:szCs w:val="21"/>
        </w:rPr>
        <w:t>.7第一个温度点测量完毕后，进行下一个温度点的测试，温度升至设定温度保温30min后开始直接测量，以此类推，直至测量结束；</w:t>
      </w:r>
    </w:p>
    <w:p w:rsidR="00CE4021" w:rsidRPr="00A4795A" w:rsidRDefault="00CE4021" w:rsidP="00CE4021">
      <w:pPr>
        <w:spacing w:line="440" w:lineRule="exact"/>
        <w:rPr>
          <w:rFonts w:asciiTheme="minorEastAsia" w:eastAsiaTheme="minorEastAsia" w:hAnsiTheme="minorEastAsia"/>
          <w:szCs w:val="21"/>
        </w:rPr>
      </w:pPr>
      <w:bookmarkStart w:id="51" w:name="_Toc37768181"/>
      <w:r w:rsidRPr="00A4795A">
        <w:rPr>
          <w:rFonts w:asciiTheme="minorEastAsia" w:eastAsiaTheme="minorEastAsia" w:hAnsiTheme="minorEastAsia" w:hint="eastAsia"/>
          <w:szCs w:val="21"/>
        </w:rPr>
        <w:t>6</w:t>
      </w:r>
      <w:r w:rsidRPr="00A4795A">
        <w:rPr>
          <w:rFonts w:asciiTheme="minorEastAsia" w:eastAsiaTheme="minorEastAsia" w:hAnsiTheme="minorEastAsia"/>
          <w:szCs w:val="21"/>
        </w:rPr>
        <w:t>.3数据处理</w:t>
      </w:r>
      <w:bookmarkEnd w:id="51"/>
    </w:p>
    <w:p w:rsidR="00CE4021" w:rsidRPr="00A4795A" w:rsidRDefault="00CE4021" w:rsidP="00CE4021">
      <w:pPr>
        <w:spacing w:line="440" w:lineRule="exact"/>
        <w:jc w:val="right"/>
        <w:rPr>
          <w:rFonts w:asciiTheme="minorEastAsia" w:eastAsiaTheme="minorEastAsia" w:hAnsiTheme="minorEastAsia"/>
          <w:szCs w:val="21"/>
        </w:rPr>
      </w:pPr>
      <w:r w:rsidRPr="00A4795A">
        <w:rPr>
          <w:rFonts w:asciiTheme="minorEastAsia" w:eastAsiaTheme="minorEastAsia" w:hAnsiTheme="minorEastAsia" w:hint="eastAsia"/>
          <w:szCs w:val="21"/>
        </w:rPr>
        <w:t xml:space="preserve">    </w:t>
      </w:r>
      <m:oMath>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max</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s</m:t>
            </m:r>
          </m:sub>
        </m:sSub>
      </m:oMath>
      <w:r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w:t>
      </w:r>
      <w:r w:rsidRPr="00A4795A">
        <w:rPr>
          <w:rFonts w:asciiTheme="minorEastAsia" w:eastAsiaTheme="minorEastAsia" w:hAnsiTheme="minorEastAsia" w:hint="eastAsia"/>
          <w:szCs w:val="21"/>
        </w:rPr>
        <w:t xml:space="preserve">    </w:t>
      </w:r>
      <w:r w:rsidR="00544042"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w:t>
      </w:r>
      <w:r w:rsidRPr="00A4795A">
        <w:rPr>
          <w:rFonts w:asciiTheme="minorEastAsia" w:eastAsiaTheme="minorEastAsia" w:hAnsiTheme="minorEastAsia" w:hint="eastAsia"/>
          <w:szCs w:val="21"/>
        </w:rPr>
        <w:t xml:space="preserve">   </w:t>
      </w:r>
      <w:r w:rsidR="00544042" w:rsidRPr="00A4795A">
        <w:rPr>
          <w:rFonts w:asciiTheme="minorEastAsia" w:eastAsiaTheme="minorEastAsia" w:hAnsiTheme="minorEastAsia" w:hint="eastAsia"/>
          <w:szCs w:val="21"/>
        </w:rPr>
        <w:t xml:space="preserve">       </w:t>
      </w:r>
      <w:r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（1）</w:t>
      </w:r>
    </w:p>
    <w:p w:rsidR="00CE4021" w:rsidRPr="00A4795A" w:rsidRDefault="00CE4021" w:rsidP="00CE4021">
      <w:pPr>
        <w:spacing w:line="440" w:lineRule="exact"/>
        <w:jc w:val="right"/>
        <w:rPr>
          <w:rFonts w:asciiTheme="minorEastAsia" w:eastAsiaTheme="minorEastAsia" w:hAnsiTheme="minorEastAsia"/>
          <w:szCs w:val="21"/>
        </w:rPr>
      </w:pPr>
      <w:r w:rsidRPr="00A4795A">
        <w:rPr>
          <w:rFonts w:asciiTheme="minorEastAsia" w:eastAsiaTheme="minorEastAsia" w:hAnsiTheme="minorEastAsia" w:hint="eastAsia"/>
          <w:szCs w:val="21"/>
        </w:rPr>
        <w:t xml:space="preserve">   </w:t>
      </w:r>
      <m:oMath>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min</m:t>
            </m:r>
          </m:sub>
        </m:sSub>
        <m:r>
          <w:rPr>
            <w:rFonts w:ascii="Cambria Math" w:eastAsiaTheme="minorEastAsia" w:hAnsi="Cambria Math"/>
            <w:szCs w:val="21"/>
          </w:rPr>
          <m:t>-</m:t>
        </m:r>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s</m:t>
            </m:r>
          </m:sub>
        </m:sSub>
      </m:oMath>
      <w:r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w:t>
      </w:r>
      <w:r w:rsidR="00544042"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w:t>
      </w:r>
      <w:r w:rsidRPr="00A4795A">
        <w:rPr>
          <w:rFonts w:asciiTheme="minorEastAsia" w:eastAsiaTheme="minorEastAsia" w:hAnsiTheme="minorEastAsia" w:hint="eastAsia"/>
          <w:szCs w:val="21"/>
        </w:rPr>
        <w:t xml:space="preserve">        </w:t>
      </w:r>
      <w:r w:rsidRPr="00A4795A">
        <w:rPr>
          <w:rFonts w:asciiTheme="minorEastAsia" w:eastAsiaTheme="minorEastAsia" w:hAnsiTheme="minorEastAsia"/>
          <w:szCs w:val="21"/>
        </w:rPr>
        <w:t xml:space="preserve">   （2）</w:t>
      </w:r>
    </w:p>
    <w:p w:rsidR="00CE4021" w:rsidRPr="00A4795A" w:rsidRDefault="00CE4021" w:rsidP="00544042">
      <w:pPr>
        <w:spacing w:line="440" w:lineRule="exact"/>
        <w:ind w:firstLineChars="200" w:firstLine="420"/>
        <w:rPr>
          <w:rFonts w:asciiTheme="minorEastAsia" w:eastAsiaTheme="minorEastAsia" w:hAnsiTheme="minorEastAsia"/>
          <w:szCs w:val="21"/>
        </w:rPr>
      </w:pPr>
      <w:r w:rsidRPr="00A4795A">
        <w:rPr>
          <w:rFonts w:asciiTheme="minorEastAsia" w:eastAsiaTheme="minorEastAsia" w:hAnsiTheme="minorEastAsia" w:hint="eastAsia"/>
          <w:szCs w:val="21"/>
        </w:rPr>
        <w:t>式中：</w:t>
      </w:r>
    </w:p>
    <w:p w:rsidR="00CE4021" w:rsidRPr="00A4795A" w:rsidRDefault="005C0788" w:rsidP="00544042">
      <w:pPr>
        <w:spacing w:line="440" w:lineRule="exact"/>
        <w:ind w:firstLineChars="200" w:firstLine="420"/>
        <w:rPr>
          <w:rFonts w:asciiTheme="minorEastAsia" w:eastAsiaTheme="minorEastAsia" w:hAnsiTheme="minorEastAsia"/>
          <w:szCs w:val="21"/>
        </w:rPr>
      </w:pPr>
      <m:oMath>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s</m:t>
            </m:r>
          </m:sub>
        </m:sSub>
      </m:oMath>
      <w:r w:rsidR="00CE4021" w:rsidRPr="00A4795A">
        <w:rPr>
          <w:rFonts w:asciiTheme="minorEastAsia" w:eastAsiaTheme="minorEastAsia" w:hAnsiTheme="minorEastAsia"/>
          <w:szCs w:val="21"/>
        </w:rPr>
        <w:t>—测温点的设定温度（控温仪表显示值）；</w:t>
      </w:r>
    </w:p>
    <w:p w:rsidR="00CE4021" w:rsidRPr="00A4795A" w:rsidRDefault="005C0788" w:rsidP="00544042">
      <w:pPr>
        <w:spacing w:line="440" w:lineRule="exact"/>
        <w:ind w:firstLineChars="200" w:firstLine="420"/>
        <w:rPr>
          <w:rFonts w:asciiTheme="minorEastAsia" w:eastAsiaTheme="minorEastAsia" w:hAnsiTheme="minorEastAsia"/>
          <w:szCs w:val="21"/>
        </w:rPr>
      </w:pPr>
      <m:oMath>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max</m:t>
            </m:r>
          </m:sub>
        </m:sSub>
      </m:oMath>
      <w:r w:rsidR="00CE4021" w:rsidRPr="00A4795A">
        <w:rPr>
          <w:rFonts w:asciiTheme="minorEastAsia" w:eastAsiaTheme="minorEastAsia" w:hAnsiTheme="minorEastAsia"/>
          <w:szCs w:val="21"/>
        </w:rPr>
        <w:t>—各测温点实际温度最大值，单位：℃；</w:t>
      </w:r>
    </w:p>
    <w:p w:rsidR="00CE4021" w:rsidRPr="00A4795A" w:rsidRDefault="005C0788" w:rsidP="00544042">
      <w:pPr>
        <w:spacing w:line="440" w:lineRule="exact"/>
        <w:ind w:firstLineChars="200" w:firstLine="420"/>
        <w:rPr>
          <w:rFonts w:asciiTheme="minorEastAsia" w:eastAsiaTheme="minorEastAsia" w:hAnsiTheme="minorEastAsia"/>
          <w:szCs w:val="21"/>
        </w:rPr>
      </w:pPr>
      <m:oMath>
        <m:sSub>
          <m:sSubPr>
            <m:ctrlPr>
              <w:rPr>
                <w:rFonts w:ascii="Cambria Math" w:eastAsiaTheme="minorEastAsia" w:hAnsi="Cambria Math"/>
                <w:i/>
                <w:szCs w:val="21"/>
              </w:rPr>
            </m:ctrlPr>
          </m:sSubPr>
          <m:e>
            <m:r>
              <w:rPr>
                <w:rFonts w:ascii="Cambria Math" w:eastAsiaTheme="minorEastAsia" w:hAnsi="Cambria Math"/>
                <w:szCs w:val="21"/>
              </w:rPr>
              <m:t>t</m:t>
            </m:r>
          </m:e>
          <m:sub>
            <m:r>
              <w:rPr>
                <w:rFonts w:ascii="Cambria Math" w:eastAsiaTheme="minorEastAsia" w:hAnsi="Cambria Math"/>
                <w:szCs w:val="21"/>
              </w:rPr>
              <m:t>min</m:t>
            </m:r>
          </m:sub>
        </m:sSub>
      </m:oMath>
      <w:r w:rsidR="00CE4021" w:rsidRPr="00A4795A">
        <w:rPr>
          <w:rFonts w:asciiTheme="minorEastAsia" w:eastAsiaTheme="minorEastAsia" w:hAnsiTheme="minorEastAsia"/>
          <w:szCs w:val="21"/>
        </w:rPr>
        <w:t>—各测温点实际温度最小值，单位：℃；</w:t>
      </w:r>
    </w:p>
    <w:p w:rsidR="00CE4021" w:rsidRPr="00A4795A" w:rsidRDefault="005C0788" w:rsidP="00544042">
      <w:pPr>
        <w:spacing w:line="440" w:lineRule="exact"/>
        <w:ind w:firstLineChars="200" w:firstLine="420"/>
        <w:rPr>
          <w:rFonts w:asciiTheme="minorEastAsia" w:eastAsiaTheme="minorEastAsia" w:hAnsiTheme="minorEastAsia"/>
          <w:szCs w:val="21"/>
        </w:rPr>
      </w:pPr>
      <m:oMath>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r>
          <w:rPr>
            <w:rFonts w:ascii="Cambria Math" w:eastAsiaTheme="minorEastAsia" w:hAnsi="Cambria Math"/>
            <w:szCs w:val="21"/>
          </w:rPr>
          <m:t>、</m:t>
        </m:r>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oMath>
      <w:r w:rsidR="00CE4021" w:rsidRPr="00A4795A">
        <w:rPr>
          <w:rFonts w:asciiTheme="minorEastAsia" w:eastAsiaTheme="minorEastAsia" w:hAnsiTheme="minorEastAsia"/>
          <w:szCs w:val="21"/>
        </w:rPr>
        <w:t>—炉温均匀性值，计算公式见（1）、（2），单位：℃。</w:t>
      </w:r>
    </w:p>
    <w:p w:rsidR="00CE4021" w:rsidRPr="00A4795A" w:rsidRDefault="00CE4021" w:rsidP="00544042">
      <w:pPr>
        <w:ind w:firstLineChars="200" w:firstLine="420"/>
        <w:rPr>
          <w:rFonts w:ascii="宋体" w:hAnsi="宋体"/>
          <w:kern w:val="0"/>
          <w:szCs w:val="21"/>
        </w:rPr>
      </w:pPr>
      <w:r w:rsidRPr="00A4795A">
        <w:rPr>
          <w:rFonts w:asciiTheme="minorEastAsia" w:eastAsiaTheme="minorEastAsia" w:hAnsiTheme="minorEastAsia"/>
          <w:szCs w:val="21"/>
        </w:rPr>
        <w:t>炉温均匀性表达式：</w:t>
      </w:r>
      <m:oMath>
        <m:sSubSup>
          <m:sSubSupPr>
            <m:ctrlPr>
              <w:rPr>
                <w:rFonts w:ascii="Cambria Math" w:eastAsiaTheme="minorEastAsia" w:hAnsi="Cambria Math"/>
                <w:szCs w:val="21"/>
              </w:rPr>
            </m:ctrlPr>
          </m:sSubSupPr>
          <m:e>
            <m:r>
              <w:rPr>
                <w:rFonts w:ascii="Cambria Math" w:eastAsiaTheme="minorEastAsia" w:hAnsi="Cambria Math"/>
                <w:szCs w:val="21"/>
              </w:rPr>
              <m:t>ts</m:t>
            </m:r>
          </m:e>
          <m:sub>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sub>
          <m:sup>
            <m:sSub>
              <m:sSubPr>
                <m:ctrlPr>
                  <w:rPr>
                    <w:rFonts w:ascii="Cambria Math" w:eastAsiaTheme="minorEastAsia" w:hAnsi="Cambria Math"/>
                    <w:szCs w:val="21"/>
                  </w:rPr>
                </m:ctrlPr>
              </m:sSubPr>
              <m:e>
                <m:r>
                  <w:rPr>
                    <w:rFonts w:ascii="Cambria Math" w:eastAsiaTheme="minorEastAsia" w:hAnsi="Cambria Math"/>
                    <w:szCs w:val="21"/>
                  </w:rPr>
                  <m:t>∆θ</m:t>
                </m:r>
              </m:e>
              <m:sub>
                <m:r>
                  <w:rPr>
                    <w:rFonts w:ascii="Cambria Math" w:eastAsiaTheme="minorEastAsia" w:hAnsi="Cambria Math"/>
                    <w:szCs w:val="21"/>
                  </w:rPr>
                  <m:t>+</m:t>
                </m:r>
              </m:sub>
            </m:sSub>
          </m:sup>
        </m:sSubSup>
      </m:oMath>
      <w:r w:rsidRPr="00A4795A">
        <w:rPr>
          <w:rFonts w:asciiTheme="minorEastAsia" w:eastAsiaTheme="minorEastAsia" w:hAnsiTheme="minorEastAsia"/>
          <w:szCs w:val="21"/>
        </w:rPr>
        <w:t>,单位：℃。</w:t>
      </w:r>
    </w:p>
    <w:p w:rsidR="0004299E" w:rsidRPr="00A4795A" w:rsidRDefault="00411DC2" w:rsidP="00411DC2">
      <w:pPr>
        <w:pStyle w:val="af2"/>
        <w:numPr>
          <w:ilvl w:val="0"/>
          <w:numId w:val="0"/>
        </w:numPr>
        <w:spacing w:beforeLines="100" w:before="312" w:afterLines="100" w:after="312"/>
        <w:contextualSpacing/>
        <w:rPr>
          <w:rFonts w:hAnsi="黑体"/>
          <w:szCs w:val="21"/>
        </w:rPr>
      </w:pPr>
      <w:bookmarkStart w:id="52" w:name="_Toc500258947"/>
      <w:bookmarkStart w:id="53" w:name="_Toc23659_WPSOffice_Level1"/>
      <w:bookmarkEnd w:id="47"/>
      <w:bookmarkEnd w:id="48"/>
      <w:r w:rsidRPr="00A4795A">
        <w:rPr>
          <w:rFonts w:hAnsi="黑体" w:hint="eastAsia"/>
          <w:szCs w:val="21"/>
        </w:rPr>
        <w:t>7</w:t>
      </w:r>
      <w:r w:rsidR="00043D6D" w:rsidRPr="00A4795A">
        <w:rPr>
          <w:rFonts w:hAnsi="黑体" w:hint="eastAsia"/>
          <w:szCs w:val="21"/>
        </w:rPr>
        <w:t>校准结果表达</w:t>
      </w:r>
      <w:bookmarkEnd w:id="52"/>
      <w:bookmarkEnd w:id="53"/>
    </w:p>
    <w:p w:rsidR="0004299E" w:rsidRPr="00A4795A" w:rsidRDefault="00043D6D">
      <w:pPr>
        <w:pStyle w:val="afff4"/>
        <w:spacing w:line="324" w:lineRule="auto"/>
        <w:ind w:firstLine="420"/>
        <w:rPr>
          <w:szCs w:val="21"/>
        </w:rPr>
      </w:pPr>
      <w:r w:rsidRPr="00A4795A">
        <w:rPr>
          <w:rFonts w:hint="eastAsia"/>
          <w:szCs w:val="21"/>
        </w:rPr>
        <w:t>校准原始记录应包含的内容见附录</w:t>
      </w:r>
      <w:r w:rsidRPr="00A4795A">
        <w:rPr>
          <w:szCs w:val="21"/>
        </w:rPr>
        <w:t>A</w:t>
      </w:r>
      <w:r w:rsidRPr="00A4795A">
        <w:rPr>
          <w:rFonts w:hint="eastAsia"/>
          <w:szCs w:val="21"/>
        </w:rPr>
        <w:t>。校准结果应记录在校准证书和校准报告上，有测量值的应根据客户要求给出测定不确定度和误差，其中测量不确定度的评定方法按照</w:t>
      </w:r>
      <w:r w:rsidRPr="00A4795A">
        <w:rPr>
          <w:rFonts w:ascii="Times New Roman" w:hAnsi="Times New Roman"/>
          <w:szCs w:val="21"/>
        </w:rPr>
        <w:t>JJF 1059.1</w:t>
      </w:r>
      <w:r w:rsidRPr="00A4795A">
        <w:rPr>
          <w:rFonts w:hint="eastAsia"/>
          <w:szCs w:val="21"/>
        </w:rPr>
        <w:t>要求执行。</w:t>
      </w:r>
    </w:p>
    <w:p w:rsidR="0004299E" w:rsidRPr="00A4795A" w:rsidRDefault="00411DC2" w:rsidP="00411DC2">
      <w:pPr>
        <w:pStyle w:val="af2"/>
        <w:numPr>
          <w:ilvl w:val="0"/>
          <w:numId w:val="0"/>
        </w:numPr>
        <w:spacing w:beforeLines="100" w:before="312" w:afterLines="100" w:after="312"/>
        <w:contextualSpacing/>
        <w:rPr>
          <w:rFonts w:hAnsi="黑体"/>
          <w:szCs w:val="21"/>
        </w:rPr>
      </w:pPr>
      <w:bookmarkStart w:id="54" w:name="_Toc1654_WPSOffice_Level1"/>
      <w:r w:rsidRPr="00A4795A">
        <w:rPr>
          <w:rFonts w:hAnsi="黑体" w:hint="eastAsia"/>
          <w:szCs w:val="21"/>
        </w:rPr>
        <w:t>8</w:t>
      </w:r>
      <w:r w:rsidR="00043D6D" w:rsidRPr="00A4795A">
        <w:rPr>
          <w:rFonts w:hAnsi="黑体" w:hint="eastAsia"/>
          <w:szCs w:val="21"/>
        </w:rPr>
        <w:t>复校</w:t>
      </w:r>
      <w:bookmarkEnd w:id="54"/>
      <w:r w:rsidR="00136813" w:rsidRPr="00A4795A">
        <w:rPr>
          <w:rFonts w:hAnsi="黑体" w:hint="eastAsia"/>
          <w:szCs w:val="21"/>
        </w:rPr>
        <w:t>时间间隔</w:t>
      </w:r>
    </w:p>
    <w:p w:rsidR="00411DC2" w:rsidRPr="00A4795A" w:rsidRDefault="00411DC2" w:rsidP="00411DC2">
      <w:pPr>
        <w:pStyle w:val="afff4"/>
        <w:spacing w:line="360" w:lineRule="auto"/>
        <w:ind w:firstLine="420"/>
        <w:rPr>
          <w:rFonts w:ascii="Calibri"/>
          <w:kern w:val="2"/>
          <w:szCs w:val="24"/>
        </w:rPr>
      </w:pPr>
      <w:r w:rsidRPr="00A4795A">
        <w:rPr>
          <w:rFonts w:ascii="Calibri" w:hint="eastAsia"/>
          <w:kern w:val="2"/>
          <w:szCs w:val="24"/>
        </w:rPr>
        <w:t>建议</w:t>
      </w:r>
      <w:r w:rsidR="00CF3DB9" w:rsidRPr="00A4795A">
        <w:rPr>
          <w:rFonts w:ascii="Calibri" w:hint="eastAsia"/>
          <w:kern w:val="2"/>
          <w:szCs w:val="24"/>
        </w:rPr>
        <w:t>真空退火炉</w:t>
      </w:r>
      <w:r w:rsidRPr="00A4795A">
        <w:rPr>
          <w:rFonts w:ascii="Calibri" w:hint="eastAsia"/>
          <w:kern w:val="2"/>
          <w:szCs w:val="24"/>
        </w:rPr>
        <w:t>复校时间间隔不超过</w:t>
      </w:r>
      <w:r w:rsidRPr="00A4795A">
        <w:rPr>
          <w:rFonts w:ascii="Calibri" w:hint="eastAsia"/>
          <w:kern w:val="2"/>
          <w:szCs w:val="24"/>
        </w:rPr>
        <w:t>6</w:t>
      </w:r>
      <w:r w:rsidRPr="00A4795A">
        <w:rPr>
          <w:rFonts w:ascii="Calibri" w:hint="eastAsia"/>
          <w:kern w:val="2"/>
          <w:szCs w:val="24"/>
        </w:rPr>
        <w:t>个月。由于复校时间间隔的长短由仪器的使用情况、使用者、仪器本身质量等诸因素所决定的，因此，送校单位可根据实际使用情况自主决定复校时间间隔。</w:t>
      </w:r>
    </w:p>
    <w:p w:rsidR="0004299E" w:rsidRPr="00A4795A" w:rsidRDefault="00043D6D" w:rsidP="00411DC2">
      <w:pPr>
        <w:pStyle w:val="afffa"/>
        <w:numPr>
          <w:ilvl w:val="0"/>
          <w:numId w:val="11"/>
        </w:numPr>
        <w:tabs>
          <w:tab w:val="left" w:pos="426"/>
        </w:tabs>
        <w:spacing w:beforeLines="100" w:before="312" w:afterLines="100" w:after="312"/>
        <w:ind w:hangingChars="200"/>
        <w:jc w:val="left"/>
      </w:pPr>
      <w:r w:rsidRPr="00A4795A">
        <w:rPr>
          <w:rFonts w:hint="eastAsia"/>
        </w:rPr>
        <w:t>实践检测情况</w:t>
      </w:r>
      <w:bookmarkEnd w:id="26"/>
    </w:p>
    <w:p w:rsidR="0004299E" w:rsidRPr="00A4795A" w:rsidRDefault="00043D6D">
      <w:pPr>
        <w:ind w:firstLineChars="200" w:firstLine="420"/>
      </w:pPr>
      <w:r w:rsidRPr="00A4795A">
        <w:rPr>
          <w:rFonts w:hint="eastAsia"/>
        </w:rPr>
        <w:t>西安汉唐分析检测有限公司根据本规程对</w:t>
      </w:r>
      <w:r w:rsidR="00CF3DB9" w:rsidRPr="00A4795A">
        <w:rPr>
          <w:rFonts w:ascii="Calibri" w:hint="eastAsia"/>
        </w:rPr>
        <w:t>真空退火炉</w:t>
      </w:r>
      <w:r w:rsidRPr="00A4795A">
        <w:rPr>
          <w:rFonts w:hint="eastAsia"/>
        </w:rPr>
        <w:t>进行了全计量特性的校准，内容详见校准报告。</w:t>
      </w:r>
    </w:p>
    <w:p w:rsidR="0004299E" w:rsidRPr="00A4795A" w:rsidRDefault="00ED5F91">
      <w:pPr>
        <w:pStyle w:val="afffa"/>
        <w:numPr>
          <w:ilvl w:val="0"/>
          <w:numId w:val="11"/>
        </w:numPr>
        <w:tabs>
          <w:tab w:val="left" w:pos="426"/>
        </w:tabs>
        <w:spacing w:beforeLines="100" w:before="312" w:afterLines="100" w:after="312"/>
        <w:ind w:hangingChars="200"/>
        <w:jc w:val="left"/>
      </w:pPr>
      <w:bookmarkStart w:id="55" w:name="_Toc464728965"/>
      <w:bookmarkEnd w:id="1"/>
      <w:r w:rsidRPr="00A4795A">
        <w:rPr>
          <w:rFonts w:hint="eastAsia"/>
        </w:rPr>
        <w:t>规范</w:t>
      </w:r>
      <w:r w:rsidR="00043D6D" w:rsidRPr="00A4795A">
        <w:rPr>
          <w:rFonts w:hint="eastAsia"/>
        </w:rPr>
        <w:t>水平分析</w:t>
      </w:r>
      <w:bookmarkEnd w:id="55"/>
    </w:p>
    <w:p w:rsidR="0004299E" w:rsidRPr="00A4795A" w:rsidRDefault="00043D6D">
      <w:r w:rsidRPr="00A4795A">
        <w:rPr>
          <w:rFonts w:hint="eastAsia"/>
        </w:rPr>
        <w:t xml:space="preserve">    </w:t>
      </w:r>
      <w:r w:rsidRPr="00A4795A">
        <w:rPr>
          <w:rFonts w:hint="eastAsia"/>
        </w:rPr>
        <w:t>本</w:t>
      </w:r>
      <w:r w:rsidR="00411DC2" w:rsidRPr="00A4795A">
        <w:rPr>
          <w:rFonts w:hint="eastAsia"/>
        </w:rPr>
        <w:t>规范</w:t>
      </w:r>
      <w:r w:rsidRPr="00A4795A">
        <w:rPr>
          <w:rFonts w:hint="eastAsia"/>
        </w:rPr>
        <w:t>的制定填补了有色金属行业</w:t>
      </w:r>
      <w:r w:rsidR="00CF3DB9" w:rsidRPr="00A4795A">
        <w:rPr>
          <w:rFonts w:ascii="Calibri" w:hint="eastAsia"/>
        </w:rPr>
        <w:t>真空退火炉</w:t>
      </w:r>
      <w:r w:rsidRPr="00A4795A">
        <w:rPr>
          <w:rFonts w:hint="eastAsia"/>
        </w:rPr>
        <w:t>的校准空白，属于国内首创，水平达到国内领先。</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56" w:name="_Toc464728972"/>
      <w:r w:rsidRPr="00A4795A">
        <w:rPr>
          <w:rFonts w:hint="eastAsia"/>
        </w:rPr>
        <w:t>与现行相关法律、法规、规章及相关规范，特别是规程的协调性</w:t>
      </w:r>
      <w:bookmarkEnd w:id="56"/>
    </w:p>
    <w:p w:rsidR="0004299E" w:rsidRPr="00A4795A" w:rsidRDefault="00043D6D" w:rsidP="00CF3DB9">
      <w:pPr>
        <w:pStyle w:val="afff4"/>
        <w:spacing w:line="360" w:lineRule="auto"/>
        <w:ind w:firstLine="420"/>
      </w:pPr>
      <w:r w:rsidRPr="00A4795A">
        <w:rPr>
          <w:rFonts w:hint="eastAsia"/>
        </w:rPr>
        <w:t>本规范所引用的规程及规范均为我国现行有效的计量规程及规范，是本</w:t>
      </w:r>
      <w:r w:rsidR="00ED5F91" w:rsidRPr="00A4795A">
        <w:rPr>
          <w:rFonts w:hint="eastAsia"/>
        </w:rPr>
        <w:t>规范</w:t>
      </w:r>
      <w:r w:rsidRPr="00A4795A">
        <w:rPr>
          <w:rFonts w:hint="eastAsia"/>
        </w:rPr>
        <w:t>的一部分，引用这些规程及规范后，使本规范的要求与现行的相关法律、法规、规章及相关规程规范的关系不矛盾、不冲突，其相互关系非常协调。</w:t>
      </w:r>
    </w:p>
    <w:p w:rsidR="0004299E" w:rsidRPr="00A4795A" w:rsidRDefault="00ED5F91">
      <w:pPr>
        <w:pStyle w:val="afffa"/>
        <w:numPr>
          <w:ilvl w:val="0"/>
          <w:numId w:val="11"/>
        </w:numPr>
        <w:tabs>
          <w:tab w:val="left" w:pos="426"/>
        </w:tabs>
        <w:spacing w:beforeLines="100" w:before="312" w:afterLines="100" w:after="312"/>
        <w:ind w:hangingChars="200"/>
        <w:jc w:val="left"/>
      </w:pPr>
      <w:bookmarkStart w:id="57" w:name="_Toc464728973"/>
      <w:r w:rsidRPr="00A4795A">
        <w:rPr>
          <w:rFonts w:hint="eastAsia"/>
        </w:rPr>
        <w:t>规范</w:t>
      </w:r>
      <w:r w:rsidR="00043D6D" w:rsidRPr="00A4795A">
        <w:rPr>
          <w:rFonts w:hint="eastAsia"/>
        </w:rPr>
        <w:t>中涉及的专利或知识产权说明</w:t>
      </w:r>
      <w:bookmarkEnd w:id="57"/>
    </w:p>
    <w:p w:rsidR="003318C1" w:rsidRPr="00A4795A" w:rsidRDefault="00043D6D">
      <w:pPr>
        <w:pStyle w:val="afff4"/>
        <w:spacing w:line="300" w:lineRule="auto"/>
        <w:ind w:firstLine="420"/>
        <w:contextualSpacing/>
      </w:pPr>
      <w:r w:rsidRPr="00A4795A">
        <w:rPr>
          <w:rFonts w:hint="eastAsia"/>
        </w:rPr>
        <w:t>本</w:t>
      </w:r>
      <w:r w:rsidR="00ED5F91" w:rsidRPr="00A4795A">
        <w:rPr>
          <w:rFonts w:hint="eastAsia"/>
        </w:rPr>
        <w:t>规范</w:t>
      </w:r>
      <w:r w:rsidR="00683E68" w:rsidRPr="00A4795A">
        <w:rPr>
          <w:rFonts w:hint="eastAsia"/>
        </w:rPr>
        <w:t>使用的测量标准</w:t>
      </w:r>
      <w:r w:rsidR="003318C1" w:rsidRPr="00A4795A">
        <w:rPr>
          <w:rFonts w:hint="eastAsia"/>
        </w:rPr>
        <w:t>“</w:t>
      </w:r>
      <w:r w:rsidR="00CF3DB9" w:rsidRPr="00A4795A">
        <w:rPr>
          <w:rFonts w:hint="eastAsia"/>
        </w:rPr>
        <w:t>真空退火炉</w:t>
      </w:r>
      <w:r w:rsidR="00411DC2" w:rsidRPr="00A4795A">
        <w:rPr>
          <w:rFonts w:hint="eastAsia"/>
        </w:rPr>
        <w:t>校准装置</w:t>
      </w:r>
      <w:r w:rsidR="003318C1" w:rsidRPr="00A4795A">
        <w:rPr>
          <w:rFonts w:hint="eastAsia"/>
        </w:rPr>
        <w:t>”属于</w:t>
      </w:r>
      <w:r w:rsidR="00672533" w:rsidRPr="00A4795A">
        <w:rPr>
          <w:rFonts w:hint="eastAsia"/>
        </w:rPr>
        <w:t>主编单位自行设计产品，涉及专利和知识产权。</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58" w:name="_Toc464728974"/>
      <w:r w:rsidRPr="00A4795A">
        <w:rPr>
          <w:rFonts w:hint="eastAsia"/>
        </w:rPr>
        <w:t>重大分歧意见的处理经过和依据</w:t>
      </w:r>
      <w:bookmarkEnd w:id="58"/>
    </w:p>
    <w:p w:rsidR="0004299E" w:rsidRPr="00A4795A" w:rsidRDefault="00043D6D">
      <w:pPr>
        <w:pStyle w:val="afff4"/>
        <w:spacing w:line="300" w:lineRule="auto"/>
        <w:ind w:firstLine="420"/>
        <w:contextualSpacing/>
        <w:rPr>
          <w:szCs w:val="21"/>
        </w:rPr>
      </w:pPr>
      <w:r w:rsidRPr="00A4795A">
        <w:rPr>
          <w:rFonts w:hint="eastAsia"/>
          <w:szCs w:val="21"/>
        </w:rPr>
        <w:t>（无）</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59" w:name="_Toc464728976"/>
      <w:r w:rsidRPr="00A4795A">
        <w:rPr>
          <w:rFonts w:hint="eastAsia"/>
        </w:rPr>
        <w:t>贯彻规范的要求和措施建议</w:t>
      </w:r>
      <w:bookmarkEnd w:id="59"/>
    </w:p>
    <w:p w:rsidR="0004299E" w:rsidRPr="00A4795A" w:rsidRDefault="00043D6D">
      <w:pPr>
        <w:pStyle w:val="afff4"/>
        <w:spacing w:line="300" w:lineRule="auto"/>
        <w:ind w:firstLine="420"/>
        <w:contextualSpacing/>
        <w:rPr>
          <w:szCs w:val="21"/>
        </w:rPr>
      </w:pPr>
      <w:r w:rsidRPr="00A4795A">
        <w:rPr>
          <w:rFonts w:hint="eastAsia"/>
          <w:szCs w:val="21"/>
        </w:rPr>
        <w:t>本规范发布后，中国有色金属行业协会和有色金属行业计量技术委员会应加强本规范的宣传力度，促进</w:t>
      </w:r>
      <w:r w:rsidR="00CF3DB9" w:rsidRPr="00A4795A">
        <w:rPr>
          <w:rFonts w:hint="eastAsia"/>
          <w:szCs w:val="21"/>
        </w:rPr>
        <w:t>真空退火炉</w:t>
      </w:r>
      <w:r w:rsidRPr="00A4795A">
        <w:rPr>
          <w:rFonts w:hint="eastAsia"/>
          <w:szCs w:val="21"/>
        </w:rPr>
        <w:t>生产厂家按照设备使用情况合理选用校准规程，以促进我国企业的技术进步和产品质量上档次，提高我国产品在国际国内市场的竞争能力。</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60" w:name="_Toc464728977"/>
      <w:r w:rsidRPr="00A4795A">
        <w:rPr>
          <w:rFonts w:hint="eastAsia"/>
        </w:rPr>
        <w:t>废止现行有关规程的建议</w:t>
      </w:r>
      <w:bookmarkEnd w:id="60"/>
    </w:p>
    <w:p w:rsidR="0004299E" w:rsidRPr="00A4795A" w:rsidRDefault="00043D6D">
      <w:pPr>
        <w:pStyle w:val="afff4"/>
        <w:spacing w:line="300" w:lineRule="auto"/>
        <w:ind w:firstLine="420"/>
        <w:contextualSpacing/>
        <w:rPr>
          <w:szCs w:val="21"/>
        </w:rPr>
      </w:pPr>
      <w:r w:rsidRPr="00A4795A">
        <w:rPr>
          <w:rFonts w:hint="eastAsia"/>
          <w:szCs w:val="21"/>
        </w:rPr>
        <w:t>（无）。</w:t>
      </w:r>
    </w:p>
    <w:p w:rsidR="0004299E" w:rsidRPr="00A4795A" w:rsidRDefault="00043D6D">
      <w:pPr>
        <w:pStyle w:val="afffa"/>
        <w:numPr>
          <w:ilvl w:val="0"/>
          <w:numId w:val="11"/>
        </w:numPr>
        <w:tabs>
          <w:tab w:val="left" w:pos="426"/>
        </w:tabs>
        <w:spacing w:beforeLines="100" w:before="312" w:afterLines="100" w:after="312"/>
        <w:ind w:hangingChars="200"/>
        <w:jc w:val="left"/>
      </w:pPr>
      <w:bookmarkStart w:id="61" w:name="_Toc464728978"/>
      <w:r w:rsidRPr="00A4795A">
        <w:rPr>
          <w:rFonts w:hint="eastAsia"/>
        </w:rPr>
        <w:t>产业化情况、推广应用论证和预期达到的经济效果</w:t>
      </w:r>
      <w:bookmarkEnd w:id="61"/>
    </w:p>
    <w:p w:rsidR="0004299E" w:rsidRPr="00A4795A" w:rsidRDefault="00CF3DB9">
      <w:pPr>
        <w:pStyle w:val="afff4"/>
        <w:spacing w:line="300" w:lineRule="auto"/>
        <w:ind w:firstLine="420"/>
        <w:contextualSpacing/>
        <w:rPr>
          <w:szCs w:val="21"/>
        </w:rPr>
      </w:pPr>
      <w:r w:rsidRPr="00A4795A">
        <w:rPr>
          <w:rFonts w:hint="eastAsia"/>
          <w:szCs w:val="21"/>
        </w:rPr>
        <w:t>真空退火炉</w:t>
      </w:r>
      <w:r w:rsidR="00043D6D" w:rsidRPr="00A4795A">
        <w:rPr>
          <w:rFonts w:cs="宋体" w:hint="eastAsia"/>
          <w:szCs w:val="21"/>
        </w:rPr>
        <w:t>校准规范的缺乏，已经无法满足日益增长的应用需求，</w:t>
      </w:r>
      <w:r w:rsidR="00043D6D" w:rsidRPr="00A4795A">
        <w:rPr>
          <w:rFonts w:cs="宋体" w:hint="eastAsia"/>
          <w:kern w:val="2"/>
          <w:szCs w:val="21"/>
        </w:rPr>
        <w:t>本规范的制定，具有极大的经济效益和社会效益，市场发展和政府急需程度非常高。</w:t>
      </w:r>
    </w:p>
    <w:sectPr w:rsidR="0004299E" w:rsidRPr="00A4795A">
      <w:headerReference w:type="default" r:id="rId32"/>
      <w:footerReference w:type="default" r:id="rId33"/>
      <w:footerReference w:type="first" r:id="rId34"/>
      <w:pgSz w:w="11907" w:h="16839"/>
      <w:pgMar w:top="1418" w:right="1134" w:bottom="1134" w:left="1418" w:header="1418" w:footer="851" w:gutter="0"/>
      <w:pgNumType w:start="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788" w:rsidRDefault="005C0788">
      <w:r>
        <w:separator/>
      </w:r>
    </w:p>
  </w:endnote>
  <w:endnote w:type="continuationSeparator" w:id="0">
    <w:p w:rsidR="005C0788" w:rsidRDefault="005C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f8"/>
      <w:rPr>
        <w:rStyle w:val="afff"/>
      </w:rPr>
    </w:pPr>
    <w:r>
      <w:rPr>
        <w:rStyle w:val="afff"/>
      </w:rPr>
      <w:fldChar w:fldCharType="begin"/>
    </w:r>
    <w:r>
      <w:rPr>
        <w:rStyle w:val="afff"/>
      </w:rPr>
      <w:instrText xml:space="preserve">PAGE  </w:instrText>
    </w:r>
    <w:r>
      <w:rPr>
        <w:rStyle w:val="afff"/>
      </w:rPr>
      <w:fldChar w:fldCharType="separate"/>
    </w:r>
    <w:r>
      <w:rPr>
        <w:rStyle w:val="afff"/>
      </w:rPr>
      <w:t>II</w:t>
    </w:r>
    <w:r>
      <w:rPr>
        <w:rStyle w:val="aff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f9"/>
      <w:rPr>
        <w:rStyle w:val="afff"/>
      </w:rPr>
    </w:pPr>
    <w:r>
      <w:rPr>
        <w:rStyle w:val="afff"/>
      </w:rPr>
      <w:fldChar w:fldCharType="begin"/>
    </w:r>
    <w:r>
      <w:rPr>
        <w:rStyle w:val="afff"/>
      </w:rPr>
      <w:instrText xml:space="preserve">PAGE  </w:instrText>
    </w:r>
    <w:r>
      <w:rPr>
        <w:rStyle w:val="afff"/>
      </w:rPr>
      <w:fldChar w:fldCharType="separate"/>
    </w:r>
    <w:r w:rsidR="005C0788">
      <w:rPr>
        <w:rStyle w:val="afff"/>
        <w:noProof/>
      </w:rPr>
      <w:t>I</w:t>
    </w:r>
    <w:r>
      <w:rPr>
        <w:rStyle w:val="a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f9"/>
      <w:jc w:val="center"/>
      <w:rPr>
        <w:rStyle w:val="afff"/>
      </w:rPr>
    </w:pPr>
    <w:r>
      <w:fldChar w:fldCharType="begin"/>
    </w:r>
    <w:r>
      <w:rPr>
        <w:rStyle w:val="afff"/>
      </w:rPr>
      <w:instrText xml:space="preserve">PAGE  </w:instrText>
    </w:r>
    <w:r>
      <w:fldChar w:fldCharType="separate"/>
    </w:r>
    <w:r w:rsidR="00A4795A">
      <w:rPr>
        <w:rStyle w:val="afff"/>
        <w:noProof/>
      </w:rPr>
      <w:t>12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6"/>
      <w:jc w:val="both"/>
    </w:pPr>
  </w:p>
  <w:p w:rsidR="00411DC2" w:rsidRDefault="00411DC2">
    <w:pPr>
      <w:pStyle w:val="aff6"/>
      <w:jc w:val="center"/>
      <w:rPr>
        <w:rFonts w:ascii="宋体" w:hAnsi="宋体"/>
        <w:sz w:val="21"/>
      </w:rPr>
    </w:pPr>
    <w:r>
      <w:rPr>
        <w:rFonts w:ascii="宋体" w:hAnsi="宋体" w:hint="eastAsia"/>
        <w:sz w:val="21"/>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788" w:rsidRDefault="005C0788">
      <w:r>
        <w:separator/>
      </w:r>
    </w:p>
  </w:footnote>
  <w:footnote w:type="continuationSeparator" w:id="0">
    <w:p w:rsidR="005C0788" w:rsidRDefault="005C0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ff5"/>
    </w:pPr>
    <w:r>
      <w:t>GB/TXXX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fff3"/>
      <w:wordWrap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DC2" w:rsidRDefault="00411DC2">
    <w:pPr>
      <w:pStyle w:val="af2"/>
      <w:widowControl w:val="0"/>
      <w:numPr>
        <w:ilvl w:val="1"/>
        <w:numId w:val="0"/>
      </w:numPr>
      <w:adjustRightInd w:val="0"/>
      <w:snapToGrid w:val="0"/>
      <w:spacing w:beforeLines="0" w:after="120"/>
      <w:outlineLvl w:val="9"/>
      <w:rPr>
        <w:rFonts w:ascii="Times New Roman" w:eastAsia="宋体"/>
        <w:kern w:val="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7AA00"/>
    <w:multiLevelType w:val="singleLevel"/>
    <w:tmpl w:val="9967AA00"/>
    <w:lvl w:ilvl="0">
      <w:start w:val="1"/>
      <w:numFmt w:val="chineseCounting"/>
      <w:suff w:val="nothing"/>
      <w:lvlText w:val="第%1、"/>
      <w:lvlJc w:val="left"/>
      <w:rPr>
        <w:rFonts w:hint="eastAsia"/>
      </w:rPr>
    </w:lvl>
  </w:abstractNum>
  <w:abstractNum w:abstractNumId="1">
    <w:nsid w:val="00000007"/>
    <w:multiLevelType w:val="multilevel"/>
    <w:tmpl w:val="00000007"/>
    <w:lvl w:ilvl="0">
      <w:start w:val="1"/>
      <w:numFmt w:val="none"/>
      <w:pStyle w:val="a"/>
      <w:lvlText w:val="%1注"/>
      <w:lvlJc w:val="left"/>
      <w:pPr>
        <w:tabs>
          <w:tab w:val="left" w:pos="900"/>
        </w:tabs>
        <w:ind w:left="900" w:hanging="50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C"/>
    <w:multiLevelType w:val="multilevel"/>
    <w:tmpl w:val="0000000C"/>
    <w:lvl w:ilvl="0">
      <w:start w:val="1"/>
      <w:numFmt w:val="none"/>
      <w:pStyle w:val="a0"/>
      <w:lvlText w:val="%1示例"/>
      <w:lvlJc w:val="left"/>
      <w:pPr>
        <w:tabs>
          <w:tab w:val="left" w:pos="1120"/>
        </w:tabs>
        <w:ind w:left="0" w:firstLine="400"/>
      </w:pPr>
      <w:rPr>
        <w:rFonts w:ascii="宋体" w:eastAsia="宋体"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10"/>
    <w:multiLevelType w:val="multilevel"/>
    <w:tmpl w:val="00000010"/>
    <w:lvl w:ilvl="0">
      <w:start w:val="1"/>
      <w:numFmt w:val="none"/>
      <w:pStyle w:val="a1"/>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13"/>
    <w:multiLevelType w:val="multilevel"/>
    <w:tmpl w:val="00000013"/>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pacing w:val="0"/>
        <w:w w:val="100"/>
        <w:kern w:val="21"/>
        <w:sz w:val="21"/>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pStyle w:val="a6"/>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00000014"/>
    <w:multiLevelType w:val="multilevel"/>
    <w:tmpl w:val="00000014"/>
    <w:lvl w:ilvl="0">
      <w:start w:val="1"/>
      <w:numFmt w:val="none"/>
      <w:pStyle w:val="a7"/>
      <w:lvlText w:val="%1·　"/>
      <w:lvlJc w:val="left"/>
      <w:pPr>
        <w:tabs>
          <w:tab w:val="left" w:pos="1140"/>
        </w:tabs>
        <w:ind w:left="737" w:hanging="317"/>
      </w:pPr>
      <w:rPr>
        <w:rFonts w:ascii="宋体" w:eastAsia="宋体" w:hAnsi="Times New Roman" w:hint="eastAsia"/>
        <w:b w:val="0"/>
        <w:i w:val="0"/>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00000015"/>
    <w:multiLevelType w:val="multilevel"/>
    <w:tmpl w:val="00000015"/>
    <w:lvl w:ilvl="0">
      <w:start w:val="1"/>
      <w:numFmt w:val="upperLetter"/>
      <w:pStyle w:val="a8"/>
      <w:suff w:val="nothing"/>
      <w:lvlText w:val="附　录　%1"/>
      <w:lvlJc w:val="left"/>
      <w:pPr>
        <w:ind w:left="0" w:firstLine="0"/>
      </w:pPr>
      <w:rPr>
        <w:rFonts w:ascii="黑体" w:eastAsia="黑体" w:hAnsi="Times New Roman" w:hint="eastAsia"/>
        <w:b w:val="0"/>
        <w:i w:val="0"/>
        <w:sz w:val="21"/>
      </w:rPr>
    </w:lvl>
    <w:lvl w:ilvl="1">
      <w:start w:val="1"/>
      <w:numFmt w:val="japaneseCounting"/>
      <w:pStyle w:val="a9"/>
      <w:lvlText w:val="（%2）"/>
      <w:lvlJc w:val="left"/>
      <w:pPr>
        <w:ind w:left="0" w:firstLine="0"/>
      </w:pPr>
      <w:rPr>
        <w:rFonts w:hint="default"/>
        <w:b w:val="0"/>
        <w:i w:val="0"/>
        <w:spacing w:val="0"/>
        <w:w w:val="100"/>
        <w:kern w:val="21"/>
        <w:sz w:val="21"/>
      </w:rPr>
    </w:lvl>
    <w:lvl w:ilvl="2">
      <w:start w:val="1"/>
      <w:numFmt w:val="decimal"/>
      <w:pStyle w:val="aa"/>
      <w:suff w:val="nothing"/>
      <w:lvlText w:val="%1.%2.%3　"/>
      <w:lvlJc w:val="left"/>
      <w:pPr>
        <w:ind w:left="0" w:firstLine="0"/>
      </w:pPr>
      <w:rPr>
        <w:rFonts w:ascii="黑体" w:eastAsia="黑体" w:hAnsi="Times New Roman" w:hint="eastAsia"/>
        <w:b w:val="0"/>
        <w:i w:val="0"/>
        <w:sz w:val="21"/>
      </w:rPr>
    </w:lvl>
    <w:lvl w:ilvl="3">
      <w:start w:val="1"/>
      <w:numFmt w:val="decimal"/>
      <w:pStyle w:val="ab"/>
      <w:suff w:val="nothing"/>
      <w:lvlText w:val="%1.%2.%3.%4　"/>
      <w:lvlJc w:val="left"/>
      <w:pPr>
        <w:ind w:left="0" w:firstLine="0"/>
      </w:pPr>
      <w:rPr>
        <w:rFonts w:ascii="黑体" w:eastAsia="黑体" w:hAnsi="Times New Roman" w:hint="eastAsia"/>
        <w:b w:val="0"/>
        <w:i w:val="0"/>
        <w:sz w:val="21"/>
      </w:rPr>
    </w:lvl>
    <w:lvl w:ilvl="4">
      <w:start w:val="1"/>
      <w:numFmt w:val="decimal"/>
      <w:pStyle w:val="ac"/>
      <w:suff w:val="nothing"/>
      <w:lvlText w:val="%1.%2.%3.%4.%5　"/>
      <w:lvlJc w:val="left"/>
      <w:pPr>
        <w:ind w:left="0" w:firstLine="0"/>
      </w:pPr>
      <w:rPr>
        <w:rFonts w:ascii="黑体" w:eastAsia="黑体" w:hAnsi="Times New Roman" w:hint="eastAsia"/>
        <w:b w:val="0"/>
        <w:i w:val="0"/>
        <w:sz w:val="21"/>
      </w:rPr>
    </w:lvl>
    <w:lvl w:ilvl="5">
      <w:start w:val="1"/>
      <w:numFmt w:val="decimal"/>
      <w:pStyle w:val="ad"/>
      <w:suff w:val="nothing"/>
      <w:lvlText w:val="%1.%2.%3.%4.%5.%6　"/>
      <w:lvlJc w:val="left"/>
      <w:pPr>
        <w:ind w:left="0" w:firstLine="0"/>
      </w:pPr>
      <w:rPr>
        <w:rFonts w:ascii="黑体" w:eastAsia="黑体" w:hAnsi="Times New Roman" w:hint="eastAsia"/>
        <w:b w:val="0"/>
        <w:i w:val="0"/>
        <w:sz w:val="21"/>
      </w:rPr>
    </w:lvl>
    <w:lvl w:ilvl="6">
      <w:start w:val="1"/>
      <w:numFmt w:val="decimal"/>
      <w:pStyle w:val="a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00000019"/>
    <w:multiLevelType w:val="multilevel"/>
    <w:tmpl w:val="00000019"/>
    <w:lvl w:ilvl="0">
      <w:start w:val="1"/>
      <w:numFmt w:val="decimal"/>
      <w:pStyle w:val="af"/>
      <w:suff w:val="nothing"/>
      <w:lvlText w:val="表%1　"/>
      <w:lvlJc w:val="left"/>
      <w:pPr>
        <w:ind w:left="3403" w:firstLine="0"/>
      </w:pPr>
      <w:rPr>
        <w:rFonts w:ascii="黑体" w:eastAsia="黑体" w:hAnsi="Times New Roman" w:hint="eastAsia"/>
        <w:b w:val="0"/>
        <w:i w:val="0"/>
        <w:sz w:val="21"/>
      </w:rPr>
    </w:lvl>
    <w:lvl w:ilvl="1">
      <w:start w:val="1"/>
      <w:numFmt w:val="decimal"/>
      <w:lvlText w:val="%1.%2"/>
      <w:lvlJc w:val="left"/>
      <w:pPr>
        <w:tabs>
          <w:tab w:val="left" w:pos="1202"/>
        </w:tabs>
        <w:ind w:left="1202" w:hanging="567"/>
      </w:pPr>
      <w:rPr>
        <w:rFonts w:hint="eastAsia"/>
      </w:rPr>
    </w:lvl>
    <w:lvl w:ilvl="2">
      <w:start w:val="1"/>
      <w:numFmt w:val="decimal"/>
      <w:lvlText w:val="%1.%2.%3"/>
      <w:lvlJc w:val="left"/>
      <w:pPr>
        <w:tabs>
          <w:tab w:val="left" w:pos="1628"/>
        </w:tabs>
        <w:ind w:left="1628" w:hanging="567"/>
      </w:pPr>
      <w:rPr>
        <w:rFonts w:hint="eastAsia"/>
      </w:rPr>
    </w:lvl>
    <w:lvl w:ilvl="3">
      <w:start w:val="1"/>
      <w:numFmt w:val="decimal"/>
      <w:lvlText w:val="%1.%2.%3.%4"/>
      <w:lvlJc w:val="left"/>
      <w:pPr>
        <w:tabs>
          <w:tab w:val="left" w:pos="2194"/>
        </w:tabs>
        <w:ind w:left="2194" w:hanging="708"/>
      </w:pPr>
      <w:rPr>
        <w:rFonts w:hint="eastAsia"/>
      </w:rPr>
    </w:lvl>
    <w:lvl w:ilvl="4">
      <w:start w:val="1"/>
      <w:numFmt w:val="decimal"/>
      <w:lvlText w:val="%1.%2.%3.%4.%5"/>
      <w:lvlJc w:val="left"/>
      <w:pPr>
        <w:tabs>
          <w:tab w:val="left" w:pos="2761"/>
        </w:tabs>
        <w:ind w:left="2761" w:hanging="850"/>
      </w:pPr>
      <w:rPr>
        <w:rFonts w:hint="eastAsia"/>
      </w:rPr>
    </w:lvl>
    <w:lvl w:ilvl="5">
      <w:start w:val="1"/>
      <w:numFmt w:val="decimal"/>
      <w:lvlText w:val="%1.%2.%3.%4.%5.%6"/>
      <w:lvlJc w:val="left"/>
      <w:pPr>
        <w:tabs>
          <w:tab w:val="left" w:pos="3470"/>
        </w:tabs>
        <w:ind w:left="3470" w:hanging="1134"/>
      </w:pPr>
      <w:rPr>
        <w:rFonts w:hint="eastAsia"/>
      </w:rPr>
    </w:lvl>
    <w:lvl w:ilvl="6">
      <w:start w:val="1"/>
      <w:numFmt w:val="decimal"/>
      <w:lvlText w:val="%1.%2.%3.%4.%5.%6.%7"/>
      <w:lvlJc w:val="left"/>
      <w:pPr>
        <w:tabs>
          <w:tab w:val="left" w:pos="4037"/>
        </w:tabs>
        <w:ind w:left="4037" w:hanging="1276"/>
      </w:pPr>
      <w:rPr>
        <w:rFonts w:hint="eastAsia"/>
      </w:rPr>
    </w:lvl>
    <w:lvl w:ilvl="7">
      <w:start w:val="1"/>
      <w:numFmt w:val="decimal"/>
      <w:lvlText w:val="%1.%2.%3.%4.%5.%6.%7.%8"/>
      <w:lvlJc w:val="left"/>
      <w:pPr>
        <w:tabs>
          <w:tab w:val="left" w:pos="4604"/>
        </w:tabs>
        <w:ind w:left="4604" w:hanging="1418"/>
      </w:pPr>
      <w:rPr>
        <w:rFonts w:hint="eastAsia"/>
      </w:rPr>
    </w:lvl>
    <w:lvl w:ilvl="8">
      <w:start w:val="1"/>
      <w:numFmt w:val="decimal"/>
      <w:lvlText w:val="%1.%2.%3.%4.%5.%6.%7.%8.%9"/>
      <w:lvlJc w:val="left"/>
      <w:pPr>
        <w:tabs>
          <w:tab w:val="left" w:pos="5312"/>
        </w:tabs>
        <w:ind w:left="5312" w:hanging="1700"/>
      </w:pPr>
      <w:rPr>
        <w:rFonts w:hint="eastAsia"/>
      </w:rPr>
    </w:lvl>
  </w:abstractNum>
  <w:abstractNum w:abstractNumId="8">
    <w:nsid w:val="00000022"/>
    <w:multiLevelType w:val="multilevel"/>
    <w:tmpl w:val="00000022"/>
    <w:lvl w:ilvl="0">
      <w:start w:val="1"/>
      <w:numFmt w:val="decimal"/>
      <w:pStyle w:val="af0"/>
      <w:suff w:val="nothing"/>
      <w:lvlText w:val="图%1　"/>
      <w:lvlJc w:val="left"/>
      <w:pPr>
        <w:ind w:left="0" w:firstLine="0"/>
      </w:pPr>
      <w:rPr>
        <w:rFonts w:ascii="黑体" w:eastAsia="黑体" w:hAnsi="Times New Roman" w:hint="eastAsia"/>
        <w:b w:val="0"/>
        <w:i w:val="0"/>
        <w:color w:val="auto"/>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9">
    <w:nsid w:val="00000025"/>
    <w:multiLevelType w:val="multilevel"/>
    <w:tmpl w:val="1AEEA494"/>
    <w:lvl w:ilvl="0">
      <w:start w:val="1"/>
      <w:numFmt w:val="none"/>
      <w:pStyle w:val="af1"/>
      <w:suff w:val="nothing"/>
      <w:lvlText w:val="%1"/>
      <w:lvlJc w:val="left"/>
      <w:pPr>
        <w:ind w:left="0" w:firstLine="0"/>
      </w:pPr>
      <w:rPr>
        <w:rFonts w:ascii="Times New Roman" w:hAnsi="Times New Roman" w:hint="default"/>
        <w:b/>
        <w:i w:val="0"/>
        <w:sz w:val="21"/>
      </w:rPr>
    </w:lvl>
    <w:lvl w:ilvl="1">
      <w:start w:val="1"/>
      <w:numFmt w:val="decimal"/>
      <w:pStyle w:val="af2"/>
      <w:suff w:val="nothing"/>
      <w:lvlText w:val="%1%2　"/>
      <w:lvlJc w:val="left"/>
      <w:pPr>
        <w:ind w:left="0" w:firstLine="0"/>
      </w:pPr>
      <w:rPr>
        <w:rFonts w:ascii="Times New Roman" w:eastAsia="黑体" w:hAnsi="Times New Roman" w:cs="Times New Roman" w:hint="default"/>
        <w:b w:val="0"/>
        <w:i w:val="0"/>
        <w:sz w:val="21"/>
      </w:rPr>
    </w:lvl>
    <w:lvl w:ilvl="2">
      <w:start w:val="1"/>
      <w:numFmt w:val="decimal"/>
      <w:pStyle w:val="af3"/>
      <w:suff w:val="nothing"/>
      <w:lvlText w:val="%1%2.%3　"/>
      <w:lvlJc w:val="left"/>
      <w:pPr>
        <w:ind w:left="425" w:firstLine="0"/>
      </w:pPr>
      <w:rPr>
        <w:rFonts w:ascii="黑体" w:eastAsia="黑体" w:hAnsi="Times New Roman" w:hint="eastAsia"/>
        <w:b w:val="0"/>
        <w:i w:val="0"/>
        <w:sz w:val="21"/>
      </w:rPr>
    </w:lvl>
    <w:lvl w:ilvl="3">
      <w:start w:val="1"/>
      <w:numFmt w:val="decimal"/>
      <w:pStyle w:val="af4"/>
      <w:suff w:val="nothing"/>
      <w:lvlText w:val="%1%2.%3.%4　"/>
      <w:lvlJc w:val="left"/>
      <w:pPr>
        <w:ind w:left="284" w:firstLine="0"/>
      </w:pPr>
      <w:rPr>
        <w:rFonts w:ascii="黑体" w:eastAsia="黑体" w:hAnsi="Times New Roman" w:hint="eastAsia"/>
        <w:b w:val="0"/>
        <w:i w:val="0"/>
        <w:sz w:val="21"/>
      </w:rPr>
    </w:lvl>
    <w:lvl w:ilvl="4">
      <w:start w:val="1"/>
      <w:numFmt w:val="decimal"/>
      <w:pStyle w:val="af5"/>
      <w:suff w:val="nothing"/>
      <w:lvlText w:val="%1%2.%3.%4.%5　"/>
      <w:lvlJc w:val="left"/>
      <w:pPr>
        <w:ind w:left="0" w:firstLine="0"/>
      </w:pPr>
      <w:rPr>
        <w:rFonts w:ascii="黑体" w:eastAsia="黑体" w:hAnsi="Times New Roman" w:hint="eastAsia"/>
        <w:b w:val="0"/>
        <w:i w:val="0"/>
        <w:color w:val="auto"/>
        <w:sz w:val="21"/>
        <w:lang w:val="en-US"/>
      </w:rPr>
    </w:lvl>
    <w:lvl w:ilvl="5">
      <w:start w:val="1"/>
      <w:numFmt w:val="decimal"/>
      <w:pStyle w:val="af6"/>
      <w:suff w:val="nothing"/>
      <w:lvlText w:val="%1%2.%3.%4.%5.%6　"/>
      <w:lvlJc w:val="left"/>
      <w:pPr>
        <w:ind w:left="0" w:firstLine="0"/>
      </w:pPr>
      <w:rPr>
        <w:rFonts w:ascii="黑体" w:eastAsia="黑体" w:hAnsi="Times New Roman" w:hint="eastAsia"/>
        <w:b w:val="0"/>
        <w:i w:val="0"/>
        <w:sz w:val="21"/>
      </w:rPr>
    </w:lvl>
    <w:lvl w:ilvl="6">
      <w:start w:val="1"/>
      <w:numFmt w:val="decimal"/>
      <w:pStyle w:val="af7"/>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
    <w:nsid w:val="00000027"/>
    <w:multiLevelType w:val="multilevel"/>
    <w:tmpl w:val="00000027"/>
    <w:lvl w:ilvl="0">
      <w:start w:val="1"/>
      <w:numFmt w:val="none"/>
      <w:pStyle w:val="af8"/>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297947F5"/>
    <w:multiLevelType w:val="multilevel"/>
    <w:tmpl w:val="297947F5"/>
    <w:lvl w:ilvl="0">
      <w:start w:val="1"/>
      <w:numFmt w:val="japaneseCounting"/>
      <w:lvlText w:val="%1、"/>
      <w:lvlJc w:val="left"/>
      <w:pPr>
        <w:ind w:left="420" w:hanging="4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9601904"/>
    <w:multiLevelType w:val="multilevel"/>
    <w:tmpl w:val="49601904"/>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270" w:hanging="270"/>
      </w:pPr>
      <w:rPr>
        <w:rFonts w:ascii="黑体" w:eastAsia="黑体" w:hAnsi="Times New Roman" w:hint="eastAsia"/>
        <w:b/>
        <w:i w:val="0"/>
        <w:sz w:val="24"/>
        <w:szCs w:val="24"/>
      </w:rPr>
    </w:lvl>
    <w:lvl w:ilvl="2">
      <w:start w:val="1"/>
      <w:numFmt w:val="decimal"/>
      <w:suff w:val="nothing"/>
      <w:lvlText w:val="%1%2.%3　"/>
      <w:lvlJc w:val="left"/>
      <w:pPr>
        <w:ind w:left="512" w:firstLine="0"/>
      </w:pPr>
      <w:rPr>
        <w:rFonts w:ascii="宋体" w:eastAsia="宋体" w:hAnsi="宋体" w:hint="eastAsia"/>
        <w:b w:val="0"/>
        <w:i w:val="0"/>
        <w:color w:val="000000"/>
        <w:sz w:val="24"/>
        <w:szCs w:val="24"/>
      </w:rPr>
    </w:lvl>
    <w:lvl w:ilvl="3">
      <w:start w:val="1"/>
      <w:numFmt w:val="decimal"/>
      <w:suff w:val="nothing"/>
      <w:lvlText w:val="%1%2.%3.%4　"/>
      <w:lvlJc w:val="left"/>
      <w:pPr>
        <w:ind w:left="1084" w:firstLine="0"/>
      </w:pPr>
      <w:rPr>
        <w:rFonts w:ascii="宋体" w:eastAsia="宋体" w:hAnsi="宋体" w:hint="eastAsia"/>
        <w:b w:val="0"/>
        <w:i w:val="0"/>
        <w:sz w:val="24"/>
        <w:szCs w:val="24"/>
      </w:rPr>
    </w:lvl>
    <w:lvl w:ilvl="4">
      <w:start w:val="1"/>
      <w:numFmt w:val="decimal"/>
      <w:suff w:val="nothing"/>
      <w:lvlText w:val="%1%2.%3.%4.%5　"/>
      <w:lvlJc w:val="left"/>
      <w:pPr>
        <w:ind w:left="0" w:firstLine="0"/>
      </w:pPr>
      <w:rPr>
        <w:rFonts w:ascii="黑体"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9"/>
  </w:num>
  <w:num w:numId="2">
    <w:abstractNumId w:val="6"/>
  </w:num>
  <w:num w:numId="3">
    <w:abstractNumId w:val="10"/>
  </w:num>
  <w:num w:numId="4">
    <w:abstractNumId w:val="1"/>
  </w:num>
  <w:num w:numId="5">
    <w:abstractNumId w:val="4"/>
  </w:num>
  <w:num w:numId="6">
    <w:abstractNumId w:val="8"/>
  </w:num>
  <w:num w:numId="7">
    <w:abstractNumId w:val="3"/>
  </w:num>
  <w:num w:numId="8">
    <w:abstractNumId w:val="7"/>
  </w:num>
  <w:num w:numId="9">
    <w:abstractNumId w:val="2"/>
  </w:num>
  <w:num w:numId="10">
    <w:abstractNumId w:val="5"/>
  </w:num>
  <w:num w:numId="11">
    <w:abstractNumId w:val="11"/>
  </w:num>
  <w:num w:numId="12">
    <w:abstractNumId w:val="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attachedTemplate r:id="rId1"/>
  <w:defaultTabStop w:val="420"/>
  <w:drawingGridHorizontalSpacing w:val="105"/>
  <w:drawingGridVerticalSpacing w:val="156"/>
  <w:noPunctuationKerning/>
  <w:characterSpacingControl w:val="compressPunctuation"/>
  <w:savePreviewPicture/>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68"/>
    <w:rsid w:val="00004648"/>
    <w:rsid w:val="00036F02"/>
    <w:rsid w:val="0004299E"/>
    <w:rsid w:val="00043D6D"/>
    <w:rsid w:val="000657B2"/>
    <w:rsid w:val="00084878"/>
    <w:rsid w:val="000971D5"/>
    <w:rsid w:val="000C772A"/>
    <w:rsid w:val="000F714B"/>
    <w:rsid w:val="00100912"/>
    <w:rsid w:val="00104CBC"/>
    <w:rsid w:val="0012155C"/>
    <w:rsid w:val="00122AD8"/>
    <w:rsid w:val="00127F16"/>
    <w:rsid w:val="00136813"/>
    <w:rsid w:val="0014120B"/>
    <w:rsid w:val="00150062"/>
    <w:rsid w:val="0019431C"/>
    <w:rsid w:val="001A4F75"/>
    <w:rsid w:val="001E0288"/>
    <w:rsid w:val="001E09C6"/>
    <w:rsid w:val="00235374"/>
    <w:rsid w:val="00247A7D"/>
    <w:rsid w:val="00255EB1"/>
    <w:rsid w:val="00275F7A"/>
    <w:rsid w:val="002849BB"/>
    <w:rsid w:val="00291548"/>
    <w:rsid w:val="002A1305"/>
    <w:rsid w:val="002D0634"/>
    <w:rsid w:val="002F4E61"/>
    <w:rsid w:val="00307A90"/>
    <w:rsid w:val="003318C1"/>
    <w:rsid w:val="00352269"/>
    <w:rsid w:val="003C685D"/>
    <w:rsid w:val="003E237F"/>
    <w:rsid w:val="00400BF2"/>
    <w:rsid w:val="00411DC2"/>
    <w:rsid w:val="00415481"/>
    <w:rsid w:val="004257BB"/>
    <w:rsid w:val="0046211B"/>
    <w:rsid w:val="00464019"/>
    <w:rsid w:val="0048362B"/>
    <w:rsid w:val="004A27E5"/>
    <w:rsid w:val="004B1DE2"/>
    <w:rsid w:val="004C6FDF"/>
    <w:rsid w:val="004E4C45"/>
    <w:rsid w:val="004E5080"/>
    <w:rsid w:val="00516AED"/>
    <w:rsid w:val="00521FA9"/>
    <w:rsid w:val="005305AE"/>
    <w:rsid w:val="00531FA0"/>
    <w:rsid w:val="00544042"/>
    <w:rsid w:val="00545F22"/>
    <w:rsid w:val="005535AA"/>
    <w:rsid w:val="0055489A"/>
    <w:rsid w:val="00556AC4"/>
    <w:rsid w:val="00567271"/>
    <w:rsid w:val="005709C3"/>
    <w:rsid w:val="0059121E"/>
    <w:rsid w:val="005B5BAB"/>
    <w:rsid w:val="005C0788"/>
    <w:rsid w:val="005C2448"/>
    <w:rsid w:val="005C769A"/>
    <w:rsid w:val="005F42DD"/>
    <w:rsid w:val="00601ADF"/>
    <w:rsid w:val="00623451"/>
    <w:rsid w:val="00625140"/>
    <w:rsid w:val="00627726"/>
    <w:rsid w:val="00633572"/>
    <w:rsid w:val="00636E32"/>
    <w:rsid w:val="00644C6D"/>
    <w:rsid w:val="006510D6"/>
    <w:rsid w:val="00672533"/>
    <w:rsid w:val="006738AA"/>
    <w:rsid w:val="006820CD"/>
    <w:rsid w:val="00683E68"/>
    <w:rsid w:val="00686643"/>
    <w:rsid w:val="00693668"/>
    <w:rsid w:val="006B3185"/>
    <w:rsid w:val="006C188A"/>
    <w:rsid w:val="006D1B98"/>
    <w:rsid w:val="006D7E99"/>
    <w:rsid w:val="006E11F0"/>
    <w:rsid w:val="006F4818"/>
    <w:rsid w:val="00724E03"/>
    <w:rsid w:val="00735A75"/>
    <w:rsid w:val="00740702"/>
    <w:rsid w:val="00743BA2"/>
    <w:rsid w:val="00743BAC"/>
    <w:rsid w:val="00746BAC"/>
    <w:rsid w:val="00756D9D"/>
    <w:rsid w:val="00764D0A"/>
    <w:rsid w:val="00765621"/>
    <w:rsid w:val="007901C0"/>
    <w:rsid w:val="007902D1"/>
    <w:rsid w:val="007A3BEE"/>
    <w:rsid w:val="007E56C9"/>
    <w:rsid w:val="00824B04"/>
    <w:rsid w:val="0085122B"/>
    <w:rsid w:val="0086056F"/>
    <w:rsid w:val="00876D87"/>
    <w:rsid w:val="008C672E"/>
    <w:rsid w:val="008E415E"/>
    <w:rsid w:val="008F5DCA"/>
    <w:rsid w:val="009111C1"/>
    <w:rsid w:val="00913ED1"/>
    <w:rsid w:val="00933D2C"/>
    <w:rsid w:val="0094594C"/>
    <w:rsid w:val="00946B7D"/>
    <w:rsid w:val="00954DA4"/>
    <w:rsid w:val="00971240"/>
    <w:rsid w:val="009A12AB"/>
    <w:rsid w:val="009B4929"/>
    <w:rsid w:val="009C2D10"/>
    <w:rsid w:val="009D79FA"/>
    <w:rsid w:val="00A11A21"/>
    <w:rsid w:val="00A1497C"/>
    <w:rsid w:val="00A15577"/>
    <w:rsid w:val="00A4795A"/>
    <w:rsid w:val="00A47FE2"/>
    <w:rsid w:val="00A56163"/>
    <w:rsid w:val="00A77511"/>
    <w:rsid w:val="00A8043A"/>
    <w:rsid w:val="00AC0924"/>
    <w:rsid w:val="00AE0B35"/>
    <w:rsid w:val="00AF7111"/>
    <w:rsid w:val="00B056DA"/>
    <w:rsid w:val="00B228F5"/>
    <w:rsid w:val="00B369B6"/>
    <w:rsid w:val="00B614F2"/>
    <w:rsid w:val="00B706F7"/>
    <w:rsid w:val="00B7116A"/>
    <w:rsid w:val="00B75677"/>
    <w:rsid w:val="00BB4554"/>
    <w:rsid w:val="00BB7985"/>
    <w:rsid w:val="00BC66A0"/>
    <w:rsid w:val="00BC6B82"/>
    <w:rsid w:val="00BF4703"/>
    <w:rsid w:val="00C058B2"/>
    <w:rsid w:val="00C10883"/>
    <w:rsid w:val="00C2681C"/>
    <w:rsid w:val="00C27739"/>
    <w:rsid w:val="00C40CAE"/>
    <w:rsid w:val="00C5550F"/>
    <w:rsid w:val="00C66C85"/>
    <w:rsid w:val="00C70EA3"/>
    <w:rsid w:val="00C74160"/>
    <w:rsid w:val="00C7537E"/>
    <w:rsid w:val="00C81A49"/>
    <w:rsid w:val="00C8763C"/>
    <w:rsid w:val="00CC3C55"/>
    <w:rsid w:val="00CC52E3"/>
    <w:rsid w:val="00CD2D13"/>
    <w:rsid w:val="00CD759E"/>
    <w:rsid w:val="00CE4021"/>
    <w:rsid w:val="00CF3DB9"/>
    <w:rsid w:val="00D01726"/>
    <w:rsid w:val="00D16568"/>
    <w:rsid w:val="00D17115"/>
    <w:rsid w:val="00D436F5"/>
    <w:rsid w:val="00D6471A"/>
    <w:rsid w:val="00D86648"/>
    <w:rsid w:val="00D903E4"/>
    <w:rsid w:val="00DA22D1"/>
    <w:rsid w:val="00DB4F65"/>
    <w:rsid w:val="00DD6769"/>
    <w:rsid w:val="00DE144C"/>
    <w:rsid w:val="00E019C6"/>
    <w:rsid w:val="00E10ABE"/>
    <w:rsid w:val="00E136F3"/>
    <w:rsid w:val="00E22714"/>
    <w:rsid w:val="00E32480"/>
    <w:rsid w:val="00E71DCC"/>
    <w:rsid w:val="00E82471"/>
    <w:rsid w:val="00E911BC"/>
    <w:rsid w:val="00EB2994"/>
    <w:rsid w:val="00ED5F91"/>
    <w:rsid w:val="00EE5988"/>
    <w:rsid w:val="00F10C9E"/>
    <w:rsid w:val="00F32186"/>
    <w:rsid w:val="00F3447A"/>
    <w:rsid w:val="00F507FB"/>
    <w:rsid w:val="00F60A46"/>
    <w:rsid w:val="00F7167F"/>
    <w:rsid w:val="00F71F31"/>
    <w:rsid w:val="00FA4CA4"/>
    <w:rsid w:val="00FC7BF3"/>
    <w:rsid w:val="00FD235D"/>
    <w:rsid w:val="00FD7FCA"/>
    <w:rsid w:val="00FE1932"/>
    <w:rsid w:val="00FE28B9"/>
    <w:rsid w:val="00FF5630"/>
    <w:rsid w:val="02F703B0"/>
    <w:rsid w:val="07DC0ED5"/>
    <w:rsid w:val="0904785D"/>
    <w:rsid w:val="09573966"/>
    <w:rsid w:val="0A781AE7"/>
    <w:rsid w:val="0CCA0314"/>
    <w:rsid w:val="14317D7D"/>
    <w:rsid w:val="14FE0CE9"/>
    <w:rsid w:val="158E7867"/>
    <w:rsid w:val="174C2AB4"/>
    <w:rsid w:val="1F5A1A25"/>
    <w:rsid w:val="1F714057"/>
    <w:rsid w:val="208E75B3"/>
    <w:rsid w:val="218A16C9"/>
    <w:rsid w:val="21BE3478"/>
    <w:rsid w:val="21D04080"/>
    <w:rsid w:val="22423DCF"/>
    <w:rsid w:val="23A74BBD"/>
    <w:rsid w:val="23D43A72"/>
    <w:rsid w:val="29846CB3"/>
    <w:rsid w:val="29E46257"/>
    <w:rsid w:val="2A4110A1"/>
    <w:rsid w:val="2AB85E2C"/>
    <w:rsid w:val="2C281A12"/>
    <w:rsid w:val="2FBE527A"/>
    <w:rsid w:val="31B57A58"/>
    <w:rsid w:val="325F3B1A"/>
    <w:rsid w:val="34745E77"/>
    <w:rsid w:val="36AE69D8"/>
    <w:rsid w:val="38B6063A"/>
    <w:rsid w:val="39E63C45"/>
    <w:rsid w:val="3A910669"/>
    <w:rsid w:val="3BFA1058"/>
    <w:rsid w:val="3EBA5BC3"/>
    <w:rsid w:val="420E5348"/>
    <w:rsid w:val="44100726"/>
    <w:rsid w:val="456D3D97"/>
    <w:rsid w:val="45E87405"/>
    <w:rsid w:val="46474D73"/>
    <w:rsid w:val="48BE5C4B"/>
    <w:rsid w:val="49214E6F"/>
    <w:rsid w:val="4D432356"/>
    <w:rsid w:val="4E3430C7"/>
    <w:rsid w:val="52A97DDB"/>
    <w:rsid w:val="56154CA2"/>
    <w:rsid w:val="5A931503"/>
    <w:rsid w:val="5A971C98"/>
    <w:rsid w:val="5AFA5C95"/>
    <w:rsid w:val="5CDE078E"/>
    <w:rsid w:val="5DC655CC"/>
    <w:rsid w:val="5F776EED"/>
    <w:rsid w:val="605176D9"/>
    <w:rsid w:val="63F828E6"/>
    <w:rsid w:val="654D6460"/>
    <w:rsid w:val="6AB57C02"/>
    <w:rsid w:val="6B27051F"/>
    <w:rsid w:val="6B753BDA"/>
    <w:rsid w:val="6B770841"/>
    <w:rsid w:val="6E8A0C2B"/>
    <w:rsid w:val="6EF60757"/>
    <w:rsid w:val="70FA146A"/>
    <w:rsid w:val="710228B1"/>
    <w:rsid w:val="73A7009A"/>
    <w:rsid w:val="73B95B2E"/>
    <w:rsid w:val="74130018"/>
    <w:rsid w:val="77CE2BEC"/>
    <w:rsid w:val="7AC757F1"/>
    <w:rsid w:val="7D700DB4"/>
    <w:rsid w:val="7F720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endnote text" w:qFormat="1"/>
    <w:lsdException w:name="Title" w:qFormat="1"/>
    <w:lsdException w:name="Default Paragraph Font" w:semiHidden="1" w:uiPriority="1" w:unhideWhenUsed="1"/>
    <w:lsdException w:name="Body Text" w:qFormat="1"/>
    <w:lsdException w:name="Body Text Indent" w:qFormat="1"/>
    <w:lsdException w:name="Subtitle" w:qFormat="1"/>
    <w:lsdException w:name="Date" w:uiPriority="99" w:qFormat="1"/>
    <w:lsdException w:name="Body Text First Indent" w:qFormat="1"/>
    <w:lsdException w:name="Body Text Indent 2" w:qFormat="1"/>
    <w:lsdException w:name="Body Text Indent 3" w:qFormat="1"/>
    <w:lsdException w:name="Hyperlink" w:uiPriority="99" w:qFormat="1"/>
    <w:lsdException w:name="FollowedHyperlink" w:unhideWhenUsed="1"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rFonts w:ascii="Times New Roman" w:eastAsia="宋体" w:hAnsi="Times New Roman" w:cs="Times New Roman"/>
      <w:kern w:val="2"/>
      <w:sz w:val="21"/>
      <w:szCs w:val="24"/>
    </w:rPr>
  </w:style>
  <w:style w:type="paragraph" w:styleId="1">
    <w:name w:val="heading 1"/>
    <w:basedOn w:val="af9"/>
    <w:next w:val="af9"/>
    <w:qFormat/>
    <w:pPr>
      <w:keepNext/>
      <w:keepLines/>
      <w:spacing w:before="340" w:after="330" w:line="576" w:lineRule="auto"/>
      <w:outlineLvl w:val="0"/>
    </w:pPr>
    <w:rPr>
      <w:b/>
      <w:bCs/>
      <w:kern w:val="44"/>
      <w:sz w:val="44"/>
      <w:szCs w:val="44"/>
    </w:rPr>
  </w:style>
  <w:style w:type="paragraph" w:styleId="2">
    <w:name w:val="heading 2"/>
    <w:basedOn w:val="af9"/>
    <w:next w:val="af9"/>
    <w:qFormat/>
    <w:pPr>
      <w:keepNext/>
      <w:keepLines/>
      <w:spacing w:before="260" w:after="260" w:line="413" w:lineRule="auto"/>
      <w:outlineLvl w:val="1"/>
    </w:pPr>
    <w:rPr>
      <w:rFonts w:ascii="Arial" w:eastAsia="黑体" w:hAnsi="Arial"/>
      <w:b/>
      <w:bCs/>
      <w:sz w:val="32"/>
      <w:szCs w:val="32"/>
    </w:rPr>
  </w:style>
  <w:style w:type="paragraph" w:styleId="3">
    <w:name w:val="heading 3"/>
    <w:basedOn w:val="af9"/>
    <w:next w:val="af9"/>
    <w:qFormat/>
    <w:pPr>
      <w:keepNext/>
      <w:keepLines/>
      <w:spacing w:before="260" w:after="260" w:line="413" w:lineRule="auto"/>
      <w:outlineLvl w:val="2"/>
    </w:pPr>
    <w:rPr>
      <w:b/>
      <w:bCs/>
      <w:sz w:val="32"/>
      <w:szCs w:val="32"/>
    </w:rPr>
  </w:style>
  <w:style w:type="paragraph" w:styleId="4">
    <w:name w:val="heading 4"/>
    <w:basedOn w:val="af9"/>
    <w:next w:val="af9"/>
    <w:qFormat/>
    <w:pPr>
      <w:keepNext/>
      <w:keepLines/>
      <w:spacing w:before="280" w:after="290" w:line="372" w:lineRule="auto"/>
      <w:outlineLvl w:val="3"/>
    </w:pPr>
    <w:rPr>
      <w:rFonts w:ascii="Arial" w:eastAsia="黑体" w:hAnsi="Arial"/>
      <w:b/>
      <w:bCs/>
      <w:sz w:val="28"/>
      <w:szCs w:val="28"/>
    </w:rPr>
  </w:style>
  <w:style w:type="paragraph" w:styleId="5">
    <w:name w:val="heading 5"/>
    <w:basedOn w:val="af9"/>
    <w:next w:val="af9"/>
    <w:qFormat/>
    <w:pPr>
      <w:keepNext/>
      <w:keepLines/>
      <w:spacing w:before="280" w:after="290" w:line="372" w:lineRule="auto"/>
      <w:outlineLvl w:val="4"/>
    </w:pPr>
    <w:rPr>
      <w:b/>
      <w:bCs/>
      <w:sz w:val="28"/>
      <w:szCs w:val="28"/>
    </w:rPr>
  </w:style>
  <w:style w:type="paragraph" w:styleId="6">
    <w:name w:val="heading 6"/>
    <w:basedOn w:val="af9"/>
    <w:next w:val="af9"/>
    <w:qFormat/>
    <w:pPr>
      <w:keepNext/>
      <w:keepLines/>
      <w:spacing w:before="240" w:after="64" w:line="317" w:lineRule="auto"/>
      <w:outlineLvl w:val="5"/>
    </w:pPr>
    <w:rPr>
      <w:rFonts w:ascii="Arial" w:eastAsia="黑体" w:hAnsi="Arial"/>
      <w:b/>
      <w:bCs/>
      <w:sz w:val="24"/>
    </w:rPr>
  </w:style>
  <w:style w:type="paragraph" w:styleId="7">
    <w:name w:val="heading 7"/>
    <w:basedOn w:val="af9"/>
    <w:next w:val="af9"/>
    <w:qFormat/>
    <w:pPr>
      <w:keepNext/>
      <w:keepLines/>
      <w:spacing w:before="240" w:after="64" w:line="317" w:lineRule="auto"/>
      <w:outlineLvl w:val="6"/>
    </w:pPr>
    <w:rPr>
      <w:b/>
      <w:bCs/>
      <w:sz w:val="24"/>
    </w:rPr>
  </w:style>
  <w:style w:type="paragraph" w:styleId="8">
    <w:name w:val="heading 8"/>
    <w:basedOn w:val="af9"/>
    <w:next w:val="af9"/>
    <w:qFormat/>
    <w:pPr>
      <w:keepNext/>
      <w:keepLines/>
      <w:spacing w:before="240" w:after="64" w:line="317" w:lineRule="auto"/>
      <w:outlineLvl w:val="7"/>
    </w:pPr>
    <w:rPr>
      <w:rFonts w:ascii="Arial" w:eastAsia="黑体" w:hAnsi="Arial"/>
      <w:sz w:val="24"/>
    </w:rPr>
  </w:style>
  <w:style w:type="paragraph" w:styleId="9">
    <w:name w:val="heading 9"/>
    <w:basedOn w:val="af9"/>
    <w:next w:val="af9"/>
    <w:qFormat/>
    <w:pPr>
      <w:keepNext/>
      <w:keepLines/>
      <w:spacing w:before="240" w:after="64" w:line="317" w:lineRule="auto"/>
      <w:outlineLvl w:val="8"/>
    </w:pPr>
    <w:rPr>
      <w:rFonts w:ascii="Arial" w:eastAsia="黑体" w:hAnsi="Arial"/>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70">
    <w:name w:val="toc 7"/>
    <w:basedOn w:val="60"/>
    <w:next w:val="af9"/>
    <w:uiPriority w:val="39"/>
    <w:qFormat/>
  </w:style>
  <w:style w:type="paragraph" w:styleId="60">
    <w:name w:val="toc 6"/>
    <w:basedOn w:val="50"/>
    <w:next w:val="af9"/>
    <w:uiPriority w:val="39"/>
    <w:qFormat/>
  </w:style>
  <w:style w:type="paragraph" w:styleId="50">
    <w:name w:val="toc 5"/>
    <w:basedOn w:val="40"/>
    <w:next w:val="af9"/>
    <w:uiPriority w:val="39"/>
    <w:qFormat/>
  </w:style>
  <w:style w:type="paragraph" w:styleId="40">
    <w:name w:val="toc 4"/>
    <w:basedOn w:val="30"/>
    <w:next w:val="af9"/>
    <w:uiPriority w:val="39"/>
    <w:qFormat/>
  </w:style>
  <w:style w:type="paragraph" w:styleId="30">
    <w:name w:val="toc 3"/>
    <w:basedOn w:val="20"/>
    <w:next w:val="af9"/>
    <w:uiPriority w:val="39"/>
    <w:qFormat/>
  </w:style>
  <w:style w:type="paragraph" w:styleId="20">
    <w:name w:val="toc 2"/>
    <w:basedOn w:val="10"/>
    <w:next w:val="af9"/>
    <w:uiPriority w:val="39"/>
    <w:qFormat/>
  </w:style>
  <w:style w:type="paragraph" w:styleId="10">
    <w:name w:val="toc 1"/>
    <w:next w:val="af9"/>
    <w:uiPriority w:val="39"/>
    <w:qFormat/>
    <w:pPr>
      <w:jc w:val="both"/>
    </w:pPr>
    <w:rPr>
      <w:rFonts w:ascii="宋体" w:eastAsia="宋体" w:hAnsi="Times New Roman" w:cs="Times New Roman"/>
      <w:sz w:val="21"/>
    </w:rPr>
  </w:style>
  <w:style w:type="paragraph" w:styleId="afd">
    <w:name w:val="Normal Indent"/>
    <w:basedOn w:val="af9"/>
    <w:qFormat/>
    <w:pPr>
      <w:ind w:firstLine="420"/>
    </w:pPr>
    <w:rPr>
      <w:szCs w:val="20"/>
    </w:rPr>
  </w:style>
  <w:style w:type="paragraph" w:styleId="afe">
    <w:name w:val="caption"/>
    <w:basedOn w:val="af9"/>
    <w:next w:val="af9"/>
    <w:qFormat/>
    <w:pPr>
      <w:spacing w:before="152" w:after="160"/>
    </w:pPr>
    <w:rPr>
      <w:rFonts w:ascii="Arial" w:eastAsia="黑体" w:hAnsi="Arial"/>
      <w:szCs w:val="20"/>
    </w:rPr>
  </w:style>
  <w:style w:type="paragraph" w:styleId="aff">
    <w:name w:val="annotation text"/>
    <w:basedOn w:val="af9"/>
    <w:link w:val="Char"/>
    <w:qFormat/>
    <w:pPr>
      <w:jc w:val="left"/>
    </w:pPr>
  </w:style>
  <w:style w:type="paragraph" w:styleId="aff0">
    <w:name w:val="Body Text"/>
    <w:basedOn w:val="af9"/>
    <w:link w:val="Char0"/>
    <w:qFormat/>
    <w:pPr>
      <w:spacing w:after="120"/>
    </w:pPr>
  </w:style>
  <w:style w:type="paragraph" w:styleId="aff1">
    <w:name w:val="Body Text Indent"/>
    <w:basedOn w:val="af9"/>
    <w:link w:val="Char1"/>
    <w:qFormat/>
    <w:pPr>
      <w:spacing w:line="360" w:lineRule="exact"/>
      <w:ind w:left="420" w:firstLine="480"/>
    </w:pPr>
    <w:rPr>
      <w:sz w:val="24"/>
      <w:szCs w:val="20"/>
    </w:rPr>
  </w:style>
  <w:style w:type="paragraph" w:styleId="HTML">
    <w:name w:val="HTML Address"/>
    <w:basedOn w:val="af9"/>
    <w:qFormat/>
    <w:rPr>
      <w:i/>
      <w:iCs/>
    </w:rPr>
  </w:style>
  <w:style w:type="paragraph" w:styleId="aff2">
    <w:name w:val="Plain Text"/>
    <w:basedOn w:val="af9"/>
    <w:link w:val="Char2"/>
    <w:qFormat/>
    <w:rPr>
      <w:rFonts w:ascii="宋体" w:hAnsi="Courier New"/>
      <w:szCs w:val="21"/>
    </w:rPr>
  </w:style>
  <w:style w:type="paragraph" w:styleId="80">
    <w:name w:val="toc 8"/>
    <w:basedOn w:val="70"/>
    <w:next w:val="af9"/>
    <w:uiPriority w:val="39"/>
    <w:qFormat/>
  </w:style>
  <w:style w:type="paragraph" w:styleId="aff3">
    <w:name w:val="Date"/>
    <w:basedOn w:val="af9"/>
    <w:next w:val="af9"/>
    <w:link w:val="Char3"/>
    <w:uiPriority w:val="99"/>
    <w:qFormat/>
    <w:pPr>
      <w:ind w:leftChars="2500" w:left="100"/>
    </w:pPr>
    <w:rPr>
      <w:sz w:val="24"/>
      <w:szCs w:val="20"/>
    </w:rPr>
  </w:style>
  <w:style w:type="paragraph" w:styleId="21">
    <w:name w:val="Body Text Indent 2"/>
    <w:basedOn w:val="af9"/>
    <w:link w:val="2Char"/>
    <w:qFormat/>
    <w:pPr>
      <w:spacing w:after="120" w:line="480" w:lineRule="auto"/>
      <w:ind w:leftChars="200" w:left="420"/>
    </w:pPr>
  </w:style>
  <w:style w:type="paragraph" w:styleId="aff4">
    <w:name w:val="endnote text"/>
    <w:basedOn w:val="af9"/>
    <w:qFormat/>
    <w:pPr>
      <w:snapToGrid w:val="0"/>
    </w:pPr>
  </w:style>
  <w:style w:type="paragraph" w:styleId="aff5">
    <w:name w:val="Balloon Text"/>
    <w:basedOn w:val="af9"/>
    <w:link w:val="Char4"/>
    <w:uiPriority w:val="99"/>
    <w:qFormat/>
    <w:rPr>
      <w:sz w:val="18"/>
      <w:szCs w:val="18"/>
    </w:rPr>
  </w:style>
  <w:style w:type="paragraph" w:styleId="aff6">
    <w:name w:val="footer"/>
    <w:basedOn w:val="af9"/>
    <w:link w:val="Char5"/>
    <w:uiPriority w:val="99"/>
    <w:qFormat/>
    <w:pPr>
      <w:tabs>
        <w:tab w:val="center" w:pos="4153"/>
        <w:tab w:val="right" w:pos="8306"/>
      </w:tabs>
      <w:snapToGrid w:val="0"/>
      <w:ind w:rightChars="100" w:right="210"/>
      <w:jc w:val="right"/>
    </w:pPr>
    <w:rPr>
      <w:sz w:val="18"/>
      <w:szCs w:val="18"/>
    </w:rPr>
  </w:style>
  <w:style w:type="paragraph" w:styleId="aff7">
    <w:name w:val="header"/>
    <w:basedOn w:val="af9"/>
    <w:link w:val="Char6"/>
    <w:uiPriority w:val="99"/>
    <w:qFormat/>
    <w:pPr>
      <w:pBdr>
        <w:bottom w:val="single" w:sz="6" w:space="1" w:color="auto"/>
      </w:pBdr>
      <w:tabs>
        <w:tab w:val="center" w:pos="4153"/>
        <w:tab w:val="right" w:pos="8306"/>
      </w:tabs>
      <w:snapToGrid w:val="0"/>
      <w:jc w:val="center"/>
    </w:pPr>
    <w:rPr>
      <w:sz w:val="18"/>
      <w:szCs w:val="18"/>
    </w:rPr>
  </w:style>
  <w:style w:type="paragraph" w:styleId="aff8">
    <w:name w:val="footnote text"/>
    <w:basedOn w:val="af9"/>
    <w:qFormat/>
    <w:pPr>
      <w:snapToGrid w:val="0"/>
      <w:jc w:val="left"/>
    </w:pPr>
    <w:rPr>
      <w:sz w:val="18"/>
      <w:szCs w:val="18"/>
    </w:rPr>
  </w:style>
  <w:style w:type="paragraph" w:styleId="31">
    <w:name w:val="Body Text Indent 3"/>
    <w:basedOn w:val="af9"/>
    <w:qFormat/>
    <w:pPr>
      <w:widowControl/>
      <w:spacing w:line="360" w:lineRule="auto"/>
      <w:ind w:firstLine="420"/>
    </w:pPr>
    <w:rPr>
      <w:rFonts w:hAnsi="宋体"/>
      <w:sz w:val="18"/>
    </w:rPr>
  </w:style>
  <w:style w:type="paragraph" w:styleId="90">
    <w:name w:val="toc 9"/>
    <w:basedOn w:val="80"/>
    <w:next w:val="af9"/>
    <w:uiPriority w:val="39"/>
    <w:qFormat/>
  </w:style>
  <w:style w:type="paragraph" w:styleId="HTML0">
    <w:name w:val="HTML Preformatted"/>
    <w:basedOn w:val="af9"/>
    <w:qFormat/>
    <w:rPr>
      <w:rFonts w:ascii="Courier New" w:hAnsi="Courier New" w:cs="Courier New"/>
      <w:sz w:val="20"/>
      <w:szCs w:val="20"/>
    </w:rPr>
  </w:style>
  <w:style w:type="paragraph" w:styleId="aff9">
    <w:name w:val="Normal (Web)"/>
    <w:basedOn w:val="af9"/>
    <w:uiPriority w:val="99"/>
    <w:unhideWhenUsed/>
    <w:qFormat/>
    <w:pPr>
      <w:widowControl/>
      <w:spacing w:before="100" w:beforeAutospacing="1" w:after="100" w:afterAutospacing="1"/>
      <w:jc w:val="left"/>
    </w:pPr>
    <w:rPr>
      <w:rFonts w:ascii="宋体" w:hAnsi="宋体" w:cs="宋体"/>
      <w:kern w:val="0"/>
      <w:sz w:val="24"/>
    </w:rPr>
  </w:style>
  <w:style w:type="paragraph" w:styleId="affa">
    <w:name w:val="Title"/>
    <w:basedOn w:val="af9"/>
    <w:qFormat/>
    <w:pPr>
      <w:spacing w:before="240" w:after="60"/>
      <w:jc w:val="center"/>
      <w:outlineLvl w:val="0"/>
    </w:pPr>
    <w:rPr>
      <w:rFonts w:ascii="Arial" w:hAnsi="Arial" w:cs="Arial"/>
      <w:b/>
      <w:bCs/>
      <w:sz w:val="32"/>
      <w:szCs w:val="32"/>
    </w:rPr>
  </w:style>
  <w:style w:type="paragraph" w:styleId="affb">
    <w:name w:val="annotation subject"/>
    <w:basedOn w:val="aff"/>
    <w:next w:val="aff"/>
    <w:link w:val="Char7"/>
    <w:qFormat/>
    <w:rPr>
      <w:b/>
      <w:bCs/>
    </w:rPr>
  </w:style>
  <w:style w:type="paragraph" w:styleId="affc">
    <w:name w:val="Body Text First Indent"/>
    <w:basedOn w:val="aff0"/>
    <w:qFormat/>
    <w:pPr>
      <w:ind w:firstLine="420"/>
    </w:pPr>
    <w:rPr>
      <w:szCs w:val="20"/>
    </w:rPr>
  </w:style>
  <w:style w:type="table" w:styleId="affd">
    <w:name w:val="Table Grid"/>
    <w:basedOn w:val="afb"/>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e">
    <w:name w:val="Strong"/>
    <w:uiPriority w:val="22"/>
    <w:qFormat/>
    <w:rPr>
      <w:b/>
      <w:bCs/>
    </w:rPr>
  </w:style>
  <w:style w:type="character" w:styleId="afff">
    <w:name w:val="page number"/>
    <w:qFormat/>
    <w:rPr>
      <w:rFonts w:ascii="Times New Roman" w:eastAsia="宋体" w:hAnsi="Times New Roman"/>
      <w:sz w:val="18"/>
    </w:rPr>
  </w:style>
  <w:style w:type="character" w:styleId="afff0">
    <w:name w:val="FollowedHyperlink"/>
    <w:unhideWhenUsed/>
    <w:qFormat/>
    <w:rPr>
      <w:color w:val="800080"/>
      <w:u w:val="single"/>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a"/>
    <w:qFormat/>
  </w:style>
  <w:style w:type="character" w:styleId="HTML4">
    <w:name w:val="HTML Variable"/>
    <w:qFormat/>
    <w:rPr>
      <w:i/>
      <w:iCs/>
    </w:rPr>
  </w:style>
  <w:style w:type="character" w:styleId="afff1">
    <w:name w:val="Hyperlink"/>
    <w:basedOn w:val="afa"/>
    <w:uiPriority w:val="99"/>
    <w:qFormat/>
    <w:rPr>
      <w:rFonts w:ascii="Times New Roman" w:eastAsia="宋体" w:hAnsi="Times New Roman"/>
      <w:color w:val="auto"/>
      <w:spacing w:val="0"/>
      <w:w w:val="100"/>
      <w:position w:val="0"/>
      <w:sz w:val="21"/>
      <w:u w:val="none"/>
    </w:rPr>
  </w:style>
  <w:style w:type="character" w:styleId="HTML5">
    <w:name w:val="HTML Code"/>
    <w:qFormat/>
    <w:rPr>
      <w:rFonts w:ascii="Courier New" w:hAnsi="Courier New"/>
      <w:sz w:val="20"/>
      <w:szCs w:val="20"/>
    </w:rPr>
  </w:style>
  <w:style w:type="character" w:styleId="afff2">
    <w:name w:val="annotation reference"/>
    <w:qFormat/>
    <w:rPr>
      <w:sz w:val="21"/>
      <w:szCs w:val="21"/>
    </w:rPr>
  </w:style>
  <w:style w:type="character" w:styleId="HTML6">
    <w:name w:val="HTML Cite"/>
    <w:qFormat/>
    <w:rPr>
      <w:i/>
      <w:iCs/>
    </w:rPr>
  </w:style>
  <w:style w:type="character" w:styleId="afff3">
    <w:name w:val="footnote reference"/>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paragraph" w:customStyle="1" w:styleId="afff4">
    <w:name w:val="段"/>
    <w:link w:val="Char8"/>
    <w:qFormat/>
    <w:pPr>
      <w:autoSpaceDE w:val="0"/>
      <w:autoSpaceDN w:val="0"/>
      <w:adjustRightInd w:val="0"/>
      <w:snapToGrid w:val="0"/>
      <w:ind w:firstLineChars="200" w:firstLine="400"/>
      <w:jc w:val="both"/>
    </w:pPr>
    <w:rPr>
      <w:rFonts w:ascii="宋体" w:eastAsia="宋体" w:hAnsi="宋体" w:cs="Times New Roman"/>
      <w:sz w:val="21"/>
    </w:rPr>
  </w:style>
  <w:style w:type="paragraph" w:customStyle="1" w:styleId="af4">
    <w:name w:val="二级条标题"/>
    <w:basedOn w:val="af3"/>
    <w:next w:val="afff4"/>
    <w:link w:val="Char9"/>
    <w:qFormat/>
    <w:pPr>
      <w:numPr>
        <w:ilvl w:val="3"/>
      </w:numPr>
      <w:outlineLvl w:val="3"/>
    </w:pPr>
    <w:rPr>
      <w:rFonts w:hAnsi="黑体"/>
      <w:color w:val="000000" w:themeColor="text1"/>
      <w:spacing w:val="-6"/>
    </w:rPr>
  </w:style>
  <w:style w:type="paragraph" w:customStyle="1" w:styleId="af3">
    <w:name w:val="一级条标题"/>
    <w:basedOn w:val="af2"/>
    <w:next w:val="afff4"/>
    <w:link w:val="Chara"/>
    <w:qFormat/>
    <w:pPr>
      <w:numPr>
        <w:ilvl w:val="2"/>
      </w:numPr>
      <w:spacing w:beforeLines="0" w:afterLines="0" w:line="300" w:lineRule="auto"/>
      <w:outlineLvl w:val="2"/>
    </w:pPr>
    <w:rPr>
      <w:color w:val="FF0000"/>
      <w:spacing w:val="-4"/>
      <w:szCs w:val="24"/>
    </w:rPr>
  </w:style>
  <w:style w:type="paragraph" w:customStyle="1" w:styleId="af2">
    <w:name w:val="章标题"/>
    <w:next w:val="afff4"/>
    <w:link w:val="Charb"/>
    <w:qFormat/>
    <w:pPr>
      <w:numPr>
        <w:ilvl w:val="1"/>
        <w:numId w:val="1"/>
      </w:numPr>
      <w:spacing w:beforeLines="50" w:afterLines="50"/>
      <w:jc w:val="both"/>
      <w:outlineLvl w:val="1"/>
    </w:pPr>
    <w:rPr>
      <w:rFonts w:ascii="黑体" w:eastAsia="黑体" w:hAnsi="Times New Roman" w:cs="Times New Roman"/>
      <w:sz w:val="21"/>
    </w:rPr>
  </w:style>
  <w:style w:type="paragraph" w:customStyle="1" w:styleId="afff5">
    <w:name w:val="封面标准文稿类别"/>
    <w:qFormat/>
    <w:pPr>
      <w:spacing w:before="440" w:line="400" w:lineRule="exact"/>
      <w:jc w:val="center"/>
    </w:pPr>
    <w:rPr>
      <w:rFonts w:ascii="宋体" w:eastAsia="宋体" w:hAnsi="Times New Roman" w:cs="Times New Roman"/>
      <w:sz w:val="24"/>
    </w:rPr>
  </w:style>
  <w:style w:type="paragraph" w:customStyle="1" w:styleId="22">
    <w:name w:val="封面标准号2"/>
    <w:basedOn w:val="11"/>
    <w:qFormat/>
    <w:pPr>
      <w:adjustRightInd w:val="0"/>
      <w:spacing w:before="357" w:line="280" w:lineRule="exact"/>
    </w:pPr>
  </w:style>
  <w:style w:type="paragraph" w:customStyle="1" w:styleId="11">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8">
    <w:name w:val="附录标识"/>
    <w:basedOn w:val="af1"/>
    <w:link w:val="Charc"/>
    <w:qFormat/>
    <w:pPr>
      <w:numPr>
        <w:numId w:val="2"/>
      </w:numPr>
      <w:tabs>
        <w:tab w:val="left" w:pos="6405"/>
      </w:tabs>
      <w:spacing w:after="200"/>
    </w:pPr>
    <w:rPr>
      <w:sz w:val="21"/>
    </w:rPr>
  </w:style>
  <w:style w:type="paragraph" w:customStyle="1" w:styleId="af1">
    <w:name w:val="前言、引言标题"/>
    <w:next w:val="af9"/>
    <w:qFormat/>
    <w:pPr>
      <w:numPr>
        <w:numId w:val="1"/>
      </w:numPr>
      <w:shd w:val="clear" w:color="FFFFFF" w:fill="FFFFFF"/>
      <w:spacing w:before="640" w:after="560"/>
      <w:jc w:val="center"/>
      <w:outlineLvl w:val="0"/>
    </w:pPr>
    <w:rPr>
      <w:rFonts w:ascii="黑体" w:eastAsia="黑体" w:hAnsi="Times New Roman" w:cs="Times New Roman"/>
      <w:sz w:val="32"/>
    </w:rPr>
  </w:style>
  <w:style w:type="paragraph" w:customStyle="1" w:styleId="afff6">
    <w:name w:val="封面标准文稿编辑信息"/>
    <w:qFormat/>
    <w:pPr>
      <w:spacing w:before="180" w:line="180" w:lineRule="exact"/>
      <w:jc w:val="center"/>
    </w:pPr>
    <w:rPr>
      <w:rFonts w:ascii="宋体" w:eastAsia="宋体" w:hAnsi="Times New Roman" w:cs="Times New Roman"/>
      <w:sz w:val="21"/>
    </w:rPr>
  </w:style>
  <w:style w:type="paragraph" w:customStyle="1" w:styleId="afff7">
    <w:name w:val="发布部门"/>
    <w:next w:val="afff4"/>
    <w:qFormat/>
    <w:pPr>
      <w:jc w:val="center"/>
    </w:pPr>
    <w:rPr>
      <w:rFonts w:ascii="宋体" w:eastAsia="宋体" w:hAnsi="Times New Roman" w:cs="Times New Roman"/>
      <w:b/>
      <w:spacing w:val="20"/>
      <w:w w:val="135"/>
      <w:sz w:val="36"/>
    </w:rPr>
  </w:style>
  <w:style w:type="paragraph" w:customStyle="1" w:styleId="afff8">
    <w:name w:val="标准书脚_偶数页"/>
    <w:qFormat/>
    <w:pPr>
      <w:spacing w:before="120"/>
    </w:pPr>
    <w:rPr>
      <w:rFonts w:ascii="Times New Roman" w:eastAsia="宋体" w:hAnsi="Times New Roman" w:cs="Times New Roman"/>
      <w:sz w:val="18"/>
    </w:rPr>
  </w:style>
  <w:style w:type="paragraph" w:customStyle="1" w:styleId="af6">
    <w:name w:val="四级条标题"/>
    <w:basedOn w:val="af5"/>
    <w:next w:val="afff4"/>
    <w:qFormat/>
    <w:pPr>
      <w:numPr>
        <w:ilvl w:val="5"/>
      </w:numPr>
      <w:outlineLvl w:val="5"/>
    </w:pPr>
  </w:style>
  <w:style w:type="paragraph" w:customStyle="1" w:styleId="af5">
    <w:name w:val="三级条标题"/>
    <w:basedOn w:val="af4"/>
    <w:next w:val="afff4"/>
    <w:link w:val="Chard"/>
    <w:qFormat/>
    <w:pPr>
      <w:numPr>
        <w:ilvl w:val="4"/>
      </w:numPr>
      <w:outlineLvl w:val="4"/>
    </w:pPr>
  </w:style>
  <w:style w:type="paragraph" w:customStyle="1" w:styleId="af8">
    <w:name w:val="列项——"/>
    <w:qFormat/>
    <w:pPr>
      <w:widowControl w:val="0"/>
      <w:numPr>
        <w:numId w:val="3"/>
      </w:numPr>
      <w:tabs>
        <w:tab w:val="clear" w:pos="1140"/>
        <w:tab w:val="left" w:pos="854"/>
      </w:tabs>
      <w:ind w:leftChars="200" w:left="200" w:hangingChars="200" w:hanging="200"/>
      <w:jc w:val="both"/>
    </w:pPr>
    <w:rPr>
      <w:rFonts w:ascii="宋体" w:eastAsia="宋体" w:hAnsi="Times New Roman" w:cs="Times New Roman"/>
      <w:sz w:val="21"/>
    </w:rPr>
  </w:style>
  <w:style w:type="paragraph" w:customStyle="1" w:styleId="afff9">
    <w:name w:val="标准书脚_奇数页"/>
    <w:qFormat/>
    <w:pPr>
      <w:spacing w:before="120"/>
      <w:jc w:val="right"/>
    </w:pPr>
    <w:rPr>
      <w:rFonts w:ascii="Times New Roman" w:eastAsia="宋体" w:hAnsi="Times New Roman" w:cs="Times New Roman"/>
      <w:sz w:val="18"/>
    </w:rPr>
  </w:style>
  <w:style w:type="paragraph" w:customStyle="1" w:styleId="afffa">
    <w:name w:val="参考文献、索引标题"/>
    <w:basedOn w:val="af1"/>
    <w:next w:val="af9"/>
    <w:qFormat/>
    <w:pPr>
      <w:numPr>
        <w:numId w:val="0"/>
      </w:numPr>
      <w:spacing w:after="200"/>
    </w:pPr>
    <w:rPr>
      <w:sz w:val="21"/>
    </w:rPr>
  </w:style>
  <w:style w:type="paragraph" w:customStyle="1" w:styleId="afffb">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afffc">
    <w:name w:val="实施日期"/>
    <w:basedOn w:val="afffd"/>
    <w:qFormat/>
    <w:pPr>
      <w:jc w:val="right"/>
    </w:pPr>
  </w:style>
  <w:style w:type="paragraph" w:customStyle="1" w:styleId="afffd">
    <w:name w:val="发布日期"/>
    <w:qFormat/>
    <w:rPr>
      <w:rFonts w:ascii="Times New Roman" w:eastAsia="黑体" w:hAnsi="Times New Roman" w:cs="Times New Roman"/>
      <w:sz w:val="28"/>
    </w:rPr>
  </w:style>
  <w:style w:type="paragraph" w:customStyle="1" w:styleId="afffe">
    <w:name w:val="条文脚注"/>
    <w:basedOn w:val="aff8"/>
    <w:qFormat/>
    <w:pPr>
      <w:ind w:leftChars="200" w:left="780" w:hangingChars="200" w:hanging="360"/>
      <w:jc w:val="both"/>
    </w:pPr>
    <w:rPr>
      <w:rFonts w:ascii="宋体"/>
    </w:rPr>
  </w:style>
  <w:style w:type="paragraph" w:customStyle="1" w:styleId="a9">
    <w:name w:val="附录章标题"/>
    <w:next w:val="afff4"/>
    <w:qFormat/>
    <w:pPr>
      <w:numPr>
        <w:ilvl w:val="1"/>
        <w:numId w:val="2"/>
      </w:num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
    <w:name w:val="注×："/>
    <w:qFormat/>
    <w:pPr>
      <w:widowControl w:val="0"/>
      <w:numPr>
        <w:numId w:val="4"/>
      </w:numPr>
      <w:tabs>
        <w:tab w:val="clear" w:pos="900"/>
        <w:tab w:val="left" w:pos="630"/>
      </w:tabs>
      <w:autoSpaceDE w:val="0"/>
      <w:autoSpaceDN w:val="0"/>
      <w:jc w:val="both"/>
    </w:pPr>
    <w:rPr>
      <w:rFonts w:ascii="宋体" w:eastAsia="宋体" w:hAnsi="Times New Roman" w:cs="Times New Roman"/>
      <w:sz w:val="18"/>
    </w:rPr>
  </w:style>
  <w:style w:type="paragraph" w:customStyle="1" w:styleId="affff">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affff0">
    <w:name w:val="图表脚注"/>
    <w:next w:val="afff4"/>
    <w:qFormat/>
    <w:pPr>
      <w:ind w:leftChars="200" w:left="300" w:hangingChars="100" w:hanging="100"/>
      <w:jc w:val="both"/>
    </w:pPr>
    <w:rPr>
      <w:rFonts w:ascii="宋体" w:eastAsia="宋体" w:hAnsi="Times New Roman" w:cs="Times New Roman"/>
      <w:sz w:val="18"/>
    </w:rPr>
  </w:style>
  <w:style w:type="paragraph" w:customStyle="1" w:styleId="a6">
    <w:name w:val="五级无标题条"/>
    <w:basedOn w:val="af9"/>
    <w:qFormat/>
    <w:pPr>
      <w:numPr>
        <w:ilvl w:val="6"/>
        <w:numId w:val="5"/>
      </w:numPr>
    </w:pPr>
  </w:style>
  <w:style w:type="paragraph" w:customStyle="1" w:styleId="affff1">
    <w:name w:val="标准标志"/>
    <w:next w:val="af9"/>
    <w:qFormat/>
    <w:pPr>
      <w:shd w:val="solid" w:color="FFFFFF" w:fill="FFFFFF"/>
      <w:spacing w:line="0" w:lineRule="atLeast"/>
      <w:jc w:val="right"/>
    </w:pPr>
    <w:rPr>
      <w:rFonts w:ascii="Times New Roman" w:eastAsia="宋体" w:hAnsi="Times New Roman" w:cs="Times New Roman"/>
      <w:b/>
      <w:w w:val="130"/>
      <w:sz w:val="96"/>
    </w:rPr>
  </w:style>
  <w:style w:type="paragraph" w:customStyle="1" w:styleId="Chare">
    <w:name w:val="Char"/>
    <w:basedOn w:val="af9"/>
    <w:qFormat/>
    <w:pPr>
      <w:widowControl/>
      <w:spacing w:after="160" w:line="240" w:lineRule="exact"/>
      <w:jc w:val="left"/>
    </w:pPr>
  </w:style>
  <w:style w:type="paragraph" w:customStyle="1" w:styleId="affff2">
    <w:name w:val="无标题条"/>
    <w:next w:val="afff4"/>
    <w:qFormat/>
    <w:pPr>
      <w:jc w:val="both"/>
    </w:pPr>
    <w:rPr>
      <w:rFonts w:ascii="Times New Roman" w:eastAsia="宋体" w:hAnsi="Times New Roman" w:cs="Times New Roman"/>
      <w:sz w:val="21"/>
    </w:rPr>
  </w:style>
  <w:style w:type="paragraph" w:customStyle="1" w:styleId="af7">
    <w:name w:val="五级条标题"/>
    <w:basedOn w:val="af6"/>
    <w:next w:val="afff4"/>
    <w:qFormat/>
    <w:pPr>
      <w:numPr>
        <w:ilvl w:val="6"/>
      </w:numPr>
      <w:outlineLvl w:val="6"/>
    </w:pPr>
  </w:style>
  <w:style w:type="paragraph" w:customStyle="1" w:styleId="Default">
    <w:name w:val="Default"/>
    <w:qFormat/>
    <w:pPr>
      <w:widowControl w:val="0"/>
      <w:autoSpaceDE w:val="0"/>
      <w:autoSpaceDN w:val="0"/>
      <w:adjustRightInd w:val="0"/>
    </w:pPr>
    <w:rPr>
      <w:rFonts w:ascii="宋体" w:eastAsia="宋体" w:hAnsi="Times New Roman" w:cs="Times New Roman"/>
    </w:rPr>
  </w:style>
  <w:style w:type="paragraph" w:customStyle="1" w:styleId="affff3">
    <w:name w:val="标准书眉_奇数页"/>
    <w:next w:val="af9"/>
    <w:qFormat/>
    <w:pPr>
      <w:tabs>
        <w:tab w:val="center" w:pos="4154"/>
        <w:tab w:val="right" w:pos="8306"/>
      </w:tabs>
      <w:spacing w:after="120"/>
      <w:jc w:val="right"/>
    </w:pPr>
    <w:rPr>
      <w:rFonts w:ascii="Times New Roman" w:eastAsia="宋体" w:hAnsi="Times New Roman" w:cs="Times New Roman"/>
      <w:sz w:val="21"/>
    </w:rPr>
  </w:style>
  <w:style w:type="paragraph" w:customStyle="1" w:styleId="af0">
    <w:name w:val="正文图标题"/>
    <w:next w:val="afff4"/>
    <w:qFormat/>
    <w:pPr>
      <w:numPr>
        <w:numId w:val="6"/>
      </w:numPr>
      <w:jc w:val="center"/>
    </w:pPr>
    <w:rPr>
      <w:rFonts w:ascii="黑体" w:eastAsia="黑体" w:hAnsi="Times New Roman" w:cs="Times New Roman"/>
      <w:sz w:val="21"/>
    </w:rPr>
  </w:style>
  <w:style w:type="paragraph" w:customStyle="1" w:styleId="a1">
    <w:name w:val="注："/>
    <w:next w:val="afff4"/>
    <w:link w:val="Charf"/>
    <w:qFormat/>
    <w:pPr>
      <w:widowControl w:val="0"/>
      <w:numPr>
        <w:numId w:val="7"/>
      </w:numPr>
      <w:autoSpaceDE w:val="0"/>
      <w:autoSpaceDN w:val="0"/>
      <w:jc w:val="both"/>
    </w:pPr>
    <w:rPr>
      <w:rFonts w:ascii="宋体" w:eastAsia="宋体" w:hAnsi="Times New Roman" w:cs="Times New Roman"/>
      <w:sz w:val="18"/>
    </w:rPr>
  </w:style>
  <w:style w:type="paragraph" w:customStyle="1" w:styleId="affff4">
    <w:name w:val="字母编号列项（一级）"/>
    <w:qFormat/>
    <w:pPr>
      <w:ind w:leftChars="200" w:left="840" w:hangingChars="200" w:hanging="420"/>
      <w:jc w:val="both"/>
    </w:pPr>
    <w:rPr>
      <w:rFonts w:ascii="宋体" w:eastAsia="宋体" w:hAnsi="Times New Roman" w:cs="Times New Roman"/>
      <w:sz w:val="21"/>
    </w:rPr>
  </w:style>
  <w:style w:type="paragraph" w:customStyle="1" w:styleId="affff5">
    <w:name w:val="标准书眉_偶数页"/>
    <w:basedOn w:val="affff3"/>
    <w:next w:val="af9"/>
    <w:qFormat/>
    <w:pPr>
      <w:jc w:val="left"/>
    </w:pPr>
  </w:style>
  <w:style w:type="paragraph" w:customStyle="1" w:styleId="a3">
    <w:name w:val="二级无标题条"/>
    <w:basedOn w:val="af9"/>
    <w:qFormat/>
    <w:pPr>
      <w:numPr>
        <w:ilvl w:val="3"/>
        <w:numId w:val="5"/>
      </w:numPr>
    </w:pPr>
  </w:style>
  <w:style w:type="paragraph" w:customStyle="1" w:styleId="affff6">
    <w:name w:val="附录表标题"/>
    <w:next w:val="afff4"/>
    <w:qFormat/>
    <w:pPr>
      <w:jc w:val="center"/>
      <w:textAlignment w:val="baseline"/>
    </w:pPr>
    <w:rPr>
      <w:rFonts w:ascii="黑体" w:eastAsia="黑体" w:hAnsi="Times New Roman" w:cs="Times New Roman"/>
      <w:kern w:val="21"/>
      <w:sz w:val="21"/>
    </w:rPr>
  </w:style>
  <w:style w:type="paragraph" w:customStyle="1" w:styleId="affff7">
    <w:name w:val="文献分类号"/>
    <w:qFormat/>
    <w:pPr>
      <w:widowControl w:val="0"/>
      <w:textAlignment w:val="center"/>
    </w:pPr>
    <w:rPr>
      <w:rFonts w:ascii="Times New Roman" w:eastAsia="黑体" w:hAnsi="Times New Roman" w:cs="Times New Roman"/>
      <w:sz w:val="21"/>
    </w:rPr>
  </w:style>
  <w:style w:type="paragraph" w:customStyle="1" w:styleId="affff8">
    <w:name w:val="其他标准称谓"/>
    <w:qFormat/>
    <w:pPr>
      <w:spacing w:line="0" w:lineRule="atLeast"/>
      <w:jc w:val="distribute"/>
    </w:pPr>
    <w:rPr>
      <w:rFonts w:ascii="黑体" w:eastAsia="黑体" w:hAnsi="宋体" w:cs="Times New Roman"/>
      <w:sz w:val="52"/>
    </w:rPr>
  </w:style>
  <w:style w:type="paragraph" w:customStyle="1" w:styleId="affff9">
    <w:name w:val="封面正文"/>
    <w:qFormat/>
    <w:pPr>
      <w:jc w:val="both"/>
    </w:pPr>
    <w:rPr>
      <w:rFonts w:ascii="Times New Roman" w:eastAsia="宋体" w:hAnsi="Times New Roman" w:cs="Times New Roman"/>
    </w:rPr>
  </w:style>
  <w:style w:type="paragraph" w:customStyle="1" w:styleId="ae">
    <w:name w:val="附录五级条标题"/>
    <w:basedOn w:val="ad"/>
    <w:next w:val="afff4"/>
    <w:qFormat/>
    <w:pPr>
      <w:numPr>
        <w:ilvl w:val="6"/>
      </w:numPr>
      <w:outlineLvl w:val="6"/>
    </w:pPr>
  </w:style>
  <w:style w:type="paragraph" w:customStyle="1" w:styleId="ad">
    <w:name w:val="附录四级条标题"/>
    <w:basedOn w:val="ac"/>
    <w:next w:val="afff4"/>
    <w:qFormat/>
    <w:pPr>
      <w:numPr>
        <w:ilvl w:val="5"/>
      </w:numPr>
      <w:outlineLvl w:val="5"/>
    </w:pPr>
  </w:style>
  <w:style w:type="paragraph" w:customStyle="1" w:styleId="ac">
    <w:name w:val="附录三级条标题"/>
    <w:basedOn w:val="ab"/>
    <w:next w:val="afff4"/>
    <w:qFormat/>
    <w:pPr>
      <w:numPr>
        <w:ilvl w:val="4"/>
      </w:numPr>
      <w:outlineLvl w:val="4"/>
    </w:pPr>
  </w:style>
  <w:style w:type="paragraph" w:customStyle="1" w:styleId="ab">
    <w:name w:val="附录二级条标题"/>
    <w:basedOn w:val="aa"/>
    <w:next w:val="afff4"/>
    <w:qFormat/>
    <w:pPr>
      <w:numPr>
        <w:ilvl w:val="3"/>
      </w:numPr>
      <w:outlineLvl w:val="3"/>
    </w:pPr>
  </w:style>
  <w:style w:type="paragraph" w:customStyle="1" w:styleId="aa">
    <w:name w:val="附录一级条标题"/>
    <w:basedOn w:val="a9"/>
    <w:next w:val="afff4"/>
    <w:qFormat/>
    <w:pPr>
      <w:numPr>
        <w:ilvl w:val="2"/>
      </w:numPr>
      <w:autoSpaceDN w:val="0"/>
      <w:spacing w:beforeLines="0" w:afterLines="0"/>
      <w:outlineLvl w:val="2"/>
    </w:pPr>
  </w:style>
  <w:style w:type="paragraph" w:customStyle="1" w:styleId="affffa">
    <w:name w:val="数字编号列项（二级）"/>
    <w:qFormat/>
    <w:pPr>
      <w:ind w:leftChars="400" w:left="1260" w:hangingChars="200" w:hanging="420"/>
      <w:jc w:val="both"/>
    </w:pPr>
    <w:rPr>
      <w:rFonts w:ascii="宋体" w:eastAsia="宋体" w:hAnsi="Times New Roman" w:cs="Times New Roman"/>
      <w:sz w:val="21"/>
    </w:rPr>
  </w:style>
  <w:style w:type="paragraph" w:customStyle="1" w:styleId="affffb">
    <w:name w:val="附录图标题"/>
    <w:next w:val="afff4"/>
    <w:qFormat/>
    <w:pPr>
      <w:jc w:val="center"/>
    </w:pPr>
    <w:rPr>
      <w:rFonts w:ascii="黑体" w:eastAsia="黑体" w:hAnsi="Times New Roman" w:cs="Times New Roman"/>
      <w:sz w:val="21"/>
    </w:rPr>
  </w:style>
  <w:style w:type="paragraph" w:customStyle="1" w:styleId="affffc">
    <w:name w:val="封面一致性程度标识"/>
    <w:qFormat/>
    <w:pPr>
      <w:spacing w:before="440" w:line="400" w:lineRule="exact"/>
      <w:jc w:val="center"/>
    </w:pPr>
    <w:rPr>
      <w:rFonts w:ascii="宋体" w:eastAsia="宋体" w:hAnsi="Times New Roman" w:cs="Times New Roman"/>
      <w:sz w:val="28"/>
    </w:rPr>
  </w:style>
  <w:style w:type="paragraph" w:customStyle="1" w:styleId="af">
    <w:name w:val="正文表标题"/>
    <w:next w:val="afff4"/>
    <w:qFormat/>
    <w:pPr>
      <w:numPr>
        <w:numId w:val="8"/>
      </w:numPr>
      <w:jc w:val="center"/>
    </w:pPr>
    <w:rPr>
      <w:rFonts w:ascii="黑体" w:eastAsia="黑体" w:hAnsi="Times New Roman" w:cs="Times New Roman"/>
      <w:sz w:val="21"/>
    </w:rPr>
  </w:style>
  <w:style w:type="paragraph" w:customStyle="1" w:styleId="a0">
    <w:name w:val="示例"/>
    <w:next w:val="afff4"/>
    <w:qFormat/>
    <w:pPr>
      <w:numPr>
        <w:numId w:val="9"/>
      </w:numPr>
      <w:tabs>
        <w:tab w:val="clear" w:pos="1120"/>
        <w:tab w:val="left" w:pos="816"/>
      </w:tabs>
      <w:ind w:firstLineChars="233" w:firstLine="419"/>
      <w:jc w:val="both"/>
    </w:pPr>
    <w:rPr>
      <w:rFonts w:ascii="宋体" w:eastAsia="宋体" w:hAnsi="Times New Roman" w:cs="Times New Roman"/>
      <w:sz w:val="18"/>
    </w:rPr>
  </w:style>
  <w:style w:type="paragraph" w:customStyle="1" w:styleId="affffd">
    <w:name w:val="篇"/>
    <w:basedOn w:val="af9"/>
    <w:next w:val="af9"/>
    <w:qFormat/>
    <w:pPr>
      <w:adjustRightInd w:val="0"/>
      <w:spacing w:line="360" w:lineRule="atLeast"/>
      <w:jc w:val="center"/>
      <w:textAlignment w:val="baseline"/>
    </w:pPr>
    <w:rPr>
      <w:rFonts w:eastAsia="黑体"/>
      <w:kern w:val="0"/>
      <w:sz w:val="24"/>
      <w:szCs w:val="20"/>
    </w:rPr>
  </w:style>
  <w:style w:type="paragraph" w:customStyle="1" w:styleId="a5">
    <w:name w:val="四级无标题条"/>
    <w:basedOn w:val="af9"/>
    <w:qFormat/>
    <w:pPr>
      <w:numPr>
        <w:ilvl w:val="5"/>
        <w:numId w:val="5"/>
      </w:numPr>
    </w:pPr>
  </w:style>
  <w:style w:type="paragraph" w:customStyle="1" w:styleId="affffe">
    <w:name w:val="目次、标准名称标题"/>
    <w:basedOn w:val="af1"/>
    <w:next w:val="afff4"/>
    <w:qFormat/>
    <w:pPr>
      <w:numPr>
        <w:numId w:val="0"/>
      </w:numPr>
      <w:spacing w:line="460" w:lineRule="exact"/>
    </w:pPr>
  </w:style>
  <w:style w:type="paragraph" w:customStyle="1" w:styleId="afffff">
    <w:name w:val="标准书眉一"/>
    <w:qFormat/>
    <w:pPr>
      <w:jc w:val="both"/>
    </w:pPr>
    <w:rPr>
      <w:rFonts w:ascii="Times New Roman" w:eastAsia="宋体" w:hAnsi="Times New Roman" w:cs="Times New Roman"/>
    </w:rPr>
  </w:style>
  <w:style w:type="paragraph" w:customStyle="1" w:styleId="afffff0">
    <w:name w:val="标准称谓"/>
    <w:next w:val="af9"/>
    <w:qFormat/>
    <w:pPr>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afffff1">
    <w:name w:val="其他发布部门"/>
    <w:basedOn w:val="afff7"/>
    <w:qFormat/>
    <w:pPr>
      <w:spacing w:line="0" w:lineRule="atLeast"/>
    </w:pPr>
    <w:rPr>
      <w:rFonts w:ascii="黑体" w:eastAsia="黑体"/>
      <w:b w:val="0"/>
    </w:rPr>
  </w:style>
  <w:style w:type="paragraph" w:customStyle="1" w:styleId="a7">
    <w:name w:val="列项·"/>
    <w:qFormat/>
    <w:pPr>
      <w:numPr>
        <w:numId w:val="10"/>
      </w:numPr>
      <w:tabs>
        <w:tab w:val="clear" w:pos="1140"/>
        <w:tab w:val="left" w:pos="840"/>
      </w:tabs>
      <w:ind w:leftChars="200" w:left="840" w:hangingChars="200" w:hanging="420"/>
      <w:jc w:val="both"/>
    </w:pPr>
    <w:rPr>
      <w:rFonts w:ascii="宋体" w:eastAsia="宋体" w:hAnsi="Times New Roman" w:cs="Times New Roman"/>
      <w:sz w:val="21"/>
    </w:rPr>
  </w:style>
  <w:style w:type="paragraph" w:customStyle="1" w:styleId="a4">
    <w:name w:val="三级无标题条"/>
    <w:basedOn w:val="af9"/>
    <w:qFormat/>
    <w:pPr>
      <w:numPr>
        <w:ilvl w:val="4"/>
        <w:numId w:val="5"/>
      </w:numPr>
    </w:pPr>
  </w:style>
  <w:style w:type="paragraph" w:customStyle="1" w:styleId="afffff2">
    <w:name w:val="目次、索引正文"/>
    <w:qFormat/>
    <w:pPr>
      <w:spacing w:line="320" w:lineRule="exact"/>
      <w:jc w:val="both"/>
    </w:pPr>
    <w:rPr>
      <w:rFonts w:ascii="宋体" w:eastAsia="宋体" w:hAnsi="Times New Roman" w:cs="Times New Roman"/>
      <w:sz w:val="21"/>
    </w:rPr>
  </w:style>
  <w:style w:type="paragraph" w:customStyle="1" w:styleId="a2">
    <w:name w:val="一级无标题条"/>
    <w:basedOn w:val="af9"/>
    <w:qFormat/>
    <w:pPr>
      <w:numPr>
        <w:ilvl w:val="2"/>
        <w:numId w:val="5"/>
      </w:numPr>
    </w:pPr>
  </w:style>
  <w:style w:type="paragraph" w:customStyle="1" w:styleId="afffff3">
    <w:name w:val="封面标准代替信息"/>
    <w:basedOn w:val="22"/>
    <w:qFormat/>
    <w:pPr>
      <w:spacing w:before="57"/>
    </w:pPr>
    <w:rPr>
      <w:rFonts w:ascii="宋体"/>
      <w:sz w:val="21"/>
    </w:rPr>
  </w:style>
  <w:style w:type="paragraph" w:customStyle="1" w:styleId="afffff4">
    <w:name w:val="标准正文"/>
    <w:basedOn w:val="af9"/>
    <w:qFormat/>
    <w:pPr>
      <w:adjustRightInd w:val="0"/>
      <w:spacing w:line="360" w:lineRule="atLeast"/>
      <w:ind w:firstLine="425"/>
      <w:jc w:val="left"/>
      <w:textAlignment w:val="baseline"/>
    </w:pPr>
    <w:rPr>
      <w:spacing w:val="-4"/>
      <w:kern w:val="21"/>
      <w:szCs w:val="20"/>
    </w:rPr>
  </w:style>
  <w:style w:type="paragraph" w:customStyle="1" w:styleId="font1">
    <w:name w:val="font1"/>
    <w:basedOn w:val="af9"/>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f9"/>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f9"/>
    <w:qFormat/>
    <w:pPr>
      <w:widowControl/>
      <w:spacing w:before="100" w:beforeAutospacing="1" w:after="100" w:afterAutospacing="1"/>
      <w:jc w:val="left"/>
    </w:pPr>
    <w:rPr>
      <w:b/>
      <w:bCs/>
      <w:kern w:val="0"/>
      <w:sz w:val="20"/>
      <w:szCs w:val="20"/>
    </w:rPr>
  </w:style>
  <w:style w:type="paragraph" w:customStyle="1" w:styleId="font7">
    <w:name w:val="font7"/>
    <w:basedOn w:val="af9"/>
    <w:qFormat/>
    <w:pPr>
      <w:widowControl/>
      <w:spacing w:before="100" w:beforeAutospacing="1" w:after="100" w:afterAutospacing="1"/>
      <w:jc w:val="left"/>
    </w:pPr>
    <w:rPr>
      <w:rFonts w:ascii="宋体" w:hAnsi="宋体" w:cs="宋体"/>
      <w:b/>
      <w:bCs/>
      <w:kern w:val="0"/>
      <w:sz w:val="24"/>
    </w:rPr>
  </w:style>
  <w:style w:type="paragraph" w:customStyle="1" w:styleId="font8">
    <w:name w:val="font8"/>
    <w:basedOn w:val="af9"/>
    <w:qFormat/>
    <w:pPr>
      <w:widowControl/>
      <w:spacing w:before="100" w:beforeAutospacing="1" w:after="100" w:afterAutospacing="1"/>
      <w:jc w:val="left"/>
    </w:pPr>
    <w:rPr>
      <w:rFonts w:ascii="宋体" w:hAnsi="宋体" w:cs="宋体"/>
      <w:b/>
      <w:bCs/>
      <w:kern w:val="0"/>
      <w:sz w:val="24"/>
    </w:rPr>
  </w:style>
  <w:style w:type="paragraph" w:customStyle="1" w:styleId="font9">
    <w:name w:val="font9"/>
    <w:basedOn w:val="af9"/>
    <w:qFormat/>
    <w:pPr>
      <w:widowControl/>
      <w:spacing w:before="100" w:beforeAutospacing="1" w:after="100" w:afterAutospacing="1"/>
      <w:jc w:val="left"/>
    </w:pPr>
    <w:rPr>
      <w:rFonts w:ascii="宋体" w:hAnsi="宋体" w:cs="宋体"/>
      <w:b/>
      <w:bCs/>
      <w:kern w:val="0"/>
      <w:sz w:val="24"/>
    </w:rPr>
  </w:style>
  <w:style w:type="paragraph" w:customStyle="1" w:styleId="font10">
    <w:name w:val="font10"/>
    <w:basedOn w:val="af9"/>
    <w:qFormat/>
    <w:pPr>
      <w:widowControl/>
      <w:spacing w:before="100" w:beforeAutospacing="1" w:after="100" w:afterAutospacing="1"/>
      <w:jc w:val="left"/>
    </w:pPr>
    <w:rPr>
      <w:rFonts w:ascii="宋体" w:hAnsi="宋体" w:cs="宋体"/>
      <w:b/>
      <w:bCs/>
      <w:kern w:val="0"/>
      <w:sz w:val="24"/>
    </w:rPr>
  </w:style>
  <w:style w:type="paragraph" w:customStyle="1" w:styleId="font11">
    <w:name w:val="font11"/>
    <w:basedOn w:val="af9"/>
    <w:qFormat/>
    <w:pPr>
      <w:widowControl/>
      <w:spacing w:before="100" w:beforeAutospacing="1" w:after="100" w:afterAutospacing="1"/>
      <w:jc w:val="left"/>
    </w:pPr>
    <w:rPr>
      <w:rFonts w:ascii="宋体" w:hAnsi="宋体" w:cs="宋体"/>
      <w:b/>
      <w:bCs/>
      <w:kern w:val="0"/>
      <w:sz w:val="20"/>
      <w:szCs w:val="20"/>
    </w:rPr>
  </w:style>
  <w:style w:type="paragraph" w:customStyle="1" w:styleId="xl78">
    <w:name w:val="xl78"/>
    <w:basedOn w:val="af9"/>
    <w:qFormat/>
    <w:pPr>
      <w:widowControl/>
      <w:spacing w:before="100" w:beforeAutospacing="1" w:after="100" w:afterAutospacing="1"/>
      <w:jc w:val="center"/>
      <w:textAlignment w:val="center"/>
    </w:pPr>
    <w:rPr>
      <w:b/>
      <w:bCs/>
      <w:kern w:val="0"/>
      <w:sz w:val="24"/>
    </w:rPr>
  </w:style>
  <w:style w:type="paragraph" w:customStyle="1" w:styleId="xl79">
    <w:name w:val="xl79"/>
    <w:basedOn w:val="af9"/>
    <w:qFormat/>
    <w:pPr>
      <w:widowControl/>
      <w:spacing w:before="100" w:beforeAutospacing="1" w:after="100" w:afterAutospacing="1"/>
      <w:jc w:val="center"/>
      <w:textAlignment w:val="center"/>
    </w:pPr>
    <w:rPr>
      <w:b/>
      <w:bCs/>
      <w:kern w:val="0"/>
      <w:sz w:val="24"/>
    </w:rPr>
  </w:style>
  <w:style w:type="paragraph" w:customStyle="1" w:styleId="xl80">
    <w:name w:val="xl80"/>
    <w:basedOn w:val="af9"/>
    <w:qFormat/>
    <w:pPr>
      <w:widowControl/>
      <w:spacing w:before="100" w:beforeAutospacing="1" w:after="100" w:afterAutospacing="1"/>
      <w:jc w:val="center"/>
      <w:textAlignment w:val="center"/>
    </w:pPr>
    <w:rPr>
      <w:b/>
      <w:bCs/>
      <w:kern w:val="0"/>
      <w:sz w:val="24"/>
    </w:rPr>
  </w:style>
  <w:style w:type="paragraph" w:customStyle="1" w:styleId="xl81">
    <w:name w:val="xl8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2">
    <w:name w:val="xl8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3">
    <w:name w:val="xl83"/>
    <w:basedOn w:val="af9"/>
    <w:qFormat/>
    <w:pPr>
      <w:widowControl/>
      <w:spacing w:before="100" w:beforeAutospacing="1" w:after="100" w:afterAutospacing="1"/>
      <w:jc w:val="center"/>
      <w:textAlignment w:val="center"/>
    </w:pPr>
    <w:rPr>
      <w:b/>
      <w:bCs/>
      <w:kern w:val="0"/>
      <w:sz w:val="20"/>
      <w:szCs w:val="20"/>
    </w:rPr>
  </w:style>
  <w:style w:type="paragraph" w:customStyle="1" w:styleId="xl84">
    <w:name w:val="xl84"/>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5">
    <w:name w:val="xl85"/>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6">
    <w:name w:val="xl8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7">
    <w:name w:val="xl87"/>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8">
    <w:name w:val="xl88"/>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9">
    <w:name w:val="xl89"/>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0">
    <w:name w:val="xl90"/>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1">
    <w:name w:val="xl9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92">
    <w:name w:val="xl9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93">
    <w:name w:val="xl93"/>
    <w:basedOn w:val="af9"/>
    <w:qFormat/>
    <w:pPr>
      <w:widowControl/>
      <w:spacing w:before="100" w:beforeAutospacing="1" w:after="100" w:afterAutospacing="1"/>
      <w:jc w:val="center"/>
      <w:textAlignment w:val="center"/>
    </w:pPr>
    <w:rPr>
      <w:b/>
      <w:bCs/>
      <w:kern w:val="0"/>
      <w:sz w:val="20"/>
      <w:szCs w:val="20"/>
    </w:rPr>
  </w:style>
  <w:style w:type="paragraph" w:customStyle="1" w:styleId="xl94">
    <w:name w:val="xl94"/>
    <w:basedOn w:val="af9"/>
    <w:qFormat/>
    <w:pPr>
      <w:widowControl/>
      <w:spacing w:before="100" w:beforeAutospacing="1" w:after="100" w:afterAutospacing="1"/>
      <w:jc w:val="center"/>
      <w:textAlignment w:val="center"/>
    </w:pPr>
    <w:rPr>
      <w:b/>
      <w:bCs/>
      <w:kern w:val="0"/>
      <w:sz w:val="20"/>
      <w:szCs w:val="20"/>
    </w:rPr>
  </w:style>
  <w:style w:type="paragraph" w:customStyle="1" w:styleId="c">
    <w:name w:val="c封面标准名称"/>
    <w:basedOn w:val="af9"/>
    <w:qFormat/>
    <w:pPr>
      <w:adjustRightInd w:val="0"/>
      <w:jc w:val="center"/>
    </w:pPr>
    <w:rPr>
      <w:rFonts w:eastAsia="黑体"/>
      <w:kern w:val="0"/>
      <w:sz w:val="52"/>
      <w:szCs w:val="20"/>
    </w:rPr>
  </w:style>
  <w:style w:type="paragraph" w:customStyle="1" w:styleId="23">
    <w:name w:val="样式2"/>
    <w:basedOn w:val="af5"/>
    <w:qFormat/>
    <w:pPr>
      <w:numPr>
        <w:numId w:val="0"/>
      </w:numPr>
      <w:spacing w:line="240" w:lineRule="auto"/>
      <w:ind w:left="454"/>
    </w:pPr>
    <w:rPr>
      <w:color w:val="auto"/>
      <w:spacing w:val="0"/>
      <w:szCs w:val="20"/>
    </w:rPr>
  </w:style>
  <w:style w:type="paragraph" w:customStyle="1" w:styleId="12">
    <w:name w:val="列出段落1"/>
    <w:basedOn w:val="af9"/>
    <w:uiPriority w:val="34"/>
    <w:qFormat/>
    <w:pPr>
      <w:ind w:firstLineChars="200" w:firstLine="420"/>
    </w:pPr>
    <w:rPr>
      <w:rFonts w:ascii="Calibri" w:hAnsi="Calibri"/>
      <w:szCs w:val="22"/>
    </w:rPr>
  </w:style>
  <w:style w:type="paragraph" w:customStyle="1" w:styleId="afffff5">
    <w:name w:val="图表脚注说明"/>
    <w:basedOn w:val="af9"/>
    <w:qFormat/>
    <w:rPr>
      <w:rFonts w:ascii="宋体"/>
      <w:sz w:val="18"/>
      <w:szCs w:val="18"/>
    </w:rPr>
  </w:style>
  <w:style w:type="paragraph" w:customStyle="1" w:styleId="Char11">
    <w:name w:val="Char11"/>
    <w:basedOn w:val="af9"/>
    <w:qFormat/>
    <w:pPr>
      <w:widowControl/>
      <w:spacing w:after="160" w:line="240" w:lineRule="exact"/>
      <w:jc w:val="left"/>
    </w:pPr>
  </w:style>
  <w:style w:type="paragraph" w:customStyle="1" w:styleId="ordinary-output">
    <w:name w:val="ordinary-output"/>
    <w:basedOn w:val="af9"/>
    <w:uiPriority w:val="99"/>
    <w:qFormat/>
    <w:pPr>
      <w:widowControl/>
      <w:spacing w:before="100" w:beforeAutospacing="1" w:after="63" w:line="275" w:lineRule="atLeast"/>
      <w:jc w:val="left"/>
    </w:pPr>
    <w:rPr>
      <w:rFonts w:ascii="宋体" w:hAnsi="宋体" w:cs="宋体"/>
      <w:color w:val="333333"/>
      <w:kern w:val="0"/>
      <w:sz w:val="18"/>
      <w:szCs w:val="18"/>
    </w:rPr>
  </w:style>
  <w:style w:type="paragraph" w:customStyle="1" w:styleId="110">
    <w:name w:val="列出段落11"/>
    <w:basedOn w:val="af9"/>
    <w:uiPriority w:val="34"/>
    <w:qFormat/>
    <w:pPr>
      <w:ind w:firstLineChars="200" w:firstLine="420"/>
    </w:pPr>
    <w:rPr>
      <w:sz w:val="24"/>
    </w:rPr>
  </w:style>
  <w:style w:type="paragraph" w:customStyle="1" w:styleId="Char1CharCharChar">
    <w:name w:val="Char1 Char Char Char"/>
    <w:basedOn w:val="af9"/>
    <w:qFormat/>
    <w:rPr>
      <w:szCs w:val="20"/>
    </w:rPr>
  </w:style>
  <w:style w:type="paragraph" w:customStyle="1" w:styleId="Char10">
    <w:name w:val="Char1"/>
    <w:basedOn w:val="af9"/>
    <w:qFormat/>
    <w:pPr>
      <w:widowControl/>
      <w:spacing w:after="160" w:line="240" w:lineRule="exact"/>
      <w:jc w:val="left"/>
    </w:pPr>
  </w:style>
  <w:style w:type="paragraph" w:customStyle="1" w:styleId="DecimalAligned">
    <w:name w:val="Decimal Aligned"/>
    <w:basedOn w:val="af9"/>
    <w:uiPriority w:val="40"/>
    <w:qFormat/>
    <w:pPr>
      <w:widowControl/>
      <w:tabs>
        <w:tab w:val="decimal" w:pos="360"/>
      </w:tabs>
      <w:spacing w:after="200" w:line="276" w:lineRule="auto"/>
      <w:jc w:val="left"/>
    </w:pPr>
    <w:rPr>
      <w:rFonts w:ascii="Calibri" w:hAnsi="Calibri"/>
      <w:kern w:val="0"/>
      <w:sz w:val="22"/>
      <w:szCs w:val="22"/>
    </w:rPr>
  </w:style>
  <w:style w:type="paragraph" w:customStyle="1" w:styleId="xl65">
    <w:name w:val="xl65"/>
    <w:basedOn w:val="af9"/>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9">
    <w:name w:val="xl69"/>
    <w:basedOn w:val="af9"/>
    <w:qFormat/>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21">
    <w:name w:val="xl121"/>
    <w:basedOn w:val="af9"/>
    <w:qFormat/>
    <w:pPr>
      <w:widowControl/>
      <w:pBdr>
        <w:top w:val="single" w:sz="8" w:space="0" w:color="FF0000"/>
        <w:bottom w:val="single" w:sz="4"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5">
    <w:name w:val="xl165"/>
    <w:basedOn w:val="af9"/>
    <w:qFormat/>
    <w:pPr>
      <w:widowControl/>
      <w:pBdr>
        <w:top w:val="single" w:sz="8" w:space="0" w:color="auto"/>
        <w:left w:val="single" w:sz="8" w:space="0" w:color="auto"/>
        <w:bottom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20">
    <w:name w:val="xl120"/>
    <w:basedOn w:val="af9"/>
    <w:qFormat/>
    <w:pPr>
      <w:widowControl/>
      <w:pBdr>
        <w:top w:val="single" w:sz="8" w:space="0" w:color="FF0000"/>
        <w:bottom w:val="single" w:sz="4" w:space="0" w:color="000000"/>
        <w:right w:val="single" w:sz="4" w:space="0" w:color="000000"/>
      </w:pBdr>
      <w:spacing w:before="100" w:beforeAutospacing="1" w:after="100" w:afterAutospacing="1"/>
      <w:jc w:val="center"/>
    </w:pPr>
    <w:rPr>
      <w:rFonts w:ascii="宋体" w:hAnsi="宋体" w:cs="宋体"/>
      <w:kern w:val="0"/>
      <w:szCs w:val="21"/>
    </w:rPr>
  </w:style>
  <w:style w:type="paragraph" w:customStyle="1" w:styleId="xl106">
    <w:name w:val="xl106"/>
    <w:basedOn w:val="af9"/>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16">
    <w:name w:val="xl116"/>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2">
    <w:name w:val="xl102"/>
    <w:basedOn w:val="af9"/>
    <w:qFormat/>
    <w:pPr>
      <w:widowControl/>
      <w:pBdr>
        <w:top w:val="single" w:sz="8" w:space="0" w:color="FF0000"/>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97">
    <w:name w:val="xl97"/>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24">
    <w:name w:val="xl124"/>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7">
    <w:name w:val="xl77"/>
    <w:basedOn w:val="af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3">
    <w:name w:val="xl73"/>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83">
    <w:name w:val="xl183"/>
    <w:basedOn w:val="af9"/>
    <w:qFormat/>
    <w:pPr>
      <w:widowControl/>
      <w:pBdr>
        <w:left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84">
    <w:name w:val="xl184"/>
    <w:basedOn w:val="af9"/>
    <w:qFormat/>
    <w:pPr>
      <w:widowControl/>
      <w:pBdr>
        <w:top w:val="single" w:sz="4" w:space="0" w:color="auto"/>
        <w:left w:val="single" w:sz="8"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22">
    <w:name w:val="xl122"/>
    <w:basedOn w:val="af9"/>
    <w:qFormat/>
    <w:pPr>
      <w:widowControl/>
      <w:pBdr>
        <w:top w:val="single" w:sz="8" w:space="0" w:color="FF0000"/>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Cs w:val="21"/>
    </w:rPr>
  </w:style>
  <w:style w:type="paragraph" w:customStyle="1" w:styleId="xl75">
    <w:name w:val="xl75"/>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82">
    <w:name w:val="xl182"/>
    <w:basedOn w:val="af9"/>
    <w:qFormat/>
    <w:pPr>
      <w:widowControl/>
      <w:pBdr>
        <w:top w:val="single" w:sz="8" w:space="0" w:color="auto"/>
        <w:left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f9"/>
    <w:qFormat/>
    <w:pPr>
      <w:widowControl/>
      <w:pBdr>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1">
    <w:name w:val="xl71"/>
    <w:basedOn w:val="af9"/>
    <w:qFormat/>
    <w:pPr>
      <w:widowControl/>
      <w:pBdr>
        <w:top w:val="single" w:sz="8" w:space="0" w:color="FF0000"/>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86">
    <w:name w:val="xl186"/>
    <w:basedOn w:val="af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5">
    <w:name w:val="xl135"/>
    <w:basedOn w:val="af9"/>
    <w:qFormat/>
    <w:pPr>
      <w:widowControl/>
      <w:pBdr>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66">
    <w:name w:val="xl6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3">
    <w:name w:val="xl63"/>
    <w:basedOn w:val="af9"/>
    <w:qFormat/>
    <w:pPr>
      <w:widowControl/>
      <w:spacing w:before="100" w:beforeAutospacing="1" w:after="100" w:afterAutospacing="1"/>
      <w:jc w:val="center"/>
    </w:pPr>
    <w:rPr>
      <w:rFonts w:ascii="宋体" w:hAnsi="宋体" w:cs="宋体"/>
      <w:kern w:val="0"/>
      <w:sz w:val="24"/>
    </w:rPr>
  </w:style>
  <w:style w:type="paragraph" w:customStyle="1" w:styleId="xl68">
    <w:name w:val="xl68"/>
    <w:basedOn w:val="af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7">
    <w:name w:val="xl67"/>
    <w:basedOn w:val="af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4">
    <w:name w:val="xl64"/>
    <w:basedOn w:val="af9"/>
    <w:qFormat/>
    <w:pPr>
      <w:widowControl/>
      <w:spacing w:before="100" w:beforeAutospacing="1" w:after="100" w:afterAutospacing="1"/>
      <w:jc w:val="left"/>
    </w:pPr>
    <w:rPr>
      <w:rFonts w:ascii="宋体" w:hAnsi="宋体" w:cs="宋体"/>
      <w:kern w:val="0"/>
      <w:sz w:val="24"/>
    </w:rPr>
  </w:style>
  <w:style w:type="paragraph" w:customStyle="1" w:styleId="xl178">
    <w:name w:val="xl178"/>
    <w:basedOn w:val="af9"/>
    <w:qFormat/>
    <w:pPr>
      <w:widowControl/>
      <w:pBdr>
        <w:top w:val="single" w:sz="8" w:space="0" w:color="FF0000"/>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70">
    <w:name w:val="xl170"/>
    <w:basedOn w:val="af9"/>
    <w:qFormat/>
    <w:pPr>
      <w:widowControl/>
      <w:pBdr>
        <w:lef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75">
    <w:name w:val="xl175"/>
    <w:basedOn w:val="af9"/>
    <w:qFormat/>
    <w:pPr>
      <w:widowControl/>
      <w:pBdr>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1">
    <w:name w:val="xl151"/>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6">
    <w:name w:val="xl176"/>
    <w:basedOn w:val="af9"/>
    <w:qFormat/>
    <w:pPr>
      <w:widowControl/>
      <w:pBdr>
        <w:top w:val="single" w:sz="8" w:space="0" w:color="auto"/>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8">
    <w:name w:val="xl168"/>
    <w:basedOn w:val="af9"/>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2">
    <w:name w:val="xl152"/>
    <w:basedOn w:val="af9"/>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74">
    <w:name w:val="xl74"/>
    <w:basedOn w:val="af9"/>
    <w:qFormat/>
    <w:pPr>
      <w:widowControl/>
      <w:pBdr>
        <w:top w:val="single" w:sz="8" w:space="0" w:color="FF0000"/>
        <w:left w:val="single" w:sz="4" w:space="0" w:color="auto"/>
        <w:bottom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74">
    <w:name w:val="xl174"/>
    <w:basedOn w:val="af9"/>
    <w:qFormat/>
    <w:pPr>
      <w:widowControl/>
      <w:pBdr>
        <w:bottom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0">
    <w:name w:val="xl150"/>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9">
    <w:name w:val="xl129"/>
    <w:basedOn w:val="af9"/>
    <w:qFormat/>
    <w:pPr>
      <w:widowControl/>
      <w:pBdr>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70">
    <w:name w:val="xl70"/>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23">
    <w:name w:val="xl123"/>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72">
    <w:name w:val="xl72"/>
    <w:basedOn w:val="af9"/>
    <w:qFormat/>
    <w:pPr>
      <w:widowControl/>
      <w:pBdr>
        <w:top w:val="single" w:sz="8" w:space="0" w:color="FF0000"/>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13">
    <w:name w:val="xl113"/>
    <w:basedOn w:val="af9"/>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7">
    <w:name w:val="xl107"/>
    <w:basedOn w:val="af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17">
    <w:name w:val="xl117"/>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03">
    <w:name w:val="xl103"/>
    <w:basedOn w:val="af9"/>
    <w:qFormat/>
    <w:pPr>
      <w:widowControl/>
      <w:pBdr>
        <w:top w:val="single" w:sz="8" w:space="0" w:color="FF0000"/>
        <w:left w:val="single" w:sz="4" w:space="0" w:color="auto"/>
        <w:bottom w:val="single" w:sz="8" w:space="0" w:color="FF0000"/>
        <w:right w:val="single" w:sz="4" w:space="0" w:color="auto"/>
      </w:pBdr>
      <w:spacing w:before="100" w:beforeAutospacing="1" w:after="100" w:afterAutospacing="1"/>
      <w:jc w:val="left"/>
    </w:pPr>
    <w:rPr>
      <w:rFonts w:ascii="宋体" w:hAnsi="宋体" w:cs="宋体"/>
      <w:kern w:val="0"/>
      <w:szCs w:val="21"/>
    </w:rPr>
  </w:style>
  <w:style w:type="paragraph" w:customStyle="1" w:styleId="xl98">
    <w:name w:val="xl98"/>
    <w:basedOn w:val="af9"/>
    <w:qFormat/>
    <w:pPr>
      <w:widowControl/>
      <w:pBdr>
        <w:top w:val="single" w:sz="4" w:space="0" w:color="auto"/>
        <w:left w:val="single" w:sz="4" w:space="0" w:color="auto"/>
        <w:bottom w:val="single" w:sz="8" w:space="0" w:color="FF0000"/>
      </w:pBdr>
      <w:spacing w:before="100" w:beforeAutospacing="1" w:after="100" w:afterAutospacing="1"/>
      <w:jc w:val="center"/>
    </w:pPr>
    <w:rPr>
      <w:rFonts w:ascii="宋体" w:hAnsi="宋体" w:cs="宋体"/>
      <w:kern w:val="0"/>
      <w:szCs w:val="21"/>
    </w:rPr>
  </w:style>
  <w:style w:type="paragraph" w:customStyle="1" w:styleId="xl162">
    <w:name w:val="xl162"/>
    <w:basedOn w:val="af9"/>
    <w:qFormat/>
    <w:pPr>
      <w:widowControl/>
      <w:pBdr>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4">
    <w:name w:val="xl154"/>
    <w:basedOn w:val="af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14">
    <w:name w:val="xl114"/>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59">
    <w:name w:val="xl159"/>
    <w:basedOn w:val="af9"/>
    <w:qFormat/>
    <w:pPr>
      <w:widowControl/>
      <w:pBdr>
        <w:left w:val="single" w:sz="4" w:space="0" w:color="auto"/>
        <w:bottom w:val="single" w:sz="8" w:space="0" w:color="FF0000"/>
      </w:pBdr>
      <w:spacing w:before="100" w:beforeAutospacing="1" w:after="100" w:afterAutospacing="1"/>
      <w:jc w:val="center"/>
    </w:pPr>
    <w:rPr>
      <w:rFonts w:ascii="宋体" w:hAnsi="宋体" w:cs="宋体"/>
      <w:kern w:val="0"/>
      <w:szCs w:val="21"/>
    </w:rPr>
  </w:style>
  <w:style w:type="paragraph" w:customStyle="1" w:styleId="xl110">
    <w:name w:val="xl110"/>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60">
    <w:name w:val="xl160"/>
    <w:basedOn w:val="af9"/>
    <w:qFormat/>
    <w:pPr>
      <w:widowControl/>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95">
    <w:name w:val="xl95"/>
    <w:basedOn w:val="af9"/>
    <w:qFormat/>
    <w:pPr>
      <w:widowControl/>
      <w:pBdr>
        <w:top w:val="single" w:sz="4" w:space="0" w:color="auto"/>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08">
    <w:name w:val="xl108"/>
    <w:basedOn w:val="af9"/>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57">
    <w:name w:val="xl157"/>
    <w:basedOn w:val="af9"/>
    <w:qFormat/>
    <w:pPr>
      <w:widowControl/>
      <w:pBdr>
        <w:left w:val="single" w:sz="4" w:space="0" w:color="auto"/>
        <w:bottom w:val="single" w:sz="4" w:space="0" w:color="000000"/>
      </w:pBdr>
      <w:spacing w:before="100" w:beforeAutospacing="1" w:after="100" w:afterAutospacing="1"/>
      <w:jc w:val="center"/>
    </w:pPr>
    <w:rPr>
      <w:rFonts w:ascii="宋体" w:hAnsi="宋体" w:cs="宋体"/>
      <w:kern w:val="0"/>
      <w:szCs w:val="21"/>
    </w:rPr>
  </w:style>
  <w:style w:type="paragraph" w:customStyle="1" w:styleId="xl118">
    <w:name w:val="xl118"/>
    <w:basedOn w:val="af9"/>
    <w:qFormat/>
    <w:pPr>
      <w:widowControl/>
      <w:pBdr>
        <w:top w:val="single" w:sz="8" w:space="0" w:color="FF0000"/>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f9"/>
    <w:qFormat/>
    <w:pPr>
      <w:widowControl/>
      <w:pBdr>
        <w:top w:val="single" w:sz="8" w:space="0" w:color="FF0000"/>
        <w:left w:val="single" w:sz="4" w:space="0" w:color="auto"/>
        <w:bottom w:val="single" w:sz="8" w:space="0" w:color="FF0000"/>
        <w:right w:val="single" w:sz="8" w:space="0" w:color="auto"/>
      </w:pBdr>
      <w:spacing w:before="100" w:beforeAutospacing="1" w:after="100" w:afterAutospacing="1"/>
      <w:jc w:val="center"/>
    </w:pPr>
    <w:rPr>
      <w:rFonts w:ascii="宋体" w:hAnsi="宋体" w:cs="宋体"/>
      <w:kern w:val="0"/>
      <w:szCs w:val="21"/>
    </w:rPr>
  </w:style>
  <w:style w:type="paragraph" w:customStyle="1" w:styleId="xl163">
    <w:name w:val="xl163"/>
    <w:basedOn w:val="af9"/>
    <w:qFormat/>
    <w:pPr>
      <w:widowControl/>
      <w:pBdr>
        <w:top w:val="single" w:sz="8" w:space="0" w:color="FF0000"/>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5">
    <w:name w:val="xl155"/>
    <w:basedOn w:val="af9"/>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99">
    <w:name w:val="xl99"/>
    <w:basedOn w:val="af9"/>
    <w:qFormat/>
    <w:pPr>
      <w:widowControl/>
      <w:pBdr>
        <w:top w:val="single" w:sz="4"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40">
    <w:name w:val="xl140"/>
    <w:basedOn w:val="af9"/>
    <w:qFormat/>
    <w:pPr>
      <w:widowControl/>
      <w:pBdr>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1">
    <w:name w:val="xl11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46">
    <w:name w:val="xl146"/>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38">
    <w:name w:val="xl138"/>
    <w:basedOn w:val="af9"/>
    <w:qFormat/>
    <w:pPr>
      <w:widowControl/>
      <w:pBdr>
        <w:top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19">
    <w:name w:val="xl119"/>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5">
    <w:name w:val="xl105"/>
    <w:basedOn w:val="af9"/>
    <w:qFormat/>
    <w:pPr>
      <w:widowControl/>
      <w:pBdr>
        <w:top w:val="single" w:sz="8" w:space="0" w:color="FF0000"/>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43">
    <w:name w:val="xl143"/>
    <w:basedOn w:val="af9"/>
    <w:qFormat/>
    <w:pPr>
      <w:widowControl/>
      <w:pBdr>
        <w:top w:val="single" w:sz="8" w:space="0" w:color="FF0000"/>
        <w:bottom w:val="single" w:sz="8" w:space="0" w:color="FF0000"/>
      </w:pBdr>
      <w:spacing w:before="100" w:beforeAutospacing="1" w:after="100" w:afterAutospacing="1"/>
      <w:jc w:val="center"/>
    </w:pPr>
    <w:rPr>
      <w:rFonts w:ascii="宋体" w:hAnsi="宋体" w:cs="宋体"/>
      <w:kern w:val="0"/>
      <w:szCs w:val="21"/>
    </w:rPr>
  </w:style>
  <w:style w:type="paragraph" w:customStyle="1" w:styleId="xl115">
    <w:name w:val="xl115"/>
    <w:basedOn w:val="af9"/>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1">
    <w:name w:val="xl10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4">
    <w:name w:val="xl144"/>
    <w:basedOn w:val="af9"/>
    <w:qFormat/>
    <w:pPr>
      <w:widowControl/>
      <w:pBdr>
        <w:top w:val="single" w:sz="8" w:space="0" w:color="FF0000"/>
        <w:left w:val="single" w:sz="4" w:space="0" w:color="auto"/>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00">
    <w:name w:val="xl100"/>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1">
    <w:name w:val="xl141"/>
    <w:basedOn w:val="af9"/>
    <w:qFormat/>
    <w:pPr>
      <w:widowControl/>
      <w:pBdr>
        <w:left w:val="single" w:sz="4"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96">
    <w:name w:val="xl96"/>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left"/>
    </w:pPr>
    <w:rPr>
      <w:rFonts w:ascii="宋体" w:hAnsi="宋体" w:cs="宋体"/>
      <w:kern w:val="0"/>
      <w:szCs w:val="21"/>
    </w:rPr>
  </w:style>
  <w:style w:type="paragraph" w:customStyle="1" w:styleId="xl171">
    <w:name w:val="xl171"/>
    <w:basedOn w:val="af9"/>
    <w:qFormat/>
    <w:pPr>
      <w:widowControl/>
      <w:spacing w:before="100" w:beforeAutospacing="1" w:after="100" w:afterAutospacing="1"/>
      <w:jc w:val="center"/>
    </w:pPr>
    <w:rPr>
      <w:rFonts w:ascii="宋体" w:hAnsi="宋体" w:cs="宋体"/>
      <w:b/>
      <w:bCs/>
      <w:color w:val="000000"/>
      <w:kern w:val="0"/>
      <w:szCs w:val="21"/>
    </w:rPr>
  </w:style>
  <w:style w:type="paragraph" w:customStyle="1" w:styleId="xl125">
    <w:name w:val="xl125"/>
    <w:basedOn w:val="af9"/>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Cs w:val="21"/>
    </w:rPr>
  </w:style>
  <w:style w:type="paragraph" w:customStyle="1" w:styleId="xl187">
    <w:name w:val="xl187"/>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79">
    <w:name w:val="xl179"/>
    <w:basedOn w:val="af9"/>
    <w:qFormat/>
    <w:pPr>
      <w:widowControl/>
      <w:pBdr>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36">
    <w:name w:val="xl136"/>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26">
    <w:name w:val="xl126"/>
    <w:basedOn w:val="af9"/>
    <w:qFormat/>
    <w:pPr>
      <w:widowControl/>
      <w:pBdr>
        <w:bottom w:val="single" w:sz="4" w:space="0" w:color="000000"/>
      </w:pBdr>
      <w:spacing w:before="100" w:beforeAutospacing="1" w:after="100" w:afterAutospacing="1"/>
      <w:jc w:val="center"/>
    </w:pPr>
    <w:rPr>
      <w:rFonts w:ascii="宋体" w:hAnsi="宋体" w:cs="宋体"/>
      <w:kern w:val="0"/>
      <w:szCs w:val="21"/>
    </w:rPr>
  </w:style>
  <w:style w:type="paragraph" w:customStyle="1" w:styleId="xl127">
    <w:name w:val="xl127"/>
    <w:basedOn w:val="af9"/>
    <w:qFormat/>
    <w:pPr>
      <w:widowControl/>
      <w:pBdr>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Cs w:val="21"/>
    </w:rPr>
  </w:style>
  <w:style w:type="paragraph" w:customStyle="1" w:styleId="xl128">
    <w:name w:val="xl128"/>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1">
    <w:name w:val="xl131"/>
    <w:basedOn w:val="af9"/>
    <w:qFormat/>
    <w:pPr>
      <w:widowControl/>
      <w:pBdr>
        <w:top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2">
    <w:name w:val="xl132"/>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24"/>
    </w:rPr>
  </w:style>
  <w:style w:type="paragraph" w:customStyle="1" w:styleId="xl177">
    <w:name w:val="xl177"/>
    <w:basedOn w:val="af9"/>
    <w:qFormat/>
    <w:pPr>
      <w:widowControl/>
      <w:pBdr>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9">
    <w:name w:val="xl169"/>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33">
    <w:name w:val="xl133"/>
    <w:basedOn w:val="af9"/>
    <w:qFormat/>
    <w:pPr>
      <w:widowControl/>
      <w:pBdr>
        <w:bottom w:val="single" w:sz="8" w:space="0" w:color="FF0000"/>
        <w:right w:val="single" w:sz="4" w:space="0" w:color="000000"/>
      </w:pBdr>
      <w:spacing w:before="100" w:beforeAutospacing="1" w:after="100" w:afterAutospacing="1"/>
      <w:jc w:val="center"/>
    </w:pPr>
    <w:rPr>
      <w:rFonts w:ascii="宋体" w:hAnsi="宋体" w:cs="宋体"/>
      <w:kern w:val="0"/>
      <w:szCs w:val="21"/>
    </w:rPr>
  </w:style>
  <w:style w:type="paragraph" w:customStyle="1" w:styleId="xl185">
    <w:name w:val="xl185"/>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4">
    <w:name w:val="xl134"/>
    <w:basedOn w:val="af9"/>
    <w:qFormat/>
    <w:pPr>
      <w:widowControl/>
      <w:pBdr>
        <w:bottom w:val="single" w:sz="8" w:space="0" w:color="FF0000"/>
      </w:pBdr>
      <w:spacing w:before="100" w:beforeAutospacing="1" w:after="100" w:afterAutospacing="1"/>
      <w:jc w:val="center"/>
    </w:pPr>
    <w:rPr>
      <w:rFonts w:ascii="宋体" w:hAnsi="宋体" w:cs="宋体"/>
      <w:kern w:val="0"/>
      <w:szCs w:val="21"/>
    </w:rPr>
  </w:style>
  <w:style w:type="paragraph" w:customStyle="1" w:styleId="xl145">
    <w:name w:val="xl145"/>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7">
    <w:name w:val="xl137"/>
    <w:basedOn w:val="af9"/>
    <w:qFormat/>
    <w:pPr>
      <w:widowControl/>
      <w:pBdr>
        <w:top w:val="single" w:sz="4" w:space="0" w:color="000000"/>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7">
    <w:name w:val="xl147"/>
    <w:basedOn w:val="af9"/>
    <w:qFormat/>
    <w:pPr>
      <w:widowControl/>
      <w:pBdr>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139">
    <w:name w:val="xl139"/>
    <w:basedOn w:val="af9"/>
    <w:qFormat/>
    <w:pPr>
      <w:widowControl/>
      <w:pBdr>
        <w:top w:val="single" w:sz="8" w:space="0" w:color="FF0000"/>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42">
    <w:name w:val="xl142"/>
    <w:basedOn w:val="af9"/>
    <w:qFormat/>
    <w:pPr>
      <w:widowControl/>
      <w:pBdr>
        <w:top w:val="single" w:sz="8" w:space="0" w:color="FF0000"/>
        <w:bottom w:val="single" w:sz="8" w:space="0" w:color="FF0000"/>
        <w:right w:val="single" w:sz="4" w:space="0" w:color="000000"/>
      </w:pBdr>
      <w:spacing w:before="100" w:beforeAutospacing="1" w:after="100" w:afterAutospacing="1"/>
      <w:jc w:val="center"/>
    </w:pPr>
    <w:rPr>
      <w:rFonts w:ascii="宋体" w:hAnsi="宋体" w:cs="宋体"/>
      <w:kern w:val="0"/>
      <w:szCs w:val="21"/>
    </w:rPr>
  </w:style>
  <w:style w:type="paragraph" w:customStyle="1" w:styleId="xl172">
    <w:name w:val="xl172"/>
    <w:basedOn w:val="af9"/>
    <w:qFormat/>
    <w:pPr>
      <w:widowControl/>
      <w:pBdr>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48">
    <w:name w:val="xl148"/>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3">
    <w:name w:val="xl173"/>
    <w:basedOn w:val="af9"/>
    <w:qFormat/>
    <w:pPr>
      <w:widowControl/>
      <w:pBdr>
        <w:left w:val="single" w:sz="4" w:space="0" w:color="auto"/>
        <w:bottom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49">
    <w:name w:val="xl149"/>
    <w:basedOn w:val="af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161">
    <w:name w:val="xl161"/>
    <w:basedOn w:val="af9"/>
    <w:qFormat/>
    <w:pPr>
      <w:widowControl/>
      <w:pBdr>
        <w:left w:val="single" w:sz="4" w:space="0" w:color="auto"/>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3">
    <w:name w:val="xl153"/>
    <w:basedOn w:val="af9"/>
    <w:qFormat/>
    <w:pPr>
      <w:widowControl/>
      <w:pBdr>
        <w:left w:val="single" w:sz="4" w:space="0" w:color="auto"/>
        <w:bottom w:val="single" w:sz="8"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64">
    <w:name w:val="xl164"/>
    <w:basedOn w:val="af9"/>
    <w:qFormat/>
    <w:pPr>
      <w:widowControl/>
      <w:pBdr>
        <w:bottom w:val="single" w:sz="8"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6">
    <w:name w:val="xl156"/>
    <w:basedOn w:val="af9"/>
    <w:qFormat/>
    <w:pPr>
      <w:widowControl/>
      <w:pBdr>
        <w:top w:val="single" w:sz="8" w:space="0" w:color="FF0000"/>
        <w:left w:val="single" w:sz="4" w:space="0" w:color="auto"/>
        <w:bottom w:val="single" w:sz="4" w:space="0" w:color="000000"/>
      </w:pBdr>
      <w:spacing w:before="100" w:beforeAutospacing="1" w:after="100" w:afterAutospacing="1"/>
      <w:jc w:val="center"/>
    </w:pPr>
    <w:rPr>
      <w:rFonts w:ascii="宋体" w:hAnsi="宋体" w:cs="宋体"/>
      <w:kern w:val="0"/>
      <w:szCs w:val="21"/>
    </w:rPr>
  </w:style>
  <w:style w:type="paragraph" w:customStyle="1" w:styleId="xl158">
    <w:name w:val="xl158"/>
    <w:basedOn w:val="af9"/>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66">
    <w:name w:val="xl166"/>
    <w:basedOn w:val="af9"/>
    <w:qFormat/>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67">
    <w:name w:val="xl167"/>
    <w:basedOn w:val="af9"/>
    <w:qFormat/>
    <w:pPr>
      <w:widowControl/>
      <w:pBdr>
        <w:top w:val="single" w:sz="8" w:space="0" w:color="auto"/>
        <w:bottom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88">
    <w:name w:val="xl188"/>
    <w:basedOn w:val="af9"/>
    <w:qFormat/>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80">
    <w:name w:val="xl180"/>
    <w:basedOn w:val="af9"/>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81">
    <w:name w:val="xl181"/>
    <w:basedOn w:val="af9"/>
    <w:qFormat/>
    <w:pPr>
      <w:widowControl/>
      <w:pBdr>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0">
    <w:name w:val="Char2"/>
    <w:basedOn w:val="af9"/>
    <w:qFormat/>
    <w:pPr>
      <w:widowControl/>
      <w:spacing w:after="160" w:line="240" w:lineRule="exact"/>
      <w:jc w:val="left"/>
    </w:pPr>
  </w:style>
  <w:style w:type="paragraph" w:customStyle="1" w:styleId="13">
    <w:name w:val="正文1"/>
    <w:qFormat/>
    <w:pPr>
      <w:jc w:val="both"/>
    </w:pPr>
    <w:rPr>
      <w:rFonts w:ascii="Calibri" w:eastAsia="宋体" w:hAnsi="Calibri" w:cs="Calibri"/>
      <w:kern w:val="2"/>
      <w:sz w:val="21"/>
      <w:szCs w:val="21"/>
    </w:rPr>
  </w:style>
  <w:style w:type="paragraph" w:customStyle="1" w:styleId="Char30">
    <w:name w:val="Char3"/>
    <w:basedOn w:val="af9"/>
    <w:qFormat/>
    <w:pPr>
      <w:widowControl/>
      <w:spacing w:after="160" w:line="240" w:lineRule="exact"/>
      <w:jc w:val="left"/>
    </w:pPr>
    <w:rPr>
      <w:rFonts w:ascii="Verdana" w:hAnsi="Verdana"/>
      <w:kern w:val="0"/>
      <w:sz w:val="20"/>
      <w:szCs w:val="20"/>
      <w:lang w:eastAsia="en-US"/>
    </w:rPr>
  </w:style>
  <w:style w:type="paragraph" w:customStyle="1" w:styleId="p0">
    <w:name w:val="p0"/>
    <w:basedOn w:val="af9"/>
    <w:qFormat/>
    <w:pPr>
      <w:widowControl/>
      <w:jc w:val="left"/>
    </w:pPr>
    <w:rPr>
      <w:kern w:val="0"/>
      <w:szCs w:val="21"/>
    </w:rPr>
  </w:style>
  <w:style w:type="paragraph" w:customStyle="1" w:styleId="24">
    <w:name w:val="正文2"/>
    <w:qFormat/>
    <w:pPr>
      <w:jc w:val="both"/>
    </w:pPr>
    <w:rPr>
      <w:rFonts w:ascii="Times New Roman" w:eastAsia="宋体" w:hAnsi="Times New Roman" w:cs="Times New Roman"/>
      <w:kern w:val="2"/>
      <w:sz w:val="21"/>
      <w:szCs w:val="21"/>
    </w:rPr>
  </w:style>
  <w:style w:type="paragraph" w:customStyle="1" w:styleId="Char40">
    <w:name w:val="Char4"/>
    <w:basedOn w:val="af9"/>
    <w:qFormat/>
    <w:pPr>
      <w:widowControl/>
      <w:spacing w:after="160" w:line="240" w:lineRule="exact"/>
      <w:jc w:val="left"/>
    </w:pPr>
    <w:rPr>
      <w:rFonts w:ascii="Verdana" w:hAnsi="Verdana"/>
      <w:kern w:val="0"/>
      <w:sz w:val="20"/>
      <w:szCs w:val="20"/>
      <w:lang w:eastAsia="en-US"/>
    </w:rPr>
  </w:style>
  <w:style w:type="paragraph" w:customStyle="1" w:styleId="Char50">
    <w:name w:val="Char5"/>
    <w:basedOn w:val="af9"/>
    <w:qFormat/>
    <w:pPr>
      <w:widowControl/>
      <w:spacing w:after="160" w:line="240" w:lineRule="exact"/>
      <w:jc w:val="left"/>
    </w:pPr>
    <w:rPr>
      <w:rFonts w:ascii="Verdana" w:hAnsi="Verdana"/>
      <w:kern w:val="0"/>
      <w:sz w:val="20"/>
      <w:szCs w:val="20"/>
      <w:lang w:eastAsia="en-US"/>
    </w:rPr>
  </w:style>
  <w:style w:type="paragraph" w:customStyle="1" w:styleId="Char60">
    <w:name w:val="Char6"/>
    <w:basedOn w:val="af9"/>
    <w:qFormat/>
    <w:pPr>
      <w:widowControl/>
      <w:spacing w:after="160" w:line="240" w:lineRule="exact"/>
      <w:jc w:val="left"/>
    </w:pPr>
    <w:rPr>
      <w:rFonts w:ascii="Verdana" w:hAnsi="Verdana"/>
      <w:kern w:val="0"/>
      <w:sz w:val="20"/>
      <w:szCs w:val="20"/>
      <w:lang w:eastAsia="en-US"/>
    </w:rPr>
  </w:style>
  <w:style w:type="character" w:customStyle="1" w:styleId="afffff6">
    <w:name w:val="发布"/>
    <w:qFormat/>
    <w:rPr>
      <w:rFonts w:ascii="黑体" w:eastAsia="黑体"/>
      <w:spacing w:val="22"/>
      <w:w w:val="100"/>
      <w:position w:val="3"/>
      <w:sz w:val="28"/>
    </w:rPr>
  </w:style>
  <w:style w:type="character" w:customStyle="1" w:styleId="afffff7">
    <w:name w:val="个人答复风格"/>
    <w:qFormat/>
    <w:rPr>
      <w:rFonts w:ascii="Arial" w:eastAsia="宋体" w:hAnsi="Arial" w:cs="Arial"/>
      <w:color w:val="auto"/>
      <w:sz w:val="20"/>
    </w:rPr>
  </w:style>
  <w:style w:type="character" w:customStyle="1" w:styleId="Char8">
    <w:name w:val="段 Char"/>
    <w:link w:val="afff4"/>
    <w:qFormat/>
    <w:rPr>
      <w:rFonts w:ascii="宋体" w:eastAsia="宋体" w:hAnsi="宋体"/>
      <w:sz w:val="21"/>
      <w:lang w:val="en-US" w:eastAsia="zh-CN" w:bidi="ar-SA"/>
    </w:rPr>
  </w:style>
  <w:style w:type="character" w:customStyle="1" w:styleId="afffff8">
    <w:name w:val="个人撰写风格"/>
    <w:qFormat/>
    <w:rPr>
      <w:rFonts w:ascii="Arial" w:eastAsia="宋体" w:hAnsi="Arial" w:cs="Arial"/>
      <w:color w:val="auto"/>
      <w:sz w:val="20"/>
    </w:rPr>
  </w:style>
  <w:style w:type="character" w:customStyle="1" w:styleId="Char9">
    <w:name w:val="二级条标题 Char"/>
    <w:link w:val="af4"/>
    <w:qFormat/>
    <w:rPr>
      <w:rFonts w:ascii="黑体" w:eastAsia="黑体" w:hAnsi="黑体"/>
      <w:color w:val="000000" w:themeColor="text1"/>
      <w:spacing w:val="-6"/>
      <w:sz w:val="21"/>
      <w:szCs w:val="24"/>
    </w:rPr>
  </w:style>
  <w:style w:type="character" w:customStyle="1" w:styleId="Charb">
    <w:name w:val="章标题 Char"/>
    <w:link w:val="af2"/>
    <w:qFormat/>
    <w:rPr>
      <w:rFonts w:ascii="黑体" w:eastAsia="黑体" w:hAnsi="Times New Roman" w:cs="Times New Roman"/>
      <w:sz w:val="21"/>
    </w:rPr>
  </w:style>
  <w:style w:type="character" w:customStyle="1" w:styleId="Chara">
    <w:name w:val="一级条标题 Char"/>
    <w:link w:val="af3"/>
    <w:qFormat/>
    <w:rPr>
      <w:rFonts w:ascii="黑体" w:eastAsia="黑体" w:hAnsi="Times New Roman" w:cs="Times New Roman"/>
      <w:color w:val="FF0000"/>
      <w:spacing w:val="-4"/>
      <w:sz w:val="21"/>
      <w:szCs w:val="24"/>
    </w:rPr>
  </w:style>
  <w:style w:type="character" w:customStyle="1" w:styleId="Char2">
    <w:name w:val="纯文本 Char"/>
    <w:link w:val="aff2"/>
    <w:qFormat/>
    <w:rPr>
      <w:rFonts w:ascii="宋体" w:hAnsi="Courier New" w:cs="Courier New"/>
      <w:kern w:val="2"/>
      <w:sz w:val="21"/>
      <w:szCs w:val="21"/>
    </w:rPr>
  </w:style>
  <w:style w:type="character" w:customStyle="1" w:styleId="Chard">
    <w:name w:val="三级条标题 Char"/>
    <w:link w:val="af5"/>
    <w:qFormat/>
    <w:rPr>
      <w:rFonts w:ascii="黑体" w:eastAsia="黑体"/>
      <w:color w:val="FF0000"/>
      <w:spacing w:val="-4"/>
      <w:sz w:val="21"/>
      <w:szCs w:val="24"/>
    </w:rPr>
  </w:style>
  <w:style w:type="character" w:customStyle="1" w:styleId="Char4">
    <w:name w:val="批注框文本 Char"/>
    <w:link w:val="aff5"/>
    <w:uiPriority w:val="99"/>
    <w:qFormat/>
    <w:rPr>
      <w:kern w:val="2"/>
      <w:sz w:val="18"/>
      <w:szCs w:val="18"/>
    </w:rPr>
  </w:style>
  <w:style w:type="character" w:customStyle="1" w:styleId="Char0">
    <w:name w:val="正文文本 Char"/>
    <w:link w:val="aff0"/>
    <w:qFormat/>
    <w:rPr>
      <w:kern w:val="2"/>
      <w:sz w:val="21"/>
      <w:szCs w:val="24"/>
    </w:rPr>
  </w:style>
  <w:style w:type="character" w:customStyle="1" w:styleId="Charf">
    <w:name w:val="注： Char"/>
    <w:link w:val="a1"/>
    <w:qFormat/>
    <w:rPr>
      <w:rFonts w:ascii="宋体"/>
      <w:sz w:val="18"/>
    </w:rPr>
  </w:style>
  <w:style w:type="character" w:customStyle="1" w:styleId="Char5">
    <w:name w:val="页脚 Char"/>
    <w:link w:val="aff6"/>
    <w:uiPriority w:val="99"/>
    <w:qFormat/>
    <w:rPr>
      <w:kern w:val="2"/>
      <w:sz w:val="18"/>
      <w:szCs w:val="18"/>
    </w:rPr>
  </w:style>
  <w:style w:type="character" w:customStyle="1" w:styleId="Char1">
    <w:name w:val="正文文本缩进 Char"/>
    <w:link w:val="aff1"/>
    <w:qFormat/>
    <w:rPr>
      <w:kern w:val="2"/>
      <w:sz w:val="24"/>
    </w:rPr>
  </w:style>
  <w:style w:type="character" w:customStyle="1" w:styleId="afffff9">
    <w:name w:val="表中文字"/>
    <w:qFormat/>
    <w:rPr>
      <w:rFonts w:ascii="宋体" w:eastAsia="宋体"/>
      <w:sz w:val="18"/>
    </w:rPr>
  </w:style>
  <w:style w:type="character" w:customStyle="1" w:styleId="Char">
    <w:name w:val="批注文字 Char"/>
    <w:link w:val="aff"/>
    <w:qFormat/>
    <w:rPr>
      <w:kern w:val="2"/>
      <w:sz w:val="21"/>
      <w:szCs w:val="24"/>
    </w:rPr>
  </w:style>
  <w:style w:type="character" w:customStyle="1" w:styleId="Char7">
    <w:name w:val="批注主题 Char"/>
    <w:link w:val="affb"/>
    <w:qFormat/>
    <w:rPr>
      <w:b/>
      <w:bCs/>
      <w:kern w:val="2"/>
      <w:sz w:val="21"/>
      <w:szCs w:val="24"/>
    </w:rPr>
  </w:style>
  <w:style w:type="character" w:customStyle="1" w:styleId="Char6">
    <w:name w:val="页眉 Char"/>
    <w:link w:val="aff7"/>
    <w:uiPriority w:val="99"/>
    <w:qFormat/>
    <w:rPr>
      <w:kern w:val="2"/>
      <w:sz w:val="18"/>
      <w:szCs w:val="18"/>
    </w:rPr>
  </w:style>
  <w:style w:type="character" w:customStyle="1" w:styleId="2Char">
    <w:name w:val="正文文本缩进 2 Char"/>
    <w:link w:val="21"/>
    <w:qFormat/>
    <w:rPr>
      <w:kern w:val="2"/>
      <w:sz w:val="21"/>
      <w:szCs w:val="24"/>
    </w:rPr>
  </w:style>
  <w:style w:type="character" w:customStyle="1" w:styleId="Char3">
    <w:name w:val="日期 Char"/>
    <w:link w:val="aff3"/>
    <w:uiPriority w:val="99"/>
    <w:qFormat/>
    <w:rPr>
      <w:kern w:val="2"/>
      <w:sz w:val="24"/>
    </w:rPr>
  </w:style>
  <w:style w:type="character" w:customStyle="1" w:styleId="14">
    <w:name w:val="访问过的超链接1"/>
    <w:uiPriority w:val="99"/>
    <w:qFormat/>
    <w:rPr>
      <w:color w:val="800080"/>
      <w:u w:val="single"/>
    </w:rPr>
  </w:style>
  <w:style w:type="character" w:customStyle="1" w:styleId="CharCharCharChar">
    <w:name w:val="段 Char Char Char Char"/>
    <w:qFormat/>
    <w:rPr>
      <w:rFonts w:ascii="宋体"/>
      <w:sz w:val="21"/>
      <w:lang w:val="en-US" w:eastAsia="zh-CN" w:bidi="ar-SA"/>
    </w:rPr>
  </w:style>
  <w:style w:type="character" w:customStyle="1" w:styleId="CharChar">
    <w:name w:val="章标题 Char Char"/>
    <w:qFormat/>
    <w:rPr>
      <w:rFonts w:ascii="黑体" w:eastAsia="黑体"/>
      <w:sz w:val="21"/>
      <w:lang w:val="en-US" w:eastAsia="zh-CN" w:bidi="ar-SA"/>
    </w:rPr>
  </w:style>
  <w:style w:type="character" w:customStyle="1" w:styleId="Char12">
    <w:name w:val="正文文本缩进 Char1"/>
    <w:qFormat/>
    <w:rPr>
      <w:kern w:val="2"/>
      <w:sz w:val="21"/>
      <w:szCs w:val="24"/>
    </w:rPr>
  </w:style>
  <w:style w:type="character" w:customStyle="1" w:styleId="font21">
    <w:name w:val="font21"/>
    <w:qFormat/>
    <w:rPr>
      <w:rFonts w:ascii="宋体" w:eastAsia="宋体" w:hAnsi="宋体" w:cs="宋体" w:hint="eastAsia"/>
      <w:b/>
      <w:color w:val="FF0000"/>
      <w:sz w:val="21"/>
      <w:szCs w:val="21"/>
      <w:u w:val="none"/>
    </w:rPr>
  </w:style>
  <w:style w:type="character" w:customStyle="1" w:styleId="font41">
    <w:name w:val="font41"/>
    <w:qFormat/>
    <w:rPr>
      <w:rFonts w:ascii="宋体" w:eastAsia="宋体" w:hAnsi="宋体" w:cs="宋体" w:hint="eastAsia"/>
      <w:b/>
      <w:color w:val="FF0000"/>
      <w:sz w:val="21"/>
      <w:szCs w:val="21"/>
      <w:u w:val="none"/>
    </w:rPr>
  </w:style>
  <w:style w:type="character" w:customStyle="1" w:styleId="font01">
    <w:name w:val="font01"/>
    <w:qFormat/>
    <w:rPr>
      <w:rFonts w:ascii="宋体" w:eastAsia="宋体" w:hAnsi="宋体" w:hint="eastAsia"/>
      <w:color w:val="000000"/>
      <w:sz w:val="24"/>
      <w:szCs w:val="24"/>
      <w:u w:val="none"/>
    </w:rPr>
  </w:style>
  <w:style w:type="character" w:customStyle="1" w:styleId="Charc">
    <w:name w:val="附录标识 Char"/>
    <w:link w:val="a8"/>
    <w:qFormat/>
    <w:rPr>
      <w:sz w:val="21"/>
    </w:rPr>
  </w:style>
  <w:style w:type="character" w:customStyle="1" w:styleId="font31">
    <w:name w:val="font31"/>
    <w:qFormat/>
    <w:rPr>
      <w:rFonts w:ascii="宋体" w:eastAsia="宋体" w:hAnsi="宋体" w:cs="宋体" w:hint="eastAsia"/>
      <w:color w:val="000000"/>
      <w:sz w:val="22"/>
      <w:szCs w:val="22"/>
      <w:u w:val="none"/>
    </w:rPr>
  </w:style>
  <w:style w:type="paragraph" w:styleId="afffffa">
    <w:name w:val="List Paragraph"/>
    <w:basedOn w:val="af9"/>
    <w:uiPriority w:val="34"/>
    <w:qFormat/>
    <w:pPr>
      <w:ind w:firstLineChars="200" w:firstLine="420"/>
    </w:pPr>
  </w:style>
  <w:style w:type="paragraph" w:customStyle="1" w:styleId="TableParagraph">
    <w:name w:val="Table Paragraph"/>
    <w:basedOn w:val="af9"/>
    <w:uiPriority w:val="1"/>
    <w:qFormat/>
    <w:pPr>
      <w:autoSpaceDE w:val="0"/>
      <w:autoSpaceDN w:val="0"/>
      <w:jc w:val="left"/>
    </w:pPr>
    <w:rPr>
      <w:rFonts w:ascii="仿宋" w:eastAsia="仿宋" w:hAnsi="仿宋" w:cs="仿宋"/>
      <w:kern w:val="0"/>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caption" w:qFormat="1"/>
    <w:lsdException w:name="footnote reference" w:qFormat="1"/>
    <w:lsdException w:name="annotation reference" w:qFormat="1"/>
    <w:lsdException w:name="page number" w:qFormat="1"/>
    <w:lsdException w:name="endnote text" w:qFormat="1"/>
    <w:lsdException w:name="Title" w:qFormat="1"/>
    <w:lsdException w:name="Default Paragraph Font" w:semiHidden="1" w:uiPriority="1" w:unhideWhenUsed="1"/>
    <w:lsdException w:name="Body Text" w:qFormat="1"/>
    <w:lsdException w:name="Body Text Indent" w:qFormat="1"/>
    <w:lsdException w:name="Subtitle" w:qFormat="1"/>
    <w:lsdException w:name="Date" w:uiPriority="99" w:qFormat="1"/>
    <w:lsdException w:name="Body Text First Indent" w:qFormat="1"/>
    <w:lsdException w:name="Body Text Indent 2" w:qFormat="1"/>
    <w:lsdException w:name="Body Text Indent 3" w:qFormat="1"/>
    <w:lsdException w:name="Hyperlink" w:uiPriority="99" w:qFormat="1"/>
    <w:lsdException w:name="FollowedHyperlink" w:unhideWhenUsed="1"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9">
    <w:name w:val="Normal"/>
    <w:qFormat/>
    <w:pPr>
      <w:widowControl w:val="0"/>
      <w:jc w:val="both"/>
    </w:pPr>
    <w:rPr>
      <w:rFonts w:ascii="Times New Roman" w:eastAsia="宋体" w:hAnsi="Times New Roman" w:cs="Times New Roman"/>
      <w:kern w:val="2"/>
      <w:sz w:val="21"/>
      <w:szCs w:val="24"/>
    </w:rPr>
  </w:style>
  <w:style w:type="paragraph" w:styleId="1">
    <w:name w:val="heading 1"/>
    <w:basedOn w:val="af9"/>
    <w:next w:val="af9"/>
    <w:qFormat/>
    <w:pPr>
      <w:keepNext/>
      <w:keepLines/>
      <w:spacing w:before="340" w:after="330" w:line="576" w:lineRule="auto"/>
      <w:outlineLvl w:val="0"/>
    </w:pPr>
    <w:rPr>
      <w:b/>
      <w:bCs/>
      <w:kern w:val="44"/>
      <w:sz w:val="44"/>
      <w:szCs w:val="44"/>
    </w:rPr>
  </w:style>
  <w:style w:type="paragraph" w:styleId="2">
    <w:name w:val="heading 2"/>
    <w:basedOn w:val="af9"/>
    <w:next w:val="af9"/>
    <w:qFormat/>
    <w:pPr>
      <w:keepNext/>
      <w:keepLines/>
      <w:spacing w:before="260" w:after="260" w:line="413" w:lineRule="auto"/>
      <w:outlineLvl w:val="1"/>
    </w:pPr>
    <w:rPr>
      <w:rFonts w:ascii="Arial" w:eastAsia="黑体" w:hAnsi="Arial"/>
      <w:b/>
      <w:bCs/>
      <w:sz w:val="32"/>
      <w:szCs w:val="32"/>
    </w:rPr>
  </w:style>
  <w:style w:type="paragraph" w:styleId="3">
    <w:name w:val="heading 3"/>
    <w:basedOn w:val="af9"/>
    <w:next w:val="af9"/>
    <w:qFormat/>
    <w:pPr>
      <w:keepNext/>
      <w:keepLines/>
      <w:spacing w:before="260" w:after="260" w:line="413" w:lineRule="auto"/>
      <w:outlineLvl w:val="2"/>
    </w:pPr>
    <w:rPr>
      <w:b/>
      <w:bCs/>
      <w:sz w:val="32"/>
      <w:szCs w:val="32"/>
    </w:rPr>
  </w:style>
  <w:style w:type="paragraph" w:styleId="4">
    <w:name w:val="heading 4"/>
    <w:basedOn w:val="af9"/>
    <w:next w:val="af9"/>
    <w:qFormat/>
    <w:pPr>
      <w:keepNext/>
      <w:keepLines/>
      <w:spacing w:before="280" w:after="290" w:line="372" w:lineRule="auto"/>
      <w:outlineLvl w:val="3"/>
    </w:pPr>
    <w:rPr>
      <w:rFonts w:ascii="Arial" w:eastAsia="黑体" w:hAnsi="Arial"/>
      <w:b/>
      <w:bCs/>
      <w:sz w:val="28"/>
      <w:szCs w:val="28"/>
    </w:rPr>
  </w:style>
  <w:style w:type="paragraph" w:styleId="5">
    <w:name w:val="heading 5"/>
    <w:basedOn w:val="af9"/>
    <w:next w:val="af9"/>
    <w:qFormat/>
    <w:pPr>
      <w:keepNext/>
      <w:keepLines/>
      <w:spacing w:before="280" w:after="290" w:line="372" w:lineRule="auto"/>
      <w:outlineLvl w:val="4"/>
    </w:pPr>
    <w:rPr>
      <w:b/>
      <w:bCs/>
      <w:sz w:val="28"/>
      <w:szCs w:val="28"/>
    </w:rPr>
  </w:style>
  <w:style w:type="paragraph" w:styleId="6">
    <w:name w:val="heading 6"/>
    <w:basedOn w:val="af9"/>
    <w:next w:val="af9"/>
    <w:qFormat/>
    <w:pPr>
      <w:keepNext/>
      <w:keepLines/>
      <w:spacing w:before="240" w:after="64" w:line="317" w:lineRule="auto"/>
      <w:outlineLvl w:val="5"/>
    </w:pPr>
    <w:rPr>
      <w:rFonts w:ascii="Arial" w:eastAsia="黑体" w:hAnsi="Arial"/>
      <w:b/>
      <w:bCs/>
      <w:sz w:val="24"/>
    </w:rPr>
  </w:style>
  <w:style w:type="paragraph" w:styleId="7">
    <w:name w:val="heading 7"/>
    <w:basedOn w:val="af9"/>
    <w:next w:val="af9"/>
    <w:qFormat/>
    <w:pPr>
      <w:keepNext/>
      <w:keepLines/>
      <w:spacing w:before="240" w:after="64" w:line="317" w:lineRule="auto"/>
      <w:outlineLvl w:val="6"/>
    </w:pPr>
    <w:rPr>
      <w:b/>
      <w:bCs/>
      <w:sz w:val="24"/>
    </w:rPr>
  </w:style>
  <w:style w:type="paragraph" w:styleId="8">
    <w:name w:val="heading 8"/>
    <w:basedOn w:val="af9"/>
    <w:next w:val="af9"/>
    <w:qFormat/>
    <w:pPr>
      <w:keepNext/>
      <w:keepLines/>
      <w:spacing w:before="240" w:after="64" w:line="317" w:lineRule="auto"/>
      <w:outlineLvl w:val="7"/>
    </w:pPr>
    <w:rPr>
      <w:rFonts w:ascii="Arial" w:eastAsia="黑体" w:hAnsi="Arial"/>
      <w:sz w:val="24"/>
    </w:rPr>
  </w:style>
  <w:style w:type="paragraph" w:styleId="9">
    <w:name w:val="heading 9"/>
    <w:basedOn w:val="af9"/>
    <w:next w:val="af9"/>
    <w:qFormat/>
    <w:pPr>
      <w:keepNext/>
      <w:keepLines/>
      <w:spacing w:before="240" w:after="64" w:line="317" w:lineRule="auto"/>
      <w:outlineLvl w:val="8"/>
    </w:pPr>
    <w:rPr>
      <w:rFonts w:ascii="Arial" w:eastAsia="黑体" w:hAnsi="Arial"/>
      <w:szCs w:val="21"/>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70">
    <w:name w:val="toc 7"/>
    <w:basedOn w:val="60"/>
    <w:next w:val="af9"/>
    <w:uiPriority w:val="39"/>
    <w:qFormat/>
  </w:style>
  <w:style w:type="paragraph" w:styleId="60">
    <w:name w:val="toc 6"/>
    <w:basedOn w:val="50"/>
    <w:next w:val="af9"/>
    <w:uiPriority w:val="39"/>
    <w:qFormat/>
  </w:style>
  <w:style w:type="paragraph" w:styleId="50">
    <w:name w:val="toc 5"/>
    <w:basedOn w:val="40"/>
    <w:next w:val="af9"/>
    <w:uiPriority w:val="39"/>
    <w:qFormat/>
  </w:style>
  <w:style w:type="paragraph" w:styleId="40">
    <w:name w:val="toc 4"/>
    <w:basedOn w:val="30"/>
    <w:next w:val="af9"/>
    <w:uiPriority w:val="39"/>
    <w:qFormat/>
  </w:style>
  <w:style w:type="paragraph" w:styleId="30">
    <w:name w:val="toc 3"/>
    <w:basedOn w:val="20"/>
    <w:next w:val="af9"/>
    <w:uiPriority w:val="39"/>
    <w:qFormat/>
  </w:style>
  <w:style w:type="paragraph" w:styleId="20">
    <w:name w:val="toc 2"/>
    <w:basedOn w:val="10"/>
    <w:next w:val="af9"/>
    <w:uiPriority w:val="39"/>
    <w:qFormat/>
  </w:style>
  <w:style w:type="paragraph" w:styleId="10">
    <w:name w:val="toc 1"/>
    <w:next w:val="af9"/>
    <w:uiPriority w:val="39"/>
    <w:qFormat/>
    <w:pPr>
      <w:jc w:val="both"/>
    </w:pPr>
    <w:rPr>
      <w:rFonts w:ascii="宋体" w:eastAsia="宋体" w:hAnsi="Times New Roman" w:cs="Times New Roman"/>
      <w:sz w:val="21"/>
    </w:rPr>
  </w:style>
  <w:style w:type="paragraph" w:styleId="afd">
    <w:name w:val="Normal Indent"/>
    <w:basedOn w:val="af9"/>
    <w:qFormat/>
    <w:pPr>
      <w:ind w:firstLine="420"/>
    </w:pPr>
    <w:rPr>
      <w:szCs w:val="20"/>
    </w:rPr>
  </w:style>
  <w:style w:type="paragraph" w:styleId="afe">
    <w:name w:val="caption"/>
    <w:basedOn w:val="af9"/>
    <w:next w:val="af9"/>
    <w:qFormat/>
    <w:pPr>
      <w:spacing w:before="152" w:after="160"/>
    </w:pPr>
    <w:rPr>
      <w:rFonts w:ascii="Arial" w:eastAsia="黑体" w:hAnsi="Arial"/>
      <w:szCs w:val="20"/>
    </w:rPr>
  </w:style>
  <w:style w:type="paragraph" w:styleId="aff">
    <w:name w:val="annotation text"/>
    <w:basedOn w:val="af9"/>
    <w:link w:val="Char"/>
    <w:qFormat/>
    <w:pPr>
      <w:jc w:val="left"/>
    </w:pPr>
  </w:style>
  <w:style w:type="paragraph" w:styleId="aff0">
    <w:name w:val="Body Text"/>
    <w:basedOn w:val="af9"/>
    <w:link w:val="Char0"/>
    <w:qFormat/>
    <w:pPr>
      <w:spacing w:after="120"/>
    </w:pPr>
  </w:style>
  <w:style w:type="paragraph" w:styleId="aff1">
    <w:name w:val="Body Text Indent"/>
    <w:basedOn w:val="af9"/>
    <w:link w:val="Char1"/>
    <w:qFormat/>
    <w:pPr>
      <w:spacing w:line="360" w:lineRule="exact"/>
      <w:ind w:left="420" w:firstLine="480"/>
    </w:pPr>
    <w:rPr>
      <w:sz w:val="24"/>
      <w:szCs w:val="20"/>
    </w:rPr>
  </w:style>
  <w:style w:type="paragraph" w:styleId="HTML">
    <w:name w:val="HTML Address"/>
    <w:basedOn w:val="af9"/>
    <w:qFormat/>
    <w:rPr>
      <w:i/>
      <w:iCs/>
    </w:rPr>
  </w:style>
  <w:style w:type="paragraph" w:styleId="aff2">
    <w:name w:val="Plain Text"/>
    <w:basedOn w:val="af9"/>
    <w:link w:val="Char2"/>
    <w:qFormat/>
    <w:rPr>
      <w:rFonts w:ascii="宋体" w:hAnsi="Courier New"/>
      <w:szCs w:val="21"/>
    </w:rPr>
  </w:style>
  <w:style w:type="paragraph" w:styleId="80">
    <w:name w:val="toc 8"/>
    <w:basedOn w:val="70"/>
    <w:next w:val="af9"/>
    <w:uiPriority w:val="39"/>
    <w:qFormat/>
  </w:style>
  <w:style w:type="paragraph" w:styleId="aff3">
    <w:name w:val="Date"/>
    <w:basedOn w:val="af9"/>
    <w:next w:val="af9"/>
    <w:link w:val="Char3"/>
    <w:uiPriority w:val="99"/>
    <w:qFormat/>
    <w:pPr>
      <w:ind w:leftChars="2500" w:left="100"/>
    </w:pPr>
    <w:rPr>
      <w:sz w:val="24"/>
      <w:szCs w:val="20"/>
    </w:rPr>
  </w:style>
  <w:style w:type="paragraph" w:styleId="21">
    <w:name w:val="Body Text Indent 2"/>
    <w:basedOn w:val="af9"/>
    <w:link w:val="2Char"/>
    <w:qFormat/>
    <w:pPr>
      <w:spacing w:after="120" w:line="480" w:lineRule="auto"/>
      <w:ind w:leftChars="200" w:left="420"/>
    </w:pPr>
  </w:style>
  <w:style w:type="paragraph" w:styleId="aff4">
    <w:name w:val="endnote text"/>
    <w:basedOn w:val="af9"/>
    <w:qFormat/>
    <w:pPr>
      <w:snapToGrid w:val="0"/>
    </w:pPr>
  </w:style>
  <w:style w:type="paragraph" w:styleId="aff5">
    <w:name w:val="Balloon Text"/>
    <w:basedOn w:val="af9"/>
    <w:link w:val="Char4"/>
    <w:uiPriority w:val="99"/>
    <w:qFormat/>
    <w:rPr>
      <w:sz w:val="18"/>
      <w:szCs w:val="18"/>
    </w:rPr>
  </w:style>
  <w:style w:type="paragraph" w:styleId="aff6">
    <w:name w:val="footer"/>
    <w:basedOn w:val="af9"/>
    <w:link w:val="Char5"/>
    <w:uiPriority w:val="99"/>
    <w:qFormat/>
    <w:pPr>
      <w:tabs>
        <w:tab w:val="center" w:pos="4153"/>
        <w:tab w:val="right" w:pos="8306"/>
      </w:tabs>
      <w:snapToGrid w:val="0"/>
      <w:ind w:rightChars="100" w:right="210"/>
      <w:jc w:val="right"/>
    </w:pPr>
    <w:rPr>
      <w:sz w:val="18"/>
      <w:szCs w:val="18"/>
    </w:rPr>
  </w:style>
  <w:style w:type="paragraph" w:styleId="aff7">
    <w:name w:val="header"/>
    <w:basedOn w:val="af9"/>
    <w:link w:val="Char6"/>
    <w:uiPriority w:val="99"/>
    <w:qFormat/>
    <w:pPr>
      <w:pBdr>
        <w:bottom w:val="single" w:sz="6" w:space="1" w:color="auto"/>
      </w:pBdr>
      <w:tabs>
        <w:tab w:val="center" w:pos="4153"/>
        <w:tab w:val="right" w:pos="8306"/>
      </w:tabs>
      <w:snapToGrid w:val="0"/>
      <w:jc w:val="center"/>
    </w:pPr>
    <w:rPr>
      <w:sz w:val="18"/>
      <w:szCs w:val="18"/>
    </w:rPr>
  </w:style>
  <w:style w:type="paragraph" w:styleId="aff8">
    <w:name w:val="footnote text"/>
    <w:basedOn w:val="af9"/>
    <w:qFormat/>
    <w:pPr>
      <w:snapToGrid w:val="0"/>
      <w:jc w:val="left"/>
    </w:pPr>
    <w:rPr>
      <w:sz w:val="18"/>
      <w:szCs w:val="18"/>
    </w:rPr>
  </w:style>
  <w:style w:type="paragraph" w:styleId="31">
    <w:name w:val="Body Text Indent 3"/>
    <w:basedOn w:val="af9"/>
    <w:qFormat/>
    <w:pPr>
      <w:widowControl/>
      <w:spacing w:line="360" w:lineRule="auto"/>
      <w:ind w:firstLine="420"/>
    </w:pPr>
    <w:rPr>
      <w:rFonts w:hAnsi="宋体"/>
      <w:sz w:val="18"/>
    </w:rPr>
  </w:style>
  <w:style w:type="paragraph" w:styleId="90">
    <w:name w:val="toc 9"/>
    <w:basedOn w:val="80"/>
    <w:next w:val="af9"/>
    <w:uiPriority w:val="39"/>
    <w:qFormat/>
  </w:style>
  <w:style w:type="paragraph" w:styleId="HTML0">
    <w:name w:val="HTML Preformatted"/>
    <w:basedOn w:val="af9"/>
    <w:qFormat/>
    <w:rPr>
      <w:rFonts w:ascii="Courier New" w:hAnsi="Courier New" w:cs="Courier New"/>
      <w:sz w:val="20"/>
      <w:szCs w:val="20"/>
    </w:rPr>
  </w:style>
  <w:style w:type="paragraph" w:styleId="aff9">
    <w:name w:val="Normal (Web)"/>
    <w:basedOn w:val="af9"/>
    <w:uiPriority w:val="99"/>
    <w:unhideWhenUsed/>
    <w:qFormat/>
    <w:pPr>
      <w:widowControl/>
      <w:spacing w:before="100" w:beforeAutospacing="1" w:after="100" w:afterAutospacing="1"/>
      <w:jc w:val="left"/>
    </w:pPr>
    <w:rPr>
      <w:rFonts w:ascii="宋体" w:hAnsi="宋体" w:cs="宋体"/>
      <w:kern w:val="0"/>
      <w:sz w:val="24"/>
    </w:rPr>
  </w:style>
  <w:style w:type="paragraph" w:styleId="affa">
    <w:name w:val="Title"/>
    <w:basedOn w:val="af9"/>
    <w:qFormat/>
    <w:pPr>
      <w:spacing w:before="240" w:after="60"/>
      <w:jc w:val="center"/>
      <w:outlineLvl w:val="0"/>
    </w:pPr>
    <w:rPr>
      <w:rFonts w:ascii="Arial" w:hAnsi="Arial" w:cs="Arial"/>
      <w:b/>
      <w:bCs/>
      <w:sz w:val="32"/>
      <w:szCs w:val="32"/>
    </w:rPr>
  </w:style>
  <w:style w:type="paragraph" w:styleId="affb">
    <w:name w:val="annotation subject"/>
    <w:basedOn w:val="aff"/>
    <w:next w:val="aff"/>
    <w:link w:val="Char7"/>
    <w:qFormat/>
    <w:rPr>
      <w:b/>
      <w:bCs/>
    </w:rPr>
  </w:style>
  <w:style w:type="paragraph" w:styleId="affc">
    <w:name w:val="Body Text First Indent"/>
    <w:basedOn w:val="aff0"/>
    <w:qFormat/>
    <w:pPr>
      <w:ind w:firstLine="420"/>
    </w:pPr>
    <w:rPr>
      <w:szCs w:val="20"/>
    </w:rPr>
  </w:style>
  <w:style w:type="table" w:styleId="affd">
    <w:name w:val="Table Grid"/>
    <w:basedOn w:val="afb"/>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e">
    <w:name w:val="Strong"/>
    <w:uiPriority w:val="22"/>
    <w:qFormat/>
    <w:rPr>
      <w:b/>
      <w:bCs/>
    </w:rPr>
  </w:style>
  <w:style w:type="character" w:styleId="afff">
    <w:name w:val="page number"/>
    <w:qFormat/>
    <w:rPr>
      <w:rFonts w:ascii="Times New Roman" w:eastAsia="宋体" w:hAnsi="Times New Roman"/>
      <w:sz w:val="18"/>
    </w:rPr>
  </w:style>
  <w:style w:type="character" w:styleId="afff0">
    <w:name w:val="FollowedHyperlink"/>
    <w:unhideWhenUsed/>
    <w:qFormat/>
    <w:rPr>
      <w:color w:val="800080"/>
      <w:u w:val="single"/>
    </w:rPr>
  </w:style>
  <w:style w:type="character" w:styleId="HTML1">
    <w:name w:val="HTML Definition"/>
    <w:qFormat/>
    <w:rPr>
      <w:i/>
      <w:iCs/>
    </w:rPr>
  </w:style>
  <w:style w:type="character" w:styleId="HTML2">
    <w:name w:val="HTML Typewriter"/>
    <w:qFormat/>
    <w:rPr>
      <w:rFonts w:ascii="Courier New" w:hAnsi="Courier New"/>
      <w:sz w:val="20"/>
      <w:szCs w:val="20"/>
    </w:rPr>
  </w:style>
  <w:style w:type="character" w:styleId="HTML3">
    <w:name w:val="HTML Acronym"/>
    <w:basedOn w:val="afa"/>
    <w:qFormat/>
  </w:style>
  <w:style w:type="character" w:styleId="HTML4">
    <w:name w:val="HTML Variable"/>
    <w:qFormat/>
    <w:rPr>
      <w:i/>
      <w:iCs/>
    </w:rPr>
  </w:style>
  <w:style w:type="character" w:styleId="afff1">
    <w:name w:val="Hyperlink"/>
    <w:basedOn w:val="afa"/>
    <w:uiPriority w:val="99"/>
    <w:qFormat/>
    <w:rPr>
      <w:rFonts w:ascii="Times New Roman" w:eastAsia="宋体" w:hAnsi="Times New Roman"/>
      <w:color w:val="auto"/>
      <w:spacing w:val="0"/>
      <w:w w:val="100"/>
      <w:position w:val="0"/>
      <w:sz w:val="21"/>
      <w:u w:val="none"/>
    </w:rPr>
  </w:style>
  <w:style w:type="character" w:styleId="HTML5">
    <w:name w:val="HTML Code"/>
    <w:qFormat/>
    <w:rPr>
      <w:rFonts w:ascii="Courier New" w:hAnsi="Courier New"/>
      <w:sz w:val="20"/>
      <w:szCs w:val="20"/>
    </w:rPr>
  </w:style>
  <w:style w:type="character" w:styleId="afff2">
    <w:name w:val="annotation reference"/>
    <w:qFormat/>
    <w:rPr>
      <w:sz w:val="21"/>
      <w:szCs w:val="21"/>
    </w:rPr>
  </w:style>
  <w:style w:type="character" w:styleId="HTML6">
    <w:name w:val="HTML Cite"/>
    <w:qFormat/>
    <w:rPr>
      <w:i/>
      <w:iCs/>
    </w:rPr>
  </w:style>
  <w:style w:type="character" w:styleId="afff3">
    <w:name w:val="footnote reference"/>
    <w:qFormat/>
    <w:rPr>
      <w:vertAlign w:val="superscript"/>
    </w:rPr>
  </w:style>
  <w:style w:type="character" w:styleId="HTML7">
    <w:name w:val="HTML Keyboard"/>
    <w:qFormat/>
    <w:rPr>
      <w:rFonts w:ascii="Courier New" w:hAnsi="Courier New"/>
      <w:sz w:val="20"/>
      <w:szCs w:val="20"/>
    </w:rPr>
  </w:style>
  <w:style w:type="character" w:styleId="HTML8">
    <w:name w:val="HTML Sample"/>
    <w:qFormat/>
    <w:rPr>
      <w:rFonts w:ascii="Courier New" w:hAnsi="Courier New"/>
    </w:rPr>
  </w:style>
  <w:style w:type="paragraph" w:customStyle="1" w:styleId="afff4">
    <w:name w:val="段"/>
    <w:link w:val="Char8"/>
    <w:qFormat/>
    <w:pPr>
      <w:autoSpaceDE w:val="0"/>
      <w:autoSpaceDN w:val="0"/>
      <w:adjustRightInd w:val="0"/>
      <w:snapToGrid w:val="0"/>
      <w:ind w:firstLineChars="200" w:firstLine="400"/>
      <w:jc w:val="both"/>
    </w:pPr>
    <w:rPr>
      <w:rFonts w:ascii="宋体" w:eastAsia="宋体" w:hAnsi="宋体" w:cs="Times New Roman"/>
      <w:sz w:val="21"/>
    </w:rPr>
  </w:style>
  <w:style w:type="paragraph" w:customStyle="1" w:styleId="af4">
    <w:name w:val="二级条标题"/>
    <w:basedOn w:val="af3"/>
    <w:next w:val="afff4"/>
    <w:link w:val="Char9"/>
    <w:qFormat/>
    <w:pPr>
      <w:numPr>
        <w:ilvl w:val="3"/>
      </w:numPr>
      <w:outlineLvl w:val="3"/>
    </w:pPr>
    <w:rPr>
      <w:rFonts w:hAnsi="黑体"/>
      <w:color w:val="000000" w:themeColor="text1"/>
      <w:spacing w:val="-6"/>
    </w:rPr>
  </w:style>
  <w:style w:type="paragraph" w:customStyle="1" w:styleId="af3">
    <w:name w:val="一级条标题"/>
    <w:basedOn w:val="af2"/>
    <w:next w:val="afff4"/>
    <w:link w:val="Chara"/>
    <w:qFormat/>
    <w:pPr>
      <w:numPr>
        <w:ilvl w:val="2"/>
      </w:numPr>
      <w:spacing w:beforeLines="0" w:afterLines="0" w:line="300" w:lineRule="auto"/>
      <w:outlineLvl w:val="2"/>
    </w:pPr>
    <w:rPr>
      <w:color w:val="FF0000"/>
      <w:spacing w:val="-4"/>
      <w:szCs w:val="24"/>
    </w:rPr>
  </w:style>
  <w:style w:type="paragraph" w:customStyle="1" w:styleId="af2">
    <w:name w:val="章标题"/>
    <w:next w:val="afff4"/>
    <w:link w:val="Charb"/>
    <w:qFormat/>
    <w:pPr>
      <w:numPr>
        <w:ilvl w:val="1"/>
        <w:numId w:val="1"/>
      </w:numPr>
      <w:spacing w:beforeLines="50" w:afterLines="50"/>
      <w:jc w:val="both"/>
      <w:outlineLvl w:val="1"/>
    </w:pPr>
    <w:rPr>
      <w:rFonts w:ascii="黑体" w:eastAsia="黑体" w:hAnsi="Times New Roman" w:cs="Times New Roman"/>
      <w:sz w:val="21"/>
    </w:rPr>
  </w:style>
  <w:style w:type="paragraph" w:customStyle="1" w:styleId="afff5">
    <w:name w:val="封面标准文稿类别"/>
    <w:qFormat/>
    <w:pPr>
      <w:spacing w:before="440" w:line="400" w:lineRule="exact"/>
      <w:jc w:val="center"/>
    </w:pPr>
    <w:rPr>
      <w:rFonts w:ascii="宋体" w:eastAsia="宋体" w:hAnsi="Times New Roman" w:cs="Times New Roman"/>
      <w:sz w:val="24"/>
    </w:rPr>
  </w:style>
  <w:style w:type="paragraph" w:customStyle="1" w:styleId="22">
    <w:name w:val="封面标准号2"/>
    <w:basedOn w:val="11"/>
    <w:qFormat/>
    <w:pPr>
      <w:adjustRightInd w:val="0"/>
      <w:spacing w:before="357" w:line="280" w:lineRule="exact"/>
    </w:pPr>
  </w:style>
  <w:style w:type="paragraph" w:customStyle="1" w:styleId="11">
    <w:name w:val="封面标准号1"/>
    <w:qFormat/>
    <w:pPr>
      <w:widowControl w:val="0"/>
      <w:kinsoku w:val="0"/>
      <w:overflowPunct w:val="0"/>
      <w:autoSpaceDE w:val="0"/>
      <w:autoSpaceDN w:val="0"/>
      <w:spacing w:before="308"/>
      <w:jc w:val="right"/>
      <w:textAlignment w:val="center"/>
    </w:pPr>
    <w:rPr>
      <w:rFonts w:ascii="Times New Roman" w:eastAsia="宋体" w:hAnsi="Times New Roman" w:cs="Times New Roman"/>
      <w:sz w:val="28"/>
    </w:rPr>
  </w:style>
  <w:style w:type="paragraph" w:customStyle="1" w:styleId="a8">
    <w:name w:val="附录标识"/>
    <w:basedOn w:val="af1"/>
    <w:link w:val="Charc"/>
    <w:qFormat/>
    <w:pPr>
      <w:numPr>
        <w:numId w:val="2"/>
      </w:numPr>
      <w:tabs>
        <w:tab w:val="left" w:pos="6405"/>
      </w:tabs>
      <w:spacing w:after="200"/>
    </w:pPr>
    <w:rPr>
      <w:sz w:val="21"/>
    </w:rPr>
  </w:style>
  <w:style w:type="paragraph" w:customStyle="1" w:styleId="af1">
    <w:name w:val="前言、引言标题"/>
    <w:next w:val="af9"/>
    <w:qFormat/>
    <w:pPr>
      <w:numPr>
        <w:numId w:val="1"/>
      </w:numPr>
      <w:shd w:val="clear" w:color="FFFFFF" w:fill="FFFFFF"/>
      <w:spacing w:before="640" w:after="560"/>
      <w:jc w:val="center"/>
      <w:outlineLvl w:val="0"/>
    </w:pPr>
    <w:rPr>
      <w:rFonts w:ascii="黑体" w:eastAsia="黑体" w:hAnsi="Times New Roman" w:cs="Times New Roman"/>
      <w:sz w:val="32"/>
    </w:rPr>
  </w:style>
  <w:style w:type="paragraph" w:customStyle="1" w:styleId="afff6">
    <w:name w:val="封面标准文稿编辑信息"/>
    <w:qFormat/>
    <w:pPr>
      <w:spacing w:before="180" w:line="180" w:lineRule="exact"/>
      <w:jc w:val="center"/>
    </w:pPr>
    <w:rPr>
      <w:rFonts w:ascii="宋体" w:eastAsia="宋体" w:hAnsi="Times New Roman" w:cs="Times New Roman"/>
      <w:sz w:val="21"/>
    </w:rPr>
  </w:style>
  <w:style w:type="paragraph" w:customStyle="1" w:styleId="afff7">
    <w:name w:val="发布部门"/>
    <w:next w:val="afff4"/>
    <w:qFormat/>
    <w:pPr>
      <w:jc w:val="center"/>
    </w:pPr>
    <w:rPr>
      <w:rFonts w:ascii="宋体" w:eastAsia="宋体" w:hAnsi="Times New Roman" w:cs="Times New Roman"/>
      <w:b/>
      <w:spacing w:val="20"/>
      <w:w w:val="135"/>
      <w:sz w:val="36"/>
    </w:rPr>
  </w:style>
  <w:style w:type="paragraph" w:customStyle="1" w:styleId="afff8">
    <w:name w:val="标准书脚_偶数页"/>
    <w:qFormat/>
    <w:pPr>
      <w:spacing w:before="120"/>
    </w:pPr>
    <w:rPr>
      <w:rFonts w:ascii="Times New Roman" w:eastAsia="宋体" w:hAnsi="Times New Roman" w:cs="Times New Roman"/>
      <w:sz w:val="18"/>
    </w:rPr>
  </w:style>
  <w:style w:type="paragraph" w:customStyle="1" w:styleId="af6">
    <w:name w:val="四级条标题"/>
    <w:basedOn w:val="af5"/>
    <w:next w:val="afff4"/>
    <w:qFormat/>
    <w:pPr>
      <w:numPr>
        <w:ilvl w:val="5"/>
      </w:numPr>
      <w:outlineLvl w:val="5"/>
    </w:pPr>
  </w:style>
  <w:style w:type="paragraph" w:customStyle="1" w:styleId="af5">
    <w:name w:val="三级条标题"/>
    <w:basedOn w:val="af4"/>
    <w:next w:val="afff4"/>
    <w:link w:val="Chard"/>
    <w:qFormat/>
    <w:pPr>
      <w:numPr>
        <w:ilvl w:val="4"/>
      </w:numPr>
      <w:outlineLvl w:val="4"/>
    </w:pPr>
  </w:style>
  <w:style w:type="paragraph" w:customStyle="1" w:styleId="af8">
    <w:name w:val="列项——"/>
    <w:qFormat/>
    <w:pPr>
      <w:widowControl w:val="0"/>
      <w:numPr>
        <w:numId w:val="3"/>
      </w:numPr>
      <w:tabs>
        <w:tab w:val="clear" w:pos="1140"/>
        <w:tab w:val="left" w:pos="854"/>
      </w:tabs>
      <w:ind w:leftChars="200" w:left="200" w:hangingChars="200" w:hanging="200"/>
      <w:jc w:val="both"/>
    </w:pPr>
    <w:rPr>
      <w:rFonts w:ascii="宋体" w:eastAsia="宋体" w:hAnsi="Times New Roman" w:cs="Times New Roman"/>
      <w:sz w:val="21"/>
    </w:rPr>
  </w:style>
  <w:style w:type="paragraph" w:customStyle="1" w:styleId="afff9">
    <w:name w:val="标准书脚_奇数页"/>
    <w:qFormat/>
    <w:pPr>
      <w:spacing w:before="120"/>
      <w:jc w:val="right"/>
    </w:pPr>
    <w:rPr>
      <w:rFonts w:ascii="Times New Roman" w:eastAsia="宋体" w:hAnsi="Times New Roman" w:cs="Times New Roman"/>
      <w:sz w:val="18"/>
    </w:rPr>
  </w:style>
  <w:style w:type="paragraph" w:customStyle="1" w:styleId="afffa">
    <w:name w:val="参考文献、索引标题"/>
    <w:basedOn w:val="af1"/>
    <w:next w:val="af9"/>
    <w:qFormat/>
    <w:pPr>
      <w:numPr>
        <w:numId w:val="0"/>
      </w:numPr>
      <w:spacing w:after="200"/>
    </w:pPr>
    <w:rPr>
      <w:sz w:val="21"/>
    </w:rPr>
  </w:style>
  <w:style w:type="paragraph" w:customStyle="1" w:styleId="afffb">
    <w:name w:val="封面标准名称"/>
    <w:qFormat/>
    <w:pPr>
      <w:widowControl w:val="0"/>
      <w:spacing w:line="680" w:lineRule="exact"/>
      <w:jc w:val="center"/>
      <w:textAlignment w:val="center"/>
    </w:pPr>
    <w:rPr>
      <w:rFonts w:ascii="黑体" w:eastAsia="黑体" w:hAnsi="Times New Roman" w:cs="Times New Roman"/>
      <w:sz w:val="52"/>
    </w:rPr>
  </w:style>
  <w:style w:type="paragraph" w:customStyle="1" w:styleId="afffc">
    <w:name w:val="实施日期"/>
    <w:basedOn w:val="afffd"/>
    <w:qFormat/>
    <w:pPr>
      <w:jc w:val="right"/>
    </w:pPr>
  </w:style>
  <w:style w:type="paragraph" w:customStyle="1" w:styleId="afffd">
    <w:name w:val="发布日期"/>
    <w:qFormat/>
    <w:rPr>
      <w:rFonts w:ascii="Times New Roman" w:eastAsia="黑体" w:hAnsi="Times New Roman" w:cs="Times New Roman"/>
      <w:sz w:val="28"/>
    </w:rPr>
  </w:style>
  <w:style w:type="paragraph" w:customStyle="1" w:styleId="afffe">
    <w:name w:val="条文脚注"/>
    <w:basedOn w:val="aff8"/>
    <w:qFormat/>
    <w:pPr>
      <w:ind w:leftChars="200" w:left="780" w:hangingChars="200" w:hanging="360"/>
      <w:jc w:val="both"/>
    </w:pPr>
    <w:rPr>
      <w:rFonts w:ascii="宋体"/>
    </w:rPr>
  </w:style>
  <w:style w:type="paragraph" w:customStyle="1" w:styleId="a9">
    <w:name w:val="附录章标题"/>
    <w:next w:val="afff4"/>
    <w:qFormat/>
    <w:pPr>
      <w:numPr>
        <w:ilvl w:val="1"/>
        <w:numId w:val="2"/>
      </w:numPr>
      <w:wordWrap w:val="0"/>
      <w:overflowPunct w:val="0"/>
      <w:autoSpaceDE w:val="0"/>
      <w:spacing w:beforeLines="50" w:afterLines="50"/>
      <w:jc w:val="both"/>
      <w:textAlignment w:val="baseline"/>
      <w:outlineLvl w:val="1"/>
    </w:pPr>
    <w:rPr>
      <w:rFonts w:ascii="黑体" w:eastAsia="黑体" w:hAnsi="Times New Roman" w:cs="Times New Roman"/>
      <w:kern w:val="21"/>
      <w:sz w:val="21"/>
    </w:rPr>
  </w:style>
  <w:style w:type="paragraph" w:customStyle="1" w:styleId="a">
    <w:name w:val="注×："/>
    <w:qFormat/>
    <w:pPr>
      <w:widowControl w:val="0"/>
      <w:numPr>
        <w:numId w:val="4"/>
      </w:numPr>
      <w:tabs>
        <w:tab w:val="clear" w:pos="900"/>
        <w:tab w:val="left" w:pos="630"/>
      </w:tabs>
      <w:autoSpaceDE w:val="0"/>
      <w:autoSpaceDN w:val="0"/>
      <w:jc w:val="both"/>
    </w:pPr>
    <w:rPr>
      <w:rFonts w:ascii="宋体" w:eastAsia="宋体" w:hAnsi="Times New Roman" w:cs="Times New Roman"/>
      <w:sz w:val="18"/>
    </w:rPr>
  </w:style>
  <w:style w:type="paragraph" w:customStyle="1" w:styleId="affff">
    <w:name w:val="封面标准英文名称"/>
    <w:qFormat/>
    <w:pPr>
      <w:widowControl w:val="0"/>
      <w:spacing w:before="370" w:line="400" w:lineRule="exact"/>
      <w:jc w:val="center"/>
    </w:pPr>
    <w:rPr>
      <w:rFonts w:ascii="Times New Roman" w:eastAsia="宋体" w:hAnsi="Times New Roman" w:cs="Times New Roman"/>
      <w:sz w:val="28"/>
    </w:rPr>
  </w:style>
  <w:style w:type="paragraph" w:customStyle="1" w:styleId="affff0">
    <w:name w:val="图表脚注"/>
    <w:next w:val="afff4"/>
    <w:qFormat/>
    <w:pPr>
      <w:ind w:leftChars="200" w:left="300" w:hangingChars="100" w:hanging="100"/>
      <w:jc w:val="both"/>
    </w:pPr>
    <w:rPr>
      <w:rFonts w:ascii="宋体" w:eastAsia="宋体" w:hAnsi="Times New Roman" w:cs="Times New Roman"/>
      <w:sz w:val="18"/>
    </w:rPr>
  </w:style>
  <w:style w:type="paragraph" w:customStyle="1" w:styleId="a6">
    <w:name w:val="五级无标题条"/>
    <w:basedOn w:val="af9"/>
    <w:qFormat/>
    <w:pPr>
      <w:numPr>
        <w:ilvl w:val="6"/>
        <w:numId w:val="5"/>
      </w:numPr>
    </w:pPr>
  </w:style>
  <w:style w:type="paragraph" w:customStyle="1" w:styleId="affff1">
    <w:name w:val="标准标志"/>
    <w:next w:val="af9"/>
    <w:qFormat/>
    <w:pPr>
      <w:shd w:val="solid" w:color="FFFFFF" w:fill="FFFFFF"/>
      <w:spacing w:line="0" w:lineRule="atLeast"/>
      <w:jc w:val="right"/>
    </w:pPr>
    <w:rPr>
      <w:rFonts w:ascii="Times New Roman" w:eastAsia="宋体" w:hAnsi="Times New Roman" w:cs="Times New Roman"/>
      <w:b/>
      <w:w w:val="130"/>
      <w:sz w:val="96"/>
    </w:rPr>
  </w:style>
  <w:style w:type="paragraph" w:customStyle="1" w:styleId="Chare">
    <w:name w:val="Char"/>
    <w:basedOn w:val="af9"/>
    <w:qFormat/>
    <w:pPr>
      <w:widowControl/>
      <w:spacing w:after="160" w:line="240" w:lineRule="exact"/>
      <w:jc w:val="left"/>
    </w:pPr>
  </w:style>
  <w:style w:type="paragraph" w:customStyle="1" w:styleId="affff2">
    <w:name w:val="无标题条"/>
    <w:next w:val="afff4"/>
    <w:qFormat/>
    <w:pPr>
      <w:jc w:val="both"/>
    </w:pPr>
    <w:rPr>
      <w:rFonts w:ascii="Times New Roman" w:eastAsia="宋体" w:hAnsi="Times New Roman" w:cs="Times New Roman"/>
      <w:sz w:val="21"/>
    </w:rPr>
  </w:style>
  <w:style w:type="paragraph" w:customStyle="1" w:styleId="af7">
    <w:name w:val="五级条标题"/>
    <w:basedOn w:val="af6"/>
    <w:next w:val="afff4"/>
    <w:qFormat/>
    <w:pPr>
      <w:numPr>
        <w:ilvl w:val="6"/>
      </w:numPr>
      <w:outlineLvl w:val="6"/>
    </w:pPr>
  </w:style>
  <w:style w:type="paragraph" w:customStyle="1" w:styleId="Default">
    <w:name w:val="Default"/>
    <w:qFormat/>
    <w:pPr>
      <w:widowControl w:val="0"/>
      <w:autoSpaceDE w:val="0"/>
      <w:autoSpaceDN w:val="0"/>
      <w:adjustRightInd w:val="0"/>
    </w:pPr>
    <w:rPr>
      <w:rFonts w:ascii="宋体" w:eastAsia="宋体" w:hAnsi="Times New Roman" w:cs="Times New Roman"/>
    </w:rPr>
  </w:style>
  <w:style w:type="paragraph" w:customStyle="1" w:styleId="affff3">
    <w:name w:val="标准书眉_奇数页"/>
    <w:next w:val="af9"/>
    <w:qFormat/>
    <w:pPr>
      <w:tabs>
        <w:tab w:val="center" w:pos="4154"/>
        <w:tab w:val="right" w:pos="8306"/>
      </w:tabs>
      <w:spacing w:after="120"/>
      <w:jc w:val="right"/>
    </w:pPr>
    <w:rPr>
      <w:rFonts w:ascii="Times New Roman" w:eastAsia="宋体" w:hAnsi="Times New Roman" w:cs="Times New Roman"/>
      <w:sz w:val="21"/>
    </w:rPr>
  </w:style>
  <w:style w:type="paragraph" w:customStyle="1" w:styleId="af0">
    <w:name w:val="正文图标题"/>
    <w:next w:val="afff4"/>
    <w:qFormat/>
    <w:pPr>
      <w:numPr>
        <w:numId w:val="6"/>
      </w:numPr>
      <w:jc w:val="center"/>
    </w:pPr>
    <w:rPr>
      <w:rFonts w:ascii="黑体" w:eastAsia="黑体" w:hAnsi="Times New Roman" w:cs="Times New Roman"/>
      <w:sz w:val="21"/>
    </w:rPr>
  </w:style>
  <w:style w:type="paragraph" w:customStyle="1" w:styleId="a1">
    <w:name w:val="注："/>
    <w:next w:val="afff4"/>
    <w:link w:val="Charf"/>
    <w:qFormat/>
    <w:pPr>
      <w:widowControl w:val="0"/>
      <w:numPr>
        <w:numId w:val="7"/>
      </w:numPr>
      <w:autoSpaceDE w:val="0"/>
      <w:autoSpaceDN w:val="0"/>
      <w:jc w:val="both"/>
    </w:pPr>
    <w:rPr>
      <w:rFonts w:ascii="宋体" w:eastAsia="宋体" w:hAnsi="Times New Roman" w:cs="Times New Roman"/>
      <w:sz w:val="18"/>
    </w:rPr>
  </w:style>
  <w:style w:type="paragraph" w:customStyle="1" w:styleId="affff4">
    <w:name w:val="字母编号列项（一级）"/>
    <w:qFormat/>
    <w:pPr>
      <w:ind w:leftChars="200" w:left="840" w:hangingChars="200" w:hanging="420"/>
      <w:jc w:val="both"/>
    </w:pPr>
    <w:rPr>
      <w:rFonts w:ascii="宋体" w:eastAsia="宋体" w:hAnsi="Times New Roman" w:cs="Times New Roman"/>
      <w:sz w:val="21"/>
    </w:rPr>
  </w:style>
  <w:style w:type="paragraph" w:customStyle="1" w:styleId="affff5">
    <w:name w:val="标准书眉_偶数页"/>
    <w:basedOn w:val="affff3"/>
    <w:next w:val="af9"/>
    <w:qFormat/>
    <w:pPr>
      <w:jc w:val="left"/>
    </w:pPr>
  </w:style>
  <w:style w:type="paragraph" w:customStyle="1" w:styleId="a3">
    <w:name w:val="二级无标题条"/>
    <w:basedOn w:val="af9"/>
    <w:qFormat/>
    <w:pPr>
      <w:numPr>
        <w:ilvl w:val="3"/>
        <w:numId w:val="5"/>
      </w:numPr>
    </w:pPr>
  </w:style>
  <w:style w:type="paragraph" w:customStyle="1" w:styleId="affff6">
    <w:name w:val="附录表标题"/>
    <w:next w:val="afff4"/>
    <w:qFormat/>
    <w:pPr>
      <w:jc w:val="center"/>
      <w:textAlignment w:val="baseline"/>
    </w:pPr>
    <w:rPr>
      <w:rFonts w:ascii="黑体" w:eastAsia="黑体" w:hAnsi="Times New Roman" w:cs="Times New Roman"/>
      <w:kern w:val="21"/>
      <w:sz w:val="21"/>
    </w:rPr>
  </w:style>
  <w:style w:type="paragraph" w:customStyle="1" w:styleId="affff7">
    <w:name w:val="文献分类号"/>
    <w:qFormat/>
    <w:pPr>
      <w:widowControl w:val="0"/>
      <w:textAlignment w:val="center"/>
    </w:pPr>
    <w:rPr>
      <w:rFonts w:ascii="Times New Roman" w:eastAsia="黑体" w:hAnsi="Times New Roman" w:cs="Times New Roman"/>
      <w:sz w:val="21"/>
    </w:rPr>
  </w:style>
  <w:style w:type="paragraph" w:customStyle="1" w:styleId="affff8">
    <w:name w:val="其他标准称谓"/>
    <w:qFormat/>
    <w:pPr>
      <w:spacing w:line="0" w:lineRule="atLeast"/>
      <w:jc w:val="distribute"/>
    </w:pPr>
    <w:rPr>
      <w:rFonts w:ascii="黑体" w:eastAsia="黑体" w:hAnsi="宋体" w:cs="Times New Roman"/>
      <w:sz w:val="52"/>
    </w:rPr>
  </w:style>
  <w:style w:type="paragraph" w:customStyle="1" w:styleId="affff9">
    <w:name w:val="封面正文"/>
    <w:qFormat/>
    <w:pPr>
      <w:jc w:val="both"/>
    </w:pPr>
    <w:rPr>
      <w:rFonts w:ascii="Times New Roman" w:eastAsia="宋体" w:hAnsi="Times New Roman" w:cs="Times New Roman"/>
    </w:rPr>
  </w:style>
  <w:style w:type="paragraph" w:customStyle="1" w:styleId="ae">
    <w:name w:val="附录五级条标题"/>
    <w:basedOn w:val="ad"/>
    <w:next w:val="afff4"/>
    <w:qFormat/>
    <w:pPr>
      <w:numPr>
        <w:ilvl w:val="6"/>
      </w:numPr>
      <w:outlineLvl w:val="6"/>
    </w:pPr>
  </w:style>
  <w:style w:type="paragraph" w:customStyle="1" w:styleId="ad">
    <w:name w:val="附录四级条标题"/>
    <w:basedOn w:val="ac"/>
    <w:next w:val="afff4"/>
    <w:qFormat/>
    <w:pPr>
      <w:numPr>
        <w:ilvl w:val="5"/>
      </w:numPr>
      <w:outlineLvl w:val="5"/>
    </w:pPr>
  </w:style>
  <w:style w:type="paragraph" w:customStyle="1" w:styleId="ac">
    <w:name w:val="附录三级条标题"/>
    <w:basedOn w:val="ab"/>
    <w:next w:val="afff4"/>
    <w:qFormat/>
    <w:pPr>
      <w:numPr>
        <w:ilvl w:val="4"/>
      </w:numPr>
      <w:outlineLvl w:val="4"/>
    </w:pPr>
  </w:style>
  <w:style w:type="paragraph" w:customStyle="1" w:styleId="ab">
    <w:name w:val="附录二级条标题"/>
    <w:basedOn w:val="aa"/>
    <w:next w:val="afff4"/>
    <w:qFormat/>
    <w:pPr>
      <w:numPr>
        <w:ilvl w:val="3"/>
      </w:numPr>
      <w:outlineLvl w:val="3"/>
    </w:pPr>
  </w:style>
  <w:style w:type="paragraph" w:customStyle="1" w:styleId="aa">
    <w:name w:val="附录一级条标题"/>
    <w:basedOn w:val="a9"/>
    <w:next w:val="afff4"/>
    <w:qFormat/>
    <w:pPr>
      <w:numPr>
        <w:ilvl w:val="2"/>
      </w:numPr>
      <w:autoSpaceDN w:val="0"/>
      <w:spacing w:beforeLines="0" w:afterLines="0"/>
      <w:outlineLvl w:val="2"/>
    </w:pPr>
  </w:style>
  <w:style w:type="paragraph" w:customStyle="1" w:styleId="affffa">
    <w:name w:val="数字编号列项（二级）"/>
    <w:qFormat/>
    <w:pPr>
      <w:ind w:leftChars="400" w:left="1260" w:hangingChars="200" w:hanging="420"/>
      <w:jc w:val="both"/>
    </w:pPr>
    <w:rPr>
      <w:rFonts w:ascii="宋体" w:eastAsia="宋体" w:hAnsi="Times New Roman" w:cs="Times New Roman"/>
      <w:sz w:val="21"/>
    </w:rPr>
  </w:style>
  <w:style w:type="paragraph" w:customStyle="1" w:styleId="affffb">
    <w:name w:val="附录图标题"/>
    <w:next w:val="afff4"/>
    <w:qFormat/>
    <w:pPr>
      <w:jc w:val="center"/>
    </w:pPr>
    <w:rPr>
      <w:rFonts w:ascii="黑体" w:eastAsia="黑体" w:hAnsi="Times New Roman" w:cs="Times New Roman"/>
      <w:sz w:val="21"/>
    </w:rPr>
  </w:style>
  <w:style w:type="paragraph" w:customStyle="1" w:styleId="affffc">
    <w:name w:val="封面一致性程度标识"/>
    <w:qFormat/>
    <w:pPr>
      <w:spacing w:before="440" w:line="400" w:lineRule="exact"/>
      <w:jc w:val="center"/>
    </w:pPr>
    <w:rPr>
      <w:rFonts w:ascii="宋体" w:eastAsia="宋体" w:hAnsi="Times New Roman" w:cs="Times New Roman"/>
      <w:sz w:val="28"/>
    </w:rPr>
  </w:style>
  <w:style w:type="paragraph" w:customStyle="1" w:styleId="af">
    <w:name w:val="正文表标题"/>
    <w:next w:val="afff4"/>
    <w:qFormat/>
    <w:pPr>
      <w:numPr>
        <w:numId w:val="8"/>
      </w:numPr>
      <w:jc w:val="center"/>
    </w:pPr>
    <w:rPr>
      <w:rFonts w:ascii="黑体" w:eastAsia="黑体" w:hAnsi="Times New Roman" w:cs="Times New Roman"/>
      <w:sz w:val="21"/>
    </w:rPr>
  </w:style>
  <w:style w:type="paragraph" w:customStyle="1" w:styleId="a0">
    <w:name w:val="示例"/>
    <w:next w:val="afff4"/>
    <w:qFormat/>
    <w:pPr>
      <w:numPr>
        <w:numId w:val="9"/>
      </w:numPr>
      <w:tabs>
        <w:tab w:val="clear" w:pos="1120"/>
        <w:tab w:val="left" w:pos="816"/>
      </w:tabs>
      <w:ind w:firstLineChars="233" w:firstLine="419"/>
      <w:jc w:val="both"/>
    </w:pPr>
    <w:rPr>
      <w:rFonts w:ascii="宋体" w:eastAsia="宋体" w:hAnsi="Times New Roman" w:cs="Times New Roman"/>
      <w:sz w:val="18"/>
    </w:rPr>
  </w:style>
  <w:style w:type="paragraph" w:customStyle="1" w:styleId="affffd">
    <w:name w:val="篇"/>
    <w:basedOn w:val="af9"/>
    <w:next w:val="af9"/>
    <w:qFormat/>
    <w:pPr>
      <w:adjustRightInd w:val="0"/>
      <w:spacing w:line="360" w:lineRule="atLeast"/>
      <w:jc w:val="center"/>
      <w:textAlignment w:val="baseline"/>
    </w:pPr>
    <w:rPr>
      <w:rFonts w:eastAsia="黑体"/>
      <w:kern w:val="0"/>
      <w:sz w:val="24"/>
      <w:szCs w:val="20"/>
    </w:rPr>
  </w:style>
  <w:style w:type="paragraph" w:customStyle="1" w:styleId="a5">
    <w:name w:val="四级无标题条"/>
    <w:basedOn w:val="af9"/>
    <w:qFormat/>
    <w:pPr>
      <w:numPr>
        <w:ilvl w:val="5"/>
        <w:numId w:val="5"/>
      </w:numPr>
    </w:pPr>
  </w:style>
  <w:style w:type="paragraph" w:customStyle="1" w:styleId="affffe">
    <w:name w:val="目次、标准名称标题"/>
    <w:basedOn w:val="af1"/>
    <w:next w:val="afff4"/>
    <w:qFormat/>
    <w:pPr>
      <w:numPr>
        <w:numId w:val="0"/>
      </w:numPr>
      <w:spacing w:line="460" w:lineRule="exact"/>
    </w:pPr>
  </w:style>
  <w:style w:type="paragraph" w:customStyle="1" w:styleId="afffff">
    <w:name w:val="标准书眉一"/>
    <w:qFormat/>
    <w:pPr>
      <w:jc w:val="both"/>
    </w:pPr>
    <w:rPr>
      <w:rFonts w:ascii="Times New Roman" w:eastAsia="宋体" w:hAnsi="Times New Roman" w:cs="Times New Roman"/>
    </w:rPr>
  </w:style>
  <w:style w:type="paragraph" w:customStyle="1" w:styleId="afffff0">
    <w:name w:val="标准称谓"/>
    <w:next w:val="af9"/>
    <w:qFormat/>
    <w:pPr>
      <w:widowControl w:val="0"/>
      <w:kinsoku w:val="0"/>
      <w:overflowPunct w:val="0"/>
      <w:autoSpaceDE w:val="0"/>
      <w:autoSpaceDN w:val="0"/>
      <w:spacing w:line="0" w:lineRule="atLeast"/>
      <w:jc w:val="distribute"/>
    </w:pPr>
    <w:rPr>
      <w:rFonts w:ascii="宋体" w:eastAsia="宋体" w:hAnsi="Times New Roman" w:cs="Times New Roman"/>
      <w:b/>
      <w:bCs/>
      <w:spacing w:val="20"/>
      <w:w w:val="148"/>
      <w:sz w:val="52"/>
    </w:rPr>
  </w:style>
  <w:style w:type="paragraph" w:customStyle="1" w:styleId="afffff1">
    <w:name w:val="其他发布部门"/>
    <w:basedOn w:val="afff7"/>
    <w:qFormat/>
    <w:pPr>
      <w:spacing w:line="0" w:lineRule="atLeast"/>
    </w:pPr>
    <w:rPr>
      <w:rFonts w:ascii="黑体" w:eastAsia="黑体"/>
      <w:b w:val="0"/>
    </w:rPr>
  </w:style>
  <w:style w:type="paragraph" w:customStyle="1" w:styleId="a7">
    <w:name w:val="列项·"/>
    <w:qFormat/>
    <w:pPr>
      <w:numPr>
        <w:numId w:val="10"/>
      </w:numPr>
      <w:tabs>
        <w:tab w:val="clear" w:pos="1140"/>
        <w:tab w:val="left" w:pos="840"/>
      </w:tabs>
      <w:ind w:leftChars="200" w:left="840" w:hangingChars="200" w:hanging="420"/>
      <w:jc w:val="both"/>
    </w:pPr>
    <w:rPr>
      <w:rFonts w:ascii="宋体" w:eastAsia="宋体" w:hAnsi="Times New Roman" w:cs="Times New Roman"/>
      <w:sz w:val="21"/>
    </w:rPr>
  </w:style>
  <w:style w:type="paragraph" w:customStyle="1" w:styleId="a4">
    <w:name w:val="三级无标题条"/>
    <w:basedOn w:val="af9"/>
    <w:qFormat/>
    <w:pPr>
      <w:numPr>
        <w:ilvl w:val="4"/>
        <w:numId w:val="5"/>
      </w:numPr>
    </w:pPr>
  </w:style>
  <w:style w:type="paragraph" w:customStyle="1" w:styleId="afffff2">
    <w:name w:val="目次、索引正文"/>
    <w:qFormat/>
    <w:pPr>
      <w:spacing w:line="320" w:lineRule="exact"/>
      <w:jc w:val="both"/>
    </w:pPr>
    <w:rPr>
      <w:rFonts w:ascii="宋体" w:eastAsia="宋体" w:hAnsi="Times New Roman" w:cs="Times New Roman"/>
      <w:sz w:val="21"/>
    </w:rPr>
  </w:style>
  <w:style w:type="paragraph" w:customStyle="1" w:styleId="a2">
    <w:name w:val="一级无标题条"/>
    <w:basedOn w:val="af9"/>
    <w:qFormat/>
    <w:pPr>
      <w:numPr>
        <w:ilvl w:val="2"/>
        <w:numId w:val="5"/>
      </w:numPr>
    </w:pPr>
  </w:style>
  <w:style w:type="paragraph" w:customStyle="1" w:styleId="afffff3">
    <w:name w:val="封面标准代替信息"/>
    <w:basedOn w:val="22"/>
    <w:qFormat/>
    <w:pPr>
      <w:spacing w:before="57"/>
    </w:pPr>
    <w:rPr>
      <w:rFonts w:ascii="宋体"/>
      <w:sz w:val="21"/>
    </w:rPr>
  </w:style>
  <w:style w:type="paragraph" w:customStyle="1" w:styleId="afffff4">
    <w:name w:val="标准正文"/>
    <w:basedOn w:val="af9"/>
    <w:qFormat/>
    <w:pPr>
      <w:adjustRightInd w:val="0"/>
      <w:spacing w:line="360" w:lineRule="atLeast"/>
      <w:ind w:firstLine="425"/>
      <w:jc w:val="left"/>
      <w:textAlignment w:val="baseline"/>
    </w:pPr>
    <w:rPr>
      <w:spacing w:val="-4"/>
      <w:kern w:val="21"/>
      <w:szCs w:val="20"/>
    </w:rPr>
  </w:style>
  <w:style w:type="paragraph" w:customStyle="1" w:styleId="font1">
    <w:name w:val="font1"/>
    <w:basedOn w:val="af9"/>
    <w:qFormat/>
    <w:pPr>
      <w:widowControl/>
      <w:spacing w:before="100" w:beforeAutospacing="1" w:after="100" w:afterAutospacing="1"/>
      <w:jc w:val="left"/>
    </w:pPr>
    <w:rPr>
      <w:rFonts w:ascii="宋体" w:hAnsi="宋体" w:cs="宋体"/>
      <w:kern w:val="0"/>
      <w:sz w:val="24"/>
    </w:rPr>
  </w:style>
  <w:style w:type="paragraph" w:customStyle="1" w:styleId="font5">
    <w:name w:val="font5"/>
    <w:basedOn w:val="af9"/>
    <w:qFormat/>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f9"/>
    <w:qFormat/>
    <w:pPr>
      <w:widowControl/>
      <w:spacing w:before="100" w:beforeAutospacing="1" w:after="100" w:afterAutospacing="1"/>
      <w:jc w:val="left"/>
    </w:pPr>
    <w:rPr>
      <w:b/>
      <w:bCs/>
      <w:kern w:val="0"/>
      <w:sz w:val="20"/>
      <w:szCs w:val="20"/>
    </w:rPr>
  </w:style>
  <w:style w:type="paragraph" w:customStyle="1" w:styleId="font7">
    <w:name w:val="font7"/>
    <w:basedOn w:val="af9"/>
    <w:qFormat/>
    <w:pPr>
      <w:widowControl/>
      <w:spacing w:before="100" w:beforeAutospacing="1" w:after="100" w:afterAutospacing="1"/>
      <w:jc w:val="left"/>
    </w:pPr>
    <w:rPr>
      <w:rFonts w:ascii="宋体" w:hAnsi="宋体" w:cs="宋体"/>
      <w:b/>
      <w:bCs/>
      <w:kern w:val="0"/>
      <w:sz w:val="24"/>
    </w:rPr>
  </w:style>
  <w:style w:type="paragraph" w:customStyle="1" w:styleId="font8">
    <w:name w:val="font8"/>
    <w:basedOn w:val="af9"/>
    <w:qFormat/>
    <w:pPr>
      <w:widowControl/>
      <w:spacing w:before="100" w:beforeAutospacing="1" w:after="100" w:afterAutospacing="1"/>
      <w:jc w:val="left"/>
    </w:pPr>
    <w:rPr>
      <w:rFonts w:ascii="宋体" w:hAnsi="宋体" w:cs="宋体"/>
      <w:b/>
      <w:bCs/>
      <w:kern w:val="0"/>
      <w:sz w:val="24"/>
    </w:rPr>
  </w:style>
  <w:style w:type="paragraph" w:customStyle="1" w:styleId="font9">
    <w:name w:val="font9"/>
    <w:basedOn w:val="af9"/>
    <w:qFormat/>
    <w:pPr>
      <w:widowControl/>
      <w:spacing w:before="100" w:beforeAutospacing="1" w:after="100" w:afterAutospacing="1"/>
      <w:jc w:val="left"/>
    </w:pPr>
    <w:rPr>
      <w:rFonts w:ascii="宋体" w:hAnsi="宋体" w:cs="宋体"/>
      <w:b/>
      <w:bCs/>
      <w:kern w:val="0"/>
      <w:sz w:val="24"/>
    </w:rPr>
  </w:style>
  <w:style w:type="paragraph" w:customStyle="1" w:styleId="font10">
    <w:name w:val="font10"/>
    <w:basedOn w:val="af9"/>
    <w:qFormat/>
    <w:pPr>
      <w:widowControl/>
      <w:spacing w:before="100" w:beforeAutospacing="1" w:after="100" w:afterAutospacing="1"/>
      <w:jc w:val="left"/>
    </w:pPr>
    <w:rPr>
      <w:rFonts w:ascii="宋体" w:hAnsi="宋体" w:cs="宋体"/>
      <w:b/>
      <w:bCs/>
      <w:kern w:val="0"/>
      <w:sz w:val="24"/>
    </w:rPr>
  </w:style>
  <w:style w:type="paragraph" w:customStyle="1" w:styleId="font11">
    <w:name w:val="font11"/>
    <w:basedOn w:val="af9"/>
    <w:qFormat/>
    <w:pPr>
      <w:widowControl/>
      <w:spacing w:before="100" w:beforeAutospacing="1" w:after="100" w:afterAutospacing="1"/>
      <w:jc w:val="left"/>
    </w:pPr>
    <w:rPr>
      <w:rFonts w:ascii="宋体" w:hAnsi="宋体" w:cs="宋体"/>
      <w:b/>
      <w:bCs/>
      <w:kern w:val="0"/>
      <w:sz w:val="20"/>
      <w:szCs w:val="20"/>
    </w:rPr>
  </w:style>
  <w:style w:type="paragraph" w:customStyle="1" w:styleId="xl78">
    <w:name w:val="xl78"/>
    <w:basedOn w:val="af9"/>
    <w:qFormat/>
    <w:pPr>
      <w:widowControl/>
      <w:spacing w:before="100" w:beforeAutospacing="1" w:after="100" w:afterAutospacing="1"/>
      <w:jc w:val="center"/>
      <w:textAlignment w:val="center"/>
    </w:pPr>
    <w:rPr>
      <w:b/>
      <w:bCs/>
      <w:kern w:val="0"/>
      <w:sz w:val="24"/>
    </w:rPr>
  </w:style>
  <w:style w:type="paragraph" w:customStyle="1" w:styleId="xl79">
    <w:name w:val="xl79"/>
    <w:basedOn w:val="af9"/>
    <w:qFormat/>
    <w:pPr>
      <w:widowControl/>
      <w:spacing w:before="100" w:beforeAutospacing="1" w:after="100" w:afterAutospacing="1"/>
      <w:jc w:val="center"/>
      <w:textAlignment w:val="center"/>
    </w:pPr>
    <w:rPr>
      <w:b/>
      <w:bCs/>
      <w:kern w:val="0"/>
      <w:sz w:val="24"/>
    </w:rPr>
  </w:style>
  <w:style w:type="paragraph" w:customStyle="1" w:styleId="xl80">
    <w:name w:val="xl80"/>
    <w:basedOn w:val="af9"/>
    <w:qFormat/>
    <w:pPr>
      <w:widowControl/>
      <w:spacing w:before="100" w:beforeAutospacing="1" w:after="100" w:afterAutospacing="1"/>
      <w:jc w:val="center"/>
      <w:textAlignment w:val="center"/>
    </w:pPr>
    <w:rPr>
      <w:b/>
      <w:bCs/>
      <w:kern w:val="0"/>
      <w:sz w:val="24"/>
    </w:rPr>
  </w:style>
  <w:style w:type="paragraph" w:customStyle="1" w:styleId="xl81">
    <w:name w:val="xl8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2">
    <w:name w:val="xl8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3">
    <w:name w:val="xl83"/>
    <w:basedOn w:val="af9"/>
    <w:qFormat/>
    <w:pPr>
      <w:widowControl/>
      <w:spacing w:before="100" w:beforeAutospacing="1" w:after="100" w:afterAutospacing="1"/>
      <w:jc w:val="center"/>
      <w:textAlignment w:val="center"/>
    </w:pPr>
    <w:rPr>
      <w:b/>
      <w:bCs/>
      <w:kern w:val="0"/>
      <w:sz w:val="20"/>
      <w:szCs w:val="20"/>
    </w:rPr>
  </w:style>
  <w:style w:type="paragraph" w:customStyle="1" w:styleId="xl84">
    <w:name w:val="xl84"/>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5">
    <w:name w:val="xl85"/>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6">
    <w:name w:val="xl8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7">
    <w:name w:val="xl87"/>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8">
    <w:name w:val="xl88"/>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89">
    <w:name w:val="xl89"/>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0">
    <w:name w:val="xl90"/>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1">
    <w:name w:val="xl9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92">
    <w:name w:val="xl9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0"/>
      <w:szCs w:val="20"/>
    </w:rPr>
  </w:style>
  <w:style w:type="paragraph" w:customStyle="1" w:styleId="xl93">
    <w:name w:val="xl93"/>
    <w:basedOn w:val="af9"/>
    <w:qFormat/>
    <w:pPr>
      <w:widowControl/>
      <w:spacing w:before="100" w:beforeAutospacing="1" w:after="100" w:afterAutospacing="1"/>
      <w:jc w:val="center"/>
      <w:textAlignment w:val="center"/>
    </w:pPr>
    <w:rPr>
      <w:b/>
      <w:bCs/>
      <w:kern w:val="0"/>
      <w:sz w:val="20"/>
      <w:szCs w:val="20"/>
    </w:rPr>
  </w:style>
  <w:style w:type="paragraph" w:customStyle="1" w:styleId="xl94">
    <w:name w:val="xl94"/>
    <w:basedOn w:val="af9"/>
    <w:qFormat/>
    <w:pPr>
      <w:widowControl/>
      <w:spacing w:before="100" w:beforeAutospacing="1" w:after="100" w:afterAutospacing="1"/>
      <w:jc w:val="center"/>
      <w:textAlignment w:val="center"/>
    </w:pPr>
    <w:rPr>
      <w:b/>
      <w:bCs/>
      <w:kern w:val="0"/>
      <w:sz w:val="20"/>
      <w:szCs w:val="20"/>
    </w:rPr>
  </w:style>
  <w:style w:type="paragraph" w:customStyle="1" w:styleId="c">
    <w:name w:val="c封面标准名称"/>
    <w:basedOn w:val="af9"/>
    <w:qFormat/>
    <w:pPr>
      <w:adjustRightInd w:val="0"/>
      <w:jc w:val="center"/>
    </w:pPr>
    <w:rPr>
      <w:rFonts w:eastAsia="黑体"/>
      <w:kern w:val="0"/>
      <w:sz w:val="52"/>
      <w:szCs w:val="20"/>
    </w:rPr>
  </w:style>
  <w:style w:type="paragraph" w:customStyle="1" w:styleId="23">
    <w:name w:val="样式2"/>
    <w:basedOn w:val="af5"/>
    <w:qFormat/>
    <w:pPr>
      <w:numPr>
        <w:numId w:val="0"/>
      </w:numPr>
      <w:spacing w:line="240" w:lineRule="auto"/>
      <w:ind w:left="454"/>
    </w:pPr>
    <w:rPr>
      <w:color w:val="auto"/>
      <w:spacing w:val="0"/>
      <w:szCs w:val="20"/>
    </w:rPr>
  </w:style>
  <w:style w:type="paragraph" w:customStyle="1" w:styleId="12">
    <w:name w:val="列出段落1"/>
    <w:basedOn w:val="af9"/>
    <w:uiPriority w:val="34"/>
    <w:qFormat/>
    <w:pPr>
      <w:ind w:firstLineChars="200" w:firstLine="420"/>
    </w:pPr>
    <w:rPr>
      <w:rFonts w:ascii="Calibri" w:hAnsi="Calibri"/>
      <w:szCs w:val="22"/>
    </w:rPr>
  </w:style>
  <w:style w:type="paragraph" w:customStyle="1" w:styleId="afffff5">
    <w:name w:val="图表脚注说明"/>
    <w:basedOn w:val="af9"/>
    <w:qFormat/>
    <w:rPr>
      <w:rFonts w:ascii="宋体"/>
      <w:sz w:val="18"/>
      <w:szCs w:val="18"/>
    </w:rPr>
  </w:style>
  <w:style w:type="paragraph" w:customStyle="1" w:styleId="Char11">
    <w:name w:val="Char11"/>
    <w:basedOn w:val="af9"/>
    <w:qFormat/>
    <w:pPr>
      <w:widowControl/>
      <w:spacing w:after="160" w:line="240" w:lineRule="exact"/>
      <w:jc w:val="left"/>
    </w:pPr>
  </w:style>
  <w:style w:type="paragraph" w:customStyle="1" w:styleId="ordinary-output">
    <w:name w:val="ordinary-output"/>
    <w:basedOn w:val="af9"/>
    <w:uiPriority w:val="99"/>
    <w:qFormat/>
    <w:pPr>
      <w:widowControl/>
      <w:spacing w:before="100" w:beforeAutospacing="1" w:after="63" w:line="275" w:lineRule="atLeast"/>
      <w:jc w:val="left"/>
    </w:pPr>
    <w:rPr>
      <w:rFonts w:ascii="宋体" w:hAnsi="宋体" w:cs="宋体"/>
      <w:color w:val="333333"/>
      <w:kern w:val="0"/>
      <w:sz w:val="18"/>
      <w:szCs w:val="18"/>
    </w:rPr>
  </w:style>
  <w:style w:type="paragraph" w:customStyle="1" w:styleId="110">
    <w:name w:val="列出段落11"/>
    <w:basedOn w:val="af9"/>
    <w:uiPriority w:val="34"/>
    <w:qFormat/>
    <w:pPr>
      <w:ind w:firstLineChars="200" w:firstLine="420"/>
    </w:pPr>
    <w:rPr>
      <w:sz w:val="24"/>
    </w:rPr>
  </w:style>
  <w:style w:type="paragraph" w:customStyle="1" w:styleId="Char1CharCharChar">
    <w:name w:val="Char1 Char Char Char"/>
    <w:basedOn w:val="af9"/>
    <w:qFormat/>
    <w:rPr>
      <w:szCs w:val="20"/>
    </w:rPr>
  </w:style>
  <w:style w:type="paragraph" w:customStyle="1" w:styleId="Char10">
    <w:name w:val="Char1"/>
    <w:basedOn w:val="af9"/>
    <w:qFormat/>
    <w:pPr>
      <w:widowControl/>
      <w:spacing w:after="160" w:line="240" w:lineRule="exact"/>
      <w:jc w:val="left"/>
    </w:pPr>
  </w:style>
  <w:style w:type="paragraph" w:customStyle="1" w:styleId="DecimalAligned">
    <w:name w:val="Decimal Aligned"/>
    <w:basedOn w:val="af9"/>
    <w:uiPriority w:val="40"/>
    <w:qFormat/>
    <w:pPr>
      <w:widowControl/>
      <w:tabs>
        <w:tab w:val="decimal" w:pos="360"/>
      </w:tabs>
      <w:spacing w:after="200" w:line="276" w:lineRule="auto"/>
      <w:jc w:val="left"/>
    </w:pPr>
    <w:rPr>
      <w:rFonts w:ascii="Calibri" w:hAnsi="Calibri"/>
      <w:kern w:val="0"/>
      <w:sz w:val="22"/>
      <w:szCs w:val="22"/>
    </w:rPr>
  </w:style>
  <w:style w:type="paragraph" w:customStyle="1" w:styleId="xl65">
    <w:name w:val="xl65"/>
    <w:basedOn w:val="af9"/>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9">
    <w:name w:val="xl69"/>
    <w:basedOn w:val="af9"/>
    <w:qFormat/>
    <w:pPr>
      <w:widowControl/>
      <w:pBdr>
        <w:top w:val="single" w:sz="4" w:space="0" w:color="auto"/>
        <w:lef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21">
    <w:name w:val="xl121"/>
    <w:basedOn w:val="af9"/>
    <w:qFormat/>
    <w:pPr>
      <w:widowControl/>
      <w:pBdr>
        <w:top w:val="single" w:sz="8" w:space="0" w:color="FF0000"/>
        <w:bottom w:val="single" w:sz="4"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5">
    <w:name w:val="xl165"/>
    <w:basedOn w:val="af9"/>
    <w:qFormat/>
    <w:pPr>
      <w:widowControl/>
      <w:pBdr>
        <w:top w:val="single" w:sz="8" w:space="0" w:color="auto"/>
        <w:left w:val="single" w:sz="8" w:space="0" w:color="auto"/>
        <w:bottom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20">
    <w:name w:val="xl120"/>
    <w:basedOn w:val="af9"/>
    <w:qFormat/>
    <w:pPr>
      <w:widowControl/>
      <w:pBdr>
        <w:top w:val="single" w:sz="8" w:space="0" w:color="FF0000"/>
        <w:bottom w:val="single" w:sz="4" w:space="0" w:color="000000"/>
        <w:right w:val="single" w:sz="4" w:space="0" w:color="000000"/>
      </w:pBdr>
      <w:spacing w:before="100" w:beforeAutospacing="1" w:after="100" w:afterAutospacing="1"/>
      <w:jc w:val="center"/>
    </w:pPr>
    <w:rPr>
      <w:rFonts w:ascii="宋体" w:hAnsi="宋体" w:cs="宋体"/>
      <w:kern w:val="0"/>
      <w:szCs w:val="21"/>
    </w:rPr>
  </w:style>
  <w:style w:type="paragraph" w:customStyle="1" w:styleId="xl106">
    <w:name w:val="xl106"/>
    <w:basedOn w:val="af9"/>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16">
    <w:name w:val="xl116"/>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2">
    <w:name w:val="xl102"/>
    <w:basedOn w:val="af9"/>
    <w:qFormat/>
    <w:pPr>
      <w:widowControl/>
      <w:pBdr>
        <w:top w:val="single" w:sz="8" w:space="0" w:color="FF0000"/>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97">
    <w:name w:val="xl97"/>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24">
    <w:name w:val="xl124"/>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7">
    <w:name w:val="xl77"/>
    <w:basedOn w:val="af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73">
    <w:name w:val="xl73"/>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83">
    <w:name w:val="xl183"/>
    <w:basedOn w:val="af9"/>
    <w:qFormat/>
    <w:pPr>
      <w:widowControl/>
      <w:pBdr>
        <w:left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84">
    <w:name w:val="xl184"/>
    <w:basedOn w:val="af9"/>
    <w:qFormat/>
    <w:pPr>
      <w:widowControl/>
      <w:pBdr>
        <w:top w:val="single" w:sz="4" w:space="0" w:color="auto"/>
        <w:left w:val="single" w:sz="8"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22">
    <w:name w:val="xl122"/>
    <w:basedOn w:val="af9"/>
    <w:qFormat/>
    <w:pPr>
      <w:widowControl/>
      <w:pBdr>
        <w:top w:val="single" w:sz="8" w:space="0" w:color="FF0000"/>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Cs w:val="21"/>
    </w:rPr>
  </w:style>
  <w:style w:type="paragraph" w:customStyle="1" w:styleId="xl75">
    <w:name w:val="xl75"/>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82">
    <w:name w:val="xl182"/>
    <w:basedOn w:val="af9"/>
    <w:qFormat/>
    <w:pPr>
      <w:widowControl/>
      <w:pBdr>
        <w:top w:val="single" w:sz="8" w:space="0" w:color="auto"/>
        <w:left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30">
    <w:name w:val="xl130"/>
    <w:basedOn w:val="af9"/>
    <w:qFormat/>
    <w:pPr>
      <w:widowControl/>
      <w:pBdr>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71">
    <w:name w:val="xl71"/>
    <w:basedOn w:val="af9"/>
    <w:qFormat/>
    <w:pPr>
      <w:widowControl/>
      <w:pBdr>
        <w:top w:val="single" w:sz="8" w:space="0" w:color="FF0000"/>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86">
    <w:name w:val="xl186"/>
    <w:basedOn w:val="af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5">
    <w:name w:val="xl135"/>
    <w:basedOn w:val="af9"/>
    <w:qFormat/>
    <w:pPr>
      <w:widowControl/>
      <w:pBdr>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66">
    <w:name w:val="xl6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3">
    <w:name w:val="xl63"/>
    <w:basedOn w:val="af9"/>
    <w:qFormat/>
    <w:pPr>
      <w:widowControl/>
      <w:spacing w:before="100" w:beforeAutospacing="1" w:after="100" w:afterAutospacing="1"/>
      <w:jc w:val="center"/>
    </w:pPr>
    <w:rPr>
      <w:rFonts w:ascii="宋体" w:hAnsi="宋体" w:cs="宋体"/>
      <w:kern w:val="0"/>
      <w:sz w:val="24"/>
    </w:rPr>
  </w:style>
  <w:style w:type="paragraph" w:customStyle="1" w:styleId="xl68">
    <w:name w:val="xl68"/>
    <w:basedOn w:val="af9"/>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7">
    <w:name w:val="xl67"/>
    <w:basedOn w:val="af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64">
    <w:name w:val="xl64"/>
    <w:basedOn w:val="af9"/>
    <w:qFormat/>
    <w:pPr>
      <w:widowControl/>
      <w:spacing w:before="100" w:beforeAutospacing="1" w:after="100" w:afterAutospacing="1"/>
      <w:jc w:val="left"/>
    </w:pPr>
    <w:rPr>
      <w:rFonts w:ascii="宋体" w:hAnsi="宋体" w:cs="宋体"/>
      <w:kern w:val="0"/>
      <w:sz w:val="24"/>
    </w:rPr>
  </w:style>
  <w:style w:type="paragraph" w:customStyle="1" w:styleId="xl178">
    <w:name w:val="xl178"/>
    <w:basedOn w:val="af9"/>
    <w:qFormat/>
    <w:pPr>
      <w:widowControl/>
      <w:pBdr>
        <w:top w:val="single" w:sz="8" w:space="0" w:color="FF0000"/>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70">
    <w:name w:val="xl170"/>
    <w:basedOn w:val="af9"/>
    <w:qFormat/>
    <w:pPr>
      <w:widowControl/>
      <w:pBdr>
        <w:lef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75">
    <w:name w:val="xl175"/>
    <w:basedOn w:val="af9"/>
    <w:qFormat/>
    <w:pPr>
      <w:widowControl/>
      <w:pBdr>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1">
    <w:name w:val="xl151"/>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76">
    <w:name w:val="xl176"/>
    <w:basedOn w:val="af9"/>
    <w:qFormat/>
    <w:pPr>
      <w:widowControl/>
      <w:pBdr>
        <w:top w:val="single" w:sz="8" w:space="0" w:color="auto"/>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8">
    <w:name w:val="xl168"/>
    <w:basedOn w:val="af9"/>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2">
    <w:name w:val="xl152"/>
    <w:basedOn w:val="af9"/>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kern w:val="0"/>
      <w:szCs w:val="21"/>
    </w:rPr>
  </w:style>
  <w:style w:type="paragraph" w:customStyle="1" w:styleId="xl74">
    <w:name w:val="xl74"/>
    <w:basedOn w:val="af9"/>
    <w:qFormat/>
    <w:pPr>
      <w:widowControl/>
      <w:pBdr>
        <w:top w:val="single" w:sz="8" w:space="0" w:color="FF0000"/>
        <w:left w:val="single" w:sz="4" w:space="0" w:color="auto"/>
        <w:bottom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74">
    <w:name w:val="xl174"/>
    <w:basedOn w:val="af9"/>
    <w:qFormat/>
    <w:pPr>
      <w:widowControl/>
      <w:pBdr>
        <w:bottom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50">
    <w:name w:val="xl150"/>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29">
    <w:name w:val="xl129"/>
    <w:basedOn w:val="af9"/>
    <w:qFormat/>
    <w:pPr>
      <w:widowControl/>
      <w:pBdr>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70">
    <w:name w:val="xl70"/>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23">
    <w:name w:val="xl123"/>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72">
    <w:name w:val="xl72"/>
    <w:basedOn w:val="af9"/>
    <w:qFormat/>
    <w:pPr>
      <w:widowControl/>
      <w:pBdr>
        <w:top w:val="single" w:sz="8" w:space="0" w:color="FF0000"/>
        <w:left w:val="single" w:sz="8"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13">
    <w:name w:val="xl113"/>
    <w:basedOn w:val="af9"/>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07">
    <w:name w:val="xl107"/>
    <w:basedOn w:val="af9"/>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17">
    <w:name w:val="xl117"/>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03">
    <w:name w:val="xl103"/>
    <w:basedOn w:val="af9"/>
    <w:qFormat/>
    <w:pPr>
      <w:widowControl/>
      <w:pBdr>
        <w:top w:val="single" w:sz="8" w:space="0" w:color="FF0000"/>
        <w:left w:val="single" w:sz="4" w:space="0" w:color="auto"/>
        <w:bottom w:val="single" w:sz="8" w:space="0" w:color="FF0000"/>
        <w:right w:val="single" w:sz="4" w:space="0" w:color="auto"/>
      </w:pBdr>
      <w:spacing w:before="100" w:beforeAutospacing="1" w:after="100" w:afterAutospacing="1"/>
      <w:jc w:val="left"/>
    </w:pPr>
    <w:rPr>
      <w:rFonts w:ascii="宋体" w:hAnsi="宋体" w:cs="宋体"/>
      <w:kern w:val="0"/>
      <w:szCs w:val="21"/>
    </w:rPr>
  </w:style>
  <w:style w:type="paragraph" w:customStyle="1" w:styleId="xl98">
    <w:name w:val="xl98"/>
    <w:basedOn w:val="af9"/>
    <w:qFormat/>
    <w:pPr>
      <w:widowControl/>
      <w:pBdr>
        <w:top w:val="single" w:sz="4" w:space="0" w:color="auto"/>
        <w:left w:val="single" w:sz="4" w:space="0" w:color="auto"/>
        <w:bottom w:val="single" w:sz="8" w:space="0" w:color="FF0000"/>
      </w:pBdr>
      <w:spacing w:before="100" w:beforeAutospacing="1" w:after="100" w:afterAutospacing="1"/>
      <w:jc w:val="center"/>
    </w:pPr>
    <w:rPr>
      <w:rFonts w:ascii="宋体" w:hAnsi="宋体" w:cs="宋体"/>
      <w:kern w:val="0"/>
      <w:szCs w:val="21"/>
    </w:rPr>
  </w:style>
  <w:style w:type="paragraph" w:customStyle="1" w:styleId="xl162">
    <w:name w:val="xl162"/>
    <w:basedOn w:val="af9"/>
    <w:qFormat/>
    <w:pPr>
      <w:widowControl/>
      <w:pBdr>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4">
    <w:name w:val="xl154"/>
    <w:basedOn w:val="af9"/>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114">
    <w:name w:val="xl114"/>
    <w:basedOn w:val="af9"/>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59">
    <w:name w:val="xl159"/>
    <w:basedOn w:val="af9"/>
    <w:qFormat/>
    <w:pPr>
      <w:widowControl/>
      <w:pBdr>
        <w:left w:val="single" w:sz="4" w:space="0" w:color="auto"/>
        <w:bottom w:val="single" w:sz="8" w:space="0" w:color="FF0000"/>
      </w:pBdr>
      <w:spacing w:before="100" w:beforeAutospacing="1" w:after="100" w:afterAutospacing="1"/>
      <w:jc w:val="center"/>
    </w:pPr>
    <w:rPr>
      <w:rFonts w:ascii="宋体" w:hAnsi="宋体" w:cs="宋体"/>
      <w:kern w:val="0"/>
      <w:szCs w:val="21"/>
    </w:rPr>
  </w:style>
  <w:style w:type="paragraph" w:customStyle="1" w:styleId="xl110">
    <w:name w:val="xl110"/>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60">
    <w:name w:val="xl160"/>
    <w:basedOn w:val="af9"/>
    <w:qFormat/>
    <w:pPr>
      <w:widowControl/>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95">
    <w:name w:val="xl95"/>
    <w:basedOn w:val="af9"/>
    <w:qFormat/>
    <w:pPr>
      <w:widowControl/>
      <w:pBdr>
        <w:top w:val="single" w:sz="4" w:space="0" w:color="auto"/>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08">
    <w:name w:val="xl108"/>
    <w:basedOn w:val="af9"/>
    <w:qFormat/>
    <w:pPr>
      <w:widowControl/>
      <w:pBdr>
        <w:left w:val="single" w:sz="4" w:space="0" w:color="auto"/>
        <w:bottom w:val="single" w:sz="4"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57">
    <w:name w:val="xl157"/>
    <w:basedOn w:val="af9"/>
    <w:qFormat/>
    <w:pPr>
      <w:widowControl/>
      <w:pBdr>
        <w:left w:val="single" w:sz="4" w:space="0" w:color="auto"/>
        <w:bottom w:val="single" w:sz="4" w:space="0" w:color="000000"/>
      </w:pBdr>
      <w:spacing w:before="100" w:beforeAutospacing="1" w:after="100" w:afterAutospacing="1"/>
      <w:jc w:val="center"/>
    </w:pPr>
    <w:rPr>
      <w:rFonts w:ascii="宋体" w:hAnsi="宋体" w:cs="宋体"/>
      <w:kern w:val="0"/>
      <w:szCs w:val="21"/>
    </w:rPr>
  </w:style>
  <w:style w:type="paragraph" w:customStyle="1" w:styleId="xl118">
    <w:name w:val="xl118"/>
    <w:basedOn w:val="af9"/>
    <w:qFormat/>
    <w:pPr>
      <w:widowControl/>
      <w:pBdr>
        <w:top w:val="single" w:sz="8" w:space="0" w:color="FF0000"/>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f9"/>
    <w:qFormat/>
    <w:pPr>
      <w:widowControl/>
      <w:pBdr>
        <w:top w:val="single" w:sz="8" w:space="0" w:color="FF0000"/>
        <w:left w:val="single" w:sz="4" w:space="0" w:color="auto"/>
        <w:bottom w:val="single" w:sz="8" w:space="0" w:color="FF0000"/>
        <w:right w:val="single" w:sz="8" w:space="0" w:color="auto"/>
      </w:pBdr>
      <w:spacing w:before="100" w:beforeAutospacing="1" w:after="100" w:afterAutospacing="1"/>
      <w:jc w:val="center"/>
    </w:pPr>
    <w:rPr>
      <w:rFonts w:ascii="宋体" w:hAnsi="宋体" w:cs="宋体"/>
      <w:kern w:val="0"/>
      <w:szCs w:val="21"/>
    </w:rPr>
  </w:style>
  <w:style w:type="paragraph" w:customStyle="1" w:styleId="xl163">
    <w:name w:val="xl163"/>
    <w:basedOn w:val="af9"/>
    <w:qFormat/>
    <w:pPr>
      <w:widowControl/>
      <w:pBdr>
        <w:top w:val="single" w:sz="8" w:space="0" w:color="FF0000"/>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5">
    <w:name w:val="xl155"/>
    <w:basedOn w:val="af9"/>
    <w:qFormat/>
    <w:pPr>
      <w:widowControl/>
      <w:pBdr>
        <w:top w:val="single" w:sz="4" w:space="0" w:color="auto"/>
        <w:left w:val="single" w:sz="4" w:space="0" w:color="auto"/>
        <w:right w:val="single" w:sz="8" w:space="0" w:color="auto"/>
      </w:pBdr>
      <w:spacing w:before="100" w:beforeAutospacing="1" w:after="100" w:afterAutospacing="1"/>
      <w:jc w:val="center"/>
    </w:pPr>
    <w:rPr>
      <w:rFonts w:ascii="宋体" w:hAnsi="宋体" w:cs="宋体"/>
      <w:color w:val="000000"/>
      <w:kern w:val="0"/>
      <w:szCs w:val="21"/>
    </w:rPr>
  </w:style>
  <w:style w:type="paragraph" w:customStyle="1" w:styleId="xl99">
    <w:name w:val="xl99"/>
    <w:basedOn w:val="af9"/>
    <w:qFormat/>
    <w:pPr>
      <w:widowControl/>
      <w:pBdr>
        <w:top w:val="single" w:sz="4"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2"/>
      <w:szCs w:val="22"/>
    </w:rPr>
  </w:style>
  <w:style w:type="paragraph" w:customStyle="1" w:styleId="xl140">
    <w:name w:val="xl140"/>
    <w:basedOn w:val="af9"/>
    <w:qFormat/>
    <w:pPr>
      <w:widowControl/>
      <w:pBdr>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1">
    <w:name w:val="xl11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146">
    <w:name w:val="xl146"/>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38">
    <w:name w:val="xl138"/>
    <w:basedOn w:val="af9"/>
    <w:qFormat/>
    <w:pPr>
      <w:widowControl/>
      <w:pBdr>
        <w:top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19">
    <w:name w:val="xl119"/>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5">
    <w:name w:val="xl105"/>
    <w:basedOn w:val="af9"/>
    <w:qFormat/>
    <w:pPr>
      <w:widowControl/>
      <w:pBdr>
        <w:top w:val="single" w:sz="8" w:space="0" w:color="FF0000"/>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43">
    <w:name w:val="xl143"/>
    <w:basedOn w:val="af9"/>
    <w:qFormat/>
    <w:pPr>
      <w:widowControl/>
      <w:pBdr>
        <w:top w:val="single" w:sz="8" w:space="0" w:color="FF0000"/>
        <w:bottom w:val="single" w:sz="8" w:space="0" w:color="FF0000"/>
      </w:pBdr>
      <w:spacing w:before="100" w:beforeAutospacing="1" w:after="100" w:afterAutospacing="1"/>
      <w:jc w:val="center"/>
    </w:pPr>
    <w:rPr>
      <w:rFonts w:ascii="宋体" w:hAnsi="宋体" w:cs="宋体"/>
      <w:kern w:val="0"/>
      <w:szCs w:val="21"/>
    </w:rPr>
  </w:style>
  <w:style w:type="paragraph" w:customStyle="1" w:styleId="xl115">
    <w:name w:val="xl115"/>
    <w:basedOn w:val="af9"/>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1">
    <w:name w:val="xl101"/>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4">
    <w:name w:val="xl144"/>
    <w:basedOn w:val="af9"/>
    <w:qFormat/>
    <w:pPr>
      <w:widowControl/>
      <w:pBdr>
        <w:top w:val="single" w:sz="8" w:space="0" w:color="FF0000"/>
        <w:left w:val="single" w:sz="4" w:space="0" w:color="auto"/>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00">
    <w:name w:val="xl100"/>
    <w:basedOn w:val="af9"/>
    <w:qFormat/>
    <w:pPr>
      <w:widowControl/>
      <w:pBdr>
        <w:top w:val="single" w:sz="8" w:space="0" w:color="FF0000"/>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141">
    <w:name w:val="xl141"/>
    <w:basedOn w:val="af9"/>
    <w:qFormat/>
    <w:pPr>
      <w:widowControl/>
      <w:pBdr>
        <w:left w:val="single" w:sz="4"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96">
    <w:name w:val="xl96"/>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left"/>
    </w:pPr>
    <w:rPr>
      <w:rFonts w:ascii="宋体" w:hAnsi="宋体" w:cs="宋体"/>
      <w:kern w:val="0"/>
      <w:szCs w:val="21"/>
    </w:rPr>
  </w:style>
  <w:style w:type="paragraph" w:customStyle="1" w:styleId="xl171">
    <w:name w:val="xl171"/>
    <w:basedOn w:val="af9"/>
    <w:qFormat/>
    <w:pPr>
      <w:widowControl/>
      <w:spacing w:before="100" w:beforeAutospacing="1" w:after="100" w:afterAutospacing="1"/>
      <w:jc w:val="center"/>
    </w:pPr>
    <w:rPr>
      <w:rFonts w:ascii="宋体" w:hAnsi="宋体" w:cs="宋体"/>
      <w:b/>
      <w:bCs/>
      <w:color w:val="000000"/>
      <w:kern w:val="0"/>
      <w:szCs w:val="21"/>
    </w:rPr>
  </w:style>
  <w:style w:type="paragraph" w:customStyle="1" w:styleId="xl125">
    <w:name w:val="xl125"/>
    <w:basedOn w:val="af9"/>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Cs w:val="21"/>
    </w:rPr>
  </w:style>
  <w:style w:type="paragraph" w:customStyle="1" w:styleId="xl187">
    <w:name w:val="xl187"/>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79">
    <w:name w:val="xl179"/>
    <w:basedOn w:val="af9"/>
    <w:qFormat/>
    <w:pPr>
      <w:widowControl/>
      <w:pBdr>
        <w:left w:val="single" w:sz="8" w:space="0" w:color="auto"/>
        <w:bottom w:val="single" w:sz="8" w:space="0" w:color="FF0000"/>
        <w:right w:val="single" w:sz="4" w:space="0" w:color="auto"/>
      </w:pBdr>
      <w:spacing w:before="100" w:beforeAutospacing="1" w:after="100" w:afterAutospacing="1"/>
      <w:jc w:val="center"/>
    </w:pPr>
    <w:rPr>
      <w:rFonts w:ascii="宋体" w:hAnsi="宋体" w:cs="宋体"/>
      <w:kern w:val="0"/>
      <w:szCs w:val="21"/>
    </w:rPr>
  </w:style>
  <w:style w:type="paragraph" w:customStyle="1" w:styleId="xl136">
    <w:name w:val="xl136"/>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26">
    <w:name w:val="xl126"/>
    <w:basedOn w:val="af9"/>
    <w:qFormat/>
    <w:pPr>
      <w:widowControl/>
      <w:pBdr>
        <w:bottom w:val="single" w:sz="4" w:space="0" w:color="000000"/>
      </w:pBdr>
      <w:spacing w:before="100" w:beforeAutospacing="1" w:after="100" w:afterAutospacing="1"/>
      <w:jc w:val="center"/>
    </w:pPr>
    <w:rPr>
      <w:rFonts w:ascii="宋体" w:hAnsi="宋体" w:cs="宋体"/>
      <w:kern w:val="0"/>
      <w:szCs w:val="21"/>
    </w:rPr>
  </w:style>
  <w:style w:type="paragraph" w:customStyle="1" w:styleId="xl127">
    <w:name w:val="xl127"/>
    <w:basedOn w:val="af9"/>
    <w:qFormat/>
    <w:pPr>
      <w:widowControl/>
      <w:pBdr>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Cs w:val="21"/>
    </w:rPr>
  </w:style>
  <w:style w:type="paragraph" w:customStyle="1" w:styleId="xl128">
    <w:name w:val="xl128"/>
    <w:basedOn w:val="af9"/>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1">
    <w:name w:val="xl131"/>
    <w:basedOn w:val="af9"/>
    <w:qFormat/>
    <w:pPr>
      <w:widowControl/>
      <w:pBdr>
        <w:top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2">
    <w:name w:val="xl132"/>
    <w:basedOn w:val="af9"/>
    <w:qFormat/>
    <w:pPr>
      <w:widowControl/>
      <w:pBdr>
        <w:top w:val="single" w:sz="4" w:space="0" w:color="auto"/>
        <w:left w:val="single" w:sz="4" w:space="0" w:color="auto"/>
        <w:bottom w:val="single" w:sz="8" w:space="0" w:color="FF0000"/>
        <w:right w:val="single" w:sz="4" w:space="0" w:color="auto"/>
      </w:pBdr>
      <w:spacing w:before="100" w:beforeAutospacing="1" w:after="100" w:afterAutospacing="1"/>
      <w:jc w:val="center"/>
    </w:pPr>
    <w:rPr>
      <w:rFonts w:ascii="宋体" w:hAnsi="宋体" w:cs="宋体"/>
      <w:kern w:val="0"/>
      <w:sz w:val="24"/>
    </w:rPr>
  </w:style>
  <w:style w:type="paragraph" w:customStyle="1" w:styleId="xl177">
    <w:name w:val="xl177"/>
    <w:basedOn w:val="af9"/>
    <w:qFormat/>
    <w:pPr>
      <w:widowControl/>
      <w:pBdr>
        <w:left w:val="single" w:sz="8"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69">
    <w:name w:val="xl169"/>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33">
    <w:name w:val="xl133"/>
    <w:basedOn w:val="af9"/>
    <w:qFormat/>
    <w:pPr>
      <w:widowControl/>
      <w:pBdr>
        <w:bottom w:val="single" w:sz="8" w:space="0" w:color="FF0000"/>
        <w:right w:val="single" w:sz="4" w:space="0" w:color="000000"/>
      </w:pBdr>
      <w:spacing w:before="100" w:beforeAutospacing="1" w:after="100" w:afterAutospacing="1"/>
      <w:jc w:val="center"/>
    </w:pPr>
    <w:rPr>
      <w:rFonts w:ascii="宋体" w:hAnsi="宋体" w:cs="宋体"/>
      <w:kern w:val="0"/>
      <w:szCs w:val="21"/>
    </w:rPr>
  </w:style>
  <w:style w:type="paragraph" w:customStyle="1" w:styleId="xl185">
    <w:name w:val="xl185"/>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34">
    <w:name w:val="xl134"/>
    <w:basedOn w:val="af9"/>
    <w:qFormat/>
    <w:pPr>
      <w:widowControl/>
      <w:pBdr>
        <w:bottom w:val="single" w:sz="8" w:space="0" w:color="FF0000"/>
      </w:pBdr>
      <w:spacing w:before="100" w:beforeAutospacing="1" w:after="100" w:afterAutospacing="1"/>
      <w:jc w:val="center"/>
    </w:pPr>
    <w:rPr>
      <w:rFonts w:ascii="宋体" w:hAnsi="宋体" w:cs="宋体"/>
      <w:kern w:val="0"/>
      <w:szCs w:val="21"/>
    </w:rPr>
  </w:style>
  <w:style w:type="paragraph" w:customStyle="1" w:styleId="xl145">
    <w:name w:val="xl145"/>
    <w:basedOn w:val="af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37">
    <w:name w:val="xl137"/>
    <w:basedOn w:val="af9"/>
    <w:qFormat/>
    <w:pPr>
      <w:widowControl/>
      <w:pBdr>
        <w:top w:val="single" w:sz="4" w:space="0" w:color="000000"/>
        <w:left w:val="single" w:sz="4" w:space="0" w:color="auto"/>
        <w:bottom w:val="single" w:sz="4" w:space="0" w:color="000000"/>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7">
    <w:name w:val="xl147"/>
    <w:basedOn w:val="af9"/>
    <w:qFormat/>
    <w:pPr>
      <w:widowControl/>
      <w:pBdr>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139">
    <w:name w:val="xl139"/>
    <w:basedOn w:val="af9"/>
    <w:qFormat/>
    <w:pPr>
      <w:widowControl/>
      <w:pBdr>
        <w:top w:val="single" w:sz="8" w:space="0" w:color="FF0000"/>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42">
    <w:name w:val="xl142"/>
    <w:basedOn w:val="af9"/>
    <w:qFormat/>
    <w:pPr>
      <w:widowControl/>
      <w:pBdr>
        <w:top w:val="single" w:sz="8" w:space="0" w:color="FF0000"/>
        <w:bottom w:val="single" w:sz="8" w:space="0" w:color="FF0000"/>
        <w:right w:val="single" w:sz="4" w:space="0" w:color="000000"/>
      </w:pBdr>
      <w:spacing w:before="100" w:beforeAutospacing="1" w:after="100" w:afterAutospacing="1"/>
      <w:jc w:val="center"/>
    </w:pPr>
    <w:rPr>
      <w:rFonts w:ascii="宋体" w:hAnsi="宋体" w:cs="宋体"/>
      <w:kern w:val="0"/>
      <w:szCs w:val="21"/>
    </w:rPr>
  </w:style>
  <w:style w:type="paragraph" w:customStyle="1" w:styleId="xl172">
    <w:name w:val="xl172"/>
    <w:basedOn w:val="af9"/>
    <w:qFormat/>
    <w:pPr>
      <w:widowControl/>
      <w:pBdr>
        <w:right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48">
    <w:name w:val="xl148"/>
    <w:basedOn w:val="af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73">
    <w:name w:val="xl173"/>
    <w:basedOn w:val="af9"/>
    <w:qFormat/>
    <w:pPr>
      <w:widowControl/>
      <w:pBdr>
        <w:left w:val="single" w:sz="4" w:space="0" w:color="auto"/>
        <w:bottom w:val="single" w:sz="4" w:space="0" w:color="auto"/>
      </w:pBdr>
      <w:spacing w:before="100" w:beforeAutospacing="1" w:after="100" w:afterAutospacing="1"/>
      <w:jc w:val="center"/>
    </w:pPr>
    <w:rPr>
      <w:rFonts w:ascii="宋体" w:hAnsi="宋体" w:cs="宋体"/>
      <w:b/>
      <w:bCs/>
      <w:color w:val="000000"/>
      <w:kern w:val="0"/>
      <w:szCs w:val="21"/>
    </w:rPr>
  </w:style>
  <w:style w:type="paragraph" w:customStyle="1" w:styleId="xl149">
    <w:name w:val="xl149"/>
    <w:basedOn w:val="af9"/>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kern w:val="0"/>
      <w:szCs w:val="21"/>
    </w:rPr>
  </w:style>
  <w:style w:type="paragraph" w:customStyle="1" w:styleId="xl161">
    <w:name w:val="xl161"/>
    <w:basedOn w:val="af9"/>
    <w:qFormat/>
    <w:pPr>
      <w:widowControl/>
      <w:pBdr>
        <w:left w:val="single" w:sz="4" w:space="0" w:color="auto"/>
        <w:bottom w:val="single" w:sz="8" w:space="0" w:color="FF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3">
    <w:name w:val="xl153"/>
    <w:basedOn w:val="af9"/>
    <w:qFormat/>
    <w:pPr>
      <w:widowControl/>
      <w:pBdr>
        <w:left w:val="single" w:sz="4" w:space="0" w:color="auto"/>
        <w:bottom w:val="single" w:sz="8"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64">
    <w:name w:val="xl164"/>
    <w:basedOn w:val="af9"/>
    <w:qFormat/>
    <w:pPr>
      <w:widowControl/>
      <w:pBdr>
        <w:bottom w:val="single" w:sz="8" w:space="0" w:color="auto"/>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56">
    <w:name w:val="xl156"/>
    <w:basedOn w:val="af9"/>
    <w:qFormat/>
    <w:pPr>
      <w:widowControl/>
      <w:pBdr>
        <w:top w:val="single" w:sz="8" w:space="0" w:color="FF0000"/>
        <w:left w:val="single" w:sz="4" w:space="0" w:color="auto"/>
        <w:bottom w:val="single" w:sz="4" w:space="0" w:color="000000"/>
      </w:pBdr>
      <w:spacing w:before="100" w:beforeAutospacing="1" w:after="100" w:afterAutospacing="1"/>
      <w:jc w:val="center"/>
    </w:pPr>
    <w:rPr>
      <w:rFonts w:ascii="宋体" w:hAnsi="宋体" w:cs="宋体"/>
      <w:kern w:val="0"/>
      <w:szCs w:val="21"/>
    </w:rPr>
  </w:style>
  <w:style w:type="paragraph" w:customStyle="1" w:styleId="xl158">
    <w:name w:val="xl158"/>
    <w:basedOn w:val="af9"/>
    <w:qFormat/>
    <w:pPr>
      <w:widowControl/>
      <w:pBdr>
        <w:bottom w:val="single" w:sz="4" w:space="0" w:color="000000"/>
        <w:right w:val="single" w:sz="4" w:space="0" w:color="000000"/>
      </w:pBdr>
      <w:spacing w:before="100" w:beforeAutospacing="1" w:after="100" w:afterAutospacing="1"/>
      <w:jc w:val="center"/>
    </w:pPr>
    <w:rPr>
      <w:rFonts w:ascii="宋体" w:hAnsi="宋体" w:cs="宋体"/>
      <w:kern w:val="0"/>
      <w:sz w:val="18"/>
      <w:szCs w:val="18"/>
    </w:rPr>
  </w:style>
  <w:style w:type="paragraph" w:customStyle="1" w:styleId="xl166">
    <w:name w:val="xl166"/>
    <w:basedOn w:val="af9"/>
    <w:qFormat/>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67">
    <w:name w:val="xl167"/>
    <w:basedOn w:val="af9"/>
    <w:qFormat/>
    <w:pPr>
      <w:widowControl/>
      <w:pBdr>
        <w:top w:val="single" w:sz="8" w:space="0" w:color="auto"/>
        <w:bottom w:val="single" w:sz="4"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188">
    <w:name w:val="xl188"/>
    <w:basedOn w:val="af9"/>
    <w:qFormat/>
    <w:pPr>
      <w:widowControl/>
      <w:pBdr>
        <w:top w:val="single" w:sz="4" w:space="0" w:color="auto"/>
        <w:right w:val="single" w:sz="4" w:space="0" w:color="auto"/>
      </w:pBdr>
      <w:spacing w:before="100" w:beforeAutospacing="1" w:after="100" w:afterAutospacing="1"/>
      <w:jc w:val="center"/>
    </w:pPr>
    <w:rPr>
      <w:rFonts w:ascii="宋体" w:hAnsi="宋体" w:cs="宋体"/>
      <w:color w:val="000000"/>
      <w:kern w:val="0"/>
      <w:szCs w:val="21"/>
    </w:rPr>
  </w:style>
  <w:style w:type="paragraph" w:customStyle="1" w:styleId="xl180">
    <w:name w:val="xl180"/>
    <w:basedOn w:val="af9"/>
    <w:qFormat/>
    <w:pPr>
      <w:widowControl/>
      <w:pBdr>
        <w:top w:val="single" w:sz="8" w:space="0" w:color="auto"/>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181">
    <w:name w:val="xl181"/>
    <w:basedOn w:val="af9"/>
    <w:qFormat/>
    <w:pPr>
      <w:widowControl/>
      <w:pBdr>
        <w:left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0">
    <w:name w:val="Char2"/>
    <w:basedOn w:val="af9"/>
    <w:qFormat/>
    <w:pPr>
      <w:widowControl/>
      <w:spacing w:after="160" w:line="240" w:lineRule="exact"/>
      <w:jc w:val="left"/>
    </w:pPr>
  </w:style>
  <w:style w:type="paragraph" w:customStyle="1" w:styleId="13">
    <w:name w:val="正文1"/>
    <w:qFormat/>
    <w:pPr>
      <w:jc w:val="both"/>
    </w:pPr>
    <w:rPr>
      <w:rFonts w:ascii="Calibri" w:eastAsia="宋体" w:hAnsi="Calibri" w:cs="Calibri"/>
      <w:kern w:val="2"/>
      <w:sz w:val="21"/>
      <w:szCs w:val="21"/>
    </w:rPr>
  </w:style>
  <w:style w:type="paragraph" w:customStyle="1" w:styleId="Char30">
    <w:name w:val="Char3"/>
    <w:basedOn w:val="af9"/>
    <w:qFormat/>
    <w:pPr>
      <w:widowControl/>
      <w:spacing w:after="160" w:line="240" w:lineRule="exact"/>
      <w:jc w:val="left"/>
    </w:pPr>
    <w:rPr>
      <w:rFonts w:ascii="Verdana" w:hAnsi="Verdana"/>
      <w:kern w:val="0"/>
      <w:sz w:val="20"/>
      <w:szCs w:val="20"/>
      <w:lang w:eastAsia="en-US"/>
    </w:rPr>
  </w:style>
  <w:style w:type="paragraph" w:customStyle="1" w:styleId="p0">
    <w:name w:val="p0"/>
    <w:basedOn w:val="af9"/>
    <w:qFormat/>
    <w:pPr>
      <w:widowControl/>
      <w:jc w:val="left"/>
    </w:pPr>
    <w:rPr>
      <w:kern w:val="0"/>
      <w:szCs w:val="21"/>
    </w:rPr>
  </w:style>
  <w:style w:type="paragraph" w:customStyle="1" w:styleId="24">
    <w:name w:val="正文2"/>
    <w:qFormat/>
    <w:pPr>
      <w:jc w:val="both"/>
    </w:pPr>
    <w:rPr>
      <w:rFonts w:ascii="Times New Roman" w:eastAsia="宋体" w:hAnsi="Times New Roman" w:cs="Times New Roman"/>
      <w:kern w:val="2"/>
      <w:sz w:val="21"/>
      <w:szCs w:val="21"/>
    </w:rPr>
  </w:style>
  <w:style w:type="paragraph" w:customStyle="1" w:styleId="Char40">
    <w:name w:val="Char4"/>
    <w:basedOn w:val="af9"/>
    <w:qFormat/>
    <w:pPr>
      <w:widowControl/>
      <w:spacing w:after="160" w:line="240" w:lineRule="exact"/>
      <w:jc w:val="left"/>
    </w:pPr>
    <w:rPr>
      <w:rFonts w:ascii="Verdana" w:hAnsi="Verdana"/>
      <w:kern w:val="0"/>
      <w:sz w:val="20"/>
      <w:szCs w:val="20"/>
      <w:lang w:eastAsia="en-US"/>
    </w:rPr>
  </w:style>
  <w:style w:type="paragraph" w:customStyle="1" w:styleId="Char50">
    <w:name w:val="Char5"/>
    <w:basedOn w:val="af9"/>
    <w:qFormat/>
    <w:pPr>
      <w:widowControl/>
      <w:spacing w:after="160" w:line="240" w:lineRule="exact"/>
      <w:jc w:val="left"/>
    </w:pPr>
    <w:rPr>
      <w:rFonts w:ascii="Verdana" w:hAnsi="Verdana"/>
      <w:kern w:val="0"/>
      <w:sz w:val="20"/>
      <w:szCs w:val="20"/>
      <w:lang w:eastAsia="en-US"/>
    </w:rPr>
  </w:style>
  <w:style w:type="paragraph" w:customStyle="1" w:styleId="Char60">
    <w:name w:val="Char6"/>
    <w:basedOn w:val="af9"/>
    <w:qFormat/>
    <w:pPr>
      <w:widowControl/>
      <w:spacing w:after="160" w:line="240" w:lineRule="exact"/>
      <w:jc w:val="left"/>
    </w:pPr>
    <w:rPr>
      <w:rFonts w:ascii="Verdana" w:hAnsi="Verdana"/>
      <w:kern w:val="0"/>
      <w:sz w:val="20"/>
      <w:szCs w:val="20"/>
      <w:lang w:eastAsia="en-US"/>
    </w:rPr>
  </w:style>
  <w:style w:type="character" w:customStyle="1" w:styleId="afffff6">
    <w:name w:val="发布"/>
    <w:qFormat/>
    <w:rPr>
      <w:rFonts w:ascii="黑体" w:eastAsia="黑体"/>
      <w:spacing w:val="22"/>
      <w:w w:val="100"/>
      <w:position w:val="3"/>
      <w:sz w:val="28"/>
    </w:rPr>
  </w:style>
  <w:style w:type="character" w:customStyle="1" w:styleId="afffff7">
    <w:name w:val="个人答复风格"/>
    <w:qFormat/>
    <w:rPr>
      <w:rFonts w:ascii="Arial" w:eastAsia="宋体" w:hAnsi="Arial" w:cs="Arial"/>
      <w:color w:val="auto"/>
      <w:sz w:val="20"/>
    </w:rPr>
  </w:style>
  <w:style w:type="character" w:customStyle="1" w:styleId="Char8">
    <w:name w:val="段 Char"/>
    <w:link w:val="afff4"/>
    <w:qFormat/>
    <w:rPr>
      <w:rFonts w:ascii="宋体" w:eastAsia="宋体" w:hAnsi="宋体"/>
      <w:sz w:val="21"/>
      <w:lang w:val="en-US" w:eastAsia="zh-CN" w:bidi="ar-SA"/>
    </w:rPr>
  </w:style>
  <w:style w:type="character" w:customStyle="1" w:styleId="afffff8">
    <w:name w:val="个人撰写风格"/>
    <w:qFormat/>
    <w:rPr>
      <w:rFonts w:ascii="Arial" w:eastAsia="宋体" w:hAnsi="Arial" w:cs="Arial"/>
      <w:color w:val="auto"/>
      <w:sz w:val="20"/>
    </w:rPr>
  </w:style>
  <w:style w:type="character" w:customStyle="1" w:styleId="Char9">
    <w:name w:val="二级条标题 Char"/>
    <w:link w:val="af4"/>
    <w:qFormat/>
    <w:rPr>
      <w:rFonts w:ascii="黑体" w:eastAsia="黑体" w:hAnsi="黑体"/>
      <w:color w:val="000000" w:themeColor="text1"/>
      <w:spacing w:val="-6"/>
      <w:sz w:val="21"/>
      <w:szCs w:val="24"/>
    </w:rPr>
  </w:style>
  <w:style w:type="character" w:customStyle="1" w:styleId="Charb">
    <w:name w:val="章标题 Char"/>
    <w:link w:val="af2"/>
    <w:qFormat/>
    <w:rPr>
      <w:rFonts w:ascii="黑体" w:eastAsia="黑体" w:hAnsi="Times New Roman" w:cs="Times New Roman"/>
      <w:sz w:val="21"/>
    </w:rPr>
  </w:style>
  <w:style w:type="character" w:customStyle="1" w:styleId="Chara">
    <w:name w:val="一级条标题 Char"/>
    <w:link w:val="af3"/>
    <w:qFormat/>
    <w:rPr>
      <w:rFonts w:ascii="黑体" w:eastAsia="黑体" w:hAnsi="Times New Roman" w:cs="Times New Roman"/>
      <w:color w:val="FF0000"/>
      <w:spacing w:val="-4"/>
      <w:sz w:val="21"/>
      <w:szCs w:val="24"/>
    </w:rPr>
  </w:style>
  <w:style w:type="character" w:customStyle="1" w:styleId="Char2">
    <w:name w:val="纯文本 Char"/>
    <w:link w:val="aff2"/>
    <w:qFormat/>
    <w:rPr>
      <w:rFonts w:ascii="宋体" w:hAnsi="Courier New" w:cs="Courier New"/>
      <w:kern w:val="2"/>
      <w:sz w:val="21"/>
      <w:szCs w:val="21"/>
    </w:rPr>
  </w:style>
  <w:style w:type="character" w:customStyle="1" w:styleId="Chard">
    <w:name w:val="三级条标题 Char"/>
    <w:link w:val="af5"/>
    <w:qFormat/>
    <w:rPr>
      <w:rFonts w:ascii="黑体" w:eastAsia="黑体"/>
      <w:color w:val="FF0000"/>
      <w:spacing w:val="-4"/>
      <w:sz w:val="21"/>
      <w:szCs w:val="24"/>
    </w:rPr>
  </w:style>
  <w:style w:type="character" w:customStyle="1" w:styleId="Char4">
    <w:name w:val="批注框文本 Char"/>
    <w:link w:val="aff5"/>
    <w:uiPriority w:val="99"/>
    <w:qFormat/>
    <w:rPr>
      <w:kern w:val="2"/>
      <w:sz w:val="18"/>
      <w:szCs w:val="18"/>
    </w:rPr>
  </w:style>
  <w:style w:type="character" w:customStyle="1" w:styleId="Char0">
    <w:name w:val="正文文本 Char"/>
    <w:link w:val="aff0"/>
    <w:qFormat/>
    <w:rPr>
      <w:kern w:val="2"/>
      <w:sz w:val="21"/>
      <w:szCs w:val="24"/>
    </w:rPr>
  </w:style>
  <w:style w:type="character" w:customStyle="1" w:styleId="Charf">
    <w:name w:val="注： Char"/>
    <w:link w:val="a1"/>
    <w:qFormat/>
    <w:rPr>
      <w:rFonts w:ascii="宋体"/>
      <w:sz w:val="18"/>
    </w:rPr>
  </w:style>
  <w:style w:type="character" w:customStyle="1" w:styleId="Char5">
    <w:name w:val="页脚 Char"/>
    <w:link w:val="aff6"/>
    <w:uiPriority w:val="99"/>
    <w:qFormat/>
    <w:rPr>
      <w:kern w:val="2"/>
      <w:sz w:val="18"/>
      <w:szCs w:val="18"/>
    </w:rPr>
  </w:style>
  <w:style w:type="character" w:customStyle="1" w:styleId="Char1">
    <w:name w:val="正文文本缩进 Char"/>
    <w:link w:val="aff1"/>
    <w:qFormat/>
    <w:rPr>
      <w:kern w:val="2"/>
      <w:sz w:val="24"/>
    </w:rPr>
  </w:style>
  <w:style w:type="character" w:customStyle="1" w:styleId="afffff9">
    <w:name w:val="表中文字"/>
    <w:qFormat/>
    <w:rPr>
      <w:rFonts w:ascii="宋体" w:eastAsia="宋体"/>
      <w:sz w:val="18"/>
    </w:rPr>
  </w:style>
  <w:style w:type="character" w:customStyle="1" w:styleId="Char">
    <w:name w:val="批注文字 Char"/>
    <w:link w:val="aff"/>
    <w:qFormat/>
    <w:rPr>
      <w:kern w:val="2"/>
      <w:sz w:val="21"/>
      <w:szCs w:val="24"/>
    </w:rPr>
  </w:style>
  <w:style w:type="character" w:customStyle="1" w:styleId="Char7">
    <w:name w:val="批注主题 Char"/>
    <w:link w:val="affb"/>
    <w:qFormat/>
    <w:rPr>
      <w:b/>
      <w:bCs/>
      <w:kern w:val="2"/>
      <w:sz w:val="21"/>
      <w:szCs w:val="24"/>
    </w:rPr>
  </w:style>
  <w:style w:type="character" w:customStyle="1" w:styleId="Char6">
    <w:name w:val="页眉 Char"/>
    <w:link w:val="aff7"/>
    <w:uiPriority w:val="99"/>
    <w:qFormat/>
    <w:rPr>
      <w:kern w:val="2"/>
      <w:sz w:val="18"/>
      <w:szCs w:val="18"/>
    </w:rPr>
  </w:style>
  <w:style w:type="character" w:customStyle="1" w:styleId="2Char">
    <w:name w:val="正文文本缩进 2 Char"/>
    <w:link w:val="21"/>
    <w:qFormat/>
    <w:rPr>
      <w:kern w:val="2"/>
      <w:sz w:val="21"/>
      <w:szCs w:val="24"/>
    </w:rPr>
  </w:style>
  <w:style w:type="character" w:customStyle="1" w:styleId="Char3">
    <w:name w:val="日期 Char"/>
    <w:link w:val="aff3"/>
    <w:uiPriority w:val="99"/>
    <w:qFormat/>
    <w:rPr>
      <w:kern w:val="2"/>
      <w:sz w:val="24"/>
    </w:rPr>
  </w:style>
  <w:style w:type="character" w:customStyle="1" w:styleId="14">
    <w:name w:val="访问过的超链接1"/>
    <w:uiPriority w:val="99"/>
    <w:qFormat/>
    <w:rPr>
      <w:color w:val="800080"/>
      <w:u w:val="single"/>
    </w:rPr>
  </w:style>
  <w:style w:type="character" w:customStyle="1" w:styleId="CharCharCharChar">
    <w:name w:val="段 Char Char Char Char"/>
    <w:qFormat/>
    <w:rPr>
      <w:rFonts w:ascii="宋体"/>
      <w:sz w:val="21"/>
      <w:lang w:val="en-US" w:eastAsia="zh-CN" w:bidi="ar-SA"/>
    </w:rPr>
  </w:style>
  <w:style w:type="character" w:customStyle="1" w:styleId="CharChar">
    <w:name w:val="章标题 Char Char"/>
    <w:qFormat/>
    <w:rPr>
      <w:rFonts w:ascii="黑体" w:eastAsia="黑体"/>
      <w:sz w:val="21"/>
      <w:lang w:val="en-US" w:eastAsia="zh-CN" w:bidi="ar-SA"/>
    </w:rPr>
  </w:style>
  <w:style w:type="character" w:customStyle="1" w:styleId="Char12">
    <w:name w:val="正文文本缩进 Char1"/>
    <w:qFormat/>
    <w:rPr>
      <w:kern w:val="2"/>
      <w:sz w:val="21"/>
      <w:szCs w:val="24"/>
    </w:rPr>
  </w:style>
  <w:style w:type="character" w:customStyle="1" w:styleId="font21">
    <w:name w:val="font21"/>
    <w:qFormat/>
    <w:rPr>
      <w:rFonts w:ascii="宋体" w:eastAsia="宋体" w:hAnsi="宋体" w:cs="宋体" w:hint="eastAsia"/>
      <w:b/>
      <w:color w:val="FF0000"/>
      <w:sz w:val="21"/>
      <w:szCs w:val="21"/>
      <w:u w:val="none"/>
    </w:rPr>
  </w:style>
  <w:style w:type="character" w:customStyle="1" w:styleId="font41">
    <w:name w:val="font41"/>
    <w:qFormat/>
    <w:rPr>
      <w:rFonts w:ascii="宋体" w:eastAsia="宋体" w:hAnsi="宋体" w:cs="宋体" w:hint="eastAsia"/>
      <w:b/>
      <w:color w:val="FF0000"/>
      <w:sz w:val="21"/>
      <w:szCs w:val="21"/>
      <w:u w:val="none"/>
    </w:rPr>
  </w:style>
  <w:style w:type="character" w:customStyle="1" w:styleId="font01">
    <w:name w:val="font01"/>
    <w:qFormat/>
    <w:rPr>
      <w:rFonts w:ascii="宋体" w:eastAsia="宋体" w:hAnsi="宋体" w:hint="eastAsia"/>
      <w:color w:val="000000"/>
      <w:sz w:val="24"/>
      <w:szCs w:val="24"/>
      <w:u w:val="none"/>
    </w:rPr>
  </w:style>
  <w:style w:type="character" w:customStyle="1" w:styleId="Charc">
    <w:name w:val="附录标识 Char"/>
    <w:link w:val="a8"/>
    <w:qFormat/>
    <w:rPr>
      <w:sz w:val="21"/>
    </w:rPr>
  </w:style>
  <w:style w:type="character" w:customStyle="1" w:styleId="font31">
    <w:name w:val="font31"/>
    <w:qFormat/>
    <w:rPr>
      <w:rFonts w:ascii="宋体" w:eastAsia="宋体" w:hAnsi="宋体" w:cs="宋体" w:hint="eastAsia"/>
      <w:color w:val="000000"/>
      <w:sz w:val="22"/>
      <w:szCs w:val="22"/>
      <w:u w:val="none"/>
    </w:rPr>
  </w:style>
  <w:style w:type="paragraph" w:styleId="afffffa">
    <w:name w:val="List Paragraph"/>
    <w:basedOn w:val="af9"/>
    <w:uiPriority w:val="34"/>
    <w:qFormat/>
    <w:pPr>
      <w:ind w:firstLineChars="200" w:firstLine="420"/>
    </w:pPr>
  </w:style>
  <w:style w:type="paragraph" w:customStyle="1" w:styleId="TableParagraph">
    <w:name w:val="Table Paragraph"/>
    <w:basedOn w:val="af9"/>
    <w:uiPriority w:val="1"/>
    <w:qFormat/>
    <w:pPr>
      <w:autoSpaceDE w:val="0"/>
      <w:autoSpaceDN w:val="0"/>
      <w:jc w:val="left"/>
    </w:pPr>
    <w:rPr>
      <w:rFonts w:ascii="仿宋" w:eastAsia="仿宋" w:hAnsi="仿宋" w:cs="仿宋"/>
      <w:kern w:val="0"/>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80951">
      <w:bodyDiv w:val="1"/>
      <w:marLeft w:val="0"/>
      <w:marRight w:val="0"/>
      <w:marTop w:val="0"/>
      <w:marBottom w:val="0"/>
      <w:divBdr>
        <w:top w:val="none" w:sz="0" w:space="0" w:color="auto"/>
        <w:left w:val="none" w:sz="0" w:space="0" w:color="auto"/>
        <w:bottom w:val="none" w:sz="0" w:space="0" w:color="auto"/>
        <w:right w:val="none" w:sz="0" w:space="0" w:color="auto"/>
      </w:divBdr>
    </w:div>
    <w:div w:id="832529220">
      <w:bodyDiv w:val="1"/>
      <w:marLeft w:val="0"/>
      <w:marRight w:val="0"/>
      <w:marTop w:val="0"/>
      <w:marBottom w:val="0"/>
      <w:divBdr>
        <w:top w:val="none" w:sz="0" w:space="0" w:color="auto"/>
        <w:left w:val="none" w:sz="0" w:space="0" w:color="auto"/>
        <w:bottom w:val="none" w:sz="0" w:space="0" w:color="auto"/>
        <w:right w:val="none" w:sz="0" w:space="0" w:color="auto"/>
      </w:divBdr>
    </w:div>
    <w:div w:id="1140883312">
      <w:bodyDiv w:val="1"/>
      <w:marLeft w:val="0"/>
      <w:marRight w:val="0"/>
      <w:marTop w:val="0"/>
      <w:marBottom w:val="0"/>
      <w:divBdr>
        <w:top w:val="none" w:sz="0" w:space="0" w:color="auto"/>
        <w:left w:val="none" w:sz="0" w:space="0" w:color="auto"/>
        <w:bottom w:val="none" w:sz="0" w:space="0" w:color="auto"/>
        <w:right w:val="none" w:sz="0" w:space="0" w:color="auto"/>
      </w:divBdr>
    </w:div>
    <w:div w:id="1669669564">
      <w:bodyDiv w:val="1"/>
      <w:marLeft w:val="0"/>
      <w:marRight w:val="0"/>
      <w:marTop w:val="0"/>
      <w:marBottom w:val="0"/>
      <w:divBdr>
        <w:top w:val="none" w:sz="0" w:space="0" w:color="auto"/>
        <w:left w:val="none" w:sz="0" w:space="0" w:color="auto"/>
        <w:bottom w:val="none" w:sz="0" w:space="0" w:color="auto"/>
        <w:right w:val="none" w:sz="0" w:space="0" w:color="auto"/>
      </w:divBdr>
    </w:div>
    <w:div w:id="2124111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baike.so.com/doc/6546014-6759759.html"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baike.so.com/doc/6976437-7199126.html" TargetMode="External"/><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baike.so.com/doc/5356440-5591937.html"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hyperlink" Target="https://baike.so.com/doc/5352678-5588136.html"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baike.so.com/doc/1253613-1325811.html"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aike.so.com/doc/6112327-6325464.html"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26631;&#20934;\5237-201X\2\GB-T5237-201X\&#25253;&#25209;&#26448;&#26009;\GBT%205237.2&#21644;.5&#25253;&#25209;&#26448;&#26009;20160927\GBT%205237.2-201X%20&#25253;&#25209;&#26448;&#26009;\&#22269;&#23478;&#34892;&#19994;&#26631;&#20934;&#32534;&#21046;&#35828;&#26126;&#27169;&#2649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D2DCBE-D3E2-4A19-AE4F-C50FA661A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国家行业标准编制说明模板</Template>
  <TotalTime>349</TotalTime>
  <Pages>13</Pages>
  <Words>1202</Words>
  <Characters>6852</Characters>
  <Application>Microsoft Office Word</Application>
  <DocSecurity>0</DocSecurity>
  <Lines>57</Lines>
  <Paragraphs>16</Paragraphs>
  <ScaleCrop>false</ScaleCrop>
  <Company>Microsoft</Company>
  <LinksUpToDate>false</LinksUpToDate>
  <CharactersWithSpaces>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标准李瑞山9585</dc:creator>
  <cp:lastModifiedBy>pc</cp:lastModifiedBy>
  <cp:revision>343</cp:revision>
  <cp:lastPrinted>2016-10-20T04:13:00Z</cp:lastPrinted>
  <dcterms:created xsi:type="dcterms:W3CDTF">2020-06-29T16:07:00Z</dcterms:created>
  <dcterms:modified xsi:type="dcterms:W3CDTF">2021-06-11T02:58:00Z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