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0"/>
        </w:tabs>
        <w:jc w:val="center"/>
        <w:rPr>
          <w:rFonts w:eastAsia="黑体"/>
          <w:b/>
          <w:sz w:val="36"/>
        </w:rPr>
      </w:pPr>
    </w:p>
    <w:p>
      <w:pPr>
        <w:tabs>
          <w:tab w:val="left" w:pos="7200"/>
        </w:tabs>
        <w:jc w:val="center"/>
        <w:rPr>
          <w:rFonts w:eastAsia="黑体"/>
          <w:b/>
          <w:sz w:val="44"/>
        </w:rPr>
      </w:pPr>
      <w:r>
        <w:rPr>
          <w:rFonts w:eastAsia="黑体"/>
          <w:b/>
          <w:sz w:val="44"/>
        </w:rPr>
        <w:t>有色金属行业标准</w:t>
      </w:r>
    </w:p>
    <w:p>
      <w:pPr>
        <w:tabs>
          <w:tab w:val="left" w:pos="7200"/>
        </w:tabs>
        <w:jc w:val="center"/>
        <w:rPr>
          <w:rFonts w:eastAsia="黑体"/>
          <w:b/>
          <w:sz w:val="44"/>
        </w:rPr>
      </w:pPr>
      <w:r>
        <w:rPr>
          <w:rFonts w:eastAsia="黑体"/>
          <w:b/>
          <w:sz w:val="44"/>
        </w:rPr>
        <w:t>《热喷涂用</w:t>
      </w:r>
      <w:r>
        <w:rPr>
          <w:rFonts w:hint="eastAsia" w:eastAsia="黑体"/>
          <w:b/>
          <w:sz w:val="44"/>
        </w:rPr>
        <w:t>氧化铬</w:t>
      </w:r>
      <w:r>
        <w:rPr>
          <w:rFonts w:eastAsia="黑体"/>
          <w:b/>
          <w:sz w:val="44"/>
        </w:rPr>
        <w:t>粉末》</w:t>
      </w:r>
    </w:p>
    <w:p>
      <w:pPr>
        <w:tabs>
          <w:tab w:val="left" w:pos="7200"/>
        </w:tabs>
        <w:jc w:val="center"/>
        <w:rPr>
          <w:rFonts w:eastAsia="黑体"/>
          <w:b/>
          <w:sz w:val="36"/>
        </w:rPr>
      </w:pPr>
    </w:p>
    <w:p>
      <w:pPr>
        <w:tabs>
          <w:tab w:val="left" w:pos="7200"/>
        </w:tabs>
        <w:jc w:val="center"/>
        <w:rPr>
          <w:rFonts w:eastAsia="黑体"/>
          <w:b/>
          <w:sz w:val="36"/>
        </w:rPr>
      </w:pPr>
    </w:p>
    <w:p>
      <w:pPr>
        <w:jc w:val="center"/>
        <w:rPr>
          <w:rFonts w:eastAsia="黑体"/>
          <w:b/>
          <w:sz w:val="44"/>
        </w:rPr>
      </w:pPr>
      <w:r>
        <w:rPr>
          <w:rFonts w:eastAsia="黑体"/>
          <w:b/>
          <w:sz w:val="44"/>
        </w:rPr>
        <w:t>编</w:t>
      </w:r>
    </w:p>
    <w:p>
      <w:pPr>
        <w:jc w:val="center"/>
        <w:rPr>
          <w:rFonts w:eastAsia="黑体"/>
          <w:b/>
          <w:sz w:val="44"/>
        </w:rPr>
      </w:pPr>
      <w:r>
        <w:rPr>
          <w:rFonts w:eastAsia="黑体"/>
          <w:b/>
          <w:sz w:val="44"/>
        </w:rPr>
        <w:t>制</w:t>
      </w:r>
    </w:p>
    <w:p>
      <w:pPr>
        <w:jc w:val="center"/>
        <w:rPr>
          <w:rFonts w:eastAsia="黑体"/>
          <w:b/>
          <w:sz w:val="44"/>
        </w:rPr>
      </w:pPr>
      <w:r>
        <w:rPr>
          <w:rFonts w:eastAsia="黑体"/>
          <w:b/>
          <w:sz w:val="44"/>
        </w:rPr>
        <w:t>说</w:t>
      </w:r>
    </w:p>
    <w:p>
      <w:pPr>
        <w:jc w:val="center"/>
        <w:rPr>
          <w:rFonts w:eastAsia="黑体"/>
          <w:b/>
          <w:sz w:val="44"/>
        </w:rPr>
      </w:pPr>
      <w:r>
        <w:rPr>
          <w:rFonts w:eastAsia="黑体"/>
          <w:b/>
          <w:sz w:val="44"/>
        </w:rPr>
        <w:t>明</w:t>
      </w:r>
    </w:p>
    <w:p>
      <w:pPr>
        <w:jc w:val="center"/>
        <w:rPr>
          <w:rFonts w:eastAsia="黑体"/>
          <w:b/>
          <w:sz w:val="36"/>
        </w:rPr>
      </w:pPr>
    </w:p>
    <w:p>
      <w:pPr>
        <w:jc w:val="center"/>
        <w:rPr>
          <w:b/>
          <w:sz w:val="36"/>
        </w:rPr>
      </w:pPr>
      <w:r>
        <w:rPr>
          <w:b/>
          <w:sz w:val="36"/>
        </w:rPr>
        <w:t>（</w:t>
      </w:r>
      <w:r>
        <w:rPr>
          <w:rFonts w:hint="eastAsia"/>
          <w:b/>
          <w:sz w:val="36"/>
        </w:rPr>
        <w:t>征求意见</w:t>
      </w:r>
      <w:r>
        <w:rPr>
          <w:b/>
          <w:sz w:val="36"/>
        </w:rPr>
        <w:t>稿）</w:t>
      </w: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r>
        <w:rPr>
          <w:b/>
          <w:sz w:val="36"/>
        </w:rPr>
        <w:t>矿冶科技集团有限公司</w:t>
      </w:r>
    </w:p>
    <w:p>
      <w:pPr>
        <w:jc w:val="center"/>
        <w:rPr>
          <w:b/>
          <w:sz w:val="36"/>
        </w:rPr>
      </w:pPr>
      <w:r>
        <w:rPr>
          <w:b/>
          <w:sz w:val="36"/>
        </w:rPr>
        <w:t>2021年</w:t>
      </w:r>
      <w:r>
        <w:rPr>
          <w:rFonts w:hint="eastAsia"/>
          <w:b/>
          <w:sz w:val="36"/>
        </w:rPr>
        <w:t>6</w:t>
      </w:r>
      <w:r>
        <w:rPr>
          <w:b/>
          <w:sz w:val="36"/>
        </w:rPr>
        <w:t>月</w:t>
      </w:r>
      <w:r>
        <w:rPr>
          <w:rFonts w:hint="eastAsia"/>
          <w:b/>
          <w:sz w:val="36"/>
        </w:rPr>
        <w:t>8</w:t>
      </w:r>
      <w:r>
        <w:rPr>
          <w:b/>
          <w:sz w:val="36"/>
        </w:rPr>
        <w:t>日</w:t>
      </w:r>
    </w:p>
    <w:p>
      <w:pPr>
        <w:spacing w:before="312" w:beforeLines="100" w:after="312" w:afterLines="100"/>
        <w:rPr>
          <w:rFonts w:eastAsia="黑体"/>
          <w:bCs/>
          <w:sz w:val="24"/>
        </w:rPr>
      </w:pPr>
      <w:r>
        <w:rPr>
          <w:rFonts w:eastAsia="黑体"/>
          <w:bCs/>
          <w:sz w:val="24"/>
        </w:rPr>
        <w:br w:type="page"/>
      </w:r>
      <w:r>
        <w:rPr>
          <w:rFonts w:eastAsia="黑体"/>
          <w:bCs/>
          <w:sz w:val="24"/>
        </w:rPr>
        <w:t>一、工作简况</w:t>
      </w:r>
      <w:bookmarkStart w:id="1" w:name="_GoBack"/>
      <w:bookmarkEnd w:id="1"/>
    </w:p>
    <w:p>
      <w:pPr>
        <w:spacing w:before="156" w:beforeLines="50" w:after="156" w:afterLines="50"/>
        <w:rPr>
          <w:rFonts w:eastAsia="黑体"/>
          <w:bCs/>
          <w:sz w:val="24"/>
        </w:rPr>
      </w:pPr>
      <w:r>
        <w:rPr>
          <w:rFonts w:eastAsia="黑体"/>
          <w:bCs/>
          <w:sz w:val="24"/>
        </w:rPr>
        <w:t>1.1任务来源与计划要求</w:t>
      </w:r>
    </w:p>
    <w:p>
      <w:pPr>
        <w:spacing w:before="156" w:beforeLines="50" w:after="156" w:afterLines="50"/>
        <w:rPr>
          <w:rFonts w:eastAsia="黑体"/>
          <w:bCs/>
          <w:sz w:val="22"/>
        </w:rPr>
      </w:pPr>
      <w:r>
        <w:rPr>
          <w:rFonts w:eastAsia="黑体"/>
          <w:bCs/>
          <w:sz w:val="22"/>
        </w:rPr>
        <w:t>1.1.1任务下达</w:t>
      </w:r>
    </w:p>
    <w:p>
      <w:pPr>
        <w:ind w:firstLine="420" w:firstLineChars="200"/>
        <w:rPr>
          <w:szCs w:val="21"/>
        </w:rPr>
      </w:pPr>
      <w:r>
        <w:rPr>
          <w:szCs w:val="21"/>
        </w:rPr>
        <w:t>根据</w:t>
      </w:r>
      <w:r>
        <w:rPr>
          <w:szCs w:val="21"/>
          <w:highlight w:val="none"/>
        </w:rPr>
        <w:t>工业和信息化部办公厅关于印发“2020年第三批行业标准制修订和外文版项目计划的通知”（工信厅科函〔2020〕263号）的文件精神，行业标准《</w:t>
      </w:r>
      <w:sdt>
        <w:sdtPr>
          <w:rPr>
            <w:highlight w:val="none"/>
          </w:rPr>
          <w:alias w:val="标准名称"/>
          <w:tag w:val="标准名称"/>
          <w:id w:val="1795105741"/>
          <w:placeholder>
            <w:docPart w:val="{4d52df84-f5c1-4289-8822-32190e23a0e0}"/>
          </w:placeholder>
          <w:text w:multiLine="1"/>
        </w:sdtPr>
        <w:sdtEndPr>
          <w:rPr>
            <w:highlight w:val="none"/>
          </w:rPr>
        </w:sdtEndPr>
        <w:sdtContent>
          <w:r>
            <w:rPr>
              <w:highlight w:val="none"/>
            </w:rPr>
            <w:t>热喷涂用高纯氧化铝粉末</w:t>
          </w:r>
        </w:sdtContent>
      </w:sdt>
      <w:r>
        <w:rPr>
          <w:szCs w:val="21"/>
          <w:highlight w:val="none"/>
        </w:rPr>
        <w:t>》由全国有色金属标准化技术委员会（SAC/TC 243）提出并归口，项目计划编号：</w:t>
      </w:r>
      <w:r>
        <w:rPr>
          <w:rFonts w:hint="eastAsia"/>
          <w:szCs w:val="21"/>
          <w:highlight w:val="none"/>
        </w:rPr>
        <w:t>2020-1505T-YS</w:t>
      </w:r>
      <w:r>
        <w:rPr>
          <w:szCs w:val="21"/>
          <w:highlight w:val="none"/>
        </w:rPr>
        <w:t>，由矿冶科技集团有限公司牵头起草，该标准计划完成年限2022年。</w:t>
      </w:r>
    </w:p>
    <w:p>
      <w:pPr>
        <w:spacing w:before="156" w:beforeLines="50" w:after="156" w:afterLines="50"/>
        <w:rPr>
          <w:rFonts w:eastAsia="黑体"/>
          <w:bCs/>
          <w:sz w:val="22"/>
        </w:rPr>
      </w:pPr>
      <w:r>
        <w:rPr>
          <w:rFonts w:eastAsia="黑体"/>
          <w:bCs/>
          <w:sz w:val="22"/>
        </w:rPr>
        <w:t>1.1.2项目编制组单位情况</w:t>
      </w:r>
    </w:p>
    <w:p>
      <w:pPr>
        <w:ind w:firstLine="420" w:firstLineChars="200"/>
        <w:rPr>
          <w:szCs w:val="21"/>
        </w:rPr>
      </w:pPr>
      <w:r>
        <w:rPr>
          <w:szCs w:val="21"/>
        </w:rPr>
        <w:t>技术审查前，根据标准编制工作任务量，编制组构成为：</w:t>
      </w:r>
      <w:r>
        <w:t>矿冶科技集团有限公司、北矿新材科技有限公司、广东省科学院工业分析检测中心</w:t>
      </w:r>
      <w:r>
        <w:rPr>
          <w:szCs w:val="21"/>
        </w:rPr>
        <w:t>等单位。</w:t>
      </w:r>
    </w:p>
    <w:p>
      <w:pPr>
        <w:spacing w:before="156" w:beforeLines="50" w:after="156" w:afterLines="50"/>
        <w:rPr>
          <w:rFonts w:eastAsia="黑体"/>
          <w:bCs/>
          <w:sz w:val="24"/>
        </w:rPr>
      </w:pPr>
      <w:r>
        <w:rPr>
          <w:rFonts w:eastAsia="黑体"/>
          <w:bCs/>
          <w:sz w:val="24"/>
        </w:rPr>
        <w:t>1.2 主要参加单位和工作成员及其所做工作</w:t>
      </w:r>
    </w:p>
    <w:p>
      <w:pPr>
        <w:spacing w:before="156" w:beforeLines="50" w:after="156" w:afterLines="50"/>
        <w:rPr>
          <w:rFonts w:eastAsia="黑体"/>
          <w:bCs/>
          <w:sz w:val="22"/>
        </w:rPr>
      </w:pPr>
      <w:r>
        <w:rPr>
          <w:rFonts w:eastAsia="黑体"/>
          <w:bCs/>
          <w:sz w:val="22"/>
        </w:rPr>
        <w:t>1.2.1 起草单位简介</w:t>
      </w:r>
    </w:p>
    <w:p>
      <w:pPr>
        <w:ind w:firstLine="420" w:firstLineChars="200"/>
        <w:rPr>
          <w:szCs w:val="21"/>
        </w:rPr>
      </w:pPr>
      <w:r>
        <w:rPr>
          <w:szCs w:val="21"/>
        </w:rPr>
        <w:t>矿冶科技集团有限公司通过承担科技部院所专项“抗等离子冲蚀关键涂层材料和涂层研制”、国防科工局“</w:t>
      </w:r>
      <w:r>
        <w:rPr>
          <w:b/>
          <w:bCs/>
          <w:szCs w:val="21"/>
        </w:rPr>
        <w:t>氧化物陶瓷热喷涂氧化</w:t>
      </w:r>
      <w:r>
        <w:rPr>
          <w:rFonts w:hint="eastAsia"/>
          <w:b/>
          <w:bCs/>
          <w:szCs w:val="21"/>
        </w:rPr>
        <w:t>铬</w:t>
      </w:r>
      <w:r>
        <w:rPr>
          <w:b/>
          <w:bCs/>
          <w:szCs w:val="21"/>
        </w:rPr>
        <w:t>粉体制备技术研究</w:t>
      </w:r>
      <w:r>
        <w:rPr>
          <w:szCs w:val="21"/>
        </w:rPr>
        <w:t>”等重大课题，在</w:t>
      </w:r>
      <w:r>
        <w:rPr>
          <w:rFonts w:hint="eastAsia"/>
          <w:szCs w:val="21"/>
        </w:rPr>
        <w:t>氧化铬</w:t>
      </w:r>
      <w:r>
        <w:rPr>
          <w:szCs w:val="21"/>
        </w:rPr>
        <w:t>喷涂材料研制方向，已投入研制经费</w:t>
      </w:r>
      <w:r>
        <w:rPr>
          <w:rFonts w:hint="eastAsia"/>
          <w:szCs w:val="21"/>
        </w:rPr>
        <w:t>8</w:t>
      </w:r>
      <w:r>
        <w:rPr>
          <w:szCs w:val="21"/>
        </w:rPr>
        <w:t>00余万元，投入研发设备购置费用1000余万元，形成了具有粉末制备、检测、涂层加工、测试能力的实验室，并已取得一定的研究成果。经过多年发展，已建成高纯陶瓷喷涂材料研发基地，形成了十吨级</w:t>
      </w:r>
      <w:r>
        <w:rPr>
          <w:rFonts w:hint="eastAsia"/>
          <w:szCs w:val="21"/>
        </w:rPr>
        <w:t>氧化铬</w:t>
      </w:r>
      <w:r>
        <w:rPr>
          <w:szCs w:val="21"/>
        </w:rPr>
        <w:t>陶瓷涂层材料生产线。</w:t>
      </w:r>
    </w:p>
    <w:p>
      <w:pPr>
        <w:ind w:firstLine="420" w:firstLineChars="200"/>
        <w:rPr>
          <w:szCs w:val="21"/>
        </w:rPr>
      </w:pPr>
      <w:r>
        <w:rPr>
          <w:szCs w:val="21"/>
        </w:rPr>
        <w:t>矿冶科技集团有限公司非常重视科研成果的转化，至2018年底已分别建成总产500吨陶瓷、复合、金属合金型涂层材料和粉体材料生产线，年产5000平方米的涂层制备的生产线。在陶瓷材料的研制方面，矿冶集团具有扎实的前期研究工作基础。在此基础上，矿冶集团不断创新，开发出高纯氧化锆、氧化钇、氧化铝等系列涂层材料。在耐磨、耐蚀涂层材料方面，拥有氧化铝系、氧化铬系、氧化钇系等20多个品种。在氧化物陶瓷涂层材料及涂层研制方面积累了大量的实践经验。</w:t>
      </w:r>
    </w:p>
    <w:p>
      <w:pPr>
        <w:ind w:firstLine="420" w:firstLineChars="200"/>
        <w:rPr>
          <w:szCs w:val="21"/>
        </w:rPr>
      </w:pPr>
      <w:r>
        <w:rPr>
          <w:szCs w:val="21"/>
        </w:rPr>
        <w:t>矿冶科技集团有限公司拥有一支素质高、人才结构合理的科技队伍和一批国内外知名的专家。全集团现有职工3246人，其中中国工程院院士3人，教授级高级工程师190人，高级工程师164人，工程师278人，其中博士59人、硕士376人。拥有国家级有突出贡献的中青年专家9人，享受政府特殊津贴的科技专家97人，国家“百千万人才工程”第一、二层次人选2人，国家“新世纪百千万人才工程”国家级人选7人。在氧化物陶瓷粉末材料、金属陶瓷粉末材料及相关的涂层技术方向都有专业的技术人才队伍，长期从事相关科研、开发和生产任务，具有扎实的理论基础和丰富的实践经验。同时，拥有德国VIGA16真空雾化系统、德国莱宝真空雾化系统、国产真空雾化系统、喷雾制粒系统、高温烧结设备、超声波振动筛、GTV超音速火焰喷涂系统等先进大型制粉、喷涂设备。在分析检测方面，经过多年的积累和发展，我院涂层材料及涂层技术方面已拥有各类化学成分分析仪器（ICP-AES、ICP-MS、GC、GC-MS、碳硫仪等）、扫描电子显微镜、透射电镜、X射线衍射仪、激光粒度仪（马尔文2000）、综合高温热分析仪、热膨胀系数分析仪、电子式万能试验机、高温蠕变试验机、高温摩擦磨损试验机、抗热冲蚀试验机、高温高速可磨耗试验机、表面洛氏硬度计、高温表面洛氏硬度计、显微维氏硬度计、布氏硬度计等专用分析测试仪器设备百余台（套），为该项目的顺利开展奠定了坚实的基础。</w:t>
      </w:r>
    </w:p>
    <w:p>
      <w:pPr>
        <w:ind w:firstLine="420" w:firstLineChars="200"/>
        <w:rPr>
          <w:szCs w:val="21"/>
        </w:rPr>
      </w:pPr>
      <w:r>
        <w:rPr>
          <w:szCs w:val="21"/>
        </w:rPr>
        <w:t>近年来矿冶集团主持制修订了多项热喷涂用粉末材料产品标准：《钴铬钨（CoCrW）系合金粉末》、《氧化钇稳定氧化锆粉末》、《稀土锆酸盐粉末》、《热喷涂MCrAlY合金粉末》、《热喷涂纳米氧化锆》等等，参与了多项标准的起草及验证工作，在相关标准的制修订方面，累积了丰富的经验。</w:t>
      </w:r>
    </w:p>
    <w:p>
      <w:pPr>
        <w:spacing w:before="156" w:beforeLines="50" w:after="156" w:afterLines="50"/>
        <w:rPr>
          <w:rFonts w:eastAsia="黑体"/>
          <w:bCs/>
          <w:sz w:val="22"/>
        </w:rPr>
      </w:pPr>
      <w:r>
        <w:rPr>
          <w:rFonts w:eastAsia="黑体"/>
          <w:bCs/>
          <w:sz w:val="22"/>
        </w:rPr>
        <w:t>1.2.2主要参加单位情况</w:t>
      </w:r>
    </w:p>
    <w:p>
      <w:pPr>
        <w:ind w:firstLine="420" w:firstLineChars="200"/>
      </w:pPr>
      <w:r>
        <w:t>标准编制单位北矿新材科技有限公司在标准的编制过程中，积极查询热喷涂用</w:t>
      </w:r>
      <w:r>
        <w:rPr>
          <w:rFonts w:hint="eastAsia"/>
        </w:rPr>
        <w:t>氧化铬</w:t>
      </w:r>
      <w:r>
        <w:t>粉末的行业情况，积极收集国内热喷涂用</w:t>
      </w:r>
      <w:r>
        <w:rPr>
          <w:rFonts w:hint="eastAsia"/>
        </w:rPr>
        <w:t>氧化铬</w:t>
      </w:r>
      <w:r>
        <w:t>粉末产品的生产和使用企业实测数据，根据了解的实际情况编写标准文本和标准编制说明，同时将标准在行业内广泛征求意见，并对收集的意见进行汇总处理，带领编制组完成标准的编制工作。</w:t>
      </w:r>
    </w:p>
    <w:p>
      <w:pPr>
        <w:ind w:firstLine="420" w:firstLineChars="200"/>
      </w:pPr>
      <w:r>
        <w:t>广东省科学院工业分析检测中心等单位为热喷涂用</w:t>
      </w:r>
      <w:r>
        <w:rPr>
          <w:rFonts w:hint="eastAsia"/>
        </w:rPr>
        <w:t>氧化铬</w:t>
      </w:r>
      <w:r>
        <w:t>粉末的</w:t>
      </w:r>
      <w:r>
        <w:rPr>
          <w:rFonts w:hint="eastAsia"/>
          <w:lang w:val="en-US" w:eastAsia="zh-CN"/>
        </w:rPr>
        <w:t>分析检测中心</w:t>
      </w:r>
      <w:r>
        <w:t>，在标准编制过程中，为标准编制提供了大量的实测数据。同时，针对标准的讨论稿提出修改意见，确保产品的指标能满足生产、使用要求，确保产品的检测方法能实际应用于企业。</w:t>
      </w:r>
    </w:p>
    <w:p>
      <w:pPr>
        <w:spacing w:before="156" w:beforeLines="50" w:after="156" w:afterLines="50"/>
        <w:rPr>
          <w:rFonts w:eastAsia="黑体"/>
          <w:bCs/>
          <w:sz w:val="22"/>
        </w:rPr>
      </w:pPr>
      <w:r>
        <w:rPr>
          <w:rFonts w:eastAsia="黑体"/>
          <w:bCs/>
          <w:sz w:val="22"/>
        </w:rPr>
        <w:t>1.2.3主要工作成员所负责的工作情况</w:t>
      </w:r>
    </w:p>
    <w:p>
      <w:pPr>
        <w:ind w:firstLine="440" w:firstLineChars="200"/>
        <w:rPr>
          <w:bCs/>
          <w:sz w:val="22"/>
        </w:rPr>
      </w:pPr>
      <w:r>
        <w:rPr>
          <w:bCs/>
          <w:sz w:val="22"/>
        </w:rPr>
        <w:t>本标准主要起草人及其工作职责见表1。</w:t>
      </w:r>
    </w:p>
    <w:p>
      <w:pPr>
        <w:spacing w:line="360" w:lineRule="auto"/>
        <w:jc w:val="center"/>
        <w:rPr>
          <w:szCs w:val="21"/>
        </w:rPr>
      </w:pPr>
      <w:r>
        <w:rPr>
          <w:szCs w:val="21"/>
        </w:rPr>
        <w:t>表1 主要起草人及工作职责</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52"/>
        <w:gridCol w:w="5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52" w:type="dxa"/>
            <w:shd w:val="clear" w:color="auto" w:fill="auto"/>
          </w:tcPr>
          <w:p>
            <w:pPr>
              <w:jc w:val="center"/>
              <w:rPr>
                <w:color w:val="auto"/>
                <w:sz w:val="18"/>
                <w:szCs w:val="18"/>
                <w:highlight w:val="none"/>
              </w:rPr>
            </w:pPr>
            <w:r>
              <w:rPr>
                <w:color w:val="auto"/>
                <w:sz w:val="18"/>
                <w:szCs w:val="18"/>
                <w:highlight w:val="none"/>
              </w:rPr>
              <w:t>起草人</w:t>
            </w:r>
          </w:p>
        </w:tc>
        <w:tc>
          <w:tcPr>
            <w:tcW w:w="5794" w:type="dxa"/>
            <w:shd w:val="clear" w:color="auto" w:fill="auto"/>
          </w:tcPr>
          <w:p>
            <w:pPr>
              <w:jc w:val="center"/>
              <w:rPr>
                <w:sz w:val="18"/>
                <w:szCs w:val="18"/>
              </w:rPr>
            </w:pPr>
            <w:r>
              <w:rPr>
                <w:sz w:val="18"/>
                <w:szCs w:val="18"/>
              </w:rPr>
              <w:t>工作职责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52" w:type="dxa"/>
            <w:shd w:val="clear" w:color="auto" w:fill="auto"/>
            <w:vAlign w:val="center"/>
          </w:tcPr>
          <w:p>
            <w:pPr>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贾芳</w:t>
            </w:r>
          </w:p>
        </w:tc>
        <w:tc>
          <w:tcPr>
            <w:tcW w:w="5794" w:type="dxa"/>
            <w:shd w:val="clear" w:color="auto" w:fill="auto"/>
            <w:vAlign w:val="center"/>
          </w:tcPr>
          <w:p>
            <w:pPr>
              <w:rPr>
                <w:sz w:val="18"/>
                <w:szCs w:val="18"/>
              </w:rPr>
            </w:pPr>
            <w:r>
              <w:rPr>
                <w:sz w:val="18"/>
                <w:szCs w:val="18"/>
              </w:rPr>
              <w:t>负责标准的工作指导及组织协调，标准关键指标的把控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52" w:type="dxa"/>
            <w:shd w:val="clear" w:color="auto" w:fill="auto"/>
            <w:vAlign w:val="center"/>
          </w:tcPr>
          <w:p>
            <w:pPr>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庞小肖、彭浩然</w:t>
            </w:r>
          </w:p>
        </w:tc>
        <w:tc>
          <w:tcPr>
            <w:tcW w:w="5794" w:type="dxa"/>
            <w:shd w:val="clear" w:color="auto" w:fill="auto"/>
            <w:vAlign w:val="center"/>
          </w:tcPr>
          <w:p>
            <w:pPr>
              <w:rPr>
                <w:sz w:val="18"/>
                <w:szCs w:val="18"/>
              </w:rPr>
            </w:pPr>
            <w:r>
              <w:rPr>
                <w:sz w:val="18"/>
                <w:szCs w:val="18"/>
              </w:rPr>
              <w:t>负责标准的调研、标准文本、标准编制说明的撰写，意见汇总处理，参加标准讨论和审定会议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52" w:type="dxa"/>
            <w:shd w:val="clear" w:color="auto" w:fill="auto"/>
            <w:vAlign w:val="center"/>
          </w:tcPr>
          <w:p>
            <w:pPr>
              <w:jc w:val="center"/>
              <w:rPr>
                <w:rFonts w:hint="default" w:eastAsia="宋体"/>
                <w:sz w:val="18"/>
                <w:szCs w:val="18"/>
                <w:highlight w:val="yellow"/>
                <w:lang w:val="en-US" w:eastAsia="zh-CN"/>
              </w:rPr>
            </w:pPr>
            <w:r>
              <w:rPr>
                <w:sz w:val="18"/>
                <w:szCs w:val="18"/>
              </w:rPr>
              <w:t>原慷、刘海飞、王芦燕</w:t>
            </w:r>
            <w:r>
              <w:rPr>
                <w:rFonts w:hint="eastAsia"/>
                <w:sz w:val="18"/>
                <w:szCs w:val="18"/>
                <w:lang w:eastAsia="zh-CN"/>
              </w:rPr>
              <w:t>、</w:t>
            </w:r>
            <w:r>
              <w:rPr>
                <w:rFonts w:hint="eastAsia"/>
                <w:sz w:val="18"/>
                <w:szCs w:val="18"/>
                <w:lang w:val="en-US" w:eastAsia="zh-CN"/>
              </w:rPr>
              <w:t>冀晓鹃</w:t>
            </w:r>
          </w:p>
        </w:tc>
        <w:tc>
          <w:tcPr>
            <w:tcW w:w="5794" w:type="dxa"/>
            <w:shd w:val="clear" w:color="auto" w:fill="auto"/>
            <w:vAlign w:val="center"/>
          </w:tcPr>
          <w:p>
            <w:pPr>
              <w:rPr>
                <w:sz w:val="18"/>
                <w:szCs w:val="18"/>
              </w:rPr>
            </w:pPr>
            <w:r>
              <w:rPr>
                <w:sz w:val="18"/>
                <w:szCs w:val="18"/>
              </w:rPr>
              <w:t>负责产品指标及试验方法的把控，对讨论稿和征求意见稿提出修改意见</w:t>
            </w:r>
          </w:p>
        </w:tc>
      </w:tr>
    </w:tbl>
    <w:p>
      <w:pPr>
        <w:spacing w:before="312" w:beforeLines="100" w:after="312" w:afterLines="100"/>
        <w:rPr>
          <w:rFonts w:eastAsia="黑体"/>
          <w:bCs/>
          <w:sz w:val="24"/>
        </w:rPr>
      </w:pPr>
      <w:r>
        <w:rPr>
          <w:rFonts w:eastAsia="黑体"/>
          <w:bCs/>
          <w:sz w:val="24"/>
        </w:rPr>
        <w:t>1.3主要工作过程</w:t>
      </w:r>
    </w:p>
    <w:p>
      <w:pPr>
        <w:spacing w:before="156" w:beforeLines="50" w:after="156" w:afterLines="50"/>
        <w:rPr>
          <w:rFonts w:eastAsia="黑体"/>
          <w:bCs/>
          <w:sz w:val="22"/>
          <w:highlight w:val="none"/>
        </w:rPr>
      </w:pPr>
      <w:r>
        <w:rPr>
          <w:rFonts w:eastAsia="黑体"/>
          <w:bCs/>
          <w:sz w:val="22"/>
          <w:highlight w:val="none"/>
        </w:rPr>
        <w:t>1.3.</w:t>
      </w:r>
      <w:r>
        <w:rPr>
          <w:rFonts w:hint="eastAsia" w:eastAsia="黑体"/>
          <w:bCs/>
          <w:sz w:val="22"/>
          <w:highlight w:val="none"/>
        </w:rPr>
        <w:t>1</w:t>
      </w:r>
      <w:r>
        <w:rPr>
          <w:rFonts w:eastAsia="黑体"/>
          <w:bCs/>
          <w:sz w:val="22"/>
          <w:highlight w:val="none"/>
        </w:rPr>
        <w:t>起草阶段</w:t>
      </w:r>
    </w:p>
    <w:p>
      <w:pPr>
        <w:ind w:firstLine="420" w:firstLineChars="200"/>
        <w:rPr>
          <w:highlight w:val="none"/>
        </w:rPr>
      </w:pPr>
      <w:r>
        <w:rPr>
          <w:highlight w:val="none"/>
        </w:rPr>
        <w:t>2021年3月16日，全国有色金属标准化技术委员会在江苏苏州组织召开了有色标准工作会议，来自矿冶科技集团有限公司、北矿新材科技有限公司、广东省科学院工业分析检测中心等单位参加了会议，会议对《热喷涂用</w:t>
      </w:r>
      <w:r>
        <w:rPr>
          <w:rFonts w:hint="eastAsia"/>
          <w:highlight w:val="none"/>
        </w:rPr>
        <w:t>氧化铬</w:t>
      </w:r>
      <w:r>
        <w:rPr>
          <w:highlight w:val="none"/>
        </w:rPr>
        <w:t>粉末》进行了任务落实。</w:t>
      </w:r>
    </w:p>
    <w:p>
      <w:pPr>
        <w:ind w:firstLine="420" w:firstLineChars="200"/>
        <w:rPr>
          <w:highlight w:val="none"/>
        </w:rPr>
      </w:pPr>
      <w:r>
        <w:rPr>
          <w:highlight w:val="none"/>
        </w:rPr>
        <w:t>2021年4月至</w:t>
      </w:r>
      <w:r>
        <w:rPr>
          <w:rFonts w:hint="eastAsia"/>
          <w:highlight w:val="none"/>
        </w:rPr>
        <w:t>6</w:t>
      </w:r>
      <w:r>
        <w:rPr>
          <w:highlight w:val="none"/>
        </w:rPr>
        <w:t>月，矿冶科技集团有限公司接受《热喷涂用</w:t>
      </w:r>
      <w:r>
        <w:rPr>
          <w:rFonts w:hint="eastAsia"/>
          <w:highlight w:val="none"/>
        </w:rPr>
        <w:t>氧化铬</w:t>
      </w:r>
      <w:r>
        <w:rPr>
          <w:highlight w:val="none"/>
        </w:rPr>
        <w:t>粉末》任务后，成立了标准编制工作组，由于该标准为首次制订，标准编制工作组成员查阅了大量的国内外相关文献资料，收集、整理、对比分析了相关企业的技术资料，结合目前国内外热喷涂用</w:t>
      </w:r>
      <w:r>
        <w:rPr>
          <w:rFonts w:hint="eastAsia"/>
          <w:highlight w:val="none"/>
        </w:rPr>
        <w:t>氧化铬</w:t>
      </w:r>
      <w:r>
        <w:rPr>
          <w:highlight w:val="none"/>
        </w:rPr>
        <w:t>粉末的生产和用户需求情况，形成了标准草案。本标准草案完成后，在编制组及公司内部进行了多次交流，广泛征求意见，对本标准进行了认真的修改和完善，最后形成了该标准的讨论稿。</w:t>
      </w:r>
    </w:p>
    <w:p>
      <w:pPr>
        <w:rPr>
          <w:highlight w:val="none"/>
        </w:rPr>
      </w:pPr>
      <w:r>
        <w:rPr>
          <w:rFonts w:hint="eastAsia"/>
          <w:highlight w:val="none"/>
        </w:rPr>
        <w:t>1.3.2征求意见阶段</w:t>
      </w:r>
    </w:p>
    <w:p>
      <w:pPr>
        <w:ind w:firstLine="420" w:firstLineChars="200"/>
      </w:pPr>
      <w:r>
        <w:rPr>
          <w:rFonts w:hint="eastAsia"/>
          <w:highlight w:val="none"/>
        </w:rPr>
        <w:t>2021年6月23-26日在新</w:t>
      </w:r>
      <w:r>
        <w:rPr>
          <w:rFonts w:hint="eastAsia"/>
        </w:rPr>
        <w:t>疆维吾尔自治区伊犁哈萨克自治州伊宁市召开</w:t>
      </w:r>
      <w:r>
        <w:t>的</w:t>
      </w:r>
      <w:r>
        <w:rPr>
          <w:rFonts w:hint="eastAsia"/>
        </w:rPr>
        <w:t>稀有金属、</w:t>
      </w:r>
      <w:r>
        <w:t>粉末冶金标准工作会议上征求了与会专家意见</w:t>
      </w:r>
      <w:r>
        <w:rPr>
          <w:rFonts w:hint="eastAsia"/>
        </w:rPr>
        <w:t>，</w:t>
      </w:r>
      <w:r>
        <w:t>并通过专家论证。</w:t>
      </w:r>
    </w:p>
    <w:p>
      <w:pPr>
        <w:spacing w:before="312" w:beforeLines="100" w:after="312" w:afterLines="100"/>
        <w:rPr>
          <w:rFonts w:eastAsia="黑体"/>
          <w:bCs/>
          <w:sz w:val="24"/>
        </w:rPr>
      </w:pPr>
      <w:r>
        <w:rPr>
          <w:rFonts w:eastAsia="黑体"/>
          <w:bCs/>
          <w:sz w:val="24"/>
        </w:rPr>
        <w:t>二、 标准编制原则</w:t>
      </w:r>
    </w:p>
    <w:p>
      <w:pPr>
        <w:ind w:firstLine="420" w:firstLineChars="200"/>
      </w:pPr>
      <w:r>
        <w:t>1、完全按照GB/T 1.1-2020的要求编写。</w:t>
      </w:r>
    </w:p>
    <w:p>
      <w:pPr>
        <w:ind w:firstLine="420" w:firstLineChars="200"/>
      </w:pPr>
      <w:r>
        <w:t>2、遵循科学性、先进性、统一性，以与实际相结合为原则，提高标准的可操作性。满足国内热喷涂用</w:t>
      </w:r>
      <w:r>
        <w:rPr>
          <w:rFonts w:hint="eastAsia"/>
        </w:rPr>
        <w:t>氧化铬</w:t>
      </w:r>
      <w:r>
        <w:t>粉末的研究、生产和使用的需要为原则，提高标准的适用性。</w:t>
      </w:r>
    </w:p>
    <w:p>
      <w:pPr>
        <w:ind w:firstLine="420" w:firstLineChars="200"/>
      </w:pPr>
      <w:r>
        <w:t>3、对产品的化学成分、粒度、松装密度、外观等指标进行了规定，保证了产品的质量。</w:t>
      </w:r>
    </w:p>
    <w:p>
      <w:pPr>
        <w:ind w:firstLine="420" w:firstLineChars="200"/>
      </w:pPr>
      <w:r>
        <w:t>4、严格控制了产品的杂质含量，保证了产品的使用性能。</w:t>
      </w:r>
    </w:p>
    <w:p>
      <w:pPr>
        <w:ind w:firstLine="420" w:firstLineChars="200"/>
        <w:rPr>
          <w:sz w:val="24"/>
        </w:rPr>
      </w:pPr>
      <w:r>
        <w:t>5、规定了产品的试验方法、检验规则，避免了供需双方的冲突，促进了本行业健康发展。</w:t>
      </w:r>
    </w:p>
    <w:p>
      <w:pPr>
        <w:spacing w:before="312" w:beforeLines="100" w:after="312" w:afterLines="100"/>
        <w:rPr>
          <w:rFonts w:eastAsia="黑体"/>
          <w:bCs/>
          <w:sz w:val="24"/>
        </w:rPr>
      </w:pPr>
      <w:r>
        <w:rPr>
          <w:rFonts w:eastAsia="黑体"/>
          <w:bCs/>
          <w:sz w:val="24"/>
        </w:rPr>
        <w:t>三、标准主要内容的确定依据</w:t>
      </w:r>
    </w:p>
    <w:p>
      <w:pPr>
        <w:spacing w:before="156" w:beforeLines="50" w:after="156" w:afterLines="50"/>
        <w:rPr>
          <w:rFonts w:eastAsia="黑体"/>
          <w:bCs/>
          <w:sz w:val="24"/>
          <w:highlight w:val="none"/>
        </w:rPr>
      </w:pPr>
      <w:r>
        <w:rPr>
          <w:rFonts w:eastAsia="黑体"/>
          <w:bCs/>
          <w:sz w:val="24"/>
          <w:highlight w:val="none"/>
        </w:rPr>
        <w:t>3.1 范围</w:t>
      </w:r>
    </w:p>
    <w:p>
      <w:pPr>
        <w:pStyle w:val="23"/>
        <w:tabs>
          <w:tab w:val="center" w:pos="4201"/>
          <w:tab w:val="right" w:leader="dot" w:pos="9298"/>
        </w:tabs>
        <w:ind w:firstLine="420"/>
        <w:rPr>
          <w:rFonts w:ascii="Times New Roman"/>
          <w:highlight w:val="none"/>
        </w:rPr>
      </w:pPr>
      <w:r>
        <w:rPr>
          <w:rFonts w:ascii="Times New Roman"/>
          <w:highlight w:val="none"/>
        </w:rPr>
        <w:t>本文件规定了热喷涂用</w:t>
      </w:r>
      <w:r>
        <w:rPr>
          <w:rFonts w:hint="eastAsia" w:ascii="Times New Roman"/>
          <w:highlight w:val="none"/>
        </w:rPr>
        <w:t>氧化铬</w:t>
      </w:r>
      <w:r>
        <w:rPr>
          <w:rFonts w:ascii="Times New Roman"/>
          <w:highlight w:val="none"/>
        </w:rPr>
        <w:t>粉末的技术要求、试验方法、检验规则及标志、包装、运输、</w:t>
      </w:r>
      <w:r>
        <w:rPr>
          <w:rFonts w:hint="eastAsia"/>
          <w:highlight w:val="none"/>
        </w:rPr>
        <w:t>贮存及随行文件和订货单内容</w:t>
      </w:r>
      <w:r>
        <w:rPr>
          <w:rFonts w:ascii="Times New Roman"/>
          <w:highlight w:val="none"/>
        </w:rPr>
        <w:t>。</w:t>
      </w:r>
    </w:p>
    <w:p>
      <w:pPr>
        <w:pStyle w:val="23"/>
        <w:ind w:firstLine="420"/>
        <w:rPr>
          <w:rFonts w:ascii="Times New Roman"/>
          <w:highlight w:val="none"/>
        </w:rPr>
      </w:pPr>
      <w:r>
        <w:rPr>
          <w:rFonts w:hint="eastAsia"/>
          <w:highlight w:val="none"/>
        </w:rPr>
        <w:t>本文件适用于采用喷雾干燥或熔融破碎工艺的制备用于等离子喷涂的氧化铬粉末。</w:t>
      </w:r>
    </w:p>
    <w:p>
      <w:pPr>
        <w:spacing w:before="156" w:beforeLines="50" w:after="156" w:afterLines="50"/>
        <w:rPr>
          <w:rFonts w:eastAsia="黑体"/>
          <w:bCs/>
          <w:sz w:val="24"/>
          <w:highlight w:val="none"/>
        </w:rPr>
      </w:pPr>
      <w:r>
        <w:rPr>
          <w:rFonts w:eastAsia="黑体"/>
          <w:bCs/>
          <w:sz w:val="24"/>
          <w:highlight w:val="none"/>
        </w:rPr>
        <w:t>3.2 主要技术指标及确定依据</w:t>
      </w:r>
    </w:p>
    <w:p>
      <w:pPr>
        <w:spacing w:before="156" w:beforeLines="50" w:after="156" w:afterLines="50"/>
        <w:rPr>
          <w:rFonts w:eastAsia="黑体"/>
          <w:bCs/>
          <w:sz w:val="24"/>
          <w:highlight w:val="none"/>
        </w:rPr>
      </w:pPr>
      <w:r>
        <w:rPr>
          <w:rFonts w:eastAsia="黑体"/>
          <w:bCs/>
          <w:sz w:val="24"/>
          <w:highlight w:val="none"/>
        </w:rPr>
        <w:t>3.2.1 化学成分</w:t>
      </w:r>
    </w:p>
    <w:p>
      <w:pPr>
        <w:spacing w:before="156" w:beforeLines="50"/>
        <w:ind w:firstLine="420" w:firstLineChars="200"/>
        <w:rPr>
          <w:color w:val="auto"/>
          <w:highlight w:val="none"/>
        </w:rPr>
      </w:pPr>
      <w:bookmarkStart w:id="0" w:name="_Hlk37167104"/>
      <w:r>
        <w:rPr>
          <w:rFonts w:hint="eastAsia"/>
          <w:highlight w:val="none"/>
        </w:rPr>
        <w:t>表2为对行业内热喷</w:t>
      </w:r>
      <w:r>
        <w:rPr>
          <w:rFonts w:hint="eastAsia"/>
          <w:color w:val="auto"/>
          <w:highlight w:val="none"/>
        </w:rPr>
        <w:t>涂用氧化铬粉末的研究、生产和适用的主要企业的主要成分、掺杂元素、杂质成分的调研情况。</w:t>
      </w:r>
    </w:p>
    <w:p>
      <w:pPr>
        <w:spacing w:before="156" w:beforeLines="50"/>
        <w:ind w:firstLine="420" w:firstLineChars="200"/>
        <w:jc w:val="center"/>
        <w:rPr>
          <w:rFonts w:hint="eastAsia"/>
          <w:color w:val="auto"/>
          <w:highlight w:val="none"/>
        </w:rPr>
      </w:pPr>
      <w:r>
        <w:rPr>
          <w:rFonts w:hint="eastAsia"/>
          <w:color w:val="auto"/>
          <w:highlight w:val="none"/>
        </w:rPr>
        <w:t>表2 氧化铬粉末的主要成分、掺杂成分、杂质成分</w:t>
      </w:r>
    </w:p>
    <w:tbl>
      <w:tblPr>
        <w:tblStyle w:val="12"/>
        <w:tblW w:w="101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701"/>
        <w:gridCol w:w="1275"/>
        <w:gridCol w:w="1276"/>
        <w:gridCol w:w="1276"/>
        <w:gridCol w:w="1159"/>
        <w:gridCol w:w="12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235" w:type="dxa"/>
            <w:vMerge w:val="restart"/>
            <w:vAlign w:val="center"/>
          </w:tcPr>
          <w:p>
            <w:pPr>
              <w:pStyle w:val="23"/>
              <w:widowControl w:val="0"/>
              <w:tabs>
                <w:tab w:val="center" w:pos="4201"/>
                <w:tab w:val="right" w:leader="dot" w:pos="9298"/>
              </w:tabs>
              <w:ind w:firstLine="360"/>
              <w:jc w:val="center"/>
              <w:rPr>
                <w:rFonts w:ascii="Times New Roman"/>
                <w:color w:val="auto"/>
                <w:sz w:val="18"/>
                <w:szCs w:val="18"/>
                <w:highlight w:val="none"/>
              </w:rPr>
            </w:pPr>
            <w:r>
              <w:rPr>
                <w:rFonts w:hint="eastAsia" w:hAnsi="宋体"/>
                <w:color w:val="auto"/>
                <w:sz w:val="18"/>
                <w:szCs w:val="18"/>
                <w:highlight w:val="none"/>
              </w:rPr>
              <w:t>调研单位</w:t>
            </w:r>
          </w:p>
        </w:tc>
        <w:tc>
          <w:tcPr>
            <w:tcW w:w="7894" w:type="dxa"/>
            <w:gridSpan w:val="6"/>
            <w:vAlign w:val="center"/>
          </w:tcPr>
          <w:p>
            <w:pPr>
              <w:pStyle w:val="23"/>
              <w:widowControl w:val="0"/>
              <w:tabs>
                <w:tab w:val="center" w:pos="4201"/>
                <w:tab w:val="right" w:leader="dot" w:pos="9298"/>
              </w:tabs>
              <w:ind w:firstLine="0" w:firstLineChars="0"/>
              <w:jc w:val="center"/>
              <w:rPr>
                <w:rFonts w:ascii="Times New Roman"/>
                <w:color w:val="auto"/>
                <w:sz w:val="18"/>
                <w:szCs w:val="18"/>
                <w:highlight w:val="none"/>
              </w:rPr>
            </w:pPr>
            <w:r>
              <w:rPr>
                <w:rFonts w:hint="eastAsia" w:hAnsi="宋体"/>
                <w:color w:val="auto"/>
                <w:sz w:val="18"/>
                <w:szCs w:val="18"/>
                <w:highlight w:val="none"/>
              </w:rPr>
              <w:t>技术参数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235" w:type="dxa"/>
            <w:vMerge w:val="continue"/>
          </w:tcPr>
          <w:p>
            <w:pPr>
              <w:jc w:val="center"/>
              <w:rPr>
                <w:rFonts w:eastAsiaTheme="minorEastAsia"/>
                <w:color w:val="auto"/>
                <w:sz w:val="18"/>
                <w:szCs w:val="18"/>
                <w:highlight w:val="none"/>
              </w:rPr>
            </w:pPr>
          </w:p>
        </w:tc>
        <w:tc>
          <w:tcPr>
            <w:tcW w:w="6687" w:type="dxa"/>
            <w:gridSpan w:val="5"/>
            <w:vAlign w:val="center"/>
          </w:tcPr>
          <w:p>
            <w:pPr>
              <w:jc w:val="center"/>
              <w:rPr>
                <w:color w:val="auto"/>
                <w:sz w:val="18"/>
                <w:szCs w:val="18"/>
                <w:highlight w:val="none"/>
              </w:rPr>
            </w:pPr>
            <w:r>
              <w:rPr>
                <w:rFonts w:hint="eastAsia" w:hAnsi="宋体"/>
                <w:color w:val="auto"/>
                <w:kern w:val="0"/>
                <w:sz w:val="18"/>
                <w:szCs w:val="18"/>
                <w:highlight w:val="none"/>
              </w:rPr>
              <w:t>化学成分/wt.</w:t>
            </w:r>
            <w:r>
              <w:rPr>
                <w:rFonts w:hAnsi="宋体"/>
                <w:color w:val="auto"/>
                <w:kern w:val="0"/>
                <w:sz w:val="18"/>
                <w:szCs w:val="18"/>
                <w:highlight w:val="none"/>
              </w:rPr>
              <w:t>%</w:t>
            </w:r>
          </w:p>
        </w:tc>
        <w:tc>
          <w:tcPr>
            <w:tcW w:w="1207" w:type="dxa"/>
            <w:vMerge w:val="restart"/>
            <w:vAlign w:val="center"/>
          </w:tcPr>
          <w:p>
            <w:pPr>
              <w:jc w:val="center"/>
              <w:rPr>
                <w:color w:val="auto"/>
                <w:sz w:val="18"/>
                <w:szCs w:val="18"/>
                <w:highlight w:val="none"/>
              </w:rPr>
            </w:pPr>
            <w:r>
              <w:rPr>
                <w:rFonts w:hint="eastAsia"/>
                <w:color w:val="auto"/>
                <w:sz w:val="18"/>
                <w:szCs w:val="18"/>
                <w:highlight w:val="none"/>
              </w:rPr>
              <w:t>粒度</w:t>
            </w:r>
            <w:r>
              <w:rPr>
                <w:color w:val="auto"/>
                <w:sz w:val="18"/>
                <w:szCs w:val="18"/>
                <w:highlight w:val="none"/>
              </w:rPr>
              <w:t>/μm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235" w:type="dxa"/>
            <w:vMerge w:val="continue"/>
          </w:tcPr>
          <w:p>
            <w:pPr>
              <w:jc w:val="center"/>
              <w:rPr>
                <w:rFonts w:eastAsiaTheme="minorEastAsia"/>
                <w:color w:val="auto"/>
                <w:sz w:val="18"/>
                <w:szCs w:val="18"/>
                <w:highlight w:val="none"/>
              </w:rPr>
            </w:pPr>
          </w:p>
        </w:tc>
        <w:tc>
          <w:tcPr>
            <w:tcW w:w="1701" w:type="dxa"/>
            <w:vAlign w:val="center"/>
          </w:tcPr>
          <w:p>
            <w:pPr>
              <w:jc w:val="center"/>
              <w:rPr>
                <w:color w:val="auto"/>
                <w:sz w:val="18"/>
                <w:szCs w:val="18"/>
                <w:highlight w:val="none"/>
              </w:rPr>
            </w:pPr>
            <w:r>
              <w:rPr>
                <w:rFonts w:hint="eastAsia" w:hAnsi="宋体"/>
                <w:color w:val="auto"/>
                <w:kern w:val="0"/>
                <w:sz w:val="18"/>
                <w:szCs w:val="18"/>
                <w:highlight w:val="none"/>
              </w:rPr>
              <w:t>主要成分</w:t>
            </w:r>
          </w:p>
        </w:tc>
        <w:tc>
          <w:tcPr>
            <w:tcW w:w="4986" w:type="dxa"/>
            <w:gridSpan w:val="4"/>
          </w:tcPr>
          <w:p>
            <w:pPr>
              <w:jc w:val="center"/>
              <w:rPr>
                <w:color w:val="auto"/>
                <w:sz w:val="18"/>
                <w:szCs w:val="18"/>
                <w:highlight w:val="none"/>
              </w:rPr>
            </w:pPr>
            <w:r>
              <w:rPr>
                <w:rFonts w:hint="eastAsia"/>
                <w:color w:val="auto"/>
                <w:sz w:val="18"/>
                <w:szCs w:val="18"/>
                <w:highlight w:val="none"/>
              </w:rPr>
              <w:t>掺杂成分及杂质成分</w:t>
            </w:r>
          </w:p>
        </w:tc>
        <w:tc>
          <w:tcPr>
            <w:tcW w:w="1207" w:type="dxa"/>
            <w:vMerge w:val="continue"/>
          </w:tcPr>
          <w:p>
            <w:pPr>
              <w:jc w:val="center"/>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235" w:type="dxa"/>
            <w:vMerge w:val="continue"/>
          </w:tcPr>
          <w:p>
            <w:pPr>
              <w:jc w:val="center"/>
              <w:rPr>
                <w:rFonts w:eastAsiaTheme="minorEastAsia"/>
                <w:color w:val="auto"/>
                <w:sz w:val="18"/>
                <w:szCs w:val="18"/>
                <w:highlight w:val="none"/>
              </w:rPr>
            </w:pPr>
          </w:p>
        </w:tc>
        <w:tc>
          <w:tcPr>
            <w:tcW w:w="1701" w:type="dxa"/>
            <w:vAlign w:val="center"/>
          </w:tcPr>
          <w:p>
            <w:pPr>
              <w:jc w:val="center"/>
              <w:rPr>
                <w:color w:val="auto"/>
                <w:sz w:val="18"/>
                <w:szCs w:val="18"/>
                <w:highlight w:val="none"/>
              </w:rPr>
            </w:pPr>
            <w:r>
              <w:rPr>
                <w:color w:val="auto"/>
                <w:sz w:val="18"/>
                <w:szCs w:val="18"/>
                <w:highlight w:val="none"/>
              </w:rPr>
              <w:t>Cr</w:t>
            </w:r>
            <w:r>
              <w:rPr>
                <w:color w:val="auto"/>
                <w:sz w:val="18"/>
                <w:szCs w:val="18"/>
                <w:highlight w:val="none"/>
                <w:vertAlign w:val="subscript"/>
              </w:rPr>
              <w:t>2</w:t>
            </w:r>
            <w:r>
              <w:rPr>
                <w:color w:val="auto"/>
                <w:sz w:val="18"/>
                <w:szCs w:val="18"/>
                <w:highlight w:val="none"/>
              </w:rPr>
              <w:t>O</w:t>
            </w:r>
            <w:r>
              <w:rPr>
                <w:color w:val="auto"/>
                <w:sz w:val="18"/>
                <w:szCs w:val="18"/>
                <w:highlight w:val="none"/>
                <w:vertAlign w:val="subscript"/>
              </w:rPr>
              <w:t>3</w:t>
            </w:r>
          </w:p>
        </w:tc>
        <w:tc>
          <w:tcPr>
            <w:tcW w:w="1275" w:type="dxa"/>
            <w:vAlign w:val="center"/>
          </w:tcPr>
          <w:p>
            <w:pPr>
              <w:jc w:val="center"/>
              <w:rPr>
                <w:color w:val="auto"/>
                <w:sz w:val="18"/>
                <w:szCs w:val="18"/>
                <w:highlight w:val="none"/>
              </w:rPr>
            </w:pPr>
            <w:r>
              <w:rPr>
                <w:color w:val="auto"/>
                <w:sz w:val="18"/>
                <w:szCs w:val="18"/>
                <w:highlight w:val="none"/>
              </w:rPr>
              <w:t>TiO</w:t>
            </w:r>
            <w:r>
              <w:rPr>
                <w:color w:val="auto"/>
                <w:sz w:val="18"/>
                <w:szCs w:val="18"/>
                <w:highlight w:val="none"/>
                <w:vertAlign w:val="subscript"/>
              </w:rPr>
              <w:t>2</w:t>
            </w:r>
          </w:p>
        </w:tc>
        <w:tc>
          <w:tcPr>
            <w:tcW w:w="1276" w:type="dxa"/>
            <w:vAlign w:val="center"/>
          </w:tcPr>
          <w:p>
            <w:pPr>
              <w:jc w:val="center"/>
              <w:rPr>
                <w:color w:val="auto"/>
                <w:sz w:val="18"/>
                <w:szCs w:val="18"/>
                <w:highlight w:val="none"/>
              </w:rPr>
            </w:pPr>
            <w:r>
              <w:rPr>
                <w:color w:val="auto"/>
                <w:sz w:val="18"/>
                <w:szCs w:val="18"/>
                <w:highlight w:val="none"/>
              </w:rPr>
              <w:t>SiO</w:t>
            </w:r>
            <w:r>
              <w:rPr>
                <w:color w:val="auto"/>
                <w:sz w:val="18"/>
                <w:szCs w:val="18"/>
                <w:highlight w:val="none"/>
                <w:vertAlign w:val="subscript"/>
              </w:rPr>
              <w:t>2</w:t>
            </w:r>
          </w:p>
        </w:tc>
        <w:tc>
          <w:tcPr>
            <w:tcW w:w="1276" w:type="dxa"/>
            <w:vAlign w:val="center"/>
          </w:tcPr>
          <w:p>
            <w:pPr>
              <w:jc w:val="center"/>
              <w:rPr>
                <w:color w:val="auto"/>
                <w:sz w:val="18"/>
                <w:szCs w:val="18"/>
                <w:highlight w:val="none"/>
              </w:rPr>
            </w:pPr>
            <w:r>
              <w:rPr>
                <w:color w:val="auto"/>
                <w:sz w:val="18"/>
                <w:szCs w:val="18"/>
                <w:highlight w:val="none"/>
              </w:rPr>
              <w:t>Al</w:t>
            </w:r>
            <w:r>
              <w:rPr>
                <w:color w:val="auto"/>
                <w:sz w:val="18"/>
                <w:szCs w:val="18"/>
                <w:highlight w:val="none"/>
                <w:vertAlign w:val="subscript"/>
              </w:rPr>
              <w:t>2</w:t>
            </w:r>
            <w:r>
              <w:rPr>
                <w:color w:val="auto"/>
                <w:sz w:val="18"/>
                <w:szCs w:val="18"/>
                <w:highlight w:val="none"/>
              </w:rPr>
              <w:t>O</w:t>
            </w:r>
            <w:r>
              <w:rPr>
                <w:color w:val="auto"/>
                <w:sz w:val="18"/>
                <w:szCs w:val="18"/>
                <w:highlight w:val="none"/>
                <w:vertAlign w:val="subscript"/>
              </w:rPr>
              <w:t>3</w:t>
            </w:r>
          </w:p>
        </w:tc>
        <w:tc>
          <w:tcPr>
            <w:tcW w:w="1159" w:type="dxa"/>
          </w:tcPr>
          <w:p>
            <w:pPr>
              <w:jc w:val="center"/>
              <w:rPr>
                <w:color w:val="auto"/>
                <w:sz w:val="18"/>
                <w:szCs w:val="18"/>
                <w:highlight w:val="none"/>
              </w:rPr>
            </w:pPr>
            <w:r>
              <w:rPr>
                <w:color w:val="auto"/>
                <w:sz w:val="18"/>
                <w:szCs w:val="18"/>
                <w:highlight w:val="none"/>
              </w:rPr>
              <w:t>Fe</w:t>
            </w:r>
            <w:r>
              <w:rPr>
                <w:color w:val="auto"/>
                <w:sz w:val="18"/>
                <w:szCs w:val="18"/>
                <w:highlight w:val="none"/>
                <w:vertAlign w:val="subscript"/>
              </w:rPr>
              <w:t>2</w:t>
            </w:r>
            <w:r>
              <w:rPr>
                <w:color w:val="auto"/>
                <w:sz w:val="18"/>
                <w:szCs w:val="18"/>
                <w:highlight w:val="none"/>
              </w:rPr>
              <w:t>O</w:t>
            </w:r>
            <w:r>
              <w:rPr>
                <w:color w:val="auto"/>
                <w:sz w:val="18"/>
                <w:szCs w:val="18"/>
                <w:highlight w:val="none"/>
                <w:vertAlign w:val="subscript"/>
              </w:rPr>
              <w:t>3</w:t>
            </w:r>
          </w:p>
        </w:tc>
        <w:tc>
          <w:tcPr>
            <w:tcW w:w="1207" w:type="dxa"/>
            <w:vMerge w:val="continue"/>
            <w:vAlign w:val="center"/>
          </w:tcPr>
          <w:p>
            <w:pPr>
              <w:jc w:val="center"/>
              <w:rPr>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35" w:type="dxa"/>
            <w:vAlign w:val="center"/>
          </w:tcPr>
          <w:p>
            <w:pPr>
              <w:adjustRightInd w:val="0"/>
              <w:snapToGrid w:val="0"/>
              <w:jc w:val="center"/>
              <w:rPr>
                <w:color w:val="auto"/>
                <w:sz w:val="18"/>
                <w:szCs w:val="18"/>
                <w:highlight w:val="none"/>
              </w:rPr>
            </w:pPr>
            <w:r>
              <w:rPr>
                <w:rFonts w:hint="eastAsia"/>
                <w:color w:val="auto"/>
                <w:sz w:val="18"/>
                <w:szCs w:val="18"/>
                <w:highlight w:val="none"/>
              </w:rPr>
              <w:t>A</w:t>
            </w:r>
          </w:p>
        </w:tc>
        <w:tc>
          <w:tcPr>
            <w:tcW w:w="1701" w:type="dxa"/>
            <w:vAlign w:val="center"/>
          </w:tcPr>
          <w:p>
            <w:pPr>
              <w:adjustRightInd w:val="0"/>
              <w:snapToGrid w:val="0"/>
              <w:jc w:val="center"/>
              <w:rPr>
                <w:color w:val="auto"/>
                <w:sz w:val="18"/>
                <w:szCs w:val="18"/>
                <w:highlight w:val="none"/>
              </w:rPr>
            </w:pPr>
            <w:r>
              <w:rPr>
                <w:color w:val="auto"/>
                <w:sz w:val="18"/>
                <w:szCs w:val="18"/>
                <w:highlight w:val="none"/>
              </w:rPr>
              <w:t>≥</w:t>
            </w:r>
            <w:r>
              <w:rPr>
                <w:rFonts w:hint="eastAsia"/>
                <w:color w:val="auto"/>
                <w:sz w:val="18"/>
                <w:szCs w:val="18"/>
                <w:highlight w:val="none"/>
              </w:rPr>
              <w:t>99.5</w:t>
            </w:r>
          </w:p>
        </w:tc>
        <w:tc>
          <w:tcPr>
            <w:tcW w:w="1275" w:type="dxa"/>
            <w:vAlign w:val="center"/>
          </w:tcPr>
          <w:p>
            <w:pPr>
              <w:adjustRightInd w:val="0"/>
              <w:snapToGrid w:val="0"/>
              <w:jc w:val="center"/>
              <w:rPr>
                <w:color w:val="auto"/>
                <w:sz w:val="18"/>
                <w:szCs w:val="18"/>
                <w:highlight w:val="none"/>
              </w:rPr>
            </w:pPr>
            <w:r>
              <w:rPr>
                <w:color w:val="auto"/>
                <w:sz w:val="18"/>
                <w:szCs w:val="18"/>
                <w:highlight w:val="none"/>
              </w:rPr>
              <w:t>≤0.1</w:t>
            </w:r>
            <w:r>
              <w:rPr>
                <w:rFonts w:hint="eastAsia"/>
                <w:color w:val="auto"/>
                <w:sz w:val="18"/>
                <w:szCs w:val="18"/>
                <w:highlight w:val="none"/>
              </w:rPr>
              <w:t>0</w:t>
            </w:r>
          </w:p>
        </w:tc>
        <w:tc>
          <w:tcPr>
            <w:tcW w:w="1276" w:type="dxa"/>
            <w:vAlign w:val="center"/>
          </w:tcPr>
          <w:p>
            <w:pPr>
              <w:adjustRightInd w:val="0"/>
              <w:snapToGrid w:val="0"/>
              <w:jc w:val="center"/>
              <w:rPr>
                <w:color w:val="auto"/>
                <w:sz w:val="18"/>
                <w:szCs w:val="18"/>
                <w:highlight w:val="none"/>
              </w:rPr>
            </w:pPr>
            <w:r>
              <w:rPr>
                <w:color w:val="auto"/>
                <w:sz w:val="18"/>
                <w:szCs w:val="18"/>
                <w:highlight w:val="none"/>
              </w:rPr>
              <w:t>≤</w:t>
            </w:r>
            <w:r>
              <w:rPr>
                <w:rFonts w:hint="eastAsia"/>
                <w:color w:val="auto"/>
                <w:sz w:val="18"/>
                <w:szCs w:val="18"/>
                <w:highlight w:val="none"/>
              </w:rPr>
              <w:t>0.45</w:t>
            </w:r>
          </w:p>
        </w:tc>
        <w:tc>
          <w:tcPr>
            <w:tcW w:w="1276" w:type="dxa"/>
            <w:vAlign w:val="center"/>
          </w:tcPr>
          <w:p>
            <w:pPr>
              <w:adjustRightInd w:val="0"/>
              <w:snapToGrid w:val="0"/>
              <w:jc w:val="center"/>
              <w:rPr>
                <w:color w:val="auto"/>
                <w:sz w:val="18"/>
                <w:szCs w:val="18"/>
                <w:highlight w:val="none"/>
              </w:rPr>
            </w:pPr>
            <w:r>
              <w:rPr>
                <w:color w:val="auto"/>
                <w:sz w:val="18"/>
                <w:szCs w:val="18"/>
                <w:highlight w:val="none"/>
              </w:rPr>
              <w:t>≤</w:t>
            </w:r>
            <w:r>
              <w:rPr>
                <w:rFonts w:hint="eastAsia"/>
                <w:color w:val="auto"/>
                <w:sz w:val="18"/>
                <w:szCs w:val="18"/>
                <w:highlight w:val="none"/>
              </w:rPr>
              <w:t>0.20</w:t>
            </w:r>
          </w:p>
        </w:tc>
        <w:tc>
          <w:tcPr>
            <w:tcW w:w="1159" w:type="dxa"/>
          </w:tcPr>
          <w:p>
            <w:pPr>
              <w:adjustRightInd w:val="0"/>
              <w:snapToGrid w:val="0"/>
              <w:jc w:val="center"/>
              <w:rPr>
                <w:color w:val="auto"/>
                <w:sz w:val="18"/>
                <w:szCs w:val="18"/>
                <w:highlight w:val="none"/>
              </w:rPr>
            </w:pPr>
            <w:r>
              <w:rPr>
                <w:color w:val="auto"/>
                <w:sz w:val="18"/>
                <w:szCs w:val="18"/>
                <w:highlight w:val="none"/>
              </w:rPr>
              <w:t>≤</w:t>
            </w:r>
            <w:r>
              <w:rPr>
                <w:rFonts w:hint="eastAsia"/>
                <w:color w:val="auto"/>
                <w:sz w:val="18"/>
                <w:szCs w:val="18"/>
                <w:highlight w:val="none"/>
              </w:rPr>
              <w:t>0.40</w:t>
            </w:r>
          </w:p>
        </w:tc>
        <w:tc>
          <w:tcPr>
            <w:tcW w:w="1207" w:type="dxa"/>
            <w:vAlign w:val="center"/>
          </w:tcPr>
          <w:p>
            <w:pPr>
              <w:adjustRightInd w:val="0"/>
              <w:snapToGrid w:val="0"/>
              <w:jc w:val="center"/>
              <w:rPr>
                <w:color w:val="auto"/>
                <w:sz w:val="18"/>
                <w:szCs w:val="18"/>
                <w:highlight w:val="none"/>
              </w:rPr>
            </w:pPr>
            <w:r>
              <w:rPr>
                <w:rFonts w:hint="eastAsia"/>
                <w:color w:val="auto"/>
                <w:sz w:val="18"/>
                <w:szCs w:val="18"/>
                <w:highlight w:val="none"/>
              </w:rPr>
              <w:t>–</w:t>
            </w:r>
            <w:r>
              <w:rPr>
                <w:color w:val="auto"/>
                <w:sz w:val="18"/>
                <w:szCs w:val="18"/>
                <w:highlight w:val="none"/>
              </w:rPr>
              <w:t>45 +22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adjustRightInd w:val="0"/>
              <w:snapToGrid w:val="0"/>
              <w:jc w:val="center"/>
              <w:rPr>
                <w:color w:val="auto"/>
                <w:szCs w:val="21"/>
                <w:highlight w:val="none"/>
              </w:rPr>
            </w:pPr>
            <w:r>
              <w:rPr>
                <w:rFonts w:hint="eastAsia"/>
                <w:color w:val="auto"/>
                <w:sz w:val="18"/>
                <w:szCs w:val="18"/>
                <w:highlight w:val="none"/>
              </w:rPr>
              <w:t>A</w:t>
            </w:r>
          </w:p>
        </w:tc>
        <w:tc>
          <w:tcPr>
            <w:tcW w:w="1701" w:type="dxa"/>
            <w:vAlign w:val="center"/>
          </w:tcPr>
          <w:p>
            <w:pPr>
              <w:adjustRightInd w:val="0"/>
              <w:snapToGrid w:val="0"/>
              <w:jc w:val="center"/>
              <w:rPr>
                <w:color w:val="auto"/>
                <w:sz w:val="18"/>
                <w:szCs w:val="18"/>
                <w:highlight w:val="none"/>
              </w:rPr>
            </w:pPr>
            <w:r>
              <w:rPr>
                <w:color w:val="auto"/>
                <w:sz w:val="18"/>
                <w:szCs w:val="18"/>
                <w:highlight w:val="none"/>
              </w:rPr>
              <w:t>≥95.8</w:t>
            </w:r>
          </w:p>
        </w:tc>
        <w:tc>
          <w:tcPr>
            <w:tcW w:w="1275" w:type="dxa"/>
            <w:vAlign w:val="center"/>
          </w:tcPr>
          <w:p>
            <w:pPr>
              <w:adjustRightInd w:val="0"/>
              <w:snapToGrid w:val="0"/>
              <w:jc w:val="center"/>
              <w:rPr>
                <w:color w:val="auto"/>
                <w:sz w:val="18"/>
                <w:szCs w:val="18"/>
                <w:highlight w:val="none"/>
              </w:rPr>
            </w:pPr>
            <w:r>
              <w:rPr>
                <w:color w:val="auto"/>
                <w:sz w:val="18"/>
                <w:szCs w:val="18"/>
                <w:highlight w:val="none"/>
              </w:rPr>
              <w:t>≤4.25</w:t>
            </w:r>
          </w:p>
        </w:tc>
        <w:tc>
          <w:tcPr>
            <w:tcW w:w="1276" w:type="dxa"/>
            <w:vAlign w:val="center"/>
          </w:tcPr>
          <w:p>
            <w:pPr>
              <w:adjustRightInd w:val="0"/>
              <w:snapToGrid w:val="0"/>
              <w:jc w:val="center"/>
              <w:rPr>
                <w:color w:val="auto"/>
                <w:sz w:val="18"/>
                <w:szCs w:val="18"/>
                <w:highlight w:val="none"/>
              </w:rPr>
            </w:pPr>
            <w:r>
              <w:rPr>
                <w:color w:val="auto"/>
                <w:sz w:val="18"/>
                <w:szCs w:val="18"/>
                <w:highlight w:val="none"/>
              </w:rPr>
              <w:t>≤0.50</w:t>
            </w:r>
          </w:p>
        </w:tc>
        <w:tc>
          <w:tcPr>
            <w:tcW w:w="1276" w:type="dxa"/>
            <w:vAlign w:val="center"/>
          </w:tcPr>
          <w:p>
            <w:pPr>
              <w:adjustRightInd w:val="0"/>
              <w:snapToGrid w:val="0"/>
              <w:jc w:val="center"/>
              <w:rPr>
                <w:color w:val="auto"/>
                <w:sz w:val="18"/>
                <w:szCs w:val="18"/>
                <w:highlight w:val="none"/>
              </w:rPr>
            </w:pPr>
            <w:r>
              <w:rPr>
                <w:color w:val="auto"/>
                <w:sz w:val="18"/>
                <w:szCs w:val="18"/>
                <w:highlight w:val="none"/>
              </w:rPr>
              <w:t>≤0.25</w:t>
            </w:r>
          </w:p>
        </w:tc>
        <w:tc>
          <w:tcPr>
            <w:tcW w:w="1159" w:type="dxa"/>
          </w:tcPr>
          <w:p>
            <w:pPr>
              <w:adjustRightInd w:val="0"/>
              <w:snapToGrid w:val="0"/>
              <w:jc w:val="center"/>
              <w:rPr>
                <w:color w:val="auto"/>
                <w:sz w:val="18"/>
                <w:szCs w:val="18"/>
                <w:highlight w:val="none"/>
              </w:rPr>
            </w:pPr>
            <w:r>
              <w:rPr>
                <w:color w:val="auto"/>
                <w:sz w:val="18"/>
                <w:szCs w:val="18"/>
                <w:highlight w:val="none"/>
              </w:rPr>
              <w:t>≤0.50</w:t>
            </w:r>
          </w:p>
        </w:tc>
        <w:tc>
          <w:tcPr>
            <w:tcW w:w="1207" w:type="dxa"/>
            <w:vAlign w:val="center"/>
          </w:tcPr>
          <w:p>
            <w:pPr>
              <w:adjustRightInd w:val="0"/>
              <w:snapToGrid w:val="0"/>
              <w:jc w:val="center"/>
              <w:rPr>
                <w:color w:val="auto"/>
                <w:sz w:val="18"/>
                <w:szCs w:val="18"/>
                <w:highlight w:val="none"/>
              </w:rPr>
            </w:pPr>
            <w:r>
              <w:rPr>
                <w:rFonts w:hint="eastAsia"/>
                <w:color w:val="auto"/>
                <w:sz w:val="18"/>
                <w:szCs w:val="18"/>
                <w:highlight w:val="none"/>
              </w:rPr>
              <w:t>–</w:t>
            </w:r>
            <w:r>
              <w:rPr>
                <w:color w:val="auto"/>
                <w:sz w:val="18"/>
                <w:szCs w:val="18"/>
                <w:highlight w:val="none"/>
              </w:rPr>
              <w:t>53 +5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235" w:type="dxa"/>
            <w:vAlign w:val="center"/>
          </w:tcPr>
          <w:p>
            <w:pPr>
              <w:adjustRightInd w:val="0"/>
              <w:snapToGrid w:val="0"/>
              <w:jc w:val="center"/>
              <w:rPr>
                <w:color w:val="auto"/>
                <w:szCs w:val="21"/>
                <w:highlight w:val="none"/>
              </w:rPr>
            </w:pPr>
            <w:r>
              <w:rPr>
                <w:rFonts w:hint="eastAsia"/>
                <w:color w:val="auto"/>
                <w:sz w:val="18"/>
                <w:szCs w:val="18"/>
                <w:highlight w:val="none"/>
              </w:rPr>
              <w:t>A</w:t>
            </w:r>
          </w:p>
        </w:tc>
        <w:tc>
          <w:tcPr>
            <w:tcW w:w="1701" w:type="dxa"/>
            <w:vAlign w:val="center"/>
          </w:tcPr>
          <w:p>
            <w:pPr>
              <w:adjustRightInd w:val="0"/>
              <w:snapToGrid w:val="0"/>
              <w:jc w:val="center"/>
              <w:rPr>
                <w:color w:val="auto"/>
                <w:sz w:val="18"/>
                <w:szCs w:val="18"/>
                <w:highlight w:val="none"/>
              </w:rPr>
            </w:pPr>
            <w:r>
              <w:rPr>
                <w:rFonts w:eastAsia="HelveticaNeueLTCom-Lt"/>
                <w:color w:val="auto"/>
                <w:kern w:val="0"/>
                <w:sz w:val="18"/>
                <w:szCs w:val="18"/>
                <w:highlight w:val="none"/>
              </w:rPr>
              <w:t>Balance</w:t>
            </w:r>
          </w:p>
        </w:tc>
        <w:tc>
          <w:tcPr>
            <w:tcW w:w="1275" w:type="dxa"/>
            <w:vAlign w:val="center"/>
          </w:tcPr>
          <w:p>
            <w:pPr>
              <w:adjustRightInd w:val="0"/>
              <w:snapToGrid w:val="0"/>
              <w:jc w:val="center"/>
              <w:rPr>
                <w:color w:val="auto"/>
                <w:sz w:val="18"/>
                <w:szCs w:val="18"/>
                <w:highlight w:val="none"/>
              </w:rPr>
            </w:pPr>
            <w:r>
              <w:rPr>
                <w:color w:val="auto"/>
                <w:sz w:val="18"/>
                <w:szCs w:val="18"/>
                <w:highlight w:val="none"/>
              </w:rPr>
              <w:t>23.0 – 27.0</w:t>
            </w:r>
          </w:p>
        </w:tc>
        <w:tc>
          <w:tcPr>
            <w:tcW w:w="1276" w:type="dxa"/>
            <w:vAlign w:val="center"/>
          </w:tcPr>
          <w:p>
            <w:pPr>
              <w:adjustRightInd w:val="0"/>
              <w:snapToGrid w:val="0"/>
              <w:jc w:val="center"/>
              <w:rPr>
                <w:color w:val="auto"/>
                <w:sz w:val="18"/>
                <w:szCs w:val="18"/>
                <w:highlight w:val="none"/>
              </w:rPr>
            </w:pPr>
            <w:r>
              <w:rPr>
                <w:rFonts w:eastAsia="HelveticaNeueLTCom-Lt"/>
                <w:color w:val="auto"/>
                <w:kern w:val="0"/>
                <w:sz w:val="18"/>
                <w:szCs w:val="18"/>
                <w:highlight w:val="none"/>
              </w:rPr>
              <w:t>&lt; 0.2</w:t>
            </w:r>
          </w:p>
        </w:tc>
        <w:tc>
          <w:tcPr>
            <w:tcW w:w="1276" w:type="dxa"/>
            <w:vAlign w:val="center"/>
          </w:tcPr>
          <w:p>
            <w:pPr>
              <w:adjustRightInd w:val="0"/>
              <w:snapToGrid w:val="0"/>
              <w:jc w:val="center"/>
              <w:rPr>
                <w:color w:val="auto"/>
                <w:sz w:val="18"/>
                <w:szCs w:val="18"/>
                <w:highlight w:val="none"/>
              </w:rPr>
            </w:pPr>
            <w:r>
              <w:rPr>
                <w:rFonts w:hint="eastAsia"/>
                <w:color w:val="auto"/>
                <w:sz w:val="18"/>
                <w:szCs w:val="18"/>
                <w:highlight w:val="none"/>
              </w:rPr>
              <w:t>-</w:t>
            </w:r>
          </w:p>
        </w:tc>
        <w:tc>
          <w:tcPr>
            <w:tcW w:w="1159" w:type="dxa"/>
            <w:vAlign w:val="center"/>
          </w:tcPr>
          <w:p>
            <w:pPr>
              <w:adjustRightInd w:val="0"/>
              <w:snapToGrid w:val="0"/>
              <w:jc w:val="center"/>
              <w:rPr>
                <w:color w:val="auto"/>
                <w:sz w:val="18"/>
                <w:szCs w:val="18"/>
                <w:highlight w:val="none"/>
              </w:rPr>
            </w:pPr>
            <w:r>
              <w:rPr>
                <w:rFonts w:eastAsia="HelveticaNeueLTCom-Lt"/>
                <w:color w:val="auto"/>
                <w:kern w:val="0"/>
                <w:sz w:val="18"/>
                <w:szCs w:val="18"/>
                <w:highlight w:val="none"/>
              </w:rPr>
              <w:t>&lt; 0.2</w:t>
            </w:r>
          </w:p>
        </w:tc>
        <w:tc>
          <w:tcPr>
            <w:tcW w:w="1207" w:type="dxa"/>
            <w:vAlign w:val="center"/>
          </w:tcPr>
          <w:p>
            <w:pPr>
              <w:adjustRightInd w:val="0"/>
              <w:snapToGrid w:val="0"/>
              <w:jc w:val="center"/>
              <w:rPr>
                <w:color w:val="auto"/>
                <w:sz w:val="18"/>
                <w:szCs w:val="18"/>
                <w:highlight w:val="none"/>
              </w:rPr>
            </w:pPr>
            <w:r>
              <w:rPr>
                <w:rFonts w:hint="eastAsia"/>
                <w:color w:val="auto"/>
                <w:sz w:val="18"/>
                <w:szCs w:val="18"/>
                <w:highlight w:val="none"/>
              </w:rPr>
              <w:t>–</w:t>
            </w:r>
            <w:r>
              <w:rPr>
                <w:color w:val="auto"/>
                <w:sz w:val="18"/>
                <w:szCs w:val="18"/>
                <w:highlight w:val="none"/>
              </w:rPr>
              <w:t>45 +20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adjustRightInd w:val="0"/>
              <w:snapToGrid w:val="0"/>
              <w:jc w:val="center"/>
              <w:rPr>
                <w:color w:val="auto"/>
                <w:highlight w:val="none"/>
              </w:rPr>
            </w:pPr>
            <w:r>
              <w:rPr>
                <w:rFonts w:hint="eastAsia"/>
                <w:color w:val="auto"/>
                <w:sz w:val="18"/>
                <w:szCs w:val="18"/>
                <w:highlight w:val="none"/>
              </w:rPr>
              <w:t>A</w:t>
            </w:r>
          </w:p>
        </w:tc>
        <w:tc>
          <w:tcPr>
            <w:tcW w:w="1701" w:type="dxa"/>
            <w:vAlign w:val="center"/>
          </w:tcPr>
          <w:p>
            <w:pPr>
              <w:adjustRightInd w:val="0"/>
              <w:snapToGrid w:val="0"/>
              <w:jc w:val="center"/>
              <w:rPr>
                <w:rFonts w:hAnsi="宋体"/>
                <w:color w:val="auto"/>
                <w:highlight w:val="none"/>
              </w:rPr>
            </w:pPr>
            <w:r>
              <w:rPr>
                <w:rFonts w:eastAsia="HelveticaNeueLTCom-Lt"/>
                <w:color w:val="auto"/>
                <w:kern w:val="0"/>
                <w:sz w:val="18"/>
                <w:szCs w:val="18"/>
                <w:highlight w:val="none"/>
              </w:rPr>
              <w:t>Balance</w:t>
            </w:r>
          </w:p>
        </w:tc>
        <w:tc>
          <w:tcPr>
            <w:tcW w:w="1275" w:type="dxa"/>
            <w:vAlign w:val="center"/>
          </w:tcPr>
          <w:p>
            <w:pPr>
              <w:adjustRightInd w:val="0"/>
              <w:snapToGrid w:val="0"/>
              <w:jc w:val="center"/>
              <w:rPr>
                <w:rFonts w:hAnsi="宋体"/>
                <w:color w:val="auto"/>
                <w:highlight w:val="none"/>
              </w:rPr>
            </w:pPr>
            <w:r>
              <w:rPr>
                <w:rFonts w:hint="eastAsia" w:hAnsi="宋体"/>
                <w:color w:val="auto"/>
                <w:highlight w:val="none"/>
              </w:rPr>
              <w:t>38.0-42.0</w:t>
            </w:r>
          </w:p>
        </w:tc>
        <w:tc>
          <w:tcPr>
            <w:tcW w:w="1276" w:type="dxa"/>
            <w:vAlign w:val="center"/>
          </w:tcPr>
          <w:p>
            <w:pPr>
              <w:adjustRightInd w:val="0"/>
              <w:snapToGrid w:val="0"/>
              <w:jc w:val="center"/>
              <w:rPr>
                <w:color w:val="auto"/>
                <w:sz w:val="18"/>
                <w:szCs w:val="18"/>
                <w:highlight w:val="none"/>
              </w:rPr>
            </w:pPr>
            <w:r>
              <w:rPr>
                <w:rFonts w:eastAsia="HelveticaNeueLTCom-Lt"/>
                <w:color w:val="auto"/>
                <w:kern w:val="0"/>
                <w:sz w:val="18"/>
                <w:szCs w:val="18"/>
                <w:highlight w:val="none"/>
              </w:rPr>
              <w:t>&lt; 0.2</w:t>
            </w:r>
          </w:p>
        </w:tc>
        <w:tc>
          <w:tcPr>
            <w:tcW w:w="1276" w:type="dxa"/>
            <w:vAlign w:val="center"/>
          </w:tcPr>
          <w:p>
            <w:pPr>
              <w:adjustRightInd w:val="0"/>
              <w:snapToGrid w:val="0"/>
              <w:jc w:val="center"/>
              <w:rPr>
                <w:color w:val="auto"/>
                <w:sz w:val="18"/>
                <w:szCs w:val="18"/>
                <w:highlight w:val="none"/>
              </w:rPr>
            </w:pPr>
            <w:r>
              <w:rPr>
                <w:rFonts w:hint="eastAsia"/>
                <w:color w:val="auto"/>
                <w:sz w:val="18"/>
                <w:szCs w:val="18"/>
                <w:highlight w:val="none"/>
              </w:rPr>
              <w:t>-</w:t>
            </w:r>
          </w:p>
        </w:tc>
        <w:tc>
          <w:tcPr>
            <w:tcW w:w="1159" w:type="dxa"/>
            <w:vAlign w:val="center"/>
          </w:tcPr>
          <w:p>
            <w:pPr>
              <w:adjustRightInd w:val="0"/>
              <w:snapToGrid w:val="0"/>
              <w:jc w:val="center"/>
              <w:rPr>
                <w:color w:val="auto"/>
                <w:sz w:val="18"/>
                <w:szCs w:val="18"/>
                <w:highlight w:val="none"/>
              </w:rPr>
            </w:pPr>
            <w:r>
              <w:rPr>
                <w:rFonts w:eastAsia="HelveticaNeueLTCom-Lt"/>
                <w:color w:val="auto"/>
                <w:kern w:val="0"/>
                <w:sz w:val="18"/>
                <w:szCs w:val="18"/>
                <w:highlight w:val="none"/>
              </w:rPr>
              <w:t>&lt; 0.2</w:t>
            </w:r>
          </w:p>
        </w:tc>
        <w:tc>
          <w:tcPr>
            <w:tcW w:w="1207" w:type="dxa"/>
            <w:vAlign w:val="center"/>
          </w:tcPr>
          <w:p>
            <w:pPr>
              <w:adjustRightInd w:val="0"/>
              <w:snapToGrid w:val="0"/>
              <w:jc w:val="center"/>
              <w:rPr>
                <w:rFonts w:hAnsi="宋体"/>
                <w:color w:val="auto"/>
                <w:sz w:val="18"/>
                <w:szCs w:val="18"/>
                <w:highlight w:val="none"/>
              </w:rPr>
            </w:pPr>
            <w:r>
              <w:rPr>
                <w:rFonts w:hint="eastAsia" w:hAnsi="宋体"/>
                <w:color w:val="auto"/>
                <w:sz w:val="18"/>
                <w:szCs w:val="18"/>
                <w:highlight w:val="none"/>
              </w:rPr>
              <w:t>–</w:t>
            </w:r>
            <w:r>
              <w:rPr>
                <w:rFonts w:hAnsi="宋体"/>
                <w:color w:val="auto"/>
                <w:sz w:val="18"/>
                <w:szCs w:val="18"/>
                <w:highlight w:val="none"/>
              </w:rPr>
              <w:t xml:space="preserve">90 +16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adjustRightInd w:val="0"/>
              <w:snapToGrid w:val="0"/>
              <w:jc w:val="center"/>
              <w:rPr>
                <w:color w:val="auto"/>
                <w:sz w:val="18"/>
                <w:szCs w:val="18"/>
                <w:highlight w:val="none"/>
              </w:rPr>
            </w:pPr>
            <w:r>
              <w:rPr>
                <w:rFonts w:hint="eastAsia"/>
                <w:color w:val="auto"/>
                <w:sz w:val="18"/>
                <w:szCs w:val="18"/>
                <w:highlight w:val="none"/>
              </w:rPr>
              <w:t>A</w:t>
            </w:r>
          </w:p>
        </w:tc>
        <w:tc>
          <w:tcPr>
            <w:tcW w:w="1701" w:type="dxa"/>
            <w:vAlign w:val="center"/>
          </w:tcPr>
          <w:p>
            <w:pPr>
              <w:adjustRightInd w:val="0"/>
              <w:snapToGrid w:val="0"/>
              <w:jc w:val="center"/>
              <w:rPr>
                <w:color w:val="auto"/>
                <w:sz w:val="18"/>
                <w:szCs w:val="18"/>
                <w:highlight w:val="none"/>
              </w:rPr>
            </w:pPr>
            <w:r>
              <w:rPr>
                <w:rFonts w:eastAsia="HelveticaNeueLTCom-Lt"/>
                <w:color w:val="auto"/>
                <w:kern w:val="0"/>
                <w:sz w:val="18"/>
                <w:szCs w:val="18"/>
                <w:highlight w:val="none"/>
              </w:rPr>
              <w:t>Balance</w:t>
            </w:r>
          </w:p>
        </w:tc>
        <w:tc>
          <w:tcPr>
            <w:tcW w:w="1275" w:type="dxa"/>
            <w:vAlign w:val="center"/>
          </w:tcPr>
          <w:p>
            <w:pPr>
              <w:adjustRightInd w:val="0"/>
              <w:snapToGrid w:val="0"/>
              <w:jc w:val="center"/>
              <w:rPr>
                <w:color w:val="auto"/>
                <w:sz w:val="18"/>
                <w:szCs w:val="18"/>
                <w:highlight w:val="none"/>
              </w:rPr>
            </w:pPr>
            <w:r>
              <w:rPr>
                <w:color w:val="auto"/>
                <w:sz w:val="18"/>
                <w:szCs w:val="18"/>
                <w:highlight w:val="none"/>
              </w:rPr>
              <w:t>&lt; 4.0</w:t>
            </w:r>
          </w:p>
        </w:tc>
        <w:tc>
          <w:tcPr>
            <w:tcW w:w="1276" w:type="dxa"/>
            <w:vAlign w:val="center"/>
          </w:tcPr>
          <w:p>
            <w:pPr>
              <w:adjustRightInd w:val="0"/>
              <w:snapToGrid w:val="0"/>
              <w:jc w:val="center"/>
              <w:rPr>
                <w:color w:val="auto"/>
                <w:sz w:val="18"/>
                <w:szCs w:val="18"/>
                <w:highlight w:val="none"/>
              </w:rPr>
            </w:pPr>
            <w:r>
              <w:rPr>
                <w:color w:val="auto"/>
                <w:sz w:val="18"/>
                <w:szCs w:val="18"/>
                <w:highlight w:val="none"/>
              </w:rPr>
              <w:t>3.0 – 4.5</w:t>
            </w:r>
          </w:p>
        </w:tc>
        <w:tc>
          <w:tcPr>
            <w:tcW w:w="1276" w:type="dxa"/>
            <w:vAlign w:val="center"/>
          </w:tcPr>
          <w:p>
            <w:pPr>
              <w:adjustRightInd w:val="0"/>
              <w:snapToGrid w:val="0"/>
              <w:jc w:val="center"/>
              <w:rPr>
                <w:color w:val="auto"/>
                <w:sz w:val="18"/>
                <w:szCs w:val="18"/>
                <w:highlight w:val="none"/>
              </w:rPr>
            </w:pPr>
            <w:r>
              <w:rPr>
                <w:rFonts w:hint="eastAsia"/>
                <w:color w:val="auto"/>
                <w:sz w:val="18"/>
                <w:szCs w:val="18"/>
                <w:highlight w:val="none"/>
              </w:rPr>
              <w:t>-</w:t>
            </w:r>
          </w:p>
        </w:tc>
        <w:tc>
          <w:tcPr>
            <w:tcW w:w="1159" w:type="dxa"/>
            <w:vAlign w:val="center"/>
          </w:tcPr>
          <w:p>
            <w:pPr>
              <w:adjustRightInd w:val="0"/>
              <w:snapToGrid w:val="0"/>
              <w:jc w:val="center"/>
              <w:rPr>
                <w:color w:val="auto"/>
                <w:sz w:val="18"/>
                <w:szCs w:val="18"/>
                <w:highlight w:val="none"/>
              </w:rPr>
            </w:pPr>
            <w:r>
              <w:rPr>
                <w:color w:val="auto"/>
                <w:sz w:val="18"/>
                <w:szCs w:val="18"/>
                <w:highlight w:val="none"/>
              </w:rPr>
              <w:t>&lt; 0.5</w:t>
            </w:r>
          </w:p>
        </w:tc>
        <w:tc>
          <w:tcPr>
            <w:tcW w:w="1207" w:type="dxa"/>
            <w:vAlign w:val="center"/>
          </w:tcPr>
          <w:p>
            <w:pPr>
              <w:adjustRightInd w:val="0"/>
              <w:snapToGrid w:val="0"/>
              <w:jc w:val="center"/>
              <w:rPr>
                <w:color w:val="auto"/>
                <w:sz w:val="18"/>
                <w:szCs w:val="18"/>
                <w:highlight w:val="none"/>
              </w:rPr>
            </w:pPr>
            <w:r>
              <w:rPr>
                <w:rFonts w:hint="eastAsia"/>
                <w:color w:val="auto"/>
                <w:sz w:val="18"/>
                <w:szCs w:val="18"/>
                <w:highlight w:val="none"/>
              </w:rPr>
              <w:t>–</w:t>
            </w:r>
            <w:r>
              <w:rPr>
                <w:color w:val="auto"/>
                <w:sz w:val="18"/>
                <w:szCs w:val="18"/>
                <w:highlight w:val="none"/>
              </w:rPr>
              <w:t>63 +5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adjustRightInd w:val="0"/>
              <w:snapToGrid w:val="0"/>
              <w:jc w:val="center"/>
              <w:rPr>
                <w:rFonts w:hint="eastAsia"/>
                <w:color w:val="auto"/>
                <w:sz w:val="18"/>
                <w:szCs w:val="18"/>
                <w:highlight w:val="none"/>
              </w:rPr>
            </w:pPr>
            <w:r>
              <w:rPr>
                <w:rFonts w:hint="eastAsia"/>
                <w:color w:val="auto"/>
                <w:sz w:val="18"/>
                <w:szCs w:val="18"/>
                <w:highlight w:val="none"/>
              </w:rPr>
              <w:t>B</w:t>
            </w:r>
          </w:p>
        </w:tc>
        <w:tc>
          <w:tcPr>
            <w:tcW w:w="1701" w:type="dxa"/>
            <w:vAlign w:val="center"/>
          </w:tcPr>
          <w:p>
            <w:pPr>
              <w:adjustRightInd w:val="0"/>
              <w:snapToGrid w:val="0"/>
              <w:jc w:val="center"/>
              <w:rPr>
                <w:color w:val="auto"/>
                <w:highlight w:val="none"/>
              </w:rPr>
            </w:pPr>
            <w:r>
              <w:rPr>
                <w:color w:val="auto"/>
                <w:sz w:val="18"/>
                <w:szCs w:val="18"/>
                <w:highlight w:val="none"/>
              </w:rPr>
              <w:t>≥9</w:t>
            </w:r>
            <w:r>
              <w:rPr>
                <w:rFonts w:hint="eastAsia"/>
                <w:color w:val="auto"/>
                <w:sz w:val="18"/>
                <w:szCs w:val="18"/>
                <w:highlight w:val="none"/>
              </w:rPr>
              <w:t>9</w:t>
            </w:r>
            <w:r>
              <w:rPr>
                <w:color w:val="auto"/>
                <w:sz w:val="18"/>
                <w:szCs w:val="18"/>
                <w:highlight w:val="none"/>
              </w:rPr>
              <w:t>.</w:t>
            </w:r>
            <w:r>
              <w:rPr>
                <w:rFonts w:hint="eastAsia"/>
                <w:color w:val="auto"/>
                <w:sz w:val="18"/>
                <w:szCs w:val="18"/>
                <w:highlight w:val="none"/>
              </w:rPr>
              <w:t>0</w:t>
            </w:r>
          </w:p>
        </w:tc>
        <w:tc>
          <w:tcPr>
            <w:tcW w:w="1275" w:type="dxa"/>
            <w:vAlign w:val="center"/>
          </w:tcPr>
          <w:p>
            <w:pPr>
              <w:adjustRightInd w:val="0"/>
              <w:snapToGrid w:val="0"/>
              <w:jc w:val="center"/>
              <w:rPr>
                <w:color w:val="auto"/>
                <w:sz w:val="18"/>
                <w:szCs w:val="18"/>
                <w:highlight w:val="none"/>
              </w:rPr>
            </w:pPr>
            <w:r>
              <w:rPr>
                <w:rFonts w:hint="eastAsia"/>
                <w:color w:val="auto"/>
                <w:sz w:val="18"/>
                <w:szCs w:val="18"/>
                <w:highlight w:val="none"/>
              </w:rPr>
              <w:t>-</w:t>
            </w:r>
          </w:p>
        </w:tc>
        <w:tc>
          <w:tcPr>
            <w:tcW w:w="1276" w:type="dxa"/>
            <w:vAlign w:val="center"/>
          </w:tcPr>
          <w:p>
            <w:pPr>
              <w:adjustRightInd w:val="0"/>
              <w:snapToGrid w:val="0"/>
              <w:jc w:val="center"/>
              <w:rPr>
                <w:color w:val="auto"/>
                <w:sz w:val="18"/>
                <w:szCs w:val="18"/>
                <w:highlight w:val="none"/>
              </w:rPr>
            </w:pPr>
            <w:r>
              <w:rPr>
                <w:rFonts w:hint="eastAsia"/>
                <w:color w:val="auto"/>
                <w:sz w:val="18"/>
                <w:szCs w:val="18"/>
                <w:highlight w:val="none"/>
              </w:rPr>
              <w:t>-</w:t>
            </w:r>
          </w:p>
        </w:tc>
        <w:tc>
          <w:tcPr>
            <w:tcW w:w="1276" w:type="dxa"/>
            <w:vAlign w:val="center"/>
          </w:tcPr>
          <w:p>
            <w:pPr>
              <w:adjustRightInd w:val="0"/>
              <w:snapToGrid w:val="0"/>
              <w:jc w:val="center"/>
              <w:rPr>
                <w:color w:val="auto"/>
                <w:sz w:val="18"/>
                <w:szCs w:val="18"/>
                <w:highlight w:val="none"/>
              </w:rPr>
            </w:pPr>
            <w:r>
              <w:rPr>
                <w:rFonts w:hint="eastAsia"/>
                <w:color w:val="auto"/>
                <w:sz w:val="18"/>
                <w:szCs w:val="18"/>
                <w:highlight w:val="none"/>
              </w:rPr>
              <w:t>-</w:t>
            </w:r>
          </w:p>
        </w:tc>
        <w:tc>
          <w:tcPr>
            <w:tcW w:w="1159" w:type="dxa"/>
            <w:vAlign w:val="center"/>
          </w:tcPr>
          <w:p>
            <w:pPr>
              <w:adjustRightInd w:val="0"/>
              <w:snapToGrid w:val="0"/>
              <w:jc w:val="center"/>
              <w:rPr>
                <w:color w:val="auto"/>
                <w:sz w:val="18"/>
                <w:szCs w:val="18"/>
                <w:highlight w:val="none"/>
              </w:rPr>
            </w:pPr>
            <w:r>
              <w:rPr>
                <w:rFonts w:hint="eastAsia"/>
                <w:color w:val="auto"/>
                <w:sz w:val="18"/>
                <w:szCs w:val="18"/>
                <w:highlight w:val="none"/>
              </w:rPr>
              <w:t>-</w:t>
            </w:r>
          </w:p>
        </w:tc>
        <w:tc>
          <w:tcPr>
            <w:tcW w:w="1207" w:type="dxa"/>
            <w:vAlign w:val="center"/>
          </w:tcPr>
          <w:p>
            <w:pPr>
              <w:adjustRightInd w:val="0"/>
              <w:snapToGrid w:val="0"/>
              <w:jc w:val="center"/>
              <w:rPr>
                <w:color w:val="auto"/>
                <w:highlight w:val="none"/>
              </w:rPr>
            </w:pPr>
            <w:r>
              <w:rPr>
                <w:rFonts w:hint="eastAsia"/>
                <w:color w:val="auto"/>
                <w:sz w:val="18"/>
                <w:szCs w:val="18"/>
                <w:highlight w:val="none"/>
              </w:rPr>
              <w:t>–</w:t>
            </w:r>
            <w:r>
              <w:rPr>
                <w:color w:val="auto"/>
                <w:sz w:val="18"/>
                <w:szCs w:val="18"/>
                <w:highlight w:val="none"/>
              </w:rPr>
              <w:t>45 +</w:t>
            </w:r>
            <w:r>
              <w:rPr>
                <w:rFonts w:hint="eastAsia"/>
                <w:color w:val="auto"/>
                <w:sz w:val="18"/>
                <w:szCs w:val="18"/>
                <w:highlight w:val="none"/>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adjustRightInd w:val="0"/>
              <w:snapToGrid w:val="0"/>
              <w:jc w:val="center"/>
              <w:rPr>
                <w:rFonts w:hint="eastAsia"/>
                <w:color w:val="auto"/>
                <w:sz w:val="18"/>
                <w:szCs w:val="18"/>
                <w:highlight w:val="none"/>
              </w:rPr>
            </w:pPr>
            <w:r>
              <w:rPr>
                <w:rFonts w:hint="eastAsia"/>
                <w:color w:val="auto"/>
                <w:sz w:val="18"/>
                <w:szCs w:val="18"/>
                <w:highlight w:val="none"/>
              </w:rPr>
              <w:t>B</w:t>
            </w:r>
          </w:p>
        </w:tc>
        <w:tc>
          <w:tcPr>
            <w:tcW w:w="1701" w:type="dxa"/>
            <w:vAlign w:val="center"/>
          </w:tcPr>
          <w:p>
            <w:pPr>
              <w:adjustRightInd w:val="0"/>
              <w:snapToGrid w:val="0"/>
              <w:jc w:val="center"/>
              <w:rPr>
                <w:color w:val="auto"/>
                <w:highlight w:val="none"/>
              </w:rPr>
            </w:pPr>
            <w:r>
              <w:rPr>
                <w:color w:val="auto"/>
                <w:sz w:val="18"/>
                <w:szCs w:val="18"/>
                <w:highlight w:val="none"/>
              </w:rPr>
              <w:t>≥9</w:t>
            </w:r>
            <w:r>
              <w:rPr>
                <w:rFonts w:hint="eastAsia"/>
                <w:color w:val="auto"/>
                <w:sz w:val="18"/>
                <w:szCs w:val="18"/>
                <w:highlight w:val="none"/>
              </w:rPr>
              <w:t>9</w:t>
            </w:r>
            <w:r>
              <w:rPr>
                <w:color w:val="auto"/>
                <w:sz w:val="18"/>
                <w:szCs w:val="18"/>
                <w:highlight w:val="none"/>
              </w:rPr>
              <w:t>.</w:t>
            </w:r>
            <w:r>
              <w:rPr>
                <w:rFonts w:hint="eastAsia"/>
                <w:color w:val="auto"/>
                <w:sz w:val="18"/>
                <w:szCs w:val="18"/>
                <w:highlight w:val="none"/>
              </w:rPr>
              <w:t>0</w:t>
            </w:r>
          </w:p>
        </w:tc>
        <w:tc>
          <w:tcPr>
            <w:tcW w:w="1275" w:type="dxa"/>
            <w:vAlign w:val="center"/>
          </w:tcPr>
          <w:p>
            <w:pPr>
              <w:adjustRightInd w:val="0"/>
              <w:snapToGrid w:val="0"/>
              <w:jc w:val="center"/>
              <w:rPr>
                <w:color w:val="auto"/>
                <w:sz w:val="18"/>
                <w:szCs w:val="18"/>
                <w:highlight w:val="none"/>
              </w:rPr>
            </w:pPr>
            <w:r>
              <w:rPr>
                <w:rFonts w:hint="eastAsia"/>
                <w:color w:val="auto"/>
                <w:sz w:val="18"/>
                <w:szCs w:val="18"/>
                <w:highlight w:val="none"/>
              </w:rPr>
              <w:t>-</w:t>
            </w:r>
          </w:p>
        </w:tc>
        <w:tc>
          <w:tcPr>
            <w:tcW w:w="1276" w:type="dxa"/>
            <w:vAlign w:val="center"/>
          </w:tcPr>
          <w:p>
            <w:pPr>
              <w:adjustRightInd w:val="0"/>
              <w:snapToGrid w:val="0"/>
              <w:jc w:val="center"/>
              <w:rPr>
                <w:color w:val="auto"/>
                <w:sz w:val="18"/>
                <w:szCs w:val="18"/>
                <w:highlight w:val="none"/>
              </w:rPr>
            </w:pPr>
            <w:r>
              <w:rPr>
                <w:rFonts w:hint="eastAsia"/>
                <w:color w:val="auto"/>
                <w:sz w:val="18"/>
                <w:szCs w:val="18"/>
                <w:highlight w:val="none"/>
              </w:rPr>
              <w:t>-</w:t>
            </w:r>
          </w:p>
        </w:tc>
        <w:tc>
          <w:tcPr>
            <w:tcW w:w="1276" w:type="dxa"/>
            <w:vAlign w:val="center"/>
          </w:tcPr>
          <w:p>
            <w:pPr>
              <w:adjustRightInd w:val="0"/>
              <w:snapToGrid w:val="0"/>
              <w:jc w:val="center"/>
              <w:rPr>
                <w:color w:val="auto"/>
                <w:sz w:val="18"/>
                <w:szCs w:val="18"/>
                <w:highlight w:val="none"/>
              </w:rPr>
            </w:pPr>
            <w:r>
              <w:rPr>
                <w:rFonts w:hint="eastAsia"/>
                <w:color w:val="auto"/>
                <w:sz w:val="18"/>
                <w:szCs w:val="18"/>
                <w:highlight w:val="none"/>
              </w:rPr>
              <w:t>-</w:t>
            </w:r>
          </w:p>
        </w:tc>
        <w:tc>
          <w:tcPr>
            <w:tcW w:w="1159" w:type="dxa"/>
            <w:vAlign w:val="center"/>
          </w:tcPr>
          <w:p>
            <w:pPr>
              <w:adjustRightInd w:val="0"/>
              <w:snapToGrid w:val="0"/>
              <w:jc w:val="center"/>
              <w:rPr>
                <w:color w:val="auto"/>
                <w:sz w:val="18"/>
                <w:szCs w:val="18"/>
                <w:highlight w:val="none"/>
              </w:rPr>
            </w:pPr>
            <w:r>
              <w:rPr>
                <w:rFonts w:hint="eastAsia"/>
                <w:color w:val="auto"/>
                <w:sz w:val="18"/>
                <w:szCs w:val="18"/>
                <w:highlight w:val="none"/>
              </w:rPr>
              <w:t>-</w:t>
            </w:r>
          </w:p>
        </w:tc>
        <w:tc>
          <w:tcPr>
            <w:tcW w:w="1207" w:type="dxa"/>
            <w:vAlign w:val="center"/>
          </w:tcPr>
          <w:p>
            <w:pPr>
              <w:adjustRightInd w:val="0"/>
              <w:snapToGrid w:val="0"/>
              <w:jc w:val="center"/>
              <w:rPr>
                <w:rFonts w:hint="eastAsia"/>
                <w:color w:val="auto"/>
                <w:sz w:val="18"/>
                <w:szCs w:val="18"/>
                <w:highlight w:val="none"/>
              </w:rPr>
            </w:pPr>
            <w:r>
              <w:rPr>
                <w:rFonts w:hint="eastAsia"/>
                <w:color w:val="auto"/>
                <w:sz w:val="18"/>
                <w:szCs w:val="18"/>
                <w:highlight w:val="none"/>
              </w:rPr>
              <w:t>–</w:t>
            </w:r>
            <w:r>
              <w:rPr>
                <w:color w:val="auto"/>
                <w:sz w:val="18"/>
                <w:szCs w:val="18"/>
                <w:highlight w:val="none"/>
              </w:rPr>
              <w:t>45 +</w:t>
            </w:r>
            <w:r>
              <w:rPr>
                <w:rFonts w:hint="eastAsia"/>
                <w:color w:val="auto"/>
                <w:sz w:val="18"/>
                <w:szCs w:val="18"/>
                <w:highlight w:val="none"/>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adjustRightInd w:val="0"/>
              <w:snapToGrid w:val="0"/>
              <w:jc w:val="center"/>
              <w:rPr>
                <w:rFonts w:hint="eastAsia"/>
                <w:color w:val="auto"/>
                <w:sz w:val="18"/>
                <w:szCs w:val="18"/>
                <w:highlight w:val="none"/>
              </w:rPr>
            </w:pPr>
            <w:r>
              <w:rPr>
                <w:rFonts w:hint="eastAsia"/>
                <w:color w:val="auto"/>
                <w:sz w:val="18"/>
                <w:szCs w:val="18"/>
                <w:highlight w:val="none"/>
              </w:rPr>
              <w:t>B</w:t>
            </w:r>
          </w:p>
        </w:tc>
        <w:tc>
          <w:tcPr>
            <w:tcW w:w="1701" w:type="dxa"/>
            <w:vAlign w:val="center"/>
          </w:tcPr>
          <w:p>
            <w:pPr>
              <w:adjustRightInd w:val="0"/>
              <w:snapToGrid w:val="0"/>
              <w:jc w:val="center"/>
              <w:rPr>
                <w:color w:val="auto"/>
                <w:highlight w:val="none"/>
              </w:rPr>
            </w:pPr>
            <w:r>
              <w:rPr>
                <w:rFonts w:eastAsia="HelveticaNeueLTCom-Lt"/>
                <w:color w:val="auto"/>
                <w:kern w:val="0"/>
                <w:sz w:val="18"/>
                <w:szCs w:val="18"/>
                <w:highlight w:val="none"/>
              </w:rPr>
              <w:t>Balance</w:t>
            </w:r>
          </w:p>
        </w:tc>
        <w:tc>
          <w:tcPr>
            <w:tcW w:w="1275" w:type="dxa"/>
            <w:vAlign w:val="center"/>
          </w:tcPr>
          <w:p>
            <w:pPr>
              <w:adjustRightInd w:val="0"/>
              <w:snapToGrid w:val="0"/>
              <w:jc w:val="center"/>
              <w:rPr>
                <w:color w:val="auto"/>
                <w:highlight w:val="none"/>
              </w:rPr>
            </w:pPr>
            <w:r>
              <w:rPr>
                <w:rFonts w:hint="eastAsia"/>
                <w:color w:val="auto"/>
                <w:highlight w:val="none"/>
              </w:rPr>
              <w:t>2.5</w:t>
            </w:r>
          </w:p>
        </w:tc>
        <w:tc>
          <w:tcPr>
            <w:tcW w:w="1276" w:type="dxa"/>
            <w:vAlign w:val="center"/>
          </w:tcPr>
          <w:p>
            <w:pPr>
              <w:adjustRightInd w:val="0"/>
              <w:snapToGrid w:val="0"/>
              <w:jc w:val="center"/>
              <w:rPr>
                <w:color w:val="auto"/>
                <w:highlight w:val="none"/>
              </w:rPr>
            </w:pPr>
            <w:r>
              <w:rPr>
                <w:rFonts w:hint="eastAsia"/>
                <w:color w:val="auto"/>
                <w:highlight w:val="none"/>
              </w:rPr>
              <w:t>4.5</w:t>
            </w:r>
          </w:p>
        </w:tc>
        <w:tc>
          <w:tcPr>
            <w:tcW w:w="1276" w:type="dxa"/>
            <w:vAlign w:val="center"/>
          </w:tcPr>
          <w:p>
            <w:pPr>
              <w:adjustRightInd w:val="0"/>
              <w:snapToGrid w:val="0"/>
              <w:jc w:val="center"/>
              <w:rPr>
                <w:color w:val="auto"/>
                <w:sz w:val="18"/>
                <w:szCs w:val="18"/>
                <w:highlight w:val="none"/>
              </w:rPr>
            </w:pPr>
            <w:r>
              <w:rPr>
                <w:rFonts w:hint="eastAsia"/>
                <w:color w:val="auto"/>
                <w:sz w:val="18"/>
                <w:szCs w:val="18"/>
                <w:highlight w:val="none"/>
              </w:rPr>
              <w:t>-</w:t>
            </w:r>
          </w:p>
        </w:tc>
        <w:tc>
          <w:tcPr>
            <w:tcW w:w="1159" w:type="dxa"/>
            <w:vAlign w:val="center"/>
          </w:tcPr>
          <w:p>
            <w:pPr>
              <w:adjustRightInd w:val="0"/>
              <w:snapToGrid w:val="0"/>
              <w:jc w:val="center"/>
              <w:rPr>
                <w:color w:val="auto"/>
                <w:sz w:val="18"/>
                <w:szCs w:val="18"/>
                <w:highlight w:val="none"/>
              </w:rPr>
            </w:pPr>
            <w:r>
              <w:rPr>
                <w:rFonts w:hint="eastAsia"/>
                <w:color w:val="auto"/>
                <w:sz w:val="18"/>
                <w:szCs w:val="18"/>
                <w:highlight w:val="none"/>
              </w:rPr>
              <w:t>-</w:t>
            </w:r>
          </w:p>
        </w:tc>
        <w:tc>
          <w:tcPr>
            <w:tcW w:w="1207" w:type="dxa"/>
            <w:vAlign w:val="center"/>
          </w:tcPr>
          <w:p>
            <w:pPr>
              <w:adjustRightInd w:val="0"/>
              <w:snapToGrid w:val="0"/>
              <w:jc w:val="center"/>
              <w:rPr>
                <w:color w:val="auto"/>
                <w:highlight w:val="none"/>
              </w:rPr>
            </w:pPr>
            <w:r>
              <w:rPr>
                <w:rFonts w:hint="eastAsia"/>
                <w:color w:val="auto"/>
                <w:sz w:val="18"/>
                <w:szCs w:val="18"/>
                <w:highlight w:val="none"/>
              </w:rPr>
              <w:t>–5</w:t>
            </w:r>
            <w:r>
              <w:rPr>
                <w:color w:val="auto"/>
                <w:sz w:val="18"/>
                <w:szCs w:val="18"/>
                <w:highlight w:val="none"/>
              </w:rPr>
              <w:t>3 +</w:t>
            </w:r>
            <w:r>
              <w:rPr>
                <w:rFonts w:hint="eastAsia"/>
                <w:color w:val="auto"/>
                <w:sz w:val="18"/>
                <w:szCs w:val="18"/>
                <w:highlight w:val="none"/>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adjustRightInd w:val="0"/>
              <w:snapToGrid w:val="0"/>
              <w:jc w:val="center"/>
              <w:rPr>
                <w:rFonts w:hint="eastAsia"/>
                <w:color w:val="auto"/>
                <w:sz w:val="18"/>
                <w:szCs w:val="18"/>
                <w:highlight w:val="none"/>
              </w:rPr>
            </w:pPr>
            <w:r>
              <w:rPr>
                <w:rFonts w:hint="eastAsia"/>
                <w:color w:val="auto"/>
                <w:sz w:val="18"/>
                <w:szCs w:val="18"/>
                <w:highlight w:val="none"/>
              </w:rPr>
              <w:t>C</w:t>
            </w:r>
          </w:p>
        </w:tc>
        <w:tc>
          <w:tcPr>
            <w:tcW w:w="1701" w:type="dxa"/>
            <w:vAlign w:val="center"/>
          </w:tcPr>
          <w:p>
            <w:pPr>
              <w:adjustRightInd w:val="0"/>
              <w:snapToGrid w:val="0"/>
              <w:jc w:val="center"/>
              <w:rPr>
                <w:color w:val="auto"/>
                <w:sz w:val="18"/>
                <w:szCs w:val="18"/>
                <w:highlight w:val="none"/>
              </w:rPr>
            </w:pPr>
            <w:r>
              <w:rPr>
                <w:rFonts w:eastAsia="HelveticaNeueLTCom-Lt"/>
                <w:color w:val="auto"/>
                <w:kern w:val="0"/>
                <w:sz w:val="18"/>
                <w:szCs w:val="18"/>
                <w:highlight w:val="none"/>
              </w:rPr>
              <w:t>Balance</w:t>
            </w:r>
          </w:p>
        </w:tc>
        <w:tc>
          <w:tcPr>
            <w:tcW w:w="1275" w:type="dxa"/>
            <w:vAlign w:val="center"/>
          </w:tcPr>
          <w:p>
            <w:pPr>
              <w:adjustRightInd w:val="0"/>
              <w:snapToGrid w:val="0"/>
              <w:jc w:val="center"/>
              <w:rPr>
                <w:color w:val="auto"/>
                <w:sz w:val="18"/>
                <w:szCs w:val="18"/>
                <w:highlight w:val="none"/>
              </w:rPr>
            </w:pPr>
            <w:r>
              <w:rPr>
                <w:color w:val="auto"/>
                <w:sz w:val="18"/>
                <w:szCs w:val="18"/>
                <w:highlight w:val="none"/>
              </w:rPr>
              <w:t>≤</w:t>
            </w:r>
            <w:r>
              <w:rPr>
                <w:rFonts w:hint="eastAsia"/>
                <w:color w:val="auto"/>
                <w:sz w:val="18"/>
                <w:szCs w:val="18"/>
                <w:highlight w:val="none"/>
              </w:rPr>
              <w:t>0.15</w:t>
            </w:r>
          </w:p>
        </w:tc>
        <w:tc>
          <w:tcPr>
            <w:tcW w:w="1276" w:type="dxa"/>
            <w:vAlign w:val="center"/>
          </w:tcPr>
          <w:p>
            <w:pPr>
              <w:adjustRightInd w:val="0"/>
              <w:snapToGrid w:val="0"/>
              <w:jc w:val="center"/>
              <w:rPr>
                <w:color w:val="auto"/>
                <w:sz w:val="18"/>
                <w:szCs w:val="18"/>
                <w:highlight w:val="none"/>
              </w:rPr>
            </w:pPr>
            <w:r>
              <w:rPr>
                <w:color w:val="auto"/>
                <w:sz w:val="18"/>
                <w:szCs w:val="18"/>
                <w:highlight w:val="none"/>
              </w:rPr>
              <w:t>≤</w:t>
            </w:r>
            <w:r>
              <w:rPr>
                <w:rFonts w:hint="eastAsia"/>
                <w:color w:val="auto"/>
                <w:sz w:val="18"/>
                <w:szCs w:val="18"/>
                <w:highlight w:val="none"/>
              </w:rPr>
              <w:t>0.25</w:t>
            </w:r>
          </w:p>
        </w:tc>
        <w:tc>
          <w:tcPr>
            <w:tcW w:w="1276" w:type="dxa"/>
            <w:vAlign w:val="center"/>
          </w:tcPr>
          <w:p>
            <w:pPr>
              <w:adjustRightInd w:val="0"/>
              <w:snapToGrid w:val="0"/>
              <w:jc w:val="center"/>
              <w:rPr>
                <w:color w:val="auto"/>
                <w:sz w:val="18"/>
                <w:szCs w:val="18"/>
                <w:highlight w:val="none"/>
              </w:rPr>
            </w:pPr>
            <w:r>
              <w:rPr>
                <w:rFonts w:hint="eastAsia"/>
                <w:color w:val="auto"/>
                <w:sz w:val="18"/>
                <w:szCs w:val="18"/>
                <w:highlight w:val="none"/>
              </w:rPr>
              <w:t>-</w:t>
            </w:r>
          </w:p>
        </w:tc>
        <w:tc>
          <w:tcPr>
            <w:tcW w:w="1159" w:type="dxa"/>
            <w:vAlign w:val="center"/>
          </w:tcPr>
          <w:p>
            <w:pPr>
              <w:adjustRightInd w:val="0"/>
              <w:snapToGrid w:val="0"/>
              <w:jc w:val="center"/>
              <w:rPr>
                <w:color w:val="auto"/>
                <w:sz w:val="18"/>
                <w:szCs w:val="18"/>
                <w:highlight w:val="none"/>
              </w:rPr>
            </w:pPr>
            <w:r>
              <w:rPr>
                <w:color w:val="auto"/>
                <w:sz w:val="18"/>
                <w:szCs w:val="18"/>
                <w:highlight w:val="none"/>
              </w:rPr>
              <w:t>≤</w:t>
            </w:r>
            <w:r>
              <w:rPr>
                <w:rFonts w:hint="eastAsia"/>
                <w:color w:val="auto"/>
                <w:sz w:val="18"/>
                <w:szCs w:val="18"/>
                <w:highlight w:val="none"/>
              </w:rPr>
              <w:t>0.10</w:t>
            </w:r>
          </w:p>
        </w:tc>
        <w:tc>
          <w:tcPr>
            <w:tcW w:w="1207" w:type="dxa"/>
            <w:vAlign w:val="center"/>
          </w:tcPr>
          <w:p>
            <w:pPr>
              <w:adjustRightInd w:val="0"/>
              <w:snapToGrid w:val="0"/>
              <w:jc w:val="center"/>
              <w:rPr>
                <w:color w:val="auto"/>
                <w:sz w:val="18"/>
                <w:szCs w:val="18"/>
                <w:highlight w:val="none"/>
              </w:rPr>
            </w:pPr>
            <w:r>
              <w:rPr>
                <w:rFonts w:hint="eastAsia"/>
                <w:color w:val="auto"/>
                <w:sz w:val="18"/>
                <w:szCs w:val="18"/>
                <w:highlight w:val="none"/>
              </w:rPr>
              <w:t>–</w:t>
            </w:r>
            <w:r>
              <w:rPr>
                <w:color w:val="auto"/>
                <w:sz w:val="18"/>
                <w:szCs w:val="18"/>
                <w:highlight w:val="none"/>
              </w:rPr>
              <w:t>45 +22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adjustRightInd w:val="0"/>
              <w:snapToGrid w:val="0"/>
              <w:jc w:val="center"/>
              <w:rPr>
                <w:rFonts w:hint="eastAsia"/>
                <w:color w:val="auto"/>
                <w:sz w:val="18"/>
                <w:szCs w:val="18"/>
                <w:highlight w:val="none"/>
              </w:rPr>
            </w:pPr>
            <w:r>
              <w:rPr>
                <w:rFonts w:hint="eastAsia"/>
                <w:color w:val="auto"/>
                <w:sz w:val="18"/>
                <w:szCs w:val="18"/>
                <w:highlight w:val="none"/>
              </w:rPr>
              <w:t>C</w:t>
            </w:r>
          </w:p>
        </w:tc>
        <w:tc>
          <w:tcPr>
            <w:tcW w:w="1701" w:type="dxa"/>
            <w:vAlign w:val="center"/>
          </w:tcPr>
          <w:p>
            <w:pPr>
              <w:adjustRightInd w:val="0"/>
              <w:snapToGrid w:val="0"/>
              <w:jc w:val="center"/>
              <w:rPr>
                <w:color w:val="auto"/>
                <w:sz w:val="18"/>
                <w:szCs w:val="18"/>
                <w:highlight w:val="none"/>
              </w:rPr>
            </w:pPr>
            <w:r>
              <w:rPr>
                <w:rFonts w:eastAsia="HelveticaNeueLTCom-Lt"/>
                <w:color w:val="auto"/>
                <w:kern w:val="0"/>
                <w:sz w:val="18"/>
                <w:szCs w:val="18"/>
                <w:highlight w:val="none"/>
              </w:rPr>
              <w:t>Balance</w:t>
            </w:r>
          </w:p>
        </w:tc>
        <w:tc>
          <w:tcPr>
            <w:tcW w:w="1275" w:type="dxa"/>
            <w:vAlign w:val="center"/>
          </w:tcPr>
          <w:p>
            <w:pPr>
              <w:adjustRightInd w:val="0"/>
              <w:snapToGrid w:val="0"/>
              <w:jc w:val="center"/>
              <w:rPr>
                <w:color w:val="auto"/>
                <w:sz w:val="18"/>
                <w:szCs w:val="18"/>
                <w:highlight w:val="none"/>
              </w:rPr>
            </w:pPr>
            <w:r>
              <w:rPr>
                <w:color w:val="auto"/>
                <w:sz w:val="18"/>
                <w:szCs w:val="18"/>
                <w:highlight w:val="none"/>
              </w:rPr>
              <w:t>≤</w:t>
            </w:r>
            <w:r>
              <w:rPr>
                <w:rFonts w:hint="eastAsia"/>
                <w:color w:val="auto"/>
                <w:sz w:val="18"/>
                <w:szCs w:val="18"/>
                <w:highlight w:val="none"/>
              </w:rPr>
              <w:t>0.15</w:t>
            </w:r>
          </w:p>
        </w:tc>
        <w:tc>
          <w:tcPr>
            <w:tcW w:w="1276" w:type="dxa"/>
            <w:vAlign w:val="center"/>
          </w:tcPr>
          <w:p>
            <w:pPr>
              <w:adjustRightInd w:val="0"/>
              <w:snapToGrid w:val="0"/>
              <w:jc w:val="center"/>
              <w:rPr>
                <w:color w:val="auto"/>
                <w:sz w:val="18"/>
                <w:szCs w:val="18"/>
                <w:highlight w:val="none"/>
              </w:rPr>
            </w:pPr>
            <w:r>
              <w:rPr>
                <w:color w:val="auto"/>
                <w:sz w:val="18"/>
                <w:szCs w:val="18"/>
                <w:highlight w:val="none"/>
              </w:rPr>
              <w:t>≤</w:t>
            </w:r>
            <w:r>
              <w:rPr>
                <w:rFonts w:hint="eastAsia"/>
                <w:color w:val="auto"/>
                <w:sz w:val="18"/>
                <w:szCs w:val="18"/>
                <w:highlight w:val="none"/>
              </w:rPr>
              <w:t>0.25</w:t>
            </w:r>
          </w:p>
        </w:tc>
        <w:tc>
          <w:tcPr>
            <w:tcW w:w="1276" w:type="dxa"/>
            <w:vAlign w:val="center"/>
          </w:tcPr>
          <w:p>
            <w:pPr>
              <w:adjustRightInd w:val="0"/>
              <w:snapToGrid w:val="0"/>
              <w:jc w:val="center"/>
              <w:rPr>
                <w:color w:val="auto"/>
                <w:sz w:val="18"/>
                <w:szCs w:val="18"/>
                <w:highlight w:val="none"/>
              </w:rPr>
            </w:pPr>
            <w:r>
              <w:rPr>
                <w:rFonts w:hint="eastAsia"/>
                <w:color w:val="auto"/>
                <w:sz w:val="18"/>
                <w:szCs w:val="18"/>
                <w:highlight w:val="none"/>
              </w:rPr>
              <w:t>-</w:t>
            </w:r>
          </w:p>
        </w:tc>
        <w:tc>
          <w:tcPr>
            <w:tcW w:w="1159" w:type="dxa"/>
            <w:vAlign w:val="center"/>
          </w:tcPr>
          <w:p>
            <w:pPr>
              <w:adjustRightInd w:val="0"/>
              <w:snapToGrid w:val="0"/>
              <w:jc w:val="center"/>
              <w:rPr>
                <w:color w:val="auto"/>
                <w:sz w:val="18"/>
                <w:szCs w:val="18"/>
                <w:highlight w:val="none"/>
              </w:rPr>
            </w:pPr>
            <w:r>
              <w:rPr>
                <w:color w:val="auto"/>
                <w:sz w:val="18"/>
                <w:szCs w:val="18"/>
                <w:highlight w:val="none"/>
              </w:rPr>
              <w:t>≤</w:t>
            </w:r>
            <w:r>
              <w:rPr>
                <w:rFonts w:hint="eastAsia"/>
                <w:color w:val="auto"/>
                <w:sz w:val="18"/>
                <w:szCs w:val="18"/>
                <w:highlight w:val="none"/>
              </w:rPr>
              <w:t>0.10</w:t>
            </w:r>
          </w:p>
        </w:tc>
        <w:tc>
          <w:tcPr>
            <w:tcW w:w="1207" w:type="dxa"/>
            <w:vAlign w:val="center"/>
          </w:tcPr>
          <w:p>
            <w:pPr>
              <w:adjustRightInd w:val="0"/>
              <w:snapToGrid w:val="0"/>
              <w:jc w:val="center"/>
              <w:rPr>
                <w:color w:val="auto"/>
                <w:sz w:val="18"/>
                <w:szCs w:val="18"/>
                <w:highlight w:val="none"/>
              </w:rPr>
            </w:pPr>
            <w:r>
              <w:rPr>
                <w:rFonts w:hint="eastAsia"/>
                <w:color w:val="auto"/>
                <w:sz w:val="18"/>
                <w:szCs w:val="18"/>
                <w:highlight w:val="none"/>
              </w:rPr>
              <w:t>–</w:t>
            </w:r>
            <w:r>
              <w:rPr>
                <w:color w:val="auto"/>
                <w:sz w:val="18"/>
                <w:szCs w:val="18"/>
                <w:highlight w:val="none"/>
              </w:rPr>
              <w:t>45 +</w:t>
            </w:r>
            <w:r>
              <w:rPr>
                <w:rFonts w:hint="eastAsia"/>
                <w:color w:val="auto"/>
                <w:sz w:val="18"/>
                <w:szCs w:val="18"/>
                <w:highlight w:val="none"/>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adjustRightInd w:val="0"/>
              <w:snapToGrid w:val="0"/>
              <w:jc w:val="center"/>
              <w:rPr>
                <w:rFonts w:hint="eastAsia"/>
                <w:color w:val="auto"/>
                <w:sz w:val="18"/>
                <w:szCs w:val="18"/>
                <w:highlight w:val="none"/>
              </w:rPr>
            </w:pPr>
            <w:r>
              <w:rPr>
                <w:rFonts w:hint="eastAsia"/>
                <w:color w:val="auto"/>
                <w:sz w:val="18"/>
                <w:szCs w:val="18"/>
                <w:highlight w:val="none"/>
              </w:rPr>
              <w:t>C</w:t>
            </w:r>
          </w:p>
        </w:tc>
        <w:tc>
          <w:tcPr>
            <w:tcW w:w="1701" w:type="dxa"/>
            <w:vAlign w:val="center"/>
          </w:tcPr>
          <w:p>
            <w:pPr>
              <w:adjustRightInd w:val="0"/>
              <w:snapToGrid w:val="0"/>
              <w:jc w:val="center"/>
              <w:rPr>
                <w:rFonts w:eastAsia="HelveticaNeueLTCom-Lt"/>
                <w:color w:val="auto"/>
                <w:kern w:val="0"/>
                <w:sz w:val="18"/>
                <w:szCs w:val="18"/>
                <w:highlight w:val="none"/>
              </w:rPr>
            </w:pPr>
            <w:r>
              <w:rPr>
                <w:rFonts w:eastAsia="HelveticaNeueLTCom-Lt"/>
                <w:color w:val="auto"/>
                <w:kern w:val="0"/>
                <w:sz w:val="18"/>
                <w:szCs w:val="18"/>
                <w:highlight w:val="none"/>
              </w:rPr>
              <w:t>Balance</w:t>
            </w:r>
          </w:p>
        </w:tc>
        <w:tc>
          <w:tcPr>
            <w:tcW w:w="1275" w:type="dxa"/>
            <w:vAlign w:val="center"/>
          </w:tcPr>
          <w:p>
            <w:pPr>
              <w:adjustRightInd w:val="0"/>
              <w:snapToGrid w:val="0"/>
              <w:jc w:val="center"/>
              <w:rPr>
                <w:color w:val="auto"/>
                <w:sz w:val="18"/>
                <w:szCs w:val="18"/>
                <w:highlight w:val="none"/>
              </w:rPr>
            </w:pPr>
            <w:r>
              <w:rPr>
                <w:rFonts w:hint="eastAsia" w:hAnsi="宋体"/>
                <w:color w:val="auto"/>
                <w:sz w:val="18"/>
                <w:szCs w:val="18"/>
                <w:highlight w:val="none"/>
              </w:rPr>
              <w:t>38.0-42.0</w:t>
            </w:r>
          </w:p>
        </w:tc>
        <w:tc>
          <w:tcPr>
            <w:tcW w:w="1276" w:type="dxa"/>
            <w:vAlign w:val="center"/>
          </w:tcPr>
          <w:p>
            <w:pPr>
              <w:adjustRightInd w:val="0"/>
              <w:snapToGrid w:val="0"/>
              <w:jc w:val="center"/>
              <w:rPr>
                <w:color w:val="auto"/>
                <w:sz w:val="18"/>
                <w:szCs w:val="18"/>
                <w:highlight w:val="none"/>
              </w:rPr>
            </w:pPr>
            <w:r>
              <w:rPr>
                <w:color w:val="auto"/>
                <w:sz w:val="18"/>
                <w:szCs w:val="18"/>
                <w:highlight w:val="none"/>
              </w:rPr>
              <w:t>≤</w:t>
            </w:r>
            <w:r>
              <w:rPr>
                <w:rFonts w:hint="eastAsia"/>
                <w:color w:val="auto"/>
                <w:sz w:val="18"/>
                <w:szCs w:val="18"/>
                <w:highlight w:val="none"/>
              </w:rPr>
              <w:t>0.20</w:t>
            </w:r>
          </w:p>
        </w:tc>
        <w:tc>
          <w:tcPr>
            <w:tcW w:w="1276" w:type="dxa"/>
            <w:vAlign w:val="center"/>
          </w:tcPr>
          <w:p>
            <w:pPr>
              <w:adjustRightInd w:val="0"/>
              <w:snapToGrid w:val="0"/>
              <w:jc w:val="center"/>
              <w:rPr>
                <w:color w:val="auto"/>
                <w:sz w:val="18"/>
                <w:szCs w:val="18"/>
                <w:highlight w:val="none"/>
              </w:rPr>
            </w:pPr>
            <w:r>
              <w:rPr>
                <w:rFonts w:hint="eastAsia"/>
                <w:color w:val="auto"/>
                <w:sz w:val="18"/>
                <w:szCs w:val="18"/>
                <w:highlight w:val="none"/>
              </w:rPr>
              <w:t>-</w:t>
            </w:r>
          </w:p>
        </w:tc>
        <w:tc>
          <w:tcPr>
            <w:tcW w:w="1159" w:type="dxa"/>
            <w:vAlign w:val="center"/>
          </w:tcPr>
          <w:p>
            <w:pPr>
              <w:adjustRightInd w:val="0"/>
              <w:snapToGrid w:val="0"/>
              <w:jc w:val="center"/>
              <w:rPr>
                <w:color w:val="auto"/>
                <w:sz w:val="18"/>
                <w:szCs w:val="18"/>
                <w:highlight w:val="none"/>
              </w:rPr>
            </w:pPr>
            <w:r>
              <w:rPr>
                <w:color w:val="auto"/>
                <w:sz w:val="18"/>
                <w:szCs w:val="18"/>
                <w:highlight w:val="none"/>
              </w:rPr>
              <w:t>≤</w:t>
            </w:r>
            <w:r>
              <w:rPr>
                <w:rFonts w:hint="eastAsia"/>
                <w:color w:val="auto"/>
                <w:sz w:val="18"/>
                <w:szCs w:val="18"/>
                <w:highlight w:val="none"/>
              </w:rPr>
              <w:t>0.20</w:t>
            </w:r>
          </w:p>
        </w:tc>
        <w:tc>
          <w:tcPr>
            <w:tcW w:w="1207" w:type="dxa"/>
            <w:vAlign w:val="center"/>
          </w:tcPr>
          <w:p>
            <w:pPr>
              <w:adjustRightInd w:val="0"/>
              <w:snapToGrid w:val="0"/>
              <w:jc w:val="center"/>
              <w:rPr>
                <w:rFonts w:hint="eastAsia"/>
                <w:color w:val="auto"/>
                <w:sz w:val="18"/>
                <w:szCs w:val="18"/>
                <w:highlight w:val="none"/>
              </w:rPr>
            </w:pPr>
            <w:r>
              <w:rPr>
                <w:rFonts w:hint="eastAsia"/>
                <w:color w:val="auto"/>
                <w:sz w:val="18"/>
                <w:szCs w:val="18"/>
                <w:highlight w:val="none"/>
              </w:rPr>
              <w:t>–</w:t>
            </w:r>
            <w:r>
              <w:rPr>
                <w:color w:val="auto"/>
                <w:sz w:val="18"/>
                <w:szCs w:val="18"/>
                <w:highlight w:val="none"/>
              </w:rPr>
              <w:t>45 +22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adjustRightInd w:val="0"/>
              <w:snapToGrid w:val="0"/>
              <w:jc w:val="center"/>
              <w:rPr>
                <w:rFonts w:hint="eastAsia"/>
                <w:color w:val="auto"/>
                <w:sz w:val="18"/>
                <w:szCs w:val="18"/>
                <w:highlight w:val="none"/>
              </w:rPr>
            </w:pPr>
            <w:r>
              <w:rPr>
                <w:rFonts w:hint="eastAsia"/>
                <w:color w:val="auto"/>
                <w:sz w:val="18"/>
                <w:szCs w:val="18"/>
                <w:highlight w:val="none"/>
              </w:rPr>
              <w:t>C</w:t>
            </w:r>
          </w:p>
        </w:tc>
        <w:tc>
          <w:tcPr>
            <w:tcW w:w="1701" w:type="dxa"/>
            <w:vAlign w:val="center"/>
          </w:tcPr>
          <w:p>
            <w:pPr>
              <w:adjustRightInd w:val="0"/>
              <w:snapToGrid w:val="0"/>
              <w:jc w:val="center"/>
              <w:rPr>
                <w:rFonts w:eastAsia="HelveticaNeueLTCom-Lt"/>
                <w:color w:val="auto"/>
                <w:kern w:val="0"/>
                <w:sz w:val="18"/>
                <w:szCs w:val="18"/>
                <w:highlight w:val="none"/>
              </w:rPr>
            </w:pPr>
            <w:r>
              <w:rPr>
                <w:rFonts w:eastAsia="HelveticaNeueLTCom-Lt"/>
                <w:color w:val="auto"/>
                <w:kern w:val="0"/>
                <w:sz w:val="18"/>
                <w:szCs w:val="18"/>
                <w:highlight w:val="none"/>
              </w:rPr>
              <w:t>Balance</w:t>
            </w:r>
          </w:p>
        </w:tc>
        <w:tc>
          <w:tcPr>
            <w:tcW w:w="1275" w:type="dxa"/>
            <w:vAlign w:val="center"/>
          </w:tcPr>
          <w:p>
            <w:pPr>
              <w:adjustRightInd w:val="0"/>
              <w:snapToGrid w:val="0"/>
              <w:jc w:val="center"/>
              <w:rPr>
                <w:color w:val="auto"/>
                <w:sz w:val="18"/>
                <w:szCs w:val="18"/>
                <w:highlight w:val="none"/>
              </w:rPr>
            </w:pPr>
            <w:r>
              <w:rPr>
                <w:rFonts w:hint="eastAsia"/>
                <w:color w:val="auto"/>
                <w:sz w:val="18"/>
                <w:szCs w:val="18"/>
                <w:highlight w:val="none"/>
              </w:rPr>
              <w:t>2.0-3.5</w:t>
            </w:r>
          </w:p>
        </w:tc>
        <w:tc>
          <w:tcPr>
            <w:tcW w:w="1276" w:type="dxa"/>
            <w:vAlign w:val="center"/>
          </w:tcPr>
          <w:p>
            <w:pPr>
              <w:adjustRightInd w:val="0"/>
              <w:snapToGrid w:val="0"/>
              <w:jc w:val="center"/>
              <w:rPr>
                <w:color w:val="auto"/>
                <w:sz w:val="18"/>
                <w:szCs w:val="18"/>
                <w:highlight w:val="none"/>
              </w:rPr>
            </w:pPr>
            <w:r>
              <w:rPr>
                <w:color w:val="auto"/>
                <w:sz w:val="18"/>
                <w:szCs w:val="18"/>
                <w:highlight w:val="none"/>
              </w:rPr>
              <w:t xml:space="preserve">3.0 – </w:t>
            </w:r>
            <w:r>
              <w:rPr>
                <w:rFonts w:hint="eastAsia"/>
                <w:color w:val="auto"/>
                <w:sz w:val="18"/>
                <w:szCs w:val="18"/>
                <w:highlight w:val="none"/>
              </w:rPr>
              <w:t>5.0</w:t>
            </w:r>
          </w:p>
        </w:tc>
        <w:tc>
          <w:tcPr>
            <w:tcW w:w="1276" w:type="dxa"/>
            <w:vAlign w:val="center"/>
          </w:tcPr>
          <w:p>
            <w:pPr>
              <w:adjustRightInd w:val="0"/>
              <w:snapToGrid w:val="0"/>
              <w:jc w:val="center"/>
              <w:rPr>
                <w:color w:val="auto"/>
                <w:sz w:val="18"/>
                <w:szCs w:val="18"/>
                <w:highlight w:val="none"/>
              </w:rPr>
            </w:pPr>
            <w:r>
              <w:rPr>
                <w:rFonts w:hint="eastAsia"/>
                <w:color w:val="auto"/>
                <w:sz w:val="18"/>
                <w:szCs w:val="18"/>
                <w:highlight w:val="none"/>
              </w:rPr>
              <w:t>-</w:t>
            </w:r>
          </w:p>
        </w:tc>
        <w:tc>
          <w:tcPr>
            <w:tcW w:w="1159" w:type="dxa"/>
            <w:vAlign w:val="center"/>
          </w:tcPr>
          <w:p>
            <w:pPr>
              <w:adjustRightInd w:val="0"/>
              <w:snapToGrid w:val="0"/>
              <w:jc w:val="center"/>
              <w:rPr>
                <w:color w:val="auto"/>
                <w:sz w:val="18"/>
                <w:szCs w:val="18"/>
                <w:highlight w:val="none"/>
              </w:rPr>
            </w:pPr>
            <w:r>
              <w:rPr>
                <w:color w:val="auto"/>
                <w:sz w:val="18"/>
                <w:szCs w:val="18"/>
                <w:highlight w:val="none"/>
              </w:rPr>
              <w:t>≤</w:t>
            </w:r>
            <w:r>
              <w:rPr>
                <w:rFonts w:hint="eastAsia"/>
                <w:color w:val="auto"/>
                <w:sz w:val="18"/>
                <w:szCs w:val="18"/>
                <w:highlight w:val="none"/>
              </w:rPr>
              <w:t>0.20</w:t>
            </w:r>
          </w:p>
        </w:tc>
        <w:tc>
          <w:tcPr>
            <w:tcW w:w="1207" w:type="dxa"/>
            <w:vAlign w:val="center"/>
          </w:tcPr>
          <w:p>
            <w:pPr>
              <w:adjustRightInd w:val="0"/>
              <w:snapToGrid w:val="0"/>
              <w:jc w:val="center"/>
              <w:rPr>
                <w:rFonts w:hint="eastAsia"/>
                <w:color w:val="auto"/>
                <w:sz w:val="18"/>
                <w:szCs w:val="18"/>
                <w:highlight w:val="none"/>
              </w:rPr>
            </w:pPr>
            <w:r>
              <w:rPr>
                <w:rFonts w:hint="eastAsia"/>
                <w:color w:val="auto"/>
                <w:sz w:val="18"/>
                <w:szCs w:val="18"/>
                <w:highlight w:val="none"/>
              </w:rPr>
              <w:t>–53</w:t>
            </w:r>
            <w:r>
              <w:rPr>
                <w:color w:val="auto"/>
                <w:sz w:val="18"/>
                <w:szCs w:val="18"/>
                <w:highlight w:val="none"/>
              </w:rPr>
              <w:t xml:space="preserve"> +</w:t>
            </w:r>
            <w:r>
              <w:rPr>
                <w:rFonts w:hint="eastAsia"/>
                <w:color w:val="auto"/>
                <w:sz w:val="18"/>
                <w:szCs w:val="18"/>
                <w:highlight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adjustRightInd w:val="0"/>
              <w:snapToGrid w:val="0"/>
              <w:jc w:val="center"/>
              <w:rPr>
                <w:rFonts w:hint="eastAsia"/>
                <w:color w:val="auto"/>
                <w:sz w:val="18"/>
                <w:szCs w:val="18"/>
                <w:highlight w:val="none"/>
              </w:rPr>
            </w:pPr>
            <w:r>
              <w:rPr>
                <w:rFonts w:hint="eastAsia"/>
                <w:color w:val="auto"/>
                <w:sz w:val="18"/>
                <w:szCs w:val="18"/>
                <w:highlight w:val="none"/>
              </w:rPr>
              <w:t>C</w:t>
            </w:r>
          </w:p>
        </w:tc>
        <w:tc>
          <w:tcPr>
            <w:tcW w:w="1701" w:type="dxa"/>
            <w:vAlign w:val="center"/>
          </w:tcPr>
          <w:p>
            <w:pPr>
              <w:adjustRightInd w:val="0"/>
              <w:snapToGrid w:val="0"/>
              <w:jc w:val="center"/>
              <w:rPr>
                <w:rFonts w:eastAsia="HelveticaNeueLTCom-Lt"/>
                <w:color w:val="auto"/>
                <w:kern w:val="0"/>
                <w:sz w:val="18"/>
                <w:szCs w:val="18"/>
                <w:highlight w:val="none"/>
              </w:rPr>
            </w:pPr>
            <w:r>
              <w:rPr>
                <w:rFonts w:eastAsia="HelveticaNeueLTCom-Lt"/>
                <w:color w:val="auto"/>
                <w:kern w:val="0"/>
                <w:sz w:val="18"/>
                <w:szCs w:val="18"/>
                <w:highlight w:val="none"/>
              </w:rPr>
              <w:t>Balance</w:t>
            </w:r>
          </w:p>
        </w:tc>
        <w:tc>
          <w:tcPr>
            <w:tcW w:w="1275" w:type="dxa"/>
            <w:vAlign w:val="center"/>
          </w:tcPr>
          <w:p>
            <w:pPr>
              <w:adjustRightInd w:val="0"/>
              <w:snapToGrid w:val="0"/>
              <w:jc w:val="center"/>
              <w:rPr>
                <w:rFonts w:hint="eastAsia"/>
                <w:color w:val="auto"/>
                <w:sz w:val="18"/>
                <w:szCs w:val="18"/>
                <w:highlight w:val="none"/>
              </w:rPr>
            </w:pPr>
            <w:r>
              <w:rPr>
                <w:color w:val="auto"/>
                <w:sz w:val="18"/>
                <w:szCs w:val="18"/>
                <w:highlight w:val="none"/>
              </w:rPr>
              <w:t>23.0 – 27.0</w:t>
            </w:r>
          </w:p>
        </w:tc>
        <w:tc>
          <w:tcPr>
            <w:tcW w:w="1276" w:type="dxa"/>
            <w:vAlign w:val="center"/>
          </w:tcPr>
          <w:p>
            <w:pPr>
              <w:adjustRightInd w:val="0"/>
              <w:snapToGrid w:val="0"/>
              <w:jc w:val="center"/>
              <w:rPr>
                <w:color w:val="auto"/>
                <w:sz w:val="18"/>
                <w:szCs w:val="18"/>
                <w:highlight w:val="none"/>
              </w:rPr>
            </w:pPr>
            <w:r>
              <w:rPr>
                <w:color w:val="auto"/>
                <w:sz w:val="18"/>
                <w:szCs w:val="18"/>
                <w:highlight w:val="none"/>
              </w:rPr>
              <w:t>≤</w:t>
            </w:r>
            <w:r>
              <w:rPr>
                <w:rFonts w:hint="eastAsia"/>
                <w:color w:val="auto"/>
                <w:sz w:val="18"/>
                <w:szCs w:val="18"/>
                <w:highlight w:val="none"/>
              </w:rPr>
              <w:t>1.0</w:t>
            </w:r>
          </w:p>
        </w:tc>
        <w:tc>
          <w:tcPr>
            <w:tcW w:w="1276" w:type="dxa"/>
            <w:vAlign w:val="center"/>
          </w:tcPr>
          <w:p>
            <w:pPr>
              <w:adjustRightInd w:val="0"/>
              <w:snapToGrid w:val="0"/>
              <w:jc w:val="center"/>
              <w:rPr>
                <w:rFonts w:hint="eastAsia"/>
                <w:color w:val="auto"/>
                <w:sz w:val="18"/>
                <w:szCs w:val="18"/>
                <w:highlight w:val="none"/>
              </w:rPr>
            </w:pPr>
            <w:r>
              <w:rPr>
                <w:color w:val="auto"/>
                <w:sz w:val="18"/>
                <w:szCs w:val="18"/>
                <w:highlight w:val="none"/>
              </w:rPr>
              <w:t>≤</w:t>
            </w:r>
            <w:r>
              <w:rPr>
                <w:rFonts w:hint="eastAsia"/>
                <w:color w:val="auto"/>
                <w:sz w:val="18"/>
                <w:szCs w:val="18"/>
                <w:highlight w:val="none"/>
              </w:rPr>
              <w:t>1.0</w:t>
            </w:r>
          </w:p>
        </w:tc>
        <w:tc>
          <w:tcPr>
            <w:tcW w:w="1159" w:type="dxa"/>
          </w:tcPr>
          <w:p>
            <w:pPr>
              <w:adjustRightInd w:val="0"/>
              <w:snapToGrid w:val="0"/>
              <w:jc w:val="center"/>
              <w:rPr>
                <w:color w:val="auto"/>
                <w:sz w:val="18"/>
                <w:szCs w:val="18"/>
                <w:highlight w:val="none"/>
              </w:rPr>
            </w:pPr>
            <w:r>
              <w:rPr>
                <w:color w:val="auto"/>
                <w:sz w:val="18"/>
                <w:szCs w:val="18"/>
                <w:highlight w:val="none"/>
              </w:rPr>
              <w:t>≤</w:t>
            </w:r>
            <w:r>
              <w:rPr>
                <w:rFonts w:hint="eastAsia"/>
                <w:color w:val="auto"/>
                <w:sz w:val="18"/>
                <w:szCs w:val="18"/>
                <w:highlight w:val="none"/>
              </w:rPr>
              <w:t>0.10</w:t>
            </w:r>
          </w:p>
        </w:tc>
        <w:tc>
          <w:tcPr>
            <w:tcW w:w="1207" w:type="dxa"/>
            <w:vAlign w:val="center"/>
          </w:tcPr>
          <w:p>
            <w:pPr>
              <w:adjustRightInd w:val="0"/>
              <w:snapToGrid w:val="0"/>
              <w:jc w:val="center"/>
              <w:rPr>
                <w:rFonts w:hint="eastAsia"/>
                <w:color w:val="auto"/>
                <w:sz w:val="18"/>
                <w:szCs w:val="18"/>
                <w:highlight w:val="none"/>
              </w:rPr>
            </w:pPr>
            <w:r>
              <w:rPr>
                <w:rFonts w:hint="eastAsia"/>
                <w:color w:val="auto"/>
                <w:sz w:val="18"/>
                <w:szCs w:val="18"/>
                <w:highlight w:val="none"/>
              </w:rPr>
              <w:t>–45</w:t>
            </w:r>
            <w:r>
              <w:rPr>
                <w:color w:val="auto"/>
                <w:sz w:val="18"/>
                <w:szCs w:val="18"/>
                <w:highlight w:val="none"/>
              </w:rPr>
              <w:t xml:space="preserve"> +</w:t>
            </w:r>
            <w:r>
              <w:rPr>
                <w:rFonts w:hint="eastAsia"/>
                <w:color w:val="auto"/>
                <w:sz w:val="18"/>
                <w:szCs w:val="18"/>
                <w:highlight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adjustRightInd w:val="0"/>
              <w:snapToGrid w:val="0"/>
              <w:jc w:val="center"/>
              <w:rPr>
                <w:rFonts w:hint="eastAsia"/>
                <w:color w:val="auto"/>
                <w:sz w:val="18"/>
                <w:szCs w:val="18"/>
                <w:highlight w:val="none"/>
              </w:rPr>
            </w:pPr>
            <w:r>
              <w:rPr>
                <w:rFonts w:hint="eastAsia"/>
                <w:color w:val="auto"/>
                <w:sz w:val="18"/>
                <w:szCs w:val="18"/>
                <w:highlight w:val="none"/>
              </w:rPr>
              <w:t>D</w:t>
            </w:r>
          </w:p>
        </w:tc>
        <w:tc>
          <w:tcPr>
            <w:tcW w:w="1701" w:type="dxa"/>
            <w:vAlign w:val="center"/>
          </w:tcPr>
          <w:p>
            <w:pPr>
              <w:adjustRightInd w:val="0"/>
              <w:snapToGrid w:val="0"/>
              <w:jc w:val="center"/>
              <w:rPr>
                <w:color w:val="auto"/>
                <w:sz w:val="18"/>
                <w:szCs w:val="18"/>
                <w:highlight w:val="none"/>
              </w:rPr>
            </w:pPr>
            <w:r>
              <w:rPr>
                <w:rFonts w:hint="eastAsia"/>
                <w:color w:val="auto"/>
                <w:sz w:val="18"/>
                <w:szCs w:val="18"/>
                <w:highlight w:val="none"/>
              </w:rPr>
              <w:t>96.15</w:t>
            </w:r>
          </w:p>
        </w:tc>
        <w:tc>
          <w:tcPr>
            <w:tcW w:w="1275" w:type="dxa"/>
            <w:vAlign w:val="center"/>
          </w:tcPr>
          <w:p>
            <w:pPr>
              <w:adjustRightInd w:val="0"/>
              <w:snapToGrid w:val="0"/>
              <w:jc w:val="center"/>
              <w:rPr>
                <w:color w:val="auto"/>
                <w:sz w:val="18"/>
                <w:szCs w:val="18"/>
                <w:highlight w:val="none"/>
              </w:rPr>
            </w:pPr>
            <w:r>
              <w:rPr>
                <w:rFonts w:hint="eastAsia"/>
                <w:color w:val="auto"/>
                <w:sz w:val="18"/>
                <w:szCs w:val="18"/>
                <w:highlight w:val="none"/>
              </w:rPr>
              <w:t>3.5</w:t>
            </w:r>
          </w:p>
        </w:tc>
        <w:tc>
          <w:tcPr>
            <w:tcW w:w="1276" w:type="dxa"/>
            <w:vAlign w:val="center"/>
          </w:tcPr>
          <w:p>
            <w:pPr>
              <w:adjustRightInd w:val="0"/>
              <w:snapToGrid w:val="0"/>
              <w:jc w:val="center"/>
              <w:rPr>
                <w:color w:val="auto"/>
                <w:sz w:val="18"/>
                <w:szCs w:val="18"/>
                <w:highlight w:val="none"/>
              </w:rPr>
            </w:pPr>
            <w:r>
              <w:rPr>
                <w:color w:val="auto"/>
                <w:sz w:val="18"/>
                <w:szCs w:val="18"/>
                <w:highlight w:val="none"/>
              </w:rPr>
              <w:t>≤</w:t>
            </w:r>
            <w:r>
              <w:rPr>
                <w:rFonts w:hint="eastAsia"/>
                <w:color w:val="auto"/>
                <w:sz w:val="18"/>
                <w:szCs w:val="18"/>
                <w:highlight w:val="none"/>
              </w:rPr>
              <w:t>0.25</w:t>
            </w:r>
          </w:p>
        </w:tc>
        <w:tc>
          <w:tcPr>
            <w:tcW w:w="1276" w:type="dxa"/>
            <w:vAlign w:val="center"/>
          </w:tcPr>
          <w:p>
            <w:pPr>
              <w:adjustRightInd w:val="0"/>
              <w:snapToGrid w:val="0"/>
              <w:jc w:val="center"/>
              <w:rPr>
                <w:color w:val="auto"/>
                <w:sz w:val="18"/>
                <w:szCs w:val="18"/>
                <w:highlight w:val="none"/>
              </w:rPr>
            </w:pPr>
            <w:r>
              <w:rPr>
                <w:rFonts w:hint="eastAsia"/>
                <w:color w:val="auto"/>
                <w:sz w:val="18"/>
                <w:szCs w:val="18"/>
                <w:highlight w:val="none"/>
              </w:rPr>
              <w:t>/</w:t>
            </w:r>
          </w:p>
        </w:tc>
        <w:tc>
          <w:tcPr>
            <w:tcW w:w="1159" w:type="dxa"/>
          </w:tcPr>
          <w:p>
            <w:pPr>
              <w:adjustRightInd w:val="0"/>
              <w:snapToGrid w:val="0"/>
              <w:jc w:val="center"/>
              <w:rPr>
                <w:color w:val="auto"/>
                <w:sz w:val="18"/>
                <w:szCs w:val="18"/>
                <w:highlight w:val="none"/>
              </w:rPr>
            </w:pPr>
            <w:r>
              <w:rPr>
                <w:color w:val="auto"/>
                <w:sz w:val="18"/>
                <w:szCs w:val="18"/>
                <w:highlight w:val="none"/>
              </w:rPr>
              <w:t>≤</w:t>
            </w:r>
            <w:r>
              <w:rPr>
                <w:rFonts w:hint="eastAsia"/>
                <w:color w:val="auto"/>
                <w:sz w:val="18"/>
                <w:szCs w:val="18"/>
                <w:highlight w:val="none"/>
              </w:rPr>
              <w:t>0.15</w:t>
            </w:r>
          </w:p>
        </w:tc>
        <w:tc>
          <w:tcPr>
            <w:tcW w:w="1207" w:type="dxa"/>
            <w:vAlign w:val="center"/>
          </w:tcPr>
          <w:p>
            <w:pPr>
              <w:adjustRightInd w:val="0"/>
              <w:snapToGrid w:val="0"/>
              <w:jc w:val="center"/>
              <w:rPr>
                <w:color w:val="auto"/>
                <w:sz w:val="18"/>
                <w:szCs w:val="18"/>
                <w:highlight w:val="none"/>
              </w:rPr>
            </w:pPr>
            <w:r>
              <w:rPr>
                <w:rFonts w:hint="eastAsia"/>
                <w:color w:val="auto"/>
                <w:sz w:val="18"/>
                <w:szCs w:val="18"/>
                <w:highlight w:val="none"/>
              </w:rPr>
              <w:t>–45</w:t>
            </w:r>
            <w:r>
              <w:rPr>
                <w:color w:val="auto"/>
                <w:sz w:val="18"/>
                <w:szCs w:val="18"/>
                <w:highlight w:val="none"/>
              </w:rPr>
              <w:t xml:space="preserve"> +</w:t>
            </w:r>
            <w:r>
              <w:rPr>
                <w:rFonts w:hint="eastAsia"/>
                <w:color w:val="auto"/>
                <w:sz w:val="18"/>
                <w:szCs w:val="18"/>
                <w:highlight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adjustRightInd w:val="0"/>
              <w:snapToGrid w:val="0"/>
              <w:jc w:val="center"/>
              <w:rPr>
                <w:rFonts w:hint="eastAsia"/>
                <w:color w:val="auto"/>
                <w:sz w:val="18"/>
                <w:szCs w:val="18"/>
                <w:highlight w:val="none"/>
              </w:rPr>
            </w:pPr>
            <w:r>
              <w:rPr>
                <w:rFonts w:hint="eastAsia"/>
                <w:color w:val="auto"/>
                <w:sz w:val="18"/>
                <w:szCs w:val="18"/>
                <w:highlight w:val="none"/>
              </w:rPr>
              <w:t>E</w:t>
            </w:r>
          </w:p>
        </w:tc>
        <w:tc>
          <w:tcPr>
            <w:tcW w:w="1701" w:type="dxa"/>
            <w:vAlign w:val="center"/>
          </w:tcPr>
          <w:p>
            <w:pPr>
              <w:adjustRightInd w:val="0"/>
              <w:snapToGrid w:val="0"/>
              <w:jc w:val="center"/>
              <w:rPr>
                <w:rFonts w:hint="eastAsia"/>
                <w:color w:val="auto"/>
                <w:sz w:val="18"/>
                <w:szCs w:val="18"/>
                <w:highlight w:val="none"/>
              </w:rPr>
            </w:pPr>
            <w:r>
              <w:rPr>
                <w:rFonts w:hint="eastAsia"/>
                <w:color w:val="auto"/>
                <w:sz w:val="18"/>
                <w:szCs w:val="18"/>
                <w:highlight w:val="none"/>
              </w:rPr>
              <w:t>80</w:t>
            </w:r>
          </w:p>
        </w:tc>
        <w:tc>
          <w:tcPr>
            <w:tcW w:w="1275" w:type="dxa"/>
            <w:vAlign w:val="center"/>
          </w:tcPr>
          <w:p>
            <w:pPr>
              <w:adjustRightInd w:val="0"/>
              <w:snapToGrid w:val="0"/>
              <w:jc w:val="center"/>
              <w:rPr>
                <w:rFonts w:hint="eastAsia"/>
                <w:color w:val="auto"/>
                <w:sz w:val="18"/>
                <w:szCs w:val="18"/>
                <w:highlight w:val="none"/>
              </w:rPr>
            </w:pPr>
            <w:r>
              <w:rPr>
                <w:rFonts w:hint="eastAsia"/>
                <w:color w:val="auto"/>
                <w:sz w:val="18"/>
                <w:szCs w:val="18"/>
                <w:highlight w:val="none"/>
              </w:rPr>
              <w:t>20</w:t>
            </w:r>
          </w:p>
        </w:tc>
        <w:tc>
          <w:tcPr>
            <w:tcW w:w="1276" w:type="dxa"/>
            <w:vAlign w:val="center"/>
          </w:tcPr>
          <w:p>
            <w:pPr>
              <w:adjustRightInd w:val="0"/>
              <w:snapToGrid w:val="0"/>
              <w:jc w:val="center"/>
              <w:rPr>
                <w:color w:val="auto"/>
                <w:sz w:val="18"/>
                <w:szCs w:val="18"/>
                <w:highlight w:val="none"/>
              </w:rPr>
            </w:pPr>
            <w:r>
              <w:rPr>
                <w:rFonts w:hint="eastAsia"/>
                <w:color w:val="auto"/>
                <w:sz w:val="18"/>
                <w:szCs w:val="18"/>
                <w:highlight w:val="none"/>
              </w:rPr>
              <w:t>-</w:t>
            </w:r>
          </w:p>
        </w:tc>
        <w:tc>
          <w:tcPr>
            <w:tcW w:w="1276" w:type="dxa"/>
            <w:vAlign w:val="center"/>
          </w:tcPr>
          <w:p>
            <w:pPr>
              <w:adjustRightInd w:val="0"/>
              <w:snapToGrid w:val="0"/>
              <w:jc w:val="center"/>
              <w:rPr>
                <w:color w:val="auto"/>
                <w:sz w:val="18"/>
                <w:szCs w:val="18"/>
                <w:highlight w:val="none"/>
              </w:rPr>
            </w:pPr>
            <w:r>
              <w:rPr>
                <w:rFonts w:hint="eastAsia"/>
                <w:color w:val="auto"/>
                <w:sz w:val="18"/>
                <w:szCs w:val="18"/>
                <w:highlight w:val="none"/>
              </w:rPr>
              <w:t>-</w:t>
            </w:r>
          </w:p>
        </w:tc>
        <w:tc>
          <w:tcPr>
            <w:tcW w:w="1159" w:type="dxa"/>
            <w:vAlign w:val="center"/>
          </w:tcPr>
          <w:p>
            <w:pPr>
              <w:adjustRightInd w:val="0"/>
              <w:snapToGrid w:val="0"/>
              <w:jc w:val="center"/>
              <w:rPr>
                <w:color w:val="auto"/>
                <w:sz w:val="18"/>
                <w:szCs w:val="18"/>
                <w:highlight w:val="none"/>
              </w:rPr>
            </w:pPr>
            <w:r>
              <w:rPr>
                <w:rFonts w:hint="eastAsia"/>
                <w:color w:val="auto"/>
                <w:sz w:val="18"/>
                <w:szCs w:val="18"/>
                <w:highlight w:val="none"/>
              </w:rPr>
              <w:t>-</w:t>
            </w:r>
          </w:p>
        </w:tc>
        <w:tc>
          <w:tcPr>
            <w:tcW w:w="1207" w:type="dxa"/>
            <w:vAlign w:val="center"/>
          </w:tcPr>
          <w:p>
            <w:pPr>
              <w:adjustRightInd w:val="0"/>
              <w:snapToGrid w:val="0"/>
              <w:jc w:val="center"/>
              <w:rPr>
                <w:rFonts w:hint="eastAsia"/>
                <w:color w:val="auto"/>
                <w:sz w:val="18"/>
                <w:szCs w:val="18"/>
                <w:highlight w:val="none"/>
              </w:rPr>
            </w:pPr>
            <w:r>
              <w:rPr>
                <w:rFonts w:hint="eastAsia"/>
                <w:color w:val="auto"/>
                <w:sz w:val="18"/>
                <w:szCs w:val="18"/>
                <w:highlight w:val="none"/>
              </w:rPr>
              <w:t>–45</w:t>
            </w:r>
            <w:r>
              <w:rPr>
                <w:color w:val="auto"/>
                <w:sz w:val="18"/>
                <w:szCs w:val="18"/>
                <w:highlight w:val="none"/>
              </w:rPr>
              <w:t xml:space="preserve"> +</w:t>
            </w:r>
            <w:r>
              <w:rPr>
                <w:rFonts w:hint="eastAsia"/>
                <w:color w:val="auto"/>
                <w:sz w:val="18"/>
                <w:szCs w:val="18"/>
                <w:highlight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adjustRightInd w:val="0"/>
              <w:snapToGrid w:val="0"/>
              <w:jc w:val="center"/>
              <w:rPr>
                <w:rFonts w:hint="eastAsia"/>
                <w:color w:val="auto"/>
                <w:sz w:val="18"/>
                <w:szCs w:val="18"/>
                <w:highlight w:val="none"/>
              </w:rPr>
            </w:pPr>
            <w:r>
              <w:rPr>
                <w:rFonts w:hint="eastAsia"/>
                <w:color w:val="auto"/>
                <w:sz w:val="18"/>
                <w:szCs w:val="18"/>
                <w:highlight w:val="none"/>
              </w:rPr>
              <w:t>E</w:t>
            </w:r>
          </w:p>
        </w:tc>
        <w:tc>
          <w:tcPr>
            <w:tcW w:w="1701" w:type="dxa"/>
            <w:vAlign w:val="center"/>
          </w:tcPr>
          <w:p>
            <w:pPr>
              <w:adjustRightInd w:val="0"/>
              <w:snapToGrid w:val="0"/>
              <w:jc w:val="center"/>
              <w:rPr>
                <w:rFonts w:hint="eastAsia"/>
                <w:color w:val="auto"/>
                <w:sz w:val="18"/>
                <w:szCs w:val="18"/>
                <w:highlight w:val="none"/>
              </w:rPr>
            </w:pPr>
            <w:r>
              <w:rPr>
                <w:color w:val="auto"/>
                <w:sz w:val="18"/>
                <w:szCs w:val="18"/>
                <w:highlight w:val="none"/>
              </w:rPr>
              <w:t>≥9</w:t>
            </w:r>
            <w:r>
              <w:rPr>
                <w:rFonts w:hint="eastAsia"/>
                <w:color w:val="auto"/>
                <w:sz w:val="18"/>
                <w:szCs w:val="18"/>
                <w:highlight w:val="none"/>
              </w:rPr>
              <w:t>9</w:t>
            </w:r>
            <w:r>
              <w:rPr>
                <w:color w:val="auto"/>
                <w:sz w:val="18"/>
                <w:szCs w:val="18"/>
                <w:highlight w:val="none"/>
              </w:rPr>
              <w:t>.</w:t>
            </w:r>
            <w:r>
              <w:rPr>
                <w:rFonts w:hint="eastAsia"/>
                <w:color w:val="auto"/>
                <w:sz w:val="18"/>
                <w:szCs w:val="18"/>
                <w:highlight w:val="none"/>
              </w:rPr>
              <w:t>0</w:t>
            </w:r>
          </w:p>
        </w:tc>
        <w:tc>
          <w:tcPr>
            <w:tcW w:w="1275" w:type="dxa"/>
            <w:vAlign w:val="center"/>
          </w:tcPr>
          <w:p>
            <w:pPr>
              <w:adjustRightInd w:val="0"/>
              <w:snapToGrid w:val="0"/>
              <w:jc w:val="center"/>
              <w:rPr>
                <w:rFonts w:hint="eastAsia"/>
                <w:color w:val="auto"/>
                <w:sz w:val="18"/>
                <w:szCs w:val="18"/>
                <w:highlight w:val="none"/>
              </w:rPr>
            </w:pPr>
            <w:r>
              <w:rPr>
                <w:color w:val="auto"/>
                <w:sz w:val="18"/>
                <w:szCs w:val="18"/>
                <w:highlight w:val="none"/>
              </w:rPr>
              <w:t>≤</w:t>
            </w:r>
            <w:r>
              <w:rPr>
                <w:rFonts w:hint="eastAsia"/>
                <w:color w:val="auto"/>
                <w:sz w:val="18"/>
                <w:szCs w:val="18"/>
                <w:highlight w:val="none"/>
              </w:rPr>
              <w:t>0.5</w:t>
            </w:r>
          </w:p>
        </w:tc>
        <w:tc>
          <w:tcPr>
            <w:tcW w:w="1276" w:type="dxa"/>
            <w:vAlign w:val="center"/>
          </w:tcPr>
          <w:p>
            <w:pPr>
              <w:adjustRightInd w:val="0"/>
              <w:snapToGrid w:val="0"/>
              <w:jc w:val="center"/>
              <w:rPr>
                <w:color w:val="auto"/>
                <w:sz w:val="18"/>
                <w:szCs w:val="18"/>
                <w:highlight w:val="none"/>
              </w:rPr>
            </w:pPr>
            <w:r>
              <w:rPr>
                <w:rFonts w:hint="eastAsia"/>
                <w:color w:val="auto"/>
                <w:sz w:val="18"/>
                <w:szCs w:val="18"/>
                <w:highlight w:val="none"/>
              </w:rPr>
              <w:t>-</w:t>
            </w:r>
          </w:p>
        </w:tc>
        <w:tc>
          <w:tcPr>
            <w:tcW w:w="1276" w:type="dxa"/>
            <w:vAlign w:val="center"/>
          </w:tcPr>
          <w:p>
            <w:pPr>
              <w:adjustRightInd w:val="0"/>
              <w:snapToGrid w:val="0"/>
              <w:jc w:val="center"/>
              <w:rPr>
                <w:color w:val="auto"/>
                <w:sz w:val="18"/>
                <w:szCs w:val="18"/>
                <w:highlight w:val="none"/>
              </w:rPr>
            </w:pPr>
            <w:r>
              <w:rPr>
                <w:rFonts w:hint="eastAsia"/>
                <w:color w:val="auto"/>
                <w:sz w:val="18"/>
                <w:szCs w:val="18"/>
                <w:highlight w:val="none"/>
              </w:rPr>
              <w:t>-</w:t>
            </w:r>
          </w:p>
        </w:tc>
        <w:tc>
          <w:tcPr>
            <w:tcW w:w="1159" w:type="dxa"/>
            <w:vAlign w:val="center"/>
          </w:tcPr>
          <w:p>
            <w:pPr>
              <w:adjustRightInd w:val="0"/>
              <w:snapToGrid w:val="0"/>
              <w:jc w:val="center"/>
              <w:rPr>
                <w:color w:val="auto"/>
                <w:sz w:val="18"/>
                <w:szCs w:val="18"/>
                <w:highlight w:val="none"/>
              </w:rPr>
            </w:pPr>
            <w:r>
              <w:rPr>
                <w:rFonts w:hint="eastAsia"/>
                <w:color w:val="auto"/>
                <w:sz w:val="18"/>
                <w:szCs w:val="18"/>
                <w:highlight w:val="none"/>
              </w:rPr>
              <w:t>-</w:t>
            </w:r>
          </w:p>
        </w:tc>
        <w:tc>
          <w:tcPr>
            <w:tcW w:w="1207" w:type="dxa"/>
            <w:vAlign w:val="center"/>
          </w:tcPr>
          <w:p>
            <w:pPr>
              <w:adjustRightInd w:val="0"/>
              <w:snapToGrid w:val="0"/>
              <w:jc w:val="center"/>
              <w:rPr>
                <w:rFonts w:hint="eastAsia"/>
                <w:color w:val="auto"/>
                <w:sz w:val="18"/>
                <w:szCs w:val="18"/>
                <w:highlight w:val="none"/>
              </w:rPr>
            </w:pPr>
            <w:r>
              <w:rPr>
                <w:rFonts w:hint="eastAsia"/>
                <w:color w:val="auto"/>
                <w:sz w:val="18"/>
                <w:szCs w:val="18"/>
                <w:highlight w:val="none"/>
              </w:rPr>
              <w:t>–45</w:t>
            </w:r>
            <w:r>
              <w:rPr>
                <w:color w:val="auto"/>
                <w:sz w:val="18"/>
                <w:szCs w:val="18"/>
                <w:highlight w:val="none"/>
              </w:rPr>
              <w:t xml:space="preserve"> +</w:t>
            </w:r>
            <w:r>
              <w:rPr>
                <w:rFonts w:hint="eastAsia"/>
                <w:color w:val="auto"/>
                <w:sz w:val="18"/>
                <w:szCs w:val="18"/>
                <w:highlight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adjustRightInd w:val="0"/>
              <w:snapToGrid w:val="0"/>
              <w:jc w:val="center"/>
              <w:rPr>
                <w:rFonts w:hint="eastAsia"/>
                <w:color w:val="auto"/>
                <w:sz w:val="18"/>
                <w:szCs w:val="18"/>
                <w:highlight w:val="none"/>
              </w:rPr>
            </w:pPr>
            <w:r>
              <w:rPr>
                <w:rFonts w:hint="eastAsia"/>
                <w:color w:val="auto"/>
                <w:sz w:val="18"/>
                <w:szCs w:val="18"/>
                <w:highlight w:val="none"/>
              </w:rPr>
              <w:t>F</w:t>
            </w:r>
          </w:p>
        </w:tc>
        <w:tc>
          <w:tcPr>
            <w:tcW w:w="1701" w:type="dxa"/>
            <w:vAlign w:val="center"/>
          </w:tcPr>
          <w:p>
            <w:pPr>
              <w:adjustRightInd w:val="0"/>
              <w:snapToGrid w:val="0"/>
              <w:jc w:val="center"/>
              <w:rPr>
                <w:rFonts w:hint="eastAsia"/>
                <w:color w:val="auto"/>
                <w:sz w:val="18"/>
                <w:szCs w:val="18"/>
                <w:highlight w:val="none"/>
              </w:rPr>
            </w:pPr>
            <w:r>
              <w:rPr>
                <w:rFonts w:hint="eastAsia"/>
                <w:color w:val="auto"/>
                <w:szCs w:val="21"/>
                <w:highlight w:val="none"/>
              </w:rPr>
              <w:t>99.5</w:t>
            </w:r>
          </w:p>
        </w:tc>
        <w:tc>
          <w:tcPr>
            <w:tcW w:w="1275" w:type="dxa"/>
            <w:vAlign w:val="center"/>
          </w:tcPr>
          <w:p>
            <w:pPr>
              <w:adjustRightInd w:val="0"/>
              <w:snapToGrid w:val="0"/>
              <w:jc w:val="center"/>
              <w:rPr>
                <w:rFonts w:hint="eastAsia"/>
                <w:color w:val="auto"/>
                <w:sz w:val="18"/>
                <w:szCs w:val="18"/>
                <w:highlight w:val="none"/>
              </w:rPr>
            </w:pPr>
            <w:r>
              <w:rPr>
                <w:color w:val="auto"/>
                <w:szCs w:val="21"/>
                <w:highlight w:val="none"/>
              </w:rPr>
              <w:t>≤0.</w:t>
            </w:r>
            <w:r>
              <w:rPr>
                <w:rFonts w:hint="eastAsia"/>
                <w:color w:val="auto"/>
                <w:szCs w:val="21"/>
                <w:highlight w:val="none"/>
              </w:rPr>
              <w:t>15</w:t>
            </w:r>
          </w:p>
        </w:tc>
        <w:tc>
          <w:tcPr>
            <w:tcW w:w="1276" w:type="dxa"/>
            <w:vAlign w:val="center"/>
          </w:tcPr>
          <w:p>
            <w:pPr>
              <w:adjustRightInd w:val="0"/>
              <w:snapToGrid w:val="0"/>
              <w:jc w:val="center"/>
              <w:rPr>
                <w:color w:val="auto"/>
                <w:sz w:val="18"/>
                <w:szCs w:val="18"/>
                <w:highlight w:val="none"/>
              </w:rPr>
            </w:pPr>
            <w:r>
              <w:rPr>
                <w:color w:val="auto"/>
                <w:szCs w:val="21"/>
                <w:highlight w:val="none"/>
              </w:rPr>
              <w:t>≤0.</w:t>
            </w:r>
            <w:r>
              <w:rPr>
                <w:rFonts w:hint="eastAsia"/>
                <w:color w:val="auto"/>
                <w:szCs w:val="21"/>
                <w:highlight w:val="none"/>
              </w:rPr>
              <w:t>25</w:t>
            </w:r>
          </w:p>
        </w:tc>
        <w:tc>
          <w:tcPr>
            <w:tcW w:w="1276" w:type="dxa"/>
            <w:vAlign w:val="center"/>
          </w:tcPr>
          <w:p>
            <w:pPr>
              <w:adjustRightInd w:val="0"/>
              <w:snapToGrid w:val="0"/>
              <w:jc w:val="center"/>
              <w:rPr>
                <w:color w:val="auto"/>
                <w:sz w:val="18"/>
                <w:szCs w:val="18"/>
                <w:highlight w:val="none"/>
              </w:rPr>
            </w:pPr>
            <w:r>
              <w:rPr>
                <w:rFonts w:hint="eastAsia"/>
                <w:color w:val="auto"/>
                <w:sz w:val="18"/>
                <w:szCs w:val="18"/>
                <w:highlight w:val="none"/>
              </w:rPr>
              <w:t>-</w:t>
            </w:r>
          </w:p>
        </w:tc>
        <w:tc>
          <w:tcPr>
            <w:tcW w:w="1159" w:type="dxa"/>
          </w:tcPr>
          <w:p>
            <w:pPr>
              <w:adjustRightInd w:val="0"/>
              <w:snapToGrid w:val="0"/>
              <w:jc w:val="center"/>
              <w:rPr>
                <w:color w:val="auto"/>
                <w:sz w:val="18"/>
                <w:szCs w:val="18"/>
                <w:highlight w:val="none"/>
              </w:rPr>
            </w:pPr>
            <w:r>
              <w:rPr>
                <w:color w:val="auto"/>
                <w:szCs w:val="21"/>
                <w:highlight w:val="none"/>
              </w:rPr>
              <w:t>≤0.</w:t>
            </w:r>
            <w:r>
              <w:rPr>
                <w:rFonts w:hint="eastAsia"/>
                <w:color w:val="auto"/>
                <w:szCs w:val="21"/>
                <w:highlight w:val="none"/>
              </w:rPr>
              <w:t>10</w:t>
            </w:r>
          </w:p>
        </w:tc>
        <w:tc>
          <w:tcPr>
            <w:tcW w:w="1207" w:type="dxa"/>
            <w:vAlign w:val="center"/>
          </w:tcPr>
          <w:p>
            <w:pPr>
              <w:adjustRightInd w:val="0"/>
              <w:snapToGrid w:val="0"/>
              <w:jc w:val="center"/>
              <w:rPr>
                <w:rFonts w:hint="eastAsia"/>
                <w:color w:val="auto"/>
                <w:sz w:val="18"/>
                <w:szCs w:val="18"/>
                <w:highlight w:val="none"/>
              </w:rPr>
            </w:pPr>
            <w:r>
              <w:rPr>
                <w:rFonts w:hint="eastAsia"/>
                <w:color w:val="auto"/>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adjustRightInd w:val="0"/>
              <w:snapToGrid w:val="0"/>
              <w:jc w:val="center"/>
              <w:rPr>
                <w:rFonts w:hint="eastAsia"/>
                <w:color w:val="auto"/>
                <w:sz w:val="18"/>
                <w:szCs w:val="18"/>
                <w:highlight w:val="none"/>
              </w:rPr>
            </w:pPr>
            <w:r>
              <w:rPr>
                <w:rFonts w:hint="eastAsia"/>
                <w:color w:val="auto"/>
                <w:sz w:val="18"/>
                <w:szCs w:val="18"/>
                <w:highlight w:val="none"/>
              </w:rPr>
              <w:t>F</w:t>
            </w:r>
          </w:p>
        </w:tc>
        <w:tc>
          <w:tcPr>
            <w:tcW w:w="1701" w:type="dxa"/>
            <w:vAlign w:val="center"/>
          </w:tcPr>
          <w:p>
            <w:pPr>
              <w:adjustRightInd w:val="0"/>
              <w:snapToGrid w:val="0"/>
              <w:jc w:val="center"/>
              <w:rPr>
                <w:rFonts w:hint="eastAsia"/>
                <w:color w:val="auto"/>
                <w:szCs w:val="21"/>
                <w:highlight w:val="none"/>
              </w:rPr>
            </w:pPr>
            <w:r>
              <w:rPr>
                <w:rFonts w:hint="eastAsia"/>
                <w:color w:val="auto"/>
                <w:szCs w:val="21"/>
                <w:highlight w:val="none"/>
              </w:rPr>
              <w:t>余量</w:t>
            </w:r>
          </w:p>
        </w:tc>
        <w:tc>
          <w:tcPr>
            <w:tcW w:w="1275" w:type="dxa"/>
            <w:vAlign w:val="center"/>
          </w:tcPr>
          <w:p>
            <w:pPr>
              <w:adjustRightInd w:val="0"/>
              <w:snapToGrid w:val="0"/>
              <w:jc w:val="center"/>
              <w:rPr>
                <w:color w:val="auto"/>
                <w:szCs w:val="21"/>
                <w:highlight w:val="none"/>
              </w:rPr>
            </w:pPr>
            <w:r>
              <w:rPr>
                <w:rFonts w:hint="eastAsia"/>
                <w:color w:val="auto"/>
                <w:szCs w:val="21"/>
                <w:highlight w:val="none"/>
              </w:rPr>
              <w:t>38.0</w:t>
            </w:r>
            <w:r>
              <w:rPr>
                <w:color w:val="auto"/>
                <w:szCs w:val="21"/>
                <w:highlight w:val="none"/>
              </w:rPr>
              <w:t>~4</w:t>
            </w:r>
            <w:r>
              <w:rPr>
                <w:rFonts w:hint="eastAsia"/>
                <w:color w:val="auto"/>
                <w:szCs w:val="21"/>
                <w:highlight w:val="none"/>
              </w:rPr>
              <w:t>2</w:t>
            </w:r>
            <w:r>
              <w:rPr>
                <w:color w:val="auto"/>
                <w:szCs w:val="21"/>
                <w:highlight w:val="none"/>
              </w:rPr>
              <w:t>.</w:t>
            </w:r>
            <w:r>
              <w:rPr>
                <w:rFonts w:hint="eastAsia"/>
                <w:color w:val="auto"/>
                <w:szCs w:val="21"/>
                <w:highlight w:val="none"/>
              </w:rPr>
              <w:t>0</w:t>
            </w:r>
          </w:p>
        </w:tc>
        <w:tc>
          <w:tcPr>
            <w:tcW w:w="1276" w:type="dxa"/>
            <w:vAlign w:val="center"/>
          </w:tcPr>
          <w:p>
            <w:pPr>
              <w:adjustRightInd w:val="0"/>
              <w:snapToGrid w:val="0"/>
              <w:jc w:val="center"/>
              <w:rPr>
                <w:color w:val="auto"/>
                <w:szCs w:val="21"/>
                <w:highlight w:val="none"/>
              </w:rPr>
            </w:pPr>
            <w:r>
              <w:rPr>
                <w:rFonts w:hint="eastAsia"/>
                <w:color w:val="auto"/>
                <w:szCs w:val="21"/>
                <w:highlight w:val="none"/>
              </w:rPr>
              <w:t>＜0.2</w:t>
            </w:r>
          </w:p>
        </w:tc>
        <w:tc>
          <w:tcPr>
            <w:tcW w:w="1276" w:type="dxa"/>
            <w:vAlign w:val="center"/>
          </w:tcPr>
          <w:p>
            <w:pPr>
              <w:adjustRightInd w:val="0"/>
              <w:snapToGrid w:val="0"/>
              <w:jc w:val="center"/>
              <w:rPr>
                <w:color w:val="auto"/>
                <w:sz w:val="18"/>
                <w:szCs w:val="18"/>
                <w:highlight w:val="none"/>
              </w:rPr>
            </w:pPr>
            <w:r>
              <w:rPr>
                <w:rFonts w:hint="eastAsia"/>
                <w:color w:val="auto"/>
                <w:sz w:val="18"/>
                <w:szCs w:val="18"/>
                <w:highlight w:val="none"/>
              </w:rPr>
              <w:t>-</w:t>
            </w:r>
          </w:p>
        </w:tc>
        <w:tc>
          <w:tcPr>
            <w:tcW w:w="1159" w:type="dxa"/>
          </w:tcPr>
          <w:p>
            <w:pPr>
              <w:adjustRightInd w:val="0"/>
              <w:snapToGrid w:val="0"/>
              <w:jc w:val="center"/>
              <w:rPr>
                <w:color w:val="auto"/>
                <w:szCs w:val="21"/>
                <w:highlight w:val="none"/>
              </w:rPr>
            </w:pPr>
            <w:r>
              <w:rPr>
                <w:rFonts w:hint="eastAsia"/>
                <w:color w:val="auto"/>
                <w:szCs w:val="21"/>
                <w:highlight w:val="none"/>
              </w:rPr>
              <w:t>＜0.2</w:t>
            </w:r>
          </w:p>
        </w:tc>
        <w:tc>
          <w:tcPr>
            <w:tcW w:w="1207" w:type="dxa"/>
            <w:vAlign w:val="center"/>
          </w:tcPr>
          <w:p>
            <w:pPr>
              <w:adjustRightInd w:val="0"/>
              <w:snapToGrid w:val="0"/>
              <w:jc w:val="center"/>
              <w:rPr>
                <w:rFonts w:hint="eastAsia"/>
                <w:color w:val="auto"/>
                <w:sz w:val="18"/>
                <w:szCs w:val="18"/>
                <w:highlight w:val="none"/>
              </w:rPr>
            </w:pPr>
            <w:r>
              <w:rPr>
                <w:rFonts w:hint="eastAsia"/>
                <w:color w:val="auto"/>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adjustRightInd w:val="0"/>
              <w:snapToGrid w:val="0"/>
              <w:jc w:val="center"/>
              <w:rPr>
                <w:rFonts w:hint="eastAsia"/>
                <w:color w:val="auto"/>
                <w:sz w:val="18"/>
                <w:szCs w:val="18"/>
                <w:highlight w:val="none"/>
              </w:rPr>
            </w:pPr>
            <w:r>
              <w:rPr>
                <w:rFonts w:hint="eastAsia"/>
                <w:color w:val="auto"/>
                <w:sz w:val="18"/>
                <w:szCs w:val="18"/>
                <w:highlight w:val="none"/>
              </w:rPr>
              <w:t>G</w:t>
            </w:r>
          </w:p>
        </w:tc>
        <w:tc>
          <w:tcPr>
            <w:tcW w:w="1701" w:type="dxa"/>
            <w:vAlign w:val="center"/>
          </w:tcPr>
          <w:p>
            <w:pPr>
              <w:adjustRightInd w:val="0"/>
              <w:snapToGrid w:val="0"/>
              <w:jc w:val="center"/>
              <w:rPr>
                <w:rFonts w:hint="eastAsia"/>
                <w:color w:val="auto"/>
                <w:szCs w:val="21"/>
                <w:highlight w:val="none"/>
              </w:rPr>
            </w:pPr>
            <w:r>
              <w:rPr>
                <w:rFonts w:hint="eastAsia"/>
                <w:color w:val="auto"/>
                <w:szCs w:val="21"/>
                <w:highlight w:val="none"/>
              </w:rPr>
              <w:t>余量</w:t>
            </w:r>
          </w:p>
        </w:tc>
        <w:tc>
          <w:tcPr>
            <w:tcW w:w="1275" w:type="dxa"/>
            <w:vAlign w:val="center"/>
          </w:tcPr>
          <w:p>
            <w:pPr>
              <w:adjustRightInd w:val="0"/>
              <w:snapToGrid w:val="0"/>
              <w:jc w:val="center"/>
              <w:rPr>
                <w:rFonts w:hint="eastAsia"/>
                <w:color w:val="auto"/>
                <w:szCs w:val="21"/>
                <w:highlight w:val="none"/>
              </w:rPr>
            </w:pPr>
            <w:r>
              <w:rPr>
                <w:rFonts w:hint="eastAsia"/>
                <w:color w:val="auto"/>
                <w:szCs w:val="21"/>
                <w:highlight w:val="none"/>
              </w:rPr>
              <w:t>53-56</w:t>
            </w:r>
          </w:p>
        </w:tc>
        <w:tc>
          <w:tcPr>
            <w:tcW w:w="1276" w:type="dxa"/>
            <w:vAlign w:val="center"/>
          </w:tcPr>
          <w:p>
            <w:pPr>
              <w:adjustRightInd w:val="0"/>
              <w:snapToGrid w:val="0"/>
              <w:jc w:val="center"/>
              <w:rPr>
                <w:rFonts w:hint="eastAsia"/>
                <w:color w:val="auto"/>
                <w:szCs w:val="21"/>
                <w:highlight w:val="none"/>
              </w:rPr>
            </w:pPr>
            <w:r>
              <w:rPr>
                <w:color w:val="auto"/>
                <w:szCs w:val="21"/>
                <w:highlight w:val="none"/>
              </w:rPr>
              <w:t>≤</w:t>
            </w:r>
            <w:r>
              <w:rPr>
                <w:rFonts w:hint="eastAsia"/>
                <w:color w:val="auto"/>
                <w:szCs w:val="21"/>
                <w:highlight w:val="none"/>
              </w:rPr>
              <w:t>0.5</w:t>
            </w:r>
          </w:p>
        </w:tc>
        <w:tc>
          <w:tcPr>
            <w:tcW w:w="1276" w:type="dxa"/>
            <w:vAlign w:val="center"/>
          </w:tcPr>
          <w:p>
            <w:pPr>
              <w:adjustRightInd w:val="0"/>
              <w:snapToGrid w:val="0"/>
              <w:jc w:val="center"/>
              <w:rPr>
                <w:color w:val="auto"/>
                <w:sz w:val="18"/>
                <w:szCs w:val="18"/>
                <w:highlight w:val="none"/>
              </w:rPr>
            </w:pPr>
            <w:r>
              <w:rPr>
                <w:rFonts w:hint="eastAsia"/>
                <w:color w:val="auto"/>
                <w:sz w:val="18"/>
                <w:szCs w:val="18"/>
                <w:highlight w:val="none"/>
              </w:rPr>
              <w:t>-</w:t>
            </w:r>
          </w:p>
        </w:tc>
        <w:tc>
          <w:tcPr>
            <w:tcW w:w="1159" w:type="dxa"/>
          </w:tcPr>
          <w:p>
            <w:pPr>
              <w:adjustRightInd w:val="0"/>
              <w:snapToGrid w:val="0"/>
              <w:jc w:val="center"/>
              <w:rPr>
                <w:rFonts w:hint="eastAsia"/>
                <w:color w:val="auto"/>
                <w:szCs w:val="21"/>
                <w:highlight w:val="none"/>
              </w:rPr>
            </w:pPr>
            <w:r>
              <w:rPr>
                <w:color w:val="auto"/>
                <w:szCs w:val="21"/>
                <w:highlight w:val="none"/>
              </w:rPr>
              <w:t>≤</w:t>
            </w:r>
            <w:r>
              <w:rPr>
                <w:rFonts w:hint="eastAsia"/>
                <w:color w:val="auto"/>
                <w:szCs w:val="21"/>
                <w:highlight w:val="none"/>
              </w:rPr>
              <w:t>0.5</w:t>
            </w:r>
          </w:p>
        </w:tc>
        <w:tc>
          <w:tcPr>
            <w:tcW w:w="1207" w:type="dxa"/>
            <w:vAlign w:val="center"/>
          </w:tcPr>
          <w:p>
            <w:pPr>
              <w:adjustRightInd w:val="0"/>
              <w:snapToGrid w:val="0"/>
              <w:jc w:val="center"/>
              <w:rPr>
                <w:rFonts w:hint="eastAsia"/>
                <w:color w:val="auto"/>
                <w:sz w:val="18"/>
                <w:szCs w:val="18"/>
                <w:highlight w:val="none"/>
              </w:rPr>
            </w:pPr>
            <w:r>
              <w:rPr>
                <w:rFonts w:hint="eastAsia"/>
                <w:color w:val="auto"/>
                <w:sz w:val="18"/>
                <w:szCs w:val="18"/>
                <w:highlight w:val="none"/>
              </w:rPr>
              <w:t>-</w:t>
            </w:r>
          </w:p>
        </w:tc>
      </w:tr>
    </w:tbl>
    <w:p>
      <w:pPr>
        <w:numPr>
          <w:ilvl w:val="0"/>
          <w:numId w:val="8"/>
        </w:numPr>
        <w:spacing w:before="156" w:beforeLines="50"/>
        <w:ind w:firstLine="420" w:firstLineChars="200"/>
        <w:rPr>
          <w:rFonts w:hint="eastAsia"/>
          <w:color w:val="auto"/>
          <w:highlight w:val="none"/>
        </w:rPr>
      </w:pPr>
      <w:r>
        <w:rPr>
          <w:rFonts w:hint="eastAsia"/>
          <w:color w:val="auto"/>
          <w:highlight w:val="none"/>
        </w:rPr>
        <w:t>主要成分的介绍</w:t>
      </w:r>
    </w:p>
    <w:p>
      <w:pPr>
        <w:spacing w:before="156" w:beforeLines="50"/>
        <w:ind w:firstLine="420" w:firstLineChars="200"/>
        <w:rPr>
          <w:color w:val="auto"/>
          <w:highlight w:val="none"/>
        </w:rPr>
      </w:pPr>
      <w:r>
        <w:rPr>
          <w:rFonts w:hint="eastAsia"/>
          <w:color w:val="auto"/>
          <w:highlight w:val="none"/>
        </w:rPr>
        <w:t>热喷涂用氧化铬粉末主要成分为氧化铬。</w:t>
      </w:r>
    </w:p>
    <w:p>
      <w:pPr>
        <w:numPr>
          <w:ilvl w:val="0"/>
          <w:numId w:val="8"/>
        </w:numPr>
        <w:spacing w:before="156" w:beforeLines="50"/>
        <w:ind w:firstLine="420" w:firstLineChars="200"/>
        <w:rPr>
          <w:rFonts w:hint="eastAsia"/>
          <w:color w:val="auto"/>
          <w:highlight w:val="none"/>
        </w:rPr>
      </w:pPr>
      <w:r>
        <w:rPr>
          <w:rFonts w:hint="eastAsia"/>
          <w:color w:val="auto"/>
          <w:highlight w:val="none"/>
        </w:rPr>
        <w:t>掺杂成分的介绍</w:t>
      </w:r>
    </w:p>
    <w:p>
      <w:pPr>
        <w:spacing w:before="156" w:beforeLines="50"/>
        <w:ind w:left="420"/>
        <w:rPr>
          <w:color w:val="auto"/>
          <w:highlight w:val="none"/>
        </w:rPr>
      </w:pPr>
      <w:r>
        <w:rPr>
          <w:rFonts w:hint="eastAsia"/>
          <w:color w:val="auto"/>
          <w:highlight w:val="none"/>
        </w:rPr>
        <w:t>热喷涂用氧化铬粉末掺杂成分为氧化钛或氧化硅。</w:t>
      </w:r>
    </w:p>
    <w:p>
      <w:pPr>
        <w:numPr>
          <w:ilvl w:val="0"/>
          <w:numId w:val="8"/>
        </w:numPr>
        <w:spacing w:before="156" w:beforeLines="50"/>
        <w:ind w:firstLine="420" w:firstLineChars="200"/>
        <w:rPr>
          <w:rFonts w:hint="eastAsia"/>
          <w:color w:val="auto"/>
          <w:highlight w:val="none"/>
        </w:rPr>
      </w:pPr>
      <w:r>
        <w:rPr>
          <w:rFonts w:hint="eastAsia"/>
          <w:color w:val="auto"/>
          <w:highlight w:val="none"/>
        </w:rPr>
        <w:t>杂质成分的介绍</w:t>
      </w:r>
    </w:p>
    <w:p>
      <w:pPr>
        <w:spacing w:before="156" w:beforeLines="50"/>
        <w:ind w:firstLine="420" w:firstLineChars="200"/>
        <w:rPr>
          <w:color w:val="auto"/>
          <w:highlight w:val="none"/>
        </w:rPr>
      </w:pPr>
      <w:r>
        <w:rPr>
          <w:rFonts w:hint="eastAsia"/>
          <w:color w:val="auto"/>
          <w:highlight w:val="none"/>
        </w:rPr>
        <w:t>不同牌号粉末主要杂质种类不同，热喷涂用纯氧化铬粉末杂质主要为氧化钛、氧化硅、氧化铁、氧化铝，热喷涂用氧化铬-氧化钛粉末杂质主要为氧化硅、氧化铁、氧化铝，热喷涂用氧化铬-氧化钛-氧化硅粉末杂质主要为氧化铁、氧化铝。</w:t>
      </w:r>
    </w:p>
    <w:p>
      <w:pPr>
        <w:spacing w:before="156" w:beforeLines="50"/>
        <w:ind w:firstLine="420" w:firstLineChars="200"/>
        <w:rPr>
          <w:highlight w:val="none"/>
        </w:rPr>
      </w:pPr>
      <w:r>
        <w:rPr>
          <w:rFonts w:hint="eastAsia"/>
          <w:highlight w:val="none"/>
        </w:rPr>
        <w:t>综上所述</w:t>
      </w:r>
      <w:bookmarkEnd w:id="0"/>
      <w:r>
        <w:rPr>
          <w:rFonts w:hint="eastAsia"/>
          <w:highlight w:val="none"/>
        </w:rPr>
        <w:t>本文</w:t>
      </w:r>
      <w:r>
        <w:rPr>
          <w:highlight w:val="none"/>
        </w:rPr>
        <w:t>规定了热喷涂用</w:t>
      </w:r>
      <w:r>
        <w:rPr>
          <w:rFonts w:hint="eastAsia"/>
          <w:highlight w:val="none"/>
        </w:rPr>
        <w:t>氧化铬</w:t>
      </w:r>
      <w:r>
        <w:rPr>
          <w:highlight w:val="none"/>
        </w:rPr>
        <w:t>粉末产品的化学成分如表</w:t>
      </w:r>
      <w:r>
        <w:rPr>
          <w:rFonts w:hint="eastAsia"/>
          <w:highlight w:val="none"/>
        </w:rPr>
        <w:t>3</w:t>
      </w:r>
      <w:r>
        <w:rPr>
          <w:highlight w:val="none"/>
        </w:rPr>
        <w:t>所示。</w:t>
      </w:r>
    </w:p>
    <w:p>
      <w:pPr>
        <w:spacing w:line="360" w:lineRule="auto"/>
        <w:jc w:val="center"/>
        <w:rPr>
          <w:szCs w:val="21"/>
          <w:highlight w:val="none"/>
        </w:rPr>
      </w:pPr>
      <w:r>
        <w:rPr>
          <w:szCs w:val="21"/>
          <w:highlight w:val="none"/>
        </w:rPr>
        <w:t>表</w:t>
      </w:r>
      <w:r>
        <w:rPr>
          <w:rFonts w:hint="eastAsia"/>
          <w:szCs w:val="21"/>
          <w:highlight w:val="none"/>
        </w:rPr>
        <w:t>3</w:t>
      </w:r>
      <w:r>
        <w:rPr>
          <w:szCs w:val="21"/>
          <w:highlight w:val="none"/>
        </w:rPr>
        <w:t xml:space="preserve">  热喷涂用</w:t>
      </w:r>
      <w:r>
        <w:rPr>
          <w:rFonts w:hint="eastAsia"/>
          <w:szCs w:val="21"/>
          <w:highlight w:val="none"/>
        </w:rPr>
        <w:t>氧化铬</w:t>
      </w:r>
      <w:r>
        <w:rPr>
          <w:szCs w:val="21"/>
          <w:highlight w:val="none"/>
        </w:rPr>
        <w:t>粉末化学成分</w:t>
      </w:r>
    </w:p>
    <w:tbl>
      <w:tblPr>
        <w:tblStyle w:val="12"/>
        <w:tblW w:w="85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423"/>
        <w:gridCol w:w="1362"/>
        <w:gridCol w:w="1277"/>
        <w:gridCol w:w="1338"/>
        <w:gridCol w:w="13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27" w:type="dxa"/>
            <w:vMerge w:val="restart"/>
            <w:vAlign w:val="center"/>
          </w:tcPr>
          <w:p>
            <w:pPr>
              <w:pStyle w:val="23"/>
              <w:widowControl w:val="0"/>
              <w:tabs>
                <w:tab w:val="center" w:pos="4201"/>
                <w:tab w:val="right" w:leader="dot" w:pos="9298"/>
              </w:tabs>
              <w:ind w:firstLine="0" w:firstLineChars="0"/>
              <w:jc w:val="center"/>
              <w:rPr>
                <w:rFonts w:ascii="Times New Roman"/>
              </w:rPr>
            </w:pPr>
            <w:r>
              <w:rPr>
                <w:rFonts w:ascii="Times New Roman"/>
              </w:rPr>
              <w:t>产品牌号</w:t>
            </w:r>
          </w:p>
        </w:tc>
        <w:tc>
          <w:tcPr>
            <w:tcW w:w="6792" w:type="dxa"/>
            <w:gridSpan w:val="5"/>
          </w:tcPr>
          <w:p>
            <w:pPr>
              <w:pStyle w:val="23"/>
              <w:widowControl w:val="0"/>
              <w:tabs>
                <w:tab w:val="center" w:pos="4201"/>
                <w:tab w:val="right" w:leader="dot" w:pos="9298"/>
              </w:tabs>
              <w:ind w:firstLine="420"/>
              <w:jc w:val="center"/>
              <w:rPr>
                <w:rFonts w:ascii="Times New Roman"/>
              </w:rPr>
            </w:pPr>
            <w:r>
              <w:rPr>
                <w:rFonts w:ascii="Times New Roman"/>
              </w:rPr>
              <w:t>化学成分</w:t>
            </w:r>
            <w:r>
              <w:rPr>
                <w:rFonts w:hint="eastAsia" w:ascii="Times New Roman"/>
              </w:rPr>
              <w:t>/</w:t>
            </w:r>
            <w:r>
              <w:rPr>
                <w:rFonts w:ascii="Times New Roman"/>
              </w:rPr>
              <w:t>质量分数</w:t>
            </w:r>
            <w:r>
              <w:rPr>
                <w:rFonts w:hint="eastAsia" w:ascii="Times New Roma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7" w:type="dxa"/>
            <w:vMerge w:val="continue"/>
          </w:tcPr>
          <w:p>
            <w:pPr>
              <w:pStyle w:val="23"/>
              <w:widowControl w:val="0"/>
              <w:tabs>
                <w:tab w:val="center" w:pos="4201"/>
                <w:tab w:val="right" w:leader="dot" w:pos="9298"/>
              </w:tabs>
              <w:ind w:firstLine="420"/>
              <w:rPr>
                <w:rFonts w:ascii="Times New Roman"/>
              </w:rPr>
            </w:pPr>
          </w:p>
        </w:tc>
        <w:tc>
          <w:tcPr>
            <w:tcW w:w="1423" w:type="dxa"/>
            <w:vAlign w:val="center"/>
          </w:tcPr>
          <w:p>
            <w:pPr>
              <w:jc w:val="center"/>
              <w:rPr>
                <w:rFonts w:eastAsiaTheme="minorEastAsia"/>
                <w:color w:val="FF0000"/>
                <w:szCs w:val="21"/>
              </w:rPr>
            </w:pPr>
            <w:r>
              <w:rPr>
                <w:szCs w:val="21"/>
              </w:rPr>
              <w:t>Cr</w:t>
            </w:r>
            <w:r>
              <w:rPr>
                <w:szCs w:val="21"/>
                <w:vertAlign w:val="subscript"/>
              </w:rPr>
              <w:t>2</w:t>
            </w:r>
            <w:r>
              <w:rPr>
                <w:szCs w:val="21"/>
              </w:rPr>
              <w:t>O</w:t>
            </w:r>
            <w:r>
              <w:rPr>
                <w:szCs w:val="21"/>
                <w:vertAlign w:val="subscript"/>
              </w:rPr>
              <w:t>3</w:t>
            </w:r>
          </w:p>
        </w:tc>
        <w:tc>
          <w:tcPr>
            <w:tcW w:w="1362" w:type="dxa"/>
            <w:vAlign w:val="center"/>
          </w:tcPr>
          <w:p>
            <w:pPr>
              <w:jc w:val="center"/>
              <w:rPr>
                <w:szCs w:val="21"/>
              </w:rPr>
            </w:pPr>
            <w:r>
              <w:rPr>
                <w:szCs w:val="21"/>
              </w:rPr>
              <w:t>TiO</w:t>
            </w:r>
            <w:r>
              <w:rPr>
                <w:szCs w:val="21"/>
                <w:vertAlign w:val="subscript"/>
              </w:rPr>
              <w:t>2</w:t>
            </w:r>
          </w:p>
        </w:tc>
        <w:tc>
          <w:tcPr>
            <w:tcW w:w="1277" w:type="dxa"/>
            <w:vAlign w:val="center"/>
          </w:tcPr>
          <w:p>
            <w:pPr>
              <w:jc w:val="center"/>
              <w:rPr>
                <w:szCs w:val="21"/>
              </w:rPr>
            </w:pPr>
            <w:r>
              <w:rPr>
                <w:szCs w:val="21"/>
              </w:rPr>
              <w:t>SiO</w:t>
            </w:r>
            <w:r>
              <w:rPr>
                <w:szCs w:val="21"/>
                <w:vertAlign w:val="subscript"/>
              </w:rPr>
              <w:t>2</w:t>
            </w:r>
          </w:p>
        </w:tc>
        <w:tc>
          <w:tcPr>
            <w:tcW w:w="1338" w:type="dxa"/>
            <w:vAlign w:val="center"/>
          </w:tcPr>
          <w:p>
            <w:pPr>
              <w:jc w:val="center"/>
              <w:rPr>
                <w:szCs w:val="21"/>
              </w:rPr>
            </w:pPr>
            <w:r>
              <w:rPr>
                <w:szCs w:val="21"/>
              </w:rPr>
              <w:t>Al</w:t>
            </w:r>
            <w:r>
              <w:rPr>
                <w:szCs w:val="21"/>
                <w:vertAlign w:val="subscript"/>
              </w:rPr>
              <w:t>2</w:t>
            </w:r>
            <w:r>
              <w:rPr>
                <w:szCs w:val="21"/>
              </w:rPr>
              <w:t>O</w:t>
            </w:r>
            <w:r>
              <w:rPr>
                <w:szCs w:val="21"/>
                <w:vertAlign w:val="subscript"/>
              </w:rPr>
              <w:t>3</w:t>
            </w:r>
          </w:p>
        </w:tc>
        <w:tc>
          <w:tcPr>
            <w:tcW w:w="1392" w:type="dxa"/>
            <w:vAlign w:val="center"/>
          </w:tcPr>
          <w:p>
            <w:pPr>
              <w:jc w:val="center"/>
              <w:rPr>
                <w:szCs w:val="21"/>
              </w:rPr>
            </w:pPr>
            <w:r>
              <w:rPr>
                <w:szCs w:val="21"/>
              </w:rPr>
              <w:t>Fe</w:t>
            </w:r>
            <w:r>
              <w:rPr>
                <w:szCs w:val="21"/>
                <w:vertAlign w:val="subscript"/>
              </w:rPr>
              <w:t>2</w:t>
            </w:r>
            <w:r>
              <w:rPr>
                <w:szCs w:val="21"/>
              </w:rPr>
              <w:t>O</w:t>
            </w:r>
            <w:r>
              <w:rPr>
                <w:szCs w:val="21"/>
                <w:vertAlign w:val="sub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7" w:type="dxa"/>
            <w:vAlign w:val="center"/>
          </w:tcPr>
          <w:p>
            <w:pPr>
              <w:pStyle w:val="23"/>
              <w:widowControl w:val="0"/>
              <w:tabs>
                <w:tab w:val="center" w:pos="4201"/>
                <w:tab w:val="right" w:leader="dot" w:pos="9298"/>
              </w:tabs>
              <w:ind w:firstLine="0" w:firstLineChars="0"/>
              <w:jc w:val="center"/>
              <w:rPr>
                <w:rFonts w:ascii="Times New Roman" w:eastAsiaTheme="minorEastAsia"/>
                <w:szCs w:val="21"/>
              </w:rPr>
            </w:pPr>
            <w:r>
              <w:rPr>
                <w:rFonts w:ascii="Times New Roman" w:eastAsiaTheme="minorEastAsia"/>
                <w:szCs w:val="21"/>
              </w:rPr>
              <w:t>F-C</w:t>
            </w:r>
          </w:p>
        </w:tc>
        <w:tc>
          <w:tcPr>
            <w:tcW w:w="1423" w:type="dxa"/>
            <w:vAlign w:val="center"/>
          </w:tcPr>
          <w:p>
            <w:pPr>
              <w:adjustRightInd w:val="0"/>
              <w:snapToGrid w:val="0"/>
              <w:jc w:val="center"/>
              <w:rPr>
                <w:szCs w:val="21"/>
              </w:rPr>
            </w:pPr>
            <w:r>
              <w:rPr>
                <w:szCs w:val="21"/>
              </w:rPr>
              <w:t>≥99.5</w:t>
            </w:r>
          </w:p>
        </w:tc>
        <w:tc>
          <w:tcPr>
            <w:tcW w:w="1362" w:type="dxa"/>
            <w:vAlign w:val="center"/>
          </w:tcPr>
          <w:p>
            <w:pPr>
              <w:adjustRightInd w:val="0"/>
              <w:snapToGrid w:val="0"/>
              <w:jc w:val="center"/>
              <w:rPr>
                <w:szCs w:val="21"/>
              </w:rPr>
            </w:pPr>
            <w:r>
              <w:rPr>
                <w:szCs w:val="21"/>
              </w:rPr>
              <w:t>≤0.1</w:t>
            </w:r>
          </w:p>
        </w:tc>
        <w:tc>
          <w:tcPr>
            <w:tcW w:w="1277" w:type="dxa"/>
            <w:vAlign w:val="center"/>
          </w:tcPr>
          <w:p>
            <w:pPr>
              <w:adjustRightInd w:val="0"/>
              <w:snapToGrid w:val="0"/>
              <w:jc w:val="center"/>
              <w:rPr>
                <w:szCs w:val="21"/>
              </w:rPr>
            </w:pPr>
            <w:r>
              <w:rPr>
                <w:szCs w:val="21"/>
              </w:rPr>
              <w:t>≤0.</w:t>
            </w:r>
            <w:r>
              <w:rPr>
                <w:rFonts w:hint="eastAsia"/>
                <w:szCs w:val="21"/>
              </w:rPr>
              <w:t>2</w:t>
            </w:r>
          </w:p>
        </w:tc>
        <w:tc>
          <w:tcPr>
            <w:tcW w:w="1338" w:type="dxa"/>
            <w:vAlign w:val="center"/>
          </w:tcPr>
          <w:p>
            <w:pPr>
              <w:adjustRightInd w:val="0"/>
              <w:snapToGrid w:val="0"/>
              <w:jc w:val="center"/>
              <w:rPr>
                <w:szCs w:val="21"/>
              </w:rPr>
            </w:pPr>
            <w:r>
              <w:rPr>
                <w:szCs w:val="21"/>
              </w:rPr>
              <w:t>≤0.</w:t>
            </w:r>
            <w:r>
              <w:rPr>
                <w:rFonts w:hint="eastAsia"/>
                <w:szCs w:val="21"/>
              </w:rPr>
              <w:t>1</w:t>
            </w:r>
          </w:p>
        </w:tc>
        <w:tc>
          <w:tcPr>
            <w:tcW w:w="1392" w:type="dxa"/>
            <w:vAlign w:val="center"/>
          </w:tcPr>
          <w:p>
            <w:pPr>
              <w:adjustRightInd w:val="0"/>
              <w:snapToGrid w:val="0"/>
              <w:jc w:val="center"/>
              <w:rPr>
                <w:szCs w:val="21"/>
              </w:rPr>
            </w:pPr>
            <w:r>
              <w:rPr>
                <w:szCs w:val="21"/>
              </w:rPr>
              <w:t>≤0.</w:t>
            </w:r>
            <w:r>
              <w:rPr>
                <w:rFonts w:hint="eastAsia"/>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Align w:val="center"/>
          </w:tcPr>
          <w:p>
            <w:pPr>
              <w:pStyle w:val="23"/>
              <w:widowControl w:val="0"/>
              <w:tabs>
                <w:tab w:val="center" w:pos="4201"/>
                <w:tab w:val="right" w:leader="dot" w:pos="9298"/>
              </w:tabs>
              <w:ind w:firstLine="0" w:firstLineChars="0"/>
              <w:jc w:val="center"/>
              <w:rPr>
                <w:rFonts w:ascii="Times New Roman" w:eastAsiaTheme="minorEastAsia"/>
                <w:szCs w:val="21"/>
              </w:rPr>
            </w:pPr>
            <w:r>
              <w:rPr>
                <w:rFonts w:ascii="Times New Roman" w:eastAsiaTheme="minorEastAsia"/>
                <w:szCs w:val="21"/>
              </w:rPr>
              <w:t>F-C</w:t>
            </w:r>
            <w:r>
              <w:rPr>
                <w:rFonts w:hint="eastAsia" w:ascii="Times New Roman" w:eastAsiaTheme="minorEastAsia"/>
                <w:szCs w:val="21"/>
              </w:rPr>
              <w:t>3</w:t>
            </w:r>
            <w:r>
              <w:rPr>
                <w:rFonts w:ascii="Times New Roman" w:eastAsiaTheme="minorEastAsia"/>
                <w:szCs w:val="21"/>
              </w:rPr>
              <w:t>T</w:t>
            </w:r>
          </w:p>
        </w:tc>
        <w:tc>
          <w:tcPr>
            <w:tcW w:w="1423" w:type="dxa"/>
            <w:vAlign w:val="center"/>
          </w:tcPr>
          <w:p>
            <w:pPr>
              <w:adjustRightInd w:val="0"/>
              <w:snapToGrid w:val="0"/>
              <w:jc w:val="center"/>
              <w:rPr>
                <w:szCs w:val="21"/>
              </w:rPr>
            </w:pPr>
            <w:r>
              <w:rPr>
                <w:rFonts w:hint="eastAsia"/>
                <w:szCs w:val="21"/>
              </w:rPr>
              <w:t>余量</w:t>
            </w:r>
          </w:p>
        </w:tc>
        <w:tc>
          <w:tcPr>
            <w:tcW w:w="1362" w:type="dxa"/>
            <w:vAlign w:val="center"/>
          </w:tcPr>
          <w:p>
            <w:pPr>
              <w:adjustRightInd w:val="0"/>
              <w:snapToGrid w:val="0"/>
              <w:jc w:val="center"/>
              <w:rPr>
                <w:szCs w:val="21"/>
              </w:rPr>
            </w:pPr>
            <w:r>
              <w:rPr>
                <w:szCs w:val="21"/>
              </w:rPr>
              <w:t>2.5~4.25</w:t>
            </w:r>
          </w:p>
        </w:tc>
        <w:tc>
          <w:tcPr>
            <w:tcW w:w="1277" w:type="dxa"/>
            <w:vMerge w:val="restart"/>
            <w:vAlign w:val="center"/>
          </w:tcPr>
          <w:p>
            <w:pPr>
              <w:adjustRightInd w:val="0"/>
              <w:snapToGrid w:val="0"/>
              <w:jc w:val="center"/>
              <w:rPr>
                <w:rFonts w:hAnsi="宋体"/>
              </w:rPr>
            </w:pPr>
            <w:r>
              <w:rPr>
                <w:szCs w:val="21"/>
              </w:rPr>
              <w:t>≤0.</w:t>
            </w:r>
            <w:r>
              <w:rPr>
                <w:rFonts w:hint="eastAsia"/>
                <w:szCs w:val="21"/>
              </w:rPr>
              <w:t>5</w:t>
            </w:r>
          </w:p>
        </w:tc>
        <w:tc>
          <w:tcPr>
            <w:tcW w:w="1338" w:type="dxa"/>
            <w:vMerge w:val="restart"/>
            <w:vAlign w:val="center"/>
          </w:tcPr>
          <w:p>
            <w:pPr>
              <w:jc w:val="center"/>
            </w:pPr>
            <w:r>
              <w:rPr>
                <w:rFonts w:eastAsiaTheme="minorEastAsia"/>
                <w:szCs w:val="21"/>
              </w:rPr>
              <w:t>≤</w:t>
            </w:r>
            <w:r>
              <w:rPr>
                <w:rFonts w:hint="eastAsia"/>
                <w:szCs w:val="21"/>
              </w:rPr>
              <w:t>0.25</w:t>
            </w:r>
          </w:p>
        </w:tc>
        <w:tc>
          <w:tcPr>
            <w:tcW w:w="1392" w:type="dxa"/>
            <w:vMerge w:val="restart"/>
            <w:vAlign w:val="center"/>
          </w:tcPr>
          <w:p>
            <w:pPr>
              <w:jc w:val="center"/>
            </w:pPr>
            <w:r>
              <w:rPr>
                <w:szCs w:val="21"/>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Align w:val="center"/>
          </w:tcPr>
          <w:p>
            <w:pPr>
              <w:pStyle w:val="23"/>
              <w:widowControl w:val="0"/>
              <w:tabs>
                <w:tab w:val="center" w:pos="4201"/>
                <w:tab w:val="right" w:leader="dot" w:pos="9298"/>
              </w:tabs>
              <w:ind w:firstLine="0" w:firstLineChars="0"/>
              <w:jc w:val="center"/>
              <w:rPr>
                <w:rFonts w:ascii="Times New Roman" w:eastAsiaTheme="minorEastAsia"/>
                <w:szCs w:val="21"/>
              </w:rPr>
            </w:pPr>
            <w:r>
              <w:rPr>
                <w:rFonts w:ascii="Times New Roman" w:eastAsiaTheme="minorEastAsia"/>
                <w:szCs w:val="21"/>
              </w:rPr>
              <w:t>F-C</w:t>
            </w:r>
            <w:r>
              <w:rPr>
                <w:rFonts w:hint="eastAsia" w:ascii="Times New Roman" w:eastAsiaTheme="minorEastAsia"/>
                <w:szCs w:val="21"/>
              </w:rPr>
              <w:t>25</w:t>
            </w:r>
            <w:r>
              <w:rPr>
                <w:rFonts w:ascii="Times New Roman" w:eastAsiaTheme="minorEastAsia"/>
                <w:szCs w:val="21"/>
              </w:rPr>
              <w:t>T</w:t>
            </w:r>
          </w:p>
        </w:tc>
        <w:tc>
          <w:tcPr>
            <w:tcW w:w="1423" w:type="dxa"/>
            <w:vAlign w:val="center"/>
          </w:tcPr>
          <w:p>
            <w:pPr>
              <w:adjustRightInd w:val="0"/>
              <w:snapToGrid w:val="0"/>
              <w:jc w:val="center"/>
              <w:rPr>
                <w:szCs w:val="21"/>
              </w:rPr>
            </w:pPr>
            <w:r>
              <w:rPr>
                <w:rFonts w:hint="eastAsia"/>
                <w:szCs w:val="21"/>
              </w:rPr>
              <w:t>余量</w:t>
            </w:r>
          </w:p>
        </w:tc>
        <w:tc>
          <w:tcPr>
            <w:tcW w:w="1362" w:type="dxa"/>
            <w:vAlign w:val="center"/>
          </w:tcPr>
          <w:p>
            <w:pPr>
              <w:adjustRightInd w:val="0"/>
              <w:snapToGrid w:val="0"/>
              <w:jc w:val="center"/>
              <w:rPr>
                <w:szCs w:val="21"/>
              </w:rPr>
            </w:pPr>
            <w:r>
              <w:rPr>
                <w:rFonts w:hint="eastAsia"/>
                <w:szCs w:val="21"/>
              </w:rPr>
              <w:t>23.0~27.0</w:t>
            </w:r>
          </w:p>
        </w:tc>
        <w:tc>
          <w:tcPr>
            <w:tcW w:w="1277" w:type="dxa"/>
            <w:vMerge w:val="continue"/>
            <w:vAlign w:val="center"/>
          </w:tcPr>
          <w:p>
            <w:pPr>
              <w:adjustRightInd w:val="0"/>
              <w:snapToGrid w:val="0"/>
              <w:jc w:val="center"/>
              <w:rPr>
                <w:szCs w:val="21"/>
              </w:rPr>
            </w:pPr>
          </w:p>
        </w:tc>
        <w:tc>
          <w:tcPr>
            <w:tcW w:w="1338" w:type="dxa"/>
            <w:vMerge w:val="continue"/>
            <w:vAlign w:val="center"/>
          </w:tcPr>
          <w:p>
            <w:pPr>
              <w:adjustRightInd w:val="0"/>
              <w:snapToGrid w:val="0"/>
              <w:spacing w:line="360" w:lineRule="auto"/>
              <w:jc w:val="center"/>
              <w:rPr>
                <w:szCs w:val="21"/>
              </w:rPr>
            </w:pPr>
          </w:p>
        </w:tc>
        <w:tc>
          <w:tcPr>
            <w:tcW w:w="1392" w:type="dxa"/>
            <w:vMerge w:val="continue"/>
            <w:vAlign w:val="center"/>
          </w:tcPr>
          <w:p>
            <w:pPr>
              <w:adjustRightInd w:val="0"/>
              <w:snapToGrid w:val="0"/>
              <w:spacing w:line="360" w:lineRule="auto"/>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Align w:val="center"/>
          </w:tcPr>
          <w:p>
            <w:pPr>
              <w:pStyle w:val="23"/>
              <w:widowControl w:val="0"/>
              <w:tabs>
                <w:tab w:val="center" w:pos="4201"/>
                <w:tab w:val="right" w:leader="dot" w:pos="9298"/>
              </w:tabs>
              <w:ind w:firstLine="0" w:firstLineChars="0"/>
              <w:jc w:val="center"/>
              <w:rPr>
                <w:rFonts w:ascii="Times New Roman" w:eastAsiaTheme="minorEastAsia"/>
                <w:szCs w:val="21"/>
              </w:rPr>
            </w:pPr>
            <w:r>
              <w:rPr>
                <w:rFonts w:ascii="Times New Roman" w:eastAsiaTheme="minorEastAsia"/>
                <w:szCs w:val="21"/>
              </w:rPr>
              <w:t>F-C</w:t>
            </w:r>
            <w:r>
              <w:rPr>
                <w:rFonts w:hint="eastAsia" w:ascii="Times New Roman" w:eastAsiaTheme="minorEastAsia"/>
                <w:szCs w:val="21"/>
              </w:rPr>
              <w:t>40</w:t>
            </w:r>
            <w:r>
              <w:rPr>
                <w:rFonts w:ascii="Times New Roman" w:eastAsiaTheme="minorEastAsia"/>
                <w:szCs w:val="21"/>
              </w:rPr>
              <w:t>T</w:t>
            </w:r>
          </w:p>
        </w:tc>
        <w:tc>
          <w:tcPr>
            <w:tcW w:w="1423" w:type="dxa"/>
            <w:vAlign w:val="center"/>
          </w:tcPr>
          <w:p>
            <w:pPr>
              <w:adjustRightInd w:val="0"/>
              <w:snapToGrid w:val="0"/>
              <w:jc w:val="center"/>
              <w:rPr>
                <w:szCs w:val="21"/>
              </w:rPr>
            </w:pPr>
            <w:r>
              <w:rPr>
                <w:rFonts w:hint="eastAsia"/>
                <w:szCs w:val="21"/>
              </w:rPr>
              <w:t>余量</w:t>
            </w:r>
          </w:p>
        </w:tc>
        <w:tc>
          <w:tcPr>
            <w:tcW w:w="1362" w:type="dxa"/>
            <w:vAlign w:val="center"/>
          </w:tcPr>
          <w:p>
            <w:pPr>
              <w:adjustRightInd w:val="0"/>
              <w:snapToGrid w:val="0"/>
              <w:jc w:val="center"/>
              <w:rPr>
                <w:szCs w:val="21"/>
              </w:rPr>
            </w:pPr>
            <w:r>
              <w:rPr>
                <w:rFonts w:hint="eastAsia"/>
                <w:szCs w:val="21"/>
              </w:rPr>
              <w:t>38.0~42.0</w:t>
            </w:r>
          </w:p>
        </w:tc>
        <w:tc>
          <w:tcPr>
            <w:tcW w:w="1277" w:type="dxa"/>
            <w:vMerge w:val="continue"/>
            <w:vAlign w:val="center"/>
          </w:tcPr>
          <w:p>
            <w:pPr>
              <w:adjustRightInd w:val="0"/>
              <w:snapToGrid w:val="0"/>
              <w:jc w:val="center"/>
              <w:rPr>
                <w:szCs w:val="21"/>
              </w:rPr>
            </w:pPr>
          </w:p>
        </w:tc>
        <w:tc>
          <w:tcPr>
            <w:tcW w:w="1338" w:type="dxa"/>
            <w:vMerge w:val="continue"/>
            <w:vAlign w:val="center"/>
          </w:tcPr>
          <w:p>
            <w:pPr>
              <w:adjustRightInd w:val="0"/>
              <w:snapToGrid w:val="0"/>
              <w:spacing w:line="360" w:lineRule="auto"/>
              <w:jc w:val="center"/>
              <w:rPr>
                <w:szCs w:val="21"/>
              </w:rPr>
            </w:pPr>
          </w:p>
        </w:tc>
        <w:tc>
          <w:tcPr>
            <w:tcW w:w="1392" w:type="dxa"/>
            <w:vMerge w:val="continue"/>
            <w:vAlign w:val="center"/>
          </w:tcPr>
          <w:p>
            <w:pPr>
              <w:adjustRightInd w:val="0"/>
              <w:snapToGrid w:val="0"/>
              <w:spacing w:line="360" w:lineRule="auto"/>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Align w:val="center"/>
          </w:tcPr>
          <w:p>
            <w:pPr>
              <w:pStyle w:val="23"/>
              <w:widowControl w:val="0"/>
              <w:tabs>
                <w:tab w:val="center" w:pos="4201"/>
                <w:tab w:val="right" w:leader="dot" w:pos="9298"/>
              </w:tabs>
              <w:ind w:firstLine="0" w:firstLineChars="0"/>
              <w:jc w:val="center"/>
              <w:rPr>
                <w:rFonts w:ascii="Times New Roman" w:eastAsiaTheme="minorEastAsia"/>
                <w:szCs w:val="21"/>
              </w:rPr>
            </w:pPr>
            <w:r>
              <w:rPr>
                <w:rFonts w:ascii="Times New Roman" w:eastAsiaTheme="minorEastAsia"/>
                <w:szCs w:val="21"/>
              </w:rPr>
              <w:t>F-C</w:t>
            </w:r>
            <w:r>
              <w:rPr>
                <w:rFonts w:hint="eastAsia" w:ascii="Times New Roman" w:eastAsiaTheme="minorEastAsia"/>
                <w:szCs w:val="21"/>
              </w:rPr>
              <w:t>55</w:t>
            </w:r>
            <w:r>
              <w:rPr>
                <w:rFonts w:ascii="Times New Roman" w:eastAsiaTheme="minorEastAsia"/>
                <w:szCs w:val="21"/>
              </w:rPr>
              <w:t>T</w:t>
            </w:r>
          </w:p>
        </w:tc>
        <w:tc>
          <w:tcPr>
            <w:tcW w:w="1423" w:type="dxa"/>
            <w:vAlign w:val="center"/>
          </w:tcPr>
          <w:p>
            <w:pPr>
              <w:adjustRightInd w:val="0"/>
              <w:snapToGrid w:val="0"/>
              <w:jc w:val="center"/>
            </w:pPr>
            <w:r>
              <w:rPr>
                <w:rFonts w:hint="eastAsia"/>
                <w:szCs w:val="21"/>
              </w:rPr>
              <w:t>余量</w:t>
            </w:r>
          </w:p>
        </w:tc>
        <w:tc>
          <w:tcPr>
            <w:tcW w:w="1362" w:type="dxa"/>
            <w:vAlign w:val="center"/>
          </w:tcPr>
          <w:p>
            <w:pPr>
              <w:adjustRightInd w:val="0"/>
              <w:snapToGrid w:val="0"/>
              <w:jc w:val="center"/>
              <w:rPr>
                <w:rFonts w:hAnsi="宋体"/>
              </w:rPr>
            </w:pPr>
            <w:r>
              <w:rPr>
                <w:rFonts w:hint="eastAsia"/>
                <w:szCs w:val="21"/>
              </w:rPr>
              <w:t>53.0~56.0</w:t>
            </w:r>
          </w:p>
        </w:tc>
        <w:tc>
          <w:tcPr>
            <w:tcW w:w="1277" w:type="dxa"/>
            <w:vMerge w:val="continue"/>
            <w:vAlign w:val="center"/>
          </w:tcPr>
          <w:p>
            <w:pPr>
              <w:adjustRightInd w:val="0"/>
              <w:snapToGrid w:val="0"/>
              <w:jc w:val="center"/>
              <w:rPr>
                <w:rFonts w:hAnsi="宋体"/>
              </w:rPr>
            </w:pPr>
          </w:p>
        </w:tc>
        <w:tc>
          <w:tcPr>
            <w:tcW w:w="1338" w:type="dxa"/>
            <w:vMerge w:val="continue"/>
            <w:vAlign w:val="center"/>
          </w:tcPr>
          <w:p>
            <w:pPr>
              <w:adjustRightInd w:val="0"/>
              <w:snapToGrid w:val="0"/>
              <w:spacing w:line="360" w:lineRule="auto"/>
              <w:jc w:val="center"/>
              <w:rPr>
                <w:rFonts w:hAnsi="宋体"/>
              </w:rPr>
            </w:pPr>
          </w:p>
        </w:tc>
        <w:tc>
          <w:tcPr>
            <w:tcW w:w="1392" w:type="dxa"/>
            <w:vMerge w:val="continue"/>
            <w:vAlign w:val="center"/>
          </w:tcPr>
          <w:p>
            <w:pPr>
              <w:adjustRightInd w:val="0"/>
              <w:snapToGrid w:val="0"/>
              <w:spacing w:line="360" w:lineRule="auto"/>
              <w:jc w:val="center"/>
              <w:rPr>
                <w:rFonts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Align w:val="center"/>
          </w:tcPr>
          <w:p>
            <w:pPr>
              <w:pStyle w:val="23"/>
              <w:widowControl w:val="0"/>
              <w:tabs>
                <w:tab w:val="center" w:pos="4201"/>
                <w:tab w:val="right" w:leader="dot" w:pos="9298"/>
              </w:tabs>
              <w:ind w:firstLine="0" w:firstLineChars="0"/>
              <w:jc w:val="center"/>
              <w:rPr>
                <w:rFonts w:ascii="Times New Roman" w:eastAsiaTheme="minorEastAsia"/>
                <w:szCs w:val="21"/>
              </w:rPr>
            </w:pPr>
            <w:r>
              <w:rPr>
                <w:rFonts w:ascii="Times New Roman" w:eastAsiaTheme="minorEastAsia"/>
                <w:szCs w:val="21"/>
              </w:rPr>
              <w:t>F-C</w:t>
            </w:r>
            <w:r>
              <w:rPr>
                <w:rFonts w:hint="eastAsia" w:ascii="Times New Roman" w:eastAsiaTheme="minorEastAsia"/>
                <w:szCs w:val="21"/>
              </w:rPr>
              <w:t>3</w:t>
            </w:r>
            <w:r>
              <w:rPr>
                <w:rFonts w:ascii="Times New Roman" w:eastAsiaTheme="minorEastAsia"/>
                <w:szCs w:val="21"/>
              </w:rPr>
              <w:t>TS</w:t>
            </w:r>
          </w:p>
        </w:tc>
        <w:tc>
          <w:tcPr>
            <w:tcW w:w="1423" w:type="dxa"/>
            <w:vAlign w:val="center"/>
          </w:tcPr>
          <w:p>
            <w:pPr>
              <w:adjustRightInd w:val="0"/>
              <w:snapToGrid w:val="0"/>
              <w:jc w:val="center"/>
            </w:pPr>
            <w:r>
              <w:rPr>
                <w:rFonts w:hint="eastAsia"/>
                <w:szCs w:val="21"/>
              </w:rPr>
              <w:t>余量</w:t>
            </w:r>
          </w:p>
        </w:tc>
        <w:tc>
          <w:tcPr>
            <w:tcW w:w="1362" w:type="dxa"/>
            <w:vAlign w:val="center"/>
          </w:tcPr>
          <w:p>
            <w:pPr>
              <w:adjustRightInd w:val="0"/>
              <w:snapToGrid w:val="0"/>
              <w:jc w:val="center"/>
            </w:pPr>
            <w:r>
              <w:rPr>
                <w:szCs w:val="21"/>
              </w:rPr>
              <w:t>2.0~4.0</w:t>
            </w:r>
          </w:p>
        </w:tc>
        <w:tc>
          <w:tcPr>
            <w:tcW w:w="1277" w:type="dxa"/>
            <w:vAlign w:val="center"/>
          </w:tcPr>
          <w:p>
            <w:pPr>
              <w:jc w:val="center"/>
            </w:pPr>
            <w:r>
              <w:rPr>
                <w:rFonts w:hint="eastAsia"/>
                <w:szCs w:val="21"/>
              </w:rPr>
              <w:t>3.0</w:t>
            </w:r>
            <w:r>
              <w:rPr>
                <w:szCs w:val="21"/>
              </w:rPr>
              <w:t>~</w:t>
            </w:r>
            <w:r>
              <w:rPr>
                <w:rFonts w:hint="eastAsia"/>
                <w:szCs w:val="21"/>
              </w:rPr>
              <w:t>6.0</w:t>
            </w:r>
          </w:p>
        </w:tc>
        <w:tc>
          <w:tcPr>
            <w:tcW w:w="1338" w:type="dxa"/>
            <w:vMerge w:val="continue"/>
            <w:vAlign w:val="center"/>
          </w:tcPr>
          <w:p>
            <w:pPr>
              <w:jc w:val="center"/>
            </w:pPr>
          </w:p>
        </w:tc>
        <w:tc>
          <w:tcPr>
            <w:tcW w:w="1392" w:type="dxa"/>
            <w:vMerge w:val="continue"/>
            <w:vAlign w:val="center"/>
          </w:tcPr>
          <w:p>
            <w:pPr>
              <w:jc w:val="center"/>
            </w:pPr>
          </w:p>
        </w:tc>
      </w:tr>
    </w:tbl>
    <w:p>
      <w:pPr>
        <w:spacing w:before="156" w:beforeLines="50" w:after="156" w:afterLines="50"/>
        <w:rPr>
          <w:rFonts w:eastAsia="黑体"/>
          <w:bCs/>
          <w:sz w:val="22"/>
        </w:rPr>
      </w:pPr>
      <w:r>
        <w:rPr>
          <w:rFonts w:eastAsia="黑体"/>
          <w:bCs/>
          <w:sz w:val="22"/>
        </w:rPr>
        <w:t>3.2.2 粉末粒度</w:t>
      </w:r>
    </w:p>
    <w:p>
      <w:pPr>
        <w:ind w:firstLine="482"/>
        <w:rPr>
          <w:color w:val="auto"/>
        </w:rPr>
      </w:pPr>
      <w:r>
        <w:rPr>
          <w:color w:val="auto"/>
        </w:rPr>
        <w:t>从热喷涂行业需求来看，粒度分布是喷涂粉末与喷涂工艺是否匹配的重要指标。根据行业内</w:t>
      </w:r>
      <w:r>
        <w:rPr>
          <w:rFonts w:hint="eastAsia"/>
          <w:color w:val="auto"/>
        </w:rPr>
        <w:t>对</w:t>
      </w:r>
      <w:r>
        <w:rPr>
          <w:color w:val="auto"/>
        </w:rPr>
        <w:t>热喷涂用</w:t>
      </w:r>
      <w:r>
        <w:rPr>
          <w:rFonts w:hint="eastAsia"/>
          <w:color w:val="auto"/>
        </w:rPr>
        <w:t>氧化铬</w:t>
      </w:r>
      <w:r>
        <w:rPr>
          <w:color w:val="auto"/>
        </w:rPr>
        <w:t>粉末的研究、生产和使用的主要企业对粉末粒度的要求，并根据不同涂层结构与组织需求、不同等离子喷涂设备对适用粉末粒度的要求，</w:t>
      </w:r>
      <w:r>
        <w:rPr>
          <w:rFonts w:hint="eastAsia"/>
          <w:color w:val="auto"/>
        </w:rPr>
        <w:t>综合现有产品及适用情况，</w:t>
      </w:r>
      <w:r>
        <w:rPr>
          <w:color w:val="auto"/>
        </w:rPr>
        <w:t>本文件规定了热喷涂用</w:t>
      </w:r>
      <w:r>
        <w:rPr>
          <w:rFonts w:hint="eastAsia"/>
          <w:color w:val="auto"/>
        </w:rPr>
        <w:t>氧化铬</w:t>
      </w:r>
      <w:r>
        <w:rPr>
          <w:color w:val="auto"/>
        </w:rPr>
        <w:t>粉末产品的</w:t>
      </w:r>
      <w:r>
        <w:rPr>
          <w:rFonts w:hint="eastAsia"/>
          <w:color w:val="auto"/>
        </w:rPr>
        <w:t>典型</w:t>
      </w:r>
      <w:r>
        <w:rPr>
          <w:color w:val="auto"/>
        </w:rPr>
        <w:t>粒度</w:t>
      </w:r>
      <w:r>
        <w:rPr>
          <w:rFonts w:hint="eastAsia"/>
          <w:color w:val="auto"/>
        </w:rPr>
        <w:t>范围</w:t>
      </w:r>
      <w:r>
        <w:rPr>
          <w:color w:val="auto"/>
        </w:rPr>
        <w:t>如表</w:t>
      </w:r>
      <w:r>
        <w:rPr>
          <w:rFonts w:hint="eastAsia"/>
          <w:color w:val="auto"/>
        </w:rPr>
        <w:t>5</w:t>
      </w:r>
      <w:r>
        <w:rPr>
          <w:color w:val="auto"/>
        </w:rPr>
        <w:t>所示。</w:t>
      </w:r>
    </w:p>
    <w:p>
      <w:pPr>
        <w:spacing w:line="360" w:lineRule="auto"/>
        <w:jc w:val="center"/>
        <w:rPr>
          <w:color w:val="auto"/>
          <w:szCs w:val="21"/>
        </w:rPr>
      </w:pPr>
      <w:r>
        <w:rPr>
          <w:color w:val="auto"/>
          <w:szCs w:val="21"/>
        </w:rPr>
        <w:t>表</w:t>
      </w:r>
      <w:r>
        <w:rPr>
          <w:rFonts w:hint="eastAsia"/>
          <w:color w:val="auto"/>
          <w:szCs w:val="21"/>
        </w:rPr>
        <w:t>5</w:t>
      </w:r>
      <w:r>
        <w:rPr>
          <w:color w:val="auto"/>
          <w:szCs w:val="21"/>
        </w:rPr>
        <w:t>热喷涂用</w:t>
      </w:r>
      <w:r>
        <w:rPr>
          <w:rFonts w:hint="eastAsia"/>
          <w:color w:val="auto"/>
          <w:szCs w:val="21"/>
        </w:rPr>
        <w:t>氧化铬</w:t>
      </w:r>
      <w:r>
        <w:rPr>
          <w:color w:val="auto"/>
          <w:szCs w:val="21"/>
        </w:rPr>
        <w:t>粉末粒度分布</w:t>
      </w:r>
    </w:p>
    <w:tbl>
      <w:tblPr>
        <w:tblStyle w:val="12"/>
        <w:tblW w:w="583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672"/>
        <w:gridCol w:w="416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72" w:type="dxa"/>
            <w:vAlign w:val="center"/>
          </w:tcPr>
          <w:p>
            <w:pPr>
              <w:jc w:val="center"/>
              <w:rPr>
                <w:b/>
                <w:bCs/>
                <w:color w:val="auto"/>
                <w:sz w:val="18"/>
                <w:szCs w:val="18"/>
              </w:rPr>
            </w:pPr>
            <w:r>
              <w:rPr>
                <w:rFonts w:hint="eastAsia"/>
                <w:b/>
                <w:bCs/>
                <w:color w:val="auto"/>
                <w:sz w:val="18"/>
                <w:szCs w:val="18"/>
              </w:rPr>
              <w:t>序号</w:t>
            </w:r>
          </w:p>
        </w:tc>
        <w:tc>
          <w:tcPr>
            <w:tcW w:w="4164" w:type="dxa"/>
            <w:vAlign w:val="center"/>
          </w:tcPr>
          <w:p>
            <w:pPr>
              <w:jc w:val="center"/>
              <w:rPr>
                <w:b/>
                <w:bCs/>
                <w:color w:val="auto"/>
                <w:sz w:val="18"/>
                <w:szCs w:val="18"/>
              </w:rPr>
            </w:pPr>
            <w:r>
              <w:rPr>
                <w:b/>
                <w:bCs/>
                <w:color w:val="auto"/>
                <w:sz w:val="18"/>
                <w:szCs w:val="18"/>
              </w:rPr>
              <w:t>粒度规格/</w:t>
            </w:r>
            <w:r>
              <w:rPr>
                <w:color w:val="auto"/>
                <w:sz w:val="18"/>
                <w:szCs w:val="18"/>
              </w:rPr>
              <w:t>μm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72" w:type="dxa"/>
            <w:vAlign w:val="center"/>
          </w:tcPr>
          <w:p>
            <w:pPr>
              <w:pStyle w:val="23"/>
              <w:widowControl w:val="0"/>
              <w:tabs>
                <w:tab w:val="center" w:pos="4201"/>
                <w:tab w:val="right" w:leader="dot" w:pos="9298"/>
              </w:tabs>
              <w:ind w:firstLine="0" w:firstLineChars="0"/>
              <w:jc w:val="center"/>
              <w:rPr>
                <w:color w:val="auto"/>
                <w:sz w:val="18"/>
                <w:szCs w:val="18"/>
              </w:rPr>
            </w:pPr>
            <w:r>
              <w:rPr>
                <w:rFonts w:hint="eastAsia"/>
                <w:color w:val="auto"/>
                <w:sz w:val="18"/>
                <w:szCs w:val="18"/>
              </w:rPr>
              <w:t>1</w:t>
            </w:r>
          </w:p>
        </w:tc>
        <w:tc>
          <w:tcPr>
            <w:tcW w:w="4164" w:type="dxa"/>
            <w:vAlign w:val="center"/>
          </w:tcPr>
          <w:p>
            <w:pPr>
              <w:jc w:val="center"/>
              <w:rPr>
                <w:rFonts w:hint="default" w:eastAsia="宋体"/>
                <w:color w:val="auto"/>
                <w:sz w:val="18"/>
                <w:szCs w:val="18"/>
                <w:lang w:val="en-US" w:eastAsia="zh-CN"/>
              </w:rPr>
            </w:pPr>
            <w:r>
              <w:rPr>
                <w:rFonts w:hint="eastAsia"/>
                <w:color w:val="auto"/>
                <w:sz w:val="18"/>
                <w:szCs w:val="18"/>
              </w:rPr>
              <w:t>5</w:t>
            </w:r>
            <w:r>
              <w:rPr>
                <w:color w:val="auto"/>
                <w:sz w:val="18"/>
                <w:szCs w:val="18"/>
              </w:rPr>
              <w:t>～</w:t>
            </w:r>
            <w:r>
              <w:rPr>
                <w:rFonts w:hint="eastAsia"/>
                <w:color w:val="auto"/>
                <w:sz w:val="18"/>
                <w:szCs w:val="18"/>
                <w:lang w:val="en-US" w:eastAsia="zh-CN"/>
              </w:rPr>
              <w:t>63≥90%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72" w:type="dxa"/>
            <w:vAlign w:val="center"/>
          </w:tcPr>
          <w:p>
            <w:pPr>
              <w:pStyle w:val="23"/>
              <w:widowControl w:val="0"/>
              <w:tabs>
                <w:tab w:val="center" w:pos="4201"/>
                <w:tab w:val="right" w:leader="dot" w:pos="9298"/>
              </w:tabs>
              <w:ind w:firstLine="0" w:firstLineChars="0"/>
              <w:jc w:val="center"/>
              <w:rPr>
                <w:color w:val="auto"/>
                <w:sz w:val="18"/>
                <w:szCs w:val="18"/>
              </w:rPr>
            </w:pPr>
            <w:r>
              <w:rPr>
                <w:rFonts w:hint="eastAsia"/>
                <w:color w:val="auto"/>
                <w:sz w:val="18"/>
                <w:szCs w:val="18"/>
              </w:rPr>
              <w:t>2</w:t>
            </w:r>
          </w:p>
        </w:tc>
        <w:tc>
          <w:tcPr>
            <w:tcW w:w="4164" w:type="dxa"/>
            <w:vAlign w:val="center"/>
          </w:tcPr>
          <w:p>
            <w:pPr>
              <w:jc w:val="center"/>
              <w:rPr>
                <w:color w:val="auto"/>
                <w:sz w:val="18"/>
                <w:szCs w:val="18"/>
              </w:rPr>
            </w:pPr>
            <w:r>
              <w:rPr>
                <w:rFonts w:hint="eastAsia"/>
                <w:color w:val="auto"/>
                <w:sz w:val="18"/>
                <w:szCs w:val="18"/>
                <w:lang w:val="en-US" w:eastAsia="zh-CN"/>
              </w:rPr>
              <w:t>20</w:t>
            </w:r>
            <w:r>
              <w:rPr>
                <w:color w:val="auto"/>
                <w:sz w:val="18"/>
                <w:szCs w:val="18"/>
              </w:rPr>
              <w:t>～</w:t>
            </w:r>
            <w:r>
              <w:rPr>
                <w:rFonts w:hint="eastAsia"/>
                <w:color w:val="auto"/>
                <w:sz w:val="18"/>
                <w:szCs w:val="18"/>
                <w:lang w:val="en-US" w:eastAsia="zh-CN"/>
              </w:rPr>
              <w:t>45≥90%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72" w:type="dxa"/>
            <w:vAlign w:val="center"/>
          </w:tcPr>
          <w:p>
            <w:pPr>
              <w:pStyle w:val="23"/>
              <w:widowControl w:val="0"/>
              <w:tabs>
                <w:tab w:val="center" w:pos="4201"/>
                <w:tab w:val="right" w:leader="dot" w:pos="9298"/>
              </w:tabs>
              <w:ind w:firstLine="0" w:firstLineChars="0"/>
              <w:jc w:val="center"/>
              <w:rPr>
                <w:color w:val="auto"/>
                <w:sz w:val="18"/>
                <w:szCs w:val="18"/>
              </w:rPr>
            </w:pPr>
            <w:r>
              <w:rPr>
                <w:rFonts w:hint="eastAsia"/>
                <w:color w:val="auto"/>
                <w:sz w:val="18"/>
                <w:szCs w:val="18"/>
              </w:rPr>
              <w:t>3</w:t>
            </w:r>
          </w:p>
        </w:tc>
        <w:tc>
          <w:tcPr>
            <w:tcW w:w="4164" w:type="dxa"/>
            <w:vAlign w:val="center"/>
          </w:tcPr>
          <w:p>
            <w:pPr>
              <w:jc w:val="center"/>
              <w:rPr>
                <w:color w:val="auto"/>
                <w:sz w:val="18"/>
                <w:szCs w:val="18"/>
              </w:rPr>
            </w:pPr>
            <w:r>
              <w:rPr>
                <w:rFonts w:hint="eastAsia"/>
                <w:color w:val="auto"/>
                <w:sz w:val="18"/>
                <w:szCs w:val="18"/>
                <w:lang w:val="en-US" w:eastAsia="zh-CN"/>
              </w:rPr>
              <w:t>16</w:t>
            </w:r>
            <w:r>
              <w:rPr>
                <w:color w:val="auto"/>
                <w:sz w:val="18"/>
                <w:szCs w:val="18"/>
              </w:rPr>
              <w:t>～</w:t>
            </w:r>
            <w:r>
              <w:rPr>
                <w:rFonts w:hint="eastAsia"/>
                <w:color w:val="auto"/>
                <w:sz w:val="18"/>
                <w:szCs w:val="18"/>
                <w:lang w:val="en-US" w:eastAsia="zh-CN"/>
              </w:rPr>
              <w:t>90≥90%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836" w:type="dxa"/>
            <w:gridSpan w:val="2"/>
            <w:vAlign w:val="center"/>
          </w:tcPr>
          <w:p>
            <w:pPr>
              <w:jc w:val="center"/>
              <w:rPr>
                <w:rFonts w:hint="eastAsia"/>
                <w:color w:val="auto"/>
                <w:sz w:val="18"/>
                <w:szCs w:val="18"/>
              </w:rPr>
            </w:pPr>
            <w:r>
              <w:rPr>
                <w:rFonts w:hint="eastAsia"/>
                <w:color w:val="auto"/>
                <w:sz w:val="18"/>
                <w:szCs w:val="18"/>
              </w:rPr>
              <w:t>注：如需方对粉末粒度范围有特殊要求时，由供需双方协商确定。</w:t>
            </w:r>
          </w:p>
        </w:tc>
      </w:tr>
    </w:tbl>
    <w:p>
      <w:pPr>
        <w:spacing w:before="156" w:beforeLines="50" w:after="156" w:afterLines="50"/>
        <w:rPr>
          <w:rFonts w:eastAsia="黑体"/>
          <w:bCs/>
          <w:sz w:val="22"/>
        </w:rPr>
      </w:pPr>
      <w:r>
        <w:rPr>
          <w:rFonts w:eastAsia="黑体"/>
          <w:bCs/>
          <w:sz w:val="22"/>
        </w:rPr>
        <w:t>3.2.3松装密度</w:t>
      </w:r>
    </w:p>
    <w:p>
      <w:pPr>
        <w:ind w:firstLine="482"/>
      </w:pPr>
      <w:r>
        <w:t>松装密度是衡量热喷涂粉末材料的一个重要指标，与喷涂过程中送粉特性、沉积速率有密切的关系。</w:t>
      </w:r>
      <w:r>
        <w:rPr>
          <w:rFonts w:hint="eastAsia"/>
        </w:rPr>
        <w:t>表6为</w:t>
      </w:r>
      <w:r>
        <w:t>热喷涂用</w:t>
      </w:r>
      <w:r>
        <w:rPr>
          <w:rFonts w:hint="eastAsia"/>
        </w:rPr>
        <w:t>氧化铬</w:t>
      </w:r>
      <w:r>
        <w:t>粉末的研究、生产和使用的主要企业对粉末松装密度的要求。所以本标准设定最小的松装密度应不小于</w:t>
      </w:r>
      <w:r>
        <w:rPr>
          <w:rFonts w:hint="eastAsia"/>
        </w:rPr>
        <w:t>1.1</w:t>
      </w:r>
      <w:r>
        <w:t xml:space="preserve"> g/cm</w:t>
      </w:r>
      <w:r>
        <w:rPr>
          <w:vertAlign w:val="superscript"/>
        </w:rPr>
        <w:t>3</w:t>
      </w:r>
      <w:r>
        <w:t>。</w:t>
      </w:r>
    </w:p>
    <w:p>
      <w:pPr>
        <w:spacing w:line="360" w:lineRule="auto"/>
        <w:ind w:firstLine="482"/>
        <w:jc w:val="center"/>
      </w:pPr>
      <w:r>
        <w:rPr>
          <w:rFonts w:hint="eastAsia"/>
        </w:rPr>
        <w:t>表6 热喷涂用氧化铬粉末产品松装密度</w:t>
      </w:r>
    </w:p>
    <w:tbl>
      <w:tblPr>
        <w:tblStyle w:val="12"/>
        <w:tblW w:w="757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072"/>
        <w:gridCol w:w="882"/>
        <w:gridCol w:w="936"/>
        <w:gridCol w:w="936"/>
        <w:gridCol w:w="936"/>
        <w:gridCol w:w="936"/>
        <w:gridCol w:w="936"/>
        <w:gridCol w:w="93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072" w:type="dxa"/>
            <w:vAlign w:val="center"/>
          </w:tcPr>
          <w:p>
            <w:pPr>
              <w:jc w:val="center"/>
              <w:rPr>
                <w:b/>
                <w:bCs/>
                <w:color w:val="000000" w:themeColor="text1"/>
                <w:sz w:val="18"/>
                <w:szCs w:val="18"/>
                <w14:textFill>
                  <w14:solidFill>
                    <w14:schemeClr w14:val="tx1"/>
                  </w14:solidFill>
                </w14:textFill>
              </w:rPr>
            </w:pPr>
            <w:r>
              <w:rPr>
                <w:rFonts w:hint="eastAsia" w:ascii="宋体" w:hAnsi="宋体"/>
                <w:kern w:val="0"/>
                <w:sz w:val="18"/>
                <w:szCs w:val="18"/>
              </w:rPr>
              <w:t>调研单位</w:t>
            </w:r>
          </w:p>
        </w:tc>
        <w:tc>
          <w:tcPr>
            <w:tcW w:w="882" w:type="dxa"/>
            <w:vAlign w:val="center"/>
          </w:tcPr>
          <w:p>
            <w:pPr>
              <w:jc w:val="center"/>
              <w:rPr>
                <w:szCs w:val="21"/>
              </w:rPr>
            </w:pPr>
            <w:r>
              <w:rPr>
                <w:rFonts w:hint="eastAsia"/>
                <w:szCs w:val="21"/>
              </w:rPr>
              <w:t>A</w:t>
            </w:r>
          </w:p>
        </w:tc>
        <w:tc>
          <w:tcPr>
            <w:tcW w:w="936" w:type="dxa"/>
            <w:vAlign w:val="center"/>
          </w:tcPr>
          <w:p>
            <w:pPr>
              <w:jc w:val="center"/>
              <w:rPr>
                <w:szCs w:val="21"/>
              </w:rPr>
            </w:pPr>
            <w:r>
              <w:rPr>
                <w:rFonts w:hint="eastAsia"/>
                <w:szCs w:val="21"/>
              </w:rPr>
              <w:t>B</w:t>
            </w:r>
          </w:p>
        </w:tc>
        <w:tc>
          <w:tcPr>
            <w:tcW w:w="936" w:type="dxa"/>
            <w:vAlign w:val="center"/>
          </w:tcPr>
          <w:p>
            <w:pPr>
              <w:jc w:val="center"/>
              <w:rPr>
                <w:szCs w:val="21"/>
              </w:rPr>
            </w:pPr>
            <w:r>
              <w:rPr>
                <w:rFonts w:hint="eastAsia"/>
                <w:szCs w:val="21"/>
              </w:rPr>
              <w:t>C</w:t>
            </w:r>
          </w:p>
        </w:tc>
        <w:tc>
          <w:tcPr>
            <w:tcW w:w="936" w:type="dxa"/>
            <w:vAlign w:val="center"/>
          </w:tcPr>
          <w:p>
            <w:pPr>
              <w:jc w:val="center"/>
              <w:rPr>
                <w:szCs w:val="21"/>
              </w:rPr>
            </w:pPr>
            <w:r>
              <w:rPr>
                <w:rFonts w:hint="eastAsia"/>
                <w:szCs w:val="21"/>
              </w:rPr>
              <w:t>D</w:t>
            </w:r>
          </w:p>
        </w:tc>
        <w:tc>
          <w:tcPr>
            <w:tcW w:w="936" w:type="dxa"/>
            <w:vAlign w:val="center"/>
          </w:tcPr>
          <w:p>
            <w:pPr>
              <w:jc w:val="center"/>
              <w:rPr>
                <w:szCs w:val="21"/>
              </w:rPr>
            </w:pPr>
            <w:r>
              <w:rPr>
                <w:rFonts w:hint="eastAsia"/>
                <w:szCs w:val="21"/>
              </w:rPr>
              <w:t>E</w:t>
            </w:r>
          </w:p>
        </w:tc>
        <w:tc>
          <w:tcPr>
            <w:tcW w:w="936" w:type="dxa"/>
            <w:vAlign w:val="center"/>
          </w:tcPr>
          <w:p>
            <w:pPr>
              <w:jc w:val="center"/>
              <w:rPr>
                <w:szCs w:val="21"/>
              </w:rPr>
            </w:pPr>
            <w:r>
              <w:rPr>
                <w:rFonts w:hint="eastAsia"/>
                <w:szCs w:val="21"/>
              </w:rPr>
              <w:t>F</w:t>
            </w:r>
          </w:p>
        </w:tc>
        <w:tc>
          <w:tcPr>
            <w:tcW w:w="936" w:type="dxa"/>
            <w:vAlign w:val="center"/>
          </w:tcPr>
          <w:p>
            <w:pPr>
              <w:jc w:val="center"/>
              <w:rPr>
                <w:szCs w:val="21"/>
              </w:rPr>
            </w:pPr>
            <w:r>
              <w:rPr>
                <w:rFonts w:hint="eastAsia"/>
                <w:szCs w:val="21"/>
              </w:rPr>
              <w:t>G</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72" w:type="dxa"/>
            <w:vAlign w:val="center"/>
          </w:tcPr>
          <w:p>
            <w:pPr>
              <w:pStyle w:val="23"/>
              <w:widowControl w:val="0"/>
              <w:tabs>
                <w:tab w:val="center" w:pos="4201"/>
                <w:tab w:val="right" w:leader="dot" w:pos="9298"/>
              </w:tabs>
              <w:ind w:firstLine="0" w:firstLineChars="0"/>
              <w:jc w:val="center"/>
              <w:rPr>
                <w:color w:val="000000" w:themeColor="text1"/>
                <w:sz w:val="18"/>
                <w:szCs w:val="18"/>
                <w14:textFill>
                  <w14:solidFill>
                    <w14:schemeClr w14:val="tx1"/>
                  </w14:solidFill>
                </w14:textFill>
              </w:rPr>
            </w:pPr>
            <w:r>
              <w:rPr>
                <w:sz w:val="18"/>
                <w:szCs w:val="21"/>
              </w:rPr>
              <w:t>松装密度（g/cm</w:t>
            </w:r>
            <w:r>
              <w:rPr>
                <w:sz w:val="18"/>
                <w:szCs w:val="21"/>
                <w:vertAlign w:val="superscript"/>
              </w:rPr>
              <w:t>3</w:t>
            </w:r>
            <w:r>
              <w:rPr>
                <w:sz w:val="18"/>
                <w:szCs w:val="21"/>
              </w:rPr>
              <w:t>）</w:t>
            </w:r>
          </w:p>
        </w:tc>
        <w:tc>
          <w:tcPr>
            <w:tcW w:w="882" w:type="dxa"/>
            <w:vAlign w:val="center"/>
          </w:tcPr>
          <w:p>
            <w:pPr>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≥1.6</w:t>
            </w:r>
          </w:p>
        </w:tc>
        <w:tc>
          <w:tcPr>
            <w:tcW w:w="936" w:type="dxa"/>
            <w:vAlign w:val="center"/>
          </w:tcPr>
          <w:p>
            <w:pPr>
              <w:jc w:val="center"/>
              <w:rPr>
                <w:rFonts w:hint="default" w:eastAsia="宋体"/>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≥1.4</w:t>
            </w:r>
          </w:p>
        </w:tc>
        <w:tc>
          <w:tcPr>
            <w:tcW w:w="936" w:type="dxa"/>
            <w:vAlign w:val="center"/>
          </w:tcPr>
          <w:p>
            <w:pPr>
              <w:jc w:val="center"/>
              <w:rPr>
                <w:b/>
                <w:bCs/>
                <w:color w:val="000000" w:themeColor="text1"/>
                <w:sz w:val="18"/>
                <w:szCs w:val="18"/>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w:t>
            </w:r>
          </w:p>
        </w:tc>
        <w:tc>
          <w:tcPr>
            <w:tcW w:w="936" w:type="dxa"/>
            <w:vAlign w:val="center"/>
          </w:tcPr>
          <w:p>
            <w:pPr>
              <w:jc w:val="center"/>
              <w:rPr>
                <w:rFonts w:hint="eastAsia" w:eastAsia="宋体"/>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w:t>
            </w:r>
          </w:p>
        </w:tc>
        <w:tc>
          <w:tcPr>
            <w:tcW w:w="936" w:type="dxa"/>
            <w:vAlign w:val="center"/>
          </w:tcPr>
          <w:p>
            <w:pPr>
              <w:jc w:val="center"/>
              <w:rPr>
                <w:rFonts w:hint="eastAsia" w:eastAsia="宋体"/>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w:t>
            </w:r>
          </w:p>
        </w:tc>
        <w:tc>
          <w:tcPr>
            <w:tcW w:w="936" w:type="dxa"/>
            <w:vAlign w:val="center"/>
          </w:tcPr>
          <w:p>
            <w:pPr>
              <w:jc w:val="center"/>
              <w:rPr>
                <w:rFonts w:hint="default" w:eastAsia="宋体"/>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≥1.1</w:t>
            </w:r>
          </w:p>
        </w:tc>
        <w:tc>
          <w:tcPr>
            <w:tcW w:w="936" w:type="dxa"/>
            <w:vAlign w:val="center"/>
          </w:tcPr>
          <w:p>
            <w:pPr>
              <w:jc w:val="center"/>
              <w:rPr>
                <w:rFonts w:hint="eastAsia" w:eastAsia="宋体"/>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w:t>
            </w:r>
          </w:p>
        </w:tc>
      </w:tr>
    </w:tbl>
    <w:p>
      <w:pPr>
        <w:ind w:firstLine="482"/>
      </w:pPr>
    </w:p>
    <w:p>
      <w:pPr>
        <w:spacing w:before="156" w:beforeLines="50" w:after="156" w:afterLines="50"/>
        <w:rPr>
          <w:rFonts w:eastAsia="黑体"/>
          <w:bCs/>
          <w:sz w:val="22"/>
        </w:rPr>
      </w:pPr>
      <w:r>
        <w:rPr>
          <w:rFonts w:eastAsia="黑体"/>
          <w:bCs/>
          <w:sz w:val="22"/>
        </w:rPr>
        <w:t>3.2.4 其他要求</w:t>
      </w:r>
    </w:p>
    <w:p>
      <w:pPr>
        <w:ind w:firstLine="482"/>
      </w:pPr>
      <w:r>
        <w:t>需方如对热喷涂用</w:t>
      </w:r>
      <w:r>
        <w:rPr>
          <w:rFonts w:hint="eastAsia"/>
        </w:rPr>
        <w:t>氧化铬</w:t>
      </w:r>
      <w:r>
        <w:t>粉末有特殊要求，可由供需双方协商确定。</w:t>
      </w:r>
    </w:p>
    <w:p>
      <w:pPr>
        <w:spacing w:before="156" w:beforeLines="50" w:after="156" w:afterLines="50"/>
        <w:rPr>
          <w:rFonts w:eastAsia="黑体"/>
          <w:bCs/>
          <w:sz w:val="22"/>
          <w:highlight w:val="yellow"/>
        </w:rPr>
      </w:pPr>
      <w:r>
        <w:rPr>
          <w:rFonts w:eastAsia="黑体"/>
          <w:bCs/>
          <w:sz w:val="22"/>
        </w:rPr>
        <w:t>3.2.5 产品实测数据</w:t>
      </w:r>
    </w:p>
    <w:p>
      <w:pPr>
        <w:spacing w:line="360" w:lineRule="auto"/>
        <w:jc w:val="center"/>
        <w:rPr>
          <w:szCs w:val="21"/>
        </w:rPr>
      </w:pPr>
      <w:r>
        <w:rPr>
          <w:szCs w:val="21"/>
        </w:rPr>
        <w:t>表</w:t>
      </w:r>
      <w:r>
        <w:rPr>
          <w:rFonts w:hint="eastAsia"/>
          <w:szCs w:val="21"/>
        </w:rPr>
        <w:t xml:space="preserve">7 </w:t>
      </w:r>
      <w:r>
        <w:rPr>
          <w:szCs w:val="21"/>
        </w:rPr>
        <w:t xml:space="preserve"> 热喷涂用</w:t>
      </w:r>
      <w:r>
        <w:rPr>
          <w:rFonts w:hint="eastAsia"/>
          <w:szCs w:val="21"/>
        </w:rPr>
        <w:t>氧化铬</w:t>
      </w:r>
      <w:r>
        <w:rPr>
          <w:szCs w:val="21"/>
        </w:rPr>
        <w:t>粉末产品实测数据</w:t>
      </w:r>
    </w:p>
    <w:tbl>
      <w:tblPr>
        <w:tblStyle w:val="12"/>
        <w:tblW w:w="308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96"/>
        <w:gridCol w:w="1713"/>
        <w:gridCol w:w="1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98" w:type="pct"/>
            <w:shd w:val="clear" w:color="auto" w:fill="auto"/>
            <w:vAlign w:val="center"/>
          </w:tcPr>
          <w:p>
            <w:pPr>
              <w:jc w:val="center"/>
              <w:rPr>
                <w:sz w:val="18"/>
                <w:szCs w:val="18"/>
              </w:rPr>
            </w:pPr>
            <w:r>
              <w:rPr>
                <w:sz w:val="18"/>
                <w:szCs w:val="18"/>
              </w:rPr>
              <w:t>指标</w:t>
            </w:r>
          </w:p>
        </w:tc>
        <w:tc>
          <w:tcPr>
            <w:tcW w:w="1551" w:type="pct"/>
            <w:shd w:val="clear" w:color="000000" w:fill="FFFFFF"/>
            <w:vAlign w:val="center"/>
          </w:tcPr>
          <w:p>
            <w:pPr>
              <w:widowControl/>
              <w:jc w:val="center"/>
              <w:rPr>
                <w:rFonts w:eastAsia="等线"/>
                <w:color w:val="000000"/>
                <w:kern w:val="0"/>
                <w:sz w:val="18"/>
                <w:szCs w:val="18"/>
              </w:rPr>
            </w:pPr>
            <w:r>
              <w:rPr>
                <w:sz w:val="18"/>
                <w:szCs w:val="18"/>
              </w:rPr>
              <w:t>产品A</w:t>
            </w:r>
          </w:p>
        </w:tc>
        <w:tc>
          <w:tcPr>
            <w:tcW w:w="1549" w:type="pct"/>
            <w:shd w:val="clear" w:color="auto" w:fill="FFFFFF"/>
            <w:vAlign w:val="center"/>
          </w:tcPr>
          <w:p>
            <w:pPr>
              <w:widowControl/>
              <w:jc w:val="center"/>
              <w:rPr>
                <w:rFonts w:eastAsia="等线"/>
                <w:color w:val="000000"/>
                <w:kern w:val="0"/>
                <w:sz w:val="18"/>
                <w:szCs w:val="18"/>
              </w:rPr>
            </w:pPr>
            <w:r>
              <w:rPr>
                <w:sz w:val="18"/>
                <w:szCs w:val="18"/>
              </w:rPr>
              <w:t>产品B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98" w:type="pct"/>
            <w:shd w:val="clear" w:color="auto" w:fill="auto"/>
            <w:vAlign w:val="center"/>
          </w:tcPr>
          <w:p>
            <w:pPr>
              <w:jc w:val="center"/>
              <w:rPr>
                <w:sz w:val="18"/>
                <w:szCs w:val="18"/>
              </w:rPr>
            </w:pPr>
            <w:r>
              <w:rPr>
                <w:rFonts w:hint="eastAsia"/>
                <w:kern w:val="0"/>
                <w:sz w:val="18"/>
                <w:szCs w:val="18"/>
              </w:rPr>
              <w:t>Cr</w:t>
            </w:r>
            <w:r>
              <w:rPr>
                <w:kern w:val="0"/>
                <w:sz w:val="18"/>
                <w:szCs w:val="18"/>
                <w:vertAlign w:val="subscript"/>
              </w:rPr>
              <w:t>2</w:t>
            </w:r>
            <w:r>
              <w:rPr>
                <w:kern w:val="0"/>
                <w:sz w:val="18"/>
                <w:szCs w:val="18"/>
              </w:rPr>
              <w:t>O</w:t>
            </w:r>
            <w:r>
              <w:rPr>
                <w:kern w:val="0"/>
                <w:sz w:val="18"/>
                <w:szCs w:val="18"/>
                <w:vertAlign w:val="subscript"/>
              </w:rPr>
              <w:t>3</w:t>
            </w:r>
            <w:r>
              <w:rPr>
                <w:kern w:val="0"/>
                <w:sz w:val="18"/>
                <w:szCs w:val="18"/>
              </w:rPr>
              <w:t>/</w:t>
            </w:r>
            <w:r>
              <w:rPr>
                <w:sz w:val="18"/>
                <w:szCs w:val="18"/>
              </w:rPr>
              <w:t>wt%</w:t>
            </w:r>
          </w:p>
        </w:tc>
        <w:tc>
          <w:tcPr>
            <w:tcW w:w="1551" w:type="pct"/>
            <w:shd w:val="clear" w:color="000000" w:fill="FFFFFF"/>
          </w:tcPr>
          <w:p>
            <w:pPr>
              <w:widowControl/>
              <w:jc w:val="center"/>
              <w:rPr>
                <w:sz w:val="18"/>
                <w:szCs w:val="18"/>
              </w:rPr>
            </w:pPr>
            <w:r>
              <w:rPr>
                <w:rFonts w:hint="eastAsia"/>
                <w:sz w:val="18"/>
                <w:szCs w:val="18"/>
              </w:rPr>
              <w:t>93.28</w:t>
            </w:r>
          </w:p>
        </w:tc>
        <w:tc>
          <w:tcPr>
            <w:tcW w:w="1549" w:type="pct"/>
            <w:shd w:val="clear" w:color="auto" w:fill="FFFFFF"/>
          </w:tcPr>
          <w:p>
            <w:pPr>
              <w:widowControl/>
              <w:jc w:val="center"/>
              <w:rPr>
                <w:sz w:val="18"/>
                <w:szCs w:val="18"/>
              </w:rPr>
            </w:pPr>
            <w:r>
              <w:rPr>
                <w:rFonts w:hint="eastAsia"/>
                <w:sz w:val="18"/>
                <w:szCs w:val="18"/>
              </w:rPr>
              <w:t>92.54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98" w:type="pct"/>
            <w:shd w:val="clear" w:color="auto" w:fill="auto"/>
            <w:vAlign w:val="center"/>
          </w:tcPr>
          <w:p>
            <w:pPr>
              <w:jc w:val="center"/>
              <w:rPr>
                <w:sz w:val="18"/>
                <w:szCs w:val="18"/>
              </w:rPr>
            </w:pPr>
            <w:r>
              <w:rPr>
                <w:rFonts w:hint="eastAsia"/>
                <w:kern w:val="0"/>
                <w:sz w:val="18"/>
                <w:szCs w:val="18"/>
              </w:rPr>
              <w:t>TiO</w:t>
            </w:r>
            <w:r>
              <w:rPr>
                <w:rFonts w:hint="eastAsia"/>
                <w:kern w:val="0"/>
                <w:sz w:val="18"/>
                <w:szCs w:val="18"/>
                <w:vertAlign w:val="subscript"/>
              </w:rPr>
              <w:t>2</w:t>
            </w:r>
            <w:r>
              <w:rPr>
                <w:kern w:val="0"/>
                <w:sz w:val="18"/>
                <w:szCs w:val="18"/>
              </w:rPr>
              <w:t>/</w:t>
            </w:r>
            <w:r>
              <w:rPr>
                <w:sz w:val="18"/>
                <w:szCs w:val="18"/>
              </w:rPr>
              <w:t>wt%</w:t>
            </w:r>
          </w:p>
        </w:tc>
        <w:tc>
          <w:tcPr>
            <w:tcW w:w="1551" w:type="pct"/>
            <w:shd w:val="clear" w:color="000000" w:fill="FFFFFF"/>
            <w:vAlign w:val="center"/>
          </w:tcPr>
          <w:p>
            <w:pPr>
              <w:widowControl/>
              <w:jc w:val="center"/>
              <w:rPr>
                <w:sz w:val="18"/>
                <w:szCs w:val="18"/>
              </w:rPr>
            </w:pPr>
            <w:r>
              <w:rPr>
                <w:rFonts w:hint="eastAsia"/>
                <w:sz w:val="18"/>
                <w:szCs w:val="18"/>
              </w:rPr>
              <w:t>2.47</w:t>
            </w:r>
          </w:p>
        </w:tc>
        <w:tc>
          <w:tcPr>
            <w:tcW w:w="1549" w:type="pct"/>
            <w:shd w:val="clear" w:color="auto" w:fill="FFFFFF"/>
            <w:vAlign w:val="center"/>
          </w:tcPr>
          <w:p>
            <w:pPr>
              <w:widowControl/>
              <w:jc w:val="center"/>
              <w:rPr>
                <w:sz w:val="18"/>
                <w:szCs w:val="18"/>
              </w:rPr>
            </w:pPr>
            <w:r>
              <w:rPr>
                <w:rFonts w:hint="eastAsia"/>
                <w:sz w:val="18"/>
                <w:szCs w:val="18"/>
              </w:rPr>
              <w:t>2.74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98" w:type="pct"/>
            <w:shd w:val="clear" w:color="auto" w:fill="auto"/>
            <w:vAlign w:val="center"/>
          </w:tcPr>
          <w:p>
            <w:pPr>
              <w:jc w:val="center"/>
              <w:rPr>
                <w:sz w:val="18"/>
                <w:szCs w:val="18"/>
              </w:rPr>
            </w:pPr>
            <w:r>
              <w:rPr>
                <w:rFonts w:hint="eastAsia"/>
                <w:kern w:val="0"/>
                <w:sz w:val="18"/>
                <w:szCs w:val="18"/>
              </w:rPr>
              <w:t>SiO</w:t>
            </w:r>
            <w:r>
              <w:rPr>
                <w:rFonts w:hint="eastAsia"/>
                <w:kern w:val="0"/>
                <w:sz w:val="18"/>
                <w:szCs w:val="18"/>
                <w:vertAlign w:val="subscript"/>
              </w:rPr>
              <w:t>2</w:t>
            </w:r>
            <w:r>
              <w:rPr>
                <w:kern w:val="0"/>
                <w:sz w:val="18"/>
                <w:szCs w:val="18"/>
              </w:rPr>
              <w:t>/</w:t>
            </w:r>
            <w:r>
              <w:rPr>
                <w:sz w:val="18"/>
                <w:szCs w:val="18"/>
              </w:rPr>
              <w:t>wt%</w:t>
            </w:r>
          </w:p>
        </w:tc>
        <w:tc>
          <w:tcPr>
            <w:tcW w:w="1551" w:type="pct"/>
            <w:shd w:val="clear" w:color="000000" w:fill="FFFFFF"/>
            <w:vAlign w:val="center"/>
          </w:tcPr>
          <w:p>
            <w:pPr>
              <w:widowControl/>
              <w:jc w:val="center"/>
              <w:rPr>
                <w:sz w:val="18"/>
                <w:szCs w:val="18"/>
              </w:rPr>
            </w:pPr>
            <w:r>
              <w:rPr>
                <w:rFonts w:hint="eastAsia"/>
                <w:sz w:val="18"/>
                <w:szCs w:val="18"/>
              </w:rPr>
              <w:t>4.00</w:t>
            </w:r>
          </w:p>
        </w:tc>
        <w:tc>
          <w:tcPr>
            <w:tcW w:w="1549" w:type="pct"/>
            <w:shd w:val="clear" w:color="auto" w:fill="FFFFFF"/>
            <w:vAlign w:val="center"/>
          </w:tcPr>
          <w:p>
            <w:pPr>
              <w:widowControl/>
              <w:jc w:val="center"/>
              <w:rPr>
                <w:sz w:val="18"/>
                <w:szCs w:val="18"/>
              </w:rPr>
            </w:pPr>
            <w:r>
              <w:rPr>
                <w:rFonts w:hint="eastAsia"/>
                <w:sz w:val="18"/>
                <w:szCs w:val="18"/>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98" w:type="pct"/>
            <w:shd w:val="clear" w:color="auto" w:fill="auto"/>
            <w:vAlign w:val="center"/>
          </w:tcPr>
          <w:p>
            <w:pPr>
              <w:jc w:val="center"/>
              <w:rPr>
                <w:sz w:val="18"/>
                <w:szCs w:val="18"/>
              </w:rPr>
            </w:pPr>
            <w:r>
              <w:rPr>
                <w:rFonts w:hint="eastAsia"/>
                <w:kern w:val="0"/>
                <w:sz w:val="18"/>
                <w:szCs w:val="18"/>
              </w:rPr>
              <w:t>Al</w:t>
            </w:r>
            <w:r>
              <w:rPr>
                <w:rFonts w:hint="eastAsia"/>
                <w:kern w:val="0"/>
                <w:sz w:val="18"/>
                <w:szCs w:val="18"/>
                <w:vertAlign w:val="subscript"/>
              </w:rPr>
              <w:t>2</w:t>
            </w:r>
            <w:r>
              <w:rPr>
                <w:rFonts w:hint="eastAsia"/>
                <w:kern w:val="0"/>
                <w:sz w:val="18"/>
                <w:szCs w:val="18"/>
              </w:rPr>
              <w:t>O</w:t>
            </w:r>
            <w:r>
              <w:rPr>
                <w:rFonts w:hint="eastAsia"/>
                <w:kern w:val="0"/>
                <w:sz w:val="18"/>
                <w:szCs w:val="18"/>
                <w:vertAlign w:val="subscript"/>
              </w:rPr>
              <w:t>3</w:t>
            </w:r>
            <w:r>
              <w:rPr>
                <w:kern w:val="0"/>
                <w:sz w:val="18"/>
                <w:szCs w:val="18"/>
              </w:rPr>
              <w:t>/</w:t>
            </w:r>
            <w:r>
              <w:rPr>
                <w:sz w:val="18"/>
                <w:szCs w:val="18"/>
              </w:rPr>
              <w:t>wt%</w:t>
            </w:r>
          </w:p>
        </w:tc>
        <w:tc>
          <w:tcPr>
            <w:tcW w:w="1551" w:type="pct"/>
            <w:shd w:val="clear" w:color="000000" w:fill="FFFFFF"/>
            <w:vAlign w:val="center"/>
          </w:tcPr>
          <w:p>
            <w:pPr>
              <w:widowControl/>
              <w:jc w:val="center"/>
              <w:rPr>
                <w:sz w:val="18"/>
                <w:szCs w:val="18"/>
              </w:rPr>
            </w:pPr>
            <w:r>
              <w:rPr>
                <w:rFonts w:hint="eastAsia"/>
                <w:sz w:val="18"/>
                <w:szCs w:val="18"/>
              </w:rPr>
              <w:t>＜0.1</w:t>
            </w:r>
          </w:p>
        </w:tc>
        <w:tc>
          <w:tcPr>
            <w:tcW w:w="1549" w:type="pct"/>
            <w:shd w:val="clear" w:color="auto" w:fill="FFFFFF"/>
            <w:vAlign w:val="center"/>
          </w:tcPr>
          <w:p>
            <w:pPr>
              <w:widowControl/>
              <w:jc w:val="center"/>
              <w:rPr>
                <w:sz w:val="18"/>
                <w:szCs w:val="18"/>
              </w:rPr>
            </w:pPr>
            <w:r>
              <w:rPr>
                <w:rFonts w:hint="eastAsia"/>
                <w:sz w:val="18"/>
                <w:szCs w:val="18"/>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98" w:type="pct"/>
            <w:shd w:val="clear" w:color="auto" w:fill="auto"/>
            <w:vAlign w:val="center"/>
          </w:tcPr>
          <w:p>
            <w:pPr>
              <w:jc w:val="center"/>
              <w:rPr>
                <w:sz w:val="18"/>
                <w:szCs w:val="18"/>
              </w:rPr>
            </w:pPr>
            <w:r>
              <w:rPr>
                <w:rFonts w:hint="eastAsia"/>
                <w:kern w:val="0"/>
                <w:sz w:val="18"/>
                <w:szCs w:val="18"/>
              </w:rPr>
              <w:t>Fe</w:t>
            </w:r>
            <w:r>
              <w:rPr>
                <w:rFonts w:hint="eastAsia"/>
                <w:kern w:val="0"/>
                <w:sz w:val="18"/>
                <w:szCs w:val="18"/>
                <w:vertAlign w:val="subscript"/>
              </w:rPr>
              <w:t>2</w:t>
            </w:r>
            <w:r>
              <w:rPr>
                <w:rFonts w:hint="eastAsia"/>
                <w:kern w:val="0"/>
                <w:sz w:val="18"/>
                <w:szCs w:val="18"/>
              </w:rPr>
              <w:t>O</w:t>
            </w:r>
            <w:r>
              <w:rPr>
                <w:rFonts w:hint="eastAsia"/>
                <w:kern w:val="0"/>
                <w:sz w:val="18"/>
                <w:szCs w:val="18"/>
                <w:vertAlign w:val="subscript"/>
              </w:rPr>
              <w:t>3</w:t>
            </w:r>
            <w:r>
              <w:rPr>
                <w:kern w:val="0"/>
                <w:sz w:val="18"/>
                <w:szCs w:val="18"/>
              </w:rPr>
              <w:t>/</w:t>
            </w:r>
            <w:r>
              <w:rPr>
                <w:sz w:val="18"/>
                <w:szCs w:val="18"/>
              </w:rPr>
              <w:t>wt%</w:t>
            </w:r>
          </w:p>
        </w:tc>
        <w:tc>
          <w:tcPr>
            <w:tcW w:w="1551" w:type="pct"/>
            <w:shd w:val="clear" w:color="000000" w:fill="FFFFFF"/>
            <w:vAlign w:val="center"/>
          </w:tcPr>
          <w:p>
            <w:pPr>
              <w:widowControl/>
              <w:jc w:val="center"/>
              <w:rPr>
                <w:rFonts w:eastAsia="等线"/>
                <w:color w:val="000000"/>
                <w:sz w:val="18"/>
                <w:szCs w:val="18"/>
              </w:rPr>
            </w:pPr>
            <w:r>
              <w:rPr>
                <w:rFonts w:hint="eastAsia" w:eastAsia="等线"/>
                <w:color w:val="000000"/>
                <w:sz w:val="18"/>
                <w:szCs w:val="18"/>
              </w:rPr>
              <w:t>0.12</w:t>
            </w:r>
          </w:p>
        </w:tc>
        <w:tc>
          <w:tcPr>
            <w:tcW w:w="1549" w:type="pct"/>
            <w:shd w:val="clear" w:color="auto" w:fill="FFFFFF"/>
            <w:vAlign w:val="center"/>
          </w:tcPr>
          <w:p>
            <w:pPr>
              <w:widowControl/>
              <w:jc w:val="center"/>
              <w:rPr>
                <w:rFonts w:eastAsia="等线"/>
                <w:color w:val="000000"/>
                <w:sz w:val="18"/>
                <w:szCs w:val="18"/>
              </w:rPr>
            </w:pPr>
            <w:r>
              <w:rPr>
                <w:rFonts w:hint="eastAsia" w:eastAsia="等线"/>
                <w:color w:val="000000"/>
                <w:sz w:val="18"/>
                <w:szCs w:val="18"/>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98" w:type="pct"/>
            <w:shd w:val="clear" w:color="auto" w:fill="auto"/>
            <w:vAlign w:val="center"/>
          </w:tcPr>
          <w:p>
            <w:pPr>
              <w:jc w:val="center"/>
              <w:rPr>
                <w:sz w:val="18"/>
                <w:szCs w:val="18"/>
              </w:rPr>
            </w:pPr>
            <w:r>
              <w:rPr>
                <w:sz w:val="18"/>
                <w:szCs w:val="18"/>
              </w:rPr>
              <w:t>外观</w:t>
            </w:r>
          </w:p>
        </w:tc>
        <w:tc>
          <w:tcPr>
            <w:tcW w:w="1551" w:type="pct"/>
            <w:shd w:val="clear" w:color="auto" w:fill="auto"/>
            <w:vAlign w:val="center"/>
          </w:tcPr>
          <w:p>
            <w:pPr>
              <w:jc w:val="center"/>
              <w:rPr>
                <w:sz w:val="18"/>
                <w:szCs w:val="18"/>
              </w:rPr>
            </w:pPr>
            <w:r>
              <w:rPr>
                <w:rFonts w:hint="eastAsia"/>
                <w:sz w:val="18"/>
                <w:szCs w:val="18"/>
              </w:rPr>
              <w:t>无夹杂物</w:t>
            </w:r>
          </w:p>
        </w:tc>
        <w:tc>
          <w:tcPr>
            <w:tcW w:w="1549" w:type="pct"/>
            <w:shd w:val="clear" w:color="auto" w:fill="FFFFFF"/>
            <w:vAlign w:val="center"/>
          </w:tcPr>
          <w:p>
            <w:pPr>
              <w:jc w:val="center"/>
              <w:rPr>
                <w:sz w:val="18"/>
                <w:szCs w:val="18"/>
              </w:rPr>
            </w:pPr>
            <w:r>
              <w:rPr>
                <w:rFonts w:hint="eastAsia"/>
                <w:sz w:val="18"/>
                <w:szCs w:val="18"/>
              </w:rPr>
              <w:t>无夹杂物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98" w:type="pct"/>
            <w:shd w:val="clear" w:color="auto" w:fill="auto"/>
            <w:vAlign w:val="center"/>
          </w:tcPr>
          <w:p>
            <w:pPr>
              <w:jc w:val="center"/>
              <w:rPr>
                <w:sz w:val="18"/>
                <w:szCs w:val="18"/>
              </w:rPr>
            </w:pPr>
            <w:r>
              <w:rPr>
                <w:rFonts w:hint="eastAsia"/>
                <w:sz w:val="18"/>
                <w:szCs w:val="18"/>
              </w:rPr>
              <w:t>松装</w:t>
            </w:r>
            <w:r>
              <w:rPr>
                <w:sz w:val="18"/>
                <w:szCs w:val="18"/>
              </w:rPr>
              <w:t>密度</w:t>
            </w:r>
            <w:r>
              <w:rPr>
                <w:kern w:val="24"/>
                <w:sz w:val="18"/>
                <w:szCs w:val="18"/>
              </w:rPr>
              <w:t>g/cm</w:t>
            </w:r>
            <w:r>
              <w:rPr>
                <w:kern w:val="24"/>
                <w:sz w:val="18"/>
                <w:szCs w:val="18"/>
                <w:vertAlign w:val="superscript"/>
              </w:rPr>
              <w:t>3</w:t>
            </w:r>
          </w:p>
        </w:tc>
        <w:tc>
          <w:tcPr>
            <w:tcW w:w="1551" w:type="pct"/>
            <w:shd w:val="clear" w:color="auto" w:fill="auto"/>
            <w:vAlign w:val="center"/>
          </w:tcPr>
          <w:p>
            <w:pPr>
              <w:jc w:val="center"/>
              <w:rPr>
                <w:sz w:val="18"/>
                <w:szCs w:val="18"/>
              </w:rPr>
            </w:pPr>
            <w:r>
              <w:rPr>
                <w:rFonts w:hint="eastAsia"/>
                <w:sz w:val="18"/>
                <w:szCs w:val="18"/>
              </w:rPr>
              <w:t>1.49</w:t>
            </w:r>
          </w:p>
        </w:tc>
        <w:tc>
          <w:tcPr>
            <w:tcW w:w="1549" w:type="pct"/>
            <w:shd w:val="clear" w:color="auto" w:fill="FFFFFF"/>
            <w:vAlign w:val="center"/>
          </w:tcPr>
          <w:p>
            <w:pPr>
              <w:jc w:val="center"/>
              <w:rPr>
                <w:sz w:val="18"/>
                <w:szCs w:val="18"/>
              </w:rPr>
            </w:pPr>
            <w:r>
              <w:rPr>
                <w:rFonts w:hint="eastAsia"/>
                <w:sz w:val="18"/>
                <w:szCs w:val="18"/>
              </w:rPr>
              <w:t>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98" w:type="pct"/>
            <w:shd w:val="clear" w:color="auto" w:fill="auto"/>
            <w:vAlign w:val="center"/>
          </w:tcPr>
          <w:p>
            <w:pPr>
              <w:jc w:val="center"/>
              <w:rPr>
                <w:sz w:val="18"/>
                <w:szCs w:val="18"/>
              </w:rPr>
            </w:pPr>
            <w:r>
              <w:rPr>
                <w:sz w:val="18"/>
                <w:szCs w:val="18"/>
              </w:rPr>
              <w:t>D</w:t>
            </w:r>
            <w:r>
              <w:rPr>
                <w:sz w:val="18"/>
                <w:szCs w:val="18"/>
                <w:vertAlign w:val="subscript"/>
              </w:rPr>
              <w:t>50</w:t>
            </w:r>
            <w:r>
              <w:rPr>
                <w:sz w:val="18"/>
                <w:szCs w:val="18"/>
              </w:rPr>
              <w:t>/μm</w:t>
            </w:r>
          </w:p>
        </w:tc>
        <w:tc>
          <w:tcPr>
            <w:tcW w:w="1551" w:type="pct"/>
            <w:shd w:val="clear" w:color="auto" w:fill="auto"/>
            <w:vAlign w:val="center"/>
          </w:tcPr>
          <w:p>
            <w:pPr>
              <w:jc w:val="center"/>
              <w:rPr>
                <w:sz w:val="18"/>
                <w:szCs w:val="18"/>
              </w:rPr>
            </w:pPr>
            <w:r>
              <w:rPr>
                <w:rFonts w:hint="eastAsia"/>
                <w:sz w:val="18"/>
                <w:szCs w:val="18"/>
              </w:rPr>
              <w:t>44.562</w:t>
            </w:r>
          </w:p>
        </w:tc>
        <w:tc>
          <w:tcPr>
            <w:tcW w:w="1549" w:type="pct"/>
            <w:shd w:val="clear" w:color="auto" w:fill="FFFFFF"/>
            <w:vAlign w:val="center"/>
          </w:tcPr>
          <w:p>
            <w:pPr>
              <w:jc w:val="center"/>
              <w:rPr>
                <w:sz w:val="18"/>
                <w:szCs w:val="18"/>
              </w:rPr>
            </w:pPr>
            <w:r>
              <w:rPr>
                <w:rFonts w:hint="eastAsia"/>
                <w:sz w:val="18"/>
                <w:szCs w:val="18"/>
              </w:rPr>
              <w:t>44.724</w:t>
            </w:r>
          </w:p>
        </w:tc>
      </w:tr>
    </w:tbl>
    <w:p>
      <w:pPr>
        <w:spacing w:before="156" w:beforeLines="50" w:after="156" w:afterLines="50"/>
        <w:rPr>
          <w:rFonts w:eastAsia="黑体"/>
          <w:bCs/>
          <w:sz w:val="22"/>
        </w:rPr>
      </w:pPr>
      <w:r>
        <w:rPr>
          <w:rFonts w:eastAsia="黑体"/>
          <w:bCs/>
          <w:sz w:val="22"/>
        </w:rPr>
        <w:t>3.3 试验方法</w:t>
      </w:r>
    </w:p>
    <w:p>
      <w:pPr>
        <w:ind w:firstLine="482"/>
      </w:pPr>
      <w:r>
        <w:t>产品</w:t>
      </w:r>
      <w:r>
        <w:rPr>
          <w:rFonts w:hint="eastAsia"/>
        </w:rPr>
        <w:t>Cr</w:t>
      </w:r>
      <w:r>
        <w:rPr>
          <w:vertAlign w:val="subscript"/>
        </w:rPr>
        <w:t>2</w:t>
      </w:r>
      <w:r>
        <w:t>O</w:t>
      </w:r>
      <w:r>
        <w:rPr>
          <w:vertAlign w:val="subscript"/>
        </w:rPr>
        <w:t>3</w:t>
      </w:r>
      <w:r>
        <w:t>含量及杂质含量的测定按</w:t>
      </w:r>
      <w:r>
        <w:rPr>
          <w:kern w:val="24"/>
        </w:rPr>
        <w:t xml:space="preserve">GB/T </w:t>
      </w:r>
      <w:r>
        <w:rPr>
          <w:rFonts w:hint="eastAsia"/>
          <w:kern w:val="24"/>
        </w:rPr>
        <w:t>5070</w:t>
      </w:r>
      <w:r>
        <w:t>的规定进行测定。</w:t>
      </w:r>
    </w:p>
    <w:p>
      <w:pPr>
        <w:ind w:firstLine="482"/>
      </w:pPr>
      <w:r>
        <w:t>产品粒度分布的测定按GB/T 1480和GB/T 19077的规定进行。</w:t>
      </w:r>
    </w:p>
    <w:p>
      <w:pPr>
        <w:ind w:firstLine="482"/>
      </w:pPr>
      <w:r>
        <w:t>产品送装密度的测定按GB/T 1479.1的规定进行。</w:t>
      </w:r>
    </w:p>
    <w:p>
      <w:pPr>
        <w:ind w:firstLine="482"/>
      </w:pPr>
      <w:r>
        <w:t>产品外观质量通过目视检查。</w:t>
      </w:r>
    </w:p>
    <w:p>
      <w:pPr>
        <w:spacing w:before="156" w:beforeLines="50" w:after="156" w:afterLines="50"/>
        <w:rPr>
          <w:rFonts w:eastAsia="黑体"/>
          <w:bCs/>
          <w:sz w:val="24"/>
        </w:rPr>
      </w:pPr>
      <w:r>
        <w:rPr>
          <w:rFonts w:eastAsia="黑体"/>
          <w:bCs/>
          <w:sz w:val="24"/>
        </w:rPr>
        <w:t>3.4检验规则</w:t>
      </w:r>
    </w:p>
    <w:p>
      <w:pPr>
        <w:spacing w:before="156" w:beforeLines="50" w:after="156" w:afterLines="50"/>
        <w:rPr>
          <w:rFonts w:eastAsia="黑体"/>
          <w:bCs/>
          <w:sz w:val="22"/>
        </w:rPr>
      </w:pPr>
      <w:r>
        <w:rPr>
          <w:rFonts w:eastAsia="黑体"/>
          <w:bCs/>
          <w:sz w:val="22"/>
        </w:rPr>
        <w:t>3.4.1检查与验收</w:t>
      </w:r>
    </w:p>
    <w:p>
      <w:pPr>
        <w:widowControl/>
        <w:ind w:firstLine="420" w:firstLineChars="200"/>
        <w:jc w:val="left"/>
        <w:outlineLvl w:val="3"/>
        <w:rPr>
          <w:kern w:val="0"/>
          <w:szCs w:val="21"/>
        </w:rPr>
      </w:pPr>
      <w:r>
        <w:rPr>
          <w:kern w:val="0"/>
          <w:szCs w:val="21"/>
        </w:rPr>
        <w:t>产品应由供方进行检验，保证产品质量符合本标准及合同（或订货单）的规定，并填写质量证明书。</w:t>
      </w:r>
    </w:p>
    <w:p>
      <w:pPr>
        <w:widowControl/>
        <w:ind w:firstLine="420" w:firstLineChars="200"/>
        <w:jc w:val="left"/>
        <w:outlineLvl w:val="3"/>
        <w:rPr>
          <w:kern w:val="0"/>
          <w:szCs w:val="21"/>
        </w:rPr>
      </w:pPr>
      <w:r>
        <w:rPr>
          <w:kern w:val="0"/>
          <w:szCs w:val="21"/>
        </w:rPr>
        <w:t>需方应对收到的产品按本标准的规定进行检验，如检验结果与本标准及合同（或订货单）的规定不符时，应在收到产品之日起2个月内向供方提出，由供需双方协商解决。如需仲裁，仲裁取样在需方由供需双方共同进行。</w:t>
      </w:r>
    </w:p>
    <w:p>
      <w:pPr>
        <w:spacing w:before="156" w:beforeLines="50" w:after="156" w:afterLines="50"/>
        <w:rPr>
          <w:rFonts w:eastAsia="黑体"/>
          <w:bCs/>
          <w:sz w:val="22"/>
        </w:rPr>
      </w:pPr>
      <w:r>
        <w:rPr>
          <w:rFonts w:eastAsia="黑体"/>
          <w:bCs/>
          <w:sz w:val="22"/>
        </w:rPr>
        <w:t>3.4.2组批</w:t>
      </w:r>
    </w:p>
    <w:p>
      <w:pPr>
        <w:pStyle w:val="23"/>
        <w:ind w:firstLine="420"/>
        <w:rPr>
          <w:rFonts w:ascii="Times New Roman"/>
        </w:rPr>
      </w:pPr>
      <w:r>
        <w:rPr>
          <w:rFonts w:ascii="Times New Roman"/>
        </w:rPr>
        <w:t>产品应成批提交验收，每批应由同一牌号、同一粒度规格的产品组成。每批重量不超过500kg。</w:t>
      </w:r>
    </w:p>
    <w:p>
      <w:pPr>
        <w:spacing w:before="156" w:beforeLines="50" w:after="156" w:afterLines="50"/>
        <w:rPr>
          <w:rFonts w:eastAsia="黑体"/>
          <w:bCs/>
          <w:sz w:val="22"/>
        </w:rPr>
      </w:pPr>
      <w:r>
        <w:rPr>
          <w:rFonts w:eastAsia="黑体"/>
          <w:bCs/>
          <w:sz w:val="22"/>
        </w:rPr>
        <w:t>3.4.3检验项目及取样</w:t>
      </w:r>
    </w:p>
    <w:p>
      <w:pPr>
        <w:pStyle w:val="23"/>
        <w:ind w:firstLine="420"/>
        <w:rPr>
          <w:rFonts w:ascii="Times New Roman"/>
        </w:rPr>
      </w:pPr>
      <w:r>
        <w:rPr>
          <w:rFonts w:ascii="Times New Roman"/>
        </w:rPr>
        <w:t>每批产品应进行化学成分、粉末粒度、松装密度和外观质量检验。</w:t>
      </w:r>
    </w:p>
    <w:p>
      <w:pPr>
        <w:pStyle w:val="23"/>
        <w:ind w:firstLine="420"/>
        <w:rPr>
          <w:rFonts w:ascii="Times New Roman"/>
        </w:rPr>
      </w:pPr>
      <w:r>
        <w:rPr>
          <w:rFonts w:ascii="Times New Roman"/>
        </w:rPr>
        <w:t>产品的取样方法按照GB/T 5314的规定进行。</w:t>
      </w:r>
    </w:p>
    <w:p>
      <w:pPr>
        <w:pStyle w:val="23"/>
        <w:ind w:firstLine="420"/>
        <w:rPr>
          <w:rFonts w:ascii="Times New Roman"/>
        </w:rPr>
      </w:pPr>
      <w:r>
        <w:rPr>
          <w:rFonts w:ascii="Times New Roman"/>
        </w:rPr>
        <w:t>每批产品在两件（瓶）以内时，取样件数为100％；两件（瓶）以上时，取样件数不少于两件，将所取的试样混合均匀后，按四分法缩分至试样所需重量。</w:t>
      </w:r>
    </w:p>
    <w:p>
      <w:pPr>
        <w:spacing w:before="156" w:beforeLines="50" w:after="156" w:afterLines="50"/>
        <w:rPr>
          <w:rFonts w:eastAsia="黑体"/>
          <w:bCs/>
          <w:sz w:val="22"/>
        </w:rPr>
      </w:pPr>
      <w:r>
        <w:rPr>
          <w:rFonts w:eastAsia="黑体"/>
          <w:bCs/>
          <w:sz w:val="22"/>
        </w:rPr>
        <w:t>3.4.4检验结果的判定</w:t>
      </w:r>
    </w:p>
    <w:p>
      <w:pPr>
        <w:widowControl/>
        <w:ind w:firstLine="420" w:firstLineChars="200"/>
        <w:jc w:val="left"/>
        <w:outlineLvl w:val="3"/>
        <w:rPr>
          <w:kern w:val="0"/>
          <w:szCs w:val="21"/>
        </w:rPr>
      </w:pPr>
      <w:r>
        <w:rPr>
          <w:kern w:val="0"/>
          <w:szCs w:val="21"/>
        </w:rPr>
        <w:t>化学成分检验不合格，则在该批产品中另取双倍试样对不合格项进行重复检验，若重复检验结果仍有结果不合格时，则判该批产品为不合格。</w:t>
      </w:r>
    </w:p>
    <w:p>
      <w:pPr>
        <w:widowControl/>
        <w:ind w:firstLine="420" w:firstLineChars="200"/>
        <w:jc w:val="left"/>
        <w:outlineLvl w:val="3"/>
        <w:rPr>
          <w:kern w:val="0"/>
          <w:szCs w:val="21"/>
        </w:rPr>
      </w:pPr>
      <w:r>
        <w:rPr>
          <w:kern w:val="0"/>
          <w:szCs w:val="21"/>
        </w:rPr>
        <w:t>粉末粒度、松装密度检验不合格，则在该批产品中另取双倍试样对该不合格项进行重复检验，若重复检验仍有结果不合格时，则判该批产品为不合格。</w:t>
      </w:r>
    </w:p>
    <w:p>
      <w:pPr>
        <w:widowControl/>
        <w:ind w:firstLine="420" w:firstLineChars="200"/>
        <w:jc w:val="left"/>
        <w:outlineLvl w:val="3"/>
        <w:rPr>
          <w:kern w:val="0"/>
          <w:szCs w:val="21"/>
        </w:rPr>
      </w:pPr>
      <w:r>
        <w:rPr>
          <w:kern w:val="0"/>
          <w:szCs w:val="21"/>
        </w:rPr>
        <w:t>外观质量检验不合格，判该批产品为不合格。</w:t>
      </w:r>
    </w:p>
    <w:p>
      <w:pPr>
        <w:spacing w:before="156" w:beforeLines="50" w:after="156" w:afterLines="50"/>
        <w:rPr>
          <w:rFonts w:eastAsia="黑体"/>
          <w:bCs/>
          <w:sz w:val="24"/>
        </w:rPr>
      </w:pPr>
      <w:r>
        <w:rPr>
          <w:rFonts w:eastAsia="黑体"/>
          <w:bCs/>
          <w:sz w:val="24"/>
        </w:rPr>
        <w:t>3.5标志、包装、运输、贮存和随行文件</w:t>
      </w:r>
    </w:p>
    <w:p>
      <w:pPr>
        <w:spacing w:before="156" w:beforeLines="50" w:after="156" w:afterLines="50"/>
        <w:rPr>
          <w:rFonts w:eastAsia="黑体"/>
          <w:bCs/>
          <w:sz w:val="22"/>
        </w:rPr>
      </w:pPr>
      <w:r>
        <w:rPr>
          <w:rFonts w:eastAsia="黑体"/>
          <w:bCs/>
          <w:sz w:val="22"/>
        </w:rPr>
        <w:t>3.5.1标志</w:t>
      </w:r>
    </w:p>
    <w:p>
      <w:pPr>
        <w:pStyle w:val="23"/>
        <w:ind w:firstLine="420"/>
        <w:rPr>
          <w:rFonts w:ascii="Times New Roman"/>
        </w:rPr>
      </w:pPr>
      <w:r>
        <w:rPr>
          <w:rFonts w:ascii="Times New Roman"/>
        </w:rPr>
        <w:t>包装容器表面应标明：供方名称、产品名称、牌号、批号、粉末粒度、重量及“防潮”字样或标志。</w:t>
      </w:r>
    </w:p>
    <w:p>
      <w:pPr>
        <w:spacing w:before="156" w:beforeLines="50" w:after="156" w:afterLines="50"/>
        <w:rPr>
          <w:rFonts w:eastAsia="黑体"/>
          <w:bCs/>
          <w:sz w:val="22"/>
        </w:rPr>
      </w:pPr>
      <w:r>
        <w:rPr>
          <w:rFonts w:eastAsia="黑体"/>
          <w:bCs/>
          <w:sz w:val="22"/>
        </w:rPr>
        <w:t>3.5.2包装</w:t>
      </w:r>
    </w:p>
    <w:p>
      <w:pPr>
        <w:pStyle w:val="23"/>
        <w:ind w:firstLine="420"/>
        <w:rPr>
          <w:rFonts w:ascii="Times New Roman"/>
        </w:rPr>
      </w:pPr>
      <w:r>
        <w:rPr>
          <w:rFonts w:ascii="Times New Roman"/>
        </w:rPr>
        <w:t>产品用密闭、不透气、防潮的塑料瓶或铝塑真空袋密封包装，分1kg、2kg、5kg、10kg四种。</w:t>
      </w:r>
    </w:p>
    <w:p>
      <w:pPr>
        <w:spacing w:before="156" w:beforeLines="50" w:after="156" w:afterLines="50"/>
        <w:rPr>
          <w:rFonts w:eastAsia="黑体"/>
          <w:bCs/>
          <w:sz w:val="22"/>
        </w:rPr>
      </w:pPr>
      <w:r>
        <w:rPr>
          <w:rFonts w:eastAsia="黑体"/>
          <w:bCs/>
          <w:sz w:val="22"/>
        </w:rPr>
        <w:t>3.5.3运输、贮存</w:t>
      </w:r>
    </w:p>
    <w:p>
      <w:pPr>
        <w:pStyle w:val="23"/>
        <w:ind w:firstLine="420"/>
        <w:rPr>
          <w:rFonts w:ascii="Times New Roman"/>
        </w:rPr>
      </w:pPr>
      <w:r>
        <w:rPr>
          <w:rFonts w:ascii="Times New Roman"/>
        </w:rPr>
        <w:t>产品运输时，应防止受潮，不得重压、抛摔。</w:t>
      </w:r>
    </w:p>
    <w:p>
      <w:pPr>
        <w:pStyle w:val="23"/>
        <w:ind w:firstLine="420"/>
        <w:rPr>
          <w:rFonts w:ascii="Times New Roman"/>
        </w:rPr>
      </w:pPr>
      <w:r>
        <w:rPr>
          <w:rFonts w:ascii="Times New Roman"/>
        </w:rPr>
        <w:t>产品应存放在干燥、通风、无腐蚀性环境处，防止吸潮。</w:t>
      </w:r>
    </w:p>
    <w:p>
      <w:pPr>
        <w:spacing w:before="156" w:beforeLines="50" w:after="156" w:afterLines="50"/>
        <w:rPr>
          <w:rFonts w:eastAsia="黑体"/>
          <w:bCs/>
          <w:sz w:val="22"/>
        </w:rPr>
      </w:pPr>
      <w:r>
        <w:rPr>
          <w:rFonts w:eastAsia="黑体"/>
          <w:bCs/>
          <w:sz w:val="22"/>
        </w:rPr>
        <w:t>3.5.4随行文件</w:t>
      </w:r>
    </w:p>
    <w:p>
      <w:pPr>
        <w:ind w:firstLine="420" w:firstLineChars="200"/>
      </w:pPr>
      <w:r>
        <w:t>每批产品应附有随行文件，其中除应包括供方信息、产品信息、本文件编号、出厂日期或包装日期外，还宜包括：</w:t>
      </w:r>
    </w:p>
    <w:p>
      <w:pPr>
        <w:pStyle w:val="23"/>
        <w:ind w:firstLine="420"/>
        <w:rPr>
          <w:rFonts w:ascii="Times New Roman"/>
        </w:rPr>
      </w:pPr>
      <w:r>
        <w:rPr>
          <w:rFonts w:ascii="Times New Roman"/>
        </w:rPr>
        <w:t>产品质量证明书，其中注明：</w:t>
      </w:r>
    </w:p>
    <w:p>
      <w:pPr>
        <w:pStyle w:val="23"/>
        <w:ind w:firstLine="420"/>
        <w:rPr>
          <w:rFonts w:ascii="Times New Roman"/>
        </w:rPr>
      </w:pPr>
      <w:r>
        <w:rPr>
          <w:rFonts w:ascii="Times New Roman"/>
        </w:rPr>
        <w:t>a）供方名称、地址；</w:t>
      </w:r>
    </w:p>
    <w:p>
      <w:pPr>
        <w:pStyle w:val="23"/>
        <w:ind w:firstLine="420"/>
        <w:rPr>
          <w:rFonts w:ascii="Times New Roman"/>
        </w:rPr>
      </w:pPr>
      <w:r>
        <w:rPr>
          <w:rFonts w:ascii="Times New Roman"/>
        </w:rPr>
        <w:t>b）产品名称和牌号；</w:t>
      </w:r>
    </w:p>
    <w:p>
      <w:pPr>
        <w:pStyle w:val="23"/>
        <w:ind w:firstLine="420"/>
        <w:rPr>
          <w:rFonts w:ascii="Times New Roman"/>
        </w:rPr>
      </w:pPr>
      <w:r>
        <w:rPr>
          <w:rFonts w:ascii="Times New Roman"/>
        </w:rPr>
        <w:t>c）产品批号；</w:t>
      </w:r>
    </w:p>
    <w:p>
      <w:pPr>
        <w:pStyle w:val="23"/>
        <w:ind w:firstLine="420"/>
        <w:rPr>
          <w:rFonts w:ascii="Times New Roman"/>
        </w:rPr>
      </w:pPr>
      <w:r>
        <w:rPr>
          <w:rFonts w:ascii="Times New Roman"/>
        </w:rPr>
        <w:t>d）粒度规格；</w:t>
      </w:r>
    </w:p>
    <w:p>
      <w:pPr>
        <w:pStyle w:val="23"/>
        <w:ind w:firstLine="420"/>
        <w:rPr>
          <w:rFonts w:ascii="Times New Roman"/>
        </w:rPr>
      </w:pPr>
      <w:r>
        <w:rPr>
          <w:rFonts w:ascii="Times New Roman"/>
        </w:rPr>
        <w:t>e）净重和数量；</w:t>
      </w:r>
    </w:p>
    <w:p>
      <w:pPr>
        <w:pStyle w:val="23"/>
        <w:ind w:firstLine="420"/>
        <w:rPr>
          <w:rFonts w:ascii="Times New Roman"/>
        </w:rPr>
      </w:pPr>
      <w:r>
        <w:rPr>
          <w:rFonts w:ascii="Times New Roman"/>
        </w:rPr>
        <w:t>f）各项检验结果和供方技术监督部门印记；</w:t>
      </w:r>
    </w:p>
    <w:p>
      <w:pPr>
        <w:pStyle w:val="23"/>
        <w:ind w:firstLine="420"/>
        <w:rPr>
          <w:rFonts w:ascii="Times New Roman"/>
        </w:rPr>
      </w:pPr>
      <w:r>
        <w:rPr>
          <w:rFonts w:ascii="Times New Roman"/>
        </w:rPr>
        <w:t>g）本文件编号；</w:t>
      </w:r>
    </w:p>
    <w:p>
      <w:pPr>
        <w:pStyle w:val="23"/>
        <w:ind w:firstLine="420"/>
        <w:rPr>
          <w:rFonts w:ascii="Times New Roman"/>
        </w:rPr>
      </w:pPr>
      <w:r>
        <w:rPr>
          <w:rFonts w:ascii="Times New Roman"/>
        </w:rPr>
        <w:t>h）出厂日期。</w:t>
      </w:r>
    </w:p>
    <w:p>
      <w:pPr>
        <w:spacing w:before="156" w:beforeLines="50" w:after="156" w:afterLines="50"/>
        <w:rPr>
          <w:rFonts w:eastAsia="黑体"/>
          <w:bCs/>
          <w:sz w:val="22"/>
        </w:rPr>
      </w:pPr>
      <w:r>
        <w:rPr>
          <w:rFonts w:eastAsia="黑体"/>
          <w:bCs/>
          <w:sz w:val="22"/>
        </w:rPr>
        <w:t>3.6订货单内容</w:t>
      </w:r>
    </w:p>
    <w:p>
      <w:pPr>
        <w:ind w:firstLine="420" w:firstLineChars="200"/>
      </w:pPr>
      <w:r>
        <w:t>需方可根据自身的需要，在订购本文件所列产品的订货单内，列出如下内容：</w:t>
      </w:r>
    </w:p>
    <w:p>
      <w:pPr>
        <w:numPr>
          <w:ilvl w:val="0"/>
          <w:numId w:val="9"/>
        </w:numPr>
        <w:tabs>
          <w:tab w:val="left" w:pos="839"/>
          <w:tab w:val="left" w:pos="840"/>
        </w:tabs>
      </w:pPr>
      <w:r>
        <w:t>产品名称；</w:t>
      </w:r>
    </w:p>
    <w:p>
      <w:pPr>
        <w:numPr>
          <w:ilvl w:val="0"/>
          <w:numId w:val="7"/>
        </w:numPr>
      </w:pPr>
      <w:r>
        <w:t>牌号；</w:t>
      </w:r>
    </w:p>
    <w:p>
      <w:pPr>
        <w:numPr>
          <w:ilvl w:val="0"/>
          <w:numId w:val="7"/>
        </w:numPr>
      </w:pPr>
      <w:r>
        <w:t>化学成分（特殊要求）；</w:t>
      </w:r>
    </w:p>
    <w:p>
      <w:pPr>
        <w:numPr>
          <w:ilvl w:val="0"/>
          <w:numId w:val="7"/>
        </w:numPr>
      </w:pPr>
      <w:r>
        <w:t>净重和件数；</w:t>
      </w:r>
    </w:p>
    <w:p>
      <w:pPr>
        <w:numPr>
          <w:ilvl w:val="0"/>
          <w:numId w:val="7"/>
        </w:numPr>
      </w:pPr>
      <w:r>
        <w:t>本文件编号；</w:t>
      </w:r>
    </w:p>
    <w:p>
      <w:pPr>
        <w:numPr>
          <w:ilvl w:val="0"/>
          <w:numId w:val="7"/>
        </w:numPr>
      </w:pPr>
      <w:r>
        <w:t>其他。</w:t>
      </w:r>
    </w:p>
    <w:p>
      <w:pPr>
        <w:spacing w:before="312" w:beforeLines="100" w:after="312" w:afterLines="100"/>
        <w:rPr>
          <w:rFonts w:eastAsia="黑体"/>
          <w:bCs/>
          <w:sz w:val="24"/>
        </w:rPr>
      </w:pPr>
      <w:r>
        <w:rPr>
          <w:rFonts w:eastAsia="黑体"/>
          <w:bCs/>
          <w:sz w:val="24"/>
        </w:rPr>
        <w:t>四、标准中涉及专利的情况</w:t>
      </w:r>
    </w:p>
    <w:p>
      <w:pPr>
        <w:ind w:firstLine="482"/>
      </w:pPr>
      <w:r>
        <w:t>经查，本标准不涉及国内外专利。</w:t>
      </w:r>
    </w:p>
    <w:p>
      <w:pPr>
        <w:spacing w:before="312" w:beforeLines="100" w:after="312" w:afterLines="100"/>
        <w:rPr>
          <w:rFonts w:eastAsia="黑体"/>
          <w:bCs/>
          <w:sz w:val="24"/>
          <w:highlight w:val="yellow"/>
        </w:rPr>
      </w:pPr>
      <w:r>
        <w:rPr>
          <w:rFonts w:eastAsia="黑体"/>
          <w:bCs/>
          <w:sz w:val="24"/>
        </w:rPr>
        <w:t>五</w:t>
      </w:r>
      <w:r>
        <w:rPr>
          <w:rFonts w:eastAsia="黑体"/>
          <w:bCs/>
          <w:sz w:val="24"/>
          <w:highlight w:val="none"/>
        </w:rPr>
        <w:t>、预期达到的社会效益等情况</w:t>
      </w:r>
    </w:p>
    <w:p>
      <w:pPr>
        <w:ind w:firstLine="420" w:firstLineChars="200"/>
        <w:rPr>
          <w:strike w:val="0"/>
          <w:dstrike w:val="0"/>
          <w:highlight w:val="none"/>
        </w:rPr>
      </w:pPr>
      <w:r>
        <w:rPr>
          <w:strike w:val="0"/>
          <w:dstrike w:val="0"/>
          <w:highlight w:val="none"/>
        </w:rPr>
        <w:t>随着我国国民经济的快速发展，对</w:t>
      </w:r>
      <w:r>
        <w:rPr>
          <w:rFonts w:hint="eastAsia"/>
          <w:strike w:val="0"/>
          <w:dstrike w:val="0"/>
          <w:highlight w:val="none"/>
        </w:rPr>
        <w:t>涂层防护</w:t>
      </w:r>
      <w:r>
        <w:rPr>
          <w:strike w:val="0"/>
          <w:dstrike w:val="0"/>
          <w:highlight w:val="none"/>
        </w:rPr>
        <w:t>的需求持续快速增长，从2006年开始，我国</w:t>
      </w:r>
      <w:r>
        <w:rPr>
          <w:rFonts w:hint="eastAsia"/>
          <w:strike w:val="0"/>
          <w:dstrike w:val="0"/>
          <w:highlight w:val="none"/>
        </w:rPr>
        <w:t>氧化铬涂层防护喷涂粉末</w:t>
      </w:r>
      <w:r>
        <w:rPr>
          <w:strike w:val="0"/>
          <w:dstrike w:val="0"/>
          <w:highlight w:val="none"/>
        </w:rPr>
        <w:t>的进口</w:t>
      </w:r>
      <w:r>
        <w:rPr>
          <w:rFonts w:hint="eastAsia"/>
          <w:strike w:val="0"/>
          <w:dstrike w:val="0"/>
          <w:highlight w:val="none"/>
        </w:rPr>
        <w:t>呈指数形式增长</w:t>
      </w:r>
      <w:r>
        <w:rPr>
          <w:strike w:val="0"/>
          <w:dstrike w:val="0"/>
          <w:highlight w:val="none"/>
        </w:rPr>
        <w:t>，2013年至201</w:t>
      </w:r>
      <w:r>
        <w:rPr>
          <w:rFonts w:hint="eastAsia"/>
          <w:strike w:val="0"/>
          <w:dstrike w:val="0"/>
          <w:highlight w:val="none"/>
        </w:rPr>
        <w:t>8</w:t>
      </w:r>
      <w:r>
        <w:rPr>
          <w:strike w:val="0"/>
          <w:dstrike w:val="0"/>
          <w:highlight w:val="none"/>
        </w:rPr>
        <w:t>年每年进口额超过200亿美元。可见，热喷涂</w:t>
      </w:r>
      <w:r>
        <w:rPr>
          <w:rFonts w:hint="eastAsia"/>
          <w:strike w:val="0"/>
          <w:dstrike w:val="0"/>
          <w:highlight w:val="none"/>
        </w:rPr>
        <w:t>氧化铬</w:t>
      </w:r>
      <w:r>
        <w:rPr>
          <w:strike w:val="0"/>
          <w:dstrike w:val="0"/>
          <w:highlight w:val="none"/>
        </w:rPr>
        <w:t>的产业化前景非常乐观。</w:t>
      </w:r>
    </w:p>
    <w:p>
      <w:pPr>
        <w:ind w:firstLine="420" w:firstLineChars="200"/>
        <w:rPr>
          <w:strike w:val="0"/>
          <w:dstrike w:val="0"/>
          <w:highlight w:val="none"/>
        </w:rPr>
      </w:pPr>
      <w:r>
        <w:rPr>
          <w:rFonts w:hint="eastAsia"/>
          <w:strike w:val="0"/>
          <w:dstrike w:val="0"/>
          <w:highlight w:val="none"/>
          <w:lang w:val="en-US" w:eastAsia="zh-CN"/>
        </w:rPr>
        <w:t>热喷涂用氧化铬材料在机械工业、航天航空、钢铁冶金以及石油化工等领域广泛应用，由于目前该产品在供货和验收时均依据各自的企业标准或产品技术条件，没有统一个标准和规范，给供需双方在生产、贸易过程中带来了许多不便。</w:t>
      </w:r>
    </w:p>
    <w:p>
      <w:pPr>
        <w:ind w:firstLine="420" w:firstLineChars="200"/>
        <w:rPr>
          <w:strike w:val="0"/>
          <w:dstrike w:val="0"/>
          <w:sz w:val="24"/>
          <w:highlight w:val="none"/>
        </w:rPr>
      </w:pPr>
      <w:r>
        <w:rPr>
          <w:strike w:val="0"/>
          <w:dstrike w:val="0"/>
          <w:highlight w:val="none"/>
        </w:rPr>
        <w:t>本标准的制定是填补了热喷涂</w:t>
      </w:r>
      <w:r>
        <w:rPr>
          <w:rFonts w:hint="eastAsia"/>
          <w:strike w:val="0"/>
          <w:dstrike w:val="0"/>
          <w:highlight w:val="none"/>
        </w:rPr>
        <w:t>氧化铬</w:t>
      </w:r>
      <w:r>
        <w:rPr>
          <w:strike w:val="0"/>
          <w:dstrike w:val="0"/>
          <w:highlight w:val="none"/>
        </w:rPr>
        <w:t>粉末的标准空白，促进了</w:t>
      </w:r>
      <w:r>
        <w:rPr>
          <w:rFonts w:hint="eastAsia"/>
          <w:strike w:val="0"/>
          <w:dstrike w:val="0"/>
          <w:highlight w:val="none"/>
        </w:rPr>
        <w:t>防护涂层领域</w:t>
      </w:r>
      <w:r>
        <w:rPr>
          <w:strike w:val="0"/>
          <w:dstrike w:val="0"/>
          <w:highlight w:val="none"/>
        </w:rPr>
        <w:t>及成套装备配套材料的发展，为我国尽早实现</w:t>
      </w:r>
      <w:r>
        <w:rPr>
          <w:rFonts w:hint="eastAsia"/>
          <w:strike w:val="0"/>
          <w:dstrike w:val="0"/>
          <w:highlight w:val="none"/>
          <w:lang w:val="en-US" w:eastAsia="zh-CN"/>
        </w:rPr>
        <w:t>涂层</w:t>
      </w:r>
      <w:r>
        <w:rPr>
          <w:rFonts w:hint="eastAsia"/>
          <w:strike w:val="0"/>
          <w:dstrike w:val="0"/>
          <w:highlight w:val="none"/>
        </w:rPr>
        <w:t>防护材料</w:t>
      </w:r>
      <w:r>
        <w:rPr>
          <w:rFonts w:hint="eastAsia"/>
          <w:strike w:val="0"/>
          <w:dstrike w:val="0"/>
          <w:highlight w:val="none"/>
          <w:lang w:val="en-US" w:eastAsia="zh-CN"/>
        </w:rPr>
        <w:t>标准化发展</w:t>
      </w:r>
      <w:r>
        <w:rPr>
          <w:strike w:val="0"/>
          <w:dstrike w:val="0"/>
          <w:highlight w:val="none"/>
        </w:rPr>
        <w:t>打下了坚实的基础。</w:t>
      </w:r>
    </w:p>
    <w:p>
      <w:pPr>
        <w:spacing w:before="312" w:beforeLines="100" w:after="312" w:afterLines="100"/>
        <w:rPr>
          <w:rFonts w:eastAsia="黑体"/>
          <w:bCs/>
          <w:sz w:val="24"/>
        </w:rPr>
      </w:pPr>
      <w:r>
        <w:rPr>
          <w:rFonts w:eastAsia="黑体"/>
          <w:bCs/>
          <w:sz w:val="24"/>
        </w:rPr>
        <w:t>六、采用国际标准和国外先进标准的情况</w:t>
      </w:r>
    </w:p>
    <w:p>
      <w:pPr>
        <w:spacing w:before="156" w:beforeLines="50" w:after="156" w:afterLines="50"/>
        <w:rPr>
          <w:rFonts w:eastAsia="黑体"/>
          <w:bCs/>
          <w:sz w:val="24"/>
        </w:rPr>
      </w:pPr>
      <w:r>
        <w:rPr>
          <w:rFonts w:eastAsia="黑体"/>
          <w:bCs/>
          <w:sz w:val="24"/>
        </w:rPr>
        <w:t>6.1 采用国际标准和国外先进标准的程度</w:t>
      </w:r>
    </w:p>
    <w:p>
      <w:pPr>
        <w:spacing w:line="360" w:lineRule="auto"/>
        <w:ind w:firstLine="420" w:firstLineChars="200"/>
      </w:pPr>
      <w:r>
        <w:t>经查，国外无相同类型的标准。</w:t>
      </w:r>
    </w:p>
    <w:p>
      <w:pPr>
        <w:spacing w:before="156" w:beforeLines="50" w:after="156" w:afterLines="50"/>
        <w:rPr>
          <w:rFonts w:eastAsia="黑体"/>
          <w:bCs/>
          <w:sz w:val="24"/>
        </w:rPr>
      </w:pPr>
      <w:r>
        <w:rPr>
          <w:rFonts w:eastAsia="黑体"/>
          <w:bCs/>
          <w:sz w:val="24"/>
        </w:rPr>
        <w:t>6.2 国际、国外同类标准水平的对比分析</w:t>
      </w:r>
    </w:p>
    <w:p>
      <w:pPr>
        <w:spacing w:line="360" w:lineRule="auto"/>
        <w:ind w:firstLine="420" w:firstLineChars="200"/>
      </w:pPr>
      <w:r>
        <w:t>经查，国外无相同类型的标准。</w:t>
      </w:r>
    </w:p>
    <w:p>
      <w:pPr>
        <w:spacing w:before="156" w:beforeLines="50" w:after="156" w:afterLines="50"/>
        <w:rPr>
          <w:rFonts w:eastAsia="黑体"/>
          <w:bCs/>
          <w:sz w:val="24"/>
        </w:rPr>
      </w:pPr>
      <w:r>
        <w:rPr>
          <w:rFonts w:eastAsia="黑体"/>
          <w:bCs/>
          <w:sz w:val="24"/>
        </w:rPr>
        <w:t>6.3 与现有标准及制定中标准协调配套的情况</w:t>
      </w:r>
    </w:p>
    <w:p>
      <w:pPr>
        <w:spacing w:line="360" w:lineRule="auto"/>
        <w:ind w:firstLine="420" w:firstLineChars="200"/>
      </w:pPr>
      <w:r>
        <w:t>经查，标准与现有标准及制定中的标准无重复交叉情况。</w:t>
      </w:r>
    </w:p>
    <w:p>
      <w:pPr>
        <w:spacing w:before="312" w:beforeLines="100" w:after="312" w:afterLines="100"/>
        <w:rPr>
          <w:rFonts w:eastAsia="黑体"/>
          <w:bCs/>
          <w:sz w:val="24"/>
        </w:rPr>
      </w:pPr>
      <w:r>
        <w:rPr>
          <w:rFonts w:eastAsia="黑体"/>
          <w:bCs/>
          <w:sz w:val="24"/>
        </w:rPr>
        <w:t>七、与有关的现行法律、法规和强制性国家标准的关系</w:t>
      </w:r>
    </w:p>
    <w:p>
      <w:pPr>
        <w:spacing w:line="360" w:lineRule="auto"/>
        <w:ind w:firstLine="420" w:firstLineChars="200"/>
      </w:pPr>
      <w:r>
        <w:t>与有关的现行法律、法规和强制性国家标准没有冲突。</w:t>
      </w:r>
    </w:p>
    <w:p>
      <w:pPr>
        <w:spacing w:before="312" w:beforeLines="100" w:after="312" w:afterLines="100"/>
        <w:rPr>
          <w:rFonts w:eastAsia="仿宋_GB2312"/>
          <w:bCs/>
          <w:sz w:val="24"/>
        </w:rPr>
      </w:pPr>
      <w:r>
        <w:rPr>
          <w:rFonts w:eastAsia="黑体"/>
          <w:bCs/>
          <w:sz w:val="24"/>
        </w:rPr>
        <w:t>八、重大分歧意见的处理经过和依据</w:t>
      </w:r>
    </w:p>
    <w:p>
      <w:pPr>
        <w:spacing w:line="360" w:lineRule="auto"/>
        <w:ind w:firstLine="420" w:firstLineChars="200"/>
      </w:pPr>
      <w:r>
        <w:t>无重大分歧。</w:t>
      </w:r>
    </w:p>
    <w:p>
      <w:pPr>
        <w:spacing w:before="312" w:beforeLines="100" w:after="312" w:afterLines="100"/>
        <w:rPr>
          <w:rFonts w:eastAsia="黑体"/>
          <w:bCs/>
          <w:sz w:val="24"/>
        </w:rPr>
      </w:pPr>
      <w:r>
        <w:rPr>
          <w:rFonts w:eastAsia="黑体"/>
          <w:bCs/>
          <w:sz w:val="24"/>
        </w:rPr>
        <w:t>九、标准作为强制性标准或推荐性标准的建议</w:t>
      </w:r>
    </w:p>
    <w:p>
      <w:pPr>
        <w:spacing w:line="360" w:lineRule="auto"/>
        <w:ind w:firstLine="420" w:firstLineChars="200"/>
      </w:pPr>
      <w:r>
        <w:t>建议作为推荐性行业标准。</w:t>
      </w:r>
    </w:p>
    <w:p>
      <w:pPr>
        <w:spacing w:before="312" w:beforeLines="100" w:after="312" w:afterLines="100"/>
        <w:rPr>
          <w:rFonts w:eastAsia="黑体"/>
          <w:bCs/>
          <w:sz w:val="24"/>
        </w:rPr>
      </w:pPr>
      <w:r>
        <w:rPr>
          <w:rFonts w:eastAsia="黑体"/>
          <w:bCs/>
          <w:sz w:val="24"/>
        </w:rPr>
        <w:t>十、贯彻标准的要求和措施建议</w:t>
      </w:r>
    </w:p>
    <w:p>
      <w:pPr>
        <w:spacing w:line="360" w:lineRule="auto"/>
        <w:ind w:firstLine="420" w:firstLineChars="200"/>
      </w:pPr>
      <w:r>
        <w:t>由于本标准反映了热喷涂用</w:t>
      </w:r>
      <w:r>
        <w:rPr>
          <w:rFonts w:hint="eastAsia"/>
        </w:rPr>
        <w:t>氧化铬粉末</w:t>
      </w:r>
      <w:r>
        <w:t>的行业需求，因此可积极向厂家及国内外用户推荐采用本标准。</w:t>
      </w:r>
    </w:p>
    <w:p>
      <w:pPr>
        <w:spacing w:before="312" w:beforeLines="100" w:after="312" w:afterLines="100"/>
        <w:rPr>
          <w:rFonts w:eastAsia="黑体"/>
          <w:bCs/>
          <w:sz w:val="24"/>
        </w:rPr>
      </w:pPr>
      <w:r>
        <w:rPr>
          <w:rFonts w:eastAsia="黑体"/>
          <w:bCs/>
          <w:sz w:val="24"/>
        </w:rPr>
        <w:t>十一、废止现行有关标准的建议</w:t>
      </w:r>
    </w:p>
    <w:p>
      <w:pPr>
        <w:spacing w:line="360" w:lineRule="auto"/>
        <w:ind w:firstLine="420" w:firstLineChars="200"/>
      </w:pPr>
      <w:r>
        <w:t>无。</w:t>
      </w:r>
    </w:p>
    <w:p>
      <w:pPr>
        <w:spacing w:before="312" w:beforeLines="100" w:after="312" w:afterLines="100"/>
        <w:rPr>
          <w:rFonts w:eastAsia="黑体"/>
          <w:bCs/>
          <w:sz w:val="24"/>
        </w:rPr>
      </w:pPr>
      <w:r>
        <w:rPr>
          <w:rFonts w:eastAsia="黑体"/>
          <w:bCs/>
          <w:sz w:val="24"/>
        </w:rPr>
        <w:t>十二、其他应予说明的事项</w:t>
      </w:r>
    </w:p>
    <w:p>
      <w:pPr>
        <w:spacing w:line="360" w:lineRule="auto"/>
        <w:ind w:firstLine="420" w:firstLineChars="200"/>
      </w:pPr>
      <w:r>
        <w:t>无。</w:t>
      </w:r>
    </w:p>
    <w:p>
      <w:pPr>
        <w:adjustRightInd w:val="0"/>
        <w:snapToGrid w:val="0"/>
        <w:spacing w:line="340" w:lineRule="exact"/>
        <w:ind w:right="480"/>
        <w:jc w:val="right"/>
        <w:rPr>
          <w:b/>
          <w:sz w:val="24"/>
        </w:rPr>
      </w:pPr>
      <w:r>
        <w:rPr>
          <w:b/>
          <w:sz w:val="24"/>
        </w:rPr>
        <w:t>《热喷涂用</w:t>
      </w:r>
      <w:r>
        <w:rPr>
          <w:rFonts w:hint="eastAsia"/>
          <w:b/>
          <w:sz w:val="24"/>
        </w:rPr>
        <w:t>氧化铬</w:t>
      </w:r>
      <w:r>
        <w:rPr>
          <w:b/>
          <w:sz w:val="24"/>
        </w:rPr>
        <w:t>粉末》标准编制组</w:t>
      </w:r>
    </w:p>
    <w:p>
      <w:pPr>
        <w:adjustRightInd w:val="0"/>
        <w:snapToGrid w:val="0"/>
        <w:spacing w:line="340" w:lineRule="exact"/>
        <w:ind w:right="960"/>
        <w:jc w:val="right"/>
        <w:rPr>
          <w:b/>
          <w:sz w:val="24"/>
        </w:rPr>
      </w:pPr>
      <w:r>
        <w:rPr>
          <w:b/>
          <w:sz w:val="24"/>
        </w:rPr>
        <w:t>二〇二一年</w:t>
      </w:r>
      <w:r>
        <w:rPr>
          <w:rFonts w:hint="eastAsia"/>
          <w:b/>
          <w:sz w:val="24"/>
        </w:rPr>
        <w:t>六</w:t>
      </w:r>
      <w:r>
        <w:rPr>
          <w:b/>
          <w:sz w:val="24"/>
        </w:rPr>
        <w:t>月</w:t>
      </w:r>
    </w:p>
    <w:sectPr>
      <w:footerReference r:id="rId3" w:type="default"/>
      <w:footerReference r:id="rId4" w:type="even"/>
      <w:type w:val="continuous"/>
      <w:pgSz w:w="11906" w:h="16838"/>
      <w:pgMar w:top="1440" w:right="1588" w:bottom="1134" w:left="1588"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1)">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HelveticaNeueLTCom-Lt">
    <w:altName w:val="方正舒体"/>
    <w:panose1 w:val="00000000000000000000"/>
    <w:charset w:val="86"/>
    <w:family w:val="auto"/>
    <w:pitch w:val="default"/>
    <w:sig w:usb0="00000000" w:usb1="00000000" w:usb2="00000010"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6"/>
      </w:rPr>
    </w:pPr>
    <w:r>
      <w:fldChar w:fldCharType="begin"/>
    </w:r>
    <w:r>
      <w:rPr>
        <w:rStyle w:val="16"/>
      </w:rPr>
      <w:instrText xml:space="preserve">PAGE  </w:instrText>
    </w:r>
    <w:r>
      <w:fldChar w:fldCharType="separate"/>
    </w:r>
    <w:r>
      <w:rPr>
        <w:rStyle w:val="16"/>
      </w:rPr>
      <w:t>5</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6"/>
      </w:rPr>
    </w:pPr>
    <w:r>
      <w:fldChar w:fldCharType="begin"/>
    </w:r>
    <w:r>
      <w:rPr>
        <w:rStyle w:val="16"/>
      </w:rPr>
      <w:instrText xml:space="preserve">PAGE  </w:instrText>
    </w:r>
    <w: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972B6F"/>
    <w:multiLevelType w:val="singleLevel"/>
    <w:tmpl w:val="D1972B6F"/>
    <w:lvl w:ilvl="0" w:tentative="0">
      <w:start w:val="1"/>
      <w:numFmt w:val="decimal"/>
      <w:suff w:val="nothing"/>
      <w:lvlText w:val="%1、"/>
      <w:lvlJc w:val="left"/>
    </w:lvl>
  </w:abstractNum>
  <w:abstractNum w:abstractNumId="1">
    <w:nsid w:val="18CA2847"/>
    <w:multiLevelType w:val="multilevel"/>
    <w:tmpl w:val="18CA2847"/>
    <w:lvl w:ilvl="0" w:tentative="0">
      <w:start w:val="1"/>
      <w:numFmt w:val="lowerLetter"/>
      <w:pStyle w:val="28"/>
      <w:lvlText w:val="%1、"/>
      <w:lvlJc w:val="left"/>
      <w:pPr>
        <w:tabs>
          <w:tab w:val="left" w:pos="340"/>
        </w:tabs>
        <w:ind w:left="340" w:firstLine="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4C50F90"/>
    <w:multiLevelType w:val="multilevel"/>
    <w:tmpl w:val="44C50F90"/>
    <w:lvl w:ilvl="0" w:tentative="0">
      <w:start w:val="1"/>
      <w:numFmt w:val="lowerLetter"/>
      <w:pStyle w:val="6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6"/>
      <w:lvlText w:val="%2)"/>
      <w:lvlJc w:val="left"/>
      <w:pPr>
        <w:tabs>
          <w:tab w:val="left" w:pos="1260"/>
        </w:tabs>
        <w:ind w:left="1259" w:hanging="419"/>
      </w:pPr>
      <w:rPr>
        <w:rFonts w:hint="eastAsia"/>
      </w:rPr>
    </w:lvl>
    <w:lvl w:ilvl="2" w:tentative="0">
      <w:start w:val="1"/>
      <w:numFmt w:val="decimal"/>
      <w:pStyle w:val="6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4A207D40"/>
    <w:multiLevelType w:val="multilevel"/>
    <w:tmpl w:val="4A207D40"/>
    <w:lvl w:ilvl="0" w:tentative="0">
      <w:start w:val="1"/>
      <w:numFmt w:val="decimal"/>
      <w:pStyle w:val="46"/>
      <w:lvlText w:val="2.3.%1"/>
      <w:lvlJc w:val="left"/>
      <w:pPr>
        <w:tabs>
          <w:tab w:val="left" w:pos="1960"/>
        </w:tabs>
        <w:ind w:left="19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46260FA"/>
    <w:multiLevelType w:val="multilevel"/>
    <w:tmpl w:val="646260FA"/>
    <w:lvl w:ilvl="0" w:tentative="0">
      <w:start w:val="1"/>
      <w:numFmt w:val="decimal"/>
      <w:pStyle w:val="25"/>
      <w:suff w:val="nothing"/>
      <w:lvlText w:val="表%1　"/>
      <w:lvlJc w:val="left"/>
      <w:pPr>
        <w:ind w:left="2693" w:firstLine="0"/>
      </w:pPr>
      <w:rPr>
        <w:rFonts w:hint="eastAsia" w:ascii="黑体" w:hAnsi="Times New Roman" w:eastAsia="黑体"/>
        <w:b w:val="0"/>
        <w:i w:val="0"/>
        <w:sz w:val="21"/>
        <w:lang w:val="en-US"/>
      </w:rPr>
    </w:lvl>
    <w:lvl w:ilvl="1" w:tentative="0">
      <w:start w:val="1"/>
      <w:numFmt w:val="decimal"/>
      <w:lvlText w:val="%1.%2"/>
      <w:lvlJc w:val="left"/>
      <w:pPr>
        <w:tabs>
          <w:tab w:val="left" w:pos="-410"/>
        </w:tabs>
        <w:ind w:left="-410" w:hanging="567"/>
      </w:pPr>
      <w:rPr>
        <w:rFonts w:hint="eastAsia"/>
      </w:rPr>
    </w:lvl>
    <w:lvl w:ilvl="2" w:tentative="0">
      <w:start w:val="1"/>
      <w:numFmt w:val="decimal"/>
      <w:lvlText w:val="%1.%2.%3"/>
      <w:lvlJc w:val="left"/>
      <w:pPr>
        <w:tabs>
          <w:tab w:val="left" w:pos="16"/>
        </w:tabs>
        <w:ind w:left="16" w:hanging="567"/>
      </w:pPr>
      <w:rPr>
        <w:rFonts w:hint="eastAsia"/>
      </w:rPr>
    </w:lvl>
    <w:lvl w:ilvl="3" w:tentative="0">
      <w:start w:val="1"/>
      <w:numFmt w:val="decimal"/>
      <w:lvlText w:val="%1.%2.%3.%4"/>
      <w:lvlJc w:val="left"/>
      <w:pPr>
        <w:tabs>
          <w:tab w:val="left" w:pos="582"/>
        </w:tabs>
        <w:ind w:left="582" w:hanging="708"/>
      </w:pPr>
      <w:rPr>
        <w:rFonts w:hint="eastAsia"/>
      </w:rPr>
    </w:lvl>
    <w:lvl w:ilvl="4" w:tentative="0">
      <w:start w:val="1"/>
      <w:numFmt w:val="decimal"/>
      <w:lvlText w:val="%1.%2.%3.%4.%5"/>
      <w:lvlJc w:val="left"/>
      <w:pPr>
        <w:tabs>
          <w:tab w:val="left" w:pos="1149"/>
        </w:tabs>
        <w:ind w:left="1149" w:hanging="850"/>
      </w:pPr>
      <w:rPr>
        <w:rFonts w:hint="eastAsia"/>
      </w:rPr>
    </w:lvl>
    <w:lvl w:ilvl="5" w:tentative="0">
      <w:start w:val="1"/>
      <w:numFmt w:val="decimal"/>
      <w:lvlText w:val="%1.%2.%3.%4.%5.%6"/>
      <w:lvlJc w:val="left"/>
      <w:pPr>
        <w:tabs>
          <w:tab w:val="left" w:pos="1858"/>
        </w:tabs>
        <w:ind w:left="1858" w:hanging="1134"/>
      </w:pPr>
      <w:rPr>
        <w:rFonts w:hint="eastAsia"/>
      </w:rPr>
    </w:lvl>
    <w:lvl w:ilvl="6" w:tentative="0">
      <w:start w:val="1"/>
      <w:numFmt w:val="decimal"/>
      <w:lvlText w:val="%1.%2.%3.%4.%5.%6.%7"/>
      <w:lvlJc w:val="left"/>
      <w:pPr>
        <w:tabs>
          <w:tab w:val="left" w:pos="2425"/>
        </w:tabs>
        <w:ind w:left="2425" w:hanging="1276"/>
      </w:pPr>
      <w:rPr>
        <w:rFonts w:hint="eastAsia"/>
      </w:rPr>
    </w:lvl>
    <w:lvl w:ilvl="7" w:tentative="0">
      <w:start w:val="1"/>
      <w:numFmt w:val="decimal"/>
      <w:lvlText w:val="%1.%2.%3.%4.%5.%6.%7.%8"/>
      <w:lvlJc w:val="left"/>
      <w:pPr>
        <w:tabs>
          <w:tab w:val="left" w:pos="2992"/>
        </w:tabs>
        <w:ind w:left="2992" w:hanging="1418"/>
      </w:pPr>
      <w:rPr>
        <w:rFonts w:hint="eastAsia"/>
      </w:rPr>
    </w:lvl>
    <w:lvl w:ilvl="8" w:tentative="0">
      <w:start w:val="1"/>
      <w:numFmt w:val="decimal"/>
      <w:lvlText w:val="%1.%2.%3.%4.%5.%6.%7.%8.%9"/>
      <w:lvlJc w:val="left"/>
      <w:pPr>
        <w:tabs>
          <w:tab w:val="left" w:pos="3700"/>
        </w:tabs>
        <w:ind w:left="3700" w:hanging="1700"/>
      </w:pPr>
      <w:rPr>
        <w:rFonts w:hint="eastAsia"/>
      </w:rPr>
    </w:lvl>
  </w:abstractNum>
  <w:abstractNum w:abstractNumId="5">
    <w:nsid w:val="657D3FBC"/>
    <w:multiLevelType w:val="multilevel"/>
    <w:tmpl w:val="657D3FBC"/>
    <w:lvl w:ilvl="0" w:tentative="0">
      <w:start w:val="1"/>
      <w:numFmt w:val="upperLetter"/>
      <w:pStyle w:val="43"/>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CEA2025"/>
    <w:multiLevelType w:val="multilevel"/>
    <w:tmpl w:val="6CEA2025"/>
    <w:lvl w:ilvl="0" w:tentative="0">
      <w:start w:val="1"/>
      <w:numFmt w:val="none"/>
      <w:pStyle w:val="27"/>
      <w:suff w:val="nothing"/>
      <w:lvlText w:val="%1"/>
      <w:lvlJc w:val="left"/>
      <w:pPr>
        <w:ind w:left="0" w:firstLine="0"/>
      </w:pPr>
      <w:rPr>
        <w:rFonts w:hint="default" w:ascii="Times New Roman" w:hAnsi="Times New Roman"/>
        <w:b/>
        <w:i w:val="0"/>
        <w:sz w:val="21"/>
      </w:rPr>
    </w:lvl>
    <w:lvl w:ilvl="1" w:tentative="0">
      <w:start w:val="1"/>
      <w:numFmt w:val="decimal"/>
      <w:pStyle w:val="45"/>
      <w:suff w:val="nothing"/>
      <w:lvlText w:val="%1%2　"/>
      <w:lvlJc w:val="left"/>
      <w:pPr>
        <w:ind w:left="0" w:firstLine="0"/>
      </w:pPr>
      <w:rPr>
        <w:rFonts w:hint="eastAsia" w:ascii="黑体" w:hAnsi="Times New Roman" w:eastAsia="黑体"/>
        <w:b w:val="0"/>
        <w:i w:val="0"/>
        <w:sz w:val="21"/>
      </w:rPr>
    </w:lvl>
    <w:lvl w:ilvl="2" w:tentative="0">
      <w:start w:val="1"/>
      <w:numFmt w:val="decimal"/>
      <w:pStyle w:val="36"/>
      <w:suff w:val="nothing"/>
      <w:lvlText w:val="%1%2.%3　"/>
      <w:lvlJc w:val="left"/>
      <w:pPr>
        <w:ind w:left="142" w:firstLine="0"/>
      </w:pPr>
      <w:rPr>
        <w:rFonts w:hint="eastAsia" w:ascii="黑体" w:hAnsi="Times New Roman" w:eastAsia="黑体"/>
        <w:b w:val="0"/>
        <w:i w:val="0"/>
        <w:sz w:val="21"/>
      </w:rPr>
    </w:lvl>
    <w:lvl w:ilvl="3" w:tentative="0">
      <w:start w:val="1"/>
      <w:numFmt w:val="decimal"/>
      <w:pStyle w:val="35"/>
      <w:suff w:val="nothing"/>
      <w:lvlText w:val="%1%2.%3.%4　"/>
      <w:lvlJc w:val="left"/>
      <w:pPr>
        <w:ind w:left="0" w:firstLine="0"/>
      </w:pPr>
      <w:rPr>
        <w:rFonts w:hint="eastAsia" w:ascii="黑体" w:hAnsi="Times New Roman" w:eastAsia="黑体"/>
        <w:b w:val="0"/>
        <w:i w:val="0"/>
        <w:sz w:val="21"/>
      </w:rPr>
    </w:lvl>
    <w:lvl w:ilvl="4" w:tentative="0">
      <w:start w:val="1"/>
      <w:numFmt w:val="decimal"/>
      <w:pStyle w:val="34"/>
      <w:suff w:val="nothing"/>
      <w:lvlText w:val="%1%2.%3.%4.%5　"/>
      <w:lvlJc w:val="left"/>
      <w:pPr>
        <w:ind w:left="735" w:firstLine="0"/>
      </w:pPr>
      <w:rPr>
        <w:rFonts w:hint="eastAsia" w:ascii="黑体" w:hAnsi="Times New Roman" w:eastAsia="黑体"/>
        <w:b w:val="0"/>
        <w:i w:val="0"/>
        <w:sz w:val="21"/>
      </w:rPr>
    </w:lvl>
    <w:lvl w:ilvl="5" w:tentative="0">
      <w:start w:val="1"/>
      <w:numFmt w:val="decimal"/>
      <w:pStyle w:val="39"/>
      <w:suff w:val="nothing"/>
      <w:lvlText w:val="%1%2.%3.%4.%5.%6　"/>
      <w:lvlJc w:val="left"/>
      <w:pPr>
        <w:ind w:left="0" w:firstLine="0"/>
      </w:pPr>
      <w:rPr>
        <w:rFonts w:hint="eastAsia" w:ascii="黑体" w:hAnsi="Times New Roman" w:eastAsia="黑体"/>
        <w:b w:val="0"/>
        <w:i w:val="0"/>
        <w:sz w:val="21"/>
      </w:rPr>
    </w:lvl>
    <w:lvl w:ilvl="6" w:tentative="0">
      <w:start w:val="1"/>
      <w:numFmt w:val="decimal"/>
      <w:pStyle w:val="3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79324953"/>
    <w:multiLevelType w:val="multilevel"/>
    <w:tmpl w:val="79324953"/>
    <w:lvl w:ilvl="0" w:tentative="0">
      <w:start w:val="1"/>
      <w:numFmt w:val="none"/>
      <w:pStyle w:val="29"/>
      <w:suff w:val="nothing"/>
      <w:lvlText w:val="%1"/>
      <w:lvlJc w:val="left"/>
      <w:pPr>
        <w:ind w:left="0" w:firstLine="0"/>
      </w:pPr>
      <w:rPr>
        <w:rFonts w:hint="default" w:ascii="Times New Roman" w:hAnsi="Times New Roman"/>
        <w:b/>
        <w:bCs/>
        <w:i w:val="0"/>
        <w:iCs w:val="0"/>
        <w:sz w:val="21"/>
        <w:szCs w:val="24"/>
      </w:rPr>
    </w:lvl>
    <w:lvl w:ilvl="1" w:tentative="0">
      <w:start w:val="6"/>
      <w:numFmt w:val="decimal"/>
      <w:pStyle w:val="40"/>
      <w:suff w:val="nothing"/>
      <w:lvlText w:val="%1%2　"/>
      <w:lvlJc w:val="left"/>
      <w:pPr>
        <w:ind w:left="0" w:firstLine="0"/>
      </w:pPr>
      <w:rPr>
        <w:rFonts w:hint="eastAsia" w:ascii="黑体" w:hAnsi="Times New Roman" w:eastAsia="黑体"/>
        <w:b w:val="0"/>
        <w:i w:val="0"/>
        <w:sz w:val="21"/>
        <w:szCs w:val="21"/>
      </w:rPr>
    </w:lvl>
    <w:lvl w:ilvl="2" w:tentative="0">
      <w:start w:val="1"/>
      <w:numFmt w:val="decimal"/>
      <w:lvlRestart w:val="1"/>
      <w:pStyle w:val="26"/>
      <w:suff w:val="nothing"/>
      <w:lvlText w:val="%1%2.%3　"/>
      <w:lvlJc w:val="left"/>
      <w:pPr>
        <w:ind w:left="0" w:firstLine="0"/>
      </w:pPr>
      <w:rPr>
        <w:rFonts w:hint="eastAsia" w:ascii="黑体" w:hAnsi="宋体" w:eastAsia="黑体"/>
        <w:b w:val="0"/>
        <w:i w:val="0"/>
        <w:sz w:val="21"/>
        <w:szCs w:val="21"/>
      </w:rPr>
    </w:lvl>
    <w:lvl w:ilvl="3" w:tentative="0">
      <w:start w:val="1"/>
      <w:numFmt w:val="decimal"/>
      <w:suff w:val="nothing"/>
      <w:lvlText w:val="%1%2.%3.%4　"/>
      <w:lvlJc w:val="left"/>
      <w:pPr>
        <w:ind w:left="0" w:firstLine="0"/>
      </w:pPr>
      <w:rPr>
        <w:rFonts w:hint="eastAsia" w:ascii="黑体" w:hAnsi="宋体" w:eastAsia="黑体"/>
        <w:b w:val="0"/>
        <w:i w:val="0"/>
        <w:sz w:val="21"/>
        <w:szCs w:val="21"/>
      </w:rPr>
    </w:lvl>
    <w:lvl w:ilvl="4" w:tentative="0">
      <w:start w:val="1"/>
      <w:numFmt w:val="decimal"/>
      <w:pStyle w:val="41"/>
      <w:suff w:val="nothing"/>
      <w:lvlText w:val="%1%2.%3.%4.%5　"/>
      <w:lvlJc w:val="left"/>
      <w:pPr>
        <w:ind w:left="0" w:firstLine="0"/>
      </w:pPr>
      <w:rPr>
        <w:rFonts w:hint="eastAsia" w:ascii="黑体" w:hAnsi="Times New Roman" w:eastAsia="黑体"/>
        <w:b w:val="0"/>
        <w:i w:val="0"/>
        <w:sz w:val="21"/>
      </w:rPr>
    </w:lvl>
    <w:lvl w:ilvl="5" w:tentative="0">
      <w:start w:val="0"/>
      <w:numFmt w:val="none"/>
      <w:pStyle w:val="30"/>
      <w:lvlText w:val=""/>
      <w:lvlJc w:val="left"/>
      <w:pPr>
        <w:tabs>
          <w:tab w:val="left" w:pos="360"/>
        </w:tabs>
        <w:ind w:left="0" w:firstLine="0"/>
      </w:pPr>
      <w:rPr>
        <w:rFonts w:hint="eastAsia"/>
      </w:rPr>
    </w:lvl>
    <w:lvl w:ilvl="6" w:tentative="0">
      <w:start w:val="1"/>
      <w:numFmt w:val="decimal"/>
      <w:pStyle w:val="3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7"/>
  </w:num>
  <w:num w:numId="3">
    <w:abstractNumId w:val="6"/>
  </w:num>
  <w:num w:numId="4">
    <w:abstractNumId w:val="1"/>
  </w:num>
  <w:num w:numId="5">
    <w:abstractNumId w:val="5"/>
  </w:num>
  <w:num w:numId="6">
    <w:abstractNumId w:val="3"/>
  </w:num>
  <w:num w:numId="7">
    <w:abstractNumId w:val="2"/>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22"/>
    <w:rsid w:val="00000B65"/>
    <w:rsid w:val="00000C16"/>
    <w:rsid w:val="0000253F"/>
    <w:rsid w:val="00002B20"/>
    <w:rsid w:val="00002DB0"/>
    <w:rsid w:val="00010B61"/>
    <w:rsid w:val="000114A5"/>
    <w:rsid w:val="00011CA5"/>
    <w:rsid w:val="00013A75"/>
    <w:rsid w:val="00013E53"/>
    <w:rsid w:val="000155B1"/>
    <w:rsid w:val="00017854"/>
    <w:rsid w:val="00017D61"/>
    <w:rsid w:val="0002106C"/>
    <w:rsid w:val="00021CD5"/>
    <w:rsid w:val="00021F9C"/>
    <w:rsid w:val="00022A80"/>
    <w:rsid w:val="00022AF2"/>
    <w:rsid w:val="00023E60"/>
    <w:rsid w:val="000268B6"/>
    <w:rsid w:val="00030859"/>
    <w:rsid w:val="00032A55"/>
    <w:rsid w:val="00033CED"/>
    <w:rsid w:val="00034C26"/>
    <w:rsid w:val="00036C9D"/>
    <w:rsid w:val="00037AF8"/>
    <w:rsid w:val="00040AC6"/>
    <w:rsid w:val="0004393C"/>
    <w:rsid w:val="00043F07"/>
    <w:rsid w:val="0004478A"/>
    <w:rsid w:val="000448C0"/>
    <w:rsid w:val="0004593C"/>
    <w:rsid w:val="0005045B"/>
    <w:rsid w:val="00052121"/>
    <w:rsid w:val="00052B8F"/>
    <w:rsid w:val="00052DD1"/>
    <w:rsid w:val="0005381C"/>
    <w:rsid w:val="00053F27"/>
    <w:rsid w:val="00055B66"/>
    <w:rsid w:val="000605B6"/>
    <w:rsid w:val="00062212"/>
    <w:rsid w:val="0006260D"/>
    <w:rsid w:val="00063657"/>
    <w:rsid w:val="0006757F"/>
    <w:rsid w:val="000675EE"/>
    <w:rsid w:val="00067E08"/>
    <w:rsid w:val="00070C73"/>
    <w:rsid w:val="00072EDC"/>
    <w:rsid w:val="00073171"/>
    <w:rsid w:val="0007342F"/>
    <w:rsid w:val="00073883"/>
    <w:rsid w:val="00074148"/>
    <w:rsid w:val="0007488A"/>
    <w:rsid w:val="00074EF6"/>
    <w:rsid w:val="00081C81"/>
    <w:rsid w:val="00082E60"/>
    <w:rsid w:val="000834C7"/>
    <w:rsid w:val="00087631"/>
    <w:rsid w:val="00087CC1"/>
    <w:rsid w:val="00092D82"/>
    <w:rsid w:val="000948CE"/>
    <w:rsid w:val="0009551C"/>
    <w:rsid w:val="000A11B4"/>
    <w:rsid w:val="000A2EED"/>
    <w:rsid w:val="000A342B"/>
    <w:rsid w:val="000A47E7"/>
    <w:rsid w:val="000A4A3A"/>
    <w:rsid w:val="000A4C1D"/>
    <w:rsid w:val="000A6073"/>
    <w:rsid w:val="000B0276"/>
    <w:rsid w:val="000B1069"/>
    <w:rsid w:val="000B2B61"/>
    <w:rsid w:val="000B2DD0"/>
    <w:rsid w:val="000B3F5D"/>
    <w:rsid w:val="000B5905"/>
    <w:rsid w:val="000B5BEB"/>
    <w:rsid w:val="000B5C15"/>
    <w:rsid w:val="000B74AD"/>
    <w:rsid w:val="000C2A58"/>
    <w:rsid w:val="000C37B4"/>
    <w:rsid w:val="000C5466"/>
    <w:rsid w:val="000C584A"/>
    <w:rsid w:val="000C62A4"/>
    <w:rsid w:val="000C7E0A"/>
    <w:rsid w:val="000D088C"/>
    <w:rsid w:val="000D0B12"/>
    <w:rsid w:val="000D1362"/>
    <w:rsid w:val="000D152D"/>
    <w:rsid w:val="000D1545"/>
    <w:rsid w:val="000D1BFA"/>
    <w:rsid w:val="000D3202"/>
    <w:rsid w:val="000D39EC"/>
    <w:rsid w:val="000D6541"/>
    <w:rsid w:val="000E38AA"/>
    <w:rsid w:val="000E412A"/>
    <w:rsid w:val="000E5101"/>
    <w:rsid w:val="000E5A65"/>
    <w:rsid w:val="000F0B96"/>
    <w:rsid w:val="000F11A5"/>
    <w:rsid w:val="000F1C0F"/>
    <w:rsid w:val="000F3BB1"/>
    <w:rsid w:val="000F4CAC"/>
    <w:rsid w:val="001006D4"/>
    <w:rsid w:val="001007DC"/>
    <w:rsid w:val="001037FC"/>
    <w:rsid w:val="00107780"/>
    <w:rsid w:val="001106EB"/>
    <w:rsid w:val="00111C6C"/>
    <w:rsid w:val="001122BE"/>
    <w:rsid w:val="001136C3"/>
    <w:rsid w:val="00113EF8"/>
    <w:rsid w:val="00117F02"/>
    <w:rsid w:val="001209D4"/>
    <w:rsid w:val="00121003"/>
    <w:rsid w:val="00122235"/>
    <w:rsid w:val="001230FA"/>
    <w:rsid w:val="001239D8"/>
    <w:rsid w:val="00124FBE"/>
    <w:rsid w:val="00125547"/>
    <w:rsid w:val="001255E1"/>
    <w:rsid w:val="0012594D"/>
    <w:rsid w:val="00125DBD"/>
    <w:rsid w:val="00126263"/>
    <w:rsid w:val="00126404"/>
    <w:rsid w:val="0012745B"/>
    <w:rsid w:val="00131162"/>
    <w:rsid w:val="001324A9"/>
    <w:rsid w:val="001325D7"/>
    <w:rsid w:val="0013548E"/>
    <w:rsid w:val="00140A7D"/>
    <w:rsid w:val="001413AB"/>
    <w:rsid w:val="00141A47"/>
    <w:rsid w:val="001454F3"/>
    <w:rsid w:val="00146B17"/>
    <w:rsid w:val="00151F8C"/>
    <w:rsid w:val="0015213F"/>
    <w:rsid w:val="0015225F"/>
    <w:rsid w:val="00156381"/>
    <w:rsid w:val="00156D84"/>
    <w:rsid w:val="001608E4"/>
    <w:rsid w:val="001616CC"/>
    <w:rsid w:val="001624D0"/>
    <w:rsid w:val="00162BC5"/>
    <w:rsid w:val="0016389C"/>
    <w:rsid w:val="001648D2"/>
    <w:rsid w:val="00165287"/>
    <w:rsid w:val="001653FE"/>
    <w:rsid w:val="00166C8F"/>
    <w:rsid w:val="0016758D"/>
    <w:rsid w:val="00167A5C"/>
    <w:rsid w:val="00170C8A"/>
    <w:rsid w:val="00171667"/>
    <w:rsid w:val="00172A27"/>
    <w:rsid w:val="001740C4"/>
    <w:rsid w:val="00175A16"/>
    <w:rsid w:val="00176598"/>
    <w:rsid w:val="00176E0A"/>
    <w:rsid w:val="00177D7A"/>
    <w:rsid w:val="0018014C"/>
    <w:rsid w:val="001818BA"/>
    <w:rsid w:val="00181DEA"/>
    <w:rsid w:val="00182083"/>
    <w:rsid w:val="0018219F"/>
    <w:rsid w:val="00185EF8"/>
    <w:rsid w:val="0019170B"/>
    <w:rsid w:val="0019206D"/>
    <w:rsid w:val="00195EF0"/>
    <w:rsid w:val="00196287"/>
    <w:rsid w:val="001964A9"/>
    <w:rsid w:val="0019650A"/>
    <w:rsid w:val="00196E73"/>
    <w:rsid w:val="001A08C5"/>
    <w:rsid w:val="001A0AC8"/>
    <w:rsid w:val="001A2B6A"/>
    <w:rsid w:val="001A3CB3"/>
    <w:rsid w:val="001A75C1"/>
    <w:rsid w:val="001B0EDD"/>
    <w:rsid w:val="001B151A"/>
    <w:rsid w:val="001B1D39"/>
    <w:rsid w:val="001B23C3"/>
    <w:rsid w:val="001B4B8E"/>
    <w:rsid w:val="001B4C9F"/>
    <w:rsid w:val="001B50AA"/>
    <w:rsid w:val="001B59C1"/>
    <w:rsid w:val="001B5B47"/>
    <w:rsid w:val="001B7DAA"/>
    <w:rsid w:val="001C250B"/>
    <w:rsid w:val="001C5CEB"/>
    <w:rsid w:val="001C7A6E"/>
    <w:rsid w:val="001C7ACB"/>
    <w:rsid w:val="001C7DFD"/>
    <w:rsid w:val="001D20BB"/>
    <w:rsid w:val="001D4000"/>
    <w:rsid w:val="001D431C"/>
    <w:rsid w:val="001D43B1"/>
    <w:rsid w:val="001D5465"/>
    <w:rsid w:val="001E016E"/>
    <w:rsid w:val="001E2D5A"/>
    <w:rsid w:val="001E2E32"/>
    <w:rsid w:val="001E3A98"/>
    <w:rsid w:val="001E42E5"/>
    <w:rsid w:val="001E447E"/>
    <w:rsid w:val="001E457F"/>
    <w:rsid w:val="001F0AB1"/>
    <w:rsid w:val="001F188A"/>
    <w:rsid w:val="001F375B"/>
    <w:rsid w:val="001F39B1"/>
    <w:rsid w:val="00200908"/>
    <w:rsid w:val="00201936"/>
    <w:rsid w:val="00201B64"/>
    <w:rsid w:val="002028A9"/>
    <w:rsid w:val="00204ABD"/>
    <w:rsid w:val="00205FE1"/>
    <w:rsid w:val="00206176"/>
    <w:rsid w:val="00206257"/>
    <w:rsid w:val="00215937"/>
    <w:rsid w:val="00217CB0"/>
    <w:rsid w:val="00217DFD"/>
    <w:rsid w:val="00217E31"/>
    <w:rsid w:val="00217EF0"/>
    <w:rsid w:val="002212AB"/>
    <w:rsid w:val="00223298"/>
    <w:rsid w:val="00223938"/>
    <w:rsid w:val="00224EB6"/>
    <w:rsid w:val="0022508B"/>
    <w:rsid w:val="00225568"/>
    <w:rsid w:val="002263FA"/>
    <w:rsid w:val="00226694"/>
    <w:rsid w:val="002273DE"/>
    <w:rsid w:val="00227F14"/>
    <w:rsid w:val="00230890"/>
    <w:rsid w:val="0023143F"/>
    <w:rsid w:val="002334A8"/>
    <w:rsid w:val="0023487A"/>
    <w:rsid w:val="002360D1"/>
    <w:rsid w:val="00236404"/>
    <w:rsid w:val="00241301"/>
    <w:rsid w:val="00241349"/>
    <w:rsid w:val="002425D6"/>
    <w:rsid w:val="00243974"/>
    <w:rsid w:val="00243C49"/>
    <w:rsid w:val="0024486B"/>
    <w:rsid w:val="0024543A"/>
    <w:rsid w:val="002456AB"/>
    <w:rsid w:val="00245E0B"/>
    <w:rsid w:val="0024739F"/>
    <w:rsid w:val="00250CD0"/>
    <w:rsid w:val="00250EF3"/>
    <w:rsid w:val="0025126B"/>
    <w:rsid w:val="00252768"/>
    <w:rsid w:val="002533E0"/>
    <w:rsid w:val="0025365C"/>
    <w:rsid w:val="00253C8B"/>
    <w:rsid w:val="002548FC"/>
    <w:rsid w:val="00254A37"/>
    <w:rsid w:val="002560C5"/>
    <w:rsid w:val="0025645A"/>
    <w:rsid w:val="002567C1"/>
    <w:rsid w:val="00256F25"/>
    <w:rsid w:val="00262269"/>
    <w:rsid w:val="00262609"/>
    <w:rsid w:val="00262B99"/>
    <w:rsid w:val="00262CB4"/>
    <w:rsid w:val="00263EB8"/>
    <w:rsid w:val="002656C7"/>
    <w:rsid w:val="00265DB4"/>
    <w:rsid w:val="00270F2F"/>
    <w:rsid w:val="002728F2"/>
    <w:rsid w:val="00273461"/>
    <w:rsid w:val="002738F7"/>
    <w:rsid w:val="00275741"/>
    <w:rsid w:val="002757C4"/>
    <w:rsid w:val="002775C5"/>
    <w:rsid w:val="0029053F"/>
    <w:rsid w:val="002908CC"/>
    <w:rsid w:val="002926E8"/>
    <w:rsid w:val="00292E91"/>
    <w:rsid w:val="00293CE0"/>
    <w:rsid w:val="00294AD9"/>
    <w:rsid w:val="002954C1"/>
    <w:rsid w:val="002959BF"/>
    <w:rsid w:val="0029643E"/>
    <w:rsid w:val="002A20C0"/>
    <w:rsid w:val="002A3824"/>
    <w:rsid w:val="002A42E1"/>
    <w:rsid w:val="002A5255"/>
    <w:rsid w:val="002A54AC"/>
    <w:rsid w:val="002A6258"/>
    <w:rsid w:val="002A6AEF"/>
    <w:rsid w:val="002A7CC4"/>
    <w:rsid w:val="002B0084"/>
    <w:rsid w:val="002B04A6"/>
    <w:rsid w:val="002B1424"/>
    <w:rsid w:val="002B2A4A"/>
    <w:rsid w:val="002B3A54"/>
    <w:rsid w:val="002B5ADB"/>
    <w:rsid w:val="002B61B5"/>
    <w:rsid w:val="002B62A0"/>
    <w:rsid w:val="002B6B21"/>
    <w:rsid w:val="002B7E42"/>
    <w:rsid w:val="002C205F"/>
    <w:rsid w:val="002C37DC"/>
    <w:rsid w:val="002C441E"/>
    <w:rsid w:val="002C4C16"/>
    <w:rsid w:val="002C4E7E"/>
    <w:rsid w:val="002C54F5"/>
    <w:rsid w:val="002D4427"/>
    <w:rsid w:val="002D5715"/>
    <w:rsid w:val="002D5EC5"/>
    <w:rsid w:val="002D6E9B"/>
    <w:rsid w:val="002E094B"/>
    <w:rsid w:val="002E3A75"/>
    <w:rsid w:val="002E477F"/>
    <w:rsid w:val="002E52DB"/>
    <w:rsid w:val="002E6722"/>
    <w:rsid w:val="002E6CC0"/>
    <w:rsid w:val="002F005D"/>
    <w:rsid w:val="002F1887"/>
    <w:rsid w:val="002F3F94"/>
    <w:rsid w:val="002F3FEC"/>
    <w:rsid w:val="002F42D1"/>
    <w:rsid w:val="002F623D"/>
    <w:rsid w:val="002F683F"/>
    <w:rsid w:val="003004ED"/>
    <w:rsid w:val="00301442"/>
    <w:rsid w:val="00304CB1"/>
    <w:rsid w:val="00305280"/>
    <w:rsid w:val="00305FC2"/>
    <w:rsid w:val="00310B91"/>
    <w:rsid w:val="003114A0"/>
    <w:rsid w:val="00311C37"/>
    <w:rsid w:val="003126F0"/>
    <w:rsid w:val="00315E8D"/>
    <w:rsid w:val="0031649C"/>
    <w:rsid w:val="00316C80"/>
    <w:rsid w:val="00317862"/>
    <w:rsid w:val="0032570C"/>
    <w:rsid w:val="00330250"/>
    <w:rsid w:val="00330E96"/>
    <w:rsid w:val="0033226C"/>
    <w:rsid w:val="00332407"/>
    <w:rsid w:val="003341A4"/>
    <w:rsid w:val="003348F1"/>
    <w:rsid w:val="0033528C"/>
    <w:rsid w:val="0033559F"/>
    <w:rsid w:val="00336D86"/>
    <w:rsid w:val="00336E80"/>
    <w:rsid w:val="003400E0"/>
    <w:rsid w:val="003421E2"/>
    <w:rsid w:val="00342963"/>
    <w:rsid w:val="00343F72"/>
    <w:rsid w:val="0034409D"/>
    <w:rsid w:val="00344EEE"/>
    <w:rsid w:val="00346200"/>
    <w:rsid w:val="00350E7B"/>
    <w:rsid w:val="00351FE4"/>
    <w:rsid w:val="00353743"/>
    <w:rsid w:val="00355FA6"/>
    <w:rsid w:val="00356444"/>
    <w:rsid w:val="00357FA0"/>
    <w:rsid w:val="00360C88"/>
    <w:rsid w:val="00364B03"/>
    <w:rsid w:val="00367810"/>
    <w:rsid w:val="00367DFD"/>
    <w:rsid w:val="003700FF"/>
    <w:rsid w:val="00370417"/>
    <w:rsid w:val="003725FB"/>
    <w:rsid w:val="00375A8B"/>
    <w:rsid w:val="0037691F"/>
    <w:rsid w:val="00376CF2"/>
    <w:rsid w:val="0037733E"/>
    <w:rsid w:val="00377468"/>
    <w:rsid w:val="00382A7D"/>
    <w:rsid w:val="00383395"/>
    <w:rsid w:val="0038388F"/>
    <w:rsid w:val="00384464"/>
    <w:rsid w:val="00384772"/>
    <w:rsid w:val="00385532"/>
    <w:rsid w:val="00385959"/>
    <w:rsid w:val="00386DB4"/>
    <w:rsid w:val="00391685"/>
    <w:rsid w:val="00391EAF"/>
    <w:rsid w:val="00393158"/>
    <w:rsid w:val="00394014"/>
    <w:rsid w:val="00395112"/>
    <w:rsid w:val="003960A9"/>
    <w:rsid w:val="00396E9B"/>
    <w:rsid w:val="00396EEE"/>
    <w:rsid w:val="003A2C6B"/>
    <w:rsid w:val="003A4118"/>
    <w:rsid w:val="003B08D5"/>
    <w:rsid w:val="003B1437"/>
    <w:rsid w:val="003B25EA"/>
    <w:rsid w:val="003B3217"/>
    <w:rsid w:val="003B5480"/>
    <w:rsid w:val="003B71AD"/>
    <w:rsid w:val="003B731D"/>
    <w:rsid w:val="003B7C34"/>
    <w:rsid w:val="003C0CBA"/>
    <w:rsid w:val="003C1A3D"/>
    <w:rsid w:val="003C1A82"/>
    <w:rsid w:val="003C2603"/>
    <w:rsid w:val="003C273E"/>
    <w:rsid w:val="003C526D"/>
    <w:rsid w:val="003C5D80"/>
    <w:rsid w:val="003C73E4"/>
    <w:rsid w:val="003D31EB"/>
    <w:rsid w:val="003D4E77"/>
    <w:rsid w:val="003D6457"/>
    <w:rsid w:val="003D64D9"/>
    <w:rsid w:val="003D657E"/>
    <w:rsid w:val="003E1734"/>
    <w:rsid w:val="003E29AF"/>
    <w:rsid w:val="003E3B6E"/>
    <w:rsid w:val="003E42D3"/>
    <w:rsid w:val="003E6BD1"/>
    <w:rsid w:val="003E708D"/>
    <w:rsid w:val="003E7A22"/>
    <w:rsid w:val="003E7CC6"/>
    <w:rsid w:val="003F1A90"/>
    <w:rsid w:val="003F1C7E"/>
    <w:rsid w:val="003F2900"/>
    <w:rsid w:val="003F48FE"/>
    <w:rsid w:val="004006B2"/>
    <w:rsid w:val="004018F1"/>
    <w:rsid w:val="00402A2F"/>
    <w:rsid w:val="004058FD"/>
    <w:rsid w:val="00405BE1"/>
    <w:rsid w:val="004069B6"/>
    <w:rsid w:val="004077A3"/>
    <w:rsid w:val="00410282"/>
    <w:rsid w:val="00413950"/>
    <w:rsid w:val="004153DB"/>
    <w:rsid w:val="00415687"/>
    <w:rsid w:val="00415C15"/>
    <w:rsid w:val="00417A57"/>
    <w:rsid w:val="00420990"/>
    <w:rsid w:val="004219E0"/>
    <w:rsid w:val="00422392"/>
    <w:rsid w:val="00422753"/>
    <w:rsid w:val="004228DF"/>
    <w:rsid w:val="004233C4"/>
    <w:rsid w:val="004242A3"/>
    <w:rsid w:val="00425A28"/>
    <w:rsid w:val="00426410"/>
    <w:rsid w:val="00426A87"/>
    <w:rsid w:val="00426B4D"/>
    <w:rsid w:val="0043059A"/>
    <w:rsid w:val="004309FD"/>
    <w:rsid w:val="00431ECD"/>
    <w:rsid w:val="00432B0A"/>
    <w:rsid w:val="00433F5D"/>
    <w:rsid w:val="0043533C"/>
    <w:rsid w:val="00436ECE"/>
    <w:rsid w:val="00437396"/>
    <w:rsid w:val="0044132B"/>
    <w:rsid w:val="00444617"/>
    <w:rsid w:val="00445232"/>
    <w:rsid w:val="0044537F"/>
    <w:rsid w:val="00451844"/>
    <w:rsid w:val="00451A5A"/>
    <w:rsid w:val="00451C82"/>
    <w:rsid w:val="0045341F"/>
    <w:rsid w:val="004547E0"/>
    <w:rsid w:val="00454D8A"/>
    <w:rsid w:val="00456AB2"/>
    <w:rsid w:val="004604E6"/>
    <w:rsid w:val="00461477"/>
    <w:rsid w:val="0046196A"/>
    <w:rsid w:val="00462E65"/>
    <w:rsid w:val="00465FE6"/>
    <w:rsid w:val="00467285"/>
    <w:rsid w:val="00467416"/>
    <w:rsid w:val="00471C49"/>
    <w:rsid w:val="00472705"/>
    <w:rsid w:val="00476A31"/>
    <w:rsid w:val="00477CE2"/>
    <w:rsid w:val="00477E74"/>
    <w:rsid w:val="0048234B"/>
    <w:rsid w:val="004830AF"/>
    <w:rsid w:val="00483AA0"/>
    <w:rsid w:val="00483FB5"/>
    <w:rsid w:val="00484E29"/>
    <w:rsid w:val="00485A5B"/>
    <w:rsid w:val="004865A6"/>
    <w:rsid w:val="004902BC"/>
    <w:rsid w:val="0049416F"/>
    <w:rsid w:val="0049550B"/>
    <w:rsid w:val="00496123"/>
    <w:rsid w:val="00496345"/>
    <w:rsid w:val="004967C3"/>
    <w:rsid w:val="00497E21"/>
    <w:rsid w:val="004A2354"/>
    <w:rsid w:val="004A2993"/>
    <w:rsid w:val="004A4BD3"/>
    <w:rsid w:val="004A5046"/>
    <w:rsid w:val="004A5FFA"/>
    <w:rsid w:val="004A776B"/>
    <w:rsid w:val="004B0ABB"/>
    <w:rsid w:val="004B15D4"/>
    <w:rsid w:val="004B47B9"/>
    <w:rsid w:val="004B4FAC"/>
    <w:rsid w:val="004B674B"/>
    <w:rsid w:val="004C1EA3"/>
    <w:rsid w:val="004C376E"/>
    <w:rsid w:val="004C5F88"/>
    <w:rsid w:val="004C6F34"/>
    <w:rsid w:val="004D033D"/>
    <w:rsid w:val="004D0FFE"/>
    <w:rsid w:val="004D2B66"/>
    <w:rsid w:val="004D64A8"/>
    <w:rsid w:val="004D772C"/>
    <w:rsid w:val="004E15E0"/>
    <w:rsid w:val="004E176A"/>
    <w:rsid w:val="004E333B"/>
    <w:rsid w:val="004E5239"/>
    <w:rsid w:val="004E548F"/>
    <w:rsid w:val="004E63B0"/>
    <w:rsid w:val="004E683B"/>
    <w:rsid w:val="004E6C75"/>
    <w:rsid w:val="004F17A2"/>
    <w:rsid w:val="004F3B5F"/>
    <w:rsid w:val="004F3B71"/>
    <w:rsid w:val="004F52F9"/>
    <w:rsid w:val="004F6183"/>
    <w:rsid w:val="00501A59"/>
    <w:rsid w:val="00502B6F"/>
    <w:rsid w:val="00503D5C"/>
    <w:rsid w:val="00507321"/>
    <w:rsid w:val="0050793F"/>
    <w:rsid w:val="00512B33"/>
    <w:rsid w:val="005131E5"/>
    <w:rsid w:val="00513374"/>
    <w:rsid w:val="005140F6"/>
    <w:rsid w:val="00514E97"/>
    <w:rsid w:val="00516466"/>
    <w:rsid w:val="00516575"/>
    <w:rsid w:val="00516B6F"/>
    <w:rsid w:val="005171C0"/>
    <w:rsid w:val="00517C34"/>
    <w:rsid w:val="00517D50"/>
    <w:rsid w:val="00524977"/>
    <w:rsid w:val="0052536E"/>
    <w:rsid w:val="00526063"/>
    <w:rsid w:val="0052779F"/>
    <w:rsid w:val="00530F4B"/>
    <w:rsid w:val="005316C6"/>
    <w:rsid w:val="0053260D"/>
    <w:rsid w:val="00534FB2"/>
    <w:rsid w:val="00536364"/>
    <w:rsid w:val="005367E8"/>
    <w:rsid w:val="00537DD7"/>
    <w:rsid w:val="00540C23"/>
    <w:rsid w:val="0054164F"/>
    <w:rsid w:val="00543328"/>
    <w:rsid w:val="00543A88"/>
    <w:rsid w:val="00547785"/>
    <w:rsid w:val="005529CC"/>
    <w:rsid w:val="00552E65"/>
    <w:rsid w:val="00552F47"/>
    <w:rsid w:val="00553E71"/>
    <w:rsid w:val="00554919"/>
    <w:rsid w:val="00554A1D"/>
    <w:rsid w:val="005564FD"/>
    <w:rsid w:val="0055798B"/>
    <w:rsid w:val="00561795"/>
    <w:rsid w:val="005640CA"/>
    <w:rsid w:val="00566FFE"/>
    <w:rsid w:val="005705BA"/>
    <w:rsid w:val="00570D28"/>
    <w:rsid w:val="00572888"/>
    <w:rsid w:val="00573F07"/>
    <w:rsid w:val="005746EF"/>
    <w:rsid w:val="00575170"/>
    <w:rsid w:val="00580246"/>
    <w:rsid w:val="00581018"/>
    <w:rsid w:val="00582213"/>
    <w:rsid w:val="00582554"/>
    <w:rsid w:val="0058481E"/>
    <w:rsid w:val="0058702E"/>
    <w:rsid w:val="0059278F"/>
    <w:rsid w:val="00592EEB"/>
    <w:rsid w:val="005958C7"/>
    <w:rsid w:val="00595C78"/>
    <w:rsid w:val="005961CB"/>
    <w:rsid w:val="0059640B"/>
    <w:rsid w:val="005A0152"/>
    <w:rsid w:val="005A0B13"/>
    <w:rsid w:val="005A0EBC"/>
    <w:rsid w:val="005A1784"/>
    <w:rsid w:val="005A4AF9"/>
    <w:rsid w:val="005A4EC9"/>
    <w:rsid w:val="005A5031"/>
    <w:rsid w:val="005A56CD"/>
    <w:rsid w:val="005A5F9F"/>
    <w:rsid w:val="005A6403"/>
    <w:rsid w:val="005A7778"/>
    <w:rsid w:val="005A7DFD"/>
    <w:rsid w:val="005B0B47"/>
    <w:rsid w:val="005B416E"/>
    <w:rsid w:val="005B4763"/>
    <w:rsid w:val="005B790E"/>
    <w:rsid w:val="005C15BE"/>
    <w:rsid w:val="005C23E7"/>
    <w:rsid w:val="005C37CE"/>
    <w:rsid w:val="005C4108"/>
    <w:rsid w:val="005C53FE"/>
    <w:rsid w:val="005C58CE"/>
    <w:rsid w:val="005C722C"/>
    <w:rsid w:val="005D17B1"/>
    <w:rsid w:val="005D1810"/>
    <w:rsid w:val="005D213F"/>
    <w:rsid w:val="005D55C4"/>
    <w:rsid w:val="005D60B9"/>
    <w:rsid w:val="005E0336"/>
    <w:rsid w:val="005E1048"/>
    <w:rsid w:val="005E17D7"/>
    <w:rsid w:val="005E1B61"/>
    <w:rsid w:val="005E2A1F"/>
    <w:rsid w:val="005E4000"/>
    <w:rsid w:val="005E53C1"/>
    <w:rsid w:val="005E6D55"/>
    <w:rsid w:val="005F18E4"/>
    <w:rsid w:val="005F4CF7"/>
    <w:rsid w:val="005F5820"/>
    <w:rsid w:val="005F6706"/>
    <w:rsid w:val="005F7D91"/>
    <w:rsid w:val="00600F80"/>
    <w:rsid w:val="006013EA"/>
    <w:rsid w:val="00601A0A"/>
    <w:rsid w:val="00603195"/>
    <w:rsid w:val="00603787"/>
    <w:rsid w:val="00603B67"/>
    <w:rsid w:val="0060454C"/>
    <w:rsid w:val="006050B3"/>
    <w:rsid w:val="00606B21"/>
    <w:rsid w:val="0060753D"/>
    <w:rsid w:val="00610A97"/>
    <w:rsid w:val="00613B1F"/>
    <w:rsid w:val="00613DBC"/>
    <w:rsid w:val="006140F7"/>
    <w:rsid w:val="00614C28"/>
    <w:rsid w:val="00614EA8"/>
    <w:rsid w:val="006165F7"/>
    <w:rsid w:val="00616D06"/>
    <w:rsid w:val="0062076F"/>
    <w:rsid w:val="006216BF"/>
    <w:rsid w:val="006231C2"/>
    <w:rsid w:val="00623475"/>
    <w:rsid w:val="0062373D"/>
    <w:rsid w:val="00623C2F"/>
    <w:rsid w:val="00627A75"/>
    <w:rsid w:val="0063198C"/>
    <w:rsid w:val="00633258"/>
    <w:rsid w:val="0063453D"/>
    <w:rsid w:val="0063482F"/>
    <w:rsid w:val="00634936"/>
    <w:rsid w:val="00635D5A"/>
    <w:rsid w:val="00636BB7"/>
    <w:rsid w:val="00636C6E"/>
    <w:rsid w:val="00637486"/>
    <w:rsid w:val="00640EDD"/>
    <w:rsid w:val="00645EC5"/>
    <w:rsid w:val="0064674C"/>
    <w:rsid w:val="00652270"/>
    <w:rsid w:val="00654189"/>
    <w:rsid w:val="00655EC4"/>
    <w:rsid w:val="00656070"/>
    <w:rsid w:val="00657353"/>
    <w:rsid w:val="006611BF"/>
    <w:rsid w:val="00663138"/>
    <w:rsid w:val="00663D86"/>
    <w:rsid w:val="00665869"/>
    <w:rsid w:val="00665BE0"/>
    <w:rsid w:val="0066617F"/>
    <w:rsid w:val="00666FED"/>
    <w:rsid w:val="006672A6"/>
    <w:rsid w:val="00667DC3"/>
    <w:rsid w:val="00667F6F"/>
    <w:rsid w:val="00671B8D"/>
    <w:rsid w:val="00673070"/>
    <w:rsid w:val="00673A92"/>
    <w:rsid w:val="00673F7E"/>
    <w:rsid w:val="006749AA"/>
    <w:rsid w:val="00674B26"/>
    <w:rsid w:val="006752E4"/>
    <w:rsid w:val="00676124"/>
    <w:rsid w:val="00677AFC"/>
    <w:rsid w:val="00680B4F"/>
    <w:rsid w:val="00681747"/>
    <w:rsid w:val="00682F15"/>
    <w:rsid w:val="006843E2"/>
    <w:rsid w:val="00685A56"/>
    <w:rsid w:val="006875F7"/>
    <w:rsid w:val="00692561"/>
    <w:rsid w:val="00693BAA"/>
    <w:rsid w:val="0069409F"/>
    <w:rsid w:val="006954BD"/>
    <w:rsid w:val="00695FB0"/>
    <w:rsid w:val="0069676A"/>
    <w:rsid w:val="00696D49"/>
    <w:rsid w:val="00696DCB"/>
    <w:rsid w:val="006A0877"/>
    <w:rsid w:val="006A1D2C"/>
    <w:rsid w:val="006A4241"/>
    <w:rsid w:val="006A5133"/>
    <w:rsid w:val="006A5F96"/>
    <w:rsid w:val="006A6027"/>
    <w:rsid w:val="006A70B6"/>
    <w:rsid w:val="006A7717"/>
    <w:rsid w:val="006B0A9C"/>
    <w:rsid w:val="006B10FF"/>
    <w:rsid w:val="006B5FF8"/>
    <w:rsid w:val="006B6439"/>
    <w:rsid w:val="006B6D85"/>
    <w:rsid w:val="006C0F3C"/>
    <w:rsid w:val="006C13DC"/>
    <w:rsid w:val="006C3A39"/>
    <w:rsid w:val="006C4CFB"/>
    <w:rsid w:val="006D0E94"/>
    <w:rsid w:val="006D1E8C"/>
    <w:rsid w:val="006D233F"/>
    <w:rsid w:val="006D4895"/>
    <w:rsid w:val="006D6085"/>
    <w:rsid w:val="006D68F3"/>
    <w:rsid w:val="006D789A"/>
    <w:rsid w:val="006E0120"/>
    <w:rsid w:val="006E089A"/>
    <w:rsid w:val="006E22C3"/>
    <w:rsid w:val="006E25F9"/>
    <w:rsid w:val="006E3AF4"/>
    <w:rsid w:val="006E52FA"/>
    <w:rsid w:val="006E6382"/>
    <w:rsid w:val="006E67B2"/>
    <w:rsid w:val="006F0A24"/>
    <w:rsid w:val="006F175D"/>
    <w:rsid w:val="006F19F9"/>
    <w:rsid w:val="006F2120"/>
    <w:rsid w:val="006F25BE"/>
    <w:rsid w:val="006F2A48"/>
    <w:rsid w:val="006F2F54"/>
    <w:rsid w:val="006F40B2"/>
    <w:rsid w:val="006F4DAF"/>
    <w:rsid w:val="006F7751"/>
    <w:rsid w:val="00702281"/>
    <w:rsid w:val="00702441"/>
    <w:rsid w:val="00703A6E"/>
    <w:rsid w:val="0070518A"/>
    <w:rsid w:val="007053B7"/>
    <w:rsid w:val="00706E15"/>
    <w:rsid w:val="00706E7B"/>
    <w:rsid w:val="007070EA"/>
    <w:rsid w:val="00712DA9"/>
    <w:rsid w:val="007142C0"/>
    <w:rsid w:val="0071717D"/>
    <w:rsid w:val="00717713"/>
    <w:rsid w:val="00717DD6"/>
    <w:rsid w:val="00721BC0"/>
    <w:rsid w:val="00722EF3"/>
    <w:rsid w:val="00722F4C"/>
    <w:rsid w:val="00724251"/>
    <w:rsid w:val="007264BB"/>
    <w:rsid w:val="00727849"/>
    <w:rsid w:val="00732474"/>
    <w:rsid w:val="00736F58"/>
    <w:rsid w:val="00740C32"/>
    <w:rsid w:val="007412DF"/>
    <w:rsid w:val="007426AF"/>
    <w:rsid w:val="00743BEE"/>
    <w:rsid w:val="00744107"/>
    <w:rsid w:val="00745D16"/>
    <w:rsid w:val="00750A29"/>
    <w:rsid w:val="0075201E"/>
    <w:rsid w:val="0075344F"/>
    <w:rsid w:val="007539B4"/>
    <w:rsid w:val="007552AC"/>
    <w:rsid w:val="00756FB4"/>
    <w:rsid w:val="00757047"/>
    <w:rsid w:val="00761E32"/>
    <w:rsid w:val="00762A97"/>
    <w:rsid w:val="0076401F"/>
    <w:rsid w:val="00764647"/>
    <w:rsid w:val="00764AAE"/>
    <w:rsid w:val="00764E03"/>
    <w:rsid w:val="00765D05"/>
    <w:rsid w:val="00767053"/>
    <w:rsid w:val="0077107A"/>
    <w:rsid w:val="00772356"/>
    <w:rsid w:val="00772AFC"/>
    <w:rsid w:val="00773434"/>
    <w:rsid w:val="00773DAA"/>
    <w:rsid w:val="007756DA"/>
    <w:rsid w:val="00777648"/>
    <w:rsid w:val="00777D43"/>
    <w:rsid w:val="00781434"/>
    <w:rsid w:val="00781BE8"/>
    <w:rsid w:val="00783BF7"/>
    <w:rsid w:val="00785166"/>
    <w:rsid w:val="007858A8"/>
    <w:rsid w:val="0078663D"/>
    <w:rsid w:val="007866C9"/>
    <w:rsid w:val="00786F4D"/>
    <w:rsid w:val="0079011D"/>
    <w:rsid w:val="00790648"/>
    <w:rsid w:val="00790746"/>
    <w:rsid w:val="007907C0"/>
    <w:rsid w:val="0079207A"/>
    <w:rsid w:val="007926BC"/>
    <w:rsid w:val="0079320C"/>
    <w:rsid w:val="007954F4"/>
    <w:rsid w:val="00795761"/>
    <w:rsid w:val="007975FA"/>
    <w:rsid w:val="007A1252"/>
    <w:rsid w:val="007A1B71"/>
    <w:rsid w:val="007A24B5"/>
    <w:rsid w:val="007A3944"/>
    <w:rsid w:val="007A459B"/>
    <w:rsid w:val="007A603F"/>
    <w:rsid w:val="007A61F4"/>
    <w:rsid w:val="007B0543"/>
    <w:rsid w:val="007B2864"/>
    <w:rsid w:val="007B3DA6"/>
    <w:rsid w:val="007B4C11"/>
    <w:rsid w:val="007B53B4"/>
    <w:rsid w:val="007B6572"/>
    <w:rsid w:val="007B6C29"/>
    <w:rsid w:val="007B7064"/>
    <w:rsid w:val="007C03A3"/>
    <w:rsid w:val="007C162A"/>
    <w:rsid w:val="007C1F3D"/>
    <w:rsid w:val="007C4A67"/>
    <w:rsid w:val="007C6450"/>
    <w:rsid w:val="007C66A5"/>
    <w:rsid w:val="007C6D75"/>
    <w:rsid w:val="007C7475"/>
    <w:rsid w:val="007D2B97"/>
    <w:rsid w:val="007D307F"/>
    <w:rsid w:val="007D4418"/>
    <w:rsid w:val="007D4FDC"/>
    <w:rsid w:val="007D54CD"/>
    <w:rsid w:val="007D70C7"/>
    <w:rsid w:val="007D77DC"/>
    <w:rsid w:val="007D7B5B"/>
    <w:rsid w:val="007E12EB"/>
    <w:rsid w:val="007E1C42"/>
    <w:rsid w:val="007E2516"/>
    <w:rsid w:val="007E2FE0"/>
    <w:rsid w:val="007E3488"/>
    <w:rsid w:val="007E5B3E"/>
    <w:rsid w:val="007F185D"/>
    <w:rsid w:val="007F2EBB"/>
    <w:rsid w:val="007F59DF"/>
    <w:rsid w:val="007F5EC7"/>
    <w:rsid w:val="007F71CE"/>
    <w:rsid w:val="007F75FE"/>
    <w:rsid w:val="007F78E4"/>
    <w:rsid w:val="007F7DF9"/>
    <w:rsid w:val="00800417"/>
    <w:rsid w:val="00800DFF"/>
    <w:rsid w:val="0080108F"/>
    <w:rsid w:val="0080192F"/>
    <w:rsid w:val="00801BF4"/>
    <w:rsid w:val="008029F4"/>
    <w:rsid w:val="00802C1E"/>
    <w:rsid w:val="00803D78"/>
    <w:rsid w:val="00803ECE"/>
    <w:rsid w:val="0080478B"/>
    <w:rsid w:val="00807358"/>
    <w:rsid w:val="008078AB"/>
    <w:rsid w:val="00807C7E"/>
    <w:rsid w:val="008101A8"/>
    <w:rsid w:val="00810BAA"/>
    <w:rsid w:val="00811DD0"/>
    <w:rsid w:val="008120FA"/>
    <w:rsid w:val="00812FC3"/>
    <w:rsid w:val="00813669"/>
    <w:rsid w:val="00813A55"/>
    <w:rsid w:val="00814733"/>
    <w:rsid w:val="008206CA"/>
    <w:rsid w:val="00821274"/>
    <w:rsid w:val="00821CB0"/>
    <w:rsid w:val="0082204F"/>
    <w:rsid w:val="00830FAB"/>
    <w:rsid w:val="00832D9A"/>
    <w:rsid w:val="00836C50"/>
    <w:rsid w:val="00837019"/>
    <w:rsid w:val="00837908"/>
    <w:rsid w:val="00845A16"/>
    <w:rsid w:val="008463F6"/>
    <w:rsid w:val="00847E49"/>
    <w:rsid w:val="008514FE"/>
    <w:rsid w:val="008518AA"/>
    <w:rsid w:val="00852595"/>
    <w:rsid w:val="00852947"/>
    <w:rsid w:val="008530CB"/>
    <w:rsid w:val="00853CEC"/>
    <w:rsid w:val="00855543"/>
    <w:rsid w:val="00855588"/>
    <w:rsid w:val="00856C56"/>
    <w:rsid w:val="00857424"/>
    <w:rsid w:val="00857D55"/>
    <w:rsid w:val="008600FF"/>
    <w:rsid w:val="00860E63"/>
    <w:rsid w:val="008626E1"/>
    <w:rsid w:val="00862B42"/>
    <w:rsid w:val="00863A0C"/>
    <w:rsid w:val="00865259"/>
    <w:rsid w:val="008654E7"/>
    <w:rsid w:val="00866ABC"/>
    <w:rsid w:val="00870091"/>
    <w:rsid w:val="00870B4B"/>
    <w:rsid w:val="00872B47"/>
    <w:rsid w:val="00873AD8"/>
    <w:rsid w:val="00874F15"/>
    <w:rsid w:val="00875408"/>
    <w:rsid w:val="0087596F"/>
    <w:rsid w:val="008777D6"/>
    <w:rsid w:val="00880CCD"/>
    <w:rsid w:val="00882DA7"/>
    <w:rsid w:val="008835E3"/>
    <w:rsid w:val="00883BBF"/>
    <w:rsid w:val="008843EE"/>
    <w:rsid w:val="008845BB"/>
    <w:rsid w:val="00885FBE"/>
    <w:rsid w:val="00886F35"/>
    <w:rsid w:val="008904BE"/>
    <w:rsid w:val="00891D05"/>
    <w:rsid w:val="00892A9E"/>
    <w:rsid w:val="00893D59"/>
    <w:rsid w:val="00896223"/>
    <w:rsid w:val="0089714C"/>
    <w:rsid w:val="00897CBA"/>
    <w:rsid w:val="008A2A1D"/>
    <w:rsid w:val="008A2F79"/>
    <w:rsid w:val="008A3DA9"/>
    <w:rsid w:val="008A47F1"/>
    <w:rsid w:val="008A5868"/>
    <w:rsid w:val="008A5EE3"/>
    <w:rsid w:val="008A6852"/>
    <w:rsid w:val="008B1237"/>
    <w:rsid w:val="008B126E"/>
    <w:rsid w:val="008B14D5"/>
    <w:rsid w:val="008B1DAE"/>
    <w:rsid w:val="008B33C3"/>
    <w:rsid w:val="008B3D8F"/>
    <w:rsid w:val="008B7845"/>
    <w:rsid w:val="008C005B"/>
    <w:rsid w:val="008C2ED0"/>
    <w:rsid w:val="008C44EE"/>
    <w:rsid w:val="008C4EF1"/>
    <w:rsid w:val="008D025F"/>
    <w:rsid w:val="008D29CB"/>
    <w:rsid w:val="008D3C47"/>
    <w:rsid w:val="008D5615"/>
    <w:rsid w:val="008D62E5"/>
    <w:rsid w:val="008E086F"/>
    <w:rsid w:val="008E1824"/>
    <w:rsid w:val="008E2977"/>
    <w:rsid w:val="008E3981"/>
    <w:rsid w:val="008E526A"/>
    <w:rsid w:val="008F0095"/>
    <w:rsid w:val="008F05CB"/>
    <w:rsid w:val="008F0B41"/>
    <w:rsid w:val="008F6414"/>
    <w:rsid w:val="008F6C19"/>
    <w:rsid w:val="0090114E"/>
    <w:rsid w:val="00903452"/>
    <w:rsid w:val="0090528B"/>
    <w:rsid w:val="009066B9"/>
    <w:rsid w:val="00906FD6"/>
    <w:rsid w:val="00907E2C"/>
    <w:rsid w:val="00910A9B"/>
    <w:rsid w:val="00910AE1"/>
    <w:rsid w:val="00910B0B"/>
    <w:rsid w:val="0091138D"/>
    <w:rsid w:val="009127FA"/>
    <w:rsid w:val="00912878"/>
    <w:rsid w:val="00912B1B"/>
    <w:rsid w:val="0091333C"/>
    <w:rsid w:val="0091425E"/>
    <w:rsid w:val="00914D71"/>
    <w:rsid w:val="00915259"/>
    <w:rsid w:val="009154F0"/>
    <w:rsid w:val="00915ADE"/>
    <w:rsid w:val="009168B2"/>
    <w:rsid w:val="00916D6D"/>
    <w:rsid w:val="00916E72"/>
    <w:rsid w:val="009177A6"/>
    <w:rsid w:val="00922571"/>
    <w:rsid w:val="00925968"/>
    <w:rsid w:val="0092608B"/>
    <w:rsid w:val="0092673E"/>
    <w:rsid w:val="0093048A"/>
    <w:rsid w:val="009321D1"/>
    <w:rsid w:val="00932775"/>
    <w:rsid w:val="009330BF"/>
    <w:rsid w:val="009331D1"/>
    <w:rsid w:val="00933298"/>
    <w:rsid w:val="00933991"/>
    <w:rsid w:val="00934172"/>
    <w:rsid w:val="00934CC8"/>
    <w:rsid w:val="0093640D"/>
    <w:rsid w:val="0094162D"/>
    <w:rsid w:val="0094482D"/>
    <w:rsid w:val="00945324"/>
    <w:rsid w:val="00946C70"/>
    <w:rsid w:val="0094760A"/>
    <w:rsid w:val="00947A0A"/>
    <w:rsid w:val="00947D85"/>
    <w:rsid w:val="00947EC0"/>
    <w:rsid w:val="009517C4"/>
    <w:rsid w:val="00951A7A"/>
    <w:rsid w:val="00952D5D"/>
    <w:rsid w:val="00954377"/>
    <w:rsid w:val="00964662"/>
    <w:rsid w:val="00964D95"/>
    <w:rsid w:val="00965BD9"/>
    <w:rsid w:val="0096729B"/>
    <w:rsid w:val="009707DF"/>
    <w:rsid w:val="00970E91"/>
    <w:rsid w:val="00974118"/>
    <w:rsid w:val="00974C57"/>
    <w:rsid w:val="00975131"/>
    <w:rsid w:val="0097534E"/>
    <w:rsid w:val="009757A8"/>
    <w:rsid w:val="0097623B"/>
    <w:rsid w:val="00976A75"/>
    <w:rsid w:val="00977A52"/>
    <w:rsid w:val="00980FD6"/>
    <w:rsid w:val="0098139D"/>
    <w:rsid w:val="00985674"/>
    <w:rsid w:val="00985E08"/>
    <w:rsid w:val="00987FAC"/>
    <w:rsid w:val="009901A4"/>
    <w:rsid w:val="00990DAF"/>
    <w:rsid w:val="009938C4"/>
    <w:rsid w:val="009949AC"/>
    <w:rsid w:val="009961E6"/>
    <w:rsid w:val="00996AC4"/>
    <w:rsid w:val="00997CAB"/>
    <w:rsid w:val="009A170E"/>
    <w:rsid w:val="009A2D2A"/>
    <w:rsid w:val="009A6FD2"/>
    <w:rsid w:val="009A753A"/>
    <w:rsid w:val="009A7924"/>
    <w:rsid w:val="009A7DC2"/>
    <w:rsid w:val="009B244D"/>
    <w:rsid w:val="009B4B9D"/>
    <w:rsid w:val="009B4D65"/>
    <w:rsid w:val="009B585F"/>
    <w:rsid w:val="009B5A11"/>
    <w:rsid w:val="009B6997"/>
    <w:rsid w:val="009B730A"/>
    <w:rsid w:val="009B7514"/>
    <w:rsid w:val="009C0C58"/>
    <w:rsid w:val="009C20AD"/>
    <w:rsid w:val="009C28FC"/>
    <w:rsid w:val="009C295F"/>
    <w:rsid w:val="009C36A2"/>
    <w:rsid w:val="009C415F"/>
    <w:rsid w:val="009C6AE4"/>
    <w:rsid w:val="009C76C4"/>
    <w:rsid w:val="009C7D0C"/>
    <w:rsid w:val="009D0DCC"/>
    <w:rsid w:val="009D1DBE"/>
    <w:rsid w:val="009D2A0E"/>
    <w:rsid w:val="009D3B99"/>
    <w:rsid w:val="009D654D"/>
    <w:rsid w:val="009D6DB8"/>
    <w:rsid w:val="009D76D8"/>
    <w:rsid w:val="009D7AD0"/>
    <w:rsid w:val="009E0E93"/>
    <w:rsid w:val="009E31A3"/>
    <w:rsid w:val="009E351A"/>
    <w:rsid w:val="009E4E47"/>
    <w:rsid w:val="009E6ABA"/>
    <w:rsid w:val="009E756A"/>
    <w:rsid w:val="009F1057"/>
    <w:rsid w:val="009F4931"/>
    <w:rsid w:val="009F74E9"/>
    <w:rsid w:val="00A00949"/>
    <w:rsid w:val="00A0176C"/>
    <w:rsid w:val="00A0183A"/>
    <w:rsid w:val="00A02C0D"/>
    <w:rsid w:val="00A02FBF"/>
    <w:rsid w:val="00A03A87"/>
    <w:rsid w:val="00A06A84"/>
    <w:rsid w:val="00A11127"/>
    <w:rsid w:val="00A1146D"/>
    <w:rsid w:val="00A11C6A"/>
    <w:rsid w:val="00A12492"/>
    <w:rsid w:val="00A1252F"/>
    <w:rsid w:val="00A12FF0"/>
    <w:rsid w:val="00A1375B"/>
    <w:rsid w:val="00A13C6C"/>
    <w:rsid w:val="00A146DE"/>
    <w:rsid w:val="00A159A0"/>
    <w:rsid w:val="00A209CD"/>
    <w:rsid w:val="00A21269"/>
    <w:rsid w:val="00A219AE"/>
    <w:rsid w:val="00A22581"/>
    <w:rsid w:val="00A228F7"/>
    <w:rsid w:val="00A24DB6"/>
    <w:rsid w:val="00A2524B"/>
    <w:rsid w:val="00A25BD2"/>
    <w:rsid w:val="00A25ED8"/>
    <w:rsid w:val="00A276E9"/>
    <w:rsid w:val="00A36BDC"/>
    <w:rsid w:val="00A40060"/>
    <w:rsid w:val="00A417E8"/>
    <w:rsid w:val="00A417F6"/>
    <w:rsid w:val="00A41922"/>
    <w:rsid w:val="00A41E0B"/>
    <w:rsid w:val="00A427DF"/>
    <w:rsid w:val="00A42A5C"/>
    <w:rsid w:val="00A43A85"/>
    <w:rsid w:val="00A43C49"/>
    <w:rsid w:val="00A43CD8"/>
    <w:rsid w:val="00A45DB2"/>
    <w:rsid w:val="00A5473C"/>
    <w:rsid w:val="00A55CE1"/>
    <w:rsid w:val="00A60DB8"/>
    <w:rsid w:val="00A61821"/>
    <w:rsid w:val="00A62A88"/>
    <w:rsid w:val="00A65287"/>
    <w:rsid w:val="00A654D8"/>
    <w:rsid w:val="00A657F6"/>
    <w:rsid w:val="00A65A73"/>
    <w:rsid w:val="00A67C7D"/>
    <w:rsid w:val="00A73785"/>
    <w:rsid w:val="00A73C37"/>
    <w:rsid w:val="00A776BD"/>
    <w:rsid w:val="00A81DE3"/>
    <w:rsid w:val="00A832CB"/>
    <w:rsid w:val="00A84321"/>
    <w:rsid w:val="00A85819"/>
    <w:rsid w:val="00A8591B"/>
    <w:rsid w:val="00A85B2A"/>
    <w:rsid w:val="00A86276"/>
    <w:rsid w:val="00A87AA2"/>
    <w:rsid w:val="00A91718"/>
    <w:rsid w:val="00A9339D"/>
    <w:rsid w:val="00A93F21"/>
    <w:rsid w:val="00A93FAB"/>
    <w:rsid w:val="00A94FF1"/>
    <w:rsid w:val="00A967D9"/>
    <w:rsid w:val="00A96B48"/>
    <w:rsid w:val="00AA15D5"/>
    <w:rsid w:val="00AA4403"/>
    <w:rsid w:val="00AA478F"/>
    <w:rsid w:val="00AA5449"/>
    <w:rsid w:val="00AA620C"/>
    <w:rsid w:val="00AA66FB"/>
    <w:rsid w:val="00AA6B97"/>
    <w:rsid w:val="00AA7CDD"/>
    <w:rsid w:val="00AA7FFD"/>
    <w:rsid w:val="00AB1AB9"/>
    <w:rsid w:val="00AB1C5A"/>
    <w:rsid w:val="00AB22A3"/>
    <w:rsid w:val="00AB34DD"/>
    <w:rsid w:val="00AB43C2"/>
    <w:rsid w:val="00AB443D"/>
    <w:rsid w:val="00AB4D65"/>
    <w:rsid w:val="00AB583D"/>
    <w:rsid w:val="00AB69F4"/>
    <w:rsid w:val="00AB7168"/>
    <w:rsid w:val="00AC3979"/>
    <w:rsid w:val="00AC3AB1"/>
    <w:rsid w:val="00AC623A"/>
    <w:rsid w:val="00AC6CDF"/>
    <w:rsid w:val="00AD1E07"/>
    <w:rsid w:val="00AD219F"/>
    <w:rsid w:val="00AD4F0C"/>
    <w:rsid w:val="00AD52E2"/>
    <w:rsid w:val="00AE23ED"/>
    <w:rsid w:val="00AE2B52"/>
    <w:rsid w:val="00AE2FBF"/>
    <w:rsid w:val="00AE3041"/>
    <w:rsid w:val="00AE65D7"/>
    <w:rsid w:val="00AE6A70"/>
    <w:rsid w:val="00AE7931"/>
    <w:rsid w:val="00AF2BEC"/>
    <w:rsid w:val="00AF2CA2"/>
    <w:rsid w:val="00B002F2"/>
    <w:rsid w:val="00B008A0"/>
    <w:rsid w:val="00B00C2C"/>
    <w:rsid w:val="00B028CA"/>
    <w:rsid w:val="00B06FD8"/>
    <w:rsid w:val="00B0701D"/>
    <w:rsid w:val="00B073D5"/>
    <w:rsid w:val="00B105A6"/>
    <w:rsid w:val="00B11B83"/>
    <w:rsid w:val="00B12DF4"/>
    <w:rsid w:val="00B144EE"/>
    <w:rsid w:val="00B14833"/>
    <w:rsid w:val="00B1654D"/>
    <w:rsid w:val="00B17209"/>
    <w:rsid w:val="00B2040F"/>
    <w:rsid w:val="00B206B8"/>
    <w:rsid w:val="00B21881"/>
    <w:rsid w:val="00B21CD0"/>
    <w:rsid w:val="00B2271F"/>
    <w:rsid w:val="00B228AA"/>
    <w:rsid w:val="00B23CF9"/>
    <w:rsid w:val="00B23E6A"/>
    <w:rsid w:val="00B24641"/>
    <w:rsid w:val="00B262B9"/>
    <w:rsid w:val="00B2765B"/>
    <w:rsid w:val="00B30624"/>
    <w:rsid w:val="00B307D9"/>
    <w:rsid w:val="00B313D4"/>
    <w:rsid w:val="00B3297D"/>
    <w:rsid w:val="00B3298E"/>
    <w:rsid w:val="00B3367C"/>
    <w:rsid w:val="00B33E3F"/>
    <w:rsid w:val="00B34502"/>
    <w:rsid w:val="00B36AD3"/>
    <w:rsid w:val="00B36E98"/>
    <w:rsid w:val="00B372E9"/>
    <w:rsid w:val="00B40713"/>
    <w:rsid w:val="00B41613"/>
    <w:rsid w:val="00B42C95"/>
    <w:rsid w:val="00B45B74"/>
    <w:rsid w:val="00B45E96"/>
    <w:rsid w:val="00B477E9"/>
    <w:rsid w:val="00B47FF3"/>
    <w:rsid w:val="00B50F35"/>
    <w:rsid w:val="00B510B0"/>
    <w:rsid w:val="00B52274"/>
    <w:rsid w:val="00B525CB"/>
    <w:rsid w:val="00B55FC0"/>
    <w:rsid w:val="00B60A95"/>
    <w:rsid w:val="00B61000"/>
    <w:rsid w:val="00B6181F"/>
    <w:rsid w:val="00B62314"/>
    <w:rsid w:val="00B62CA9"/>
    <w:rsid w:val="00B64516"/>
    <w:rsid w:val="00B64FBC"/>
    <w:rsid w:val="00B705B1"/>
    <w:rsid w:val="00B7118A"/>
    <w:rsid w:val="00B7395E"/>
    <w:rsid w:val="00B74AF0"/>
    <w:rsid w:val="00B76578"/>
    <w:rsid w:val="00B827B1"/>
    <w:rsid w:val="00B83A81"/>
    <w:rsid w:val="00B8483D"/>
    <w:rsid w:val="00B874E0"/>
    <w:rsid w:val="00B875B6"/>
    <w:rsid w:val="00B90194"/>
    <w:rsid w:val="00B90CA4"/>
    <w:rsid w:val="00B91F5B"/>
    <w:rsid w:val="00B9305A"/>
    <w:rsid w:val="00B94BAD"/>
    <w:rsid w:val="00B96114"/>
    <w:rsid w:val="00B966BF"/>
    <w:rsid w:val="00BA1356"/>
    <w:rsid w:val="00BA3B58"/>
    <w:rsid w:val="00BA3CE5"/>
    <w:rsid w:val="00BA53D2"/>
    <w:rsid w:val="00BA6006"/>
    <w:rsid w:val="00BA6549"/>
    <w:rsid w:val="00BA6D37"/>
    <w:rsid w:val="00BB06F0"/>
    <w:rsid w:val="00BB3BCF"/>
    <w:rsid w:val="00BB3E1F"/>
    <w:rsid w:val="00BB552F"/>
    <w:rsid w:val="00BB5845"/>
    <w:rsid w:val="00BB675A"/>
    <w:rsid w:val="00BB7C12"/>
    <w:rsid w:val="00BC0552"/>
    <w:rsid w:val="00BC058F"/>
    <w:rsid w:val="00BC15D4"/>
    <w:rsid w:val="00BC27EC"/>
    <w:rsid w:val="00BC3136"/>
    <w:rsid w:val="00BC45D5"/>
    <w:rsid w:val="00BC57C9"/>
    <w:rsid w:val="00BC6F96"/>
    <w:rsid w:val="00BC7502"/>
    <w:rsid w:val="00BC7ECA"/>
    <w:rsid w:val="00BD0621"/>
    <w:rsid w:val="00BD0F70"/>
    <w:rsid w:val="00BD188A"/>
    <w:rsid w:val="00BD1DDE"/>
    <w:rsid w:val="00BD6163"/>
    <w:rsid w:val="00BD6F10"/>
    <w:rsid w:val="00BD7252"/>
    <w:rsid w:val="00BE3B68"/>
    <w:rsid w:val="00BE5BDD"/>
    <w:rsid w:val="00BF03B7"/>
    <w:rsid w:val="00BF0589"/>
    <w:rsid w:val="00BF1C61"/>
    <w:rsid w:val="00BF1E92"/>
    <w:rsid w:val="00BF1EB1"/>
    <w:rsid w:val="00BF3BCA"/>
    <w:rsid w:val="00BF3CE2"/>
    <w:rsid w:val="00BF48B7"/>
    <w:rsid w:val="00BF5B96"/>
    <w:rsid w:val="00BF5D3B"/>
    <w:rsid w:val="00BF73B5"/>
    <w:rsid w:val="00C0109B"/>
    <w:rsid w:val="00C01F64"/>
    <w:rsid w:val="00C044B3"/>
    <w:rsid w:val="00C05BE8"/>
    <w:rsid w:val="00C15B97"/>
    <w:rsid w:val="00C16F56"/>
    <w:rsid w:val="00C23DAE"/>
    <w:rsid w:val="00C310B9"/>
    <w:rsid w:val="00C32339"/>
    <w:rsid w:val="00C353DD"/>
    <w:rsid w:val="00C355A9"/>
    <w:rsid w:val="00C35DD8"/>
    <w:rsid w:val="00C36886"/>
    <w:rsid w:val="00C36E6A"/>
    <w:rsid w:val="00C36F99"/>
    <w:rsid w:val="00C417BC"/>
    <w:rsid w:val="00C41C51"/>
    <w:rsid w:val="00C45CE8"/>
    <w:rsid w:val="00C506DF"/>
    <w:rsid w:val="00C514FD"/>
    <w:rsid w:val="00C570C4"/>
    <w:rsid w:val="00C57B7B"/>
    <w:rsid w:val="00C62D24"/>
    <w:rsid w:val="00C63792"/>
    <w:rsid w:val="00C64049"/>
    <w:rsid w:val="00C65D4F"/>
    <w:rsid w:val="00C65FEF"/>
    <w:rsid w:val="00C66FA5"/>
    <w:rsid w:val="00C7026C"/>
    <w:rsid w:val="00C7051D"/>
    <w:rsid w:val="00C72C21"/>
    <w:rsid w:val="00C74DF5"/>
    <w:rsid w:val="00C75163"/>
    <w:rsid w:val="00C75E4F"/>
    <w:rsid w:val="00C800EE"/>
    <w:rsid w:val="00C8075F"/>
    <w:rsid w:val="00C821F3"/>
    <w:rsid w:val="00C8318F"/>
    <w:rsid w:val="00C90D5B"/>
    <w:rsid w:val="00C9105F"/>
    <w:rsid w:val="00C916BA"/>
    <w:rsid w:val="00C9250A"/>
    <w:rsid w:val="00C949B9"/>
    <w:rsid w:val="00C94C62"/>
    <w:rsid w:val="00C94FC9"/>
    <w:rsid w:val="00C95CD4"/>
    <w:rsid w:val="00C9721F"/>
    <w:rsid w:val="00CA0186"/>
    <w:rsid w:val="00CA0F90"/>
    <w:rsid w:val="00CA15B8"/>
    <w:rsid w:val="00CA3076"/>
    <w:rsid w:val="00CA3617"/>
    <w:rsid w:val="00CA59C2"/>
    <w:rsid w:val="00CA5CBD"/>
    <w:rsid w:val="00CA6ED3"/>
    <w:rsid w:val="00CB0066"/>
    <w:rsid w:val="00CB5214"/>
    <w:rsid w:val="00CC04A3"/>
    <w:rsid w:val="00CC08C5"/>
    <w:rsid w:val="00CC2F1A"/>
    <w:rsid w:val="00CC4B32"/>
    <w:rsid w:val="00CC4F1A"/>
    <w:rsid w:val="00CC661F"/>
    <w:rsid w:val="00CC6732"/>
    <w:rsid w:val="00CD0246"/>
    <w:rsid w:val="00CD0CE1"/>
    <w:rsid w:val="00CD2250"/>
    <w:rsid w:val="00CD3638"/>
    <w:rsid w:val="00CD3F36"/>
    <w:rsid w:val="00CD50D9"/>
    <w:rsid w:val="00CD5115"/>
    <w:rsid w:val="00CD538C"/>
    <w:rsid w:val="00CD5A65"/>
    <w:rsid w:val="00CD67CB"/>
    <w:rsid w:val="00CD6890"/>
    <w:rsid w:val="00CE0995"/>
    <w:rsid w:val="00CE0DFD"/>
    <w:rsid w:val="00CE123C"/>
    <w:rsid w:val="00CE353C"/>
    <w:rsid w:val="00CE3C19"/>
    <w:rsid w:val="00CE72FA"/>
    <w:rsid w:val="00CF073F"/>
    <w:rsid w:val="00D00D01"/>
    <w:rsid w:val="00D01BED"/>
    <w:rsid w:val="00D01DD2"/>
    <w:rsid w:val="00D02626"/>
    <w:rsid w:val="00D02F37"/>
    <w:rsid w:val="00D039A7"/>
    <w:rsid w:val="00D059C0"/>
    <w:rsid w:val="00D073CD"/>
    <w:rsid w:val="00D11A28"/>
    <w:rsid w:val="00D12A02"/>
    <w:rsid w:val="00D13BB4"/>
    <w:rsid w:val="00D146D5"/>
    <w:rsid w:val="00D14AEF"/>
    <w:rsid w:val="00D204B6"/>
    <w:rsid w:val="00D2158B"/>
    <w:rsid w:val="00D21622"/>
    <w:rsid w:val="00D22286"/>
    <w:rsid w:val="00D259F6"/>
    <w:rsid w:val="00D262B3"/>
    <w:rsid w:val="00D27AFE"/>
    <w:rsid w:val="00D27CCB"/>
    <w:rsid w:val="00D300BD"/>
    <w:rsid w:val="00D3151E"/>
    <w:rsid w:val="00D33DC9"/>
    <w:rsid w:val="00D34DD4"/>
    <w:rsid w:val="00D363EC"/>
    <w:rsid w:val="00D41F24"/>
    <w:rsid w:val="00D42AF4"/>
    <w:rsid w:val="00D434FD"/>
    <w:rsid w:val="00D43F01"/>
    <w:rsid w:val="00D453EE"/>
    <w:rsid w:val="00D461CA"/>
    <w:rsid w:val="00D4658D"/>
    <w:rsid w:val="00D47F06"/>
    <w:rsid w:val="00D5045F"/>
    <w:rsid w:val="00D50B8C"/>
    <w:rsid w:val="00D5232E"/>
    <w:rsid w:val="00D53371"/>
    <w:rsid w:val="00D54FF3"/>
    <w:rsid w:val="00D56583"/>
    <w:rsid w:val="00D60A94"/>
    <w:rsid w:val="00D648CF"/>
    <w:rsid w:val="00D6518B"/>
    <w:rsid w:val="00D658B2"/>
    <w:rsid w:val="00D6596F"/>
    <w:rsid w:val="00D67191"/>
    <w:rsid w:val="00D703DE"/>
    <w:rsid w:val="00D7078B"/>
    <w:rsid w:val="00D73C87"/>
    <w:rsid w:val="00D746B2"/>
    <w:rsid w:val="00D75EA5"/>
    <w:rsid w:val="00D81017"/>
    <w:rsid w:val="00D81669"/>
    <w:rsid w:val="00D816E1"/>
    <w:rsid w:val="00D82549"/>
    <w:rsid w:val="00D87A02"/>
    <w:rsid w:val="00D90487"/>
    <w:rsid w:val="00D92BBE"/>
    <w:rsid w:val="00D93BAF"/>
    <w:rsid w:val="00D951FF"/>
    <w:rsid w:val="00D952FB"/>
    <w:rsid w:val="00D957D1"/>
    <w:rsid w:val="00DA0B4C"/>
    <w:rsid w:val="00DA0D97"/>
    <w:rsid w:val="00DA279D"/>
    <w:rsid w:val="00DA2A3B"/>
    <w:rsid w:val="00DA59AF"/>
    <w:rsid w:val="00DB037C"/>
    <w:rsid w:val="00DB5300"/>
    <w:rsid w:val="00DB5FA3"/>
    <w:rsid w:val="00DB7FB1"/>
    <w:rsid w:val="00DC0998"/>
    <w:rsid w:val="00DC0C21"/>
    <w:rsid w:val="00DC15B8"/>
    <w:rsid w:val="00DC1B25"/>
    <w:rsid w:val="00DC50BD"/>
    <w:rsid w:val="00DC66D8"/>
    <w:rsid w:val="00DC720F"/>
    <w:rsid w:val="00DC749D"/>
    <w:rsid w:val="00DD0AD3"/>
    <w:rsid w:val="00DD393B"/>
    <w:rsid w:val="00DD3A98"/>
    <w:rsid w:val="00DD422D"/>
    <w:rsid w:val="00DD69DE"/>
    <w:rsid w:val="00DD73FA"/>
    <w:rsid w:val="00DD7982"/>
    <w:rsid w:val="00DE3DAC"/>
    <w:rsid w:val="00DE4A8D"/>
    <w:rsid w:val="00DE53C8"/>
    <w:rsid w:val="00DE670E"/>
    <w:rsid w:val="00DE69AA"/>
    <w:rsid w:val="00DE7F08"/>
    <w:rsid w:val="00DF6B4C"/>
    <w:rsid w:val="00E00598"/>
    <w:rsid w:val="00E00A66"/>
    <w:rsid w:val="00E04D4B"/>
    <w:rsid w:val="00E05393"/>
    <w:rsid w:val="00E063CD"/>
    <w:rsid w:val="00E06879"/>
    <w:rsid w:val="00E0690A"/>
    <w:rsid w:val="00E10CA8"/>
    <w:rsid w:val="00E11BBF"/>
    <w:rsid w:val="00E12BBC"/>
    <w:rsid w:val="00E149EB"/>
    <w:rsid w:val="00E14F2C"/>
    <w:rsid w:val="00E15885"/>
    <w:rsid w:val="00E16191"/>
    <w:rsid w:val="00E1642A"/>
    <w:rsid w:val="00E16A77"/>
    <w:rsid w:val="00E17033"/>
    <w:rsid w:val="00E20694"/>
    <w:rsid w:val="00E210F8"/>
    <w:rsid w:val="00E23BAD"/>
    <w:rsid w:val="00E23D7D"/>
    <w:rsid w:val="00E24919"/>
    <w:rsid w:val="00E25291"/>
    <w:rsid w:val="00E2693D"/>
    <w:rsid w:val="00E26ABF"/>
    <w:rsid w:val="00E27901"/>
    <w:rsid w:val="00E303FC"/>
    <w:rsid w:val="00E308D7"/>
    <w:rsid w:val="00E309D2"/>
    <w:rsid w:val="00E32ABC"/>
    <w:rsid w:val="00E3398B"/>
    <w:rsid w:val="00E35FC8"/>
    <w:rsid w:val="00E36436"/>
    <w:rsid w:val="00E36CF4"/>
    <w:rsid w:val="00E37404"/>
    <w:rsid w:val="00E377D7"/>
    <w:rsid w:val="00E40D47"/>
    <w:rsid w:val="00E41ABF"/>
    <w:rsid w:val="00E44083"/>
    <w:rsid w:val="00E451A7"/>
    <w:rsid w:val="00E45711"/>
    <w:rsid w:val="00E45EE1"/>
    <w:rsid w:val="00E46215"/>
    <w:rsid w:val="00E46D12"/>
    <w:rsid w:val="00E47359"/>
    <w:rsid w:val="00E52B02"/>
    <w:rsid w:val="00E52D8A"/>
    <w:rsid w:val="00E54B3C"/>
    <w:rsid w:val="00E55B45"/>
    <w:rsid w:val="00E5702B"/>
    <w:rsid w:val="00E57EA9"/>
    <w:rsid w:val="00E6069B"/>
    <w:rsid w:val="00E610C1"/>
    <w:rsid w:val="00E6154A"/>
    <w:rsid w:val="00E62371"/>
    <w:rsid w:val="00E6343B"/>
    <w:rsid w:val="00E647EE"/>
    <w:rsid w:val="00E65432"/>
    <w:rsid w:val="00E6779A"/>
    <w:rsid w:val="00E70295"/>
    <w:rsid w:val="00E71B94"/>
    <w:rsid w:val="00E73310"/>
    <w:rsid w:val="00E761D4"/>
    <w:rsid w:val="00E811F3"/>
    <w:rsid w:val="00E81639"/>
    <w:rsid w:val="00E816A0"/>
    <w:rsid w:val="00E817FE"/>
    <w:rsid w:val="00E828CF"/>
    <w:rsid w:val="00E8457E"/>
    <w:rsid w:val="00E867DE"/>
    <w:rsid w:val="00E92254"/>
    <w:rsid w:val="00E925BF"/>
    <w:rsid w:val="00E92C12"/>
    <w:rsid w:val="00E92FE0"/>
    <w:rsid w:val="00E93524"/>
    <w:rsid w:val="00E93723"/>
    <w:rsid w:val="00E93827"/>
    <w:rsid w:val="00E96321"/>
    <w:rsid w:val="00E96420"/>
    <w:rsid w:val="00E96754"/>
    <w:rsid w:val="00E97AD7"/>
    <w:rsid w:val="00E97FDE"/>
    <w:rsid w:val="00EA372C"/>
    <w:rsid w:val="00EA3881"/>
    <w:rsid w:val="00EA44E4"/>
    <w:rsid w:val="00EA460D"/>
    <w:rsid w:val="00EA51A0"/>
    <w:rsid w:val="00EA522C"/>
    <w:rsid w:val="00EA57B2"/>
    <w:rsid w:val="00EA5E0B"/>
    <w:rsid w:val="00EB0A2F"/>
    <w:rsid w:val="00EB1067"/>
    <w:rsid w:val="00EB1118"/>
    <w:rsid w:val="00EB286F"/>
    <w:rsid w:val="00EB4874"/>
    <w:rsid w:val="00EB4B40"/>
    <w:rsid w:val="00EB5377"/>
    <w:rsid w:val="00EB626B"/>
    <w:rsid w:val="00EC1B85"/>
    <w:rsid w:val="00EC2D15"/>
    <w:rsid w:val="00EC51C7"/>
    <w:rsid w:val="00EC57AC"/>
    <w:rsid w:val="00EC617B"/>
    <w:rsid w:val="00EC6246"/>
    <w:rsid w:val="00ED021A"/>
    <w:rsid w:val="00ED1945"/>
    <w:rsid w:val="00ED23DD"/>
    <w:rsid w:val="00ED2EFA"/>
    <w:rsid w:val="00ED3375"/>
    <w:rsid w:val="00ED3ABE"/>
    <w:rsid w:val="00ED58D2"/>
    <w:rsid w:val="00ED680D"/>
    <w:rsid w:val="00ED7222"/>
    <w:rsid w:val="00EE07A6"/>
    <w:rsid w:val="00EE0B8E"/>
    <w:rsid w:val="00EE0DE8"/>
    <w:rsid w:val="00EE1233"/>
    <w:rsid w:val="00EE1577"/>
    <w:rsid w:val="00EE3341"/>
    <w:rsid w:val="00EE6032"/>
    <w:rsid w:val="00EE6687"/>
    <w:rsid w:val="00EE6B6E"/>
    <w:rsid w:val="00EE7F00"/>
    <w:rsid w:val="00EE7F40"/>
    <w:rsid w:val="00EF022B"/>
    <w:rsid w:val="00EF1038"/>
    <w:rsid w:val="00EF112E"/>
    <w:rsid w:val="00EF4966"/>
    <w:rsid w:val="00EF4B68"/>
    <w:rsid w:val="00EF537F"/>
    <w:rsid w:val="00F003C2"/>
    <w:rsid w:val="00F016C1"/>
    <w:rsid w:val="00F01EE7"/>
    <w:rsid w:val="00F06C2B"/>
    <w:rsid w:val="00F06F42"/>
    <w:rsid w:val="00F109E6"/>
    <w:rsid w:val="00F11B35"/>
    <w:rsid w:val="00F11FA7"/>
    <w:rsid w:val="00F12735"/>
    <w:rsid w:val="00F134C9"/>
    <w:rsid w:val="00F154DF"/>
    <w:rsid w:val="00F200BE"/>
    <w:rsid w:val="00F202E4"/>
    <w:rsid w:val="00F205A6"/>
    <w:rsid w:val="00F20900"/>
    <w:rsid w:val="00F2179E"/>
    <w:rsid w:val="00F21E84"/>
    <w:rsid w:val="00F23300"/>
    <w:rsid w:val="00F2731F"/>
    <w:rsid w:val="00F27C86"/>
    <w:rsid w:val="00F27E0A"/>
    <w:rsid w:val="00F303F0"/>
    <w:rsid w:val="00F31A17"/>
    <w:rsid w:val="00F3244D"/>
    <w:rsid w:val="00F3327E"/>
    <w:rsid w:val="00F4106B"/>
    <w:rsid w:val="00F453DF"/>
    <w:rsid w:val="00F45E3F"/>
    <w:rsid w:val="00F465AB"/>
    <w:rsid w:val="00F51513"/>
    <w:rsid w:val="00F520CA"/>
    <w:rsid w:val="00F5328D"/>
    <w:rsid w:val="00F53E32"/>
    <w:rsid w:val="00F542FC"/>
    <w:rsid w:val="00F54BE8"/>
    <w:rsid w:val="00F55880"/>
    <w:rsid w:val="00F5673E"/>
    <w:rsid w:val="00F56A4A"/>
    <w:rsid w:val="00F56D87"/>
    <w:rsid w:val="00F570EA"/>
    <w:rsid w:val="00F5789D"/>
    <w:rsid w:val="00F602B5"/>
    <w:rsid w:val="00F61C0D"/>
    <w:rsid w:val="00F61C7D"/>
    <w:rsid w:val="00F61D45"/>
    <w:rsid w:val="00F63577"/>
    <w:rsid w:val="00F667BC"/>
    <w:rsid w:val="00F67F49"/>
    <w:rsid w:val="00F700F8"/>
    <w:rsid w:val="00F7351D"/>
    <w:rsid w:val="00F73E2C"/>
    <w:rsid w:val="00F73F1E"/>
    <w:rsid w:val="00F76A5D"/>
    <w:rsid w:val="00F773A2"/>
    <w:rsid w:val="00F8080C"/>
    <w:rsid w:val="00F82BE5"/>
    <w:rsid w:val="00F84ED8"/>
    <w:rsid w:val="00F85988"/>
    <w:rsid w:val="00F86657"/>
    <w:rsid w:val="00F86EA2"/>
    <w:rsid w:val="00F87C6D"/>
    <w:rsid w:val="00F9058B"/>
    <w:rsid w:val="00F90CDE"/>
    <w:rsid w:val="00F91235"/>
    <w:rsid w:val="00F91338"/>
    <w:rsid w:val="00F91A4F"/>
    <w:rsid w:val="00F932C8"/>
    <w:rsid w:val="00F976E4"/>
    <w:rsid w:val="00FA0368"/>
    <w:rsid w:val="00FA126D"/>
    <w:rsid w:val="00FA14CF"/>
    <w:rsid w:val="00FA21D9"/>
    <w:rsid w:val="00FA2906"/>
    <w:rsid w:val="00FA331A"/>
    <w:rsid w:val="00FA45AD"/>
    <w:rsid w:val="00FA6632"/>
    <w:rsid w:val="00FB05D5"/>
    <w:rsid w:val="00FB1B02"/>
    <w:rsid w:val="00FB2776"/>
    <w:rsid w:val="00FB2E18"/>
    <w:rsid w:val="00FB360D"/>
    <w:rsid w:val="00FB3EE6"/>
    <w:rsid w:val="00FB57C8"/>
    <w:rsid w:val="00FC4B62"/>
    <w:rsid w:val="00FC71B5"/>
    <w:rsid w:val="00FD0C03"/>
    <w:rsid w:val="00FD10D1"/>
    <w:rsid w:val="00FD573B"/>
    <w:rsid w:val="00FD64BF"/>
    <w:rsid w:val="00FD6D35"/>
    <w:rsid w:val="00FD74EF"/>
    <w:rsid w:val="00FD778C"/>
    <w:rsid w:val="00FD7FDF"/>
    <w:rsid w:val="00FE0948"/>
    <w:rsid w:val="00FE106E"/>
    <w:rsid w:val="00FE1F68"/>
    <w:rsid w:val="00FE2EDE"/>
    <w:rsid w:val="00FE4216"/>
    <w:rsid w:val="00FE51BD"/>
    <w:rsid w:val="00FE5580"/>
    <w:rsid w:val="00FE650D"/>
    <w:rsid w:val="00FE685C"/>
    <w:rsid w:val="00FE7679"/>
    <w:rsid w:val="00FF106C"/>
    <w:rsid w:val="00FF4A98"/>
    <w:rsid w:val="00FF4C33"/>
    <w:rsid w:val="00FF5F5B"/>
    <w:rsid w:val="00FF6C5C"/>
    <w:rsid w:val="00FF7255"/>
    <w:rsid w:val="00FF7A42"/>
    <w:rsid w:val="01201CF3"/>
    <w:rsid w:val="031506A0"/>
    <w:rsid w:val="037B513A"/>
    <w:rsid w:val="05FC73D0"/>
    <w:rsid w:val="06526C25"/>
    <w:rsid w:val="08E173D3"/>
    <w:rsid w:val="09EA3C85"/>
    <w:rsid w:val="0CC031B0"/>
    <w:rsid w:val="0E093A1C"/>
    <w:rsid w:val="0EE02F83"/>
    <w:rsid w:val="0F064BB7"/>
    <w:rsid w:val="0FF3231D"/>
    <w:rsid w:val="12501006"/>
    <w:rsid w:val="12713EDB"/>
    <w:rsid w:val="14C17DFB"/>
    <w:rsid w:val="166058C2"/>
    <w:rsid w:val="17600EBE"/>
    <w:rsid w:val="181F1FD3"/>
    <w:rsid w:val="183E0523"/>
    <w:rsid w:val="19267D03"/>
    <w:rsid w:val="1AEE2E2F"/>
    <w:rsid w:val="1BF4112E"/>
    <w:rsid w:val="1C966FA2"/>
    <w:rsid w:val="1CD767B6"/>
    <w:rsid w:val="1EB9028A"/>
    <w:rsid w:val="20F93100"/>
    <w:rsid w:val="21977E8C"/>
    <w:rsid w:val="25C277FB"/>
    <w:rsid w:val="26324A2E"/>
    <w:rsid w:val="26DA72C2"/>
    <w:rsid w:val="271339B4"/>
    <w:rsid w:val="28F63B43"/>
    <w:rsid w:val="2AA264B7"/>
    <w:rsid w:val="2D783505"/>
    <w:rsid w:val="2FF7549E"/>
    <w:rsid w:val="36B45127"/>
    <w:rsid w:val="36F00C38"/>
    <w:rsid w:val="39253C21"/>
    <w:rsid w:val="3C887318"/>
    <w:rsid w:val="3D501C0F"/>
    <w:rsid w:val="3D5C31F8"/>
    <w:rsid w:val="3EB77D25"/>
    <w:rsid w:val="3F0F681B"/>
    <w:rsid w:val="40CB14BC"/>
    <w:rsid w:val="436E0C26"/>
    <w:rsid w:val="466051EA"/>
    <w:rsid w:val="46A34428"/>
    <w:rsid w:val="48B03313"/>
    <w:rsid w:val="49DA437E"/>
    <w:rsid w:val="4D152EFB"/>
    <w:rsid w:val="4D350F4D"/>
    <w:rsid w:val="4D9B14F8"/>
    <w:rsid w:val="51162DCC"/>
    <w:rsid w:val="527315FA"/>
    <w:rsid w:val="5A717848"/>
    <w:rsid w:val="5A88135A"/>
    <w:rsid w:val="5BA04C1E"/>
    <w:rsid w:val="5EB2465D"/>
    <w:rsid w:val="5ECC0EA8"/>
    <w:rsid w:val="5FCB7ECC"/>
    <w:rsid w:val="60935FBC"/>
    <w:rsid w:val="63A9065D"/>
    <w:rsid w:val="672176ED"/>
    <w:rsid w:val="68144E01"/>
    <w:rsid w:val="6BEC36E4"/>
    <w:rsid w:val="6DD23576"/>
    <w:rsid w:val="6E7E3BD4"/>
    <w:rsid w:val="6E8038BE"/>
    <w:rsid w:val="6E8414B9"/>
    <w:rsid w:val="724E20F0"/>
    <w:rsid w:val="72842E06"/>
    <w:rsid w:val="733A7FC2"/>
    <w:rsid w:val="77102F06"/>
    <w:rsid w:val="7DB6127D"/>
    <w:rsid w:val="7E5A3B04"/>
    <w:rsid w:val="7F4D52AF"/>
    <w:rsid w:val="7FA22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62"/>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50"/>
    <w:qFormat/>
    <w:uiPriority w:val="0"/>
    <w:pPr>
      <w:adjustRightInd w:val="0"/>
      <w:spacing w:line="312" w:lineRule="atLeast"/>
      <w:jc w:val="left"/>
      <w:textAlignment w:val="baseline"/>
    </w:pPr>
    <w:rPr>
      <w:rFonts w:ascii="CG Times (W1)" w:hAnsi="CG Times (W1)" w:eastAsia="仿宋_GB2312" w:cs="CG Times (W1)"/>
      <w:kern w:val="0"/>
      <w:sz w:val="30"/>
      <w:szCs w:val="30"/>
    </w:rPr>
  </w:style>
  <w:style w:type="paragraph" w:styleId="5">
    <w:name w:val="Date"/>
    <w:basedOn w:val="1"/>
    <w:next w:val="1"/>
    <w:link w:val="51"/>
    <w:qFormat/>
    <w:uiPriority w:val="0"/>
    <w:pPr>
      <w:ind w:left="100" w:leftChars="2500"/>
    </w:pPr>
  </w:style>
  <w:style w:type="paragraph" w:styleId="6">
    <w:name w:val="Balloon Text"/>
    <w:basedOn w:val="1"/>
    <w:link w:val="54"/>
    <w:qFormat/>
    <w:uiPriority w:val="0"/>
    <w:rPr>
      <w:sz w:val="18"/>
      <w:szCs w:val="18"/>
    </w:rPr>
  </w:style>
  <w:style w:type="paragraph" w:styleId="7">
    <w:name w:val="footer"/>
    <w:basedOn w:val="1"/>
    <w:link w:val="52"/>
    <w:qFormat/>
    <w:uiPriority w:val="0"/>
    <w:pPr>
      <w:tabs>
        <w:tab w:val="center" w:pos="4153"/>
        <w:tab w:val="right" w:pos="8306"/>
      </w:tabs>
      <w:snapToGrid w:val="0"/>
      <w:jc w:val="left"/>
    </w:pPr>
    <w:rPr>
      <w:sz w:val="18"/>
      <w:szCs w:val="18"/>
    </w:rPr>
  </w:style>
  <w:style w:type="paragraph" w:styleId="8">
    <w:name w:val="header"/>
    <w:basedOn w:val="1"/>
    <w:link w:val="53"/>
    <w:qFormat/>
    <w:uiPriority w:val="0"/>
    <w:pPr>
      <w:tabs>
        <w:tab w:val="center" w:pos="4153"/>
        <w:tab w:val="right" w:pos="8306"/>
      </w:tabs>
      <w:adjustRightInd w:val="0"/>
      <w:spacing w:line="240" w:lineRule="atLeast"/>
      <w:jc w:val="center"/>
      <w:textAlignment w:val="baseline"/>
    </w:pPr>
    <w:rPr>
      <w:rFonts w:ascii="CG Times (W1)" w:hAnsi="CG Times (W1)" w:eastAsia="仿宋_GB2312" w:cs="CG Times (W1)"/>
      <w:kern w:val="0"/>
      <w:sz w:val="18"/>
      <w:szCs w:val="18"/>
    </w:rPr>
  </w:style>
  <w:style w:type="paragraph" w:styleId="9">
    <w:name w:val="HTML Preformatted"/>
    <w:basedOn w:val="1"/>
    <w:link w:val="55"/>
    <w:qFormat/>
    <w:uiPriority w:val="0"/>
    <w:rPr>
      <w:rFonts w:ascii="Courier New" w:hAnsi="Courier New" w:cs="Courier New"/>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63"/>
    <w:semiHidden/>
    <w:unhideWhenUsed/>
    <w:qFormat/>
    <w:uiPriority w:val="99"/>
    <w:pPr>
      <w:adjustRightInd/>
      <w:spacing w:line="240" w:lineRule="auto"/>
      <w:textAlignment w:val="auto"/>
    </w:pPr>
    <w:rPr>
      <w:rFonts w:ascii="Times New Roman" w:hAnsi="Times New Roman" w:eastAsia="宋体" w:cs="Times New Roman"/>
      <w:b/>
      <w:bCs/>
      <w:kern w:val="2"/>
      <w:sz w:val="21"/>
      <w:szCs w:val="24"/>
    </w:rPr>
  </w:style>
  <w:style w:type="table" w:styleId="13">
    <w:name w:val="Table Grid"/>
    <w:basedOn w:val="12"/>
    <w:qFormat/>
    <w:uiPriority w:val="0"/>
    <w:pPr>
      <w:ind w:firstLine="200" w:firstLineChars="200"/>
      <w:jc w:val="both"/>
    </w:pPr>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qFormat/>
    <w:uiPriority w:val="22"/>
    <w:rPr>
      <w:b/>
      <w:bCs/>
    </w:rPr>
  </w:style>
  <w:style w:type="character" w:styleId="16">
    <w:name w:val="page number"/>
    <w:basedOn w:val="14"/>
    <w:qFormat/>
    <w:uiPriority w:val="0"/>
  </w:style>
  <w:style w:type="character" w:styleId="17">
    <w:name w:val="FollowedHyperlink"/>
    <w:semiHidden/>
    <w:unhideWhenUsed/>
    <w:qFormat/>
    <w:uiPriority w:val="99"/>
    <w:rPr>
      <w:color w:val="954F72"/>
      <w:u w:val="single"/>
    </w:rPr>
  </w:style>
  <w:style w:type="character" w:styleId="18">
    <w:name w:val="Hyperlink"/>
    <w:unhideWhenUsed/>
    <w:qFormat/>
    <w:uiPriority w:val="99"/>
    <w:rPr>
      <w:color w:val="0563C1"/>
      <w:u w:val="single"/>
    </w:rPr>
  </w:style>
  <w:style w:type="character" w:styleId="19">
    <w:name w:val="HTML Code"/>
    <w:qFormat/>
    <w:uiPriority w:val="0"/>
    <w:rPr>
      <w:rFonts w:ascii="Courier New" w:hAnsi="Courier New"/>
      <w:sz w:val="20"/>
      <w:szCs w:val="20"/>
    </w:rPr>
  </w:style>
  <w:style w:type="character" w:styleId="20">
    <w:name w:val="annotation reference"/>
    <w:qFormat/>
    <w:uiPriority w:val="0"/>
    <w:rPr>
      <w:sz w:val="21"/>
      <w:szCs w:val="21"/>
    </w:rPr>
  </w:style>
  <w:style w:type="character" w:styleId="21">
    <w:name w:val="HTML Cite"/>
    <w:qFormat/>
    <w:uiPriority w:val="0"/>
    <w:rPr>
      <w:i/>
      <w:iCs/>
    </w:rPr>
  </w:style>
  <w:style w:type="character" w:customStyle="1" w:styleId="22">
    <w:name w:val="段 Char Char"/>
    <w:link w:val="23"/>
    <w:qFormat/>
    <w:uiPriority w:val="0"/>
    <w:rPr>
      <w:rFonts w:ascii="宋体"/>
      <w:sz w:val="21"/>
      <w:lang w:val="en-US" w:eastAsia="zh-CN" w:bidi="ar-SA"/>
    </w:rPr>
  </w:style>
  <w:style w:type="paragraph" w:customStyle="1" w:styleId="23">
    <w:name w:val="段"/>
    <w:link w:val="22"/>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
    <w:name w:val="Char Char Char Char Char Char"/>
    <w:basedOn w:val="1"/>
    <w:qFormat/>
    <w:uiPriority w:val="0"/>
    <w:pPr>
      <w:spacing w:before="312" w:beforeLines="100" w:after="156" w:afterLines="50" w:line="600" w:lineRule="exact"/>
      <w:ind w:firstLine="200" w:firstLineChars="200"/>
    </w:pPr>
  </w:style>
  <w:style w:type="paragraph" w:customStyle="1" w:styleId="25">
    <w:name w:val="正文表标题"/>
    <w:next w:val="23"/>
    <w:qFormat/>
    <w:uiPriority w:val="99"/>
    <w:pPr>
      <w:numPr>
        <w:ilvl w:val="0"/>
        <w:numId w:val="1"/>
      </w:numPr>
      <w:jc w:val="center"/>
    </w:pPr>
    <w:rPr>
      <w:rFonts w:ascii="黑体" w:hAnsi="Times New Roman" w:eastAsia="黑体" w:cs="Times New Roman"/>
      <w:sz w:val="21"/>
      <w:lang w:val="en-US" w:eastAsia="zh-CN" w:bidi="ar-SA"/>
    </w:rPr>
  </w:style>
  <w:style w:type="paragraph" w:customStyle="1" w:styleId="26">
    <w:name w:val="样式 一级条标题 + 宋体"/>
    <w:basedOn w:val="1"/>
    <w:qFormat/>
    <w:uiPriority w:val="0"/>
    <w:pPr>
      <w:widowControl/>
      <w:numPr>
        <w:ilvl w:val="2"/>
        <w:numId w:val="2"/>
      </w:numPr>
      <w:spacing w:line="360" w:lineRule="exact"/>
      <w:jc w:val="left"/>
      <w:outlineLvl w:val="2"/>
    </w:pPr>
    <w:rPr>
      <w:rFonts w:ascii="宋体" w:hAnsi="宋体"/>
      <w:kern w:val="0"/>
      <w:szCs w:val="20"/>
    </w:rPr>
  </w:style>
  <w:style w:type="paragraph" w:customStyle="1" w:styleId="27">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8">
    <w:name w:val="样式 宋体 行距: 1.5 倍行距"/>
    <w:basedOn w:val="1"/>
    <w:qFormat/>
    <w:uiPriority w:val="0"/>
    <w:pPr>
      <w:numPr>
        <w:ilvl w:val="0"/>
        <w:numId w:val="4"/>
      </w:numPr>
      <w:spacing w:line="360" w:lineRule="auto"/>
    </w:pPr>
    <w:rPr>
      <w:rFonts w:ascii="宋体" w:hAnsi="宋体" w:cs="宋体"/>
      <w:szCs w:val="20"/>
    </w:rPr>
  </w:style>
  <w:style w:type="paragraph" w:customStyle="1" w:styleId="29">
    <w:name w:val="前言标题"/>
    <w:basedOn w:val="1"/>
    <w:qFormat/>
    <w:uiPriority w:val="0"/>
    <w:pPr>
      <w:numPr>
        <w:ilvl w:val="0"/>
        <w:numId w:val="2"/>
      </w:numPr>
      <w:adjustRightInd w:val="0"/>
      <w:spacing w:line="312" w:lineRule="atLeast"/>
      <w:textAlignment w:val="baseline"/>
    </w:pPr>
    <w:rPr>
      <w:rFonts w:ascii="CG Times (W1)" w:hAnsi="CG Times (W1)" w:eastAsia="仿宋_GB2312" w:cs="CG Times (W1)"/>
      <w:kern w:val="0"/>
      <w:sz w:val="30"/>
      <w:szCs w:val="30"/>
    </w:rPr>
  </w:style>
  <w:style w:type="paragraph" w:customStyle="1" w:styleId="30">
    <w:name w:val="标准文件_四级条标题"/>
    <w:basedOn w:val="1"/>
    <w:qFormat/>
    <w:uiPriority w:val="0"/>
    <w:pPr>
      <w:numPr>
        <w:ilvl w:val="5"/>
        <w:numId w:val="2"/>
      </w:numPr>
      <w:adjustRightInd w:val="0"/>
      <w:spacing w:line="312" w:lineRule="atLeast"/>
      <w:textAlignment w:val="baseline"/>
    </w:pPr>
    <w:rPr>
      <w:rFonts w:ascii="CG Times (W1)" w:hAnsi="CG Times (W1)" w:eastAsia="仿宋_GB2312" w:cs="CG Times (W1)"/>
      <w:kern w:val="0"/>
      <w:sz w:val="30"/>
      <w:szCs w:val="30"/>
    </w:rPr>
  </w:style>
  <w:style w:type="paragraph" w:customStyle="1" w:styleId="31">
    <w:name w:val="封面正文"/>
    <w:qFormat/>
    <w:uiPriority w:val="0"/>
    <w:pPr>
      <w:jc w:val="both"/>
    </w:pPr>
    <w:rPr>
      <w:rFonts w:ascii="Times New Roman" w:hAnsi="Times New Roman" w:eastAsia="宋体" w:cs="Times New Roman"/>
      <w:lang w:val="en-US" w:eastAsia="zh-CN" w:bidi="ar-SA"/>
    </w:rPr>
  </w:style>
  <w:style w:type="paragraph" w:customStyle="1" w:styleId="32">
    <w:name w:val="标准文件_五级条标题"/>
    <w:basedOn w:val="1"/>
    <w:qFormat/>
    <w:uiPriority w:val="0"/>
    <w:pPr>
      <w:numPr>
        <w:ilvl w:val="6"/>
        <w:numId w:val="2"/>
      </w:numPr>
      <w:adjustRightInd w:val="0"/>
      <w:spacing w:line="312" w:lineRule="atLeast"/>
      <w:textAlignment w:val="baseline"/>
    </w:pPr>
    <w:rPr>
      <w:rFonts w:ascii="CG Times (W1)" w:hAnsi="CG Times (W1)" w:eastAsia="仿宋_GB2312" w:cs="CG Times (W1)"/>
      <w:kern w:val="0"/>
      <w:sz w:val="30"/>
      <w:szCs w:val="30"/>
    </w:rPr>
  </w:style>
  <w:style w:type="paragraph" w:customStyle="1" w:styleId="33">
    <w:name w:val="Char Char Char Char"/>
    <w:basedOn w:val="1"/>
    <w:qFormat/>
    <w:uiPriority w:val="0"/>
    <w:pPr>
      <w:spacing w:before="312" w:beforeLines="100" w:after="156" w:afterLines="50" w:line="600" w:lineRule="exact"/>
      <w:ind w:firstLine="200" w:firstLineChars="200"/>
    </w:pPr>
  </w:style>
  <w:style w:type="paragraph" w:customStyle="1" w:styleId="34">
    <w:name w:val="三级条标题"/>
    <w:basedOn w:val="35"/>
    <w:next w:val="1"/>
    <w:qFormat/>
    <w:uiPriority w:val="0"/>
    <w:pPr>
      <w:numPr>
        <w:ilvl w:val="4"/>
      </w:numPr>
      <w:outlineLvl w:val="4"/>
    </w:pPr>
  </w:style>
  <w:style w:type="paragraph" w:customStyle="1" w:styleId="35">
    <w:name w:val="二级条标题"/>
    <w:basedOn w:val="36"/>
    <w:next w:val="1"/>
    <w:qFormat/>
    <w:uiPriority w:val="0"/>
    <w:pPr>
      <w:numPr>
        <w:ilvl w:val="3"/>
      </w:numPr>
      <w:outlineLvl w:val="3"/>
    </w:pPr>
  </w:style>
  <w:style w:type="paragraph" w:customStyle="1" w:styleId="36">
    <w:name w:val="一级条标题"/>
    <w:next w:val="1"/>
    <w:link w:val="56"/>
    <w:qFormat/>
    <w:uiPriority w:val="0"/>
    <w:pPr>
      <w:numPr>
        <w:ilvl w:val="2"/>
        <w:numId w:val="3"/>
      </w:numPr>
      <w:outlineLvl w:val="2"/>
    </w:pPr>
    <w:rPr>
      <w:rFonts w:ascii="Times New Roman" w:hAnsi="Times New Roman" w:eastAsia="黑体" w:cs="Times New Roman"/>
      <w:sz w:val="21"/>
      <w:lang w:val="en-US" w:eastAsia="zh-CN" w:bidi="ar-SA"/>
    </w:rPr>
  </w:style>
  <w:style w:type="paragraph" w:customStyle="1" w:styleId="37">
    <w:name w:val="标准文件_正文表标题"/>
    <w:next w:val="1"/>
    <w:qFormat/>
    <w:uiPriority w:val="0"/>
    <w:pPr>
      <w:tabs>
        <w:tab w:val="left" w:pos="0"/>
      </w:tabs>
      <w:jc w:val="center"/>
    </w:pPr>
    <w:rPr>
      <w:rFonts w:ascii="黑体" w:hAnsi="Times New Roman" w:eastAsia="黑体" w:cs="Times New Roman"/>
      <w:sz w:val="21"/>
      <w:lang w:val="en-US" w:eastAsia="zh-CN" w:bidi="ar-SA"/>
    </w:rPr>
  </w:style>
  <w:style w:type="paragraph" w:customStyle="1" w:styleId="38">
    <w:name w:val="五级条标题"/>
    <w:basedOn w:val="39"/>
    <w:next w:val="1"/>
    <w:qFormat/>
    <w:uiPriority w:val="0"/>
    <w:pPr>
      <w:numPr>
        <w:ilvl w:val="6"/>
      </w:numPr>
      <w:outlineLvl w:val="6"/>
    </w:pPr>
  </w:style>
  <w:style w:type="paragraph" w:customStyle="1" w:styleId="39">
    <w:name w:val="四级条标题"/>
    <w:basedOn w:val="34"/>
    <w:next w:val="1"/>
    <w:qFormat/>
    <w:uiPriority w:val="0"/>
    <w:pPr>
      <w:numPr>
        <w:ilvl w:val="5"/>
      </w:numPr>
      <w:outlineLvl w:val="5"/>
    </w:pPr>
  </w:style>
  <w:style w:type="paragraph" w:customStyle="1" w:styleId="40">
    <w:name w:val="标准文件_章标题"/>
    <w:basedOn w:val="1"/>
    <w:qFormat/>
    <w:uiPriority w:val="0"/>
    <w:pPr>
      <w:numPr>
        <w:ilvl w:val="1"/>
        <w:numId w:val="2"/>
      </w:numPr>
      <w:adjustRightInd w:val="0"/>
      <w:spacing w:line="312" w:lineRule="atLeast"/>
      <w:textAlignment w:val="baseline"/>
    </w:pPr>
    <w:rPr>
      <w:rFonts w:ascii="CG Times (W1)" w:hAnsi="CG Times (W1)" w:eastAsia="仿宋_GB2312" w:cs="CG Times (W1)"/>
      <w:kern w:val="0"/>
      <w:sz w:val="30"/>
      <w:szCs w:val="30"/>
    </w:rPr>
  </w:style>
  <w:style w:type="paragraph" w:customStyle="1" w:styleId="41">
    <w:name w:val="标准文件_三级条标题"/>
    <w:basedOn w:val="1"/>
    <w:qFormat/>
    <w:uiPriority w:val="0"/>
    <w:pPr>
      <w:numPr>
        <w:ilvl w:val="4"/>
        <w:numId w:val="2"/>
      </w:numPr>
      <w:adjustRightInd w:val="0"/>
      <w:spacing w:line="312" w:lineRule="atLeast"/>
      <w:textAlignment w:val="baseline"/>
    </w:pPr>
    <w:rPr>
      <w:rFonts w:ascii="CG Times (W1)" w:hAnsi="CG Times (W1)" w:eastAsia="仿宋_GB2312" w:cs="CG Times (W1)"/>
      <w:kern w:val="0"/>
      <w:sz w:val="30"/>
      <w:szCs w:val="30"/>
    </w:rPr>
  </w:style>
  <w:style w:type="paragraph" w:customStyle="1" w:styleId="42">
    <w:name w:val="彩色底纹 - 强调文字颜色 11"/>
    <w:semiHidden/>
    <w:qFormat/>
    <w:uiPriority w:val="99"/>
    <w:rPr>
      <w:rFonts w:ascii="Times New Roman" w:hAnsi="Times New Roman" w:eastAsia="宋体" w:cs="Times New Roman"/>
      <w:kern w:val="2"/>
      <w:sz w:val="21"/>
      <w:szCs w:val="24"/>
      <w:lang w:val="en-US" w:eastAsia="zh-CN" w:bidi="ar-SA"/>
    </w:rPr>
  </w:style>
  <w:style w:type="paragraph" w:customStyle="1" w:styleId="43">
    <w:name w:val="附录标识"/>
    <w:basedOn w:val="27"/>
    <w:qFormat/>
    <w:uiPriority w:val="0"/>
    <w:pPr>
      <w:numPr>
        <w:ilvl w:val="0"/>
        <w:numId w:val="5"/>
      </w:numPr>
      <w:tabs>
        <w:tab w:val="left" w:pos="6405"/>
      </w:tabs>
      <w:spacing w:after="200"/>
    </w:pPr>
    <w:rPr>
      <w:sz w:val="21"/>
    </w:rPr>
  </w:style>
  <w:style w:type="paragraph" w:customStyle="1" w:styleId="44">
    <w:name w:val="Char Char Char Char Char Char Char Char Char Char"/>
    <w:basedOn w:val="1"/>
    <w:qFormat/>
    <w:uiPriority w:val="0"/>
    <w:pPr>
      <w:widowControl/>
      <w:spacing w:after="160" w:line="240" w:lineRule="exact"/>
      <w:jc w:val="left"/>
    </w:pPr>
    <w:rPr>
      <w:rFonts w:ascii="Arial" w:hAnsi="Arial" w:cs="Arial"/>
      <w:b/>
      <w:bCs/>
      <w:kern w:val="0"/>
      <w:sz w:val="24"/>
      <w:lang w:eastAsia="en-US"/>
    </w:rPr>
  </w:style>
  <w:style w:type="paragraph" w:customStyle="1" w:styleId="45">
    <w:name w:val="章标题"/>
    <w:next w:val="1"/>
    <w:qFormat/>
    <w:uiPriority w:val="0"/>
    <w:pPr>
      <w:numPr>
        <w:ilvl w:val="1"/>
        <w:numId w:val="3"/>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46">
    <w:name w:val="目次、标准名称标题"/>
    <w:basedOn w:val="27"/>
    <w:next w:val="23"/>
    <w:qFormat/>
    <w:uiPriority w:val="0"/>
    <w:pPr>
      <w:numPr>
        <w:ilvl w:val="0"/>
        <w:numId w:val="6"/>
      </w:numPr>
      <w:spacing w:line="460" w:lineRule="exact"/>
    </w:pPr>
  </w:style>
  <w:style w:type="paragraph" w:customStyle="1" w:styleId="47">
    <w:name w:val="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48">
    <w:name w:val="段 Char"/>
    <w:qFormat/>
    <w:uiPriority w:val="0"/>
    <w:rPr>
      <w:rFonts w:ascii="宋体"/>
      <w:sz w:val="21"/>
      <w:lang w:val="en-US" w:eastAsia="zh-CN" w:bidi="ar-SA"/>
    </w:rPr>
  </w:style>
  <w:style w:type="character" w:customStyle="1" w:styleId="49">
    <w:name w:val="fontstyle01"/>
    <w:qFormat/>
    <w:uiPriority w:val="0"/>
    <w:rPr>
      <w:rFonts w:hint="eastAsia" w:ascii="宋体" w:hAnsi="宋体" w:eastAsia="宋体"/>
      <w:color w:val="000000"/>
      <w:sz w:val="22"/>
      <w:szCs w:val="22"/>
    </w:rPr>
  </w:style>
  <w:style w:type="character" w:customStyle="1" w:styleId="50">
    <w:name w:val="批注文字 Char"/>
    <w:link w:val="4"/>
    <w:qFormat/>
    <w:uiPriority w:val="0"/>
    <w:rPr>
      <w:rFonts w:ascii="CG Times (W1)" w:hAnsi="CG Times (W1)" w:eastAsia="仿宋_GB2312" w:cs="CG Times (W1)"/>
      <w:sz w:val="30"/>
      <w:szCs w:val="30"/>
    </w:rPr>
  </w:style>
  <w:style w:type="character" w:customStyle="1" w:styleId="51">
    <w:name w:val="日期 Char"/>
    <w:link w:val="5"/>
    <w:qFormat/>
    <w:uiPriority w:val="0"/>
    <w:rPr>
      <w:kern w:val="2"/>
      <w:sz w:val="21"/>
      <w:szCs w:val="24"/>
    </w:rPr>
  </w:style>
  <w:style w:type="character" w:customStyle="1" w:styleId="52">
    <w:name w:val="页脚 Char"/>
    <w:link w:val="7"/>
    <w:qFormat/>
    <w:uiPriority w:val="0"/>
    <w:rPr>
      <w:kern w:val="2"/>
      <w:sz w:val="18"/>
      <w:szCs w:val="18"/>
    </w:rPr>
  </w:style>
  <w:style w:type="character" w:customStyle="1" w:styleId="53">
    <w:name w:val="页眉 Char"/>
    <w:link w:val="8"/>
    <w:qFormat/>
    <w:uiPriority w:val="0"/>
    <w:rPr>
      <w:rFonts w:ascii="CG Times (W1)" w:hAnsi="CG Times (W1)" w:eastAsia="仿宋_GB2312" w:cs="CG Times (W1)"/>
      <w:sz w:val="18"/>
      <w:szCs w:val="18"/>
    </w:rPr>
  </w:style>
  <w:style w:type="character" w:customStyle="1" w:styleId="54">
    <w:name w:val="批注框文本 Char"/>
    <w:link w:val="6"/>
    <w:qFormat/>
    <w:uiPriority w:val="0"/>
    <w:rPr>
      <w:kern w:val="2"/>
      <w:sz w:val="18"/>
      <w:szCs w:val="18"/>
    </w:rPr>
  </w:style>
  <w:style w:type="character" w:customStyle="1" w:styleId="55">
    <w:name w:val="HTML 预设格式 Char"/>
    <w:link w:val="9"/>
    <w:qFormat/>
    <w:uiPriority w:val="0"/>
    <w:rPr>
      <w:rFonts w:ascii="Courier New" w:hAnsi="Courier New" w:cs="Courier New"/>
      <w:kern w:val="2"/>
    </w:rPr>
  </w:style>
  <w:style w:type="character" w:customStyle="1" w:styleId="56">
    <w:name w:val="一级条标题 Char"/>
    <w:link w:val="36"/>
    <w:qFormat/>
    <w:locked/>
    <w:uiPriority w:val="0"/>
    <w:rPr>
      <w:rFonts w:eastAsia="黑体"/>
      <w:sz w:val="21"/>
    </w:rPr>
  </w:style>
  <w:style w:type="paragraph" w:customStyle="1" w:styleId="57">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58">
    <w:name w:val="font11"/>
    <w:qFormat/>
    <w:uiPriority w:val="0"/>
    <w:rPr>
      <w:rFonts w:hint="default" w:ascii="Times New Roman" w:hAnsi="Times New Roman" w:cs="Times New Roman"/>
      <w:color w:val="000000"/>
      <w:sz w:val="13"/>
      <w:szCs w:val="13"/>
      <w:u w:val="none"/>
      <w:vertAlign w:val="superscript"/>
    </w:rPr>
  </w:style>
  <w:style w:type="character" w:customStyle="1" w:styleId="59">
    <w:name w:val="font31"/>
    <w:qFormat/>
    <w:uiPriority w:val="0"/>
    <w:rPr>
      <w:rFonts w:hint="default" w:ascii="Times New Roman" w:hAnsi="Times New Roman" w:cs="Times New Roman"/>
      <w:color w:val="000000"/>
      <w:sz w:val="13"/>
      <w:szCs w:val="13"/>
      <w:u w:val="none"/>
    </w:rPr>
  </w:style>
  <w:style w:type="character" w:customStyle="1" w:styleId="60">
    <w:name w:val="font01"/>
    <w:qFormat/>
    <w:uiPriority w:val="0"/>
    <w:rPr>
      <w:rFonts w:hint="default" w:ascii="Times New Roman" w:hAnsi="Times New Roman" w:cs="Times New Roman"/>
      <w:color w:val="000000"/>
      <w:sz w:val="13"/>
      <w:szCs w:val="13"/>
      <w:u w:val="none"/>
      <w:vertAlign w:val="subscript"/>
    </w:rPr>
  </w:style>
  <w:style w:type="character" w:customStyle="1" w:styleId="61">
    <w:name w:val="标题 1 Char"/>
    <w:link w:val="2"/>
    <w:qFormat/>
    <w:uiPriority w:val="0"/>
    <w:rPr>
      <w:b/>
      <w:bCs/>
      <w:kern w:val="44"/>
      <w:sz w:val="44"/>
      <w:szCs w:val="44"/>
    </w:rPr>
  </w:style>
  <w:style w:type="character" w:customStyle="1" w:styleId="62">
    <w:name w:val="标题 3 Char"/>
    <w:link w:val="3"/>
    <w:qFormat/>
    <w:uiPriority w:val="9"/>
    <w:rPr>
      <w:b/>
      <w:bCs/>
      <w:kern w:val="2"/>
      <w:sz w:val="32"/>
      <w:szCs w:val="32"/>
    </w:rPr>
  </w:style>
  <w:style w:type="character" w:customStyle="1" w:styleId="63">
    <w:name w:val="批注主题 Char"/>
    <w:link w:val="11"/>
    <w:semiHidden/>
    <w:qFormat/>
    <w:uiPriority w:val="99"/>
    <w:rPr>
      <w:rFonts w:ascii="CG Times (W1)" w:hAnsi="CG Times (W1)" w:eastAsia="仿宋_GB2312" w:cs="CG Times (W1)"/>
      <w:b/>
      <w:bCs/>
      <w:kern w:val="2"/>
      <w:sz w:val="21"/>
      <w:szCs w:val="24"/>
    </w:rPr>
  </w:style>
  <w:style w:type="table" w:customStyle="1" w:styleId="64">
    <w:name w:val="网格型1"/>
    <w:basedOn w:val="1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5">
    <w:name w:val="网格型2"/>
    <w:basedOn w:val="1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6">
    <w:name w:val="数字编号列项（二级）"/>
    <w:qFormat/>
    <w:uiPriority w:val="0"/>
    <w:pPr>
      <w:numPr>
        <w:ilvl w:val="1"/>
        <w:numId w:val="7"/>
      </w:numPr>
      <w:jc w:val="both"/>
    </w:pPr>
    <w:rPr>
      <w:rFonts w:ascii="宋体" w:hAnsi="Times New Roman" w:eastAsia="宋体" w:cs="Times New Roman"/>
      <w:sz w:val="21"/>
      <w:lang w:val="en-US" w:eastAsia="zh-CN" w:bidi="ar-SA"/>
    </w:rPr>
  </w:style>
  <w:style w:type="paragraph" w:customStyle="1" w:styleId="67">
    <w:name w:val="字母编号列项（一级）"/>
    <w:qFormat/>
    <w:uiPriority w:val="0"/>
    <w:pPr>
      <w:numPr>
        <w:ilvl w:val="0"/>
        <w:numId w:val="7"/>
      </w:numPr>
      <w:jc w:val="both"/>
    </w:pPr>
    <w:rPr>
      <w:rFonts w:ascii="宋体" w:hAnsi="Times New Roman" w:eastAsia="宋体" w:cs="Times New Roman"/>
      <w:sz w:val="21"/>
      <w:lang w:val="en-US" w:eastAsia="zh-CN" w:bidi="ar-SA"/>
    </w:rPr>
  </w:style>
  <w:style w:type="paragraph" w:customStyle="1" w:styleId="68">
    <w:name w:val="编号列项（三级）"/>
    <w:qFormat/>
    <w:uiPriority w:val="0"/>
    <w:pPr>
      <w:numPr>
        <w:ilvl w:val="2"/>
        <w:numId w:val="7"/>
      </w:numPr>
    </w:pPr>
    <w:rPr>
      <w:rFonts w:ascii="宋体" w:hAnsi="Times New Roman" w:eastAsia="宋体" w:cs="Times New Roman"/>
      <w:sz w:val="21"/>
      <w:lang w:val="en-US" w:eastAsia="zh-CN" w:bidi="ar-SA"/>
    </w:rPr>
  </w:style>
  <w:style w:type="table" w:customStyle="1" w:styleId="69">
    <w:name w:val="网格型3"/>
    <w:basedOn w:val="1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d52df84-f5c1-4289-8822-32190e23a0e0}"/>
        <w:style w:val=""/>
        <w:category>
          <w:name w:val="常规"/>
          <w:gallery w:val="placeholder"/>
        </w:category>
        <w:types>
          <w:type w:val="bbPlcHdr"/>
        </w:types>
        <w:behaviors>
          <w:behavior w:val="content"/>
        </w:behaviors>
        <w:description w:val=""/>
        <w:guid w:val="{4d52df84-f5c1-4289-8822-32190e23a0e0}"/>
      </w:docPartPr>
      <w:docPartBody>
        <w:p>
          <w:pPr>
            <w:pStyle w:val="6"/>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E74"/>
    <w:rsid w:val="006C04D4"/>
    <w:rsid w:val="00E72F8B"/>
    <w:rsid w:val="00EA2E74"/>
    <w:rsid w:val="00F56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E6F28C1BC0046C48919E3BCB3E11F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F997F7F0C73415DB7138E09BF9ACA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07B5C7F60E94B01B886E9F8C09A13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02E74C9390AC4289BC84E8A0CC37E69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C50CE3-1875-4BCC-9EB6-1A9A7AF16DDA}">
  <ds:schemaRefs/>
</ds:datastoreItem>
</file>

<file path=docProps/app.xml><?xml version="1.0" encoding="utf-8"?>
<Properties xmlns="http://schemas.openxmlformats.org/officeDocument/2006/extended-properties" xmlns:vt="http://schemas.openxmlformats.org/officeDocument/2006/docPropsVTypes">
  <Template>Normal.dotm</Template>
  <Company>科技部</Company>
  <Pages>10</Pages>
  <Words>1232</Words>
  <Characters>7027</Characters>
  <Lines>58</Lines>
  <Paragraphs>16</Paragraphs>
  <TotalTime>2</TotalTime>
  <ScaleCrop>false</ScaleCrop>
  <LinksUpToDate>false</LinksUpToDate>
  <CharactersWithSpaces>8243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2021-06-18T03:47:00Z</dcterms:created>
  <dc:creator>标准科</dc:creator>
  <cp:lastModifiedBy>肖儿</cp:lastModifiedBy>
  <cp:lastPrinted>2014-11-24T03:17:00Z</cp:lastPrinted>
  <dcterms:modified xsi:type="dcterms:W3CDTF">2021-06-21T01:34:03Z</dcterms:modified>
  <dc:title>《热交换器和冷凝器用钛及钛合金无管》</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F7B72D5C98264AACA852C469EDAFCF2B</vt:lpwstr>
  </property>
</Properties>
</file>