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3"/>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425" w:num="1"/>
          <w:titlePg/>
          <w:docGrid w:type="lines" w:linePitch="312" w:charSpace="0"/>
        </w:sectPr>
      </w:pPr>
      <w:bookmarkStart w:id="4" w:name="_GoBack"/>
      <w:bookmarkEnd w:id="4"/>
      <w:bookmarkStart w:id="0" w:name="SectionMark0"/>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4" name="Line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id="Line 11" o:spid="_x0000_s1026" o:spt="20" style="position:absolute;left:0pt;margin-left:0pt;margin-top:699.95pt;height:0pt;width:482pt;z-index:251661312;mso-width-relative:page;mso-height-relative:page;" filled="f" stroked="t" coordsize="21600,21600" o:gfxdata="UEsDBAoAAAAAAIdO4kAAAAAAAAAAAAAAAAAEAAAAZHJzL1BLAwQUAAAACACHTuJAMYH++9c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YH++9cAAAAKAQAADwAAAAAAAAABACAAAAAiAAAA&#10;ZHJzL2Rvd25yZXYueG1sUEsBAhQAFAAAAAgAh07iQFR45znPAQAAsAMAAA4AAAAAAAAAAQAgAAAA&#10;JgEAAGRycy9lMm9Eb2MueG1sUEsFBgAAAAAGAAYAWQEAAGc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2272665</wp:posOffset>
                </wp:positionV>
                <wp:extent cx="6121400" cy="0"/>
                <wp:effectExtent l="0" t="0" r="0" b="0"/>
                <wp:wrapNone/>
                <wp:docPr id="13"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id="Line 10" o:spid="_x0000_s1026" o:spt="20" style="position:absolute;left:0pt;margin-left:0pt;margin-top:178.95pt;height:0pt;width:482pt;z-index:251660288;mso-width-relative:page;mso-height-relative:page;" filled="f" stroked="t" coordsize="21600,21600" o:gfxdata="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77LbtcAAAAIAQAADwAAAAAAAAABACAAAAAiAAAA&#10;ZHJzL2Rvd25yZXYueG1sUEsBAhQAFAAAAAgAh07iQKyepQPPAQAAsAMAAA4AAAAAAAAAAQAgAAAA&#10;JgEAAGRycy9lMm9Eb2MueG1sUEsFBgAAAAAGAAYAWQEAAGcFAAAAAA==&#10;">
                <v:fill on="f" focussize="0,0"/>
                <v:stroke weight="1pt" color="#080000" joinstyle="round"/>
                <v:imagedata o:title=""/>
                <o:lock v:ext="edit" aspectratio="f"/>
              </v:line>
            </w:pict>
          </mc:Fallback>
        </mc:AlternateContent>
      </w:r>
      <w:bookmarkStart w:id="1" w:name="_Hlk57585389"/>
      <w:bookmarkEnd w:id="1"/>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9108440</wp:posOffset>
                </wp:positionV>
                <wp:extent cx="6120130" cy="363220"/>
                <wp:effectExtent l="0" t="0" r="6350" b="2540"/>
                <wp:wrapNone/>
                <wp:docPr id="11"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pPr>
                              <w:pStyle w:val="28"/>
                              <w:jc w:val="center"/>
                              <w:rPr>
                                <w:color w:val="000000"/>
                              </w:rPr>
                            </w:pPr>
                            <w:r>
                              <w:rPr>
                                <w:rFonts w:hint="eastAsia"/>
                                <w:b/>
                                <w:color w:val="000000"/>
                                <w:szCs w:val="36"/>
                              </w:rPr>
                              <w:t>中华人民共和国</w:t>
                            </w:r>
                            <w:r>
                              <w:rPr>
                                <w:rFonts w:hint="eastAsia" w:hAnsi="宋体"/>
                                <w:b/>
                                <w:color w:val="000000"/>
                                <w:szCs w:val="36"/>
                              </w:rPr>
                              <w:t xml:space="preserve">工业和信息化部 </w:t>
                            </w:r>
                            <w:r>
                              <w:rPr>
                                <w:rFonts w:hint="eastAsia"/>
                                <w:b/>
                                <w:color w:val="000000"/>
                                <w:sz w:val="24"/>
                                <w:szCs w:val="24"/>
                              </w:rPr>
                              <w:t>发 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5926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YG69gAAAAKAQAADwAAAAAA&#10;AAABACAAAAAiAAAAZHJzL2Rvd25yZXYueG1sUEsBAhQAFAAAAAgAh07iQL9l/84TAgAAOgQAAA4A&#10;AAAAAAAAAQAgAAAAJwEAAGRycy9lMm9Eb2MueG1sUEsFBgAAAAAGAAYAWQEAAKwFAAAAAA==&#10;">
                <v:fill on="t" focussize="0,0"/>
                <v:stroke on="f"/>
                <v:imagedata o:title=""/>
                <o:lock v:ext="edit" aspectratio="f"/>
                <v:textbox inset="0mm,0mm,0mm,0mm">
                  <w:txbxContent>
                    <w:p>
                      <w:pPr>
                        <w:pStyle w:val="28"/>
                        <w:jc w:val="center"/>
                        <w:rPr>
                          <w:color w:val="000000"/>
                        </w:rPr>
                      </w:pPr>
                      <w:r>
                        <w:rPr>
                          <w:rFonts w:hint="eastAsia"/>
                          <w:b/>
                          <w:color w:val="000000"/>
                          <w:szCs w:val="36"/>
                        </w:rPr>
                        <w:t>中华人民共和国</w:t>
                      </w:r>
                      <w:r>
                        <w:rPr>
                          <w:rFonts w:hint="eastAsia" w:hAnsi="宋体"/>
                          <w:b/>
                          <w:color w:val="000000"/>
                          <w:szCs w:val="36"/>
                        </w:rPr>
                        <w:t xml:space="preserve">工业和信息化部 </w:t>
                      </w:r>
                      <w:r>
                        <w:rPr>
                          <w:rFonts w:hint="eastAsia"/>
                          <w:b/>
                          <w:color w:val="000000"/>
                          <w:sz w:val="24"/>
                          <w:szCs w:val="24"/>
                        </w:rPr>
                        <w:t>发 布</w:t>
                      </w: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10"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5obEHBMCAAA6BAAA&#10;DgAAAAAAAAABACAAAAApAQAAZHJzL2Uyb0RvYy54bWxQSwUGAAAAAAYABgBZAQAArgUAAAAA&#10;">
                <v:fill on="t" focussize="0,0"/>
                <v:stroke on="f"/>
                <v:imagedata o:title=""/>
                <o:lock v:ext="edit" aspectratio="f"/>
                <v:textbox inset="0mm,0mm,0mm,0mm">
                  <w:txbxContent>
                    <w:p>
                      <w:r>
                        <w:rPr>
                          <w:rFonts w:hint="eastAsia"/>
                        </w:rPr>
                        <w:t>××××-××-××实施</w:t>
                      </w: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9"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PUNr0QTAgAAOQQAAA4A&#10;AAAAAAAAAQAgAAAAJwEAAGRycy9lMm9Eb2MueG1sUEsFBgAAAAAGAAYAWQEAAKwFAAAAAA==&#10;">
                <v:fill on="t" focussize="0,0"/>
                <v:stroke on="f"/>
                <v:imagedata o:title=""/>
                <o:lock v:ext="edit" aspectratio="f"/>
                <v:textbox inset="0mm,0mm,0mm,0mm">
                  <w:txbxContent>
                    <w:p>
                      <w:r>
                        <w:rPr>
                          <w:rFonts w:hint="eastAsia"/>
                        </w:rPr>
                        <w:t>××××-××-××发布</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3635375</wp:posOffset>
                </wp:positionV>
                <wp:extent cx="5969000" cy="4681220"/>
                <wp:effectExtent l="0" t="0" r="5080" b="12700"/>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pPr>
                              <w:pStyle w:val="72"/>
                              <w:rPr>
                                <w:rFonts w:ascii="黑体" w:eastAsia="黑体"/>
                                <w:sz w:val="52"/>
                              </w:rPr>
                            </w:pPr>
                            <w:r>
                              <w:rPr>
                                <w:rFonts w:hint="eastAsia" w:ascii="黑体" w:eastAsia="黑体"/>
                                <w:sz w:val="52"/>
                              </w:rPr>
                              <w:t>黄铜熔铸副产品铜锌富集物</w:t>
                            </w:r>
                          </w:p>
                          <w:p>
                            <w:pPr>
                              <w:pStyle w:val="70"/>
                            </w:pPr>
                            <w:r>
                              <w:rPr>
                                <w:sz w:val="28"/>
                              </w:rPr>
                              <w:t>Copper and zinc concentrates, by-product of brass melting and casting</w:t>
                            </w:r>
                            <w:r>
                              <w:rPr>
                                <w:rFonts w:hint="eastAsia"/>
                              </w:rPr>
                              <w:t>（草案稿）</w:t>
                            </w:r>
                          </w:p>
                          <w:p>
                            <w:pPr>
                              <w:pStyle w:val="69"/>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5721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UV59x2AAAAAkBAAAPAAAA&#10;AAAAAAEAIAAAACIAAABkcnMvZG93bnJldi54bWxQSwECFAAUAAAACACHTuJAt7LgExUCAAA6BAAA&#10;DgAAAAAAAAABACAAAAAnAQAAZHJzL2Uyb0RvYy54bWxQSwUGAAAAAAYABgBZAQAArgUAAAAA&#10;">
                <v:fill on="t" focussize="0,0"/>
                <v:stroke on="f"/>
                <v:imagedata o:title=""/>
                <o:lock v:ext="edit" aspectratio="f"/>
                <v:textbox inset="0mm,0mm,0mm,0mm">
                  <w:txbxContent>
                    <w:p>
                      <w:pPr>
                        <w:pStyle w:val="72"/>
                        <w:rPr>
                          <w:rFonts w:ascii="黑体" w:eastAsia="黑体"/>
                          <w:sz w:val="52"/>
                        </w:rPr>
                      </w:pPr>
                      <w:r>
                        <w:rPr>
                          <w:rFonts w:hint="eastAsia" w:ascii="黑体" w:eastAsia="黑体"/>
                          <w:sz w:val="52"/>
                        </w:rPr>
                        <w:t>黄铜熔铸副产品铜锌富集物</w:t>
                      </w:r>
                    </w:p>
                    <w:p>
                      <w:pPr>
                        <w:pStyle w:val="70"/>
                      </w:pPr>
                      <w:r>
                        <w:rPr>
                          <w:sz w:val="28"/>
                        </w:rPr>
                        <w:t>Copper and zinc concentrates, by-product of brass melting and casting</w:t>
                      </w:r>
                      <w:r>
                        <w:rPr>
                          <w:rFonts w:hint="eastAsia"/>
                        </w:rPr>
                        <w:t>（草案稿）</w:t>
                      </w:r>
                    </w:p>
                    <w:p>
                      <w:pPr>
                        <w:pStyle w:val="69"/>
                      </w:pP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-38100</wp:posOffset>
                </wp:positionH>
                <wp:positionV relativeFrom="margin">
                  <wp:posOffset>1725295</wp:posOffset>
                </wp:positionV>
                <wp:extent cx="5802630" cy="876935"/>
                <wp:effectExtent l="0" t="0" r="3810" b="6985"/>
                <wp:wrapNone/>
                <wp:docPr id="6"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76935"/>
                        </a:xfrm>
                        <a:prstGeom prst="rect">
                          <a:avLst/>
                        </a:prstGeom>
                        <a:solidFill>
                          <a:srgbClr val="FFFFFF"/>
                        </a:solidFill>
                        <a:ln>
                          <a:noFill/>
                        </a:ln>
                        <a:effectLst/>
                      </wps:spPr>
                      <wps:txbx>
                        <w:txbxContent>
                          <w:p>
                            <w:pPr>
                              <w:spacing w:line="200" w:lineRule="exact"/>
                              <w:ind w:right="420"/>
                              <w:jc w:val="right"/>
                              <w:rPr>
                                <w:color w:val="000000"/>
                              </w:rPr>
                            </w:pPr>
                            <w:r>
                              <w:rPr>
                                <w:color w:val="000000"/>
                              </w:rPr>
                              <w:t>YS/T</w:t>
                            </w:r>
                            <w:r>
                              <w:rPr>
                                <w:rFonts w:hint="eastAsia"/>
                                <w:color w:val="000000"/>
                              </w:rPr>
                              <w:t>××</w:t>
                            </w:r>
                            <w:r>
                              <w:rPr>
                                <w:color w:val="000000"/>
                              </w:rPr>
                              <w:t xml:space="preserve"> —</w:t>
                            </w:r>
                            <w:r>
                              <w:rPr>
                                <w:rFonts w:hint="eastAsia"/>
                                <w:color w:val="000000"/>
                              </w:rPr>
                              <w:t>××××</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3pt;margin-top:135.85pt;height:69.05pt;width:456.9pt;mso-position-horizontal-relative:margin;mso-position-vertical-relative:margin;z-index:251656192;mso-width-relative:page;mso-height-relative:page;" fillcolor="#FFFFFF" filled="t" stroked="f" coordsize="21600,21600" o:gfxdata="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ZgPnaAAAACgEAAA8A&#10;AAAAAAAAAQAgAAAAIgAAAGRycy9kb3ducmV2LnhtbFBLAQIUABQAAAAIAIdO4kDqPsS/FQIAADkE&#10;AAAOAAAAAAAAAAEAIAAAACkBAABkcnMvZTJvRG9jLnhtbFBLBQYAAAAABgAGAFkBAACwBQAAAAA=&#10;">
                <v:fill on="t" focussize="0,0"/>
                <v:stroke on="f"/>
                <v:imagedata o:title=""/>
                <o:lock v:ext="edit" aspectratio="f"/>
                <v:textbox inset="0mm,0mm,0mm,0mm">
                  <w:txbxContent>
                    <w:p>
                      <w:pPr>
                        <w:spacing w:line="200" w:lineRule="exact"/>
                        <w:ind w:right="420"/>
                        <w:jc w:val="right"/>
                        <w:rPr>
                          <w:color w:val="000000"/>
                        </w:rPr>
                      </w:pPr>
                      <w:r>
                        <w:rPr>
                          <w:color w:val="000000"/>
                        </w:rPr>
                        <w:t>YS/T</w:t>
                      </w:r>
                      <w:r>
                        <w:rPr>
                          <w:rFonts w:hint="eastAsia"/>
                          <w:color w:val="000000"/>
                        </w:rPr>
                        <w:t>××</w:t>
                      </w:r>
                      <w:r>
                        <w:rPr>
                          <w:color w:val="000000"/>
                        </w:rPr>
                        <w:t xml:space="preserve"> —</w:t>
                      </w:r>
                      <w:r>
                        <w:rPr>
                          <w:rFonts w:hint="eastAsia"/>
                          <w:color w:val="000000"/>
                        </w:rPr>
                        <w:t>××××</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2549525</wp:posOffset>
                </wp:positionH>
                <wp:positionV relativeFrom="margin">
                  <wp:posOffset>107315</wp:posOffset>
                </wp:positionV>
                <wp:extent cx="3175000" cy="720090"/>
                <wp:effectExtent l="0" t="0" r="10160" b="11430"/>
                <wp:wrapNone/>
                <wp:docPr id="5"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pPr>
                              <w:jc w:val="right"/>
                              <w:rPr>
                                <w:b/>
                                <w:sz w:val="96"/>
                                <w:szCs w:val="96"/>
                              </w:rPr>
                            </w:pPr>
                            <w:r>
                              <w:rPr>
                                <w:b/>
                                <w:sz w:val="96"/>
                                <w:szCs w:val="96"/>
                              </w:rP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55168;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lZOzzYAAAACgEAAA8AAAAA&#10;AAAAAQAgAAAAIgAAAGRycy9kb3ducmV2LnhtbFBLAQIUABQAAAAIAIdO4kBUSsyIFAIAADkEAAAO&#10;AAAAAAAAAAEAIAAAACcBAABkcnMvZTJvRG9jLnhtbFBLBQYAAAAABgAGAFkBAACtBQAAAAA=&#10;">
                <v:fill on="t" focussize="0,0"/>
                <v:stroke on="f"/>
                <v:imagedata o:title=""/>
                <o:lock v:ext="edit" aspectratio="f"/>
                <v:textbox inset="0mm,0mm,0mm,0mm">
                  <w:txbxContent>
                    <w:p>
                      <w:pPr>
                        <w:jc w:val="right"/>
                        <w:rPr>
                          <w:b/>
                          <w:sz w:val="96"/>
                          <w:szCs w:val="96"/>
                        </w:rPr>
                      </w:pPr>
                      <w:r>
                        <w:rPr>
                          <w:b/>
                          <w:sz w:val="96"/>
                          <w:szCs w:val="96"/>
                        </w:rPr>
                        <w:t>YS</w:t>
                      </w: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1010920</wp:posOffset>
                </wp:positionV>
                <wp:extent cx="6067425" cy="578485"/>
                <wp:effectExtent l="0" t="0" r="13335" b="635"/>
                <wp:wrapNone/>
                <wp:docPr id="4"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ffectLst/>
                      </wps:spPr>
                      <wps:txbx>
                        <w:txbxContent>
                          <w:p>
                            <w:pPr>
                              <w:rPr>
                                <w:rFonts w:ascii="黑体" w:hAnsi="黑体" w:eastAsia="黑体"/>
                                <w:spacing w:val="90"/>
                                <w:sz w:val="52"/>
                                <w:szCs w:val="52"/>
                              </w:rPr>
                            </w:pPr>
                            <w:r>
                              <w:rPr>
                                <w:rFonts w:hint="eastAsia" w:ascii="黑体" w:hAnsi="黑体" w:eastAsia="黑体"/>
                                <w:spacing w:val="90"/>
                                <w:sz w:val="52"/>
                                <w:szCs w:val="52"/>
                              </w:rPr>
                              <w:t>中华人民共和国有色行业标准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45.55pt;width:477.75pt;mso-position-horizontal-relative:margin;mso-position-vertical-relative:margin;z-index:251654144;mso-width-relative:page;mso-height-relative:page;" fillcolor="#FFFFFF" filled="t" stroked="f" coordsize="21600,21600" o:gfxdata="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IHWhnXAAAACAEAAA8AAAAA&#10;AAAAAQAgAAAAIgAAAGRycy9kb3ducmV2LnhtbFBLAQIUABQAAAAIAIdO4kC+V/MnFQIAADkEAAAO&#10;AAAAAAAAAAEAIAAAACYBAABkcnMvZTJvRG9jLnhtbFBLBQYAAAAABgAGAFkBAACtBQAAAAA=&#10;">
                <v:fill on="t" focussize="0,0"/>
                <v:stroke on="f"/>
                <v:imagedata o:title=""/>
                <o:lock v:ext="edit" aspectratio="f"/>
                <v:textbox inset="0mm,0mm,0mm,0mm">
                  <w:txbxContent>
                    <w:p>
                      <w:pPr>
                        <w:rPr>
                          <w:rFonts w:ascii="黑体" w:hAnsi="黑体" w:eastAsia="黑体"/>
                          <w:spacing w:val="90"/>
                          <w:sz w:val="52"/>
                          <w:szCs w:val="52"/>
                        </w:rPr>
                      </w:pPr>
                      <w:r>
                        <w:rPr>
                          <w:rFonts w:hint="eastAsia" w:ascii="黑体" w:hAnsi="黑体" w:eastAsia="黑体"/>
                          <w:spacing w:val="90"/>
                          <w:sz w:val="52"/>
                          <w:szCs w:val="52"/>
                        </w:rPr>
                        <w:t>中华人民共和国有色行业标准</w:t>
                      </w:r>
                    </w:p>
                  </w:txbxContent>
                </v:textbox>
                <w10:anchorlock/>
              </v:shape>
            </w:pict>
          </mc:Fallback>
        </mc:AlternateContent>
      </w:r>
      <w:r>
        <mc:AlternateContent>
          <mc:Choice Requires="wps">
            <w:drawing>
              <wp:anchor distT="0" distB="0" distL="114300" distR="114300" simplePos="0" relativeHeight="251653120" behindDoc="0" locked="1" layoutInCell="1" allowOverlap="1">
                <wp:simplePos x="0" y="0"/>
                <wp:positionH relativeFrom="margin">
                  <wp:posOffset>-87630</wp:posOffset>
                </wp:positionH>
                <wp:positionV relativeFrom="margin">
                  <wp:posOffset>132080</wp:posOffset>
                </wp:positionV>
                <wp:extent cx="2540000" cy="657860"/>
                <wp:effectExtent l="0" t="0" r="5080" b="12700"/>
                <wp:wrapNone/>
                <wp:docPr id="3"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r>
                              <w:rPr>
                                <w:rFonts w:hint="eastAsia"/>
                              </w:rPr>
                              <w:t>ICS 77.150.30</w:t>
                            </w:r>
                          </w:p>
                          <w:p>
                            <w:r>
                              <w:rPr>
                                <w:rFonts w:hint="eastAsia"/>
                              </w:rPr>
                              <w:t>CCS H62</w:t>
                            </w:r>
                          </w:p>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6.9pt;margin-top:10.4pt;height:51.8pt;width:200pt;mso-position-horizontal-relative:margin;mso-position-vertical-relative:margin;z-index:251653120;mso-width-relative:page;mso-height-relative:page;" fillcolor="#FFFFFF" filled="t" stroked="f" coordsize="21600,21600" o:gfxdata="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mGCZ9kAAAAKAQAADwAA&#10;AAAAAAABACAAAAAiAAAAZHJzL2Rvd25yZXYueG1sUEsBAhQAFAAAAAgAh07iQJczFsIVAgAAOQQA&#10;AA4AAAAAAAAAAQAgAAAAKAEAAGRycy9lMm9Eb2MueG1sUEsFBgAAAAAGAAYAWQEAAK8FAAAAAA==&#10;">
                <v:fill on="t" focussize="0,0"/>
                <v:stroke on="f"/>
                <v:imagedata o:title=""/>
                <o:lock v:ext="edit" aspectratio="f"/>
                <v:textbox inset="0mm,0mm,0mm,0mm">
                  <w:txbxContent>
                    <w:p>
                      <w:r>
                        <w:rPr>
                          <w:rFonts w:hint="eastAsia"/>
                        </w:rPr>
                        <w:t>ICS 77.150.30</w:t>
                      </w:r>
                    </w:p>
                    <w:p>
                      <w:r>
                        <w:rPr>
                          <w:rFonts w:hint="eastAsia"/>
                        </w:rPr>
                        <w:t>CCS H62</w:t>
                      </w:r>
                    </w:p>
                    <w:p/>
                  </w:txbxContent>
                </v:textbox>
                <w10:anchorlock/>
              </v:shape>
            </w:pict>
          </mc:Fallback>
        </mc:AlternateContent>
      </w:r>
    </w:p>
    <w:bookmarkEnd w:id="0"/>
    <w:p>
      <w:pPr>
        <w:pStyle w:val="56"/>
      </w:pPr>
      <w:bookmarkStart w:id="2" w:name="SectionMark2"/>
      <w:r>
        <w:rPr>
          <w:rFonts w:hint="eastAsia"/>
        </w:rPr>
        <w:t>前    言</w:t>
      </w:r>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本文件由全国有色金属标准化技术委员会</w:t>
      </w:r>
      <w:r>
        <w:rPr>
          <w:rFonts w:hint="eastAsia" w:hAnsi="宋体"/>
        </w:rPr>
        <w:t>（SAC/TC 243）提出并</w:t>
      </w:r>
      <w:r>
        <w:rPr>
          <w:rFonts w:hint="eastAsia"/>
        </w:rPr>
        <w:t>归口。</w:t>
      </w:r>
    </w:p>
    <w:p>
      <w:pPr>
        <w:pStyle w:val="58"/>
        <w:ind w:firstLine="420"/>
      </w:pPr>
      <w:r>
        <w:rPr>
          <w:rFonts w:hint="eastAsia"/>
        </w:rPr>
        <w:t>本文件起草单位：</w:t>
      </w:r>
    </w:p>
    <w:p>
      <w:pPr>
        <w:pStyle w:val="58"/>
        <w:ind w:firstLine="420"/>
      </w:pPr>
      <w:r>
        <w:rPr>
          <w:rFonts w:hint="eastAsia"/>
        </w:rPr>
        <w:t>本文件主要起草人：</w:t>
      </w:r>
    </w:p>
    <w:p>
      <w:pPr>
        <w:pStyle w:val="85"/>
        <w:numPr>
          <w:ilvl w:val="0"/>
          <w:numId w:val="0"/>
        </w:numPr>
        <w:tabs>
          <w:tab w:val="left" w:pos="420"/>
        </w:tabs>
      </w:pPr>
    </w:p>
    <w:p>
      <w:pPr>
        <w:pStyle w:val="85"/>
        <w:numPr>
          <w:ilvl w:val="0"/>
          <w:numId w:val="0"/>
        </w:numPr>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p>
      <w:pPr>
        <w:pStyle w:val="85"/>
        <w:numPr>
          <w:ilvl w:val="0"/>
          <w:numId w:val="0"/>
        </w:numPr>
        <w:ind w:left="840" w:hanging="420"/>
      </w:pPr>
    </w:p>
    <w:bookmarkEnd w:id="2"/>
    <w:p>
      <w:pPr>
        <w:pStyle w:val="87"/>
      </w:pPr>
      <w:bookmarkStart w:id="3" w:name="SectionMark4"/>
    </w:p>
    <w:p>
      <w:pPr>
        <w:pStyle w:val="87"/>
      </w:pPr>
    </w:p>
    <w:p>
      <w:pPr>
        <w:pStyle w:val="87"/>
        <w:numPr>
          <w:ilvl w:val="0"/>
          <w:numId w:val="0"/>
        </w:numPr>
        <w:jc w:val="both"/>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snapToGrid w:val="0"/>
        <w:spacing w:line="340" w:lineRule="atLeast"/>
        <w:ind w:firstLine="420"/>
        <w:jc w:val="center"/>
        <w:rPr>
          <w:rFonts w:ascii="黑体" w:eastAsia="黑体"/>
          <w:sz w:val="32"/>
          <w:szCs w:val="32"/>
        </w:rPr>
      </w:pPr>
      <w:r>
        <w:rPr>
          <w:rFonts w:hint="eastAsia" w:ascii="黑体" w:eastAsia="黑体"/>
          <w:sz w:val="32"/>
          <w:szCs w:val="32"/>
        </w:rPr>
        <w:t>黄铜熔铸副产品铜锌富集物</w:t>
      </w:r>
    </w:p>
    <w:p>
      <w:pPr>
        <w:pStyle w:val="59"/>
        <w:spacing w:before="156" w:after="156"/>
      </w:pPr>
      <w:r>
        <w:rPr>
          <w:rFonts w:hint="eastAsia"/>
        </w:rPr>
        <w:t>范围</w:t>
      </w:r>
    </w:p>
    <w:p>
      <w:pPr>
        <w:pStyle w:val="58"/>
        <w:ind w:firstLine="420"/>
      </w:pPr>
      <w:r>
        <w:rPr>
          <w:rFonts w:hint="eastAsia"/>
        </w:rPr>
        <w:t>本文件规定了黄铜熔铸副产品铜锌富集物的技术要求、试验方法、检验规则及标志、包装、运输、贮存和随行文件、订货单内容。</w:t>
      </w:r>
    </w:p>
    <w:p>
      <w:pPr>
        <w:pStyle w:val="58"/>
        <w:ind w:firstLine="420"/>
        <w:rPr>
          <w:sz w:val="20"/>
        </w:rPr>
      </w:pPr>
      <w:r>
        <w:rPr>
          <w:rFonts w:hint="eastAsia"/>
        </w:rPr>
        <w:t>本文件适用于黄铜熔铸过程产生的，经综合处理后得到的，供化工或冶金等用的铜锌富集物。（以下简称铜锌富集物）。</w:t>
      </w:r>
    </w:p>
    <w:p>
      <w:pPr>
        <w:pStyle w:val="59"/>
        <w:spacing w:before="156" w:after="156"/>
      </w:pPr>
      <w:r>
        <w:rPr>
          <w:rFonts w:hint="eastAsia"/>
        </w:rPr>
        <w:t>规范性引用文件</w:t>
      </w:r>
    </w:p>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rPr>
          <w:rFonts w:ascii="宋体" w:hAnsi="宋体"/>
          <w:kern w:val="0"/>
          <w:szCs w:val="46"/>
        </w:rPr>
      </w:pPr>
      <w:r>
        <w:rPr>
          <w:rFonts w:hint="eastAsia" w:ascii="宋体" w:hAnsi="宋体"/>
          <w:kern w:val="0"/>
          <w:szCs w:val="46"/>
        </w:rPr>
        <w:t>GB/T 5121.1 铜及铜合金化学分析方法 第1部分：铜含量的测定</w:t>
      </w:r>
    </w:p>
    <w:p>
      <w:pPr>
        <w:autoSpaceDE w:val="0"/>
        <w:autoSpaceDN w:val="0"/>
        <w:adjustRightInd w:val="0"/>
        <w:ind w:firstLine="420" w:firstLineChars="200"/>
        <w:rPr>
          <w:rFonts w:ascii="宋体" w:hAnsi="宋体"/>
          <w:kern w:val="0"/>
          <w:szCs w:val="46"/>
        </w:rPr>
      </w:pPr>
      <w:r>
        <w:rPr>
          <w:rFonts w:hint="eastAsia" w:ascii="宋体" w:hAnsi="宋体"/>
          <w:kern w:val="0"/>
          <w:szCs w:val="46"/>
        </w:rPr>
        <w:t>GB/T 8170 数值修约规则与极限数值的表示和判定</w:t>
      </w:r>
    </w:p>
    <w:p>
      <w:pPr>
        <w:autoSpaceDE w:val="0"/>
        <w:autoSpaceDN w:val="0"/>
        <w:adjustRightInd w:val="0"/>
        <w:ind w:firstLine="420" w:firstLineChars="200"/>
        <w:rPr>
          <w:rFonts w:ascii="宋体" w:hAnsi="宋体"/>
          <w:kern w:val="0"/>
          <w:szCs w:val="46"/>
        </w:rPr>
      </w:pPr>
      <w:r>
        <w:rPr>
          <w:rFonts w:hint="eastAsia" w:ascii="宋体" w:hAnsi="宋体"/>
          <w:kern w:val="0"/>
          <w:szCs w:val="46"/>
        </w:rPr>
        <w:t>YS/T 73 副产品氧化锌</w:t>
      </w:r>
    </w:p>
    <w:p>
      <w:pPr>
        <w:autoSpaceDE w:val="0"/>
        <w:autoSpaceDN w:val="0"/>
        <w:adjustRightInd w:val="0"/>
        <w:ind w:firstLine="420" w:firstLineChars="200"/>
        <w:rPr>
          <w:rFonts w:ascii="宋体" w:hAnsi="宋体"/>
          <w:kern w:val="0"/>
          <w:szCs w:val="46"/>
        </w:rPr>
      </w:pPr>
      <w:r>
        <w:rPr>
          <w:rFonts w:hint="eastAsia" w:ascii="宋体" w:hAnsi="宋体"/>
          <w:kern w:val="0"/>
          <w:szCs w:val="46"/>
        </w:rPr>
        <w:t>YS/T 1343 锌冶炼用氧化锌富集物</w:t>
      </w:r>
    </w:p>
    <w:p>
      <w:pPr>
        <w:pStyle w:val="59"/>
        <w:spacing w:before="156" w:after="156"/>
      </w:pPr>
      <w:r>
        <w:rPr>
          <w:rFonts w:hint="eastAsia"/>
        </w:rPr>
        <w:t>术语和定义</w:t>
      </w:r>
    </w:p>
    <w:p>
      <w:pPr>
        <w:pStyle w:val="60"/>
        <w:spacing w:before="156" w:beforeLines="50" w:after="156" w:afterLines="50"/>
        <w:ind w:left="142"/>
      </w:pPr>
      <w:r>
        <w:rPr>
          <w:rFonts w:hint="eastAsia"/>
        </w:rPr>
        <w:t>铜锌富集物 copper-zinc enrichment</w:t>
      </w:r>
    </w:p>
    <w:p>
      <w:pPr>
        <w:pStyle w:val="58"/>
        <w:ind w:firstLine="420"/>
      </w:pPr>
      <w:r>
        <w:rPr>
          <w:rFonts w:hint="eastAsia"/>
        </w:rPr>
        <w:t>黄铜合金熔铸过程中产生的炉渣及收尘灰铜锌富集物产品。</w:t>
      </w:r>
    </w:p>
    <w:p>
      <w:pPr>
        <w:pStyle w:val="60"/>
        <w:spacing w:before="156" w:beforeLines="50" w:after="156" w:afterLines="50"/>
        <w:ind w:left="142"/>
      </w:pPr>
      <w:r>
        <w:rPr>
          <w:rFonts w:hint="eastAsia"/>
        </w:rPr>
        <w:t>夹杂物 carried-waste</w:t>
      </w:r>
    </w:p>
    <w:p>
      <w:pPr>
        <w:pStyle w:val="58"/>
        <w:ind w:firstLine="420" w:firstLineChars="0"/>
      </w:pPr>
      <w:r>
        <w:rPr>
          <w:rFonts w:hint="eastAsia"/>
        </w:rPr>
        <w:t>在生产、收集、包装和运输过程中混入铜锌富集物中的其他物质（不包括铜锌富集物的包装物及在运输过程中需使用的其他物质）。</w:t>
      </w:r>
    </w:p>
    <w:p>
      <w:pPr>
        <w:pStyle w:val="58"/>
        <w:ind w:firstLine="420" w:firstLineChars="0"/>
      </w:pPr>
      <w:r>
        <w:rPr>
          <w:rFonts w:hint="eastAsia"/>
        </w:rPr>
        <w:t>[来源：YS/T 1343-2019，3.2]</w:t>
      </w:r>
      <w:bookmarkEnd w:id="3"/>
    </w:p>
    <w:p>
      <w:pPr>
        <w:pStyle w:val="59"/>
        <w:spacing w:before="156" w:after="156"/>
      </w:pPr>
      <w:r>
        <w:rPr>
          <w:rFonts w:hint="eastAsia"/>
        </w:rPr>
        <w:t>技术要求</w:t>
      </w:r>
    </w:p>
    <w:p>
      <w:pPr>
        <w:pStyle w:val="60"/>
        <w:spacing w:before="156" w:beforeLines="50" w:after="156" w:afterLines="50"/>
        <w:ind w:left="142"/>
      </w:pPr>
      <w:r>
        <w:rPr>
          <w:rFonts w:hint="eastAsia"/>
        </w:rPr>
        <w:t>产品分级</w:t>
      </w:r>
    </w:p>
    <w:p>
      <w:pPr>
        <w:pStyle w:val="58"/>
        <w:ind w:firstLine="420"/>
      </w:pPr>
      <w:r>
        <w:rPr>
          <w:rFonts w:hint="eastAsia"/>
        </w:rPr>
        <w:t>铜锌富集物按化学成分分为4个级别：ECuZn-70、EZnO-60、EZnO-50、EZnO-40。</w:t>
      </w:r>
    </w:p>
    <w:p>
      <w:pPr>
        <w:pStyle w:val="60"/>
        <w:spacing w:before="156" w:beforeLines="50" w:after="156" w:afterLines="50"/>
        <w:ind w:left="142"/>
      </w:pPr>
      <w:r>
        <w:rPr>
          <w:rFonts w:hint="eastAsia"/>
        </w:rPr>
        <w:t>化学成分</w:t>
      </w:r>
    </w:p>
    <w:p>
      <w:pPr>
        <w:pStyle w:val="58"/>
        <w:ind w:firstLine="420"/>
      </w:pPr>
      <w:r>
        <w:rPr>
          <w:rFonts w:hint="eastAsia"/>
        </w:rPr>
        <w:t>铜锌富集物的化学成分应符合表1的规定。</w:t>
      </w:r>
    </w:p>
    <w:p>
      <w:pPr>
        <w:pStyle w:val="100"/>
        <w:spacing w:before="156" w:beforeLines="50" w:after="156" w:afterLines="50"/>
        <w:ind w:left="0"/>
        <w:rPr>
          <w:szCs w:val="21"/>
        </w:rPr>
      </w:pPr>
      <w:r>
        <w:rPr>
          <w:rFonts w:hint="eastAsia"/>
          <w:szCs w:val="21"/>
        </w:rPr>
        <w:t>炉灰铜锌富集物的化学成分</w:t>
      </w:r>
    </w:p>
    <w:tbl>
      <w:tblPr>
        <w:tblStyle w:val="32"/>
        <w:tblW w:w="4764" w:type="pct"/>
        <w:tblInd w:w="250" w:type="dxa"/>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680"/>
        <w:gridCol w:w="1361"/>
        <w:gridCol w:w="950"/>
        <w:gridCol w:w="954"/>
        <w:gridCol w:w="819"/>
        <w:gridCol w:w="817"/>
        <w:gridCol w:w="954"/>
      </w:tblGrid>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Pr>
        <w:tc>
          <w:tcPr>
            <w:tcW w:w="869" w:type="pct"/>
            <w:vMerge w:val="restart"/>
            <w:tcBorders>
              <w:top w:val="single" w:color="auto" w:sz="8" w:space="0"/>
              <w:left w:val="single" w:color="auto" w:sz="8"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级别</w:t>
            </w:r>
          </w:p>
        </w:tc>
        <w:tc>
          <w:tcPr>
            <w:tcW w:w="4131" w:type="pct"/>
            <w:gridSpan w:val="7"/>
            <w:tcBorders>
              <w:top w:val="single" w:color="auto" w:sz="8" w:space="0"/>
              <w:righ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质量分数</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PrEx>
        <w:trPr>
          <w:cantSplit/>
        </w:trPr>
        <w:tc>
          <w:tcPr>
            <w:tcW w:w="869" w:type="pct"/>
            <w:vMerge w:val="continue"/>
            <w:tcBorders>
              <w:left w:val="single" w:color="auto" w:sz="8" w:space="0"/>
            </w:tcBorders>
            <w:vAlign w:val="center"/>
          </w:tcPr>
          <w:p>
            <w:pPr>
              <w:widowControl/>
              <w:jc w:val="center"/>
              <w:rPr>
                <w:rFonts w:asciiTheme="minorEastAsia" w:hAnsiTheme="minorEastAsia" w:eastAsiaTheme="minorEastAsia"/>
                <w:sz w:val="18"/>
                <w:szCs w:val="18"/>
              </w:rPr>
            </w:pPr>
          </w:p>
        </w:tc>
        <w:tc>
          <w:tcPr>
            <w:tcW w:w="921" w:type="pct"/>
            <w:vMerge w:val="restar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Cu</w:t>
            </w:r>
          </w:p>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不小于</w:t>
            </w:r>
          </w:p>
        </w:tc>
        <w:tc>
          <w:tcPr>
            <w:tcW w:w="746" w:type="pct"/>
            <w:vMerge w:val="restar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不小于</w:t>
            </w:r>
          </w:p>
        </w:tc>
        <w:tc>
          <w:tcPr>
            <w:tcW w:w="2464" w:type="pct"/>
            <w:gridSpan w:val="5"/>
            <w:tcBorders>
              <w:righ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杂质，不大于</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Pr>
        <w:tc>
          <w:tcPr>
            <w:tcW w:w="869" w:type="pct"/>
            <w:vMerge w:val="continue"/>
            <w:tcBorders>
              <w:left w:val="single" w:color="auto" w:sz="8" w:space="0"/>
            </w:tcBorders>
            <w:vAlign w:val="center"/>
          </w:tcPr>
          <w:p>
            <w:pPr>
              <w:widowControl/>
              <w:jc w:val="center"/>
              <w:rPr>
                <w:rFonts w:asciiTheme="minorEastAsia" w:hAnsiTheme="minorEastAsia" w:eastAsiaTheme="minorEastAsia"/>
                <w:sz w:val="18"/>
                <w:szCs w:val="18"/>
              </w:rPr>
            </w:pPr>
          </w:p>
        </w:tc>
        <w:tc>
          <w:tcPr>
            <w:tcW w:w="921" w:type="pct"/>
            <w:vMerge w:val="continue"/>
            <w:vAlign w:val="center"/>
          </w:tcPr>
          <w:p>
            <w:pPr>
              <w:widowControl/>
              <w:jc w:val="center"/>
              <w:rPr>
                <w:rFonts w:asciiTheme="minorEastAsia" w:hAnsiTheme="minorEastAsia" w:eastAsiaTheme="minorEastAsia"/>
                <w:sz w:val="18"/>
                <w:szCs w:val="18"/>
              </w:rPr>
            </w:pPr>
          </w:p>
        </w:tc>
        <w:tc>
          <w:tcPr>
            <w:tcW w:w="746" w:type="pct"/>
            <w:vMerge w:val="continue"/>
            <w:vAlign w:val="center"/>
          </w:tcPr>
          <w:p>
            <w:pPr>
              <w:widowControl/>
              <w:jc w:val="center"/>
              <w:rPr>
                <w:rFonts w:asciiTheme="minorEastAsia" w:hAnsiTheme="minorEastAsia" w:eastAsiaTheme="minorEastAsia"/>
                <w:sz w:val="18"/>
                <w:szCs w:val="18"/>
              </w:rPr>
            </w:pPr>
          </w:p>
        </w:tc>
        <w:tc>
          <w:tcPr>
            <w:tcW w:w="521"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Fe</w:t>
            </w:r>
          </w:p>
        </w:tc>
        <w:tc>
          <w:tcPr>
            <w:tcW w:w="523"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F</w:t>
            </w:r>
          </w:p>
        </w:tc>
        <w:tc>
          <w:tcPr>
            <w:tcW w:w="449"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Cl</w:t>
            </w:r>
          </w:p>
        </w:tc>
        <w:tc>
          <w:tcPr>
            <w:tcW w:w="448"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Cd</w:t>
            </w:r>
          </w:p>
        </w:tc>
        <w:tc>
          <w:tcPr>
            <w:tcW w:w="523" w:type="pct"/>
            <w:tcBorders>
              <w:right w:val="single" w:color="auto" w:sz="8" w:space="0"/>
            </w:tcBorders>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As</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70</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12.0</w:t>
            </w:r>
          </w:p>
        </w:tc>
        <w:tc>
          <w:tcPr>
            <w:tcW w:w="746"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58.0</w:t>
            </w: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0.5</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w:t>
            </w:r>
            <w:r>
              <w:rPr>
                <w:rFonts w:asciiTheme="minorEastAsia" w:hAnsiTheme="minorEastAsia" w:eastAsiaTheme="minorEastAsia"/>
                <w:sz w:val="18"/>
                <w:szCs w:val="20"/>
              </w:rPr>
              <w:t>.0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PrEx>
        <w:tc>
          <w:tcPr>
            <w:tcW w:w="869" w:type="pct"/>
            <w:tcBorders>
              <w:lef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60</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746"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r>
              <w:rPr>
                <w:rFonts w:hint="eastAsia" w:asciiTheme="minorEastAsia" w:hAnsiTheme="minorEastAsia" w:eastAsiaTheme="minorEastAsia"/>
                <w:sz w:val="18"/>
                <w:szCs w:val="18"/>
              </w:rPr>
              <w:t>.0</w:t>
            </w: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50</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746"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0</w:t>
            </w:r>
            <w:r>
              <w:rPr>
                <w:rFonts w:hint="eastAsia" w:asciiTheme="minorEastAsia" w:hAnsiTheme="minorEastAsia" w:eastAsiaTheme="minorEastAsia"/>
                <w:sz w:val="18"/>
                <w:szCs w:val="18"/>
              </w:rPr>
              <w:t>.0</w:t>
            </w: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4.0</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2.0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bottom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40</w:t>
            </w:r>
          </w:p>
        </w:tc>
        <w:tc>
          <w:tcPr>
            <w:tcW w:w="921" w:type="pct"/>
            <w:tcBorders>
              <w:bottom w:val="single" w:color="auto" w:sz="8"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w:t>
            </w:r>
          </w:p>
        </w:tc>
        <w:tc>
          <w:tcPr>
            <w:tcW w:w="746" w:type="pct"/>
            <w:tcBorders>
              <w:bottom w:val="single" w:color="auto" w:sz="8"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32.0</w:t>
            </w:r>
          </w:p>
        </w:tc>
        <w:tc>
          <w:tcPr>
            <w:tcW w:w="521" w:type="pct"/>
            <w:tcBorders>
              <w:bottom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5.0</w:t>
            </w:r>
          </w:p>
        </w:tc>
        <w:tc>
          <w:tcPr>
            <w:tcW w:w="523" w:type="pct"/>
            <w:tcBorders>
              <w:bottom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tcBorders>
              <w:bottom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3.0</w:t>
            </w:r>
          </w:p>
        </w:tc>
        <w:tc>
          <w:tcPr>
            <w:tcW w:w="448" w:type="pct"/>
            <w:tcBorders>
              <w:bottom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23" w:type="pct"/>
            <w:tcBorders>
              <w:bottom w:val="single" w:color="auto" w:sz="8" w:space="0"/>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bl>
    <w:p>
      <w:pPr>
        <w:pStyle w:val="58"/>
        <w:ind w:firstLine="0" w:firstLineChars="0"/>
      </w:pPr>
    </w:p>
    <w:tbl>
      <w:tblPr>
        <w:tblStyle w:val="32"/>
        <w:tblW w:w="48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973"/>
        <w:gridCol w:w="1151"/>
        <w:gridCol w:w="851"/>
        <w:gridCol w:w="994"/>
        <w:gridCol w:w="992"/>
        <w:gridCol w:w="851"/>
        <w:gridCol w:w="853"/>
        <w:gridCol w:w="9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Merge w:val="restart"/>
            <w:vAlign w:val="center"/>
          </w:tcPr>
          <w:p>
            <w:pPr>
              <w:pStyle w:val="58"/>
              <w:ind w:firstLine="0" w:firstLineChars="0"/>
              <w:jc w:val="center"/>
              <w:rPr>
                <w:sz w:val="18"/>
                <w:szCs w:val="18"/>
              </w:rPr>
            </w:pPr>
            <w:r>
              <w:rPr>
                <w:rFonts w:hint="eastAsia"/>
                <w:sz w:val="18"/>
                <w:szCs w:val="18"/>
              </w:rPr>
              <w:t>级号</w:t>
            </w:r>
          </w:p>
        </w:tc>
        <w:tc>
          <w:tcPr>
            <w:tcW w:w="4101" w:type="pct"/>
            <w:gridSpan w:val="8"/>
            <w:vAlign w:val="center"/>
          </w:tcPr>
          <w:p>
            <w:pPr>
              <w:pStyle w:val="58"/>
              <w:ind w:firstLine="0" w:firstLineChars="0"/>
              <w:jc w:val="center"/>
              <w:rPr>
                <w:sz w:val="18"/>
                <w:szCs w:val="18"/>
              </w:rPr>
            </w:pPr>
            <w:r>
              <w:rPr>
                <w:rFonts w:hint="eastAsia"/>
                <w:sz w:val="18"/>
                <w:szCs w:val="18"/>
              </w:rPr>
              <w:t>质量分数</w:t>
            </w:r>
          </w:p>
          <w:p>
            <w:pPr>
              <w:pStyle w:val="58"/>
              <w:ind w:firstLine="0" w:firstLineChars="0"/>
              <w:jc w:val="center"/>
              <w:rPr>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Merge w:val="continue"/>
            <w:vAlign w:val="center"/>
          </w:tcPr>
          <w:p>
            <w:pPr>
              <w:pStyle w:val="58"/>
              <w:ind w:firstLine="0" w:firstLineChars="0"/>
              <w:jc w:val="center"/>
              <w:rPr>
                <w:sz w:val="18"/>
                <w:szCs w:val="18"/>
              </w:rPr>
            </w:pPr>
          </w:p>
        </w:tc>
        <w:tc>
          <w:tcPr>
            <w:tcW w:w="1146" w:type="pct"/>
            <w:gridSpan w:val="2"/>
            <w:vMerge w:val="restart"/>
            <w:vAlign w:val="center"/>
          </w:tcPr>
          <w:p>
            <w:pPr>
              <w:pStyle w:val="58"/>
              <w:ind w:firstLine="0" w:firstLineChars="0"/>
              <w:jc w:val="center"/>
              <w:rPr>
                <w:sz w:val="18"/>
                <w:szCs w:val="18"/>
              </w:rPr>
            </w:pPr>
            <w:r>
              <w:rPr>
                <w:sz w:val="18"/>
                <w:szCs w:val="18"/>
              </w:rPr>
              <w:t>Cu</w:t>
            </w:r>
          </w:p>
          <w:p>
            <w:pPr>
              <w:pStyle w:val="58"/>
              <w:ind w:firstLine="0" w:firstLineChars="0"/>
              <w:jc w:val="center"/>
              <w:rPr>
                <w:sz w:val="18"/>
                <w:szCs w:val="18"/>
              </w:rPr>
            </w:pPr>
            <w:r>
              <w:rPr>
                <w:rFonts w:hint="eastAsia"/>
                <w:sz w:val="18"/>
                <w:szCs w:val="18"/>
              </w:rPr>
              <w:t>不小于</w:t>
            </w:r>
          </w:p>
        </w:tc>
        <w:tc>
          <w:tcPr>
            <w:tcW w:w="459" w:type="pct"/>
            <w:vMerge w:val="restart"/>
            <w:vAlign w:val="center"/>
          </w:tcPr>
          <w:p>
            <w:pPr>
              <w:pStyle w:val="58"/>
              <w:ind w:firstLine="0" w:firstLineChars="0"/>
              <w:jc w:val="center"/>
              <w:rPr>
                <w:sz w:val="18"/>
                <w:szCs w:val="18"/>
              </w:rPr>
            </w:pPr>
            <w:r>
              <w:rPr>
                <w:sz w:val="18"/>
                <w:szCs w:val="18"/>
              </w:rPr>
              <w:t>Zn</w:t>
            </w:r>
          </w:p>
          <w:p>
            <w:pPr>
              <w:pStyle w:val="58"/>
              <w:ind w:firstLine="0" w:firstLineChars="0"/>
              <w:jc w:val="center"/>
              <w:rPr>
                <w:sz w:val="18"/>
                <w:szCs w:val="18"/>
              </w:rPr>
            </w:pPr>
            <w:r>
              <w:rPr>
                <w:rFonts w:hint="eastAsia"/>
                <w:sz w:val="18"/>
                <w:szCs w:val="18"/>
              </w:rPr>
              <w:t>不小于</w:t>
            </w:r>
          </w:p>
        </w:tc>
        <w:tc>
          <w:tcPr>
            <w:tcW w:w="2496" w:type="pct"/>
            <w:gridSpan w:val="5"/>
            <w:vAlign w:val="center"/>
          </w:tcPr>
          <w:p>
            <w:pPr>
              <w:pStyle w:val="58"/>
              <w:ind w:firstLine="360"/>
              <w:jc w:val="center"/>
              <w:rPr>
                <w:sz w:val="18"/>
                <w:szCs w:val="18"/>
              </w:rPr>
            </w:pPr>
            <w:r>
              <w:rPr>
                <w:rFonts w:hint="eastAsia"/>
                <w:sz w:val="18"/>
                <w:szCs w:val="18"/>
              </w:rPr>
              <w:t>杂质，不大于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Merge w:val="continue"/>
            <w:vAlign w:val="center"/>
          </w:tcPr>
          <w:p>
            <w:pPr>
              <w:pStyle w:val="58"/>
              <w:ind w:firstLine="0" w:firstLineChars="0"/>
              <w:jc w:val="center"/>
              <w:rPr>
                <w:sz w:val="18"/>
                <w:szCs w:val="18"/>
                <w:vertAlign w:val="superscript"/>
              </w:rPr>
            </w:pPr>
          </w:p>
        </w:tc>
        <w:tc>
          <w:tcPr>
            <w:tcW w:w="1146" w:type="pct"/>
            <w:gridSpan w:val="2"/>
            <w:vMerge w:val="continue"/>
            <w:vAlign w:val="center"/>
          </w:tcPr>
          <w:p>
            <w:pPr>
              <w:pStyle w:val="58"/>
              <w:ind w:firstLine="0" w:firstLineChars="0"/>
              <w:jc w:val="center"/>
              <w:rPr>
                <w:rFonts w:hAnsi="宋体"/>
                <w:sz w:val="18"/>
                <w:szCs w:val="18"/>
              </w:rPr>
            </w:pPr>
          </w:p>
        </w:tc>
        <w:tc>
          <w:tcPr>
            <w:tcW w:w="459" w:type="pct"/>
            <w:vMerge w:val="continue"/>
            <w:vAlign w:val="center"/>
          </w:tcPr>
          <w:p>
            <w:pPr>
              <w:widowControl/>
              <w:autoSpaceDE w:val="0"/>
              <w:autoSpaceDN w:val="0"/>
              <w:jc w:val="center"/>
              <w:rPr>
                <w:rFonts w:asciiTheme="minorEastAsia" w:hAnsiTheme="minorEastAsia" w:eastAsiaTheme="minorEastAsia"/>
                <w:kern w:val="0"/>
                <w:sz w:val="18"/>
                <w:szCs w:val="20"/>
              </w:rPr>
            </w:pPr>
          </w:p>
        </w:tc>
        <w:tc>
          <w:tcPr>
            <w:tcW w:w="536"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Fe</w:t>
            </w:r>
          </w:p>
        </w:tc>
        <w:tc>
          <w:tcPr>
            <w:tcW w:w="535"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F</w:t>
            </w:r>
          </w:p>
        </w:tc>
        <w:tc>
          <w:tcPr>
            <w:tcW w:w="459"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Cl</w:t>
            </w:r>
          </w:p>
        </w:tc>
        <w:tc>
          <w:tcPr>
            <w:tcW w:w="460"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Cd</w:t>
            </w:r>
          </w:p>
        </w:tc>
        <w:tc>
          <w:tcPr>
            <w:tcW w:w="506"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As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70</w:t>
            </w:r>
          </w:p>
        </w:tc>
        <w:tc>
          <w:tcPr>
            <w:tcW w:w="525" w:type="pct"/>
            <w:vMerge w:val="restar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炉灰4.0</w:t>
            </w:r>
          </w:p>
        </w:tc>
        <w:tc>
          <w:tcPr>
            <w:tcW w:w="620" w:type="pct"/>
            <w:vMerge w:val="restar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烟道灰0.2</w:t>
            </w:r>
          </w:p>
        </w:tc>
        <w:tc>
          <w:tcPr>
            <w:tcW w:w="459"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58.0</w:t>
            </w:r>
          </w:p>
        </w:tc>
        <w:tc>
          <w:tcPr>
            <w:tcW w:w="53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0.5</w:t>
            </w:r>
          </w:p>
        </w:tc>
        <w:tc>
          <w:tcPr>
            <w:tcW w:w="535"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5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w:t>
            </w:r>
            <w:r>
              <w:rPr>
                <w:rFonts w:asciiTheme="minorEastAsia" w:hAnsiTheme="minorEastAsia" w:eastAsiaTheme="minorEastAsia"/>
                <w:sz w:val="18"/>
                <w:szCs w:val="20"/>
              </w:rPr>
              <w:t>.0</w:t>
            </w:r>
          </w:p>
        </w:tc>
        <w:tc>
          <w:tcPr>
            <w:tcW w:w="460"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0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60</w:t>
            </w:r>
          </w:p>
        </w:tc>
        <w:tc>
          <w:tcPr>
            <w:tcW w:w="525" w:type="pct"/>
            <w:vMerge w:val="continue"/>
            <w:vAlign w:val="center"/>
          </w:tcPr>
          <w:p>
            <w:pPr>
              <w:snapToGrid w:val="0"/>
              <w:jc w:val="center"/>
              <w:rPr>
                <w:rFonts w:asciiTheme="minorEastAsia" w:hAnsiTheme="minorEastAsia" w:eastAsiaTheme="minorEastAsia"/>
                <w:sz w:val="18"/>
                <w:szCs w:val="18"/>
              </w:rPr>
            </w:pPr>
          </w:p>
        </w:tc>
        <w:tc>
          <w:tcPr>
            <w:tcW w:w="620" w:type="pct"/>
            <w:vMerge w:val="continue"/>
            <w:vAlign w:val="center"/>
          </w:tcPr>
          <w:p>
            <w:pPr>
              <w:snapToGrid w:val="0"/>
              <w:jc w:val="center"/>
              <w:rPr>
                <w:rFonts w:asciiTheme="minorEastAsia" w:hAnsiTheme="minorEastAsia" w:eastAsiaTheme="minorEastAsia"/>
                <w:sz w:val="18"/>
                <w:szCs w:val="18"/>
              </w:rPr>
            </w:pPr>
          </w:p>
        </w:tc>
        <w:tc>
          <w:tcPr>
            <w:tcW w:w="459"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r>
              <w:rPr>
                <w:rFonts w:hint="eastAsia" w:asciiTheme="minorEastAsia" w:hAnsiTheme="minorEastAsia" w:eastAsiaTheme="minorEastAsia"/>
                <w:sz w:val="18"/>
                <w:szCs w:val="18"/>
              </w:rPr>
              <w:t>.0</w:t>
            </w:r>
          </w:p>
        </w:tc>
        <w:tc>
          <w:tcPr>
            <w:tcW w:w="53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535"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5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60"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0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50</w:t>
            </w:r>
          </w:p>
        </w:tc>
        <w:tc>
          <w:tcPr>
            <w:tcW w:w="525" w:type="pct"/>
            <w:vMerge w:val="continue"/>
            <w:vAlign w:val="center"/>
          </w:tcPr>
          <w:p>
            <w:pPr>
              <w:snapToGrid w:val="0"/>
              <w:jc w:val="center"/>
              <w:rPr>
                <w:rFonts w:asciiTheme="minorEastAsia" w:hAnsiTheme="minorEastAsia" w:eastAsiaTheme="minorEastAsia"/>
                <w:sz w:val="18"/>
                <w:szCs w:val="18"/>
              </w:rPr>
            </w:pPr>
          </w:p>
        </w:tc>
        <w:tc>
          <w:tcPr>
            <w:tcW w:w="620" w:type="pct"/>
            <w:vMerge w:val="continue"/>
            <w:vAlign w:val="center"/>
          </w:tcPr>
          <w:p>
            <w:pPr>
              <w:snapToGrid w:val="0"/>
              <w:jc w:val="center"/>
              <w:rPr>
                <w:rFonts w:asciiTheme="minorEastAsia" w:hAnsiTheme="minorEastAsia" w:eastAsiaTheme="minorEastAsia"/>
                <w:sz w:val="18"/>
                <w:szCs w:val="18"/>
              </w:rPr>
            </w:pPr>
          </w:p>
        </w:tc>
        <w:tc>
          <w:tcPr>
            <w:tcW w:w="459"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42.0</w:t>
            </w:r>
          </w:p>
        </w:tc>
        <w:tc>
          <w:tcPr>
            <w:tcW w:w="53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4.0</w:t>
            </w:r>
          </w:p>
        </w:tc>
        <w:tc>
          <w:tcPr>
            <w:tcW w:w="535"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5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2.0</w:t>
            </w:r>
          </w:p>
        </w:tc>
        <w:tc>
          <w:tcPr>
            <w:tcW w:w="460"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0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40</w:t>
            </w:r>
          </w:p>
        </w:tc>
        <w:tc>
          <w:tcPr>
            <w:tcW w:w="525" w:type="pct"/>
            <w:vMerge w:val="continue"/>
            <w:vAlign w:val="center"/>
          </w:tcPr>
          <w:p>
            <w:pPr>
              <w:snapToGrid w:val="0"/>
              <w:jc w:val="center"/>
              <w:rPr>
                <w:rFonts w:asciiTheme="minorEastAsia" w:hAnsiTheme="minorEastAsia" w:eastAsiaTheme="minorEastAsia"/>
                <w:sz w:val="18"/>
                <w:szCs w:val="18"/>
              </w:rPr>
            </w:pPr>
          </w:p>
        </w:tc>
        <w:tc>
          <w:tcPr>
            <w:tcW w:w="620" w:type="pct"/>
            <w:vMerge w:val="continue"/>
            <w:vAlign w:val="center"/>
          </w:tcPr>
          <w:p>
            <w:pPr>
              <w:snapToGrid w:val="0"/>
              <w:jc w:val="center"/>
              <w:rPr>
                <w:rFonts w:asciiTheme="minorEastAsia" w:hAnsiTheme="minorEastAsia" w:eastAsiaTheme="minorEastAsia"/>
                <w:sz w:val="18"/>
                <w:szCs w:val="18"/>
              </w:rPr>
            </w:pPr>
          </w:p>
        </w:tc>
        <w:tc>
          <w:tcPr>
            <w:tcW w:w="459"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36.0</w:t>
            </w:r>
          </w:p>
        </w:tc>
        <w:tc>
          <w:tcPr>
            <w:tcW w:w="53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5.0</w:t>
            </w:r>
          </w:p>
        </w:tc>
        <w:tc>
          <w:tcPr>
            <w:tcW w:w="535"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5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3.0</w:t>
            </w:r>
          </w:p>
        </w:tc>
        <w:tc>
          <w:tcPr>
            <w:tcW w:w="460"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0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bl>
    <w:p>
      <w:pPr>
        <w:pStyle w:val="60"/>
        <w:spacing w:before="156" w:beforeLines="50" w:after="156" w:afterLines="50"/>
        <w:ind w:left="142"/>
      </w:pPr>
      <w:r>
        <w:rPr>
          <w:rFonts w:hint="eastAsia"/>
        </w:rPr>
        <w:t>水分</w:t>
      </w:r>
    </w:p>
    <w:p>
      <w:pPr>
        <w:pStyle w:val="58"/>
        <w:ind w:firstLine="420"/>
      </w:pPr>
      <w:r>
        <w:rPr>
          <w:rFonts w:hint="eastAsia"/>
        </w:rPr>
        <w:t>铜锌富集物的水分（质量分数）应不大于10%。</w:t>
      </w:r>
    </w:p>
    <w:p>
      <w:pPr>
        <w:pStyle w:val="60"/>
        <w:spacing w:before="156" w:beforeLines="50" w:after="156" w:afterLines="50"/>
        <w:ind w:left="142"/>
      </w:pPr>
      <w:r>
        <w:rPr>
          <w:rFonts w:hint="eastAsia"/>
        </w:rPr>
        <w:t>外观质量</w:t>
      </w:r>
    </w:p>
    <w:p>
      <w:pPr>
        <w:pStyle w:val="58"/>
        <w:ind w:firstLine="420"/>
      </w:pPr>
      <w:r>
        <w:rPr>
          <w:rFonts w:hint="eastAsia"/>
        </w:rPr>
        <w:t>铜锌富集物应为粉末状，颜色应均匀，不应混入外来夹杂物。</w:t>
      </w:r>
    </w:p>
    <w:p>
      <w:pPr>
        <w:pStyle w:val="60"/>
        <w:spacing w:before="156" w:beforeLines="50" w:after="156" w:afterLines="50"/>
        <w:ind w:left="142"/>
      </w:pPr>
      <w:r>
        <w:rPr>
          <w:rFonts w:hint="eastAsia"/>
        </w:rPr>
        <w:t>其他</w:t>
      </w:r>
    </w:p>
    <w:p>
      <w:pPr>
        <w:pStyle w:val="58"/>
        <w:ind w:firstLine="420"/>
      </w:pPr>
      <w:r>
        <w:rPr>
          <w:rFonts w:hint="eastAsia"/>
        </w:rPr>
        <w:t>用户对铜锌富集物的化学成分及粒度等有特殊要求时由供需双方共同商定。</w:t>
      </w:r>
    </w:p>
    <w:p>
      <w:pPr>
        <w:pStyle w:val="59"/>
        <w:spacing w:before="156" w:after="156"/>
      </w:pPr>
      <w:r>
        <w:rPr>
          <w:rFonts w:hint="eastAsia"/>
        </w:rPr>
        <w:t>试验方法</w:t>
      </w:r>
    </w:p>
    <w:p>
      <w:pPr>
        <w:pStyle w:val="60"/>
        <w:spacing w:before="156" w:beforeLines="50" w:after="156" w:afterLines="50"/>
        <w:ind w:left="142"/>
      </w:pPr>
      <w:r>
        <w:rPr>
          <w:rFonts w:hint="eastAsia"/>
        </w:rPr>
        <w:t>化学成分</w:t>
      </w:r>
    </w:p>
    <w:p>
      <w:pPr>
        <w:pStyle w:val="58"/>
        <w:ind w:firstLine="420"/>
      </w:pPr>
      <w:r>
        <w:rPr>
          <w:rFonts w:hint="eastAsia"/>
        </w:rPr>
        <w:t>铜锌富集物的铜、锌、铁、氟、镉、砷含量的检测应分别按GB/T 5121.1、YS/T1171.10、YS/T1171.6、YS/T1171.5、YS/T1171.9、YS/T1171.7的规定进行。</w:t>
      </w:r>
    </w:p>
    <w:p>
      <w:pPr>
        <w:pStyle w:val="60"/>
        <w:spacing w:before="156" w:beforeLines="50" w:after="156" w:afterLines="50"/>
        <w:ind w:left="142"/>
      </w:pPr>
      <w:r>
        <w:rPr>
          <w:rFonts w:hint="eastAsia"/>
        </w:rPr>
        <w:t>水分</w:t>
      </w:r>
    </w:p>
    <w:p>
      <w:pPr>
        <w:pStyle w:val="58"/>
        <w:ind w:firstLine="504" w:firstLineChars="240"/>
      </w:pPr>
      <w:r>
        <w:rPr>
          <w:rFonts w:hint="eastAsia"/>
        </w:rPr>
        <w:t>铜锌富集物的水分的检验按灼烧称重法进行。</w:t>
      </w:r>
    </w:p>
    <w:p>
      <w:pPr>
        <w:pStyle w:val="60"/>
        <w:spacing w:before="156" w:beforeLines="50" w:after="156" w:afterLines="50"/>
        <w:ind w:left="142"/>
      </w:pPr>
      <w:r>
        <w:rPr>
          <w:rFonts w:hint="eastAsia"/>
        </w:rPr>
        <w:t>外观质量</w:t>
      </w:r>
    </w:p>
    <w:p>
      <w:pPr>
        <w:pStyle w:val="58"/>
        <w:ind w:firstLine="525" w:firstLineChars="250"/>
      </w:pPr>
      <w:r>
        <w:rPr>
          <w:rFonts w:hint="eastAsia"/>
        </w:rPr>
        <w:t>铜锌富集物的外观质量应用目视法检验。</w:t>
      </w:r>
    </w:p>
    <w:p>
      <w:pPr>
        <w:pStyle w:val="59"/>
        <w:spacing w:before="156" w:after="156"/>
      </w:pPr>
      <w:r>
        <w:rPr>
          <w:rFonts w:hint="eastAsia"/>
        </w:rPr>
        <w:t>检验规则</w:t>
      </w:r>
    </w:p>
    <w:p>
      <w:pPr>
        <w:pStyle w:val="60"/>
        <w:spacing w:before="156" w:beforeLines="50" w:after="156" w:afterLines="50"/>
        <w:ind w:left="142"/>
      </w:pPr>
      <w:r>
        <w:rPr>
          <w:rFonts w:hint="eastAsia"/>
        </w:rPr>
        <w:t>检验和验收</w:t>
      </w:r>
    </w:p>
    <w:p>
      <w:pPr>
        <w:autoSpaceDE w:val="0"/>
        <w:autoSpaceDN w:val="0"/>
        <w:adjustRightInd w:val="0"/>
        <w:ind w:firstLine="420" w:firstLineChars="200"/>
        <w:rPr>
          <w:rFonts w:ascii="宋体" w:hAnsi="宋体"/>
          <w:kern w:val="0"/>
          <w:szCs w:val="44"/>
        </w:rPr>
      </w:pPr>
      <w:r>
        <w:rPr>
          <w:rFonts w:hint="eastAsia" w:ascii="黑体" w:hAnsi="黑体" w:eastAsia="黑体"/>
          <w:kern w:val="0"/>
          <w:szCs w:val="44"/>
        </w:rPr>
        <w:t>6</w:t>
      </w:r>
      <w:r>
        <w:rPr>
          <w:rFonts w:ascii="黑体" w:hAnsi="黑体" w:eastAsia="黑体"/>
          <w:kern w:val="0"/>
          <w:szCs w:val="44"/>
        </w:rPr>
        <w:t>.1.1</w:t>
      </w:r>
      <w:r>
        <w:rPr>
          <w:rFonts w:ascii="宋体" w:hAnsi="宋体"/>
          <w:kern w:val="0"/>
          <w:szCs w:val="44"/>
        </w:rPr>
        <w:t xml:space="preserve"> </w:t>
      </w:r>
      <w:r>
        <w:rPr>
          <w:rFonts w:hint="eastAsia" w:ascii="宋体" w:hAnsi="宋体"/>
          <w:kern w:val="0"/>
          <w:szCs w:val="44"/>
        </w:rPr>
        <w:t xml:space="preserve"> 铜锌富集物应由供方或第三方进行检验，保证产品质量符合本文件</w:t>
      </w:r>
      <w:r>
        <w:rPr>
          <w:rFonts w:hint="eastAsia" w:ascii="宋体" w:hAnsi="宋体"/>
        </w:rPr>
        <w:t>及订货单</w:t>
      </w:r>
      <w:r>
        <w:rPr>
          <w:rFonts w:hint="eastAsia" w:ascii="宋体" w:hAnsi="宋体"/>
          <w:kern w:val="0"/>
          <w:szCs w:val="44"/>
        </w:rPr>
        <w:t>的规定。</w:t>
      </w:r>
    </w:p>
    <w:p>
      <w:pPr>
        <w:autoSpaceDE w:val="0"/>
        <w:autoSpaceDN w:val="0"/>
        <w:adjustRightInd w:val="0"/>
        <w:ind w:firstLine="420" w:firstLineChars="200"/>
        <w:rPr>
          <w:rFonts w:ascii="宋体" w:hAnsi="宋体"/>
          <w:kern w:val="0"/>
          <w:szCs w:val="42"/>
        </w:rPr>
      </w:pPr>
      <w:r>
        <w:rPr>
          <w:rFonts w:hint="eastAsia" w:ascii="黑体" w:hAnsi="黑体" w:eastAsia="黑体"/>
          <w:kern w:val="0"/>
          <w:szCs w:val="44"/>
        </w:rPr>
        <w:t>6</w:t>
      </w:r>
      <w:r>
        <w:rPr>
          <w:rFonts w:ascii="黑体" w:hAnsi="黑体" w:eastAsia="黑体"/>
          <w:kern w:val="0"/>
          <w:szCs w:val="44"/>
        </w:rPr>
        <w:t>.1.2</w:t>
      </w:r>
      <w:r>
        <w:rPr>
          <w:rFonts w:ascii="宋体" w:hAnsi="宋体"/>
          <w:kern w:val="0"/>
          <w:szCs w:val="44"/>
        </w:rPr>
        <w:t xml:space="preserve"> </w:t>
      </w:r>
      <w:r>
        <w:rPr>
          <w:rFonts w:hint="eastAsia" w:ascii="宋体" w:hAnsi="宋体"/>
          <w:kern w:val="0"/>
          <w:szCs w:val="44"/>
        </w:rPr>
        <w:t xml:space="preserve"> 需方可对收到的产品按本文件</w:t>
      </w:r>
      <w:r>
        <w:rPr>
          <w:rFonts w:hint="eastAsia" w:ascii="宋体" w:hAnsi="宋体"/>
        </w:rPr>
        <w:t>及或订货单</w:t>
      </w:r>
      <w:r>
        <w:rPr>
          <w:rFonts w:hint="eastAsia" w:ascii="宋体" w:hAnsi="宋体"/>
          <w:kern w:val="0"/>
          <w:szCs w:val="44"/>
        </w:rPr>
        <w:t>的规定进行检验，如检验结果与本文件</w:t>
      </w:r>
      <w:r>
        <w:rPr>
          <w:rFonts w:hint="eastAsia" w:ascii="宋体" w:hAnsi="宋体"/>
        </w:rPr>
        <w:t>及订货单</w:t>
      </w:r>
      <w:r>
        <w:rPr>
          <w:rFonts w:hint="eastAsia" w:ascii="宋体" w:hAnsi="宋体"/>
          <w:kern w:val="0"/>
          <w:szCs w:val="44"/>
        </w:rPr>
        <w:t>的规定不符时，应以书面形式在收到</w:t>
      </w:r>
      <w:r>
        <w:rPr>
          <w:rFonts w:hint="eastAsia" w:ascii="宋体" w:hAnsi="宋体"/>
          <w:kern w:val="0"/>
          <w:szCs w:val="42"/>
        </w:rPr>
        <w:t>产品之日起</w:t>
      </w:r>
      <w:r>
        <w:rPr>
          <w:rFonts w:ascii="宋体" w:hAnsi="宋体"/>
          <w:kern w:val="0"/>
          <w:szCs w:val="42"/>
        </w:rPr>
        <w:t>3</w:t>
      </w:r>
      <w:r>
        <w:rPr>
          <w:rFonts w:hint="eastAsia" w:ascii="宋体" w:hAnsi="宋体"/>
          <w:kern w:val="0"/>
          <w:szCs w:val="42"/>
        </w:rPr>
        <w:t>个月内向供方提出。如需仲裁，仲裁取样由供需双方共同进行。</w:t>
      </w:r>
    </w:p>
    <w:p>
      <w:pPr>
        <w:pStyle w:val="60"/>
        <w:spacing w:before="156" w:beforeLines="50" w:after="156" w:afterLines="50"/>
        <w:ind w:left="142"/>
      </w:pPr>
      <w:r>
        <w:rPr>
          <w:rFonts w:hint="eastAsia"/>
        </w:rPr>
        <w:t>组批</w:t>
      </w:r>
    </w:p>
    <w:p>
      <w:pPr>
        <w:pStyle w:val="58"/>
        <w:ind w:firstLine="420"/>
      </w:pPr>
      <w:r>
        <w:rPr>
          <w:rFonts w:hint="eastAsia"/>
        </w:rPr>
        <w:t>产品应成批提交检验。每批应由同一级别的产品组成。</w:t>
      </w:r>
    </w:p>
    <w:p>
      <w:pPr>
        <w:pStyle w:val="60"/>
        <w:spacing w:before="156" w:beforeLines="50" w:after="156" w:afterLines="50"/>
        <w:ind w:left="142"/>
        <w:rPr>
          <w:rFonts w:ascii="宋体" w:eastAsia="宋体"/>
        </w:rPr>
      </w:pPr>
      <w:r>
        <w:rPr>
          <w:rFonts w:hint="eastAsia"/>
        </w:rPr>
        <w:t>检验项目</w:t>
      </w:r>
    </w:p>
    <w:p>
      <w:pPr>
        <w:pStyle w:val="61"/>
        <w:numPr>
          <w:ilvl w:val="0"/>
          <w:numId w:val="0"/>
        </w:numPr>
        <w:ind w:firstLine="420" w:firstLineChars="200"/>
        <w:rPr>
          <w:rFonts w:asciiTheme="minorEastAsia" w:hAnsiTheme="minorEastAsia" w:eastAsiaTheme="minorEastAsia"/>
        </w:rPr>
      </w:pPr>
      <w:r>
        <w:rPr>
          <w:rFonts w:hint="eastAsia" w:asciiTheme="minorEastAsia" w:hAnsiTheme="minorEastAsia" w:eastAsiaTheme="minorEastAsia"/>
        </w:rPr>
        <w:t>每批产品均应进行化学成分、水分和外观质量的检验。需方要求并在订货单（或合同）中注明，还应对其他进行检验。</w:t>
      </w:r>
    </w:p>
    <w:p>
      <w:pPr>
        <w:pStyle w:val="60"/>
        <w:spacing w:before="156" w:beforeLines="50" w:after="156" w:afterLines="50"/>
        <w:ind w:left="142"/>
        <w:rPr>
          <w:rFonts w:ascii="黑体"/>
        </w:rPr>
      </w:pPr>
      <w:r>
        <w:rPr>
          <w:rFonts w:hint="eastAsia" w:ascii="黑体"/>
        </w:rPr>
        <w:t>取样和制样</w:t>
      </w:r>
    </w:p>
    <w:p>
      <w:pPr>
        <w:autoSpaceDE w:val="0"/>
        <w:autoSpaceDN w:val="0"/>
        <w:adjustRightInd w:val="0"/>
        <w:ind w:firstLine="420" w:firstLineChars="200"/>
      </w:pPr>
      <w:r>
        <w:rPr>
          <w:rFonts w:hint="eastAsia" w:ascii="黑体" w:hAnsi="黑体" w:eastAsia="黑体"/>
          <w:kern w:val="0"/>
          <w:szCs w:val="44"/>
        </w:rPr>
        <w:t xml:space="preserve">6.4.1 </w:t>
      </w:r>
      <w:r>
        <w:rPr>
          <w:rFonts w:hint="eastAsia"/>
        </w:rPr>
        <w:t>产品化学成分和灼烧减量的仲裁取样按表2规定进行。取样时，用取样钎从袋角斜插入至袋底，每件（袋）取样量不少于100g。</w:t>
      </w:r>
    </w:p>
    <w:p>
      <w:pPr>
        <w:pStyle w:val="100"/>
        <w:spacing w:before="156" w:beforeLines="50" w:after="156" w:afterLines="50"/>
        <w:ind w:left="0"/>
        <w:rPr>
          <w:szCs w:val="21"/>
        </w:rPr>
      </w:pPr>
      <w:r>
        <w:rPr>
          <w:rFonts w:hint="eastAsia"/>
          <w:szCs w:val="21"/>
        </w:rPr>
        <w:t>取样数量</w:t>
      </w:r>
    </w:p>
    <w:tbl>
      <w:tblPr>
        <w:tblStyle w:val="32"/>
        <w:tblW w:w="4856" w:type="pct"/>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1902"/>
        <w:gridCol w:w="1660"/>
        <w:gridCol w:w="1536"/>
        <w:gridCol w:w="2236"/>
        <w:gridCol w:w="196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023" w:type="pct"/>
            <w:tcBorders>
              <w:top w:val="single" w:color="auto" w:sz="8" w:space="0"/>
              <w:left w:val="single" w:color="auto" w:sz="8"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件（袋）数</w:t>
            </w:r>
          </w:p>
        </w:tc>
        <w:tc>
          <w:tcPr>
            <w:tcW w:w="893" w:type="pct"/>
            <w:tcBorders>
              <w:top w:val="single" w:color="auto" w:sz="8" w:space="0"/>
              <w:left w:val="single" w:color="000000" w:sz="6"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1-5</w:t>
            </w:r>
          </w:p>
        </w:tc>
        <w:tc>
          <w:tcPr>
            <w:tcW w:w="826" w:type="pct"/>
            <w:tcBorders>
              <w:top w:val="single" w:color="auto" w:sz="8" w:space="0"/>
              <w:left w:val="single" w:color="000000" w:sz="6"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6-49</w:t>
            </w:r>
          </w:p>
        </w:tc>
        <w:tc>
          <w:tcPr>
            <w:tcW w:w="1203" w:type="pct"/>
            <w:tcBorders>
              <w:top w:val="single" w:color="auto" w:sz="8" w:space="0"/>
              <w:left w:val="single" w:color="000000" w:sz="6"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50-100</w:t>
            </w:r>
          </w:p>
        </w:tc>
        <w:tc>
          <w:tcPr>
            <w:tcW w:w="1055" w:type="pct"/>
            <w:tcBorders>
              <w:top w:val="single" w:color="auto" w:sz="8" w:space="0"/>
              <w:left w:val="single" w:color="000000" w:sz="6" w:space="0"/>
              <w:bottom w:val="single" w:color="auto" w:sz="4" w:space="0"/>
              <w:right w:val="single" w:color="auto" w:sz="8" w:space="0"/>
            </w:tcBorders>
            <w:vAlign w:val="center"/>
          </w:tcPr>
          <w:p>
            <w:pPr>
              <w:jc w:val="center"/>
              <w:rPr>
                <w:rFonts w:ascii="宋体" w:hAnsi="宋体"/>
                <w:sz w:val="18"/>
                <w:szCs w:val="18"/>
              </w:rPr>
            </w:pPr>
            <w:r>
              <w:rPr>
                <w:rFonts w:hint="eastAsia" w:ascii="宋体" w:hAnsi="宋体"/>
                <w:sz w:val="18"/>
                <w:szCs w:val="18"/>
              </w:rPr>
              <w:t>＞100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023" w:type="pct"/>
            <w:tcBorders>
              <w:top w:val="single" w:color="auto" w:sz="4" w:space="0"/>
              <w:left w:val="single" w:color="auto" w:sz="8"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取样件（袋）数</w:t>
            </w:r>
          </w:p>
        </w:tc>
        <w:tc>
          <w:tcPr>
            <w:tcW w:w="893" w:type="pct"/>
            <w:tcBorders>
              <w:top w:val="single" w:color="auto" w:sz="4" w:space="0"/>
              <w:left w:val="single" w:color="000000" w:sz="6"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全部</w:t>
            </w:r>
          </w:p>
        </w:tc>
        <w:tc>
          <w:tcPr>
            <w:tcW w:w="826" w:type="pct"/>
            <w:tcBorders>
              <w:top w:val="single" w:color="auto" w:sz="4" w:space="0"/>
              <w:left w:val="single" w:color="000000" w:sz="6"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5</w:t>
            </w:r>
          </w:p>
        </w:tc>
        <w:tc>
          <w:tcPr>
            <w:tcW w:w="1203" w:type="pct"/>
            <w:tcBorders>
              <w:top w:val="single" w:color="auto" w:sz="4" w:space="0"/>
              <w:left w:val="single" w:color="000000" w:sz="6"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件（袋）数的10%，取整数</w:t>
            </w:r>
          </w:p>
        </w:tc>
        <w:tc>
          <w:tcPr>
            <w:tcW w:w="1055" w:type="pct"/>
            <w:tcBorders>
              <w:top w:val="single" w:color="auto" w:sz="4" w:space="0"/>
              <w:left w:val="single" w:color="000000" w:sz="6"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件（袋）数的平方根，取正整数</w:t>
            </w:r>
          </w:p>
        </w:tc>
      </w:tr>
    </w:tbl>
    <w:p>
      <w:pPr>
        <w:ind w:firstLine="420" w:firstLineChars="200"/>
        <w:rPr>
          <w:rFonts w:ascii="宋体" w:hAnsi="宋体"/>
          <w:szCs w:val="21"/>
        </w:rPr>
      </w:pPr>
      <w:r>
        <w:rPr>
          <w:rFonts w:hint="eastAsia" w:ascii="黑体" w:hAnsi="黑体" w:eastAsia="黑体"/>
          <w:szCs w:val="21"/>
        </w:rPr>
        <w:t>6</w:t>
      </w:r>
      <w:r>
        <w:rPr>
          <w:rFonts w:ascii="黑体" w:hAnsi="黑体" w:eastAsia="黑体"/>
          <w:szCs w:val="21"/>
        </w:rPr>
        <w:t>.4.</w:t>
      </w:r>
      <w:r>
        <w:rPr>
          <w:rFonts w:hint="eastAsia" w:ascii="黑体" w:hAnsi="黑体" w:eastAsia="黑体"/>
          <w:szCs w:val="21"/>
        </w:rPr>
        <w:t>2</w:t>
      </w:r>
      <w:r>
        <w:rPr>
          <w:rFonts w:ascii="黑体" w:hAnsi="黑体" w:eastAsia="黑体"/>
          <w:szCs w:val="21"/>
        </w:rPr>
        <w:t xml:space="preserve"> </w:t>
      </w:r>
      <w:r>
        <w:rPr>
          <w:rFonts w:ascii="宋体" w:hAnsi="宋体"/>
          <w:szCs w:val="21"/>
        </w:rPr>
        <w:t xml:space="preserve"> </w:t>
      </w:r>
      <w:r>
        <w:rPr>
          <w:rFonts w:hint="eastAsia" w:ascii="宋体" w:hAnsi="宋体"/>
          <w:szCs w:val="21"/>
        </w:rPr>
        <w:t>将取好的试样充分混匀后，以四分法迅速缩分至重量不少于500g，然后将试样分成三份，其中供需双方各存一份，另一份密封保存做仲裁用。</w:t>
      </w:r>
    </w:p>
    <w:p>
      <w:pPr>
        <w:pStyle w:val="60"/>
        <w:spacing w:before="156" w:beforeLines="50" w:after="156" w:afterLines="50"/>
        <w:ind w:left="142"/>
        <w:rPr>
          <w:rFonts w:ascii="黑体"/>
        </w:rPr>
      </w:pPr>
      <w:r>
        <w:rPr>
          <w:rFonts w:hint="eastAsia" w:ascii="黑体"/>
        </w:rPr>
        <w:t>检验结果判定</w:t>
      </w:r>
    </w:p>
    <w:p>
      <w:pPr>
        <w:autoSpaceDE w:val="0"/>
        <w:autoSpaceDN w:val="0"/>
        <w:adjustRightInd w:val="0"/>
        <w:jc w:val="left"/>
        <w:rPr>
          <w:rFonts w:ascii="宋体" w:hAnsi="宋体"/>
          <w:kern w:val="0"/>
          <w:szCs w:val="44"/>
        </w:rPr>
      </w:pPr>
      <w:r>
        <w:rPr>
          <w:rFonts w:hint="eastAsia" w:ascii="黑体" w:hAnsi="黑体" w:eastAsia="黑体"/>
          <w:kern w:val="0"/>
          <w:szCs w:val="44"/>
        </w:rPr>
        <w:t>6</w:t>
      </w:r>
      <w:r>
        <w:rPr>
          <w:rFonts w:ascii="黑体" w:hAnsi="黑体" w:eastAsia="黑体"/>
          <w:kern w:val="0"/>
          <w:szCs w:val="44"/>
        </w:rPr>
        <w:t>.</w:t>
      </w:r>
      <w:r>
        <w:rPr>
          <w:rFonts w:hint="eastAsia" w:ascii="黑体" w:hAnsi="黑体" w:eastAsia="黑体"/>
          <w:kern w:val="0"/>
          <w:szCs w:val="44"/>
        </w:rPr>
        <w:t>5</w:t>
      </w:r>
      <w:r>
        <w:rPr>
          <w:rFonts w:ascii="黑体" w:hAnsi="黑体" w:eastAsia="黑体"/>
          <w:kern w:val="0"/>
          <w:szCs w:val="44"/>
        </w:rPr>
        <w:t>.</w:t>
      </w:r>
      <w:r>
        <w:rPr>
          <w:rFonts w:hint="eastAsia" w:ascii="黑体" w:hAnsi="黑体" w:eastAsia="黑体"/>
          <w:kern w:val="0"/>
          <w:szCs w:val="44"/>
        </w:rPr>
        <w:t>1</w:t>
      </w:r>
      <w:r>
        <w:rPr>
          <w:rFonts w:hint="eastAsia" w:ascii="宋体" w:hAnsi="宋体"/>
          <w:kern w:val="0"/>
          <w:szCs w:val="44"/>
        </w:rPr>
        <w:t xml:space="preserve">  检验结果的数值按GB/T 8170的规定进行修约，并采用修约值比较法进行判定。</w:t>
      </w:r>
    </w:p>
    <w:p>
      <w:pPr>
        <w:autoSpaceDE w:val="0"/>
        <w:autoSpaceDN w:val="0"/>
        <w:adjustRightInd w:val="0"/>
        <w:jc w:val="left"/>
        <w:rPr>
          <w:rFonts w:ascii="宋体" w:hAnsi="宋体"/>
          <w:kern w:val="0"/>
          <w:szCs w:val="44"/>
        </w:rPr>
      </w:pPr>
      <w:r>
        <w:rPr>
          <w:rFonts w:hint="eastAsia" w:ascii="黑体" w:hAnsi="黑体" w:eastAsia="黑体"/>
          <w:kern w:val="0"/>
          <w:szCs w:val="44"/>
        </w:rPr>
        <w:t>6</w:t>
      </w:r>
      <w:r>
        <w:rPr>
          <w:rFonts w:ascii="黑体" w:hAnsi="黑体" w:eastAsia="黑体"/>
          <w:kern w:val="0"/>
          <w:szCs w:val="44"/>
        </w:rPr>
        <w:t>.5.2</w:t>
      </w:r>
      <w:r>
        <w:rPr>
          <w:rFonts w:hint="eastAsia" w:ascii="宋体" w:hAnsi="宋体"/>
          <w:kern w:val="0"/>
          <w:szCs w:val="44"/>
        </w:rPr>
        <w:t xml:space="preserve">  </w:t>
      </w:r>
      <w:r>
        <w:rPr>
          <w:rFonts w:hint="eastAsia"/>
        </w:rPr>
        <w:t>化学成分、水分含量和外观质量与本标准规定不符时，按批判不合格。</w:t>
      </w:r>
    </w:p>
    <w:p>
      <w:pPr>
        <w:autoSpaceDE w:val="0"/>
        <w:autoSpaceDN w:val="0"/>
        <w:adjustRightInd w:val="0"/>
        <w:jc w:val="left"/>
        <w:rPr>
          <w:rFonts w:ascii="宋体" w:hAnsi="宋体"/>
          <w:kern w:val="0"/>
          <w:szCs w:val="44"/>
        </w:rPr>
      </w:pPr>
      <w:r>
        <w:rPr>
          <w:rFonts w:hint="eastAsia" w:ascii="黑体" w:hAnsi="黑体" w:eastAsia="黑体"/>
          <w:kern w:val="0"/>
          <w:szCs w:val="44"/>
        </w:rPr>
        <w:t>6</w:t>
      </w:r>
      <w:r>
        <w:rPr>
          <w:rFonts w:ascii="黑体" w:hAnsi="黑体" w:eastAsia="黑体"/>
          <w:kern w:val="0"/>
          <w:szCs w:val="44"/>
        </w:rPr>
        <w:t>.</w:t>
      </w:r>
      <w:r>
        <w:rPr>
          <w:rFonts w:hint="eastAsia" w:ascii="黑体" w:hAnsi="黑体" w:eastAsia="黑体"/>
          <w:kern w:val="0"/>
          <w:szCs w:val="44"/>
        </w:rPr>
        <w:t xml:space="preserve">5.3 </w:t>
      </w:r>
      <w:r>
        <w:rPr>
          <w:rFonts w:hint="eastAsia" w:ascii="宋体" w:hAnsi="宋体"/>
          <w:kern w:val="0"/>
          <w:szCs w:val="44"/>
        </w:rPr>
        <w:t xml:space="preserve"> 当化学成分、水分含量结果中有试样不合格时，应从该批产品中另取双倍数量的试样进行重复试验。重复试验结果全部合格，则判整批产品合格。若重复试验结果仍有试样不合格，则判该批产品不合格。</w:t>
      </w:r>
    </w:p>
    <w:p>
      <w:pPr>
        <w:pStyle w:val="59"/>
        <w:spacing w:before="156" w:after="156"/>
      </w:pPr>
      <w:r>
        <w:rPr>
          <w:rFonts w:hint="eastAsia"/>
        </w:rPr>
        <w:t>标志、包装、运输和贮存及随行文件</w:t>
      </w:r>
    </w:p>
    <w:p>
      <w:pPr>
        <w:pStyle w:val="60"/>
        <w:spacing w:before="156" w:beforeLines="50" w:after="156" w:afterLines="50"/>
        <w:ind w:left="142"/>
      </w:pPr>
      <w:r>
        <w:rPr>
          <w:rFonts w:hint="eastAsia"/>
        </w:rPr>
        <w:t>标志（分为产品标志和包装标志）</w:t>
      </w:r>
    </w:p>
    <w:p>
      <w:pPr>
        <w:spacing w:line="360" w:lineRule="exact"/>
        <w:ind w:firstLine="315" w:firstLineChars="150"/>
        <w:rPr>
          <w:rFonts w:asciiTheme="minorHAnsi" w:hAnsiTheme="minorHAnsi" w:eastAsiaTheme="minorEastAsia"/>
          <w:szCs w:val="21"/>
        </w:rPr>
      </w:pPr>
      <w:r>
        <w:rPr>
          <w:rFonts w:asciiTheme="minorHAnsi" w:hAnsiTheme="minorHAnsi" w:eastAsiaTheme="minorEastAsia"/>
          <w:szCs w:val="21"/>
        </w:rPr>
        <w:t>每批</w:t>
      </w:r>
      <w:r>
        <w:rPr>
          <w:rFonts w:hint="eastAsia" w:asciiTheme="minorHAnsi" w:hAnsiTheme="minorHAnsi" w:eastAsiaTheme="minorEastAsia"/>
          <w:szCs w:val="21"/>
        </w:rPr>
        <w:t>产品</w:t>
      </w:r>
      <w:r>
        <w:rPr>
          <w:rFonts w:asciiTheme="minorHAnsi" w:hAnsiTheme="minorHAnsi" w:eastAsiaTheme="minorEastAsia"/>
          <w:szCs w:val="21"/>
        </w:rPr>
        <w:t>应附有标签，其上注明：</w:t>
      </w:r>
    </w:p>
    <w:p>
      <w:pPr>
        <w:widowControl/>
        <w:numPr>
          <w:ilvl w:val="0"/>
          <w:numId w:val="13"/>
        </w:numPr>
        <w:spacing w:line="360" w:lineRule="exact"/>
        <w:jc w:val="left"/>
        <w:rPr>
          <w:rFonts w:asciiTheme="minorHAnsi" w:hAnsiTheme="minorHAnsi" w:eastAsiaTheme="minorEastAsia"/>
          <w:szCs w:val="21"/>
        </w:rPr>
      </w:pPr>
      <w:r>
        <w:rPr>
          <w:rFonts w:asciiTheme="minorHAnsi" w:hAnsiTheme="minorHAnsi" w:eastAsiaTheme="minorEastAsia"/>
          <w:szCs w:val="21"/>
        </w:rPr>
        <w:t>供方名称；</w:t>
      </w:r>
    </w:p>
    <w:p>
      <w:pPr>
        <w:widowControl/>
        <w:numPr>
          <w:ilvl w:val="0"/>
          <w:numId w:val="13"/>
        </w:numPr>
        <w:spacing w:line="360" w:lineRule="exact"/>
        <w:jc w:val="left"/>
        <w:rPr>
          <w:rFonts w:asciiTheme="minorHAnsi" w:hAnsiTheme="minorHAnsi" w:eastAsiaTheme="minorEastAsia"/>
          <w:szCs w:val="21"/>
        </w:rPr>
      </w:pPr>
      <w:r>
        <w:rPr>
          <w:rFonts w:hint="eastAsia" w:cs="宋体" w:asciiTheme="minorHAnsi" w:hAnsiTheme="minorHAnsi" w:eastAsiaTheme="minorEastAsia"/>
          <w:kern w:val="0"/>
          <w:szCs w:val="21"/>
        </w:rPr>
        <w:t>产品级别</w:t>
      </w:r>
    </w:p>
    <w:p>
      <w:pPr>
        <w:widowControl/>
        <w:numPr>
          <w:ilvl w:val="0"/>
          <w:numId w:val="13"/>
        </w:numPr>
        <w:spacing w:line="360" w:lineRule="exact"/>
        <w:jc w:val="left"/>
        <w:rPr>
          <w:rFonts w:asciiTheme="minorHAnsi" w:hAnsiTheme="minorHAnsi" w:eastAsiaTheme="minorEastAsia"/>
          <w:szCs w:val="21"/>
        </w:rPr>
      </w:pPr>
      <w:r>
        <w:rPr>
          <w:rFonts w:asciiTheme="minorHAnsi" w:hAnsiTheme="minorHAnsi" w:eastAsiaTheme="minorEastAsia"/>
          <w:szCs w:val="21"/>
        </w:rPr>
        <w:t>批号；</w:t>
      </w:r>
    </w:p>
    <w:p>
      <w:pPr>
        <w:widowControl/>
        <w:numPr>
          <w:ilvl w:val="0"/>
          <w:numId w:val="13"/>
        </w:numPr>
        <w:spacing w:line="360" w:lineRule="exact"/>
        <w:jc w:val="left"/>
        <w:rPr>
          <w:rFonts w:asciiTheme="minorHAnsi" w:hAnsiTheme="minorHAnsi" w:eastAsiaTheme="minorEastAsia"/>
          <w:szCs w:val="21"/>
        </w:rPr>
      </w:pPr>
      <w:r>
        <w:rPr>
          <w:rFonts w:hint="eastAsia" w:asciiTheme="minorHAnsi" w:hAnsiTheme="minorHAnsi" w:eastAsiaTheme="minorEastAsia"/>
          <w:szCs w:val="21"/>
        </w:rPr>
        <w:t>净重量；</w:t>
      </w:r>
    </w:p>
    <w:p>
      <w:pPr>
        <w:widowControl/>
        <w:numPr>
          <w:ilvl w:val="0"/>
          <w:numId w:val="13"/>
        </w:numPr>
        <w:spacing w:line="360" w:lineRule="exact"/>
        <w:jc w:val="left"/>
        <w:rPr>
          <w:rFonts w:asciiTheme="minorHAnsi" w:hAnsiTheme="minorHAnsi" w:eastAsiaTheme="minorEastAsia"/>
          <w:szCs w:val="21"/>
        </w:rPr>
      </w:pPr>
      <w:r>
        <w:rPr>
          <w:rFonts w:asciiTheme="minorHAnsi" w:hAnsiTheme="minorHAnsi" w:eastAsiaTheme="minorEastAsia"/>
          <w:szCs w:val="21"/>
        </w:rPr>
        <w:t>本标准编号；</w:t>
      </w:r>
    </w:p>
    <w:p>
      <w:pPr>
        <w:widowControl/>
        <w:numPr>
          <w:ilvl w:val="0"/>
          <w:numId w:val="13"/>
        </w:numPr>
        <w:spacing w:line="360" w:lineRule="exact"/>
        <w:jc w:val="left"/>
        <w:rPr>
          <w:rFonts w:asciiTheme="minorHAnsi" w:hAnsiTheme="minorHAnsi" w:eastAsiaTheme="minorEastAsia"/>
          <w:szCs w:val="21"/>
        </w:rPr>
      </w:pPr>
      <w:r>
        <w:rPr>
          <w:rFonts w:hint="eastAsia" w:asciiTheme="minorHAnsi" w:hAnsiTheme="minorHAnsi" w:eastAsiaTheme="minorEastAsia"/>
          <w:szCs w:val="21"/>
        </w:rPr>
        <w:t>分析元素（铁、氟、镉、砷）</w:t>
      </w:r>
    </w:p>
    <w:p>
      <w:pPr>
        <w:widowControl/>
        <w:numPr>
          <w:ilvl w:val="0"/>
          <w:numId w:val="13"/>
        </w:numPr>
        <w:spacing w:line="360" w:lineRule="exact"/>
        <w:jc w:val="left"/>
        <w:rPr>
          <w:rFonts w:asciiTheme="minorHAnsi" w:hAnsiTheme="minorHAnsi" w:eastAsiaTheme="minorEastAsia"/>
          <w:szCs w:val="21"/>
        </w:rPr>
      </w:pPr>
      <w:r>
        <w:rPr>
          <w:rFonts w:asciiTheme="minorHAnsi" w:hAnsiTheme="minorHAnsi" w:eastAsiaTheme="minorEastAsia"/>
          <w:szCs w:val="21"/>
        </w:rPr>
        <w:t>其他</w:t>
      </w:r>
      <w:r>
        <w:rPr>
          <w:rFonts w:hint="eastAsia" w:asciiTheme="minorHAnsi" w:hAnsiTheme="minorHAnsi" w:eastAsiaTheme="minorEastAsia"/>
          <w:szCs w:val="21"/>
        </w:rPr>
        <w:t>。</w:t>
      </w:r>
    </w:p>
    <w:p>
      <w:pPr>
        <w:pStyle w:val="60"/>
        <w:spacing w:before="156" w:beforeLines="50" w:after="156" w:afterLines="50"/>
        <w:ind w:left="142"/>
      </w:pPr>
      <w:r>
        <w:rPr>
          <w:rFonts w:hint="eastAsia"/>
        </w:rPr>
        <w:t>包装、运输、贮存</w:t>
      </w:r>
    </w:p>
    <w:p>
      <w:pPr>
        <w:pStyle w:val="58"/>
        <w:ind w:firstLine="420"/>
      </w:pPr>
      <w:r>
        <w:rPr>
          <w:rFonts w:hint="eastAsia"/>
        </w:rPr>
        <w:t>7.2.1 铜锌富集物应采用内衬塑料薄膜袋外套编织袋包装，包装应保证密封严密、防潮、每袋净重20-50kg；如用户有特殊要求，也可根据用户需要进行包装。</w:t>
      </w:r>
    </w:p>
    <w:p>
      <w:pPr>
        <w:pStyle w:val="58"/>
        <w:ind w:firstLine="420"/>
      </w:pPr>
      <w:r>
        <w:rPr>
          <w:rFonts w:hint="eastAsia"/>
        </w:rPr>
        <w:t>7.2.2铜锌富集物搬运时应小心轻放，防止包装破损。运输过程中不得与其他物质混装，严禁与酸、碱及有毒物质接触，且要有防雨措施。</w:t>
      </w:r>
    </w:p>
    <w:p>
      <w:pPr>
        <w:pStyle w:val="58"/>
        <w:ind w:firstLine="420"/>
      </w:pPr>
      <w:r>
        <w:rPr>
          <w:rFonts w:hint="eastAsia"/>
        </w:rPr>
        <w:t>7.2.3铜锌富集物应贮存于干燥处，防潮湿，并与酸、碱及有毒物质隔离。</w:t>
      </w:r>
    </w:p>
    <w:p>
      <w:pPr>
        <w:pStyle w:val="60"/>
        <w:spacing w:before="156" w:beforeLines="50" w:after="156" w:afterLines="50"/>
        <w:ind w:left="142"/>
      </w:pPr>
      <w:r>
        <w:rPr>
          <w:rFonts w:hint="eastAsia"/>
        </w:rPr>
        <w:t>随行文件</w:t>
      </w:r>
    </w:p>
    <w:p>
      <w:pPr>
        <w:pStyle w:val="58"/>
        <w:ind w:firstLine="420"/>
      </w:pPr>
      <w:r>
        <w:rPr>
          <w:rFonts w:hint="eastAsia"/>
        </w:rPr>
        <w:t>每批产品应附有随行文件，其中除应包括供方信息、产品信息、本文件编号、出厂日期或包装日期外，还宜包括：</w:t>
      </w:r>
    </w:p>
    <w:p>
      <w:pPr>
        <w:pStyle w:val="58"/>
        <w:ind w:firstLine="420"/>
        <w:rPr>
          <w:rFonts w:hAnsi="宋体"/>
          <w:szCs w:val="46"/>
        </w:rPr>
      </w:pPr>
      <w:r>
        <w:t>a</w:t>
      </w:r>
      <w:r>
        <w:rPr>
          <w:rFonts w:hint="eastAsia" w:hAnsi="宋体"/>
          <w:szCs w:val="46"/>
        </w:rPr>
        <w:t>）产品质量保证书，内容如下：</w:t>
      </w:r>
    </w:p>
    <w:p>
      <w:pPr>
        <w:pStyle w:val="58"/>
        <w:numPr>
          <w:ilvl w:val="0"/>
          <w:numId w:val="14"/>
        </w:numPr>
        <w:ind w:firstLineChars="0"/>
        <w:rPr>
          <w:rFonts w:hAnsi="宋体"/>
          <w:szCs w:val="46"/>
        </w:rPr>
      </w:pPr>
      <w:r>
        <w:rPr>
          <w:rFonts w:hint="eastAsia" w:hAnsi="宋体"/>
          <w:szCs w:val="46"/>
        </w:rPr>
        <w:t>产品的主要性能及技术参数</w:t>
      </w:r>
    </w:p>
    <w:p>
      <w:pPr>
        <w:pStyle w:val="58"/>
        <w:numPr>
          <w:ilvl w:val="0"/>
          <w:numId w:val="14"/>
        </w:numPr>
        <w:ind w:firstLineChars="0"/>
        <w:rPr>
          <w:rFonts w:hAnsi="宋体"/>
          <w:szCs w:val="46"/>
        </w:rPr>
      </w:pPr>
      <w:r>
        <w:rPr>
          <w:rFonts w:hint="eastAsia" w:hAnsi="宋体"/>
          <w:szCs w:val="46"/>
        </w:rPr>
        <w:t>产品特点（包括制造工艺及原材料的特点）；</w:t>
      </w:r>
    </w:p>
    <w:p>
      <w:pPr>
        <w:pStyle w:val="58"/>
        <w:numPr>
          <w:ilvl w:val="0"/>
          <w:numId w:val="14"/>
        </w:numPr>
        <w:ind w:firstLineChars="0"/>
        <w:rPr>
          <w:rFonts w:hAnsi="宋体"/>
          <w:szCs w:val="46"/>
        </w:rPr>
      </w:pPr>
      <w:r>
        <w:rPr>
          <w:rFonts w:hint="eastAsia" w:hAnsi="宋体"/>
          <w:szCs w:val="46"/>
        </w:rPr>
        <w:t>对产品质量所负的责任；</w:t>
      </w:r>
    </w:p>
    <w:p>
      <w:pPr>
        <w:pStyle w:val="58"/>
        <w:numPr>
          <w:ilvl w:val="0"/>
          <w:numId w:val="14"/>
        </w:numPr>
        <w:ind w:firstLineChars="0"/>
        <w:rPr>
          <w:rFonts w:hAnsi="宋体"/>
          <w:szCs w:val="46"/>
        </w:rPr>
      </w:pPr>
      <w:r>
        <w:rPr>
          <w:rFonts w:hint="eastAsia" w:hAnsi="宋体"/>
          <w:szCs w:val="46"/>
        </w:rPr>
        <w:t>对产品获得的质量认证及带供方技术监督部门检印的各项分析检验结果。</w:t>
      </w:r>
    </w:p>
    <w:p>
      <w:pPr>
        <w:pStyle w:val="58"/>
        <w:ind w:firstLine="420"/>
        <w:rPr>
          <w:rFonts w:hAnsi="宋体"/>
          <w:szCs w:val="46"/>
        </w:rPr>
      </w:pPr>
      <w:r>
        <w:rPr>
          <w:rFonts w:hint="eastAsia" w:hAnsi="宋体"/>
          <w:szCs w:val="46"/>
        </w:rPr>
        <w:t>b）产品合格证，内容如下：</w:t>
      </w:r>
    </w:p>
    <w:p>
      <w:pPr>
        <w:pStyle w:val="58"/>
        <w:numPr>
          <w:ilvl w:val="0"/>
          <w:numId w:val="14"/>
        </w:numPr>
        <w:ind w:firstLineChars="0"/>
        <w:rPr>
          <w:rFonts w:hAnsi="宋体"/>
          <w:szCs w:val="46"/>
        </w:rPr>
      </w:pPr>
      <w:r>
        <w:rPr>
          <w:rFonts w:hint="eastAsia" w:hAnsi="宋体"/>
          <w:szCs w:val="46"/>
        </w:rPr>
        <w:t>检验项目及其结果或检验结论；</w:t>
      </w:r>
    </w:p>
    <w:p>
      <w:pPr>
        <w:pStyle w:val="58"/>
        <w:numPr>
          <w:ilvl w:val="0"/>
          <w:numId w:val="14"/>
        </w:numPr>
        <w:ind w:firstLineChars="0"/>
        <w:rPr>
          <w:rFonts w:hAnsi="宋体"/>
          <w:szCs w:val="46"/>
        </w:rPr>
      </w:pPr>
      <w:r>
        <w:rPr>
          <w:rFonts w:hint="eastAsia" w:hAnsi="宋体"/>
          <w:szCs w:val="46"/>
        </w:rPr>
        <w:t>批量或批号；</w:t>
      </w:r>
    </w:p>
    <w:p>
      <w:pPr>
        <w:pStyle w:val="58"/>
        <w:numPr>
          <w:ilvl w:val="0"/>
          <w:numId w:val="14"/>
        </w:numPr>
        <w:ind w:firstLineChars="0"/>
        <w:rPr>
          <w:rFonts w:hAnsi="宋体"/>
          <w:szCs w:val="46"/>
        </w:rPr>
      </w:pPr>
      <w:r>
        <w:rPr>
          <w:rFonts w:hint="eastAsia" w:hAnsi="宋体"/>
          <w:szCs w:val="46"/>
        </w:rPr>
        <w:t>检验日期；</w:t>
      </w:r>
    </w:p>
    <w:p>
      <w:pPr>
        <w:pStyle w:val="58"/>
        <w:numPr>
          <w:ilvl w:val="0"/>
          <w:numId w:val="14"/>
        </w:numPr>
        <w:ind w:firstLineChars="0"/>
        <w:rPr>
          <w:rFonts w:hAnsi="宋体"/>
          <w:szCs w:val="46"/>
        </w:rPr>
      </w:pPr>
      <w:r>
        <w:rPr>
          <w:rFonts w:hint="eastAsia" w:hAnsi="宋体"/>
          <w:szCs w:val="46"/>
        </w:rPr>
        <w:t>检验员签名或盖章。</w:t>
      </w:r>
    </w:p>
    <w:p>
      <w:pPr>
        <w:pStyle w:val="58"/>
        <w:ind w:firstLine="420"/>
        <w:rPr>
          <w:rFonts w:hAnsi="宋体"/>
          <w:szCs w:val="46"/>
        </w:rPr>
      </w:pPr>
      <w:r>
        <w:rPr>
          <w:rFonts w:hint="eastAsia" w:hAnsi="宋体"/>
          <w:szCs w:val="46"/>
        </w:rPr>
        <w:t>c）产品质量控制工程中的检验报告及成品检验报告；</w:t>
      </w:r>
    </w:p>
    <w:p>
      <w:pPr>
        <w:pStyle w:val="58"/>
        <w:ind w:firstLine="420"/>
        <w:rPr>
          <w:rFonts w:hAnsi="宋体"/>
          <w:szCs w:val="46"/>
        </w:rPr>
      </w:pPr>
      <w:r>
        <w:rPr>
          <w:rFonts w:hint="eastAsia" w:hAnsi="宋体"/>
          <w:szCs w:val="46"/>
        </w:rPr>
        <w:t>d）产品使用说明：正确搬运、使用、贮存方法；</w:t>
      </w:r>
    </w:p>
    <w:p>
      <w:pPr>
        <w:pStyle w:val="58"/>
        <w:ind w:firstLine="420"/>
        <w:rPr>
          <w:rFonts w:hAnsi="宋体"/>
          <w:szCs w:val="46"/>
        </w:rPr>
      </w:pPr>
      <w:r>
        <w:rPr>
          <w:rFonts w:hint="eastAsia" w:hAnsi="宋体"/>
          <w:szCs w:val="46"/>
        </w:rPr>
        <w:t>e）其他。</w:t>
      </w:r>
    </w:p>
    <w:p>
      <w:pPr>
        <w:pStyle w:val="59"/>
        <w:spacing w:before="156" w:after="156"/>
      </w:pPr>
      <w:r>
        <w:rPr>
          <w:rFonts w:hint="eastAsia"/>
        </w:rPr>
        <w:t>订货单内容</w:t>
      </w:r>
    </w:p>
    <w:p>
      <w:pPr>
        <w:ind w:firstLine="315" w:firstLineChars="150"/>
        <w:rPr>
          <w:rFonts w:ascii="宋体" w:hAnsi="宋体"/>
          <w:kern w:val="0"/>
          <w:szCs w:val="46"/>
        </w:rPr>
      </w:pPr>
      <w:r>
        <w:rPr>
          <w:rFonts w:hint="eastAsia" w:ascii="宋体" w:hAnsi="宋体"/>
          <w:kern w:val="0"/>
          <w:szCs w:val="46"/>
        </w:rPr>
        <w:t xml:space="preserve">需方可根据自身的需要，在订购本文件所列产品的订货单内，列出如下内容： </w:t>
      </w:r>
    </w:p>
    <w:p>
      <w:pPr>
        <w:ind w:firstLine="315" w:firstLineChars="150"/>
        <w:rPr>
          <w:rFonts w:ascii="宋体" w:hAnsi="宋体"/>
          <w:kern w:val="0"/>
          <w:szCs w:val="46"/>
        </w:rPr>
      </w:pPr>
      <w:r>
        <w:rPr>
          <w:rFonts w:hint="eastAsia" w:ascii="宋体" w:hAnsi="宋体"/>
          <w:kern w:val="0"/>
          <w:szCs w:val="46"/>
        </w:rPr>
        <w:t>产品名称；</w:t>
      </w:r>
    </w:p>
    <w:p>
      <w:pPr>
        <w:numPr>
          <w:ilvl w:val="0"/>
          <w:numId w:val="15"/>
        </w:numPr>
        <w:adjustRightInd w:val="0"/>
        <w:jc w:val="left"/>
        <w:textAlignment w:val="baseline"/>
        <w:rPr>
          <w:rFonts w:ascii="宋体" w:hAnsi="宋体"/>
          <w:kern w:val="0"/>
          <w:szCs w:val="46"/>
        </w:rPr>
      </w:pPr>
      <w:r>
        <w:rPr>
          <w:rFonts w:hint="eastAsia" w:ascii="宋体" w:hAnsi="宋体"/>
          <w:kern w:val="0"/>
          <w:szCs w:val="46"/>
        </w:rPr>
        <w:t>产品名称；</w:t>
      </w:r>
    </w:p>
    <w:p>
      <w:pPr>
        <w:numPr>
          <w:ilvl w:val="0"/>
          <w:numId w:val="15"/>
        </w:numPr>
        <w:adjustRightInd w:val="0"/>
        <w:jc w:val="left"/>
        <w:textAlignment w:val="baseline"/>
        <w:rPr>
          <w:rFonts w:ascii="宋体" w:hAnsi="宋体"/>
          <w:kern w:val="0"/>
          <w:szCs w:val="46"/>
        </w:rPr>
      </w:pPr>
      <w:r>
        <w:rPr>
          <w:rFonts w:hint="eastAsia" w:ascii="宋体" w:hAnsi="宋体"/>
          <w:kern w:val="0"/>
          <w:szCs w:val="46"/>
        </w:rPr>
        <w:t>品级及化学成分；</w:t>
      </w:r>
    </w:p>
    <w:p>
      <w:pPr>
        <w:numPr>
          <w:ilvl w:val="0"/>
          <w:numId w:val="15"/>
        </w:numPr>
        <w:adjustRightInd w:val="0"/>
        <w:jc w:val="left"/>
        <w:textAlignment w:val="baseline"/>
        <w:rPr>
          <w:rFonts w:ascii="宋体" w:hAnsi="宋体"/>
          <w:kern w:val="0"/>
          <w:szCs w:val="46"/>
        </w:rPr>
      </w:pPr>
      <w:r>
        <w:rPr>
          <w:rFonts w:hint="eastAsia" w:ascii="宋体" w:hAnsi="宋体"/>
          <w:kern w:val="0"/>
          <w:szCs w:val="46"/>
        </w:rPr>
        <w:t>净重和件数；</w:t>
      </w:r>
    </w:p>
    <w:p>
      <w:pPr>
        <w:numPr>
          <w:ilvl w:val="0"/>
          <w:numId w:val="15"/>
        </w:numPr>
        <w:adjustRightInd w:val="0"/>
        <w:jc w:val="left"/>
        <w:textAlignment w:val="baseline"/>
        <w:rPr>
          <w:rFonts w:ascii="宋体" w:hAnsi="宋体"/>
          <w:strike/>
          <w:kern w:val="0"/>
          <w:szCs w:val="21"/>
        </w:rPr>
      </w:pPr>
      <w:r>
        <w:rPr>
          <w:rFonts w:hint="eastAsia" w:ascii="宋体" w:hAnsi="宋体"/>
          <w:kern w:val="0"/>
          <w:szCs w:val="46"/>
        </w:rPr>
        <w:t>本标准编号；</w:t>
      </w:r>
    </w:p>
    <w:p>
      <w:pPr>
        <w:numPr>
          <w:ilvl w:val="0"/>
          <w:numId w:val="15"/>
        </w:numPr>
        <w:adjustRightInd w:val="0"/>
        <w:jc w:val="left"/>
        <w:textAlignment w:val="baseline"/>
        <w:rPr>
          <w:rFonts w:ascii="宋体" w:hAnsi="宋体"/>
          <w:kern w:val="0"/>
          <w:szCs w:val="46"/>
        </w:rPr>
      </w:pPr>
      <w:r>
        <w:rPr>
          <w:rFonts w:hint="eastAsia" w:ascii="宋体" w:hAnsi="宋体"/>
          <w:kern w:val="0"/>
          <w:szCs w:val="46"/>
        </w:rPr>
        <w:t>其他。</w:t>
      </w:r>
      <w:r>
        <w:rPr>
          <w:rFonts w:ascii="宋体" w:hAnsi="宋体"/>
          <w:kern w:val="0"/>
          <w:szCs w:val="46"/>
        </w:rP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170815</wp:posOffset>
                </wp:positionV>
                <wp:extent cx="1533525" cy="0"/>
                <wp:effectExtent l="0" t="0" r="0" b="0"/>
                <wp:wrapNone/>
                <wp:docPr id="1" name="Line 1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12700">
                          <a:solidFill>
                            <a:srgbClr val="000000"/>
                          </a:solidFill>
                          <a:round/>
                        </a:ln>
                        <a:effectLst/>
                      </wps:spPr>
                      <wps:bodyPr/>
                    </wps:wsp>
                  </a:graphicData>
                </a:graphic>
              </wp:anchor>
            </w:drawing>
          </mc:Choice>
          <mc:Fallback>
            <w:pict>
              <v:line id="Line 13" o:spid="_x0000_s1026" o:spt="20" style="position:absolute;left:0pt;margin-left:178.5pt;margin-top:13.45pt;height:0pt;width:120.75pt;z-index:251662336;mso-width-relative:page;mso-height-relative:page;" filled="f" stroked="t" coordsize="21600,21600" o:gfxdata="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xDAI2QAAAAkBAAAPAAAAAAAAAAEAIAAAACIA&#10;AABkcnMvZG93bnJldi54bWxQSwECFAAUAAAACACHTuJAOUen888BAACvAwAADgAAAAAAAAABACAA&#10;AAAoAQAAZHJzL2Uyb0RvYy54bWxQSwUGAAAAAAYABgBZAQAAaQUAAAAA&#10;">
                <v:fill on="f" focussize="0,0"/>
                <v:stroke weight="1pt" color="#000000" joinstyle="round"/>
                <v:imagedata o:title=""/>
                <o:lock v:ext="edit" aspectratio="f"/>
              </v:line>
            </w:pict>
          </mc:Fallback>
        </mc:AlternateContent>
      </w:r>
    </w:p>
    <w:sectPr>
      <w:footerReference r:id="rId7" w:type="default"/>
      <w:pgSz w:w="11907" w:h="16839"/>
      <w:pgMar w:top="1418" w:right="1134" w:bottom="1134" w:left="1418" w:header="1418" w:footer="851"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2</w:t>
    </w:r>
    <w:r>
      <w:rPr>
        <w:rStyle w:val="36"/>
      </w:rP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Style w:val="36"/>
      </w:rPr>
    </w:pPr>
    <w:r>
      <w:rPr>
        <w:rStyle w:val="36"/>
      </w:rPr>
      <w:fldChar w:fldCharType="begin"/>
    </w:r>
    <w:r>
      <w:rPr>
        <w:rStyle w:val="36"/>
      </w:rPr>
      <w:instrText xml:space="preserve">PAGE  </w:instrText>
    </w:r>
    <w:r>
      <w:rPr>
        <w:rStyle w:val="36"/>
      </w:rPr>
      <w:fldChar w:fldCharType="separate"/>
    </w:r>
    <w:r>
      <w:rPr>
        <w:rStyle w:val="36"/>
      </w:rPr>
      <w:t>2</w:t>
    </w:r>
    <w:r>
      <w:rPr>
        <w:rStyle w:val="3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YS/T</w:t>
    </w:r>
    <w:r>
      <w:rPr>
        <w:rFonts w:hint="eastAsia"/>
      </w:rPr>
      <w:t xml:space="preserve"> </w:t>
    </w:r>
    <w:r>
      <w:rPr>
        <w:rFonts w:hint="eastAsia" w:ascii="宋体" w:hAnsi="宋体"/>
      </w:rPr>
      <w:t>××</w:t>
    </w:r>
    <w:r>
      <w:t>—</w:t>
    </w:r>
    <w:r>
      <w:rPr>
        <w:rFonts w:hint="eastAsia" w:ascii="宋体" w:hAnsi="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93"/>
      <w:lvlText w:val="%1示例"/>
      <w:lvlJc w:val="left"/>
      <w:pPr>
        <w:tabs>
          <w:tab w:val="left" w:pos="4806"/>
        </w:tabs>
        <w:ind w:left="3686" w:firstLine="400"/>
      </w:pPr>
      <w:rPr>
        <w:rFonts w:hint="eastAsia" w:ascii="宋体" w:eastAsia="宋体"/>
        <w:b w:val="0"/>
        <w:i w:val="0"/>
        <w:sz w:val="18"/>
      </w:rPr>
    </w:lvl>
    <w:lvl w:ilvl="1" w:tentative="0">
      <w:start w:val="1"/>
      <w:numFmt w:val="lowerLetter"/>
      <w:lvlText w:val="%2)"/>
      <w:lvlJc w:val="left"/>
      <w:pPr>
        <w:tabs>
          <w:tab w:val="left" w:pos="4526"/>
        </w:tabs>
        <w:ind w:left="4526" w:hanging="420"/>
      </w:pPr>
    </w:lvl>
    <w:lvl w:ilvl="2" w:tentative="0">
      <w:start w:val="1"/>
      <w:numFmt w:val="lowerRoman"/>
      <w:lvlText w:val="%3."/>
      <w:lvlJc w:val="right"/>
      <w:pPr>
        <w:tabs>
          <w:tab w:val="left" w:pos="4946"/>
        </w:tabs>
        <w:ind w:left="4946" w:hanging="420"/>
      </w:pPr>
    </w:lvl>
    <w:lvl w:ilvl="3" w:tentative="0">
      <w:start w:val="1"/>
      <w:numFmt w:val="decimal"/>
      <w:lvlText w:val="%4."/>
      <w:lvlJc w:val="left"/>
      <w:pPr>
        <w:tabs>
          <w:tab w:val="left" w:pos="5366"/>
        </w:tabs>
        <w:ind w:left="5366" w:hanging="420"/>
      </w:pPr>
    </w:lvl>
    <w:lvl w:ilvl="4" w:tentative="0">
      <w:start w:val="1"/>
      <w:numFmt w:val="lowerLetter"/>
      <w:lvlText w:val="%5)"/>
      <w:lvlJc w:val="left"/>
      <w:pPr>
        <w:tabs>
          <w:tab w:val="left" w:pos="5786"/>
        </w:tabs>
        <w:ind w:left="5786" w:hanging="420"/>
      </w:pPr>
    </w:lvl>
    <w:lvl w:ilvl="5" w:tentative="0">
      <w:start w:val="1"/>
      <w:numFmt w:val="lowerRoman"/>
      <w:lvlText w:val="%6."/>
      <w:lvlJc w:val="right"/>
      <w:pPr>
        <w:tabs>
          <w:tab w:val="left" w:pos="6206"/>
        </w:tabs>
        <w:ind w:left="6206" w:hanging="420"/>
      </w:pPr>
    </w:lvl>
    <w:lvl w:ilvl="6" w:tentative="0">
      <w:start w:val="1"/>
      <w:numFmt w:val="decimal"/>
      <w:lvlText w:val="%7."/>
      <w:lvlJc w:val="left"/>
      <w:pPr>
        <w:tabs>
          <w:tab w:val="left" w:pos="6626"/>
        </w:tabs>
        <w:ind w:left="6626" w:hanging="420"/>
      </w:pPr>
    </w:lvl>
    <w:lvl w:ilvl="7" w:tentative="0">
      <w:start w:val="1"/>
      <w:numFmt w:val="lowerLetter"/>
      <w:lvlText w:val="%8)"/>
      <w:lvlJc w:val="left"/>
      <w:pPr>
        <w:tabs>
          <w:tab w:val="left" w:pos="7046"/>
        </w:tabs>
        <w:ind w:left="7046" w:hanging="420"/>
      </w:pPr>
    </w:lvl>
    <w:lvl w:ilvl="8" w:tentative="0">
      <w:start w:val="1"/>
      <w:numFmt w:val="lowerRoman"/>
      <w:lvlText w:val="%9."/>
      <w:lvlJc w:val="right"/>
      <w:pPr>
        <w:tabs>
          <w:tab w:val="left" w:pos="7466"/>
        </w:tabs>
        <w:ind w:left="7466" w:hanging="420"/>
      </w:pPr>
    </w:lvl>
  </w:abstractNum>
  <w:abstractNum w:abstractNumId="1">
    <w:nsid w:val="1C5B7797"/>
    <w:multiLevelType w:val="multilevel"/>
    <w:tmpl w:val="1C5B7797"/>
    <w:lvl w:ilvl="0" w:tentative="0">
      <w:start w:val="1"/>
      <w:numFmt w:val="lowerLetter"/>
      <w:lvlText w:val="%1）"/>
      <w:lvlJc w:val="left"/>
      <w:pPr>
        <w:tabs>
          <w:tab w:val="left" w:pos="987"/>
        </w:tabs>
        <w:ind w:left="987" w:hanging="420"/>
      </w:pPr>
      <w:rPr>
        <w:strike w:val="0"/>
      </w:rPr>
    </w:lvl>
    <w:lvl w:ilvl="1" w:tentative="0">
      <w:start w:val="1"/>
      <w:numFmt w:val="lowerLetter"/>
      <w:lvlText w:val="%2)"/>
      <w:lvlJc w:val="left"/>
      <w:pPr>
        <w:tabs>
          <w:tab w:val="left" w:pos="1259"/>
        </w:tabs>
        <w:ind w:left="1259" w:hanging="420"/>
      </w:pPr>
    </w:lvl>
    <w:lvl w:ilvl="2" w:tentative="0">
      <w:start w:val="1"/>
      <w:numFmt w:val="lowerRoman"/>
      <w:lvlText w:val="%3."/>
      <w:lvlJc w:val="right"/>
      <w:pPr>
        <w:tabs>
          <w:tab w:val="left" w:pos="1679"/>
        </w:tabs>
        <w:ind w:left="1679" w:hanging="420"/>
      </w:pPr>
    </w:lvl>
    <w:lvl w:ilvl="3" w:tentative="0">
      <w:start w:val="1"/>
      <w:numFmt w:val="decimal"/>
      <w:lvlText w:val="%4."/>
      <w:lvlJc w:val="left"/>
      <w:pPr>
        <w:tabs>
          <w:tab w:val="left" w:pos="2099"/>
        </w:tabs>
        <w:ind w:left="2099" w:hanging="420"/>
      </w:pPr>
    </w:lvl>
    <w:lvl w:ilvl="4" w:tentative="0">
      <w:start w:val="1"/>
      <w:numFmt w:val="lowerLetter"/>
      <w:lvlText w:val="%5)"/>
      <w:lvlJc w:val="left"/>
      <w:pPr>
        <w:tabs>
          <w:tab w:val="left" w:pos="2519"/>
        </w:tabs>
        <w:ind w:left="2519" w:hanging="420"/>
      </w:pPr>
    </w:lvl>
    <w:lvl w:ilvl="5" w:tentative="0">
      <w:start w:val="1"/>
      <w:numFmt w:val="lowerRoman"/>
      <w:lvlText w:val="%6."/>
      <w:lvlJc w:val="right"/>
      <w:pPr>
        <w:tabs>
          <w:tab w:val="left" w:pos="2939"/>
        </w:tabs>
        <w:ind w:left="2939" w:hanging="420"/>
      </w:pPr>
    </w:lvl>
    <w:lvl w:ilvl="6" w:tentative="0">
      <w:start w:val="1"/>
      <w:numFmt w:val="decimal"/>
      <w:lvlText w:val="%7."/>
      <w:lvlJc w:val="left"/>
      <w:pPr>
        <w:tabs>
          <w:tab w:val="left" w:pos="3359"/>
        </w:tabs>
        <w:ind w:left="3359" w:hanging="420"/>
      </w:pPr>
    </w:lvl>
    <w:lvl w:ilvl="7" w:tentative="0">
      <w:start w:val="1"/>
      <w:numFmt w:val="lowerLetter"/>
      <w:lvlText w:val="%8)"/>
      <w:lvlJc w:val="left"/>
      <w:pPr>
        <w:tabs>
          <w:tab w:val="left" w:pos="3779"/>
        </w:tabs>
        <w:ind w:left="3779" w:hanging="420"/>
      </w:pPr>
    </w:lvl>
    <w:lvl w:ilvl="8" w:tentative="0">
      <w:start w:val="1"/>
      <w:numFmt w:val="lowerRoman"/>
      <w:lvlText w:val="%9."/>
      <w:lvlJc w:val="right"/>
      <w:pPr>
        <w:tabs>
          <w:tab w:val="left" w:pos="4199"/>
        </w:tabs>
        <w:ind w:left="4199" w:hanging="420"/>
      </w:pPr>
    </w:lvl>
  </w:abstractNum>
  <w:abstractNum w:abstractNumId="2">
    <w:nsid w:val="2B2E319A"/>
    <w:multiLevelType w:val="multilevel"/>
    <w:tmpl w:val="2B2E319A"/>
    <w:lvl w:ilvl="0" w:tentative="0">
      <w:start w:val="1"/>
      <w:numFmt w:val="bullet"/>
      <w:lvlText w:val=""/>
      <w:lvlJc w:val="left"/>
      <w:pPr>
        <w:ind w:left="1260" w:hanging="420"/>
      </w:pPr>
      <w:rPr>
        <w:rFonts w:hint="default" w:ascii="Wingdings" w:hAnsi="Wingdings"/>
        <w:sz w:val="13"/>
        <w:szCs w:val="13"/>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3D094034"/>
    <w:multiLevelType w:val="multilevel"/>
    <w:tmpl w:val="3D094034"/>
    <w:lvl w:ilvl="0" w:tentative="0">
      <w:start w:val="1"/>
      <w:numFmt w:val="lowerLetter"/>
      <w:lvlText w:val="%1）"/>
      <w:lvlJc w:val="left"/>
      <w:pPr>
        <w:ind w:left="644" w:hanging="360"/>
      </w:pPr>
      <w:rPr>
        <w:rFonts w:hint="default" w:cs="Times New Roman"/>
        <w:sz w:val="21"/>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
    <w:nsid w:val="46806F7D"/>
    <w:multiLevelType w:val="multilevel"/>
    <w:tmpl w:val="46806F7D"/>
    <w:lvl w:ilvl="0" w:tentative="0">
      <w:start w:val="1"/>
      <w:numFmt w:val="none"/>
      <w:pStyle w:val="8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105"/>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E4D7B"/>
    <w:multiLevelType w:val="multilevel"/>
    <w:tmpl w:val="496E4D7B"/>
    <w:lvl w:ilvl="0" w:tentative="0">
      <w:start w:val="1"/>
      <w:numFmt w:val="none"/>
      <w:pStyle w:val="103"/>
      <w:lvlText w:val="%1注"/>
      <w:lvlJc w:val="left"/>
      <w:pPr>
        <w:tabs>
          <w:tab w:val="left" w:pos="900"/>
        </w:tabs>
        <w:ind w:left="900" w:hanging="500"/>
      </w:pPr>
      <w:rPr>
        <w:rFonts w:hint="eastAsia" w:ascii="宋体" w:hAnsi="Times New Roman"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302902"/>
    <w:multiLevelType w:val="multilevel"/>
    <w:tmpl w:val="4F302902"/>
    <w:lvl w:ilvl="0" w:tentative="0">
      <w:start w:val="1"/>
      <w:numFmt w:val="none"/>
      <w:pStyle w:val="7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350366A"/>
    <w:multiLevelType w:val="multilevel"/>
    <w:tmpl w:val="6350366A"/>
    <w:lvl w:ilvl="0" w:tentative="0">
      <w:start w:val="1"/>
      <w:numFmt w:val="none"/>
      <w:pStyle w:val="8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100"/>
      <w:suff w:val="nothing"/>
      <w:lvlText w:val="表%1　"/>
      <w:lvlJc w:val="left"/>
      <w:pPr>
        <w:ind w:left="2126"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57D3FBC"/>
    <w:multiLevelType w:val="multilevel"/>
    <w:tmpl w:val="657D3FBC"/>
    <w:lvl w:ilvl="0" w:tentative="0">
      <w:start w:val="1"/>
      <w:numFmt w:val="upperLetter"/>
      <w:pStyle w:val="7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pStyle w:val="56"/>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z w:val="21"/>
      </w:rPr>
    </w:lvl>
    <w:lvl w:ilvl="2" w:tentative="0">
      <w:start w:val="1"/>
      <w:numFmt w:val="decimal"/>
      <w:pStyle w:val="60"/>
      <w:suff w:val="nothing"/>
      <w:lvlText w:val="%1%2.%3　"/>
      <w:lvlJc w:val="left"/>
      <w:pPr>
        <w:ind w:left="2269" w:firstLine="0"/>
      </w:pPr>
      <w:rPr>
        <w:rFonts w:hint="eastAsia" w:ascii="黑体" w:hAnsi="Times New Roman" w:eastAsia="黑体"/>
        <w:b w:val="0"/>
        <w:i w:val="0"/>
        <w:color w:val="auto"/>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102"/>
      <w:lvlText w:val="%1注："/>
      <w:lvlJc w:val="left"/>
      <w:pPr>
        <w:tabs>
          <w:tab w:val="left" w:pos="1287"/>
        </w:tabs>
        <w:ind w:left="987" w:hanging="420"/>
      </w:pPr>
      <w:rPr>
        <w:rFonts w:hint="eastAsia" w:ascii="黑体" w:hAnsi="黑体" w:eastAsia="黑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933334"/>
    <w:multiLevelType w:val="multilevel"/>
    <w:tmpl w:val="76933334"/>
    <w:lvl w:ilvl="0" w:tentative="0">
      <w:start w:val="1"/>
      <w:numFmt w:val="none"/>
      <w:pStyle w:val="85"/>
      <w:lvlText w:val="%1——"/>
      <w:lvlJc w:val="left"/>
      <w:pPr>
        <w:tabs>
          <w:tab w:val="left" w:pos="1146"/>
        </w:tabs>
        <w:ind w:left="846" w:hanging="420"/>
      </w:pPr>
      <w:rPr>
        <w:rFonts w:hint="eastAsia"/>
        <w:color w:val="000000" w:themeColor="text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1"/>
  </w:num>
  <w:num w:numId="3">
    <w:abstractNumId w:val="7"/>
  </w:num>
  <w:num w:numId="4">
    <w:abstractNumId w:val="4"/>
  </w:num>
  <w:num w:numId="5">
    <w:abstractNumId w:val="14"/>
  </w:num>
  <w:num w:numId="6">
    <w:abstractNumId w:val="9"/>
  </w:num>
  <w:num w:numId="7">
    <w:abstractNumId w:val="0"/>
  </w:num>
  <w:num w:numId="8">
    <w:abstractNumId w:val="10"/>
  </w:num>
  <w:num w:numId="9">
    <w:abstractNumId w:val="8"/>
  </w:num>
  <w:num w:numId="10">
    <w:abstractNumId w:val="13"/>
  </w:num>
  <w:num w:numId="11">
    <w:abstractNumId w:val="6"/>
  </w:num>
  <w:num w:numId="12">
    <w:abstractNumId w:val="5"/>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linkStyl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B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adjustRightInd w:val="0"/>
      <w:spacing w:line="360" w:lineRule="atLeast"/>
      <w:ind w:firstLine="420"/>
      <w:jc w:val="left"/>
    </w:pPr>
    <w:rPr>
      <w:kern w:val="0"/>
      <w:szCs w:val="20"/>
    </w:rPr>
  </w:style>
  <w:style w:type="paragraph" w:styleId="19">
    <w:name w:val="annotation text"/>
    <w:basedOn w:val="1"/>
    <w:link w:val="113"/>
    <w:qFormat/>
    <w:uiPriority w:val="0"/>
    <w:pPr>
      <w:jc w:val="left"/>
    </w:p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link w:val="109"/>
    <w:qFormat/>
    <w:uiPriority w:val="0"/>
    <w:pPr>
      <w:ind w:left="100" w:leftChars="2500"/>
    </w:pPr>
  </w:style>
  <w:style w:type="paragraph" w:styleId="23">
    <w:name w:val="endnote text"/>
    <w:basedOn w:val="1"/>
    <w:link w:val="112"/>
    <w:qFormat/>
    <w:uiPriority w:val="0"/>
    <w:pPr>
      <w:snapToGrid w:val="0"/>
      <w:jc w:val="left"/>
    </w:pPr>
  </w:style>
  <w:style w:type="paragraph" w:styleId="24">
    <w:name w:val="Balloon Text"/>
    <w:basedOn w:val="1"/>
    <w:link w:val="110"/>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1"/>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9"/>
    <w:next w:val="19"/>
    <w:link w:val="114"/>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endnote reference"/>
    <w:basedOn w:val="34"/>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TML Definition"/>
    <w:basedOn w:val="34"/>
    <w:qFormat/>
    <w:uiPriority w:val="0"/>
    <w:rPr>
      <w:i/>
      <w:iCs/>
    </w:rPr>
  </w:style>
  <w:style w:type="character" w:styleId="39">
    <w:name w:val="HTML Typewriter"/>
    <w:basedOn w:val="34"/>
    <w:qFormat/>
    <w:uiPriority w:val="0"/>
    <w:rPr>
      <w:rFonts w:ascii="Courier New" w:hAnsi="Courier New"/>
      <w:sz w:val="20"/>
      <w:szCs w:val="20"/>
    </w:rPr>
  </w:style>
  <w:style w:type="character" w:styleId="40">
    <w:name w:val="HTML Acronym"/>
    <w:basedOn w:val="34"/>
    <w:qFormat/>
    <w:uiPriority w:val="0"/>
  </w:style>
  <w:style w:type="character" w:styleId="41">
    <w:name w:val="HTML Variable"/>
    <w:basedOn w:val="34"/>
    <w:qFormat/>
    <w:uiPriority w:val="0"/>
    <w:rPr>
      <w:i/>
      <w:iCs/>
    </w:rPr>
  </w:style>
  <w:style w:type="character" w:styleId="42">
    <w:name w:val="Hyperlink"/>
    <w:qFormat/>
    <w:uiPriority w:val="0"/>
    <w:rPr>
      <w:rFonts w:ascii="Times New Roman" w:hAnsi="Times New Roman" w:eastAsia="宋体"/>
      <w:color w:val="auto"/>
      <w:spacing w:val="0"/>
      <w:w w:val="100"/>
      <w:position w:val="0"/>
      <w:sz w:val="21"/>
      <w:u w:val="none"/>
      <w:vertAlign w:val="baseline"/>
    </w:rPr>
  </w:style>
  <w:style w:type="character" w:styleId="43">
    <w:name w:val="HTML Code"/>
    <w:basedOn w:val="34"/>
    <w:qFormat/>
    <w:uiPriority w:val="0"/>
    <w:rPr>
      <w:rFonts w:ascii="Courier New" w:hAnsi="Courier New"/>
      <w:sz w:val="20"/>
      <w:szCs w:val="20"/>
    </w:rPr>
  </w:style>
  <w:style w:type="character" w:styleId="44">
    <w:name w:val="annotation reference"/>
    <w:basedOn w:val="34"/>
    <w:qFormat/>
    <w:uiPriority w:val="0"/>
    <w:rPr>
      <w:sz w:val="21"/>
      <w:szCs w:val="21"/>
    </w:rPr>
  </w:style>
  <w:style w:type="character" w:styleId="45">
    <w:name w:val="HTML Cite"/>
    <w:basedOn w:val="34"/>
    <w:qFormat/>
    <w:uiPriority w:val="0"/>
    <w:rPr>
      <w:i/>
      <w:iCs/>
    </w:rPr>
  </w:style>
  <w:style w:type="character" w:styleId="46">
    <w:name w:val="footnote reference"/>
    <w:basedOn w:val="34"/>
    <w:semiHidden/>
    <w:qFormat/>
    <w:uiPriority w:val="0"/>
    <w:rPr>
      <w:vertAlign w:val="superscript"/>
    </w:rPr>
  </w:style>
  <w:style w:type="character" w:styleId="47">
    <w:name w:val="HTML Keyboard"/>
    <w:basedOn w:val="34"/>
    <w:qFormat/>
    <w:uiPriority w:val="0"/>
    <w:rPr>
      <w:rFonts w:ascii="Courier New" w:hAnsi="Courier New"/>
      <w:sz w:val="20"/>
      <w:szCs w:val="20"/>
    </w:rPr>
  </w:style>
  <w:style w:type="character" w:styleId="48">
    <w:name w:val="HTML Sample"/>
    <w:basedOn w:val="34"/>
    <w:qFormat/>
    <w:uiPriority w:val="0"/>
    <w:rPr>
      <w:rFonts w:ascii="Courier New" w:hAnsi="Courier New"/>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标准书眉_偶数页"/>
    <w:basedOn w:val="53"/>
    <w:next w:val="1"/>
    <w:qFormat/>
    <w:uiPriority w:val="0"/>
    <w:pPr>
      <w:jc w:val="left"/>
    </w:p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参考文献、索引标题"/>
    <w:basedOn w:val="56"/>
    <w:next w:val="1"/>
    <w:qFormat/>
    <w:uiPriority w:val="0"/>
    <w:pPr>
      <w:numPr>
        <w:numId w:val="0"/>
      </w:numPr>
      <w:spacing w:after="200"/>
    </w:pPr>
    <w:rPr>
      <w:sz w:val="21"/>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章标题"/>
    <w:next w:val="5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0">
    <w:name w:val="一级条标题"/>
    <w:next w:val="5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1">
    <w:name w:val="二级条标题"/>
    <w:basedOn w:val="60"/>
    <w:next w:val="58"/>
    <w:qFormat/>
    <w:uiPriority w:val="0"/>
    <w:pPr>
      <w:numPr>
        <w:ilvl w:val="3"/>
      </w:numPr>
      <w:outlineLvl w:val="3"/>
    </w:pPr>
  </w:style>
  <w:style w:type="character" w:customStyle="1" w:styleId="62">
    <w:name w:val="发布"/>
    <w:basedOn w:val="34"/>
    <w:qFormat/>
    <w:uiPriority w:val="0"/>
    <w:rPr>
      <w:rFonts w:ascii="黑体" w:eastAsia="黑体"/>
      <w:spacing w:val="22"/>
      <w:w w:val="100"/>
      <w:position w:val="3"/>
      <w:sz w:val="28"/>
    </w:rPr>
  </w:style>
  <w:style w:type="paragraph" w:customStyle="1" w:styleId="63">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号2"/>
    <w:basedOn w:val="65"/>
    <w:qFormat/>
    <w:uiPriority w:val="0"/>
    <w:pPr>
      <w:framePr w:w="9138" w:h="1244" w:hRule="exact" w:wrap="around" w:vAnchor="page" w:hAnchor="margin" w:y="2908"/>
      <w:adjustRightInd w:val="0"/>
      <w:spacing w:before="357" w:line="280" w:lineRule="exact"/>
    </w:pPr>
  </w:style>
  <w:style w:type="paragraph" w:customStyle="1" w:styleId="67">
    <w:name w:val="封面标准代替信息"/>
    <w:basedOn w:val="66"/>
    <w:qFormat/>
    <w:uiPriority w:val="0"/>
    <w:pPr>
      <w:framePr/>
      <w:spacing w:before="57"/>
    </w:pPr>
    <w:rPr>
      <w:rFonts w:ascii="宋体"/>
      <w:sz w:val="21"/>
    </w:rPr>
  </w:style>
  <w:style w:type="paragraph" w:customStyle="1" w:styleId="6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56"/>
    <w:qFormat/>
    <w:uiPriority w:val="0"/>
    <w:pPr>
      <w:numPr>
        <w:ilvl w:val="0"/>
        <w:numId w:val="2"/>
      </w:numPr>
      <w:tabs>
        <w:tab w:val="left" w:pos="6405"/>
      </w:tabs>
      <w:spacing w:after="200"/>
    </w:pPr>
    <w:rPr>
      <w:sz w:val="21"/>
    </w:rPr>
  </w:style>
  <w:style w:type="paragraph" w:customStyle="1" w:styleId="75">
    <w:name w:val="附录表标题"/>
    <w:next w:val="58"/>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6">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一级条标题"/>
    <w:basedOn w:val="76"/>
    <w:next w:val="58"/>
    <w:qFormat/>
    <w:uiPriority w:val="0"/>
    <w:pPr>
      <w:numPr>
        <w:ilvl w:val="2"/>
      </w:numPr>
      <w:autoSpaceDN w:val="0"/>
      <w:spacing w:beforeLines="0" w:afterLines="0"/>
      <w:outlineLvl w:val="2"/>
    </w:pPr>
  </w:style>
  <w:style w:type="paragraph" w:customStyle="1" w:styleId="78">
    <w:name w:val="附录二级条标题"/>
    <w:basedOn w:val="77"/>
    <w:next w:val="58"/>
    <w:qFormat/>
    <w:uiPriority w:val="0"/>
    <w:pPr>
      <w:numPr>
        <w:ilvl w:val="3"/>
      </w:numPr>
      <w:outlineLvl w:val="3"/>
    </w:pPr>
  </w:style>
  <w:style w:type="paragraph" w:customStyle="1" w:styleId="79">
    <w:name w:val="附录三级条标题"/>
    <w:basedOn w:val="78"/>
    <w:next w:val="58"/>
    <w:qFormat/>
    <w:uiPriority w:val="0"/>
    <w:pPr>
      <w:numPr>
        <w:ilvl w:val="4"/>
      </w:numPr>
      <w:outlineLvl w:val="4"/>
    </w:pPr>
  </w:style>
  <w:style w:type="paragraph" w:customStyle="1" w:styleId="80">
    <w:name w:val="附录四级条标题"/>
    <w:basedOn w:val="79"/>
    <w:next w:val="58"/>
    <w:qFormat/>
    <w:uiPriority w:val="0"/>
    <w:pPr>
      <w:numPr>
        <w:ilvl w:val="5"/>
      </w:numPr>
      <w:outlineLvl w:val="5"/>
    </w:pPr>
  </w:style>
  <w:style w:type="paragraph" w:customStyle="1" w:styleId="81">
    <w:name w:val="附录图标题"/>
    <w:next w:val="58"/>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2">
    <w:name w:val="附录五级条标题"/>
    <w:basedOn w:val="80"/>
    <w:next w:val="58"/>
    <w:qFormat/>
    <w:uiPriority w:val="0"/>
    <w:pPr>
      <w:numPr>
        <w:ilvl w:val="6"/>
      </w:numPr>
      <w:outlineLvl w:val="6"/>
    </w:pPr>
  </w:style>
  <w:style w:type="character" w:customStyle="1" w:styleId="83">
    <w:name w:val="个人答复风格"/>
    <w:basedOn w:val="34"/>
    <w:qFormat/>
    <w:uiPriority w:val="0"/>
    <w:rPr>
      <w:rFonts w:ascii="Arial" w:hAnsi="Arial" w:eastAsia="宋体" w:cs="Arial"/>
      <w:color w:val="auto"/>
      <w:sz w:val="20"/>
    </w:rPr>
  </w:style>
  <w:style w:type="character" w:customStyle="1" w:styleId="84">
    <w:name w:val="个人撰写风格"/>
    <w:basedOn w:val="34"/>
    <w:qFormat/>
    <w:uiPriority w:val="0"/>
    <w:rPr>
      <w:rFonts w:ascii="Arial" w:hAnsi="Arial" w:eastAsia="宋体" w:cs="Arial"/>
      <w:color w:val="auto"/>
      <w:sz w:val="20"/>
    </w:rPr>
  </w:style>
  <w:style w:type="paragraph" w:customStyle="1" w:styleId="85">
    <w:name w:val="列项——（一级）"/>
    <w:qFormat/>
    <w:uiPriority w:val="0"/>
    <w:pPr>
      <w:widowControl w:val="0"/>
      <w:numPr>
        <w:ilvl w:val="0"/>
        <w:numId w:val="5"/>
      </w:numPr>
      <w:tabs>
        <w:tab w:val="left" w:pos="854"/>
        <w:tab w:val="clear" w:pos="1146"/>
      </w:tabs>
      <w:ind w:left="200" w:leftChars="200" w:hanging="200" w:hangingChars="200"/>
      <w:jc w:val="both"/>
    </w:pPr>
    <w:rPr>
      <w:rFonts w:ascii="宋体" w:hAnsi="Times New Roman" w:eastAsia="宋体" w:cs="Times New Roman"/>
      <w:sz w:val="21"/>
      <w:lang w:val="en-US" w:eastAsia="zh-CN" w:bidi="ar-SA"/>
    </w:rPr>
  </w:style>
  <w:style w:type="paragraph" w:customStyle="1" w:styleId="86">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7">
    <w:name w:val="目次、标准名称标题"/>
    <w:basedOn w:val="56"/>
    <w:next w:val="58"/>
    <w:qFormat/>
    <w:uiPriority w:val="0"/>
    <w:pPr>
      <w:spacing w:line="460" w:lineRule="exact"/>
    </w:pPr>
  </w:style>
  <w:style w:type="paragraph" w:customStyle="1" w:styleId="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0">
    <w:name w:val="其他发布部门"/>
    <w:basedOn w:val="63"/>
    <w:qFormat/>
    <w:uiPriority w:val="0"/>
    <w:pPr>
      <w:framePr/>
      <w:spacing w:line="0" w:lineRule="atLeast"/>
    </w:pPr>
    <w:rPr>
      <w:rFonts w:ascii="黑体" w:eastAsia="黑体"/>
      <w:b w:val="0"/>
    </w:rPr>
  </w:style>
  <w:style w:type="paragraph" w:customStyle="1" w:styleId="91">
    <w:name w:val="三级条标题"/>
    <w:basedOn w:val="61"/>
    <w:next w:val="58"/>
    <w:qFormat/>
    <w:uiPriority w:val="0"/>
    <w:pPr>
      <w:numPr>
        <w:ilvl w:val="4"/>
      </w:numPr>
      <w:outlineLvl w:val="4"/>
    </w:pPr>
  </w:style>
  <w:style w:type="paragraph" w:customStyle="1" w:styleId="92">
    <w:name w:val="实施日期"/>
    <w:basedOn w:val="64"/>
    <w:qFormat/>
    <w:uiPriority w:val="0"/>
    <w:pPr>
      <w:framePr w:hSpace="0" w:xAlign="right"/>
      <w:jc w:val="right"/>
    </w:pPr>
  </w:style>
  <w:style w:type="paragraph" w:customStyle="1" w:styleId="93">
    <w:name w:val="示例"/>
    <w:next w:val="58"/>
    <w:qFormat/>
    <w:uiPriority w:val="0"/>
    <w:pPr>
      <w:numPr>
        <w:ilvl w:val="0"/>
        <w:numId w:val="7"/>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5">
    <w:name w:val="四级条标题"/>
    <w:basedOn w:val="91"/>
    <w:next w:val="58"/>
    <w:qFormat/>
    <w:uiPriority w:val="0"/>
    <w:pPr>
      <w:numPr>
        <w:ilvl w:val="5"/>
      </w:numPr>
      <w:outlineLvl w:val="5"/>
    </w:pPr>
  </w:style>
  <w:style w:type="paragraph" w:customStyle="1" w:styleId="96">
    <w:name w:val="条文脚注"/>
    <w:basedOn w:val="27"/>
    <w:qFormat/>
    <w:uiPriority w:val="0"/>
    <w:pPr>
      <w:ind w:left="780" w:leftChars="200" w:hanging="360" w:hangingChars="200"/>
      <w:jc w:val="both"/>
    </w:pPr>
    <w:rPr>
      <w:rFonts w:ascii="宋体"/>
    </w:rPr>
  </w:style>
  <w:style w:type="paragraph" w:customStyle="1" w:styleId="97">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五级条标题"/>
    <w:basedOn w:val="95"/>
    <w:next w:val="58"/>
    <w:qFormat/>
    <w:uiPriority w:val="0"/>
    <w:pPr>
      <w:numPr>
        <w:ilvl w:val="6"/>
      </w:numPr>
      <w:outlineLvl w:val="6"/>
    </w:pPr>
  </w:style>
  <w:style w:type="paragraph" w:customStyle="1" w:styleId="100">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1">
    <w:name w:val="正文图标题"/>
    <w:next w:val="58"/>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2">
    <w:name w:val="注："/>
    <w:next w:val="58"/>
    <w:qFormat/>
    <w:uiPriority w:val="0"/>
    <w:pPr>
      <w:widowControl w:val="0"/>
      <w:numPr>
        <w:ilvl w:val="0"/>
        <w:numId w:val="10"/>
      </w:numPr>
      <w:tabs>
        <w:tab w:val="clear" w:pos="1287"/>
      </w:tabs>
      <w:autoSpaceDE w:val="0"/>
      <w:autoSpaceDN w:val="0"/>
      <w:ind w:left="840"/>
      <w:jc w:val="both"/>
    </w:pPr>
    <w:rPr>
      <w:rFonts w:ascii="宋体" w:hAnsi="Times New Roman" w:eastAsia="宋体" w:cs="Times New Roman"/>
      <w:sz w:val="18"/>
      <w:lang w:val="en-US" w:eastAsia="zh-CN" w:bidi="ar-SA"/>
    </w:rPr>
  </w:style>
  <w:style w:type="paragraph" w:customStyle="1" w:styleId="103">
    <w:name w:val="注×："/>
    <w:qFormat/>
    <w:uiPriority w:val="0"/>
    <w:pPr>
      <w:widowControl w:val="0"/>
      <w:numPr>
        <w:ilvl w:val="0"/>
        <w:numId w:val="1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0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5">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09">
    <w:name w:val="日期 Char"/>
    <w:basedOn w:val="34"/>
    <w:link w:val="22"/>
    <w:qFormat/>
    <w:uiPriority w:val="0"/>
    <w:rPr>
      <w:kern w:val="2"/>
      <w:sz w:val="21"/>
      <w:szCs w:val="24"/>
    </w:rPr>
  </w:style>
  <w:style w:type="character" w:customStyle="1" w:styleId="110">
    <w:name w:val="批注框文本 Char"/>
    <w:basedOn w:val="34"/>
    <w:link w:val="24"/>
    <w:qFormat/>
    <w:uiPriority w:val="0"/>
    <w:rPr>
      <w:kern w:val="2"/>
      <w:sz w:val="18"/>
      <w:szCs w:val="18"/>
    </w:rPr>
  </w:style>
  <w:style w:type="paragraph" w:styleId="111">
    <w:name w:val="List Paragraph"/>
    <w:basedOn w:val="1"/>
    <w:qFormat/>
    <w:uiPriority w:val="34"/>
    <w:pPr>
      <w:ind w:firstLine="420" w:firstLineChars="200"/>
    </w:pPr>
  </w:style>
  <w:style w:type="character" w:customStyle="1" w:styleId="112">
    <w:name w:val="尾注文本 Char"/>
    <w:basedOn w:val="34"/>
    <w:link w:val="23"/>
    <w:uiPriority w:val="0"/>
    <w:rPr>
      <w:kern w:val="2"/>
      <w:sz w:val="21"/>
      <w:szCs w:val="24"/>
    </w:rPr>
  </w:style>
  <w:style w:type="character" w:customStyle="1" w:styleId="113">
    <w:name w:val="批注文字 Char"/>
    <w:basedOn w:val="34"/>
    <w:link w:val="19"/>
    <w:uiPriority w:val="0"/>
    <w:rPr>
      <w:kern w:val="2"/>
      <w:sz w:val="21"/>
      <w:szCs w:val="24"/>
    </w:rPr>
  </w:style>
  <w:style w:type="character" w:customStyle="1" w:styleId="114">
    <w:name w:val="批注主题 Char"/>
    <w:basedOn w:val="113"/>
    <w:link w:val="31"/>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5C4F0-2C3C-4ED7-A6D9-3226EBE60FA2}">
  <ds:schemaRefs/>
</ds:datastoreItem>
</file>

<file path=docProps/app.xml><?xml version="1.0" encoding="utf-8"?>
<Properties xmlns="http://schemas.openxmlformats.org/officeDocument/2006/extended-properties" xmlns:vt="http://schemas.openxmlformats.org/officeDocument/2006/docPropsVTypes">
  <Template>tds2</Template>
  <Company>CNIS</Company>
  <Pages>6</Pages>
  <Words>402</Words>
  <Characters>2292</Characters>
  <Lines>19</Lines>
  <Paragraphs>5</Paragraphs>
  <TotalTime>596</TotalTime>
  <ScaleCrop>false</ScaleCrop>
  <LinksUpToDate>false</LinksUpToDate>
  <CharactersWithSpaces>2689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2021-01-12T23:58:00Z</dcterms:created>
  <dc:creator>liufk</dc:creator>
  <cp:lastModifiedBy>CathayMok</cp:lastModifiedBy>
  <cp:lastPrinted>2021-06-10T02:11:00Z</cp:lastPrinted>
  <dcterms:modified xsi:type="dcterms:W3CDTF">2021-06-16T08:45:34Z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2052-11.1.0.10314</vt:lpwstr>
  </property>
</Properties>
</file>