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Style w:val="11"/>
          <w:sz w:val="28"/>
          <w:szCs w:val="28"/>
        </w:rPr>
      </w:pPr>
      <w:bookmarkStart w:id="0" w:name="_GoBack"/>
      <w:bookmarkEnd w:id="0"/>
      <w:r>
        <w:rPr>
          <w:rStyle w:val="11"/>
          <w:rFonts w:hint="eastAsia"/>
          <w:sz w:val="28"/>
          <w:szCs w:val="28"/>
        </w:rPr>
        <w:t>协会标准《</w:t>
      </w:r>
      <w:r>
        <w:rPr>
          <w:rFonts w:hint="eastAsia" w:ascii="黑体" w:eastAsia="黑体"/>
          <w:sz w:val="28"/>
          <w:szCs w:val="28"/>
        </w:rPr>
        <w:t>半导体材料痕量杂质分析用超纯树脂器皿</w:t>
      </w:r>
      <w:r>
        <w:rPr>
          <w:rStyle w:val="11"/>
          <w:rFonts w:hint="eastAsia"/>
          <w:sz w:val="28"/>
          <w:szCs w:val="28"/>
        </w:rPr>
        <w:t>》</w:t>
      </w:r>
    </w:p>
    <w:p>
      <w:pPr>
        <w:adjustRightInd w:val="0"/>
        <w:snapToGrid w:val="0"/>
        <w:jc w:val="center"/>
        <w:rPr>
          <w:rFonts w:ascii="黑体" w:eastAsia="黑体"/>
          <w:sz w:val="28"/>
          <w:szCs w:val="28"/>
        </w:rPr>
      </w:pPr>
      <w:r>
        <w:rPr>
          <w:rStyle w:val="11"/>
          <w:rFonts w:hint="eastAsia" w:hAnsi="STZhongsong"/>
          <w:sz w:val="28"/>
          <w:szCs w:val="28"/>
        </w:rPr>
        <w:t>编制说明</w:t>
      </w:r>
      <w:r>
        <w:rPr>
          <w:rStyle w:val="11"/>
          <w:rFonts w:hint="eastAsia"/>
          <w:sz w:val="28"/>
          <w:szCs w:val="28"/>
        </w:rPr>
        <w:t>（预审稿）</w:t>
      </w:r>
    </w:p>
    <w:p>
      <w:pPr>
        <w:spacing w:line="360" w:lineRule="auto"/>
        <w:rPr>
          <w:rFonts w:ascii="宋体" w:hAnsi="宋体"/>
          <w:b/>
          <w:sz w:val="24"/>
        </w:rPr>
      </w:pPr>
      <w:r>
        <w:rPr>
          <w:rFonts w:hint="eastAsia" w:ascii="宋体" w:hAnsi="宋体"/>
          <w:sz w:val="24"/>
        </w:rPr>
        <w:t>一、</w:t>
      </w:r>
      <w:r>
        <w:rPr>
          <w:rFonts w:ascii="宋体" w:hAnsi="宋体"/>
          <w:b/>
          <w:sz w:val="24"/>
        </w:rPr>
        <w:t>工作简况</w:t>
      </w:r>
    </w:p>
    <w:p>
      <w:pPr>
        <w:spacing w:line="360" w:lineRule="auto"/>
        <w:rPr>
          <w:rFonts w:ascii="宋体" w:hAnsi="宋体"/>
          <w:b/>
          <w:sz w:val="24"/>
        </w:rPr>
      </w:pPr>
      <w:r>
        <w:rPr>
          <w:rFonts w:hint="eastAsia" w:ascii="宋体" w:hAnsi="宋体"/>
          <w:b/>
          <w:sz w:val="24"/>
        </w:rPr>
        <w:t>1、</w:t>
      </w:r>
      <w:r>
        <w:rPr>
          <w:rFonts w:ascii="宋体" w:hAnsi="宋体"/>
          <w:b/>
          <w:sz w:val="24"/>
        </w:rPr>
        <w:t>项目背景和立项意义</w:t>
      </w:r>
    </w:p>
    <w:p>
      <w:pPr>
        <w:pStyle w:val="18"/>
        <w:spacing w:line="360" w:lineRule="auto"/>
        <w:ind w:firstLine="480" w:firstLineChars="200"/>
        <w:rPr>
          <w:rFonts w:ascii="宋体" w:hAnsi="宋体" w:cs="Times New Roman"/>
          <w:sz w:val="24"/>
          <w:szCs w:val="24"/>
        </w:rPr>
      </w:pPr>
      <w:r>
        <w:rPr>
          <w:rFonts w:hint="eastAsia" w:ascii="宋体" w:hAnsi="宋体" w:cs="Times New Roman"/>
          <w:sz w:val="24"/>
          <w:szCs w:val="24"/>
        </w:rPr>
        <w:t>半导体材料痕量杂质分析用超纯树脂器皿，超纯树脂器皿，在半导体行业广泛进行运用，半导体行业中用到硝酸、盐酸、硫酸、氢氟酸、双氧水、纯水等多种超纯化学试剂，在IC行业中越是高精尖的制程工艺，对于化学试剂的纯度要求越高。这些化学试剂在储存、运输、使用过程中，不可避免的会和多种材料的管路、密封圈、器皿进行接触。而接触的材料多为PP、PVDF、PFA、PTFE、FEP等多种耐酸的材料，由于半导体行业我国目前和世界一流水平尚存在一定差距，目前国内和这些超纯化学品进行接触的管线、材料、器皿等均来源于美国、日本、德国、台湾等地进口。</w:t>
      </w:r>
    </w:p>
    <w:p>
      <w:pPr>
        <w:pStyle w:val="18"/>
        <w:spacing w:line="360" w:lineRule="auto"/>
        <w:ind w:firstLine="480" w:firstLineChars="200"/>
        <w:rPr>
          <w:rFonts w:ascii="宋体" w:hAnsi="宋体" w:cs="Times New Roman"/>
          <w:sz w:val="24"/>
          <w:szCs w:val="24"/>
        </w:rPr>
      </w:pPr>
      <w:r>
        <w:rPr>
          <w:rFonts w:hint="eastAsia" w:ascii="宋体" w:hAnsi="宋体" w:cs="Times New Roman"/>
          <w:sz w:val="24"/>
          <w:szCs w:val="24"/>
        </w:rPr>
        <w:t>尽管国内也有一部分厂家在从事这些材料的国产化工作，但是经调研多家半导体材料痕量分析的检测机构，所用的超纯树脂器皿均来源于德国、美国、日本等地。究其原因，是是缺乏一个比较客观的评价体系，无法对国产产品和进行产品进行对比，因此对于国产产品的情况无法进行评价，稳妥起见，则选择了进口产品。</w:t>
      </w:r>
    </w:p>
    <w:p>
      <w:pPr>
        <w:pStyle w:val="18"/>
        <w:spacing w:line="360" w:lineRule="auto"/>
        <w:ind w:firstLine="480" w:firstLineChars="200"/>
        <w:rPr>
          <w:rFonts w:ascii="宋体" w:hAnsi="宋体" w:cs="Times New Roman"/>
          <w:sz w:val="24"/>
          <w:szCs w:val="24"/>
        </w:rPr>
      </w:pPr>
      <w:r>
        <w:rPr>
          <w:rFonts w:hint="eastAsia" w:ascii="宋体" w:hAnsi="宋体" w:cs="Times New Roman"/>
          <w:sz w:val="24"/>
          <w:szCs w:val="24"/>
        </w:rPr>
        <w:t>为促进半导体集成电路产业发展的需求，因此，需要建立一个适用于半导体产业用痕量杂质分析用超纯树脂器皿的技术标准，促使国内企业提高产品质量，统一技术规格，为超纯树脂器皿的生产、销售、采购及使用提供参考依据，对促进我国极大规模集成电路产业发展具有重要的意义。</w:t>
      </w:r>
    </w:p>
    <w:p>
      <w:pPr>
        <w:pStyle w:val="18"/>
        <w:spacing w:line="360" w:lineRule="auto"/>
        <w:ind w:firstLine="436" w:firstLineChars="182"/>
        <w:rPr>
          <w:rFonts w:ascii="宋体" w:hAnsi="宋体"/>
          <w:sz w:val="24"/>
        </w:rPr>
      </w:pPr>
      <w:r>
        <w:rPr>
          <w:rFonts w:hint="eastAsia" w:ascii="宋体" w:hAnsi="宋体"/>
          <w:sz w:val="24"/>
        </w:rPr>
        <w:t>目前国内国外相关的树脂材料标准均针对强度、韧性等物理性能进行了规范，对于其他国内实验室重点关注的金属、颗粒析出性能并未予以提及。针对金属元素的问题，查得有测试方法标准SEMI F48《Test Method for determining trace metals in polymer materials》，对树脂材料的金属析出提供了一个思路，但所述也并不具体，且适用性不足，并不能客观满足目前半导体产业发展的需求。因此，迫切需要这样的一个标准为行业的发展提供相关依据。</w:t>
      </w:r>
    </w:p>
    <w:p>
      <w:pPr>
        <w:spacing w:line="360" w:lineRule="auto"/>
        <w:rPr>
          <w:rFonts w:ascii="宋体" w:hAnsi="宋体"/>
          <w:b/>
          <w:sz w:val="24"/>
        </w:rPr>
      </w:pPr>
      <w:r>
        <w:rPr>
          <w:rFonts w:hint="eastAsia" w:ascii="宋体" w:hAnsi="宋体"/>
          <w:b/>
          <w:sz w:val="24"/>
        </w:rPr>
        <w:t xml:space="preserve">2  </w:t>
      </w:r>
      <w:r>
        <w:rPr>
          <w:rFonts w:ascii="宋体" w:hAnsi="宋体"/>
          <w:b/>
          <w:sz w:val="24"/>
        </w:rPr>
        <w:t>任务来源</w:t>
      </w:r>
    </w:p>
    <w:p>
      <w:pPr>
        <w:pStyle w:val="18"/>
        <w:spacing w:line="360" w:lineRule="auto"/>
        <w:ind w:firstLine="480"/>
        <w:rPr>
          <w:rFonts w:ascii="宋体" w:hAnsi="宋体" w:cs="Times New Roman"/>
          <w:sz w:val="24"/>
          <w:szCs w:val="24"/>
        </w:rPr>
      </w:pPr>
      <w:r>
        <w:rPr>
          <w:rFonts w:hint="eastAsia" w:ascii="宋体" w:hAnsi="宋体" w:cs="Times New Roman"/>
          <w:sz w:val="24"/>
          <w:szCs w:val="24"/>
        </w:rPr>
        <w:t>根据（中色协科字[2019]   号）的要求，《半导体材料痕量杂质分析用超纯树脂器皿》由江苏赛夫特半导体材料检测技术有限公司牵头负责起草，计划编号：T</w:t>
      </w:r>
      <w:r>
        <w:rPr>
          <w:rFonts w:ascii="宋体" w:hAnsi="宋体" w:cs="Times New Roman"/>
          <w:sz w:val="24"/>
          <w:szCs w:val="24"/>
        </w:rPr>
        <w:t>/</w:t>
      </w:r>
      <w:r>
        <w:rPr>
          <w:rFonts w:hint="eastAsia" w:ascii="宋体" w:hAnsi="宋体" w:cs="Times New Roman"/>
          <w:sz w:val="24"/>
          <w:szCs w:val="24"/>
        </w:rPr>
        <w:t>CNIA，要求于2021年完成。</w:t>
      </w:r>
    </w:p>
    <w:p>
      <w:pPr>
        <w:spacing w:line="360" w:lineRule="auto"/>
        <w:rPr>
          <w:rFonts w:ascii="宋体" w:hAnsi="宋体"/>
          <w:b/>
          <w:sz w:val="24"/>
        </w:rPr>
      </w:pPr>
      <w:r>
        <w:rPr>
          <w:rFonts w:hint="eastAsia" w:ascii="宋体" w:hAnsi="宋体"/>
          <w:b/>
          <w:sz w:val="24"/>
        </w:rPr>
        <w:t xml:space="preserve">3  </w:t>
      </w:r>
      <w:r>
        <w:rPr>
          <w:rFonts w:ascii="宋体" w:hAnsi="宋体"/>
          <w:b/>
          <w:sz w:val="24"/>
        </w:rPr>
        <w:t>标准项目编制单位简况</w:t>
      </w:r>
    </w:p>
    <w:p>
      <w:pPr>
        <w:pStyle w:val="18"/>
        <w:spacing w:line="360" w:lineRule="auto"/>
        <w:ind w:firstLine="480"/>
        <w:rPr>
          <w:rFonts w:ascii="宋体" w:hAnsi="宋体" w:cs="Times New Roman"/>
          <w:sz w:val="24"/>
          <w:szCs w:val="24"/>
        </w:rPr>
      </w:pPr>
      <w:r>
        <w:rPr>
          <w:rFonts w:hint="eastAsia" w:ascii="宋体" w:hAnsi="宋体" w:cs="Times New Roman"/>
          <w:sz w:val="24"/>
          <w:szCs w:val="24"/>
        </w:rPr>
        <w:t>江苏赛夫特半导体材料检测技术有限公司，致力于半导体产业超高纯化学品的研发、测试等技术服务，团队成员由美国、台湾、中国数位专家组成，专家由半导体原材料到芯片生产产业链上相关的专业人才。于2018年在江苏昆山成立，针对超高纯试剂的提纯形成独特的技术路线，并且申报了3项专利、12项发明专利，从半导体产品的研发、检测到生产，在逐渐发展过程中，对半导体涉及的电子化学品有了更深理解与实践，而国内半导体电子化学品技术起歩较晚，我们坚持在超高纯产品核心技术中加大投入，继续扩大产品种类，以满足不同生产工艺的要求，持续探究超高纯化学品空白领域，立志成为半导体超高纯化学品的领军企业。</w:t>
      </w:r>
    </w:p>
    <w:p>
      <w:pPr>
        <w:spacing w:line="360" w:lineRule="auto"/>
        <w:ind w:firstLine="472" w:firstLineChars="196"/>
        <w:rPr>
          <w:rFonts w:ascii="宋体" w:hAnsi="宋体"/>
          <w:b/>
          <w:sz w:val="24"/>
        </w:rPr>
      </w:pPr>
      <w:r>
        <w:rPr>
          <w:rFonts w:hint="eastAsia" w:ascii="宋体" w:hAnsi="宋体"/>
          <w:b/>
          <w:sz w:val="24"/>
        </w:rPr>
        <w:t>4 主要工作过程（参考其他标准的编制说明中对应的内容改一下）</w:t>
      </w:r>
    </w:p>
    <w:p>
      <w:pPr>
        <w:pStyle w:val="18"/>
        <w:numPr>
          <w:ilvl w:val="0"/>
          <w:numId w:val="2"/>
        </w:numPr>
        <w:spacing w:line="360" w:lineRule="auto"/>
        <w:ind w:firstLine="480" w:firstLineChars="200"/>
        <w:rPr>
          <w:rFonts w:hAnsi="宋体"/>
          <w:color w:val="000000"/>
          <w:sz w:val="24"/>
        </w:rPr>
      </w:pPr>
      <w:r>
        <w:rPr>
          <w:rFonts w:hint="eastAsia" w:hAnsi="宋体"/>
          <w:color w:val="000000"/>
          <w:sz w:val="24"/>
          <w:lang w:val="zh-CN"/>
        </w:rPr>
        <w:t>接到团体标准制定计划任务后，</w:t>
      </w:r>
      <w:r>
        <w:rPr>
          <w:spacing w:val="1"/>
          <w:sz w:val="24"/>
        </w:rPr>
        <w:t>在全国</w:t>
      </w:r>
      <w:r>
        <w:rPr>
          <w:rFonts w:hint="eastAsia"/>
          <w:spacing w:val="1"/>
          <w:sz w:val="24"/>
        </w:rPr>
        <w:t>半导体材料标准化分技术委员会</w:t>
      </w:r>
      <w:r>
        <w:rPr>
          <w:spacing w:val="1"/>
          <w:sz w:val="24"/>
        </w:rPr>
        <w:t>的组织</w:t>
      </w:r>
      <w:r>
        <w:rPr>
          <w:rFonts w:hint="eastAsia" w:hAnsi="宋体"/>
          <w:color w:val="000000"/>
          <w:sz w:val="24"/>
          <w:lang w:val="zh-CN"/>
        </w:rPr>
        <w:t>下，</w:t>
      </w:r>
      <w:r>
        <w:rPr>
          <w:rFonts w:hint="eastAsia" w:hAnsi="宋体"/>
          <w:color w:val="000000"/>
          <w:sz w:val="24"/>
        </w:rPr>
        <w:t>江苏赛夫特半导体材料检测技术有限公司</w:t>
      </w:r>
      <w:r>
        <w:rPr>
          <w:rFonts w:hint="eastAsia" w:hAnsi="宋体"/>
          <w:color w:val="000000"/>
          <w:sz w:val="24"/>
          <w:lang w:val="zh-CN"/>
        </w:rPr>
        <w:t>成立了团体标准《半导体材料痕量杂质分析用超纯树脂器皿》编制</w:t>
      </w:r>
      <w:r>
        <w:rPr>
          <w:rFonts w:hint="eastAsia" w:hAnsi="宋体"/>
          <w:color w:val="000000"/>
          <w:sz w:val="24"/>
        </w:rPr>
        <w:t>小组</w:t>
      </w:r>
      <w:r>
        <w:rPr>
          <w:rFonts w:hint="eastAsia" w:hAnsi="宋体"/>
          <w:color w:val="000000"/>
          <w:sz w:val="24"/>
          <w:lang w:val="zh-CN"/>
        </w:rPr>
        <w:t>，</w:t>
      </w:r>
      <w:r>
        <w:rPr>
          <w:rFonts w:hint="eastAsia" w:hAnsi="宋体"/>
          <w:color w:val="000000"/>
          <w:sz w:val="24"/>
        </w:rPr>
        <w:t>小组成员都有较丰富的超纯树脂器皿的生产、使用、测试经验，对国内外本行业的发展有比较清晰的认识，工作组首先由主编单位完成国内外资料、标准的整理和研讨工作，由各参编单位提供生产单位各规格的规格书及相应的产品样品，交由各单位对样品的品质进行测试确认。起草人员通过对资料的收集等工作，编制了标准讨论稿，首先在本公司内部进行意见征集，修改后发送给编制组各单位进行意见征集，修改完成后于2020年10月参加了标准讨论会。</w:t>
      </w:r>
    </w:p>
    <w:p>
      <w:pPr>
        <w:pStyle w:val="18"/>
        <w:numPr>
          <w:ilvl w:val="0"/>
          <w:numId w:val="2"/>
        </w:numPr>
        <w:spacing w:line="360" w:lineRule="auto"/>
        <w:ind w:firstLine="480" w:firstLineChars="200"/>
        <w:rPr>
          <w:rFonts w:ascii="宋体" w:hAnsi="宋体"/>
          <w:b/>
          <w:sz w:val="24"/>
          <w:highlight w:val="yellow"/>
        </w:rPr>
      </w:pPr>
      <w:r>
        <w:rPr>
          <w:rFonts w:hint="eastAsia" w:hAnsi="宋体"/>
          <w:color w:val="000000"/>
          <w:sz w:val="24"/>
        </w:rPr>
        <w:t>2020年10月14日，由全国半导体设备和材料标准化技术委员会材料分技术委员会组织，在江苏省昆山市召开了《半导体材料痕量杂质分析用超纯树脂器皿》（团体标准）第一次工作会议（讨论会），共有有研半导体材料有限公司，乐山市产品质量监督检验所，南京国盛电子有限公司，江苏中能硅业科技发展有限公司，内蒙</w:t>
      </w:r>
      <w:r>
        <w:rPr>
          <w:rFonts w:hint="eastAsia" w:ascii="宋体" w:hAnsi="宋体"/>
          <w:sz w:val="24"/>
          <w:szCs w:val="24"/>
        </w:rPr>
        <w:t>古东立光伏电子有限公司，内蒙古神舟硅业有限责任公司，洛阳鸿泰半导体有限公司，中国计量科学研究院，等家单位，位专家委员对标准进行了深入的讨论。</w:t>
      </w:r>
    </w:p>
    <w:p>
      <w:pPr>
        <w:spacing w:line="360" w:lineRule="auto"/>
        <w:rPr>
          <w:rFonts w:ascii="宋体" w:hAnsi="宋体"/>
          <w:sz w:val="24"/>
        </w:rPr>
      </w:pPr>
      <w:r>
        <w:rPr>
          <w:rFonts w:hint="eastAsia" w:ascii="宋体" w:hAnsi="宋体"/>
          <w:sz w:val="24"/>
        </w:rPr>
        <w:t>二  标准编制原则和确定标准主要内容</w:t>
      </w:r>
    </w:p>
    <w:p>
      <w:pPr>
        <w:numPr>
          <w:ilvl w:val="0"/>
          <w:numId w:val="3"/>
        </w:numPr>
        <w:snapToGrid w:val="0"/>
        <w:spacing w:line="360" w:lineRule="auto"/>
        <w:ind w:left="357" w:hanging="357"/>
        <w:rPr>
          <w:rFonts w:hAnsi="宋体"/>
          <w:b/>
          <w:sz w:val="24"/>
        </w:rPr>
      </w:pPr>
      <w:r>
        <w:rPr>
          <w:rFonts w:hint="eastAsia" w:hAnsi="宋体"/>
          <w:b/>
          <w:sz w:val="24"/>
        </w:rPr>
        <w:t>编制原则</w:t>
      </w:r>
    </w:p>
    <w:p>
      <w:pPr>
        <w:spacing w:line="360" w:lineRule="auto"/>
        <w:ind w:firstLine="480" w:firstLineChars="200"/>
        <w:rPr>
          <w:sz w:val="24"/>
        </w:rPr>
      </w:pPr>
      <w:r>
        <w:rPr>
          <w:rFonts w:hint="eastAsia" w:ascii="Arial" w:hAnsi="Arial" w:cs="Arial"/>
          <w:color w:val="333333"/>
          <w:sz w:val="24"/>
          <w:shd w:val="clear" w:color="auto" w:fill="FFFFFF"/>
        </w:rPr>
        <w:t>本文件</w:t>
      </w:r>
      <w:r>
        <w:rPr>
          <w:rFonts w:hint="eastAsia" w:ascii="宋体" w:hAnsi="宋体"/>
          <w:sz w:val="24"/>
        </w:rPr>
        <w:t>按照GB/T 1.1-2020《标准化工作导则 第1部分：标准的结构和编写》的要求进行编写。</w:t>
      </w:r>
      <w:r>
        <w:rPr>
          <w:rFonts w:hint="eastAsia"/>
          <w:sz w:val="24"/>
        </w:rPr>
        <w:t>标准中确定了适用范围、等级划分及其杂质含量要求、检验规则、包装、运输、贮存等技术内容。</w:t>
      </w:r>
    </w:p>
    <w:p>
      <w:pPr>
        <w:numPr>
          <w:ilvl w:val="0"/>
          <w:numId w:val="3"/>
        </w:numPr>
        <w:snapToGrid w:val="0"/>
        <w:spacing w:line="360" w:lineRule="auto"/>
        <w:rPr>
          <w:rFonts w:hAnsi="宋体"/>
          <w:b/>
          <w:sz w:val="24"/>
        </w:rPr>
      </w:pPr>
      <w:r>
        <w:rPr>
          <w:rFonts w:hint="eastAsia" w:hAnsi="宋体"/>
          <w:b/>
          <w:sz w:val="24"/>
        </w:rPr>
        <w:t>标准主要内容说明</w:t>
      </w:r>
    </w:p>
    <w:p>
      <w:pPr>
        <w:numPr>
          <w:ilvl w:val="1"/>
          <w:numId w:val="3"/>
        </w:numPr>
        <w:snapToGrid w:val="0"/>
        <w:spacing w:line="360" w:lineRule="auto"/>
        <w:ind w:left="360" w:hanging="360"/>
        <w:rPr>
          <w:rFonts w:ascii="宋体" w:hAnsi="宋体"/>
          <w:sz w:val="24"/>
        </w:rPr>
      </w:pPr>
      <w:r>
        <w:rPr>
          <w:rFonts w:hint="eastAsia" w:ascii="宋体" w:hAnsi="宋体"/>
          <w:color w:val="000000"/>
          <w:sz w:val="24"/>
        </w:rPr>
        <w:t xml:space="preserve"> 标准题目的确定</w:t>
      </w:r>
    </w:p>
    <w:p>
      <w:pPr>
        <w:snapToGrid w:val="0"/>
        <w:spacing w:line="360" w:lineRule="auto"/>
        <w:ind w:firstLine="480" w:firstLineChars="200"/>
        <w:rPr>
          <w:rFonts w:ascii="宋体" w:hAnsi="宋体"/>
          <w:sz w:val="24"/>
        </w:rPr>
      </w:pPr>
      <w:r>
        <w:rPr>
          <w:rFonts w:hint="eastAsia" w:ascii="宋体" w:hAnsi="宋体"/>
          <w:sz w:val="24"/>
        </w:rPr>
        <w:t>本文件的题目完全能够高度概括标准主旨和中心，能够反映出超纯树脂材料的规格要求及测试方法。</w:t>
      </w:r>
    </w:p>
    <w:p>
      <w:pPr>
        <w:numPr>
          <w:ilvl w:val="1"/>
          <w:numId w:val="3"/>
        </w:numPr>
        <w:snapToGrid w:val="0"/>
        <w:spacing w:line="360" w:lineRule="auto"/>
        <w:ind w:left="360" w:hanging="360"/>
        <w:rPr>
          <w:rFonts w:ascii="宋体" w:hAnsi="宋体"/>
          <w:sz w:val="24"/>
        </w:rPr>
      </w:pPr>
      <w:r>
        <w:rPr>
          <w:rFonts w:hint="eastAsia" w:ascii="宋体" w:hAnsi="宋体"/>
          <w:sz w:val="24"/>
        </w:rPr>
        <w:t xml:space="preserve"> 目前国内外关于超纯树脂的标准，均为针对强度、韧性等物理性能进行了规范，并无针对树脂材料的杂质（元素杂质和颗粒）析出进行评估。因此，本标准中，重点对这两点进行了明确要求。</w:t>
      </w:r>
    </w:p>
    <w:p>
      <w:pPr>
        <w:numPr>
          <w:ilvl w:val="1"/>
          <w:numId w:val="3"/>
        </w:numPr>
        <w:snapToGrid w:val="0"/>
        <w:spacing w:line="360" w:lineRule="auto"/>
        <w:ind w:left="360" w:hanging="360"/>
        <w:rPr>
          <w:rFonts w:ascii="宋体" w:hAnsi="宋体"/>
          <w:sz w:val="24"/>
        </w:rPr>
      </w:pPr>
      <w:r>
        <w:rPr>
          <w:rFonts w:hint="eastAsia" w:ascii="宋体" w:hAnsi="宋体"/>
          <w:sz w:val="24"/>
        </w:rPr>
        <w:t xml:space="preserve"> 国内外各厂家的水平情况</w:t>
      </w:r>
    </w:p>
    <w:p>
      <w:pPr>
        <w:snapToGrid w:val="0"/>
        <w:spacing w:line="360" w:lineRule="auto"/>
        <w:rPr>
          <w:rFonts w:ascii="宋体" w:hAnsi="宋体"/>
          <w:sz w:val="24"/>
        </w:rPr>
      </w:pPr>
      <w:r>
        <w:rPr>
          <w:rFonts w:hint="eastAsia" w:ascii="宋体" w:hAnsi="宋体"/>
          <w:sz w:val="24"/>
        </w:rPr>
        <w:t xml:space="preserve">    标准编制组调研国内生产高纯树脂制品的公司，如沧州华祥塑业（生产PVDF），南京滨正红（生产PFA）等；同时，也对国外主流的材料生产厂家，也是目前国内各实验室使用较多的器皿厂家，如Asone（亚速旺，日本），Savillex（赛维莱克斯，美国），VITLAB（维特莱博，德国）的产品进行了测试。</w:t>
      </w:r>
    </w:p>
    <w:p>
      <w:pPr>
        <w:numPr>
          <w:ilvl w:val="1"/>
          <w:numId w:val="3"/>
        </w:numPr>
        <w:snapToGrid w:val="0"/>
        <w:spacing w:line="360" w:lineRule="auto"/>
        <w:ind w:left="360" w:hanging="360"/>
        <w:rPr>
          <w:rFonts w:ascii="宋体" w:hAnsi="宋体"/>
          <w:sz w:val="24"/>
        </w:rPr>
      </w:pPr>
      <w:r>
        <w:rPr>
          <w:rFonts w:hint="eastAsia" w:ascii="宋体" w:hAnsi="宋体"/>
          <w:sz w:val="24"/>
        </w:rPr>
        <w:t>本文件针对半导体材料超纯测试的实际需求，在关键性指标（溶出性杂质）上进行了增加，并对测试方法进行了明确，达到国际先进水平。</w:t>
      </w:r>
    </w:p>
    <w:p>
      <w:pPr>
        <w:numPr>
          <w:ilvl w:val="1"/>
          <w:numId w:val="3"/>
        </w:numPr>
        <w:snapToGrid w:val="0"/>
        <w:spacing w:line="360" w:lineRule="auto"/>
        <w:ind w:left="360" w:hanging="360"/>
        <w:rPr>
          <w:rFonts w:ascii="宋体" w:hAnsi="宋体"/>
          <w:sz w:val="24"/>
        </w:rPr>
      </w:pPr>
      <w:r>
        <w:rPr>
          <w:rFonts w:hint="eastAsia" w:ascii="宋体" w:hAnsi="宋体"/>
          <w:sz w:val="24"/>
        </w:rPr>
        <w:t xml:space="preserve"> 国内各厂家的技术水平分析</w:t>
      </w:r>
    </w:p>
    <w:p>
      <w:pPr>
        <w:snapToGrid w:val="0"/>
        <w:spacing w:line="360" w:lineRule="auto"/>
        <w:ind w:firstLine="480"/>
        <w:rPr>
          <w:rFonts w:ascii="宋体" w:hAnsi="宋体"/>
          <w:sz w:val="24"/>
        </w:rPr>
      </w:pPr>
      <w:r>
        <w:rPr>
          <w:rFonts w:hint="eastAsia" w:ascii="宋体" w:hAnsi="宋体"/>
          <w:sz w:val="24"/>
        </w:rPr>
        <w:t>经过系列测试，发现目前国内的高纯树脂制品较进口产品还存在一定差距，针对目前世界上的国内主流生产厂家，即使是同一厂家的产品，品质也参差不齐。如：不同批次的日本Asone的PFA瓶，可能是由于生产原料不同所致，结果差别很大，因此迫切需要一个客观的评价方式，来对超纯分析用树脂器皿进行评估。</w:t>
      </w:r>
    </w:p>
    <w:p>
      <w:pPr>
        <w:snapToGrid w:val="0"/>
        <w:spacing w:line="360" w:lineRule="auto"/>
        <w:ind w:firstLine="480"/>
        <w:rPr>
          <w:rFonts w:ascii="宋体" w:hAnsi="宋体"/>
          <w:sz w:val="24"/>
        </w:rPr>
      </w:pPr>
      <w:r>
        <w:rPr>
          <w:rFonts w:hint="eastAsia" w:ascii="宋体" w:hAnsi="宋体"/>
          <w:sz w:val="24"/>
        </w:rPr>
        <w:t>以下为客户提供的一组相关测试数据：</w:t>
      </w:r>
    </w:p>
    <w:tbl>
      <w:tblPr>
        <w:tblStyle w:val="6"/>
        <w:tblW w:w="5000"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65"/>
        <w:gridCol w:w="2660"/>
        <w:gridCol w:w="2660"/>
        <w:gridCol w:w="2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jc w:val="center"/>
        </w:trPr>
        <w:tc>
          <w:tcPr>
            <w:tcW w:w="683" w:type="pct"/>
            <w:shd w:val="clear" w:color="auto" w:fill="auto"/>
            <w:tcMar>
              <w:top w:w="72" w:type="dxa"/>
              <w:left w:w="144" w:type="dxa"/>
              <w:bottom w:w="72" w:type="dxa"/>
              <w:right w:w="144" w:type="dxa"/>
            </w:tcMar>
          </w:tcPr>
          <w:p>
            <w:pPr>
              <w:pStyle w:val="5"/>
              <w:widowControl/>
              <w:jc w:val="center"/>
              <w:rPr>
                <w:rFonts w:ascii="宋体" w:hAnsi="宋体" w:cs="宋体"/>
                <w:bCs/>
              </w:rPr>
            </w:pPr>
            <w:r>
              <w:rPr>
                <w:rFonts w:hint="eastAsia" w:ascii="宋体" w:hAnsi="宋体" w:cs="宋体"/>
                <w:bCs/>
              </w:rPr>
              <w:t>元素</w:t>
            </w:r>
          </w:p>
        </w:tc>
        <w:tc>
          <w:tcPr>
            <w:tcW w:w="1435" w:type="pct"/>
            <w:shd w:val="clear" w:color="auto" w:fill="auto"/>
            <w:tcMar>
              <w:top w:w="72" w:type="dxa"/>
              <w:left w:w="144" w:type="dxa"/>
              <w:bottom w:w="72" w:type="dxa"/>
              <w:right w:w="144" w:type="dxa"/>
            </w:tcMar>
          </w:tcPr>
          <w:p>
            <w:pPr>
              <w:pStyle w:val="5"/>
              <w:widowControl/>
              <w:jc w:val="center"/>
              <w:rPr>
                <w:rFonts w:ascii="宋体" w:hAnsi="宋体" w:cs="宋体"/>
                <w:bCs/>
              </w:rPr>
            </w:pPr>
            <w:r>
              <w:rPr>
                <w:rFonts w:hint="eastAsia" w:ascii="宋体" w:hAnsi="宋体" w:cs="宋体"/>
                <w:bCs/>
              </w:rPr>
              <w:t>正红/ppt</w:t>
            </w:r>
          </w:p>
        </w:tc>
        <w:tc>
          <w:tcPr>
            <w:tcW w:w="1435" w:type="pct"/>
            <w:shd w:val="clear" w:color="auto" w:fill="auto"/>
            <w:tcMar>
              <w:top w:w="72" w:type="dxa"/>
              <w:left w:w="144" w:type="dxa"/>
              <w:bottom w:w="72" w:type="dxa"/>
              <w:right w:w="144" w:type="dxa"/>
            </w:tcMar>
          </w:tcPr>
          <w:p>
            <w:pPr>
              <w:pStyle w:val="5"/>
              <w:widowControl/>
              <w:jc w:val="center"/>
              <w:rPr>
                <w:rFonts w:ascii="宋体" w:hAnsi="宋体" w:cs="宋体"/>
                <w:bCs/>
              </w:rPr>
            </w:pPr>
            <w:r>
              <w:rPr>
                <w:rFonts w:hint="eastAsia" w:ascii="宋体" w:hAnsi="宋体" w:cs="宋体"/>
                <w:bCs/>
              </w:rPr>
              <w:t>ODLAB/ppt</w:t>
            </w:r>
          </w:p>
        </w:tc>
        <w:tc>
          <w:tcPr>
            <w:tcW w:w="1445" w:type="pct"/>
            <w:shd w:val="clear" w:color="auto" w:fill="auto"/>
            <w:tcMar>
              <w:top w:w="72" w:type="dxa"/>
              <w:left w:w="144" w:type="dxa"/>
              <w:bottom w:w="72" w:type="dxa"/>
              <w:right w:w="144" w:type="dxa"/>
            </w:tcMar>
          </w:tcPr>
          <w:p>
            <w:pPr>
              <w:pStyle w:val="5"/>
              <w:widowControl/>
              <w:jc w:val="center"/>
              <w:rPr>
                <w:rFonts w:ascii="宋体" w:hAnsi="宋体" w:cs="宋体"/>
                <w:bCs/>
              </w:rPr>
            </w:pPr>
            <w:r>
              <w:rPr>
                <w:rFonts w:hint="eastAsia" w:ascii="宋体" w:hAnsi="宋体" w:cs="宋体"/>
                <w:bCs/>
              </w:rPr>
              <w:t>Savillex/ppt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jc w:val="center"/>
        </w:trPr>
        <w:tc>
          <w:tcPr>
            <w:tcW w:w="683" w:type="pct"/>
            <w:shd w:val="clear" w:color="auto" w:fill="auto"/>
            <w:tcMar>
              <w:top w:w="72" w:type="dxa"/>
              <w:left w:w="144" w:type="dxa"/>
              <w:bottom w:w="72" w:type="dxa"/>
              <w:right w:w="144" w:type="dxa"/>
            </w:tcMar>
          </w:tcPr>
          <w:p>
            <w:pPr>
              <w:pStyle w:val="5"/>
              <w:widowControl/>
              <w:jc w:val="center"/>
              <w:rPr>
                <w:rFonts w:ascii="宋体" w:hAnsi="宋体" w:cs="宋体"/>
                <w:bCs/>
              </w:rPr>
            </w:pPr>
            <w:r>
              <w:rPr>
                <w:rFonts w:hint="eastAsia" w:ascii="宋体" w:hAnsi="宋体" w:cs="宋体"/>
                <w:bCs/>
              </w:rPr>
              <w:t>Fe</w:t>
            </w:r>
          </w:p>
        </w:tc>
        <w:tc>
          <w:tcPr>
            <w:tcW w:w="1435" w:type="pct"/>
            <w:shd w:val="clear" w:color="auto" w:fill="auto"/>
            <w:tcMar>
              <w:top w:w="72" w:type="dxa"/>
              <w:left w:w="144" w:type="dxa"/>
              <w:bottom w:w="72" w:type="dxa"/>
              <w:right w:w="144" w:type="dxa"/>
            </w:tcMar>
          </w:tcPr>
          <w:p>
            <w:pPr>
              <w:pStyle w:val="5"/>
              <w:widowControl/>
              <w:jc w:val="center"/>
              <w:rPr>
                <w:rFonts w:ascii="宋体" w:hAnsi="宋体" w:cs="宋体"/>
                <w:bCs/>
              </w:rPr>
            </w:pPr>
            <w:r>
              <w:rPr>
                <w:rFonts w:hint="eastAsia" w:ascii="宋体" w:hAnsi="宋体" w:cs="宋体"/>
                <w:bCs/>
              </w:rPr>
              <w:t>660</w:t>
            </w:r>
          </w:p>
        </w:tc>
        <w:tc>
          <w:tcPr>
            <w:tcW w:w="1435" w:type="pct"/>
            <w:shd w:val="clear" w:color="auto" w:fill="auto"/>
            <w:tcMar>
              <w:top w:w="72" w:type="dxa"/>
              <w:left w:w="144" w:type="dxa"/>
              <w:bottom w:w="72" w:type="dxa"/>
              <w:right w:w="144" w:type="dxa"/>
            </w:tcMar>
          </w:tcPr>
          <w:p>
            <w:pPr>
              <w:pStyle w:val="5"/>
              <w:widowControl/>
              <w:jc w:val="center"/>
              <w:rPr>
                <w:rFonts w:ascii="宋体" w:hAnsi="宋体" w:cs="宋体"/>
                <w:bCs/>
              </w:rPr>
            </w:pPr>
            <w:r>
              <w:rPr>
                <w:rFonts w:hint="eastAsia" w:ascii="宋体" w:hAnsi="宋体" w:cs="宋体"/>
                <w:bCs/>
              </w:rPr>
              <w:t>147</w:t>
            </w:r>
          </w:p>
        </w:tc>
        <w:tc>
          <w:tcPr>
            <w:tcW w:w="1445" w:type="pct"/>
            <w:shd w:val="clear" w:color="auto" w:fill="auto"/>
            <w:tcMar>
              <w:top w:w="72" w:type="dxa"/>
              <w:left w:w="144" w:type="dxa"/>
              <w:bottom w:w="72" w:type="dxa"/>
              <w:right w:w="144" w:type="dxa"/>
            </w:tcMar>
          </w:tcPr>
          <w:p>
            <w:pPr>
              <w:pStyle w:val="5"/>
              <w:widowControl/>
              <w:jc w:val="center"/>
              <w:rPr>
                <w:rFonts w:ascii="宋体" w:hAnsi="宋体" w:cs="宋体"/>
                <w:bCs/>
              </w:rPr>
            </w:pPr>
            <w:r>
              <w:rPr>
                <w:rFonts w:hint="eastAsia" w:ascii="宋体" w:hAnsi="宋体" w:cs="宋体"/>
                <w:bCs/>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jc w:val="center"/>
        </w:trPr>
        <w:tc>
          <w:tcPr>
            <w:tcW w:w="683" w:type="pct"/>
            <w:shd w:val="clear" w:color="auto" w:fill="auto"/>
            <w:tcMar>
              <w:top w:w="72" w:type="dxa"/>
              <w:left w:w="144" w:type="dxa"/>
              <w:bottom w:w="72" w:type="dxa"/>
              <w:right w:w="144" w:type="dxa"/>
            </w:tcMar>
          </w:tcPr>
          <w:p>
            <w:pPr>
              <w:pStyle w:val="5"/>
              <w:widowControl/>
              <w:jc w:val="center"/>
              <w:rPr>
                <w:rFonts w:ascii="宋体" w:hAnsi="宋体" w:cs="宋体"/>
                <w:bCs/>
              </w:rPr>
            </w:pPr>
            <w:r>
              <w:rPr>
                <w:rFonts w:hint="eastAsia" w:ascii="宋体" w:hAnsi="宋体" w:cs="宋体"/>
                <w:bCs/>
              </w:rPr>
              <w:t>Ni</w:t>
            </w:r>
          </w:p>
        </w:tc>
        <w:tc>
          <w:tcPr>
            <w:tcW w:w="1435" w:type="pct"/>
            <w:shd w:val="clear" w:color="auto" w:fill="auto"/>
            <w:tcMar>
              <w:top w:w="72" w:type="dxa"/>
              <w:left w:w="144" w:type="dxa"/>
              <w:bottom w:w="72" w:type="dxa"/>
              <w:right w:w="144" w:type="dxa"/>
            </w:tcMar>
          </w:tcPr>
          <w:p>
            <w:pPr>
              <w:pStyle w:val="5"/>
              <w:widowControl/>
              <w:jc w:val="center"/>
              <w:rPr>
                <w:rFonts w:ascii="宋体" w:hAnsi="宋体" w:cs="宋体"/>
                <w:bCs/>
              </w:rPr>
            </w:pPr>
            <w:r>
              <w:rPr>
                <w:rFonts w:hint="eastAsia" w:ascii="宋体" w:hAnsi="宋体" w:cs="宋体"/>
                <w:bCs/>
              </w:rPr>
              <w:t>18</w:t>
            </w:r>
          </w:p>
        </w:tc>
        <w:tc>
          <w:tcPr>
            <w:tcW w:w="1435" w:type="pct"/>
            <w:shd w:val="clear" w:color="auto" w:fill="auto"/>
            <w:tcMar>
              <w:top w:w="72" w:type="dxa"/>
              <w:left w:w="144" w:type="dxa"/>
              <w:bottom w:w="72" w:type="dxa"/>
              <w:right w:w="144" w:type="dxa"/>
            </w:tcMar>
          </w:tcPr>
          <w:p>
            <w:pPr>
              <w:pStyle w:val="5"/>
              <w:widowControl/>
              <w:jc w:val="center"/>
              <w:rPr>
                <w:rFonts w:ascii="宋体" w:hAnsi="宋体" w:cs="宋体"/>
                <w:bCs/>
              </w:rPr>
            </w:pPr>
            <w:r>
              <w:rPr>
                <w:rFonts w:hint="eastAsia" w:ascii="宋体" w:hAnsi="宋体" w:cs="宋体"/>
                <w:bCs/>
              </w:rPr>
              <w:t>44</w:t>
            </w:r>
          </w:p>
        </w:tc>
        <w:tc>
          <w:tcPr>
            <w:tcW w:w="1445" w:type="pct"/>
            <w:shd w:val="clear" w:color="auto" w:fill="auto"/>
            <w:tcMar>
              <w:top w:w="72" w:type="dxa"/>
              <w:left w:w="144" w:type="dxa"/>
              <w:bottom w:w="72" w:type="dxa"/>
              <w:right w:w="144" w:type="dxa"/>
            </w:tcMar>
          </w:tcPr>
          <w:p>
            <w:pPr>
              <w:pStyle w:val="5"/>
              <w:widowControl/>
              <w:jc w:val="center"/>
              <w:rPr>
                <w:rFonts w:ascii="宋体" w:hAnsi="宋体" w:cs="宋体"/>
                <w:bCs/>
              </w:rPr>
            </w:pPr>
            <w:r>
              <w:rPr>
                <w:rFonts w:hint="eastAsia" w:ascii="宋体" w:hAnsi="宋体" w:cs="宋体"/>
                <w:bCs/>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jc w:val="center"/>
        </w:trPr>
        <w:tc>
          <w:tcPr>
            <w:tcW w:w="683" w:type="pct"/>
            <w:shd w:val="clear" w:color="auto" w:fill="auto"/>
            <w:tcMar>
              <w:top w:w="72" w:type="dxa"/>
              <w:left w:w="144" w:type="dxa"/>
              <w:bottom w:w="72" w:type="dxa"/>
              <w:right w:w="144" w:type="dxa"/>
            </w:tcMar>
          </w:tcPr>
          <w:p>
            <w:pPr>
              <w:pStyle w:val="5"/>
              <w:widowControl/>
              <w:jc w:val="center"/>
              <w:rPr>
                <w:rFonts w:ascii="宋体" w:hAnsi="宋体" w:cs="宋体"/>
                <w:bCs/>
              </w:rPr>
            </w:pPr>
            <w:r>
              <w:rPr>
                <w:rFonts w:hint="eastAsia" w:ascii="宋体" w:hAnsi="宋体" w:cs="宋体"/>
                <w:bCs/>
              </w:rPr>
              <w:t>Cr</w:t>
            </w:r>
          </w:p>
        </w:tc>
        <w:tc>
          <w:tcPr>
            <w:tcW w:w="1435" w:type="pct"/>
            <w:shd w:val="clear" w:color="auto" w:fill="auto"/>
            <w:tcMar>
              <w:top w:w="72" w:type="dxa"/>
              <w:left w:w="144" w:type="dxa"/>
              <w:bottom w:w="72" w:type="dxa"/>
              <w:right w:w="144" w:type="dxa"/>
            </w:tcMar>
          </w:tcPr>
          <w:p>
            <w:pPr>
              <w:pStyle w:val="5"/>
              <w:widowControl/>
              <w:jc w:val="center"/>
              <w:rPr>
                <w:rFonts w:ascii="宋体" w:hAnsi="宋体" w:cs="宋体"/>
                <w:bCs/>
              </w:rPr>
            </w:pPr>
            <w:r>
              <w:rPr>
                <w:rFonts w:hint="eastAsia" w:ascii="宋体" w:hAnsi="宋体" w:cs="宋体"/>
                <w:bCs/>
              </w:rPr>
              <w:t>190</w:t>
            </w:r>
          </w:p>
        </w:tc>
        <w:tc>
          <w:tcPr>
            <w:tcW w:w="1435" w:type="pct"/>
            <w:shd w:val="clear" w:color="auto" w:fill="auto"/>
            <w:tcMar>
              <w:top w:w="72" w:type="dxa"/>
              <w:left w:w="144" w:type="dxa"/>
              <w:bottom w:w="72" w:type="dxa"/>
              <w:right w:w="144" w:type="dxa"/>
            </w:tcMar>
          </w:tcPr>
          <w:p>
            <w:pPr>
              <w:pStyle w:val="5"/>
              <w:widowControl/>
              <w:jc w:val="center"/>
              <w:rPr>
                <w:rFonts w:ascii="宋体" w:hAnsi="宋体" w:cs="宋体"/>
                <w:bCs/>
              </w:rPr>
            </w:pPr>
            <w:r>
              <w:rPr>
                <w:rFonts w:hint="eastAsia" w:ascii="宋体" w:hAnsi="宋体" w:cs="宋体"/>
                <w:bCs/>
              </w:rPr>
              <w:t>34</w:t>
            </w:r>
          </w:p>
        </w:tc>
        <w:tc>
          <w:tcPr>
            <w:tcW w:w="1445" w:type="pct"/>
            <w:shd w:val="clear" w:color="auto" w:fill="auto"/>
            <w:tcMar>
              <w:top w:w="72" w:type="dxa"/>
              <w:left w:w="144" w:type="dxa"/>
              <w:bottom w:w="72" w:type="dxa"/>
              <w:right w:w="144" w:type="dxa"/>
            </w:tcMar>
          </w:tcPr>
          <w:p>
            <w:pPr>
              <w:pStyle w:val="5"/>
              <w:widowControl/>
              <w:jc w:val="center"/>
              <w:rPr>
                <w:rFonts w:ascii="宋体" w:hAnsi="宋体" w:cs="宋体"/>
                <w:bCs/>
              </w:rPr>
            </w:pPr>
            <w:r>
              <w:rPr>
                <w:rFonts w:hint="eastAsia" w:ascii="宋体" w:hAnsi="宋体" w:cs="宋体"/>
                <w:bCs/>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atLeast"/>
          <w:tblCellSpacing w:w="0" w:type="dxa"/>
          <w:jc w:val="center"/>
        </w:trPr>
        <w:tc>
          <w:tcPr>
            <w:tcW w:w="683" w:type="pct"/>
            <w:shd w:val="clear" w:color="auto" w:fill="auto"/>
            <w:tcMar>
              <w:top w:w="72" w:type="dxa"/>
              <w:left w:w="144" w:type="dxa"/>
              <w:bottom w:w="72" w:type="dxa"/>
              <w:right w:w="144" w:type="dxa"/>
            </w:tcMar>
          </w:tcPr>
          <w:p>
            <w:pPr>
              <w:pStyle w:val="5"/>
              <w:widowControl/>
              <w:rPr>
                <w:rFonts w:ascii="宋体" w:hAnsi="宋体" w:cs="宋体"/>
                <w:bCs/>
              </w:rPr>
            </w:pPr>
            <w:r>
              <w:rPr>
                <w:rFonts w:hint="eastAsia" w:ascii="宋体" w:hAnsi="宋体" w:cs="宋体"/>
                <w:bCs/>
              </w:rPr>
              <w:t>备注</w:t>
            </w:r>
          </w:p>
        </w:tc>
        <w:tc>
          <w:tcPr>
            <w:tcW w:w="4316" w:type="pct"/>
            <w:gridSpan w:val="3"/>
            <w:shd w:val="clear" w:color="auto" w:fill="auto"/>
            <w:tcMar>
              <w:top w:w="72" w:type="dxa"/>
              <w:left w:w="144" w:type="dxa"/>
              <w:bottom w:w="72" w:type="dxa"/>
              <w:right w:w="144" w:type="dxa"/>
            </w:tcMar>
          </w:tcPr>
          <w:p>
            <w:pPr>
              <w:pStyle w:val="5"/>
              <w:widowControl/>
              <w:numPr>
                <w:ilvl w:val="0"/>
                <w:numId w:val="4"/>
              </w:numPr>
              <w:rPr>
                <w:rFonts w:ascii="宋体" w:hAnsi="宋体" w:cs="宋体"/>
                <w:bCs/>
              </w:rPr>
            </w:pPr>
            <w:r>
              <w:rPr>
                <w:rFonts w:hint="eastAsia" w:ascii="宋体" w:hAnsi="宋体" w:cs="宋体"/>
                <w:bCs/>
              </w:rPr>
              <w:t>测试方法为：清洗后的瓶子在加热的硝酸中，持续7天后，溶液中的金属元素含量。</w:t>
            </w:r>
          </w:p>
          <w:p>
            <w:pPr>
              <w:pStyle w:val="5"/>
              <w:widowControl/>
              <w:numPr>
                <w:ilvl w:val="0"/>
                <w:numId w:val="4"/>
              </w:numPr>
              <w:rPr>
                <w:rFonts w:ascii="宋体" w:hAnsi="宋体" w:cs="宋体"/>
                <w:bCs/>
              </w:rPr>
            </w:pPr>
            <w:r>
              <w:rPr>
                <w:rFonts w:hint="eastAsia" w:ascii="宋体" w:hAnsi="宋体" w:cs="宋体"/>
                <w:bCs/>
              </w:rPr>
              <w:t>引用供应商提供的一组数据。</w:t>
            </w:r>
          </w:p>
        </w:tc>
      </w:tr>
    </w:tbl>
    <w:p>
      <w:pPr>
        <w:snapToGrid w:val="0"/>
        <w:spacing w:line="360" w:lineRule="auto"/>
        <w:ind w:firstLine="480"/>
        <w:rPr>
          <w:rFonts w:ascii="宋体" w:hAnsi="宋体"/>
          <w:sz w:val="24"/>
        </w:rPr>
      </w:pPr>
      <w:r>
        <w:rPr>
          <w:rFonts w:hint="eastAsia" w:ascii="宋体" w:hAnsi="宋体"/>
          <w:sz w:val="24"/>
        </w:rPr>
        <w:t>应用于半导体材料测试的高纯器皿，往往要进行高温加热。以电子级多晶硅金属杂质的测试过程为例：器皿最高需加热至200℃，并持续5~6小时之久，在此期间，为保证测试方法检出限能够满足要求，由器皿引入的单元素杂质总量，应不超过0.1ng为宜，按照一般的50mL烧杯，和样品接触的表面积大约10cm</w:t>
      </w:r>
      <w:r>
        <w:rPr>
          <w:rFonts w:hint="eastAsia" w:ascii="宋体" w:hAnsi="宋体"/>
          <w:sz w:val="24"/>
          <w:vertAlign w:val="superscript"/>
        </w:rPr>
        <w:t>2</w:t>
      </w:r>
      <w:r>
        <w:rPr>
          <w:rFonts w:hint="eastAsia" w:ascii="宋体" w:hAnsi="宋体"/>
          <w:sz w:val="24"/>
        </w:rPr>
        <w:t>，因此单位表面析出量不能超过0.01ng/cm</w:t>
      </w:r>
      <w:r>
        <w:rPr>
          <w:rFonts w:hint="eastAsia" w:ascii="宋体" w:hAnsi="宋体"/>
          <w:sz w:val="24"/>
          <w:vertAlign w:val="superscript"/>
        </w:rPr>
        <w:t>2</w:t>
      </w:r>
      <w:r>
        <w:rPr>
          <w:rFonts w:hint="eastAsia" w:ascii="宋体" w:hAnsi="宋体"/>
          <w:sz w:val="24"/>
        </w:rPr>
        <w:t>，即10pg/cm</w:t>
      </w:r>
      <w:r>
        <w:rPr>
          <w:rFonts w:hint="eastAsia" w:ascii="宋体" w:hAnsi="宋体"/>
          <w:sz w:val="24"/>
          <w:vertAlign w:val="superscript"/>
        </w:rPr>
        <w:t>2</w:t>
      </w:r>
      <w:r>
        <w:rPr>
          <w:rFonts w:hint="eastAsia" w:ascii="宋体" w:hAnsi="宋体"/>
          <w:sz w:val="24"/>
        </w:rPr>
        <w:t>。另外，针对储存电子级最高等级的试剂，其对试剂的微粒数的技术要求为10个/mL，考虑到测试过程和常温放置略有不同，因此宜对器皿要求≤5个/cm</w:t>
      </w:r>
      <w:r>
        <w:rPr>
          <w:rFonts w:hint="eastAsia" w:ascii="宋体" w:hAnsi="宋体"/>
          <w:sz w:val="24"/>
          <w:vertAlign w:val="superscript"/>
        </w:rPr>
        <w:t>2</w:t>
      </w:r>
      <w:r>
        <w:rPr>
          <w:rFonts w:hint="eastAsia" w:ascii="宋体" w:hAnsi="宋体"/>
          <w:sz w:val="24"/>
        </w:rPr>
        <w:t>。</w:t>
      </w:r>
    </w:p>
    <w:p>
      <w:pPr>
        <w:snapToGrid w:val="0"/>
        <w:spacing w:line="360" w:lineRule="auto"/>
        <w:ind w:firstLine="480"/>
        <w:rPr>
          <w:rFonts w:ascii="宋体" w:hAnsi="宋体"/>
          <w:sz w:val="24"/>
        </w:rPr>
      </w:pPr>
      <w:r>
        <w:rPr>
          <w:rFonts w:hint="eastAsia" w:ascii="宋体" w:hAnsi="宋体"/>
          <w:sz w:val="24"/>
        </w:rPr>
        <w:t>以上实例适用于需要加热的器皿，但是应用于半导体材料测试的高纯器皿，出于使用环境的不同，是否要加热，是否需要加压。</w:t>
      </w:r>
    </w:p>
    <w:p>
      <w:pPr>
        <w:snapToGrid w:val="0"/>
        <w:spacing w:line="360" w:lineRule="auto"/>
        <w:ind w:firstLine="480"/>
        <w:rPr>
          <w:rFonts w:ascii="宋体" w:hAnsi="宋体"/>
          <w:sz w:val="24"/>
        </w:rPr>
      </w:pPr>
      <w:r>
        <w:rPr>
          <w:rFonts w:hint="eastAsia" w:ascii="宋体" w:hAnsi="宋体"/>
          <w:sz w:val="24"/>
        </w:rPr>
        <w:t>因此，对器皿的溶出杂质规定如下：</w:t>
      </w:r>
    </w:p>
    <w:tbl>
      <w:tblPr>
        <w:tblStyle w:val="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37"/>
        <w:gridCol w:w="2164"/>
        <w:gridCol w:w="2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38" w:type="pct"/>
            <w:vMerge w:val="restart"/>
            <w:vAlign w:val="center"/>
          </w:tcPr>
          <w:p>
            <w:pPr>
              <w:pStyle w:val="29"/>
              <w:numPr>
                <w:ilvl w:val="1"/>
                <w:numId w:val="0"/>
              </w:numPr>
              <w:spacing w:before="0" w:after="0" w:line="360" w:lineRule="auto"/>
              <w:jc w:val="center"/>
              <w:rPr>
                <w:rFonts w:ascii="宋体" w:hAnsi="宋体" w:eastAsia="宋体"/>
                <w:sz w:val="24"/>
                <w:szCs w:val="24"/>
                <w:lang w:eastAsia="zh-CN"/>
              </w:rPr>
            </w:pPr>
            <w:r>
              <w:rPr>
                <w:rFonts w:hint="eastAsia" w:ascii="宋体" w:hAnsi="宋体" w:eastAsia="宋体"/>
                <w:sz w:val="24"/>
                <w:szCs w:val="24"/>
                <w:lang w:eastAsia="zh-CN"/>
              </w:rPr>
              <w:t>项目</w:t>
            </w:r>
          </w:p>
        </w:tc>
        <w:tc>
          <w:tcPr>
            <w:tcW w:w="2361" w:type="pct"/>
            <w:gridSpan w:val="2"/>
            <w:vAlign w:val="center"/>
          </w:tcPr>
          <w:p>
            <w:pPr>
              <w:pStyle w:val="29"/>
              <w:numPr>
                <w:ilvl w:val="1"/>
                <w:numId w:val="0"/>
              </w:numPr>
              <w:spacing w:before="0" w:after="0" w:line="360" w:lineRule="auto"/>
              <w:jc w:val="center"/>
              <w:rPr>
                <w:rFonts w:ascii="宋体" w:hAnsi="宋体" w:eastAsia="宋体"/>
                <w:sz w:val="24"/>
                <w:szCs w:val="24"/>
                <w:lang w:eastAsia="zh-CN"/>
              </w:rPr>
            </w:pPr>
            <w:r>
              <w:rPr>
                <w:rFonts w:hint="eastAsia" w:ascii="宋体" w:hAnsi="宋体" w:eastAsia="宋体"/>
                <w:sz w:val="24"/>
                <w:szCs w:val="24"/>
                <w:lang w:eastAsia="zh-CN"/>
              </w:rPr>
              <w:t>技术指标要求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38" w:type="pct"/>
            <w:vMerge w:val="continue"/>
            <w:vAlign w:val="center"/>
          </w:tcPr>
          <w:p>
            <w:pPr>
              <w:pStyle w:val="29"/>
              <w:numPr>
                <w:ilvl w:val="1"/>
                <w:numId w:val="0"/>
              </w:numPr>
              <w:spacing w:before="0" w:after="0" w:line="360" w:lineRule="auto"/>
              <w:jc w:val="center"/>
              <w:rPr>
                <w:rFonts w:ascii="宋体" w:hAnsi="宋体" w:eastAsia="宋体"/>
                <w:sz w:val="24"/>
                <w:szCs w:val="24"/>
                <w:lang w:eastAsia="zh-CN"/>
              </w:rPr>
            </w:pPr>
          </w:p>
        </w:tc>
        <w:tc>
          <w:tcPr>
            <w:tcW w:w="1180" w:type="pct"/>
            <w:vAlign w:val="center"/>
          </w:tcPr>
          <w:p>
            <w:pPr>
              <w:pStyle w:val="29"/>
              <w:numPr>
                <w:ilvl w:val="1"/>
                <w:numId w:val="0"/>
              </w:numPr>
              <w:spacing w:before="0" w:after="0" w:line="360" w:lineRule="auto"/>
              <w:jc w:val="center"/>
              <w:rPr>
                <w:rFonts w:ascii="宋体" w:hAnsi="宋体" w:eastAsia="宋体"/>
                <w:sz w:val="24"/>
                <w:szCs w:val="24"/>
                <w:lang w:eastAsia="zh-CN"/>
              </w:rPr>
            </w:pPr>
            <w:r>
              <w:rPr>
                <w:rFonts w:hint="eastAsia" w:ascii="宋体" w:hAnsi="宋体" w:eastAsia="宋体"/>
                <w:sz w:val="24"/>
                <w:szCs w:val="24"/>
                <w:lang w:eastAsia="zh-CN"/>
              </w:rPr>
              <w:t>Ⅰ级</w:t>
            </w:r>
          </w:p>
        </w:tc>
        <w:tc>
          <w:tcPr>
            <w:tcW w:w="1180" w:type="pct"/>
            <w:noWrap/>
            <w:vAlign w:val="center"/>
          </w:tcPr>
          <w:p>
            <w:pPr>
              <w:pStyle w:val="29"/>
              <w:numPr>
                <w:ilvl w:val="1"/>
                <w:numId w:val="0"/>
              </w:numPr>
              <w:spacing w:before="0" w:after="0" w:line="360" w:lineRule="auto"/>
              <w:jc w:val="center"/>
              <w:rPr>
                <w:rFonts w:ascii="宋体" w:hAnsi="宋体" w:eastAsia="宋体"/>
                <w:sz w:val="24"/>
                <w:szCs w:val="24"/>
                <w:lang w:eastAsia="zh-CN"/>
              </w:rPr>
            </w:pPr>
            <w:r>
              <w:rPr>
                <w:rFonts w:hint="eastAsia" w:ascii="宋体" w:hAnsi="宋体" w:eastAsia="宋体"/>
                <w:sz w:val="24"/>
                <w:szCs w:val="24"/>
                <w:lang w:eastAsia="zh-CN"/>
              </w:rPr>
              <w:t>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2638" w:type="pct"/>
            <w:vAlign w:val="center"/>
          </w:tcPr>
          <w:p>
            <w:pPr>
              <w:pStyle w:val="29"/>
              <w:numPr>
                <w:ilvl w:val="1"/>
                <w:numId w:val="0"/>
              </w:numPr>
              <w:spacing w:before="0" w:after="0" w:line="360" w:lineRule="auto"/>
              <w:jc w:val="center"/>
              <w:rPr>
                <w:rFonts w:ascii="宋体" w:hAnsi="宋体" w:eastAsia="宋体"/>
                <w:sz w:val="24"/>
                <w:szCs w:val="24"/>
                <w:lang w:eastAsia="zh-CN"/>
              </w:rPr>
            </w:pPr>
            <w:r>
              <w:rPr>
                <w:rFonts w:hint="eastAsia" w:ascii="宋体" w:hAnsi="宋体" w:eastAsia="宋体"/>
                <w:sz w:val="24"/>
                <w:szCs w:val="24"/>
                <w:lang w:eastAsia="zh-CN"/>
              </w:rPr>
              <w:t>杂质元素含量（单元素，pg/cm</w:t>
            </w:r>
            <w:r>
              <w:rPr>
                <w:rFonts w:hint="eastAsia" w:ascii="宋体" w:hAnsi="宋体" w:eastAsia="宋体"/>
                <w:sz w:val="24"/>
                <w:szCs w:val="24"/>
                <w:vertAlign w:val="superscript"/>
                <w:lang w:eastAsia="zh-CN"/>
              </w:rPr>
              <w:t>2</w:t>
            </w:r>
            <w:r>
              <w:rPr>
                <w:rFonts w:hint="eastAsia" w:ascii="宋体" w:hAnsi="宋体" w:eastAsia="宋体"/>
                <w:sz w:val="24"/>
                <w:szCs w:val="24"/>
                <w:lang w:eastAsia="zh-CN"/>
              </w:rPr>
              <w:t>）</w:t>
            </w:r>
          </w:p>
        </w:tc>
        <w:tc>
          <w:tcPr>
            <w:tcW w:w="1180" w:type="pct"/>
            <w:vAlign w:val="center"/>
          </w:tcPr>
          <w:p>
            <w:pPr>
              <w:pStyle w:val="29"/>
              <w:numPr>
                <w:ilvl w:val="1"/>
                <w:numId w:val="0"/>
              </w:numPr>
              <w:spacing w:before="0" w:after="0" w:line="360" w:lineRule="auto"/>
              <w:jc w:val="center"/>
              <w:rPr>
                <w:rFonts w:ascii="宋体" w:hAnsi="宋体" w:eastAsia="宋体"/>
                <w:sz w:val="24"/>
                <w:szCs w:val="24"/>
                <w:lang w:eastAsia="zh-CN"/>
              </w:rPr>
            </w:pPr>
            <w:r>
              <w:rPr>
                <w:rFonts w:hint="eastAsia" w:ascii="宋体" w:hAnsi="宋体" w:eastAsia="宋体"/>
                <w:sz w:val="24"/>
                <w:szCs w:val="24"/>
                <w:lang w:eastAsia="zh-CN"/>
              </w:rPr>
              <w:t>≤2</w:t>
            </w:r>
          </w:p>
        </w:tc>
        <w:tc>
          <w:tcPr>
            <w:tcW w:w="1180" w:type="pct"/>
            <w:noWrap/>
            <w:vAlign w:val="center"/>
          </w:tcPr>
          <w:p>
            <w:pPr>
              <w:pStyle w:val="29"/>
              <w:numPr>
                <w:ilvl w:val="1"/>
                <w:numId w:val="0"/>
              </w:numPr>
              <w:spacing w:before="0" w:after="0" w:line="360" w:lineRule="auto"/>
              <w:jc w:val="center"/>
              <w:rPr>
                <w:rFonts w:ascii="宋体" w:hAnsi="宋体" w:eastAsia="宋体"/>
                <w:sz w:val="24"/>
                <w:szCs w:val="24"/>
                <w:lang w:eastAsia="zh-CN"/>
              </w:rPr>
            </w:pPr>
            <w:r>
              <w:rPr>
                <w:rFonts w:hint="eastAsia" w:ascii="宋体" w:hAnsi="宋体" w:eastAsia="宋体"/>
                <w:sz w:val="24"/>
                <w:szCs w:val="24"/>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38" w:type="pct"/>
            <w:vAlign w:val="center"/>
          </w:tcPr>
          <w:p>
            <w:pPr>
              <w:pStyle w:val="29"/>
              <w:numPr>
                <w:ilvl w:val="1"/>
                <w:numId w:val="0"/>
              </w:numPr>
              <w:spacing w:before="0" w:after="0" w:line="360" w:lineRule="auto"/>
              <w:jc w:val="center"/>
              <w:rPr>
                <w:rFonts w:ascii="宋体" w:hAnsi="宋体" w:eastAsia="宋体"/>
                <w:sz w:val="24"/>
                <w:szCs w:val="24"/>
                <w:lang w:eastAsia="zh-CN"/>
              </w:rPr>
            </w:pPr>
            <w:r>
              <w:rPr>
                <w:rFonts w:hint="eastAsia" w:ascii="宋体" w:hAnsi="宋体" w:eastAsia="宋体"/>
                <w:sz w:val="24"/>
                <w:szCs w:val="24"/>
                <w:lang w:eastAsia="zh-CN"/>
              </w:rPr>
              <w:t>微粒子含量（个/cm</w:t>
            </w:r>
            <w:r>
              <w:rPr>
                <w:rFonts w:hint="eastAsia" w:ascii="宋体" w:hAnsi="宋体" w:eastAsia="宋体"/>
                <w:sz w:val="24"/>
                <w:szCs w:val="24"/>
                <w:vertAlign w:val="superscript"/>
                <w:lang w:eastAsia="zh-CN"/>
              </w:rPr>
              <w:t>2</w:t>
            </w:r>
            <w:r>
              <w:rPr>
                <w:rFonts w:hint="eastAsia" w:ascii="宋体" w:hAnsi="宋体" w:eastAsia="宋体"/>
                <w:sz w:val="24"/>
                <w:szCs w:val="24"/>
                <w:lang w:eastAsia="zh-CN"/>
              </w:rPr>
              <w:t>，0.5μm）</w:t>
            </w:r>
          </w:p>
        </w:tc>
        <w:tc>
          <w:tcPr>
            <w:tcW w:w="1180" w:type="pct"/>
            <w:vAlign w:val="center"/>
          </w:tcPr>
          <w:p>
            <w:pPr>
              <w:spacing w:line="360" w:lineRule="auto"/>
              <w:jc w:val="center"/>
              <w:rPr>
                <w:rFonts w:eastAsia="微软雅黑"/>
                <w:sz w:val="24"/>
              </w:rPr>
            </w:pPr>
            <w:r>
              <w:rPr>
                <w:rFonts w:hint="eastAsia" w:ascii="宋体" w:hAnsi="宋体"/>
                <w:sz w:val="24"/>
              </w:rPr>
              <w:t>≤5</w:t>
            </w:r>
          </w:p>
        </w:tc>
        <w:tc>
          <w:tcPr>
            <w:tcW w:w="1180" w:type="pct"/>
            <w:noWrap/>
            <w:vAlign w:val="center"/>
          </w:tcPr>
          <w:p>
            <w:pPr>
              <w:pStyle w:val="29"/>
              <w:numPr>
                <w:ilvl w:val="1"/>
                <w:numId w:val="0"/>
              </w:numPr>
              <w:spacing w:before="0" w:after="0" w:line="360" w:lineRule="auto"/>
              <w:jc w:val="center"/>
              <w:rPr>
                <w:rFonts w:ascii="宋体" w:hAnsi="宋体" w:eastAsia="宋体"/>
                <w:sz w:val="24"/>
                <w:szCs w:val="24"/>
                <w:lang w:eastAsia="zh-CN"/>
              </w:rPr>
            </w:pPr>
            <w:r>
              <w:rPr>
                <w:rFonts w:hint="eastAsia" w:ascii="宋体" w:hAnsi="宋体"/>
                <w:sz w:val="24"/>
                <w:szCs w:val="24"/>
              </w:rPr>
              <w:t>≤</w:t>
            </w:r>
            <w:r>
              <w:rPr>
                <w:rFonts w:hint="eastAsia" w:ascii="宋体" w:hAnsi="宋体" w:eastAsia="宋体"/>
                <w:sz w:val="24"/>
                <w:szCs w:val="24"/>
                <w:lang w:eastAsia="zh-CN"/>
              </w:rPr>
              <w:t>5</w:t>
            </w:r>
            <w:r>
              <w:rPr>
                <w:rFonts w:ascii="宋体" w:hAnsi="宋体"/>
                <w:sz w:val="24"/>
                <w:szCs w:val="24"/>
              </w:rPr>
              <w:t>0</w:t>
            </w:r>
          </w:p>
        </w:tc>
      </w:tr>
    </w:tbl>
    <w:p>
      <w:pPr>
        <w:spacing w:line="360" w:lineRule="auto"/>
        <w:rPr>
          <w:rFonts w:ascii="宋体" w:hAnsi="宋体"/>
          <w:sz w:val="24"/>
        </w:rPr>
      </w:pPr>
      <w:r>
        <w:rPr>
          <w:rFonts w:hint="eastAsia" w:ascii="宋体" w:hAnsi="宋体"/>
          <w:sz w:val="24"/>
        </w:rPr>
        <w:t>三、标准水平分析</w:t>
      </w:r>
    </w:p>
    <w:p>
      <w:pPr>
        <w:pStyle w:val="18"/>
        <w:spacing w:line="360" w:lineRule="auto"/>
        <w:ind w:firstLine="480" w:firstLineChars="200"/>
        <w:rPr>
          <w:rFonts w:ascii="宋体" w:hAnsi="宋体"/>
          <w:sz w:val="24"/>
          <w:szCs w:val="24"/>
        </w:rPr>
      </w:pPr>
      <w:r>
        <w:rPr>
          <w:rFonts w:hint="eastAsia" w:ascii="宋体" w:hAnsi="宋体"/>
          <w:sz w:val="24"/>
          <w:szCs w:val="24"/>
        </w:rPr>
        <w:t xml:space="preserve"> 通过文献检索，网上查询，国内还没有专门针对用于半导体材料痕量杂质分析用超纯树脂器皿的标准。属于国际领先水平。</w:t>
      </w:r>
    </w:p>
    <w:p>
      <w:pPr>
        <w:spacing w:line="360" w:lineRule="auto"/>
        <w:rPr>
          <w:rFonts w:ascii="宋体" w:hAnsi="宋体"/>
          <w:sz w:val="24"/>
        </w:rPr>
      </w:pPr>
      <w:r>
        <w:rPr>
          <w:rFonts w:hint="eastAsia" w:ascii="宋体" w:hAnsi="宋体"/>
          <w:sz w:val="24"/>
        </w:rPr>
        <w:t>四、与现行相关法律、法规、规章及相关标准，特别是强制性标准的协调性</w:t>
      </w:r>
    </w:p>
    <w:p>
      <w:pPr>
        <w:pStyle w:val="18"/>
        <w:spacing w:line="360" w:lineRule="auto"/>
        <w:ind w:firstLine="480" w:firstLineChars="200"/>
        <w:rPr>
          <w:rFonts w:ascii="宋体" w:hAnsi="宋体"/>
          <w:sz w:val="24"/>
          <w:szCs w:val="24"/>
        </w:rPr>
      </w:pPr>
      <w:r>
        <w:rPr>
          <w:rFonts w:hint="eastAsia" w:ascii="宋体" w:hAnsi="宋体"/>
          <w:sz w:val="24"/>
          <w:szCs w:val="24"/>
        </w:rPr>
        <w:t>本文件属于超纯树脂的</w:t>
      </w:r>
      <w:r>
        <w:rPr>
          <w:rFonts w:hint="eastAsia" w:ascii="宋体" w:hAnsi="宋体"/>
          <w:sz w:val="24"/>
        </w:rPr>
        <w:t>产品</w:t>
      </w:r>
      <w:r>
        <w:rPr>
          <w:rFonts w:hint="eastAsia" w:ascii="宋体" w:hAnsi="宋体"/>
          <w:sz w:val="24"/>
          <w:szCs w:val="24"/>
        </w:rPr>
        <w:t>标准，与现行法律、法规和相关标准相协调、无冲突。本文件属于首次制定标准。</w:t>
      </w:r>
    </w:p>
    <w:p>
      <w:pPr>
        <w:spacing w:line="360" w:lineRule="auto"/>
        <w:rPr>
          <w:rFonts w:ascii="宋体" w:hAnsi="宋体"/>
          <w:sz w:val="24"/>
        </w:rPr>
      </w:pPr>
      <w:r>
        <w:rPr>
          <w:rFonts w:hint="eastAsia" w:ascii="宋体" w:hAnsi="宋体"/>
          <w:sz w:val="24"/>
        </w:rPr>
        <w:t>五、重大分歧意见的处理经过和依据</w:t>
      </w:r>
    </w:p>
    <w:p>
      <w:pPr>
        <w:pStyle w:val="18"/>
        <w:spacing w:line="360" w:lineRule="auto"/>
        <w:ind w:firstLine="480" w:firstLineChars="200"/>
        <w:rPr>
          <w:rFonts w:ascii="宋体" w:hAnsi="宋体"/>
          <w:sz w:val="24"/>
        </w:rPr>
      </w:pPr>
      <w:r>
        <w:rPr>
          <w:rFonts w:hint="eastAsia" w:ascii="宋体" w:hAnsi="宋体"/>
          <w:sz w:val="24"/>
          <w:szCs w:val="24"/>
        </w:rPr>
        <w:t>编制组根据起草前确定的编制原则进行了标准起草，标准起草小组前期进行了充分的准备和调研，并做了大量调查论证、信息分析和实验工作，在主要技术内容上，行业内取得了较为一致的意见，标准起草过程中未发生重大分歧意见。</w:t>
      </w:r>
    </w:p>
    <w:p>
      <w:pPr>
        <w:spacing w:line="360" w:lineRule="auto"/>
        <w:rPr>
          <w:rFonts w:ascii="宋体" w:hAnsi="宋体"/>
          <w:sz w:val="24"/>
        </w:rPr>
      </w:pPr>
      <w:r>
        <w:rPr>
          <w:rFonts w:hint="eastAsia" w:ascii="宋体" w:hAnsi="宋体"/>
          <w:sz w:val="24"/>
        </w:rPr>
        <w:t>六、标准作为强制性标准或推荐性标的建议及其理由</w:t>
      </w:r>
    </w:p>
    <w:p>
      <w:pPr>
        <w:pStyle w:val="18"/>
        <w:spacing w:line="360" w:lineRule="auto"/>
        <w:ind w:firstLine="480" w:firstLineChars="200"/>
        <w:rPr>
          <w:rFonts w:ascii="宋体" w:hAnsi="宋体"/>
          <w:sz w:val="24"/>
          <w:szCs w:val="24"/>
        </w:rPr>
      </w:pPr>
      <w:r>
        <w:rPr>
          <w:rFonts w:hint="eastAsia" w:ascii="宋体" w:hAnsi="宋体"/>
          <w:sz w:val="24"/>
          <w:szCs w:val="24"/>
        </w:rPr>
        <w:t>随着电子行业的发展，迫切需要一项符合产、供、销各单位均认可的高纯硫酸</w:t>
      </w:r>
      <w:r>
        <w:rPr>
          <w:rFonts w:hint="eastAsia" w:ascii="宋体" w:hAnsi="宋体"/>
          <w:sz w:val="24"/>
        </w:rPr>
        <w:t>产品</w:t>
      </w:r>
      <w:r>
        <w:rPr>
          <w:rFonts w:hint="eastAsia" w:ascii="宋体" w:hAnsi="宋体"/>
          <w:sz w:val="24"/>
          <w:szCs w:val="24"/>
        </w:rPr>
        <w:t>标准，本文件弥补了行业内标准缺失的困境，建议本文件作为推荐性协会标准发布实施。</w:t>
      </w:r>
    </w:p>
    <w:p>
      <w:pPr>
        <w:spacing w:line="360" w:lineRule="auto"/>
        <w:rPr>
          <w:rFonts w:ascii="宋体" w:hAnsi="宋体"/>
          <w:sz w:val="24"/>
        </w:rPr>
      </w:pPr>
      <w:r>
        <w:rPr>
          <w:rFonts w:hint="eastAsia" w:ascii="宋体" w:hAnsi="宋体"/>
          <w:sz w:val="24"/>
        </w:rPr>
        <w:t>七、贯彻标准的要求和措施建议（包括组织措施、技术措施、过渡办法等内容）</w:t>
      </w:r>
    </w:p>
    <w:p>
      <w:pPr>
        <w:pStyle w:val="18"/>
        <w:spacing w:line="360" w:lineRule="auto"/>
        <w:ind w:firstLine="480" w:firstLineChars="200"/>
        <w:rPr>
          <w:rFonts w:ascii="宋体" w:hAnsi="宋体"/>
          <w:sz w:val="24"/>
          <w:szCs w:val="24"/>
        </w:rPr>
      </w:pPr>
      <w:r>
        <w:rPr>
          <w:rFonts w:hint="eastAsia" w:ascii="宋体" w:hAnsi="宋体"/>
          <w:sz w:val="24"/>
          <w:szCs w:val="24"/>
        </w:rPr>
        <w:t>本文件为半导体材料痕量杂质分析用超纯树脂器皿标准之一，为使标准能更好地发挥作用，提高生产树脂器皿企业的产品质量水平。建议针对标准《半导体材料痕量杂质分析用超纯树脂器皿》制定切实可行的贯彻措施，使各相关单位及生产厂家充分掌握标准中所规定的分级标准，让标准在超纯树脂器皿的生产和应用过程中得以广泛推广。同时，对标准执行情况进行跟踪调查，及时发现标准执行中的问题，不断修改完善，提升标准水平，提高标准的科学性、合理性、协调性和可操作性。</w:t>
      </w:r>
    </w:p>
    <w:p>
      <w:pPr>
        <w:spacing w:line="360" w:lineRule="auto"/>
        <w:rPr>
          <w:rFonts w:ascii="宋体" w:hAnsi="宋体"/>
          <w:sz w:val="24"/>
        </w:rPr>
      </w:pPr>
      <w:r>
        <w:rPr>
          <w:rFonts w:hint="eastAsia" w:ascii="宋体" w:hAnsi="宋体"/>
          <w:sz w:val="24"/>
        </w:rPr>
        <w:t>八、代替或废止现行有关标准的建议</w:t>
      </w:r>
    </w:p>
    <w:p>
      <w:pPr>
        <w:pStyle w:val="18"/>
        <w:spacing w:line="360" w:lineRule="auto"/>
        <w:ind w:firstLine="480" w:firstLineChars="200"/>
        <w:rPr>
          <w:rFonts w:ascii="宋体" w:hAnsi="宋体"/>
          <w:sz w:val="24"/>
          <w:szCs w:val="24"/>
        </w:rPr>
      </w:pPr>
      <w:r>
        <w:rPr>
          <w:rFonts w:hint="eastAsia" w:ascii="宋体" w:hAnsi="宋体"/>
          <w:sz w:val="24"/>
          <w:szCs w:val="24"/>
        </w:rPr>
        <w:t>无。</w:t>
      </w:r>
    </w:p>
    <w:p>
      <w:pPr>
        <w:pStyle w:val="18"/>
        <w:spacing w:line="360" w:lineRule="auto"/>
        <w:ind w:firstLine="480" w:firstLineChars="200"/>
        <w:rPr>
          <w:rFonts w:ascii="宋体" w:hAnsi="宋体"/>
          <w:sz w:val="24"/>
          <w:szCs w:val="24"/>
        </w:rPr>
      </w:pPr>
    </w:p>
    <w:p>
      <w:pPr>
        <w:pStyle w:val="18"/>
        <w:spacing w:line="360" w:lineRule="auto"/>
        <w:ind w:firstLine="480" w:firstLineChars="200"/>
        <w:rPr>
          <w:rFonts w:ascii="宋体" w:hAnsi="宋体"/>
          <w:sz w:val="24"/>
          <w:szCs w:val="24"/>
        </w:rPr>
      </w:pPr>
      <w:r>
        <w:rPr>
          <w:rFonts w:hint="eastAsia" w:ascii="宋体" w:hAnsi="宋体"/>
          <w:sz w:val="24"/>
          <w:szCs w:val="24"/>
        </w:rPr>
        <w:t xml:space="preserve">                                                         标准编制组</w:t>
      </w:r>
    </w:p>
    <w:p>
      <w:pPr>
        <w:pStyle w:val="18"/>
        <w:spacing w:line="360" w:lineRule="auto"/>
        <w:ind w:firstLine="480" w:firstLineChars="200"/>
        <w:rPr>
          <w:rFonts w:ascii="宋体" w:hAnsi="宋体"/>
          <w:sz w:val="24"/>
        </w:rPr>
      </w:pPr>
      <w:r>
        <w:rPr>
          <w:rFonts w:hint="eastAsia" w:ascii="宋体" w:hAnsi="宋体"/>
          <w:sz w:val="24"/>
          <w:szCs w:val="24"/>
        </w:rPr>
        <w:t xml:space="preserve">                      </w:t>
      </w:r>
      <w:r>
        <w:rPr>
          <w:rFonts w:hint="eastAsia" w:ascii="宋体" w:hAnsi="宋体"/>
          <w:sz w:val="24"/>
        </w:rPr>
        <w:t xml:space="preserve">                                2021年06月</w:t>
      </w:r>
    </w:p>
    <w:p/>
    <w:sectPr>
      <w:headerReference r:id="rId3" w:type="default"/>
      <w:footerReference r:id="rId4" w:type="default"/>
      <w:footerReference r:id="rId5" w:type="even"/>
      <w:pgSz w:w="11906" w:h="16838"/>
      <w:pgMar w:top="1418" w:right="1361" w:bottom="14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S Mincho">
    <w:altName w:val="Kozuka Mincho Pr6N M"/>
    <w:panose1 w:val="02020609040205080304"/>
    <w:charset w:val="80"/>
    <w:family w:val="modern"/>
    <w:pitch w:val="default"/>
    <w:sig w:usb0="00000000" w:usb1="00000000" w:usb2="08000012" w:usb3="00000000" w:csb0="0002009F" w:csb1="00000000"/>
  </w:font>
  <w:font w:name="STZhongsong">
    <w:altName w:val="宋体"/>
    <w:panose1 w:val="00000000000000000000"/>
    <w:charset w:val="86"/>
    <w:family w:val="auto"/>
    <w:pitch w:val="default"/>
    <w:sig w:usb0="00000000" w:usb1="00000000" w:usb2="00000010" w:usb3="00000000" w:csb0="0004009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Kozuka Mincho Pr6N M">
    <w:panose1 w:val="02020600000000000000"/>
    <w:charset w:val="80"/>
    <w:family w:val="auto"/>
    <w:pitch w:val="default"/>
    <w:sig w:usb0="000002D7" w:usb1="2AC71C11" w:usb2="00000012"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8</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0DDA6F"/>
    <w:multiLevelType w:val="singleLevel"/>
    <w:tmpl w:val="970DDA6F"/>
    <w:lvl w:ilvl="0" w:tentative="0">
      <w:start w:val="1"/>
      <w:numFmt w:val="decimal"/>
      <w:suff w:val="nothing"/>
      <w:lvlText w:val="%1、"/>
      <w:lvlJc w:val="left"/>
    </w:lvl>
  </w:abstractNum>
  <w:abstractNum w:abstractNumId="1">
    <w:nsid w:val="E7FE061C"/>
    <w:multiLevelType w:val="singleLevel"/>
    <w:tmpl w:val="E7FE061C"/>
    <w:lvl w:ilvl="0" w:tentative="0">
      <w:start w:val="1"/>
      <w:numFmt w:val="decimal"/>
      <w:suff w:val="nothing"/>
      <w:lvlText w:val="%1、"/>
      <w:lvlJc w:val="left"/>
    </w:lvl>
  </w:abstractNum>
  <w:abstractNum w:abstractNumId="2">
    <w:nsid w:val="0000000D"/>
    <w:multiLevelType w:val="multilevel"/>
    <w:tmpl w:val="0000000D"/>
    <w:lvl w:ilvl="0" w:tentative="0">
      <w:start w:val="1"/>
      <w:numFmt w:val="decimal"/>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pStyle w:val="29"/>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3">
    <w:nsid w:val="382062F2"/>
    <w:multiLevelType w:val="multilevel"/>
    <w:tmpl w:val="382062F2"/>
    <w:lvl w:ilvl="0" w:tentative="0">
      <w:start w:val="1"/>
      <w:numFmt w:val="decimal"/>
      <w:lvlText w:val="%1"/>
      <w:lvlJc w:val="left"/>
      <w:pPr>
        <w:ind w:left="360" w:hanging="360"/>
      </w:pPr>
      <w:rPr>
        <w:rFonts w:hint="default"/>
      </w:rPr>
    </w:lvl>
    <w:lvl w:ilvl="1" w:tentative="0">
      <w:start w:val="1"/>
      <w:numFmt w:val="decimal"/>
      <w:isLgl/>
      <w:lvlText w:val="%1.%2"/>
      <w:lvlJc w:val="left"/>
      <w:pPr>
        <w:ind w:left="465" w:hanging="465"/>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4EC"/>
    <w:rsid w:val="00003D29"/>
    <w:rsid w:val="00065754"/>
    <w:rsid w:val="00077681"/>
    <w:rsid w:val="00081A5F"/>
    <w:rsid w:val="00153643"/>
    <w:rsid w:val="001A74EC"/>
    <w:rsid w:val="001B08C4"/>
    <w:rsid w:val="001F1977"/>
    <w:rsid w:val="00233A8A"/>
    <w:rsid w:val="002935C1"/>
    <w:rsid w:val="002C654A"/>
    <w:rsid w:val="00323847"/>
    <w:rsid w:val="0033570C"/>
    <w:rsid w:val="003556B0"/>
    <w:rsid w:val="00386D22"/>
    <w:rsid w:val="003B235E"/>
    <w:rsid w:val="00443CBF"/>
    <w:rsid w:val="00463AF3"/>
    <w:rsid w:val="004B26AF"/>
    <w:rsid w:val="004D00B8"/>
    <w:rsid w:val="004F382F"/>
    <w:rsid w:val="00556080"/>
    <w:rsid w:val="006127A5"/>
    <w:rsid w:val="00653F61"/>
    <w:rsid w:val="00687B26"/>
    <w:rsid w:val="00715D42"/>
    <w:rsid w:val="007F0FD6"/>
    <w:rsid w:val="008214EC"/>
    <w:rsid w:val="00870ED5"/>
    <w:rsid w:val="008D4234"/>
    <w:rsid w:val="00924B4B"/>
    <w:rsid w:val="00926C8F"/>
    <w:rsid w:val="009D3193"/>
    <w:rsid w:val="009D61BC"/>
    <w:rsid w:val="00A722C9"/>
    <w:rsid w:val="00A80D43"/>
    <w:rsid w:val="00B041A0"/>
    <w:rsid w:val="00BF4525"/>
    <w:rsid w:val="00C14607"/>
    <w:rsid w:val="00C70500"/>
    <w:rsid w:val="00C72CB9"/>
    <w:rsid w:val="00D5677A"/>
    <w:rsid w:val="00EA2725"/>
    <w:rsid w:val="00EC74B2"/>
    <w:rsid w:val="00F20790"/>
    <w:rsid w:val="0CB94426"/>
    <w:rsid w:val="19EE424C"/>
    <w:rsid w:val="21025799"/>
    <w:rsid w:val="215D483D"/>
    <w:rsid w:val="21B43E51"/>
    <w:rsid w:val="37925AC4"/>
    <w:rsid w:val="3D5E37BC"/>
    <w:rsid w:val="3E092256"/>
    <w:rsid w:val="3E497DA1"/>
    <w:rsid w:val="45036AE1"/>
    <w:rsid w:val="46E24AD5"/>
    <w:rsid w:val="47A43BCA"/>
    <w:rsid w:val="47A7297E"/>
    <w:rsid w:val="489B0FC0"/>
    <w:rsid w:val="4B28292F"/>
    <w:rsid w:val="4C9A2093"/>
    <w:rsid w:val="53B759E3"/>
    <w:rsid w:val="55D71065"/>
    <w:rsid w:val="577102DE"/>
    <w:rsid w:val="59923E55"/>
    <w:rsid w:val="5F56506C"/>
    <w:rsid w:val="6D2F5B8C"/>
    <w:rsid w:val="77E661F2"/>
    <w:rsid w:val="7EDA5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28"/>
    <w:semiHidden/>
    <w:unhideWhenUsed/>
    <w:qFormat/>
    <w:uiPriority w:val="99"/>
    <w:rPr>
      <w:sz w:val="18"/>
      <w:szCs w:val="18"/>
    </w:rPr>
  </w:style>
  <w:style w:type="paragraph" w:styleId="3">
    <w:name w:val="footer"/>
    <w:basedOn w:val="1"/>
    <w:link w:val="13"/>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semiHidden/>
    <w:unhideWhenUsed/>
    <w:uiPriority w:val="99"/>
    <w:pPr>
      <w:spacing w:beforeAutospacing="1" w:afterAutospacing="1"/>
      <w:jc w:val="left"/>
    </w:pPr>
    <w:rPr>
      <w:kern w:val="0"/>
      <w:sz w:val="24"/>
    </w:rPr>
  </w:style>
  <w:style w:type="character" w:styleId="8">
    <w:name w:val="page number"/>
    <w:basedOn w:val="7"/>
    <w:qFormat/>
    <w:uiPriority w:val="0"/>
  </w:style>
  <w:style w:type="character" w:styleId="9">
    <w:name w:val="Hyperlink"/>
    <w:basedOn w:val="7"/>
    <w:semiHidden/>
    <w:unhideWhenUsed/>
    <w:qFormat/>
    <w:uiPriority w:val="99"/>
    <w:rPr>
      <w:color w:val="0000FF"/>
      <w:u w:val="single"/>
    </w:rPr>
  </w:style>
  <w:style w:type="character" w:customStyle="1" w:styleId="10">
    <w:name w:val="页眉 字符1"/>
    <w:link w:val="4"/>
    <w:qFormat/>
    <w:uiPriority w:val="0"/>
    <w:rPr>
      <w:sz w:val="18"/>
      <w:szCs w:val="18"/>
    </w:rPr>
  </w:style>
  <w:style w:type="character" w:customStyle="1" w:styleId="11">
    <w:name w:val="封面标准名称{858D7CFB-ED40-4347-BF05-701D383B685F}"/>
    <w:link w:val="12"/>
    <w:qFormat/>
    <w:uiPriority w:val="0"/>
    <w:rPr>
      <w:rFonts w:ascii="黑体" w:eastAsia="黑体"/>
      <w:sz w:val="52"/>
    </w:rPr>
  </w:style>
  <w:style w:type="paragraph" w:customStyle="1" w:styleId="12">
    <w:name w:val="封面标准名称"/>
    <w:link w:val="11"/>
    <w:qFormat/>
    <w:uiPriority w:val="0"/>
    <w:pPr>
      <w:widowControl w:val="0"/>
      <w:spacing w:line="680" w:lineRule="exact"/>
      <w:jc w:val="center"/>
      <w:textAlignment w:val="center"/>
    </w:pPr>
    <w:rPr>
      <w:rFonts w:ascii="黑体" w:eastAsia="黑体" w:hAnsiTheme="minorHAnsi" w:cstheme="minorBidi"/>
      <w:kern w:val="2"/>
      <w:sz w:val="52"/>
      <w:szCs w:val="22"/>
      <w:lang w:val="en-US" w:eastAsia="zh-CN" w:bidi="ar-SA"/>
    </w:rPr>
  </w:style>
  <w:style w:type="character" w:customStyle="1" w:styleId="13">
    <w:name w:val="页脚 字符1"/>
    <w:link w:val="3"/>
    <w:qFormat/>
    <w:uiPriority w:val="0"/>
    <w:rPr>
      <w:sz w:val="18"/>
      <w:szCs w:val="18"/>
    </w:rPr>
  </w:style>
  <w:style w:type="character" w:customStyle="1" w:styleId="14">
    <w:name w:val="段 Char Char"/>
    <w:link w:val="15"/>
    <w:qFormat/>
    <w:uiPriority w:val="0"/>
    <w:rPr>
      <w:rFonts w:ascii="宋体"/>
    </w:rPr>
  </w:style>
  <w:style w:type="paragraph" w:customStyle="1" w:styleId="15">
    <w:name w:val="段"/>
    <w:link w:val="14"/>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16">
    <w:name w:val="页脚 字符"/>
    <w:basedOn w:val="7"/>
    <w:semiHidden/>
    <w:qFormat/>
    <w:uiPriority w:val="99"/>
    <w:rPr>
      <w:rFonts w:ascii="Times New Roman" w:hAnsi="Times New Roman" w:eastAsia="宋体" w:cs="Times New Roman"/>
      <w:sz w:val="18"/>
      <w:szCs w:val="18"/>
    </w:rPr>
  </w:style>
  <w:style w:type="character" w:customStyle="1" w:styleId="17">
    <w:name w:val="页眉 字符"/>
    <w:basedOn w:val="7"/>
    <w:semiHidden/>
    <w:qFormat/>
    <w:uiPriority w:val="99"/>
    <w:rPr>
      <w:rFonts w:ascii="Times New Roman" w:hAnsi="Times New Roman" w:eastAsia="宋体" w:cs="Times New Roman"/>
      <w:sz w:val="18"/>
      <w:szCs w:val="18"/>
    </w:rPr>
  </w:style>
  <w:style w:type="paragraph" w:customStyle="1" w:styleId="18">
    <w:name w:val="p0"/>
    <w:basedOn w:val="1"/>
    <w:qFormat/>
    <w:uiPriority w:val="0"/>
    <w:pPr>
      <w:widowControl/>
    </w:pPr>
    <w:rPr>
      <w:rFonts w:ascii="Calibri" w:hAnsi="Calibri" w:cs="宋体"/>
      <w:kern w:val="0"/>
      <w:szCs w:val="21"/>
    </w:rPr>
  </w:style>
  <w:style w:type="paragraph" w:styleId="19">
    <w:name w:val="List Paragraph"/>
    <w:basedOn w:val="1"/>
    <w:qFormat/>
    <w:uiPriority w:val="34"/>
    <w:pPr>
      <w:widowControl/>
      <w:ind w:firstLine="420" w:firstLineChars="200"/>
      <w:jc w:val="left"/>
    </w:pPr>
    <w:rPr>
      <w:rFonts w:ascii="宋体" w:hAnsi="宋体" w:cs="宋体"/>
      <w:kern w:val="0"/>
      <w:sz w:val="24"/>
    </w:rPr>
  </w:style>
  <w:style w:type="character" w:styleId="20">
    <w:name w:val="Placeholder Text"/>
    <w:basedOn w:val="7"/>
    <w:semiHidden/>
    <w:qFormat/>
    <w:uiPriority w:val="99"/>
    <w:rPr>
      <w:color w:val="808080"/>
    </w:rPr>
  </w:style>
  <w:style w:type="character" w:customStyle="1" w:styleId="21">
    <w:name w:val="font31"/>
    <w:basedOn w:val="7"/>
    <w:qFormat/>
    <w:uiPriority w:val="0"/>
    <w:rPr>
      <w:rFonts w:hint="eastAsia" w:ascii="宋体" w:hAnsi="宋体" w:eastAsia="宋体" w:cs="宋体"/>
      <w:color w:val="000000"/>
      <w:sz w:val="24"/>
      <w:szCs w:val="24"/>
      <w:u w:val="none"/>
    </w:rPr>
  </w:style>
  <w:style w:type="character" w:customStyle="1" w:styleId="22">
    <w:name w:val="font11"/>
    <w:basedOn w:val="7"/>
    <w:qFormat/>
    <w:uiPriority w:val="0"/>
    <w:rPr>
      <w:rFonts w:hint="default" w:ascii="Times New Roman" w:hAnsi="Times New Roman" w:cs="Times New Roman"/>
      <w:color w:val="000000"/>
      <w:sz w:val="24"/>
      <w:szCs w:val="24"/>
      <w:u w:val="none"/>
    </w:rPr>
  </w:style>
  <w:style w:type="character" w:customStyle="1" w:styleId="23">
    <w:name w:val="font21"/>
    <w:basedOn w:val="7"/>
    <w:qFormat/>
    <w:uiPriority w:val="0"/>
    <w:rPr>
      <w:rFonts w:hint="eastAsia" w:ascii="宋体" w:hAnsi="宋体" w:eastAsia="宋体" w:cs="宋体"/>
      <w:color w:val="000000"/>
      <w:sz w:val="24"/>
      <w:szCs w:val="24"/>
      <w:u w:val="none"/>
    </w:rPr>
  </w:style>
  <w:style w:type="character" w:customStyle="1" w:styleId="24">
    <w:name w:val="font01"/>
    <w:basedOn w:val="7"/>
    <w:qFormat/>
    <w:uiPriority w:val="0"/>
    <w:rPr>
      <w:rFonts w:hint="eastAsia" w:ascii="宋体" w:hAnsi="宋体" w:eastAsia="宋体" w:cs="宋体"/>
      <w:color w:val="000000"/>
      <w:sz w:val="24"/>
      <w:szCs w:val="24"/>
      <w:u w:val="none"/>
      <w:vertAlign w:val="subscript"/>
    </w:rPr>
  </w:style>
  <w:style w:type="character" w:customStyle="1" w:styleId="25">
    <w:name w:val="font41"/>
    <w:basedOn w:val="7"/>
    <w:qFormat/>
    <w:uiPriority w:val="0"/>
    <w:rPr>
      <w:rFonts w:hint="eastAsia" w:ascii="宋体" w:hAnsi="宋体" w:eastAsia="宋体" w:cs="宋体"/>
      <w:color w:val="000000"/>
      <w:sz w:val="21"/>
      <w:szCs w:val="21"/>
      <w:u w:val="none"/>
    </w:rPr>
  </w:style>
  <w:style w:type="character" w:customStyle="1" w:styleId="26">
    <w:name w:val="font61"/>
    <w:basedOn w:val="7"/>
    <w:qFormat/>
    <w:uiPriority w:val="0"/>
    <w:rPr>
      <w:rFonts w:hint="eastAsia" w:ascii="宋体" w:hAnsi="宋体" w:eastAsia="宋体" w:cs="宋体"/>
      <w:color w:val="000000"/>
      <w:sz w:val="22"/>
      <w:szCs w:val="22"/>
      <w:u w:val="none"/>
    </w:rPr>
  </w:style>
  <w:style w:type="character" w:customStyle="1" w:styleId="27">
    <w:name w:val="font51"/>
    <w:basedOn w:val="7"/>
    <w:qFormat/>
    <w:uiPriority w:val="0"/>
    <w:rPr>
      <w:rFonts w:hint="default" w:ascii="Times New Roman" w:hAnsi="Times New Roman" w:cs="Times New Roman"/>
      <w:color w:val="000000"/>
      <w:sz w:val="21"/>
      <w:szCs w:val="21"/>
      <w:u w:val="none"/>
    </w:rPr>
  </w:style>
  <w:style w:type="character" w:customStyle="1" w:styleId="28">
    <w:name w:val="批注框文本 字符"/>
    <w:basedOn w:val="7"/>
    <w:link w:val="2"/>
    <w:semiHidden/>
    <w:qFormat/>
    <w:uiPriority w:val="99"/>
    <w:rPr>
      <w:kern w:val="2"/>
      <w:sz w:val="18"/>
      <w:szCs w:val="18"/>
    </w:rPr>
  </w:style>
  <w:style w:type="paragraph" w:customStyle="1" w:styleId="29">
    <w:name w:val="StdsHead2"/>
    <w:qFormat/>
    <w:uiPriority w:val="0"/>
    <w:pPr>
      <w:numPr>
        <w:ilvl w:val="1"/>
        <w:numId w:val="1"/>
      </w:numPr>
      <w:spacing w:before="120" w:after="120"/>
      <w:jc w:val="both"/>
    </w:pPr>
    <w:rPr>
      <w:rFonts w:ascii="Calibri" w:hAnsi="Calibri" w:eastAsia="MS Mincho" w:cs="Times New Roman"/>
      <w:lang w:val="en-US" w:eastAsia="ja-JP"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3303</Words>
  <Characters>428</Characters>
  <Lines>3</Lines>
  <Paragraphs>7</Paragraphs>
  <TotalTime>42</TotalTime>
  <ScaleCrop>false</ScaleCrop>
  <LinksUpToDate>false</LinksUpToDate>
  <CharactersWithSpaces>3724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2019-11-11T08:29:00Z</dcterms:created>
  <dc:creator>Angy Liu</dc:creator>
  <cp:lastModifiedBy>CathayMok</cp:lastModifiedBy>
  <dcterms:modified xsi:type="dcterms:W3CDTF">2021-06-08T03:12:51Z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