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附件2</w:t>
      </w:r>
      <w:r>
        <w:rPr>
          <w:rFonts w:hint="eastAsia"/>
          <w:sz w:val="28"/>
          <w:szCs w:val="28"/>
        </w:rPr>
        <w:t>:</w:t>
      </w:r>
    </w:p>
    <w:p>
      <w:pPr>
        <w:adjustRightInd w:val="0"/>
        <w:snapToGrid w:val="0"/>
        <w:spacing w:before="156" w:beforeLines="50" w:after="156" w:afterLines="50"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ISO/TC 298</w:t>
      </w:r>
      <w:r>
        <w:rPr>
          <w:rFonts w:ascii="黑体" w:hAnsi="黑体" w:eastAsia="黑体"/>
          <w:sz w:val="32"/>
          <w:szCs w:val="32"/>
        </w:rPr>
        <w:t>注册专家</w:t>
      </w:r>
      <w:r>
        <w:rPr>
          <w:rFonts w:hint="eastAsia" w:ascii="黑体" w:hAnsi="黑体" w:eastAsia="黑体"/>
          <w:sz w:val="32"/>
          <w:szCs w:val="32"/>
        </w:rPr>
        <w:t>工作职责和基本条件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工作职责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根据《ISO/IEC 导则》开展工作，并严格遵守《参加国际标准化组织（ISO）和国际电工委员会（IEC）国际标准化活动管理办法》（国家标准化管理委员会2015年第36号公告）的各项规定。履行注册专家职责，包括参加国际稀土标委会年度会议、工作组会议，按时登陆ISO专家工作系统，参与投票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查阅资料并进行意见回复等；与其他中方专家密切沟通协作，形成一致意见，研究提出我国牵头的国际标准提案。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基本条件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1、</w:t>
      </w:r>
      <w:r>
        <w:rPr>
          <w:rFonts w:hint="eastAsia"/>
          <w:sz w:val="28"/>
          <w:szCs w:val="28"/>
          <w:lang w:eastAsia="zh-CN"/>
        </w:rPr>
        <w:t>有如下领域</w:t>
      </w:r>
      <w:r>
        <w:rPr>
          <w:sz w:val="28"/>
          <w:szCs w:val="28"/>
        </w:rPr>
        <w:t>相关工作</w:t>
      </w:r>
      <w:r>
        <w:rPr>
          <w:rFonts w:hint="eastAsia"/>
          <w:sz w:val="28"/>
          <w:szCs w:val="28"/>
          <w:lang w:eastAsia="zh-CN"/>
        </w:rPr>
        <w:t>经验</w:t>
      </w:r>
      <w:r>
        <w:rPr>
          <w:sz w:val="28"/>
          <w:szCs w:val="28"/>
        </w:rPr>
        <w:t>，有较高的理论水平、技术水平，</w:t>
      </w:r>
      <w:r>
        <w:rPr>
          <w:rFonts w:hint="eastAsia"/>
          <w:sz w:val="28"/>
          <w:szCs w:val="28"/>
          <w:lang w:eastAsia="zh-CN"/>
        </w:rPr>
        <w:t>对国内外稀土产业发展有全面、深入地认识和了解：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1)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可持续发展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2)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稀土环保技术与标准（稀土生产相关的三废排放、空气、水、噪音、振动等、生物多样性、生态系统服务和保护区管理）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3）稀土生产技术及其相应标准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4）稀土国际贸易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5）稀土专利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6）社区和利益相关者参与、社区和职业健康与安全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7）应急准备和响应：暂无可推荐专家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8）公平劳动和工作条件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9）环境社会治理（ESG）：暂无可推荐专家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ab/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10）复垦和闭坑</w:t>
      </w:r>
      <w:r>
        <w:rPr>
          <w:rFonts w:hint="eastAsia" w:ascii="Times New Roman" w:hAnsi="Times New Roman" w:eastAsia="宋体" w:cs="Times New Roman"/>
          <w:smallCaps w:val="0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smallCaps w:val="0"/>
          <w:sz w:val="24"/>
          <w:szCs w:val="24"/>
          <w:lang w:val="en-US" w:eastAsia="zh-CN"/>
        </w:rPr>
        <w:tab/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2、具有较高的英文交流能力和读写水平，能够直接在国际会议上以英文发表意见和建议，与国外专家进行交流，能够快速查看和回复英文邮件，阅读并理解英文标准文件内容。</w:t>
      </w:r>
    </w:p>
    <w:p>
      <w:pPr>
        <w:adjustRightInd w:val="0"/>
        <w:snapToGrid w:val="0"/>
        <w:spacing w:before="156" w:beforeLines="50" w:after="156" w:afterLines="50"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3、具有足够的时间和经费支持参与国际标准化活动</w:t>
      </w:r>
      <w:r>
        <w:rPr>
          <w:rFonts w:hint="eastAsia"/>
          <w:sz w:val="28"/>
          <w:szCs w:val="28"/>
          <w:lang w:val="en-US" w:eastAsia="zh-CN"/>
        </w:rPr>
        <w:t>且获得所在单位领导的支持</w:t>
      </w:r>
      <w:r>
        <w:rPr>
          <w:sz w:val="28"/>
          <w:szCs w:val="28"/>
        </w:rPr>
        <w:t>，确保按时参会，完成国际标准工作任务。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E5948"/>
    <w:rsid w:val="15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2021-06-05T16:51:00Z</dcterms:created>
  <dc:creator>CathayMok</dc:creator>
  <cp:lastModifiedBy>CathayMok</cp:lastModifiedBy>
  <dcterms:modified xsi:type="dcterms:W3CDTF">2021-06-05T16:52:13Z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59EAD85B80B049FCA94C0E722FF5D3D7</vt:lpwstr>
  </property>
</Properties>
</file>