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pPr>
      <w:bookmarkStart w:id="29" w:name="_GoBack"/>
      <w:bookmarkEnd w:id="29"/>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29.045</w:t>
      </w:r>
      <w:r>
        <w:fldChar w:fldCharType="end"/>
      </w:r>
      <w:bookmarkEnd w:id="0"/>
    </w:p>
    <w:p>
      <w:pPr>
        <w:pStyle w:val="126"/>
        <w:framePr w:wrap="around"/>
      </w:pPr>
      <w:r>
        <w:t>CCS H 82</w:t>
      </w:r>
    </w:p>
    <w:p>
      <w:pPr>
        <w:pStyle w:val="69"/>
        <w:framePr w:wrap="around"/>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0"/>
        <w:framePr w:wrap="around"/>
      </w:pPr>
      <w:r>
        <w:rPr>
          <w:rFonts w:hint="eastAsia"/>
        </w:rPr>
        <w:t>中华人民共和国国家标准</w:t>
      </w:r>
    </w:p>
    <w:p>
      <w:pPr>
        <w:pStyle w:val="50"/>
        <w:framePr w:wrap="around"/>
      </w:pPr>
      <w:r>
        <w:rPr>
          <w:rFonts w:ascii="Times New Roman"/>
        </w:rPr>
        <w:t xml:space="preserve">GB/T </w:t>
      </w:r>
      <w:r>
        <w:t>—</w:t>
      </w:r>
      <w:r>
        <w:fldChar w:fldCharType="begin">
          <w:ffData>
            <w:name w:val="StdNo2"/>
            <w:enabled/>
            <w:calcOnExit w:val="0"/>
            <w:textInput>
              <w:default w:val="XXXX"/>
              <w:maxLength w:val="4"/>
            </w:textInput>
          </w:ffData>
        </w:fldChar>
      </w:r>
      <w:bookmarkStart w:id="1" w:name="StdNo2"/>
      <w:r>
        <w:instrText xml:space="preserve"> FORMTEXT </w:instrText>
      </w:r>
      <w:r>
        <w:fldChar w:fldCharType="separate"/>
      </w:r>
      <w:r>
        <w:t>XXXX</w:t>
      </w:r>
      <w: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wrap="around"/>
              <w:ind w:right="420"/>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p>
        </w:tc>
      </w:tr>
    </w:tbl>
    <w:p>
      <w:pPr>
        <w:pStyle w:val="50"/>
        <w:framePr w:wrap="around"/>
      </w:pPr>
    </w:p>
    <w:p>
      <w:pPr>
        <w:pStyle w:val="50"/>
        <w:framePr w:wrap="around"/>
      </w:pPr>
    </w:p>
    <w:p>
      <w:pPr>
        <w:pStyle w:val="81"/>
        <w:framePr w:wrap="around" w:x="1126" w:y="6391"/>
      </w:pPr>
      <w:r>
        <w:rPr>
          <w:rFonts w:hint="eastAsia"/>
        </w:rPr>
        <w:t>集成电路用低密度晶体原生凹坑硅单晶抛光片</w:t>
      </w:r>
    </w:p>
    <w:p>
      <w:pPr>
        <w:pStyle w:val="82"/>
        <w:framePr w:wrap="around" w:x="1126" w:y="6391"/>
      </w:pPr>
      <w:r>
        <w:t>Low density crystal originated pit polished monocrystalline silicon wafers for integrated circuit</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4"/>
              <w:framePr w:wrap="around" w:x="1126" w:y="6391"/>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wrap="around" w:x="1126" w:y="6391"/>
            </w:pPr>
          </w:p>
          <w:p>
            <w:pPr>
              <w:pStyle w:val="85"/>
              <w:framePr w:wrap="around" w:x="1126" w:y="6391"/>
            </w:pPr>
          </w:p>
          <w:p>
            <w:pPr>
              <w:pStyle w:val="85"/>
              <w:framePr w:wrap="around" w:x="1126" w:y="6391"/>
            </w:pPr>
            <w:r>
              <w:rPr>
                <w:rFonts w:hint="eastAsia"/>
              </w:rPr>
              <w:t>（在提交反馈意见时，请将您知道的相关专利连同支持性文件一并附上）</w:t>
            </w:r>
          </w:p>
        </w:tc>
      </w:tr>
    </w:tbl>
    <w:p>
      <w:pPr>
        <w:pStyle w:val="133"/>
        <w:framePr w:wrap="around" w:hAnchor="page" w:x="1246" w:y="13996"/>
      </w:pPr>
      <w:r>
        <w:rPr>
          <w:rFonts w:ascii="黑体"/>
        </w:rPr>
        <w:fldChar w:fldCharType="begin">
          <w:ffData>
            <w:name w:val="FY"/>
            <w:enabled/>
            <w:calcOnExit w:val="0"/>
            <w:textInput>
              <w:default w:val="XXXX"/>
              <w:maxLength w:val="4"/>
            </w:textInput>
          </w:ffData>
        </w:fldChar>
      </w:r>
      <w:bookmarkStart w:id="2"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3"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4"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4"/>
        <w:framePr w:wrap="around" w:hAnchor="page" w:x="7006" w:y="13906"/>
      </w:pPr>
      <w:r>
        <w:rPr>
          <w:rFonts w:ascii="黑体"/>
        </w:rPr>
        <w:fldChar w:fldCharType="begin">
          <w:ffData>
            <w:name w:val="SY"/>
            <w:enabled/>
            <w:calcOnExit w:val="0"/>
            <w:textInput>
              <w:default w:val="XXXX"/>
              <w:maxLength w:val="4"/>
            </w:textInput>
          </w:ffData>
        </w:fldChar>
      </w:r>
      <w:bookmarkStart w:id="5"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6"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7"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77"/>
        <w:framePr w:wrap="around"/>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2"/>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5"/>
      </w:pPr>
      <w:r>
        <w:rPr>
          <w:rFonts w:hint="eastAsia"/>
        </w:rPr>
        <w:t>前</w:t>
      </w:r>
      <w:bookmarkStart w:id="8" w:name="BKQY"/>
      <w:r>
        <w:t>  </w:t>
      </w:r>
      <w:r>
        <w:rPr>
          <w:rFonts w:hint="eastAsia"/>
        </w:rPr>
        <w:t>言</w:t>
      </w:r>
      <w:bookmarkEnd w:id="8"/>
    </w:p>
    <w:p>
      <w:pPr>
        <w:pStyle w:val="22"/>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2"/>
      </w:pPr>
      <w:r>
        <w:rPr>
          <w:rFonts w:hint="eastAsia"/>
        </w:rPr>
        <w:t>本文件由全国半导体设备和材料标准化技术委员会（SAC/TC203）与全国半导体设备和材料标准化技术委员会材料分技术委员会（SAC/TC203/SC2）共同提出并归口。</w:t>
      </w:r>
    </w:p>
    <w:p>
      <w:pPr>
        <w:pStyle w:val="22"/>
      </w:pPr>
      <w:r>
        <w:rPr>
          <w:rFonts w:hint="eastAsia"/>
        </w:rPr>
        <w:t>本文件起草单位：山东有研半导体材料有限公司、有研半导体材料有限公司、……</w:t>
      </w:r>
    </w:p>
    <w:p>
      <w:pPr>
        <w:pStyle w:val="22"/>
      </w:pPr>
      <w:r>
        <w:rPr>
          <w:rFonts w:hint="eastAsia"/>
        </w:rPr>
        <w:t>本文件主要起草人：孙燕、宁永铎、钟耕杭、李洋、</w:t>
      </w:r>
    </w:p>
    <w:p>
      <w:pPr>
        <w:pStyle w:val="22"/>
        <w:rPr>
          <w:rFonts w:hAnsi="宋体"/>
          <w:szCs w:val="21"/>
        </w:rPr>
      </w:pPr>
    </w:p>
    <w:p>
      <w:pPr>
        <w:pStyle w:val="22"/>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3"/>
      </w:pPr>
      <w:r>
        <w:rPr>
          <w:rFonts w:hint="eastAsia"/>
        </w:rPr>
        <w:t>集成电路用低密度晶体原生凹坑硅单晶抛光片</w:t>
      </w:r>
    </w:p>
    <w:p>
      <w:pPr>
        <w:pStyle w:val="48"/>
        <w:spacing w:before="312" w:after="312"/>
      </w:pPr>
      <w:r>
        <w:rPr>
          <w:rFonts w:hint="eastAsia"/>
        </w:rPr>
        <w:t>1范围</w:t>
      </w:r>
    </w:p>
    <w:p>
      <w:pPr>
        <w:pStyle w:val="22"/>
      </w:pPr>
      <w:r>
        <w:t>本文件规定了低密度-晶体原生凹坑硅单晶抛光片</w:t>
      </w:r>
      <w:r>
        <w:rPr>
          <w:rFonts w:hint="eastAsia"/>
        </w:rPr>
        <w:t>（简称Low-COP抛光片）</w:t>
      </w:r>
      <w:r>
        <w:t>的必要的相关性术语、技术要求、试验方法、检验规则以及包装、标志、</w:t>
      </w:r>
      <w:r>
        <w:rPr>
          <w:rFonts w:hint="eastAsia"/>
        </w:rPr>
        <w:t>贮存和</w:t>
      </w:r>
      <w:r>
        <w:t>运输、</w:t>
      </w:r>
      <w:r>
        <w:rPr>
          <w:rFonts w:hint="eastAsia"/>
        </w:rPr>
        <w:t>随行文件</w:t>
      </w:r>
      <w:r>
        <w:t>。</w:t>
      </w:r>
    </w:p>
    <w:p>
      <w:pPr>
        <w:pStyle w:val="22"/>
      </w:pPr>
      <w:r>
        <w:t>本文件适用于</w:t>
      </w:r>
      <w:r>
        <w:rPr>
          <w:rFonts w:hint="eastAsia"/>
        </w:rPr>
        <w:t>(</w:t>
      </w:r>
      <w:r>
        <w:t>200</w:t>
      </w:r>
      <w:r>
        <w:rPr>
          <w:rFonts w:hint="eastAsia" w:ascii="STXihei" w:hAnsi="STXihei" w:eastAsia="STXihei"/>
        </w:rPr>
        <w:t>~</w:t>
      </w:r>
      <w:r>
        <w:rPr>
          <w:rFonts w:hint="eastAsia"/>
        </w:rPr>
        <w:t>300)</w:t>
      </w:r>
      <w:r>
        <w:t>mm直径的&lt;100&gt;(0.1-100)Ω</w:t>
      </w:r>
      <w:r>
        <w:rPr>
          <w:rFonts w:hint="eastAsia"/>
        </w:rPr>
        <w:t>·</w:t>
      </w:r>
      <w:r>
        <w:t>cm的</w:t>
      </w:r>
      <w:r>
        <w:rPr>
          <w:rFonts w:hint="eastAsia"/>
        </w:rPr>
        <w:t>Low-COP抛光</w:t>
      </w:r>
      <w:r>
        <w:t>。产品主要用于对晶体原生凹坑敏感的集成电路，如</w:t>
      </w:r>
      <w:r>
        <w:rPr>
          <w:rFonts w:hint="eastAsia"/>
        </w:rPr>
        <w:t>微控制器（MCU）</w:t>
      </w:r>
      <w:r>
        <w:t>、</w:t>
      </w:r>
      <w:bookmarkStart w:id="9" w:name="OLE_LINK3"/>
      <w:bookmarkStart w:id="10" w:name="OLE_LINK4"/>
      <w:bookmarkStart w:id="11" w:name="OLE_LINK5"/>
      <w:r>
        <w:t>非易失性闪存</w:t>
      </w:r>
      <w:r>
        <w:rPr>
          <w:rFonts w:hint="eastAsia"/>
        </w:rPr>
        <w:t>（</w:t>
      </w:r>
      <w:r>
        <w:t>Nor Flash</w:t>
      </w:r>
      <w:bookmarkEnd w:id="9"/>
      <w:bookmarkEnd w:id="10"/>
      <w:bookmarkEnd w:id="11"/>
      <w:r>
        <w:rPr>
          <w:rFonts w:hint="eastAsia"/>
        </w:rPr>
        <w:t>）</w:t>
      </w:r>
      <w:r>
        <w:t>、微处理器、嵌入式内存、指纹识别等集成电路</w:t>
      </w:r>
      <w:r>
        <w:rPr>
          <w:rFonts w:hint="eastAsia"/>
        </w:rPr>
        <w:t>的衬底</w:t>
      </w:r>
      <w:r>
        <w:t>。</w:t>
      </w:r>
    </w:p>
    <w:p>
      <w:pPr>
        <w:pStyle w:val="48"/>
        <w:spacing w:before="312" w:after="312"/>
      </w:pPr>
      <w:r>
        <w:rPr>
          <w:rFonts w:hint="eastAsia"/>
        </w:rPr>
        <w:t>2规范性引用文件</w:t>
      </w:r>
    </w:p>
    <w:p>
      <w:pPr>
        <w:pStyle w:val="22"/>
        <w:rPr>
          <w:rFonts w:hAnsi="宋体"/>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pPr>
      <w:r>
        <w:t>GB</w:t>
      </w:r>
      <w:r>
        <w:rPr>
          <w:rFonts w:hint="eastAsia"/>
        </w:rPr>
        <w:t xml:space="preserve">/T </w:t>
      </w:r>
      <w:r>
        <w:t>2828</w:t>
      </w:r>
      <w:r>
        <w:rPr>
          <w:rFonts w:hint="eastAsia"/>
        </w:rPr>
        <w:t>.1-2012 计数抽样检验程序 第1部分：按接收质量限（AQL）检索的逐批检验抽样计划</w:t>
      </w:r>
    </w:p>
    <w:p>
      <w:pPr>
        <w:pStyle w:val="22"/>
      </w:pPr>
      <w:r>
        <w:rPr>
          <w:rFonts w:hint="eastAsia"/>
        </w:rPr>
        <w:t xml:space="preserve">GB/T 4058 </w:t>
      </w:r>
      <w:r>
        <w:t xml:space="preserve"> </w:t>
      </w:r>
      <w:r>
        <w:rPr>
          <w:rFonts w:hint="eastAsia"/>
        </w:rPr>
        <w:t>硅抛光片氧化诱生缺陷的检验方法</w:t>
      </w:r>
    </w:p>
    <w:p>
      <w:pPr>
        <w:pStyle w:val="22"/>
      </w:pPr>
      <w:r>
        <w:t xml:space="preserve">GB/T 6624  </w:t>
      </w:r>
      <w:r>
        <w:rPr>
          <w:rFonts w:hint="eastAsia"/>
        </w:rPr>
        <w:t>硅抛光片表面质量目检测试方法</w:t>
      </w:r>
    </w:p>
    <w:p>
      <w:pPr>
        <w:pStyle w:val="22"/>
      </w:pPr>
      <w:r>
        <w:t xml:space="preserve">GB/T 12962 </w:t>
      </w:r>
      <w:r>
        <w:rPr>
          <w:rFonts w:hint="eastAsia"/>
        </w:rPr>
        <w:t>硅单晶</w:t>
      </w:r>
    </w:p>
    <w:p>
      <w:pPr>
        <w:pStyle w:val="22"/>
      </w:pPr>
      <w:r>
        <w:t>GB/T 1296</w:t>
      </w:r>
      <w:r>
        <w:rPr>
          <w:rFonts w:hint="eastAsia"/>
        </w:rPr>
        <w:t>5</w:t>
      </w:r>
      <w:r>
        <w:t xml:space="preserve"> </w:t>
      </w:r>
      <w:r>
        <w:rPr>
          <w:rFonts w:hint="eastAsia"/>
        </w:rPr>
        <w:t>硅单晶切割片和研磨片</w:t>
      </w:r>
    </w:p>
    <w:p>
      <w:pPr>
        <w:pStyle w:val="22"/>
      </w:pPr>
      <w:r>
        <w:t xml:space="preserve">GB/T 14264 </w:t>
      </w:r>
      <w:r>
        <w:rPr>
          <w:rFonts w:hint="eastAsia"/>
        </w:rPr>
        <w:t>半导体材料术语</w:t>
      </w:r>
    </w:p>
    <w:p>
      <w:pPr>
        <w:pStyle w:val="22"/>
      </w:pPr>
      <w:r>
        <w:t>GB/T 19921 硅抛光片表面颗粒测试方法</w:t>
      </w:r>
    </w:p>
    <w:p>
      <w:pPr>
        <w:pStyle w:val="22"/>
      </w:pPr>
      <w:r>
        <w:rPr>
          <w:rFonts w:hint="eastAsia"/>
        </w:rPr>
        <w:t>GB/T 29504 300mm硅单晶</w:t>
      </w:r>
    </w:p>
    <w:p>
      <w:pPr>
        <w:pStyle w:val="22"/>
      </w:pPr>
      <w:r>
        <w:rPr>
          <w:rFonts w:hint="eastAsia"/>
        </w:rPr>
        <w:t>GB/T 29507 硅片平整度、厚度及总厚度变化测试 自动非接触扫描法</w:t>
      </w:r>
    </w:p>
    <w:p>
      <w:pPr>
        <w:pStyle w:val="22"/>
      </w:pPr>
      <w:r>
        <w:rPr>
          <w:rFonts w:hint="eastAsia"/>
        </w:rPr>
        <w:t>GB/T 29508 300mm硅单晶切割片和磨削片</w:t>
      </w:r>
    </w:p>
    <w:p>
      <w:pPr>
        <w:pStyle w:val="22"/>
      </w:pPr>
      <w:r>
        <w:rPr>
          <w:rFonts w:hint="eastAsia"/>
        </w:rPr>
        <w:t>GB/T 32279 硅片订货单格式输入规范</w:t>
      </w:r>
    </w:p>
    <w:p>
      <w:pPr>
        <w:pStyle w:val="22"/>
      </w:pPr>
      <w:r>
        <w:rPr>
          <w:rFonts w:hint="eastAsia"/>
        </w:rPr>
        <w:t>GB/T 32280 硅片翘曲度和弯曲度测试 自动非接触扫描法</w:t>
      </w:r>
    </w:p>
    <w:p>
      <w:pPr>
        <w:pStyle w:val="22"/>
      </w:pPr>
      <w:r>
        <w:rPr>
          <w:rFonts w:hint="eastAsia"/>
        </w:rPr>
        <w:t>GB/T 39145 硅片表面金属元素含量的测定 电感耦合等离子体质谱法</w:t>
      </w:r>
    </w:p>
    <w:p>
      <w:pPr>
        <w:pStyle w:val="22"/>
      </w:pPr>
      <w:r>
        <w:rPr>
          <w:rFonts w:hint="eastAsia"/>
        </w:rPr>
        <w:t>YS/T 28 硅片包装</w:t>
      </w:r>
    </w:p>
    <w:p>
      <w:pPr>
        <w:pStyle w:val="22"/>
      </w:pPr>
      <w:r>
        <w:rPr>
          <w:rFonts w:hint="eastAsia"/>
        </w:rPr>
        <w:t>YS/T 679 非本征半导体中少数载流子扩散长度的测试 表面光电压法</w:t>
      </w:r>
    </w:p>
    <w:p>
      <w:pPr>
        <w:pStyle w:val="48"/>
        <w:spacing w:before="312" w:after="312"/>
      </w:pPr>
      <w:r>
        <w:rPr>
          <w:rFonts w:hint="eastAsia"/>
        </w:rPr>
        <w:t>3术语和定义</w:t>
      </w:r>
    </w:p>
    <w:p>
      <w:pPr>
        <w:pStyle w:val="22"/>
      </w:pPr>
      <w:r>
        <w:rPr>
          <w:rFonts w:hint="eastAsia"/>
        </w:rPr>
        <w:t>GB/T 14264和</w:t>
      </w:r>
      <w:r>
        <w:t>本文件</w:t>
      </w:r>
      <w:r>
        <w:rPr>
          <w:rFonts w:hint="eastAsia"/>
        </w:rPr>
        <w:t>界定的以及下列术语和定义适用于本文件。</w:t>
      </w:r>
    </w:p>
    <w:p>
      <w:pPr>
        <w:pStyle w:val="45"/>
        <w:spacing w:before="156" w:after="156"/>
      </w:pPr>
      <w:r>
        <w:rPr>
          <w:rFonts w:hint="eastAsia"/>
        </w:rPr>
        <w:t>3.1</w:t>
      </w:r>
    </w:p>
    <w:p>
      <w:pPr>
        <w:adjustRightInd w:val="0"/>
        <w:spacing w:line="360" w:lineRule="atLeast"/>
        <w:ind w:firstLine="420"/>
        <w:jc w:val="left"/>
        <w:textAlignment w:val="baseline"/>
        <w:rPr>
          <w:rFonts w:ascii="黑体" w:hAnsi="黑体" w:eastAsia="黑体"/>
          <w:kern w:val="0"/>
          <w:szCs w:val="20"/>
        </w:rPr>
      </w:pPr>
      <w:r>
        <w:rPr>
          <w:rFonts w:ascii="黑体" w:hAnsi="黑体" w:eastAsia="黑体"/>
          <w:kern w:val="0"/>
          <w:szCs w:val="20"/>
        </w:rPr>
        <w:t>晶体原生凹坑（COP） crystal originated pit</w:t>
      </w:r>
    </w:p>
    <w:p>
      <w:pPr>
        <w:adjustRightInd w:val="0"/>
        <w:spacing w:line="360" w:lineRule="atLeast"/>
        <w:ind w:firstLine="420"/>
        <w:textAlignment w:val="baseline"/>
        <w:rPr>
          <w:rFonts w:ascii="宋体"/>
          <w:kern w:val="0"/>
          <w:szCs w:val="20"/>
        </w:rPr>
      </w:pPr>
      <w:r>
        <w:rPr>
          <w:rFonts w:ascii="宋体"/>
          <w:kern w:val="0"/>
          <w:szCs w:val="20"/>
        </w:rPr>
        <w:t>在晶体生长中引入的一个凹坑或一些凹坑。当它们与硅片表面相交时，类似LLS.因为在使用SSIS观察时，在一些情况下它们的作用与颗粒类似，因此最初这种缺陷被称为晶体原生颗粒（crystal originated particulate）。总之，现代的SSIS一般能够从颗粒中区分出晶体原生凹坑，当晶体原生凹坑存在时，表面清洗或亮腐蚀</w:t>
      </w:r>
      <w:r>
        <w:rPr>
          <w:rFonts w:hint="eastAsia" w:ascii="宋体"/>
          <w:kern w:val="0"/>
          <w:szCs w:val="20"/>
        </w:rPr>
        <w:t>可能</w:t>
      </w:r>
      <w:r>
        <w:rPr>
          <w:rFonts w:ascii="宋体"/>
          <w:kern w:val="0"/>
          <w:szCs w:val="20"/>
        </w:rPr>
        <w:t>会增大其被观察的尺寸和数量。</w:t>
      </w:r>
    </w:p>
    <w:p>
      <w:pPr>
        <w:pStyle w:val="45"/>
        <w:spacing w:before="156" w:after="156"/>
      </w:pPr>
      <w:r>
        <w:rPr>
          <w:rFonts w:hint="eastAsia"/>
        </w:rPr>
        <w:t>3.2</w:t>
      </w:r>
    </w:p>
    <w:p>
      <w:pPr>
        <w:ind w:left="420" w:leftChars="200"/>
      </w:pPr>
      <w:r>
        <w:rPr>
          <w:rFonts w:hint="eastAsia" w:ascii="黑体" w:eastAsia="黑体"/>
        </w:rPr>
        <w:t>扫描表面检查系统 scanning surface inspection system (SSIS)</w:t>
      </w:r>
      <w:r>
        <w:rPr>
          <w:rFonts w:hint="eastAsia"/>
        </w:rPr>
        <w:t xml:space="preserve"> </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用于晶片整个质量区的快速检查设备，可探测局部光散射体、雾等，也叫做颗粒记数器（</w:t>
      </w:r>
      <w:r>
        <w:rPr>
          <w:rFonts w:ascii="宋体"/>
          <w:kern w:val="0"/>
          <w:szCs w:val="20"/>
        </w:rPr>
        <w:t>particle counter</w:t>
      </w:r>
      <w:r>
        <w:rPr>
          <w:rFonts w:hint="eastAsia" w:ascii="宋体"/>
          <w:kern w:val="0"/>
          <w:szCs w:val="20"/>
        </w:rPr>
        <w:t>）或激光表面扫描仪（</w:t>
      </w:r>
      <w:r>
        <w:rPr>
          <w:rFonts w:ascii="宋体"/>
          <w:kern w:val="0"/>
          <w:szCs w:val="20"/>
        </w:rPr>
        <w:t>laser surface scanner</w:t>
      </w:r>
      <w:r>
        <w:rPr>
          <w:rFonts w:hint="eastAsia" w:ascii="宋体"/>
          <w:kern w:val="0"/>
          <w:szCs w:val="20"/>
        </w:rPr>
        <w:t>）</w:t>
      </w:r>
    </w:p>
    <w:p>
      <w:pPr>
        <w:pStyle w:val="48"/>
        <w:spacing w:before="312" w:after="312"/>
      </w:pPr>
      <w:r>
        <w:rPr>
          <w:rFonts w:hint="eastAsia"/>
        </w:rPr>
        <w:t>4技术要求</w:t>
      </w:r>
    </w:p>
    <w:p>
      <w:pPr>
        <w:pStyle w:val="45"/>
        <w:spacing w:before="156" w:after="156"/>
      </w:pPr>
      <w:r>
        <w:rPr>
          <w:rFonts w:hint="eastAsia"/>
        </w:rPr>
        <w:t>4.1参数</w:t>
      </w:r>
    </w:p>
    <w:p>
      <w:pPr>
        <w:pStyle w:val="66"/>
        <w:numPr>
          <w:ilvl w:val="0"/>
          <w:numId w:val="0"/>
        </w:numPr>
        <w:spacing w:before="0" w:after="0"/>
      </w:pPr>
      <w:r>
        <w:rPr>
          <w:rFonts w:hint="eastAsia" w:ascii="黑体" w:hAnsi="黑体" w:eastAsia="黑体"/>
        </w:rPr>
        <w:t xml:space="preserve">4.1.1 </w:t>
      </w:r>
      <w:r>
        <w:rPr>
          <w:rFonts w:hint="eastAsia"/>
        </w:rPr>
        <w:t>Low-COP抛光片的导电类型、电阻率及径向电阻率变化、少数载流子寿命、氧含量、碳含量应符合</w:t>
      </w:r>
      <w:r>
        <w:t>GB/T</w:t>
      </w:r>
      <w:r>
        <w:rPr>
          <w:rFonts w:hint="eastAsia"/>
        </w:rPr>
        <w:t xml:space="preserve"> </w:t>
      </w:r>
      <w:r>
        <w:t>12962</w:t>
      </w:r>
      <w:r>
        <w:rPr>
          <w:rFonts w:hint="eastAsia"/>
        </w:rPr>
        <w:t>或</w:t>
      </w:r>
      <w:r>
        <w:rPr>
          <w:rFonts w:hint="eastAsia" w:ascii="Times New Roman"/>
          <w:kern w:val="2"/>
          <w:szCs w:val="24"/>
        </w:rPr>
        <w:t xml:space="preserve"> </w:t>
      </w:r>
      <w:r>
        <w:rPr>
          <w:rFonts w:hint="eastAsia"/>
        </w:rPr>
        <w:t>GB/T 29504的规定，也可由供需双方协商确定。</w:t>
      </w:r>
    </w:p>
    <w:p>
      <w:pPr>
        <w:pStyle w:val="66"/>
        <w:numPr>
          <w:ilvl w:val="0"/>
          <w:numId w:val="0"/>
        </w:numPr>
        <w:spacing w:before="0" w:after="0"/>
      </w:pPr>
      <w:r>
        <w:rPr>
          <w:rFonts w:hint="eastAsia" w:ascii="黑体" w:hAnsi="黑体" w:eastAsia="黑体"/>
        </w:rPr>
        <w:t xml:space="preserve">4.1.2 </w:t>
      </w:r>
      <w:r>
        <w:rPr>
          <w:rFonts w:hint="eastAsia"/>
        </w:rPr>
        <w:t>Low-COP抛光片的晶向、参考面晶向、主参考面和副参考面的位置、切口尺寸均应符合GB/T 12965或GB/T 29508的规定，也可由供需双方协商确定。</w:t>
      </w:r>
    </w:p>
    <w:p>
      <w:pPr>
        <w:pStyle w:val="45"/>
        <w:spacing w:before="156" w:after="156"/>
      </w:pPr>
      <w:r>
        <w:rPr>
          <w:rFonts w:hint="eastAsia"/>
        </w:rPr>
        <w:t>4.2 几何参数</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Low-COP抛光片的几何参数首先应符合表1的规定，或由供需双方协商确定。</w:t>
      </w:r>
    </w:p>
    <w:p>
      <w:pPr>
        <w:spacing w:line="360" w:lineRule="auto"/>
        <w:jc w:val="center"/>
        <w:rPr>
          <w:rFonts w:ascii="黑体" w:hAnsi="黑体" w:eastAsia="黑体"/>
          <w:szCs w:val="21"/>
        </w:rPr>
      </w:pPr>
      <w:r>
        <w:rPr>
          <w:rFonts w:hint="eastAsia" w:ascii="黑体" w:hAnsi="黑体" w:eastAsia="黑体"/>
          <w:szCs w:val="21"/>
        </w:rPr>
        <w:t>表1几何参数</w:t>
      </w:r>
    </w:p>
    <w:tbl>
      <w:tblPr>
        <w:tblStyle w:val="32"/>
        <w:tblW w:w="4181" w:type="pct"/>
        <w:tblInd w:w="7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597"/>
        <w:gridCol w:w="1381"/>
        <w:gridCol w:w="2021"/>
        <w:gridCol w:w="1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pct"/>
            <w:gridSpan w:val="2"/>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硅片直径，</w:t>
            </w:r>
            <w:r>
              <w:rPr>
                <w:rFonts w:ascii="宋体"/>
                <w:kern w:val="0"/>
                <w:szCs w:val="20"/>
              </w:rPr>
              <w:t>mm</w:t>
            </w:r>
          </w:p>
        </w:tc>
        <w:tc>
          <w:tcPr>
            <w:tcW w:w="863" w:type="pct"/>
            <w:tcBorders>
              <w:righ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20</w:t>
            </w:r>
            <w:r>
              <w:rPr>
                <w:rFonts w:ascii="宋体"/>
                <w:kern w:val="0"/>
                <w:szCs w:val="20"/>
              </w:rPr>
              <w:t>0</w:t>
            </w:r>
          </w:p>
        </w:tc>
        <w:tc>
          <w:tcPr>
            <w:tcW w:w="2302" w:type="pct"/>
            <w:gridSpan w:val="2"/>
            <w:tcBorders>
              <w:lef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3</w:t>
            </w:r>
            <w:r>
              <w:rPr>
                <w:rFonts w:ascii="宋体"/>
                <w:kern w:val="0"/>
                <w:szCs w:val="20"/>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pct"/>
            <w:gridSpan w:val="2"/>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直径允许偏差，</w:t>
            </w:r>
            <w:r>
              <w:rPr>
                <w:rFonts w:ascii="宋体"/>
                <w:kern w:val="0"/>
                <w:szCs w:val="20"/>
              </w:rPr>
              <w:t>mm</w:t>
            </w:r>
          </w:p>
        </w:tc>
        <w:tc>
          <w:tcPr>
            <w:tcW w:w="863" w:type="pct"/>
            <w:tcBorders>
              <w:righ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w:t>
            </w:r>
            <w:r>
              <w:rPr>
                <w:rFonts w:ascii="宋体"/>
                <w:kern w:val="0"/>
                <w:szCs w:val="20"/>
              </w:rPr>
              <w:t>0.3</w:t>
            </w:r>
          </w:p>
        </w:tc>
        <w:tc>
          <w:tcPr>
            <w:tcW w:w="2302" w:type="pct"/>
            <w:gridSpan w:val="2"/>
            <w:tcBorders>
              <w:lef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w:t>
            </w:r>
            <w:r>
              <w:rPr>
                <w:rFonts w:ascii="宋体"/>
                <w:kern w:val="0"/>
                <w:szCs w:val="20"/>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pct"/>
            <w:gridSpan w:val="2"/>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硅片厚度，中心点，μ</w:t>
            </w:r>
            <w:r>
              <w:rPr>
                <w:rFonts w:ascii="宋体"/>
                <w:kern w:val="0"/>
                <w:szCs w:val="20"/>
              </w:rPr>
              <w:t>m</w:t>
            </w:r>
          </w:p>
        </w:tc>
        <w:tc>
          <w:tcPr>
            <w:tcW w:w="863" w:type="pct"/>
            <w:tcBorders>
              <w:righ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ascii="宋体"/>
                <w:kern w:val="0"/>
                <w:szCs w:val="20"/>
              </w:rPr>
              <w:t>725</w:t>
            </w:r>
          </w:p>
        </w:tc>
        <w:tc>
          <w:tcPr>
            <w:tcW w:w="2302" w:type="pct"/>
            <w:gridSpan w:val="2"/>
            <w:tcBorders>
              <w:lef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pct"/>
            <w:gridSpan w:val="2"/>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厚度允许偏差，μ</w:t>
            </w:r>
            <w:r>
              <w:rPr>
                <w:rFonts w:ascii="宋体"/>
                <w:kern w:val="0"/>
                <w:szCs w:val="20"/>
              </w:rPr>
              <w:t>m</w:t>
            </w:r>
          </w:p>
        </w:tc>
        <w:tc>
          <w:tcPr>
            <w:tcW w:w="863" w:type="pct"/>
            <w:tcBorders>
              <w:righ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w:t>
            </w:r>
            <w:r>
              <w:rPr>
                <w:rFonts w:ascii="宋体"/>
                <w:kern w:val="0"/>
                <w:szCs w:val="20"/>
              </w:rPr>
              <w:t>15</w:t>
            </w:r>
          </w:p>
        </w:tc>
        <w:tc>
          <w:tcPr>
            <w:tcW w:w="2302" w:type="pct"/>
            <w:gridSpan w:val="2"/>
            <w:tcBorders>
              <w:lef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pct"/>
            <w:gridSpan w:val="2"/>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总厚度变化，μ</w:t>
            </w:r>
            <w:r>
              <w:rPr>
                <w:rFonts w:ascii="宋体"/>
                <w:kern w:val="0"/>
                <w:szCs w:val="20"/>
              </w:rPr>
              <w:t xml:space="preserve">m </w:t>
            </w:r>
          </w:p>
        </w:tc>
        <w:tc>
          <w:tcPr>
            <w:tcW w:w="863" w:type="pct"/>
            <w:tcBorders>
              <w:righ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≤4</w:t>
            </w:r>
          </w:p>
        </w:tc>
        <w:tc>
          <w:tcPr>
            <w:tcW w:w="2302" w:type="pct"/>
            <w:gridSpan w:val="2"/>
            <w:tcBorders>
              <w:lef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835" w:type="pct"/>
            <w:gridSpan w:val="2"/>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弯曲度，μ</w:t>
            </w:r>
            <w:r>
              <w:rPr>
                <w:rFonts w:ascii="宋体"/>
                <w:kern w:val="0"/>
                <w:szCs w:val="20"/>
              </w:rPr>
              <w:t xml:space="preserve">m </w:t>
            </w:r>
          </w:p>
        </w:tc>
        <w:tc>
          <w:tcPr>
            <w:tcW w:w="863" w:type="pct"/>
            <w:tcBorders>
              <w:righ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≤4</w:t>
            </w:r>
            <w:r>
              <w:rPr>
                <w:rFonts w:ascii="宋体"/>
                <w:kern w:val="0"/>
                <w:szCs w:val="20"/>
              </w:rPr>
              <w:t>0</w:t>
            </w:r>
          </w:p>
        </w:tc>
        <w:tc>
          <w:tcPr>
            <w:tcW w:w="2302" w:type="pct"/>
            <w:gridSpan w:val="2"/>
            <w:tcBorders>
              <w:lef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≤4</w:t>
            </w:r>
            <w:r>
              <w:rPr>
                <w:rFonts w:ascii="宋体"/>
                <w:kern w:val="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trPr>
        <w:tc>
          <w:tcPr>
            <w:tcW w:w="1835" w:type="pct"/>
            <w:gridSpan w:val="2"/>
            <w:tcBorders>
              <w:bottom w:val="single" w:color="auto" w:sz="4" w:space="0"/>
            </w:tcBorders>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翘曲度</w:t>
            </w:r>
            <w:bookmarkStart w:id="12" w:name="OLE_LINK8"/>
            <w:bookmarkStart w:id="13" w:name="OLE_LINK9"/>
            <w:bookmarkStart w:id="14" w:name="OLE_LINK11"/>
            <w:bookmarkStart w:id="15" w:name="OLE_LINK10"/>
            <w:bookmarkStart w:id="16" w:name="OLE_LINK12"/>
            <w:r>
              <w:rPr>
                <w:rFonts w:hint="eastAsia" w:ascii="宋体"/>
                <w:kern w:val="0"/>
                <w:szCs w:val="20"/>
              </w:rPr>
              <w:t>，μ</w:t>
            </w:r>
            <w:r>
              <w:rPr>
                <w:rFonts w:ascii="宋体"/>
                <w:kern w:val="0"/>
                <w:szCs w:val="20"/>
              </w:rPr>
              <w:t xml:space="preserve">m </w:t>
            </w:r>
            <w:bookmarkEnd w:id="12"/>
            <w:bookmarkEnd w:id="13"/>
            <w:bookmarkEnd w:id="14"/>
            <w:bookmarkEnd w:id="15"/>
            <w:bookmarkEnd w:id="16"/>
            <w:r>
              <w:rPr>
                <w:rFonts w:ascii="宋体"/>
                <w:kern w:val="0"/>
                <w:szCs w:val="20"/>
              </w:rPr>
              <w:t xml:space="preserve"> </w:t>
            </w:r>
          </w:p>
        </w:tc>
        <w:tc>
          <w:tcPr>
            <w:tcW w:w="863" w:type="pct"/>
            <w:tcBorders>
              <w:bottom w:val="single" w:color="auto" w:sz="4" w:space="0"/>
              <w:righ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≤4</w:t>
            </w:r>
            <w:r>
              <w:rPr>
                <w:rFonts w:ascii="宋体"/>
                <w:kern w:val="0"/>
                <w:szCs w:val="20"/>
              </w:rPr>
              <w:t>0</w:t>
            </w:r>
          </w:p>
        </w:tc>
        <w:tc>
          <w:tcPr>
            <w:tcW w:w="2302" w:type="pct"/>
            <w:gridSpan w:val="2"/>
            <w:tcBorders>
              <w:left w:val="single" w:color="auto" w:sz="4" w:space="0"/>
              <w:bottom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≤4</w:t>
            </w:r>
            <w:r>
              <w:rPr>
                <w:rFonts w:ascii="宋体"/>
                <w:kern w:val="0"/>
                <w:szCs w:val="2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trPr>
        <w:tc>
          <w:tcPr>
            <w:tcW w:w="1835" w:type="pct"/>
            <w:gridSpan w:val="2"/>
            <w:tcBorders>
              <w:top w:val="single" w:color="auto" w:sz="4" w:space="0"/>
              <w:bottom w:val="single" w:color="auto" w:sz="4" w:space="0"/>
            </w:tcBorders>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总平整度，μ</w:t>
            </w:r>
            <w:r>
              <w:rPr>
                <w:rFonts w:ascii="宋体"/>
                <w:kern w:val="0"/>
                <w:szCs w:val="20"/>
              </w:rPr>
              <w:t>m</w:t>
            </w:r>
          </w:p>
        </w:tc>
        <w:tc>
          <w:tcPr>
            <w:tcW w:w="863" w:type="pct"/>
            <w:tcBorders>
              <w:top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≤3</w:t>
            </w:r>
          </w:p>
        </w:tc>
        <w:tc>
          <w:tcPr>
            <w:tcW w:w="2302" w:type="pct"/>
            <w:gridSpan w:val="2"/>
            <w:tcBorders>
              <w:top w:val="single" w:color="auto" w:sz="4" w:space="0"/>
              <w:left w:val="single" w:color="auto" w:sz="4" w:space="0"/>
              <w:bottom w:val="single" w:color="auto" w:sz="4" w:space="0"/>
            </w:tcBorders>
            <w:vAlign w:val="center"/>
          </w:tcPr>
          <w:p>
            <w:pPr>
              <w:widowControl/>
              <w:tabs>
                <w:tab w:val="center" w:pos="4201"/>
                <w:tab w:val="right" w:leader="dot" w:pos="9298"/>
              </w:tabs>
              <w:autoSpaceDE w:val="0"/>
              <w:autoSpaceDN w:val="0"/>
              <w:ind w:firstLine="630" w:firstLineChars="300"/>
              <w:jc w:val="center"/>
              <w:rPr>
                <w:rFonts w:ascii="宋体"/>
                <w:kern w:val="0"/>
                <w:szCs w:val="20"/>
              </w:rPr>
            </w:pPr>
            <w:r>
              <w:rPr>
                <w:rFonts w:hint="eastAsia" w:ascii="宋体"/>
                <w:kern w:val="0"/>
                <w:szCs w:val="20"/>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837" w:type="pct"/>
            <w:vMerge w:val="restart"/>
            <w:tcBorders>
              <w:top w:val="single" w:color="auto" w:sz="4" w:space="0"/>
            </w:tcBorders>
            <w:vAlign w:val="center"/>
          </w:tcPr>
          <w:p>
            <w:pPr>
              <w:widowControl/>
              <w:tabs>
                <w:tab w:val="center" w:pos="4201"/>
                <w:tab w:val="right" w:leader="dot" w:pos="9298"/>
              </w:tabs>
              <w:autoSpaceDE w:val="0"/>
              <w:autoSpaceDN w:val="0"/>
              <w:rPr>
                <w:rFonts w:ascii="宋体"/>
                <w:kern w:val="0"/>
                <w:szCs w:val="20"/>
              </w:rPr>
            </w:pPr>
            <w:r>
              <w:rPr>
                <w:rFonts w:hint="eastAsia" w:ascii="宋体"/>
                <w:kern w:val="0"/>
                <w:szCs w:val="20"/>
              </w:rPr>
              <w:t>局部平整度</w:t>
            </w:r>
          </w:p>
          <w:p>
            <w:pPr>
              <w:widowControl/>
              <w:tabs>
                <w:tab w:val="center" w:pos="4201"/>
                <w:tab w:val="right" w:leader="dot" w:pos="9298"/>
              </w:tabs>
              <w:autoSpaceDE w:val="0"/>
              <w:autoSpaceDN w:val="0"/>
              <w:rPr>
                <w:rFonts w:ascii="宋体"/>
                <w:kern w:val="0"/>
                <w:szCs w:val="20"/>
              </w:rPr>
            </w:pPr>
            <w:r>
              <w:rPr>
                <w:rFonts w:hint="eastAsia" w:ascii="宋体"/>
                <w:kern w:val="0"/>
                <w:szCs w:val="20"/>
              </w:rPr>
              <w:t>μ</w:t>
            </w:r>
            <w:r>
              <w:rPr>
                <w:rFonts w:ascii="宋体"/>
                <w:kern w:val="0"/>
                <w:szCs w:val="20"/>
              </w:rPr>
              <w:t>m</w:t>
            </w:r>
            <w:r>
              <w:rPr>
                <w:rFonts w:hint="eastAsia" w:ascii="宋体"/>
                <w:kern w:val="0"/>
                <w:szCs w:val="20"/>
              </w:rPr>
              <w:t>，边缘扩展，PUA100%</w:t>
            </w:r>
          </w:p>
        </w:tc>
        <w:tc>
          <w:tcPr>
            <w:tcW w:w="998" w:type="pct"/>
            <w:tcBorders>
              <w:top w:val="single" w:color="auto" w:sz="4" w:space="0"/>
              <w:bottom w:val="single" w:color="auto" w:sz="4" w:space="0"/>
            </w:tcBorders>
            <w:vAlign w:val="center"/>
          </w:tcPr>
          <w:p>
            <w:pPr>
              <w:widowControl/>
              <w:tabs>
                <w:tab w:val="center" w:pos="4201"/>
                <w:tab w:val="right" w:leader="dot" w:pos="9298"/>
              </w:tabs>
              <w:autoSpaceDE w:val="0"/>
              <w:autoSpaceDN w:val="0"/>
              <w:rPr>
                <w:rFonts w:ascii="宋体"/>
                <w:kern w:val="0"/>
                <w:szCs w:val="20"/>
              </w:rPr>
            </w:pPr>
            <w:r>
              <w:rPr>
                <w:rFonts w:hint="eastAsia" w:ascii="宋体"/>
                <w:kern w:val="0"/>
                <w:szCs w:val="20"/>
              </w:rPr>
              <w:t>SBIR</w:t>
            </w:r>
          </w:p>
          <w:p>
            <w:pPr>
              <w:widowControl/>
              <w:tabs>
                <w:tab w:val="center" w:pos="4201"/>
                <w:tab w:val="right" w:leader="dot" w:pos="9298"/>
              </w:tabs>
              <w:autoSpaceDE w:val="0"/>
              <w:autoSpaceDN w:val="0"/>
              <w:rPr>
                <w:rFonts w:ascii="宋体"/>
                <w:kern w:val="0"/>
                <w:szCs w:val="20"/>
              </w:rPr>
            </w:pPr>
            <w:r>
              <w:rPr>
                <w:rFonts w:hint="eastAsia" w:ascii="宋体"/>
                <w:kern w:val="0"/>
                <w:szCs w:val="20"/>
              </w:rPr>
              <w:t>(25mmx25mm)</w:t>
            </w:r>
          </w:p>
        </w:tc>
        <w:tc>
          <w:tcPr>
            <w:tcW w:w="863" w:type="pct"/>
            <w:tcBorders>
              <w:top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ind w:firstLine="105" w:firstLineChars="50"/>
              <w:jc w:val="left"/>
              <w:rPr>
                <w:rFonts w:ascii="宋体"/>
                <w:kern w:val="0"/>
                <w:szCs w:val="20"/>
              </w:rPr>
            </w:pPr>
            <w:r>
              <w:rPr>
                <w:rFonts w:hint="eastAsia" w:ascii="宋体"/>
                <w:kern w:val="0"/>
                <w:szCs w:val="20"/>
              </w:rPr>
              <w:t>≤0.8</w:t>
            </w:r>
          </w:p>
        </w:tc>
        <w:tc>
          <w:tcPr>
            <w:tcW w:w="1263" w:type="pct"/>
            <w:tcBorders>
              <w:top w:val="single" w:color="auto" w:sz="4" w:space="0"/>
              <w:left w:val="single" w:color="auto" w:sz="4" w:space="0"/>
            </w:tcBorders>
            <w:vAlign w:val="center"/>
          </w:tcPr>
          <w:p>
            <w:pPr>
              <w:widowControl/>
              <w:tabs>
                <w:tab w:val="center" w:pos="4201"/>
                <w:tab w:val="right" w:leader="dot" w:pos="9298"/>
              </w:tabs>
              <w:autoSpaceDE w:val="0"/>
              <w:autoSpaceDN w:val="0"/>
              <w:rPr>
                <w:rFonts w:ascii="宋体"/>
                <w:kern w:val="0"/>
                <w:sz w:val="20"/>
                <w:szCs w:val="20"/>
              </w:rPr>
            </w:pPr>
            <w:r>
              <w:rPr>
                <w:rFonts w:hint="eastAsia" w:ascii="宋体"/>
                <w:kern w:val="0"/>
                <w:sz w:val="20"/>
                <w:szCs w:val="20"/>
              </w:rPr>
              <w:t>SBIR</w:t>
            </w:r>
          </w:p>
          <w:p>
            <w:pPr>
              <w:widowControl/>
              <w:tabs>
                <w:tab w:val="center" w:pos="4201"/>
                <w:tab w:val="right" w:leader="dot" w:pos="9298"/>
              </w:tabs>
              <w:autoSpaceDE w:val="0"/>
              <w:autoSpaceDN w:val="0"/>
              <w:rPr>
                <w:rFonts w:ascii="宋体"/>
                <w:kern w:val="0"/>
                <w:sz w:val="20"/>
                <w:szCs w:val="20"/>
              </w:rPr>
            </w:pPr>
            <w:r>
              <w:rPr>
                <w:rFonts w:hint="eastAsia" w:ascii="宋体"/>
                <w:kern w:val="0"/>
                <w:sz w:val="20"/>
                <w:szCs w:val="20"/>
              </w:rPr>
              <w:t>(26mmx33mm)</w:t>
            </w:r>
          </w:p>
        </w:tc>
        <w:tc>
          <w:tcPr>
            <w:tcW w:w="1039" w:type="pct"/>
            <w:tcBorders>
              <w:top w:val="single" w:color="auto" w:sz="4" w:space="0"/>
              <w:left w:val="single" w:color="auto" w:sz="4" w:space="0"/>
              <w:bottom w:val="single" w:color="auto" w:sz="4" w:space="0"/>
            </w:tcBorders>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trPr>
        <w:tc>
          <w:tcPr>
            <w:tcW w:w="837" w:type="pct"/>
            <w:vMerge w:val="continue"/>
            <w:tcBorders>
              <w:bottom w:val="single" w:color="auto" w:sz="4" w:space="0"/>
            </w:tcBorders>
            <w:vAlign w:val="center"/>
          </w:tcPr>
          <w:p>
            <w:pPr>
              <w:widowControl/>
              <w:tabs>
                <w:tab w:val="center" w:pos="4201"/>
                <w:tab w:val="right" w:leader="dot" w:pos="9298"/>
              </w:tabs>
              <w:autoSpaceDE w:val="0"/>
              <w:autoSpaceDN w:val="0"/>
              <w:ind w:firstLine="630" w:firstLineChars="300"/>
              <w:rPr>
                <w:rFonts w:ascii="宋体"/>
                <w:kern w:val="0"/>
                <w:szCs w:val="20"/>
              </w:rPr>
            </w:pPr>
          </w:p>
        </w:tc>
        <w:tc>
          <w:tcPr>
            <w:tcW w:w="998" w:type="pct"/>
            <w:tcBorders>
              <w:top w:val="single" w:color="auto" w:sz="4" w:space="0"/>
              <w:bottom w:val="single" w:color="auto" w:sz="4" w:space="0"/>
            </w:tcBorders>
            <w:vAlign w:val="center"/>
          </w:tcPr>
          <w:p>
            <w:pPr>
              <w:widowControl/>
              <w:tabs>
                <w:tab w:val="center" w:pos="4201"/>
                <w:tab w:val="right" w:leader="dot" w:pos="9298"/>
              </w:tabs>
              <w:autoSpaceDE w:val="0"/>
              <w:autoSpaceDN w:val="0"/>
              <w:rPr>
                <w:rFonts w:ascii="宋体"/>
                <w:kern w:val="0"/>
                <w:szCs w:val="20"/>
              </w:rPr>
            </w:pPr>
            <w:r>
              <w:rPr>
                <w:rFonts w:hint="eastAsia" w:ascii="宋体"/>
                <w:kern w:val="0"/>
                <w:szCs w:val="20"/>
              </w:rPr>
              <w:t>SFQR</w:t>
            </w:r>
          </w:p>
          <w:p>
            <w:pPr>
              <w:widowControl/>
              <w:tabs>
                <w:tab w:val="center" w:pos="4201"/>
                <w:tab w:val="right" w:leader="dot" w:pos="9298"/>
              </w:tabs>
              <w:autoSpaceDE w:val="0"/>
              <w:autoSpaceDN w:val="0"/>
              <w:rPr>
                <w:rFonts w:ascii="宋体"/>
                <w:kern w:val="0"/>
                <w:szCs w:val="20"/>
              </w:rPr>
            </w:pPr>
            <w:r>
              <w:rPr>
                <w:rFonts w:hint="eastAsia" w:ascii="宋体"/>
                <w:kern w:val="0"/>
                <w:szCs w:val="20"/>
              </w:rPr>
              <w:t>(25mmx25mm)</w:t>
            </w:r>
          </w:p>
        </w:tc>
        <w:tc>
          <w:tcPr>
            <w:tcW w:w="863" w:type="pct"/>
            <w:tcBorders>
              <w:top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ind w:firstLine="105" w:firstLineChars="50"/>
              <w:jc w:val="left"/>
              <w:rPr>
                <w:rFonts w:ascii="宋体"/>
                <w:kern w:val="0"/>
                <w:szCs w:val="20"/>
              </w:rPr>
            </w:pPr>
            <w:r>
              <w:rPr>
                <w:rFonts w:hint="eastAsia" w:ascii="宋体"/>
                <w:kern w:val="0"/>
                <w:szCs w:val="20"/>
              </w:rPr>
              <w:t>≤0.3</w:t>
            </w:r>
          </w:p>
        </w:tc>
        <w:tc>
          <w:tcPr>
            <w:tcW w:w="1263" w:type="pct"/>
            <w:tcBorders>
              <w:left w:val="single" w:color="auto" w:sz="4" w:space="0"/>
              <w:bottom w:val="single" w:color="auto" w:sz="4" w:space="0"/>
            </w:tcBorders>
            <w:vAlign w:val="center"/>
          </w:tcPr>
          <w:p>
            <w:pPr>
              <w:widowControl/>
              <w:tabs>
                <w:tab w:val="center" w:pos="4201"/>
                <w:tab w:val="right" w:leader="dot" w:pos="9298"/>
              </w:tabs>
              <w:autoSpaceDE w:val="0"/>
              <w:autoSpaceDN w:val="0"/>
              <w:rPr>
                <w:rFonts w:ascii="宋体"/>
                <w:kern w:val="0"/>
                <w:sz w:val="20"/>
                <w:szCs w:val="20"/>
              </w:rPr>
            </w:pPr>
            <w:r>
              <w:rPr>
                <w:rFonts w:hint="eastAsia" w:ascii="宋体"/>
                <w:kern w:val="0"/>
                <w:sz w:val="20"/>
                <w:szCs w:val="20"/>
              </w:rPr>
              <w:t>SFQR</w:t>
            </w:r>
          </w:p>
          <w:p>
            <w:pPr>
              <w:widowControl/>
              <w:tabs>
                <w:tab w:val="center" w:pos="4201"/>
                <w:tab w:val="right" w:leader="dot" w:pos="9298"/>
              </w:tabs>
              <w:autoSpaceDE w:val="0"/>
              <w:autoSpaceDN w:val="0"/>
              <w:rPr>
                <w:rFonts w:ascii="宋体"/>
                <w:kern w:val="0"/>
                <w:sz w:val="20"/>
                <w:szCs w:val="20"/>
              </w:rPr>
            </w:pPr>
            <w:r>
              <w:rPr>
                <w:rFonts w:hint="eastAsia" w:ascii="宋体"/>
                <w:kern w:val="0"/>
                <w:sz w:val="20"/>
                <w:szCs w:val="20"/>
              </w:rPr>
              <w:t>(26mmx33mm)</w:t>
            </w:r>
          </w:p>
        </w:tc>
        <w:tc>
          <w:tcPr>
            <w:tcW w:w="1039" w:type="pct"/>
            <w:tcBorders>
              <w:top w:val="single" w:color="auto" w:sz="4" w:space="0"/>
              <w:left w:val="single" w:color="auto" w:sz="4" w:space="0"/>
              <w:bottom w:val="single" w:color="auto" w:sz="4" w:space="0"/>
            </w:tcBorders>
            <w:vAlign w:val="center"/>
          </w:tcPr>
          <w:p>
            <w:pPr>
              <w:widowControl/>
              <w:tabs>
                <w:tab w:val="center" w:pos="4201"/>
                <w:tab w:val="right" w:leader="dot" w:pos="9298"/>
              </w:tabs>
              <w:autoSpaceDE w:val="0"/>
              <w:autoSpaceDN w:val="0"/>
              <w:ind w:firstLine="630" w:firstLineChars="300"/>
              <w:rPr>
                <w:rFonts w:ascii="宋体"/>
                <w:kern w:val="0"/>
                <w:szCs w:val="20"/>
              </w:rPr>
            </w:pPr>
            <w:r>
              <w:rPr>
                <w:rFonts w:hint="eastAsia" w:ascii="宋体"/>
                <w:kern w:val="0"/>
                <w:szCs w:val="20"/>
              </w:rPr>
              <w:t>≤0.1</w:t>
            </w:r>
          </w:p>
        </w:tc>
      </w:tr>
    </w:tbl>
    <w:p>
      <w:pPr>
        <w:pStyle w:val="45"/>
        <w:spacing w:before="156" w:after="156"/>
        <w:rPr>
          <w:rFonts w:ascii="宋体"/>
        </w:rPr>
      </w:pPr>
      <w:r>
        <w:rPr>
          <w:rFonts w:hint="eastAsia"/>
        </w:rPr>
        <w:t>4.3缺陷</w:t>
      </w:r>
    </w:p>
    <w:p>
      <w:pPr>
        <w:widowControl/>
        <w:numPr>
          <w:ilvl w:val="2"/>
          <w:numId w:val="0"/>
        </w:numPr>
        <w:jc w:val="left"/>
        <w:outlineLvl w:val="3"/>
        <w:rPr>
          <w:rFonts w:ascii="宋体"/>
          <w:kern w:val="0"/>
          <w:szCs w:val="21"/>
        </w:rPr>
      </w:pPr>
      <w:r>
        <w:rPr>
          <w:rFonts w:hint="eastAsia" w:ascii="黑体" w:hAnsi="黑体" w:eastAsia="黑体"/>
          <w:kern w:val="0"/>
          <w:szCs w:val="21"/>
        </w:rPr>
        <w:t xml:space="preserve">4.3.1 </w:t>
      </w:r>
      <w:r>
        <w:rPr>
          <w:rFonts w:hint="eastAsia" w:asciiTheme="minorEastAsia" w:hAnsiTheme="minorEastAsia" w:eastAsiaTheme="minorEastAsia"/>
          <w:kern w:val="0"/>
          <w:szCs w:val="21"/>
        </w:rPr>
        <w:t>Low</w:t>
      </w:r>
      <w:r>
        <w:rPr>
          <w:rFonts w:hint="eastAsia" w:ascii="黑体" w:hAnsi="黑体" w:eastAsia="黑体"/>
          <w:kern w:val="0"/>
          <w:szCs w:val="21"/>
        </w:rPr>
        <w:t>-</w:t>
      </w:r>
      <w:r>
        <w:rPr>
          <w:rFonts w:hint="eastAsia" w:ascii="宋体"/>
          <w:kern w:val="0"/>
          <w:szCs w:val="21"/>
        </w:rPr>
        <w:t>COP抛光片的晶体完整性应符合</w:t>
      </w:r>
      <w:r>
        <w:rPr>
          <w:rFonts w:ascii="宋体"/>
          <w:kern w:val="0"/>
          <w:szCs w:val="21"/>
        </w:rPr>
        <w:t>GB/</w:t>
      </w:r>
      <w:r>
        <w:rPr>
          <w:rFonts w:hint="eastAsia" w:ascii="宋体"/>
          <w:kern w:val="0"/>
          <w:szCs w:val="21"/>
        </w:rPr>
        <w:t xml:space="preserve">T </w:t>
      </w:r>
      <w:r>
        <w:rPr>
          <w:rFonts w:ascii="宋体"/>
          <w:kern w:val="0"/>
          <w:szCs w:val="21"/>
        </w:rPr>
        <w:t>12962</w:t>
      </w:r>
      <w:r>
        <w:rPr>
          <w:rFonts w:hint="eastAsia"/>
        </w:rPr>
        <w:t>或GB/T 29504的规定</w:t>
      </w:r>
      <w:r>
        <w:rPr>
          <w:rFonts w:hint="eastAsia" w:ascii="宋体"/>
          <w:kern w:val="0"/>
          <w:szCs w:val="21"/>
        </w:rPr>
        <w:t>。</w:t>
      </w:r>
    </w:p>
    <w:p>
      <w:pPr>
        <w:spacing w:line="360" w:lineRule="auto"/>
      </w:pPr>
      <w:r>
        <w:rPr>
          <w:rFonts w:hint="eastAsia" w:ascii="黑体" w:hAnsi="黑体" w:eastAsia="黑体"/>
        </w:rPr>
        <w:t xml:space="preserve">4.3.2 </w:t>
      </w:r>
      <w:r>
        <w:rPr>
          <w:rFonts w:hint="eastAsia" w:asciiTheme="minorEastAsia" w:hAnsiTheme="minorEastAsia" w:eastAsiaTheme="minorEastAsia"/>
        </w:rPr>
        <w:t>Low-COP抛光片的</w:t>
      </w:r>
      <w:r>
        <w:rPr>
          <w:rFonts w:hint="eastAsia"/>
        </w:rPr>
        <w:t>氧化诱生缺陷不大于10个/cm</w:t>
      </w:r>
      <w:r>
        <w:rPr>
          <w:rFonts w:hint="eastAsia"/>
          <w:vertAlign w:val="superscript"/>
        </w:rPr>
        <w:t>2</w:t>
      </w:r>
      <w:r>
        <w:rPr>
          <w:rFonts w:hint="eastAsia"/>
        </w:rPr>
        <w:t>，或由供需双方协商确定。</w:t>
      </w:r>
    </w:p>
    <w:p>
      <w:pPr>
        <w:pStyle w:val="45"/>
        <w:spacing w:before="156" w:after="156"/>
      </w:pPr>
      <w:r>
        <w:rPr>
          <w:rFonts w:hint="eastAsia"/>
        </w:rPr>
        <w:t>4.4表面质量</w:t>
      </w:r>
    </w:p>
    <w:p>
      <w:pPr>
        <w:pStyle w:val="22"/>
      </w:pPr>
      <w:r>
        <w:rPr>
          <w:rFonts w:hint="eastAsia"/>
        </w:rPr>
        <w:t>Low-COP抛光片的表面质量应符合表2的规定，其中对LLS和COP的要求可由供需双方协商确定。</w:t>
      </w:r>
    </w:p>
    <w:p>
      <w:pPr>
        <w:pStyle w:val="129"/>
        <w:spacing w:before="156" w:after="156"/>
        <w:ind w:firstLine="3360" w:firstLineChars="1600"/>
        <w:jc w:val="both"/>
      </w:pPr>
      <w:r>
        <w:rPr>
          <w:rFonts w:hint="eastAsia"/>
        </w:rPr>
        <w:t>表2 表面质量目检要求</w:t>
      </w:r>
    </w:p>
    <w:tbl>
      <w:tblPr>
        <w:tblStyle w:val="32"/>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78"/>
        <w:gridCol w:w="850"/>
        <w:gridCol w:w="1276"/>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Merge w:val="restart"/>
            <w:vAlign w:val="center"/>
          </w:tcPr>
          <w:p>
            <w:pPr>
              <w:adjustRightInd w:val="0"/>
              <w:spacing w:before="60" w:line="360" w:lineRule="atLeast"/>
              <w:jc w:val="center"/>
              <w:textAlignment w:val="baseline"/>
              <w:rPr>
                <w:rFonts w:ascii="宋体"/>
                <w:kern w:val="0"/>
                <w:sz w:val="18"/>
                <w:szCs w:val="18"/>
              </w:rPr>
            </w:pPr>
          </w:p>
          <w:p>
            <w:pPr>
              <w:adjustRightInd w:val="0"/>
              <w:spacing w:before="60" w:line="360" w:lineRule="atLeast"/>
              <w:jc w:val="center"/>
              <w:textAlignment w:val="baseline"/>
              <w:rPr>
                <w:rFonts w:ascii="宋体"/>
                <w:kern w:val="0"/>
                <w:sz w:val="18"/>
                <w:szCs w:val="18"/>
              </w:rPr>
            </w:pPr>
          </w:p>
          <w:p>
            <w:pPr>
              <w:adjustRightInd w:val="0"/>
              <w:spacing w:before="60" w:line="360" w:lineRule="atLeast"/>
              <w:jc w:val="center"/>
              <w:textAlignment w:val="baseline"/>
              <w:rPr>
                <w:rFonts w:ascii="宋体"/>
                <w:kern w:val="0"/>
                <w:sz w:val="18"/>
                <w:szCs w:val="18"/>
              </w:rPr>
            </w:pPr>
          </w:p>
          <w:p>
            <w:pPr>
              <w:adjustRightInd w:val="0"/>
              <w:spacing w:before="60" w:line="360" w:lineRule="atLeast"/>
              <w:jc w:val="center"/>
              <w:textAlignment w:val="baseline"/>
              <w:rPr>
                <w:rFonts w:ascii="宋体"/>
                <w:kern w:val="0"/>
                <w:sz w:val="18"/>
                <w:szCs w:val="18"/>
              </w:rPr>
            </w:pPr>
          </w:p>
          <w:p>
            <w:pPr>
              <w:adjustRightInd w:val="0"/>
              <w:spacing w:before="60" w:line="360" w:lineRule="atLeast"/>
              <w:jc w:val="center"/>
              <w:textAlignment w:val="baseline"/>
              <w:rPr>
                <w:rFonts w:ascii="宋体"/>
                <w:kern w:val="0"/>
                <w:sz w:val="18"/>
                <w:szCs w:val="18"/>
              </w:rPr>
            </w:pPr>
          </w:p>
          <w:p>
            <w:pPr>
              <w:adjustRightInd w:val="0"/>
              <w:spacing w:before="60" w:line="360" w:lineRule="atLeast"/>
              <w:jc w:val="center"/>
              <w:textAlignment w:val="baseline"/>
              <w:rPr>
                <w:rFonts w:ascii="宋体"/>
                <w:kern w:val="0"/>
                <w:sz w:val="18"/>
                <w:szCs w:val="18"/>
              </w:rPr>
            </w:pPr>
            <w:r>
              <w:rPr>
                <w:rFonts w:hint="eastAsia" w:ascii="宋体"/>
                <w:kern w:val="0"/>
                <w:sz w:val="18"/>
                <w:szCs w:val="18"/>
              </w:rPr>
              <w:t>正</w:t>
            </w:r>
          </w:p>
          <w:p>
            <w:pPr>
              <w:adjustRightInd w:val="0"/>
              <w:spacing w:before="60" w:line="360" w:lineRule="atLeast"/>
              <w:jc w:val="center"/>
              <w:textAlignment w:val="baseline"/>
              <w:rPr>
                <w:rFonts w:ascii="宋体"/>
                <w:kern w:val="0"/>
                <w:sz w:val="18"/>
                <w:szCs w:val="18"/>
              </w:rPr>
            </w:pPr>
          </w:p>
          <w:p>
            <w:pPr>
              <w:adjustRightInd w:val="0"/>
              <w:spacing w:before="60" w:line="360" w:lineRule="atLeast"/>
              <w:jc w:val="center"/>
              <w:textAlignment w:val="baseline"/>
              <w:rPr>
                <w:rFonts w:ascii="宋体"/>
                <w:kern w:val="0"/>
                <w:sz w:val="18"/>
                <w:szCs w:val="18"/>
              </w:rPr>
            </w:pPr>
            <w:r>
              <w:rPr>
                <w:rFonts w:hint="eastAsia" w:ascii="宋体"/>
                <w:kern w:val="0"/>
                <w:sz w:val="18"/>
                <w:szCs w:val="18"/>
              </w:rPr>
              <w:t>表</w:t>
            </w:r>
          </w:p>
          <w:p>
            <w:pPr>
              <w:adjustRightInd w:val="0"/>
              <w:spacing w:before="60" w:line="360" w:lineRule="atLeast"/>
              <w:jc w:val="center"/>
              <w:textAlignment w:val="baseline"/>
              <w:rPr>
                <w:rFonts w:ascii="宋体"/>
                <w:kern w:val="0"/>
                <w:sz w:val="18"/>
                <w:szCs w:val="18"/>
              </w:rPr>
            </w:pPr>
          </w:p>
          <w:p>
            <w:pPr>
              <w:adjustRightInd w:val="0"/>
              <w:spacing w:before="60" w:line="360" w:lineRule="atLeast"/>
              <w:jc w:val="center"/>
              <w:textAlignment w:val="baseline"/>
              <w:rPr>
                <w:rFonts w:ascii="宋体"/>
                <w:kern w:val="0"/>
                <w:sz w:val="18"/>
                <w:szCs w:val="18"/>
              </w:rPr>
            </w:pPr>
            <w:r>
              <w:rPr>
                <w:rFonts w:hint="eastAsia" w:ascii="宋体"/>
                <w:kern w:val="0"/>
                <w:sz w:val="18"/>
                <w:szCs w:val="18"/>
              </w:rPr>
              <w:t>面</w:t>
            </w:r>
          </w:p>
          <w:p>
            <w:pPr>
              <w:adjustRightInd w:val="0"/>
              <w:spacing w:before="240" w:line="360" w:lineRule="atLeast"/>
              <w:jc w:val="center"/>
              <w:textAlignment w:val="baseline"/>
              <w:rPr>
                <w:rFonts w:ascii="宋体"/>
                <w:kern w:val="0"/>
                <w:sz w:val="18"/>
                <w:szCs w:val="18"/>
              </w:rPr>
            </w:pPr>
          </w:p>
          <w:p>
            <w:pPr>
              <w:adjustRightInd w:val="0"/>
              <w:spacing w:before="240" w:line="360" w:lineRule="atLeast"/>
              <w:jc w:val="center"/>
              <w:textAlignment w:val="baseline"/>
              <w:rPr>
                <w:rFonts w:ascii="宋体"/>
                <w:kern w:val="0"/>
                <w:sz w:val="18"/>
                <w:szCs w:val="18"/>
              </w:rPr>
            </w:pPr>
          </w:p>
          <w:p>
            <w:pPr>
              <w:adjustRightInd w:val="0"/>
              <w:spacing w:before="240" w:line="360" w:lineRule="atLeast"/>
              <w:jc w:val="center"/>
              <w:textAlignment w:val="baseline"/>
              <w:rPr>
                <w:rFonts w:ascii="宋体"/>
                <w:kern w:val="0"/>
                <w:sz w:val="18"/>
                <w:szCs w:val="18"/>
              </w:rPr>
            </w:pPr>
          </w:p>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序 号</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项目</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1</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划伤</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ascii="宋体"/>
                <w:kern w:val="0"/>
                <w:sz w:val="18"/>
                <w:szCs w:val="18"/>
              </w:rPr>
              <w:t>2</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蚀坑</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ascii="宋体"/>
                <w:kern w:val="0"/>
                <w:sz w:val="18"/>
                <w:szCs w:val="18"/>
              </w:rPr>
              <w:t>3</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雾</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Merge w:val="restart"/>
            <w:vAlign w:val="center"/>
          </w:tcPr>
          <w:p>
            <w:pPr>
              <w:adjustRightInd w:val="0"/>
              <w:spacing w:line="360" w:lineRule="atLeast"/>
              <w:jc w:val="center"/>
              <w:textAlignment w:val="baseline"/>
              <w:rPr>
                <w:rFonts w:ascii="宋体"/>
                <w:kern w:val="0"/>
                <w:sz w:val="18"/>
                <w:szCs w:val="18"/>
              </w:rPr>
            </w:pPr>
            <w:r>
              <w:rPr>
                <w:rFonts w:ascii="宋体"/>
                <w:kern w:val="0"/>
                <w:sz w:val="18"/>
                <w:szCs w:val="18"/>
              </w:rPr>
              <w:t>4</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硅片直径</w:t>
            </w:r>
            <w:r>
              <w:rPr>
                <w:rFonts w:ascii="宋体"/>
                <w:kern w:val="0"/>
                <w:sz w:val="18"/>
                <w:szCs w:val="18"/>
              </w:rPr>
              <w:t>mm</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200</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3</w:t>
            </w:r>
            <w:r>
              <w:rPr>
                <w:rFonts w:ascii="宋体"/>
                <w:kern w:val="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Merge w:val="continue"/>
            <w:vAlign w:val="center"/>
          </w:tcPr>
          <w:p>
            <w:pPr>
              <w:adjustRightInd w:val="0"/>
              <w:spacing w:line="360" w:lineRule="atLeast"/>
              <w:ind w:firstLine="420"/>
              <w:jc w:val="center"/>
              <w:textAlignment w:val="baseline"/>
              <w:rPr>
                <w:rFonts w:ascii="宋体"/>
                <w:kern w:val="0"/>
                <w:sz w:val="18"/>
                <w:szCs w:val="18"/>
              </w:rPr>
            </w:pPr>
          </w:p>
        </w:tc>
        <w:tc>
          <w:tcPr>
            <w:tcW w:w="850" w:type="dxa"/>
            <w:vMerge w:val="restart"/>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局部光散射体（LLS）个</w:t>
            </w:r>
            <w:r>
              <w:rPr>
                <w:rFonts w:ascii="宋体"/>
                <w:kern w:val="0"/>
                <w:sz w:val="18"/>
                <w:szCs w:val="18"/>
              </w:rPr>
              <w:t>/</w:t>
            </w:r>
            <w:r>
              <w:rPr>
                <w:rFonts w:hint="eastAsia" w:ascii="宋体"/>
                <w:kern w:val="0"/>
                <w:sz w:val="18"/>
                <w:szCs w:val="18"/>
              </w:rPr>
              <w:t>片</w:t>
            </w:r>
          </w:p>
          <w:p>
            <w:pPr>
              <w:adjustRightInd w:val="0"/>
              <w:spacing w:line="360" w:lineRule="atLeast"/>
              <w:jc w:val="center"/>
              <w:textAlignment w:val="baseline"/>
              <w:rPr>
                <w:rFonts w:ascii="宋体"/>
                <w:kern w:val="0"/>
                <w:sz w:val="18"/>
                <w:szCs w:val="18"/>
              </w:rPr>
            </w:pPr>
          </w:p>
        </w:tc>
        <w:tc>
          <w:tcPr>
            <w:tcW w:w="1276"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≥0.12</w:t>
            </w:r>
            <w:r>
              <w:rPr>
                <w:rFonts w:hint="eastAsia" w:ascii="宋体" w:hAnsi="宋体"/>
                <w:kern w:val="0"/>
                <w:sz w:val="18"/>
                <w:szCs w:val="18"/>
              </w:rPr>
              <w:t>μm</w:t>
            </w:r>
            <w:r>
              <w:rPr>
                <w:rFonts w:ascii="宋体"/>
                <w:kern w:val="0"/>
                <w:sz w:val="18"/>
                <w:szCs w:val="18"/>
              </w:rPr>
              <w:t xml:space="preserve"> </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&lt;25</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Merge w:val="continue"/>
            <w:vAlign w:val="center"/>
          </w:tcPr>
          <w:p>
            <w:pPr>
              <w:adjustRightInd w:val="0"/>
              <w:spacing w:line="360" w:lineRule="atLeast"/>
              <w:ind w:firstLine="420"/>
              <w:jc w:val="center"/>
              <w:textAlignment w:val="baseline"/>
              <w:rPr>
                <w:rFonts w:ascii="宋体"/>
                <w:kern w:val="0"/>
                <w:sz w:val="18"/>
                <w:szCs w:val="18"/>
              </w:rPr>
            </w:pPr>
          </w:p>
        </w:tc>
        <w:tc>
          <w:tcPr>
            <w:tcW w:w="850" w:type="dxa"/>
            <w:vMerge w:val="continue"/>
            <w:vAlign w:val="center"/>
          </w:tcPr>
          <w:p>
            <w:pPr>
              <w:adjustRightInd w:val="0"/>
              <w:spacing w:line="360" w:lineRule="atLeast"/>
              <w:jc w:val="center"/>
              <w:textAlignment w:val="baseline"/>
              <w:rPr>
                <w:rFonts w:ascii="宋体"/>
                <w:kern w:val="0"/>
                <w:sz w:val="18"/>
                <w:szCs w:val="18"/>
              </w:rPr>
            </w:pPr>
          </w:p>
        </w:tc>
        <w:tc>
          <w:tcPr>
            <w:tcW w:w="1276"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≥0.2</w:t>
            </w:r>
            <w:r>
              <w:rPr>
                <w:rFonts w:hint="eastAsia" w:ascii="宋体" w:hAnsi="宋体"/>
                <w:kern w:val="0"/>
                <w:sz w:val="18"/>
                <w:szCs w:val="18"/>
              </w:rPr>
              <w:t>μm</w:t>
            </w:r>
            <w:r>
              <w:rPr>
                <w:rFonts w:ascii="宋体"/>
                <w:kern w:val="0"/>
                <w:sz w:val="18"/>
                <w:szCs w:val="18"/>
              </w:rPr>
              <w:t xml:space="preserve"> </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&lt;7</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Merge w:val="continue"/>
            <w:vAlign w:val="center"/>
          </w:tcPr>
          <w:p>
            <w:pPr>
              <w:adjustRightInd w:val="0"/>
              <w:spacing w:line="360" w:lineRule="atLeast"/>
              <w:ind w:firstLine="420"/>
              <w:jc w:val="center"/>
              <w:textAlignment w:val="baseline"/>
              <w:rPr>
                <w:rFonts w:ascii="宋体"/>
                <w:kern w:val="0"/>
                <w:sz w:val="18"/>
                <w:szCs w:val="18"/>
              </w:rPr>
            </w:pPr>
          </w:p>
        </w:tc>
        <w:tc>
          <w:tcPr>
            <w:tcW w:w="850" w:type="dxa"/>
            <w:vMerge w:val="continue"/>
            <w:vAlign w:val="center"/>
          </w:tcPr>
          <w:p>
            <w:pPr>
              <w:adjustRightInd w:val="0"/>
              <w:spacing w:line="360" w:lineRule="atLeast"/>
              <w:jc w:val="center"/>
              <w:textAlignment w:val="baseline"/>
              <w:rPr>
                <w:rFonts w:ascii="宋体"/>
                <w:kern w:val="0"/>
                <w:sz w:val="18"/>
                <w:szCs w:val="18"/>
              </w:rPr>
            </w:pPr>
          </w:p>
        </w:tc>
        <w:tc>
          <w:tcPr>
            <w:tcW w:w="1276"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≥0.3</w:t>
            </w:r>
            <w:r>
              <w:rPr>
                <w:rFonts w:hint="eastAsia" w:ascii="宋体" w:hAnsi="宋体"/>
                <w:kern w:val="0"/>
                <w:sz w:val="18"/>
                <w:szCs w:val="18"/>
              </w:rPr>
              <w:t>μ</w:t>
            </w:r>
            <w:r>
              <w:rPr>
                <w:rFonts w:hint="eastAsia" w:ascii="宋体"/>
                <w:kern w:val="0"/>
                <w:sz w:val="18"/>
                <w:szCs w:val="18"/>
              </w:rPr>
              <w:t>m</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&lt;3</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Merge w:val="continue"/>
            <w:vAlign w:val="center"/>
          </w:tcPr>
          <w:p>
            <w:pPr>
              <w:adjustRightInd w:val="0"/>
              <w:spacing w:line="360" w:lineRule="atLeast"/>
              <w:ind w:firstLine="420"/>
              <w:jc w:val="center"/>
              <w:textAlignment w:val="baseline"/>
              <w:rPr>
                <w:rFonts w:ascii="宋体"/>
                <w:kern w:val="0"/>
                <w:sz w:val="18"/>
                <w:szCs w:val="18"/>
              </w:rPr>
            </w:pPr>
          </w:p>
        </w:tc>
        <w:tc>
          <w:tcPr>
            <w:tcW w:w="850" w:type="dxa"/>
            <w:vMerge w:val="continue"/>
            <w:vAlign w:val="center"/>
          </w:tcPr>
          <w:p>
            <w:pPr>
              <w:adjustRightInd w:val="0"/>
              <w:spacing w:line="360" w:lineRule="atLeast"/>
              <w:jc w:val="center"/>
              <w:textAlignment w:val="baseline"/>
              <w:rPr>
                <w:rFonts w:ascii="宋体"/>
                <w:kern w:val="0"/>
                <w:sz w:val="18"/>
                <w:szCs w:val="18"/>
              </w:rPr>
            </w:pPr>
          </w:p>
        </w:tc>
        <w:tc>
          <w:tcPr>
            <w:tcW w:w="1276"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其他LLS尺寸</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供需双方协商确定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Merge w:val="restart"/>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5</w:t>
            </w:r>
          </w:p>
        </w:tc>
        <w:tc>
          <w:tcPr>
            <w:tcW w:w="850" w:type="dxa"/>
            <w:vMerge w:val="restart"/>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COP</w:t>
            </w:r>
          </w:p>
          <w:p>
            <w:pPr>
              <w:adjustRightInd w:val="0"/>
              <w:spacing w:line="360" w:lineRule="atLeast"/>
              <w:jc w:val="center"/>
              <w:textAlignment w:val="baseline"/>
              <w:rPr>
                <w:rFonts w:ascii="宋体"/>
                <w:kern w:val="0"/>
                <w:sz w:val="18"/>
                <w:szCs w:val="18"/>
              </w:rPr>
            </w:pPr>
            <w:r>
              <w:rPr>
                <w:rFonts w:hint="eastAsia" w:ascii="宋体"/>
                <w:kern w:val="0"/>
                <w:sz w:val="18"/>
                <w:szCs w:val="18"/>
              </w:rPr>
              <w:t>个</w:t>
            </w:r>
            <w:r>
              <w:rPr>
                <w:rFonts w:ascii="宋体"/>
                <w:kern w:val="0"/>
                <w:sz w:val="18"/>
                <w:szCs w:val="18"/>
              </w:rPr>
              <w:t>/</w:t>
            </w:r>
            <w:r>
              <w:rPr>
                <w:rFonts w:hint="eastAsia" w:ascii="宋体"/>
                <w:kern w:val="0"/>
                <w:sz w:val="18"/>
                <w:szCs w:val="18"/>
              </w:rPr>
              <w:t>片</w:t>
            </w:r>
          </w:p>
        </w:tc>
        <w:tc>
          <w:tcPr>
            <w:tcW w:w="1276"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≥0.12μm</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≤20</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hAnsi="宋体"/>
                <w:kern w:val="0"/>
                <w:sz w:val="18"/>
                <w:szCs w:val="18"/>
              </w:rPr>
              <w:t>≤</w:t>
            </w:r>
            <w:r>
              <w:rPr>
                <w:rFonts w:hint="eastAsia" w:asci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Merge w:val="continue"/>
            <w:vAlign w:val="center"/>
          </w:tcPr>
          <w:p>
            <w:pPr>
              <w:adjustRightInd w:val="0"/>
              <w:spacing w:line="360" w:lineRule="atLeast"/>
              <w:jc w:val="center"/>
              <w:textAlignment w:val="baseline"/>
              <w:rPr>
                <w:rFonts w:ascii="宋体"/>
                <w:kern w:val="0"/>
                <w:sz w:val="18"/>
                <w:szCs w:val="18"/>
              </w:rPr>
            </w:pPr>
          </w:p>
        </w:tc>
        <w:tc>
          <w:tcPr>
            <w:tcW w:w="850" w:type="dxa"/>
            <w:vMerge w:val="continue"/>
            <w:vAlign w:val="center"/>
          </w:tcPr>
          <w:p>
            <w:pPr>
              <w:adjustRightInd w:val="0"/>
              <w:spacing w:line="360" w:lineRule="atLeast"/>
              <w:jc w:val="center"/>
              <w:textAlignment w:val="baseline"/>
              <w:rPr>
                <w:rFonts w:ascii="宋体"/>
                <w:kern w:val="0"/>
                <w:sz w:val="18"/>
                <w:szCs w:val="18"/>
              </w:rPr>
            </w:pPr>
          </w:p>
        </w:tc>
        <w:tc>
          <w:tcPr>
            <w:tcW w:w="1276"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≥0.16μm</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hAnsi="宋体"/>
                <w:kern w:val="0"/>
                <w:sz w:val="18"/>
                <w:szCs w:val="18"/>
              </w:rPr>
              <w:t>≤</w:t>
            </w:r>
            <w:r>
              <w:rPr>
                <w:rFonts w:hint="eastAsia" w:ascii="宋体"/>
                <w:kern w:val="0"/>
                <w:sz w:val="18"/>
                <w:szCs w:val="18"/>
              </w:rPr>
              <w:t>10</w:t>
            </w:r>
          </w:p>
        </w:tc>
        <w:tc>
          <w:tcPr>
            <w:tcW w:w="2977" w:type="dxa"/>
            <w:vAlign w:val="center"/>
          </w:tcPr>
          <w:p>
            <w:pPr>
              <w:adjustRightInd w:val="0"/>
              <w:spacing w:line="360" w:lineRule="atLeast"/>
              <w:jc w:val="center"/>
              <w:textAlignment w:val="baseline"/>
              <w:rPr>
                <w:rFonts w:ascii="宋体"/>
                <w:kern w:val="0"/>
                <w:sz w:val="18"/>
                <w:szCs w:val="18"/>
              </w:rPr>
            </w:pPr>
            <w:r>
              <w:rPr>
                <w:rFonts w:hint="eastAsia"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6</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区域沾污</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7</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崩边</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8</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裂纹，鸦爪</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9</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凹坑</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10</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沟（槽）</w:t>
            </w:r>
          </w:p>
        </w:tc>
        <w:tc>
          <w:tcPr>
            <w:tcW w:w="5954" w:type="dxa"/>
            <w:gridSpan w:val="2"/>
            <w:tcBorders>
              <w:bottom w:val="single" w:color="auto" w:sz="4" w:space="0"/>
            </w:tcBorders>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tcBorders>
              <w:bottom w:val="single" w:color="auto" w:sz="4" w:space="0"/>
            </w:tcBorders>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11</w:t>
            </w:r>
          </w:p>
        </w:tc>
        <w:tc>
          <w:tcPr>
            <w:tcW w:w="2126" w:type="dxa"/>
            <w:gridSpan w:val="2"/>
            <w:tcBorders>
              <w:bottom w:val="single" w:color="auto" w:sz="4" w:space="0"/>
            </w:tcBorders>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小丘</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98" w:type="dxa"/>
            <w:vMerge w:val="continue"/>
            <w:vAlign w:val="center"/>
          </w:tcPr>
          <w:p>
            <w:pPr>
              <w:adjustRightInd w:val="0"/>
              <w:spacing w:before="240" w:line="360" w:lineRule="atLeast"/>
              <w:ind w:firstLine="420"/>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12</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橘皮，波纹</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698" w:type="dxa"/>
            <w:vMerge w:val="continue"/>
            <w:vAlign w:val="center"/>
          </w:tcPr>
          <w:p>
            <w:pPr>
              <w:adjustRightInd w:val="0"/>
              <w:spacing w:line="360" w:lineRule="atLeast"/>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13</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线痕</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98" w:type="dxa"/>
            <w:vMerge w:val="continue"/>
            <w:vAlign w:val="center"/>
          </w:tcPr>
          <w:p>
            <w:pPr>
              <w:adjustRightInd w:val="0"/>
              <w:spacing w:line="360" w:lineRule="atLeast"/>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14</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杂质条纹</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698" w:type="dxa"/>
            <w:vMerge w:val="restart"/>
            <w:vAlign w:val="center"/>
          </w:tcPr>
          <w:p>
            <w:pPr>
              <w:adjustRightInd w:val="0"/>
              <w:spacing w:before="180" w:line="360" w:lineRule="atLeast"/>
              <w:jc w:val="center"/>
              <w:textAlignment w:val="baseline"/>
              <w:rPr>
                <w:rFonts w:ascii="宋体"/>
                <w:kern w:val="0"/>
                <w:sz w:val="18"/>
                <w:szCs w:val="18"/>
              </w:rPr>
            </w:pPr>
            <w:r>
              <w:rPr>
                <w:rFonts w:hint="eastAsia" w:ascii="宋体"/>
                <w:kern w:val="0"/>
                <w:sz w:val="18"/>
                <w:szCs w:val="18"/>
              </w:rPr>
              <w:t>背</w:t>
            </w:r>
          </w:p>
          <w:p>
            <w:pPr>
              <w:adjustRightInd w:val="0"/>
              <w:spacing w:before="180" w:line="360" w:lineRule="atLeast"/>
              <w:jc w:val="center"/>
              <w:textAlignment w:val="baseline"/>
              <w:rPr>
                <w:rFonts w:ascii="宋体"/>
                <w:kern w:val="0"/>
                <w:sz w:val="18"/>
                <w:szCs w:val="18"/>
              </w:rPr>
            </w:pPr>
            <w:r>
              <w:rPr>
                <w:rFonts w:hint="eastAsia" w:ascii="宋体"/>
                <w:kern w:val="0"/>
                <w:sz w:val="18"/>
                <w:szCs w:val="18"/>
              </w:rPr>
              <w:t>表</w:t>
            </w:r>
          </w:p>
          <w:p>
            <w:pPr>
              <w:adjustRightInd w:val="0"/>
              <w:spacing w:before="180" w:line="360" w:lineRule="atLeast"/>
              <w:jc w:val="center"/>
              <w:textAlignment w:val="baseline"/>
              <w:rPr>
                <w:rFonts w:ascii="宋体"/>
                <w:kern w:val="0"/>
                <w:sz w:val="18"/>
                <w:szCs w:val="18"/>
              </w:rPr>
            </w:pPr>
            <w:r>
              <w:rPr>
                <w:rFonts w:hint="eastAsia" w:ascii="宋体"/>
                <w:kern w:val="0"/>
                <w:sz w:val="18"/>
                <w:szCs w:val="18"/>
              </w:rPr>
              <w:t>面</w:t>
            </w:r>
          </w:p>
        </w:tc>
        <w:tc>
          <w:tcPr>
            <w:tcW w:w="578" w:type="dxa"/>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15</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崩边</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98" w:type="dxa"/>
            <w:vMerge w:val="continue"/>
            <w:vAlign w:val="center"/>
          </w:tcPr>
          <w:p>
            <w:pPr>
              <w:adjustRightInd w:val="0"/>
              <w:spacing w:line="360" w:lineRule="atLeast"/>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ascii="宋体"/>
                <w:kern w:val="0"/>
                <w:sz w:val="18"/>
                <w:szCs w:val="18"/>
              </w:rPr>
              <w:t>1</w:t>
            </w:r>
            <w:r>
              <w:rPr>
                <w:rFonts w:hint="eastAsia" w:ascii="宋体"/>
                <w:kern w:val="0"/>
                <w:sz w:val="18"/>
                <w:szCs w:val="18"/>
              </w:rPr>
              <w:t>6</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裂纹，鸦爪</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698" w:type="dxa"/>
            <w:vMerge w:val="continue"/>
            <w:vAlign w:val="center"/>
          </w:tcPr>
          <w:p>
            <w:pPr>
              <w:adjustRightInd w:val="0"/>
              <w:spacing w:line="360" w:lineRule="atLeast"/>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ascii="宋体"/>
                <w:kern w:val="0"/>
                <w:sz w:val="18"/>
                <w:szCs w:val="18"/>
              </w:rPr>
              <w:t>1</w:t>
            </w:r>
            <w:r>
              <w:rPr>
                <w:rFonts w:hint="eastAsia" w:ascii="宋体"/>
                <w:kern w:val="0"/>
                <w:sz w:val="18"/>
                <w:szCs w:val="18"/>
              </w:rPr>
              <w:t>7</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区域沾污</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98" w:type="dxa"/>
            <w:vMerge w:val="continue"/>
            <w:vAlign w:val="center"/>
          </w:tcPr>
          <w:p>
            <w:pPr>
              <w:adjustRightInd w:val="0"/>
              <w:spacing w:line="360" w:lineRule="atLeast"/>
              <w:jc w:val="center"/>
              <w:textAlignment w:val="baseline"/>
              <w:rPr>
                <w:rFonts w:ascii="宋体"/>
                <w:kern w:val="0"/>
                <w:sz w:val="18"/>
                <w:szCs w:val="18"/>
              </w:rPr>
            </w:pPr>
          </w:p>
        </w:tc>
        <w:tc>
          <w:tcPr>
            <w:tcW w:w="578" w:type="dxa"/>
            <w:vAlign w:val="center"/>
          </w:tcPr>
          <w:p>
            <w:pPr>
              <w:adjustRightInd w:val="0"/>
              <w:spacing w:line="360" w:lineRule="atLeast"/>
              <w:jc w:val="center"/>
              <w:textAlignment w:val="baseline"/>
              <w:rPr>
                <w:rFonts w:ascii="宋体"/>
                <w:kern w:val="0"/>
                <w:sz w:val="18"/>
                <w:szCs w:val="18"/>
              </w:rPr>
            </w:pPr>
            <w:r>
              <w:rPr>
                <w:rFonts w:ascii="宋体"/>
                <w:kern w:val="0"/>
                <w:sz w:val="18"/>
                <w:szCs w:val="18"/>
              </w:rPr>
              <w:t>1</w:t>
            </w:r>
            <w:r>
              <w:rPr>
                <w:rFonts w:hint="eastAsia" w:ascii="宋体"/>
                <w:kern w:val="0"/>
                <w:sz w:val="18"/>
                <w:szCs w:val="18"/>
              </w:rPr>
              <w:t>8</w:t>
            </w:r>
          </w:p>
        </w:tc>
        <w:tc>
          <w:tcPr>
            <w:tcW w:w="2126"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线痕</w:t>
            </w:r>
          </w:p>
        </w:tc>
        <w:tc>
          <w:tcPr>
            <w:tcW w:w="5954" w:type="dxa"/>
            <w:gridSpan w:val="2"/>
            <w:vAlign w:val="center"/>
          </w:tcPr>
          <w:p>
            <w:pPr>
              <w:adjustRightInd w:val="0"/>
              <w:spacing w:line="360" w:lineRule="atLeast"/>
              <w:jc w:val="center"/>
              <w:textAlignment w:val="baseline"/>
              <w:rPr>
                <w:rFonts w:ascii="宋体"/>
                <w:kern w:val="0"/>
                <w:sz w:val="18"/>
                <w:szCs w:val="18"/>
              </w:rPr>
            </w:pPr>
            <w:r>
              <w:rPr>
                <w:rFonts w:hint="eastAsia" w:ascii="宋体"/>
                <w:kern w:val="0"/>
                <w:sz w:val="18"/>
                <w:szCs w:val="18"/>
              </w:rPr>
              <w:t>酸或碱腐蚀</w:t>
            </w:r>
          </w:p>
        </w:tc>
      </w:tr>
    </w:tbl>
    <w:p>
      <w:pPr>
        <w:pStyle w:val="45"/>
        <w:spacing w:before="156" w:after="156"/>
      </w:pPr>
      <w:r>
        <w:rPr>
          <w:rFonts w:hint="eastAsia"/>
        </w:rPr>
        <w:t>4．5边缘轮廓</w:t>
      </w:r>
    </w:p>
    <w:p>
      <w:pPr>
        <w:pStyle w:val="22"/>
      </w:pPr>
      <w:bookmarkStart w:id="17" w:name="OLE_LINK6"/>
      <w:bookmarkStart w:id="18" w:name="OLE_LINK7"/>
      <w:bookmarkStart w:id="19" w:name="OLE_LINK49"/>
      <w:r>
        <w:rPr>
          <w:rFonts w:hint="eastAsia"/>
        </w:rPr>
        <w:t>Low-COP抛光片的边缘轮廓形状、尺寸应满足GB/T 12965或GB/T 29508 的要求，且硅片边缘轮廓的任何部位不允许有锐利点或凸起物；</w:t>
      </w:r>
      <w:bookmarkEnd w:id="17"/>
      <w:bookmarkEnd w:id="18"/>
      <w:bookmarkEnd w:id="19"/>
      <w:r>
        <w:rPr>
          <w:rFonts w:hint="eastAsia"/>
        </w:rPr>
        <w:t>特殊要求可由供需双方协商确定。</w:t>
      </w:r>
    </w:p>
    <w:p>
      <w:pPr>
        <w:pStyle w:val="45"/>
        <w:spacing w:before="156" w:after="156"/>
      </w:pPr>
      <w:r>
        <w:rPr>
          <w:rFonts w:hint="eastAsia"/>
        </w:rPr>
        <w:t>4.6 表面金属及体内金属（铁）</w:t>
      </w:r>
    </w:p>
    <w:p>
      <w:pPr>
        <w:pStyle w:val="22"/>
      </w:pPr>
      <w:r>
        <w:rPr>
          <w:rFonts w:hint="eastAsia"/>
        </w:rPr>
        <w:t>Low-COP抛光片的表面金属</w:t>
      </w:r>
      <w:bookmarkStart w:id="20" w:name="OLE_LINK1"/>
      <w:r>
        <w:rPr>
          <w:rFonts w:hint="eastAsia"/>
        </w:rPr>
        <w:t>见表3；</w:t>
      </w:r>
      <w:bookmarkEnd w:id="20"/>
      <w:r>
        <w:rPr>
          <w:rFonts w:hint="eastAsia"/>
        </w:rPr>
        <w:t>300mm体金属含量（铁）应不大于5e9atoms/cm</w:t>
      </w:r>
      <w:r>
        <w:rPr>
          <w:rFonts w:hint="eastAsia"/>
          <w:vertAlign w:val="superscript"/>
        </w:rPr>
        <w:t>3</w:t>
      </w:r>
      <w:r>
        <w:rPr>
          <w:rFonts w:hint="eastAsia"/>
        </w:rPr>
        <w:t>，200mm体金属含量（铁）应不大于1e10atoms/cm</w:t>
      </w:r>
      <w:r>
        <w:rPr>
          <w:rFonts w:hint="eastAsia"/>
          <w:vertAlign w:val="superscript"/>
        </w:rPr>
        <w:t>3,</w:t>
      </w:r>
      <w:r>
        <w:rPr>
          <w:rFonts w:hint="eastAsia"/>
        </w:rPr>
        <w:t>，或由供需双方协商确定。</w:t>
      </w:r>
    </w:p>
    <w:p>
      <w:pPr>
        <w:pStyle w:val="129"/>
        <w:tabs>
          <w:tab w:val="left" w:pos="360"/>
        </w:tabs>
        <w:spacing w:before="156" w:after="156"/>
        <w:ind w:firstLine="2730" w:firstLineChars="1300"/>
        <w:jc w:val="both"/>
      </w:pPr>
      <w:r>
        <w:rPr>
          <w:rFonts w:hint="eastAsia"/>
        </w:rPr>
        <w:t>表3 表面金属要求</w:t>
      </w:r>
    </w:p>
    <w:p>
      <w:pPr>
        <w:pStyle w:val="22"/>
        <w:ind w:firstLine="6195" w:firstLineChars="2950"/>
      </w:pPr>
      <w:r>
        <w:rPr>
          <w:rFonts w:hint="eastAsia"/>
        </w:rPr>
        <w:t>e9atoms/cm</w:t>
      </w:r>
      <w:r>
        <w:rPr>
          <w:rFonts w:hint="eastAsia"/>
          <w:vertAlign w:val="superscript"/>
        </w:rPr>
        <w:t>2</w:t>
      </w:r>
    </w:p>
    <w:tbl>
      <w:tblPr>
        <w:tblStyle w:val="33"/>
        <w:tblW w:w="0" w:type="auto"/>
        <w:tblInd w:w="9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金属元素</w:t>
            </w:r>
          </w:p>
        </w:tc>
        <w:tc>
          <w:tcPr>
            <w:tcW w:w="2392" w:type="dxa"/>
          </w:tcPr>
          <w:p>
            <w:pPr>
              <w:pStyle w:val="22"/>
              <w:ind w:firstLine="0" w:firstLineChars="0"/>
              <w:rPr>
                <w:szCs w:val="18"/>
              </w:rPr>
            </w:pPr>
            <w:r>
              <w:rPr>
                <w:rFonts w:hint="eastAsia"/>
                <w:szCs w:val="18"/>
              </w:rPr>
              <w:t>200mm硅片直径</w:t>
            </w:r>
          </w:p>
          <w:p>
            <w:pPr>
              <w:pStyle w:val="22"/>
              <w:ind w:firstLine="0" w:firstLineChars="0"/>
              <w:rPr>
                <w:szCs w:val="18"/>
              </w:rPr>
            </w:pPr>
            <w:r>
              <w:rPr>
                <w:rFonts w:hint="eastAsia"/>
                <w:szCs w:val="18"/>
              </w:rPr>
              <w:t>e9atoms/cm</w:t>
            </w:r>
            <w:r>
              <w:rPr>
                <w:rFonts w:hint="eastAsia"/>
                <w:szCs w:val="18"/>
                <w:vertAlign w:val="superscript"/>
              </w:rPr>
              <w:t>2</w:t>
            </w:r>
          </w:p>
        </w:tc>
        <w:tc>
          <w:tcPr>
            <w:tcW w:w="2393" w:type="dxa"/>
          </w:tcPr>
          <w:p>
            <w:pPr>
              <w:pStyle w:val="22"/>
              <w:ind w:firstLine="0" w:firstLineChars="0"/>
              <w:jc w:val="left"/>
              <w:rPr>
                <w:szCs w:val="18"/>
              </w:rPr>
            </w:pPr>
            <w:r>
              <w:rPr>
                <w:rFonts w:hint="eastAsia"/>
                <w:szCs w:val="18"/>
              </w:rPr>
              <w:t>300mm硅片直径e9atoms/cm</w:t>
            </w:r>
            <w:r>
              <w:rPr>
                <w:rFonts w:hint="eastAsia"/>
                <w:szCs w:val="18"/>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Na、</w:t>
            </w:r>
          </w:p>
        </w:tc>
        <w:tc>
          <w:tcPr>
            <w:tcW w:w="2392" w:type="dxa"/>
          </w:tcPr>
          <w:p>
            <w:pPr>
              <w:pStyle w:val="22"/>
              <w:ind w:firstLine="0" w:firstLineChars="0"/>
              <w:rPr>
                <w:szCs w:val="18"/>
              </w:rPr>
            </w:pPr>
            <w:r>
              <w:rPr>
                <w:rFonts w:hint="eastAsia"/>
                <w:szCs w:val="18"/>
              </w:rPr>
              <w:t>&lt;5</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Al</w:t>
            </w:r>
          </w:p>
        </w:tc>
        <w:tc>
          <w:tcPr>
            <w:tcW w:w="2392" w:type="dxa"/>
          </w:tcPr>
          <w:p>
            <w:pPr>
              <w:pStyle w:val="22"/>
              <w:ind w:firstLine="0" w:firstLineChars="0"/>
              <w:rPr>
                <w:szCs w:val="18"/>
              </w:rPr>
            </w:pPr>
            <w:r>
              <w:rPr>
                <w:rFonts w:hint="eastAsia"/>
                <w:szCs w:val="18"/>
              </w:rPr>
              <w:t>&lt;5</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K</w:t>
            </w:r>
          </w:p>
        </w:tc>
        <w:tc>
          <w:tcPr>
            <w:tcW w:w="2392" w:type="dxa"/>
          </w:tcPr>
          <w:p>
            <w:pPr>
              <w:pStyle w:val="22"/>
              <w:ind w:firstLine="0" w:firstLineChars="0"/>
              <w:rPr>
                <w:szCs w:val="18"/>
              </w:rPr>
            </w:pPr>
            <w:r>
              <w:rPr>
                <w:rFonts w:hint="eastAsia"/>
                <w:szCs w:val="18"/>
              </w:rPr>
              <w:t>&lt;5</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Ca</w:t>
            </w:r>
          </w:p>
        </w:tc>
        <w:tc>
          <w:tcPr>
            <w:tcW w:w="2392" w:type="dxa"/>
          </w:tcPr>
          <w:p>
            <w:pPr>
              <w:pStyle w:val="22"/>
              <w:ind w:firstLine="0" w:firstLineChars="0"/>
              <w:rPr>
                <w:szCs w:val="18"/>
              </w:rPr>
            </w:pPr>
            <w:r>
              <w:rPr>
                <w:rFonts w:hint="eastAsia"/>
                <w:szCs w:val="18"/>
              </w:rPr>
              <w:t>&lt;5</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Mn</w:t>
            </w:r>
          </w:p>
        </w:tc>
        <w:tc>
          <w:tcPr>
            <w:tcW w:w="2392" w:type="dxa"/>
          </w:tcPr>
          <w:p>
            <w:pPr>
              <w:pStyle w:val="22"/>
              <w:ind w:firstLine="0" w:firstLineChars="0"/>
              <w:rPr>
                <w:szCs w:val="18"/>
              </w:rPr>
            </w:pPr>
            <w:r>
              <w:rPr>
                <w:rFonts w:hint="eastAsia"/>
                <w:szCs w:val="18"/>
              </w:rPr>
              <w:t>&lt;3</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Cr</w:t>
            </w:r>
          </w:p>
        </w:tc>
        <w:tc>
          <w:tcPr>
            <w:tcW w:w="2392" w:type="dxa"/>
          </w:tcPr>
          <w:p>
            <w:pPr>
              <w:pStyle w:val="22"/>
              <w:ind w:firstLine="0" w:firstLineChars="0"/>
              <w:rPr>
                <w:szCs w:val="18"/>
              </w:rPr>
            </w:pPr>
            <w:r>
              <w:rPr>
                <w:rFonts w:hint="eastAsia"/>
                <w:szCs w:val="18"/>
              </w:rPr>
              <w:t>&lt;3</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Fe</w:t>
            </w:r>
          </w:p>
        </w:tc>
        <w:tc>
          <w:tcPr>
            <w:tcW w:w="2392" w:type="dxa"/>
          </w:tcPr>
          <w:p>
            <w:pPr>
              <w:pStyle w:val="22"/>
              <w:ind w:firstLine="0" w:firstLineChars="0"/>
              <w:rPr>
                <w:szCs w:val="18"/>
              </w:rPr>
            </w:pPr>
            <w:r>
              <w:rPr>
                <w:rFonts w:hint="eastAsia"/>
                <w:szCs w:val="18"/>
              </w:rPr>
              <w:t>&lt;3</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Ni</w:t>
            </w:r>
          </w:p>
        </w:tc>
        <w:tc>
          <w:tcPr>
            <w:tcW w:w="2392" w:type="dxa"/>
          </w:tcPr>
          <w:p>
            <w:pPr>
              <w:pStyle w:val="22"/>
              <w:ind w:firstLine="0" w:firstLineChars="0"/>
              <w:rPr>
                <w:szCs w:val="18"/>
              </w:rPr>
            </w:pPr>
            <w:r>
              <w:rPr>
                <w:rFonts w:hint="eastAsia"/>
                <w:szCs w:val="18"/>
              </w:rPr>
              <w:t>&lt;3</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Cun</w:t>
            </w:r>
          </w:p>
        </w:tc>
        <w:tc>
          <w:tcPr>
            <w:tcW w:w="2392" w:type="dxa"/>
          </w:tcPr>
          <w:p>
            <w:pPr>
              <w:pStyle w:val="22"/>
              <w:ind w:firstLine="0" w:firstLineChars="0"/>
              <w:rPr>
                <w:szCs w:val="18"/>
              </w:rPr>
            </w:pPr>
            <w:r>
              <w:rPr>
                <w:rFonts w:hint="eastAsia"/>
                <w:szCs w:val="18"/>
              </w:rPr>
              <w:t>&lt;3</w:t>
            </w:r>
          </w:p>
        </w:tc>
        <w:tc>
          <w:tcPr>
            <w:tcW w:w="2393" w:type="dxa"/>
          </w:tcPr>
          <w:p>
            <w:pPr>
              <w:pStyle w:val="22"/>
              <w:ind w:firstLine="0" w:firstLineChars="0"/>
              <w:rPr>
                <w:szCs w:val="18"/>
              </w:rPr>
            </w:pPr>
            <w:r>
              <w:rPr>
                <w:rFonts w:hint="eastAsia"/>
                <w:szCs w:val="18"/>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2" w:type="dxa"/>
          </w:tcPr>
          <w:p>
            <w:pPr>
              <w:pStyle w:val="22"/>
              <w:ind w:firstLine="0" w:firstLineChars="0"/>
              <w:rPr>
                <w:szCs w:val="18"/>
              </w:rPr>
            </w:pPr>
            <w:r>
              <w:rPr>
                <w:rFonts w:hint="eastAsia"/>
                <w:szCs w:val="18"/>
              </w:rPr>
              <w:t>Zn</w:t>
            </w:r>
          </w:p>
        </w:tc>
        <w:tc>
          <w:tcPr>
            <w:tcW w:w="2392" w:type="dxa"/>
          </w:tcPr>
          <w:p>
            <w:pPr>
              <w:pStyle w:val="22"/>
              <w:ind w:firstLine="0" w:firstLineChars="0"/>
              <w:rPr>
                <w:szCs w:val="18"/>
              </w:rPr>
            </w:pPr>
            <w:r>
              <w:rPr>
                <w:rFonts w:hint="eastAsia"/>
                <w:szCs w:val="18"/>
              </w:rPr>
              <w:t>&lt;3</w:t>
            </w:r>
          </w:p>
        </w:tc>
        <w:tc>
          <w:tcPr>
            <w:tcW w:w="2393" w:type="dxa"/>
          </w:tcPr>
          <w:p>
            <w:pPr>
              <w:pStyle w:val="22"/>
              <w:ind w:firstLine="0" w:firstLineChars="0"/>
              <w:rPr>
                <w:szCs w:val="18"/>
              </w:rPr>
            </w:pPr>
            <w:r>
              <w:rPr>
                <w:rFonts w:hint="eastAsia"/>
                <w:szCs w:val="18"/>
              </w:rPr>
              <w:t>&lt;1</w:t>
            </w:r>
          </w:p>
        </w:tc>
      </w:tr>
    </w:tbl>
    <w:p>
      <w:pPr>
        <w:pStyle w:val="45"/>
        <w:spacing w:before="156" w:after="156"/>
      </w:pPr>
      <w:r>
        <w:rPr>
          <w:rFonts w:hint="eastAsia"/>
        </w:rPr>
        <w:t>4.7其他</w:t>
      </w:r>
    </w:p>
    <w:p>
      <w:pPr>
        <w:pStyle w:val="22"/>
      </w:pPr>
      <w:r>
        <w:rPr>
          <w:rFonts w:hint="eastAsia"/>
        </w:rPr>
        <w:t>Low-COP抛光片的激光刻字、边缘抛光等其他要求由供需双方协商确定。</w:t>
      </w:r>
    </w:p>
    <w:p>
      <w:pPr>
        <w:pStyle w:val="48"/>
        <w:spacing w:before="312" w:after="312"/>
      </w:pPr>
      <w:bookmarkStart w:id="21" w:name="_Toc41299123"/>
      <w:r>
        <w:rPr>
          <w:rFonts w:hint="eastAsia"/>
        </w:rPr>
        <w:t>5试验方法</w:t>
      </w:r>
      <w:bookmarkEnd w:id="21"/>
    </w:p>
    <w:p>
      <w:pPr>
        <w:pStyle w:val="45"/>
        <w:spacing w:beforeLines="0" w:afterLines="0"/>
        <w:rPr>
          <w:rFonts w:ascii="宋体" w:hAnsi="宋体" w:eastAsia="宋体"/>
        </w:rPr>
      </w:pPr>
      <w:r>
        <w:rPr>
          <w:rFonts w:hint="eastAsia" w:hAnsi="黑体"/>
        </w:rPr>
        <w:t>5.1</w:t>
      </w:r>
      <w:r>
        <w:rPr>
          <w:rFonts w:hint="eastAsia" w:ascii="宋体" w:hAnsi="宋体" w:eastAsia="宋体"/>
        </w:rPr>
        <w:t>厚度和总厚度变化的测量</w:t>
      </w:r>
      <w:bookmarkStart w:id="22" w:name="OLE_LINK40"/>
      <w:bookmarkStart w:id="23" w:name="OLE_LINK39"/>
      <w:r>
        <w:rPr>
          <w:rFonts w:hint="eastAsia" w:ascii="宋体" w:hAnsi="宋体" w:eastAsia="宋体"/>
        </w:rPr>
        <w:t>按照</w:t>
      </w:r>
      <w:bookmarkStart w:id="24" w:name="OLE_LINK38"/>
      <w:r>
        <w:rPr>
          <w:rFonts w:hint="eastAsia" w:ascii="宋体" w:hAnsi="宋体" w:eastAsia="宋体"/>
        </w:rPr>
        <w:t>GB/T 29507进行</w:t>
      </w:r>
      <w:bookmarkEnd w:id="22"/>
      <w:bookmarkEnd w:id="23"/>
      <w:bookmarkEnd w:id="24"/>
      <w:r>
        <w:rPr>
          <w:rFonts w:hint="eastAsia" w:ascii="宋体" w:hAnsi="宋体" w:eastAsia="宋体"/>
        </w:rPr>
        <w:t xml:space="preserve">。  </w:t>
      </w:r>
    </w:p>
    <w:p>
      <w:pPr>
        <w:pStyle w:val="45"/>
        <w:spacing w:beforeLines="0" w:afterLines="0"/>
        <w:rPr>
          <w:rFonts w:ascii="宋体" w:hAnsi="宋体" w:eastAsia="宋体"/>
        </w:rPr>
      </w:pPr>
      <w:r>
        <w:rPr>
          <w:rFonts w:hint="eastAsia" w:hAnsi="黑体"/>
        </w:rPr>
        <w:t>5.2</w:t>
      </w:r>
      <w:r>
        <w:rPr>
          <w:rFonts w:hint="eastAsia" w:ascii="宋体" w:hAnsi="宋体" w:eastAsia="宋体"/>
        </w:rPr>
        <w:t>翘曲度、弯曲度测量按照GB/T 32280进行。</w:t>
      </w:r>
    </w:p>
    <w:p>
      <w:pPr>
        <w:pStyle w:val="45"/>
        <w:spacing w:beforeLines="0" w:afterLines="0"/>
        <w:rPr>
          <w:rFonts w:ascii="宋体" w:hAnsi="宋体" w:eastAsia="宋体"/>
        </w:rPr>
      </w:pPr>
      <w:r>
        <w:rPr>
          <w:rFonts w:hint="eastAsia" w:hAnsi="黑体"/>
        </w:rPr>
        <w:t>5.3</w:t>
      </w:r>
      <w:r>
        <w:rPr>
          <w:rFonts w:hint="eastAsia" w:ascii="宋体" w:hAnsi="宋体" w:eastAsia="宋体"/>
        </w:rPr>
        <w:t xml:space="preserve">硅抛光片的平整度和局部平整度测量按照GB/T 29507进行. </w:t>
      </w:r>
    </w:p>
    <w:p>
      <w:pPr>
        <w:pStyle w:val="45"/>
        <w:spacing w:beforeLines="0" w:afterLines="0"/>
        <w:rPr>
          <w:rFonts w:ascii="宋体" w:hAnsi="宋体" w:eastAsia="宋体"/>
        </w:rPr>
      </w:pPr>
      <w:r>
        <w:rPr>
          <w:rFonts w:hint="eastAsia" w:hAnsi="黑体"/>
        </w:rPr>
        <w:t>5.4</w:t>
      </w:r>
      <w:r>
        <w:rPr>
          <w:rFonts w:hint="eastAsia" w:ascii="宋体" w:hAnsi="宋体" w:eastAsia="宋体"/>
        </w:rPr>
        <w:t>抛光片氧化诱生缺陷按照</w:t>
      </w:r>
      <w:r>
        <w:rPr>
          <w:rFonts w:ascii="宋体" w:hAnsi="宋体" w:eastAsia="宋体"/>
        </w:rPr>
        <w:t>GB/T 4058</w:t>
      </w:r>
      <w:r>
        <w:rPr>
          <w:rFonts w:hint="eastAsia" w:ascii="宋体" w:hAnsi="宋体" w:eastAsia="宋体"/>
        </w:rPr>
        <w:t>进行。</w:t>
      </w:r>
    </w:p>
    <w:p>
      <w:pPr>
        <w:pStyle w:val="45"/>
        <w:spacing w:beforeLines="0" w:afterLines="0"/>
        <w:rPr>
          <w:rFonts w:ascii="宋体" w:hAnsi="宋体" w:eastAsia="宋体"/>
        </w:rPr>
      </w:pPr>
      <w:r>
        <w:rPr>
          <w:rFonts w:hint="eastAsia" w:hAnsi="黑体"/>
        </w:rPr>
        <w:t>5.5</w:t>
      </w:r>
      <w:r>
        <w:rPr>
          <w:rFonts w:hint="eastAsia" w:ascii="宋体" w:hAnsi="宋体" w:eastAsia="宋体"/>
        </w:rPr>
        <w:t>表面质量（除局部光散射体外）检验按照</w:t>
      </w:r>
      <w:r>
        <w:rPr>
          <w:rFonts w:ascii="宋体" w:hAnsi="宋体" w:eastAsia="宋体"/>
        </w:rPr>
        <w:t>GB/T 6624</w:t>
      </w:r>
      <w:r>
        <w:rPr>
          <w:rFonts w:hint="eastAsia" w:ascii="宋体" w:hAnsi="宋体" w:eastAsia="宋体"/>
        </w:rPr>
        <w:t>进行。</w:t>
      </w:r>
    </w:p>
    <w:p>
      <w:pPr>
        <w:pStyle w:val="45"/>
        <w:spacing w:beforeLines="0" w:afterLines="0"/>
        <w:rPr>
          <w:rFonts w:ascii="宋体" w:hAnsi="宋体" w:eastAsia="宋体"/>
        </w:rPr>
      </w:pPr>
      <w:r>
        <w:rPr>
          <w:rFonts w:hint="eastAsia" w:hAnsi="黑体"/>
        </w:rPr>
        <w:t>5.6</w:t>
      </w:r>
      <w:r>
        <w:rPr>
          <w:rFonts w:hint="eastAsia" w:ascii="宋体" w:hAnsi="宋体" w:eastAsia="宋体"/>
        </w:rPr>
        <w:t>局部光散射体（微小LLS沾污）按照GB/T 19921进行。</w:t>
      </w:r>
    </w:p>
    <w:p>
      <w:pPr>
        <w:pStyle w:val="45"/>
        <w:spacing w:beforeLines="0" w:afterLines="0"/>
        <w:rPr>
          <w:rFonts w:ascii="宋体" w:hAnsi="宋体" w:eastAsia="宋体"/>
        </w:rPr>
      </w:pPr>
      <w:r>
        <w:rPr>
          <w:rFonts w:hint="eastAsia" w:hAnsi="黑体"/>
        </w:rPr>
        <w:t>5.7</w:t>
      </w:r>
      <w:r>
        <w:rPr>
          <w:rFonts w:ascii="宋体" w:hAnsi="宋体" w:eastAsia="宋体"/>
        </w:rPr>
        <w:t>硅抛光片</w:t>
      </w:r>
      <w:r>
        <w:rPr>
          <w:rFonts w:hint="eastAsia" w:ascii="宋体" w:hAnsi="宋体" w:eastAsia="宋体"/>
        </w:rPr>
        <w:t>COP的</w:t>
      </w:r>
      <w:r>
        <w:rPr>
          <w:rFonts w:ascii="宋体" w:hAnsi="宋体" w:eastAsia="宋体"/>
        </w:rPr>
        <w:t>检测方法</w:t>
      </w:r>
      <w:r>
        <w:rPr>
          <w:rFonts w:hint="eastAsia" w:ascii="宋体" w:hAnsi="宋体" w:eastAsia="宋体"/>
        </w:rPr>
        <w:t>参照GB/T 19921进行，也可</w:t>
      </w:r>
      <w:r>
        <w:rPr>
          <w:rFonts w:ascii="宋体" w:hAnsi="宋体" w:eastAsia="宋体"/>
        </w:rPr>
        <w:t>由供需双方协商</w:t>
      </w:r>
      <w:r>
        <w:rPr>
          <w:rFonts w:hint="eastAsia" w:ascii="宋体" w:hAnsi="宋体" w:eastAsia="宋体"/>
        </w:rPr>
        <w:t>确定</w:t>
      </w:r>
      <w:r>
        <w:rPr>
          <w:rFonts w:ascii="宋体" w:hAnsi="宋体" w:eastAsia="宋体"/>
        </w:rPr>
        <w:t>。</w:t>
      </w:r>
    </w:p>
    <w:p>
      <w:pPr>
        <w:pStyle w:val="45"/>
        <w:spacing w:beforeLines="0" w:afterLines="0"/>
        <w:rPr>
          <w:rFonts w:ascii="宋体" w:hAnsi="宋体" w:eastAsia="宋体"/>
        </w:rPr>
      </w:pPr>
      <w:r>
        <w:rPr>
          <w:rFonts w:hint="eastAsia" w:hAnsi="黑体"/>
        </w:rPr>
        <w:t>5.8</w:t>
      </w:r>
      <w:r>
        <w:rPr>
          <w:rFonts w:hint="eastAsia" w:ascii="宋体" w:hAnsi="宋体" w:eastAsia="宋体"/>
        </w:rPr>
        <w:t>表面金属沾污的测量按照</w:t>
      </w:r>
      <w:bookmarkStart w:id="25" w:name="OLE_LINK42"/>
      <w:bookmarkStart w:id="26" w:name="OLE_LINK41"/>
      <w:r>
        <w:rPr>
          <w:rFonts w:hint="eastAsia" w:ascii="宋体" w:hAnsi="宋体" w:eastAsia="宋体"/>
        </w:rPr>
        <w:t>GB/T 39145进行，或按照供需双方协商的方法进行。</w:t>
      </w:r>
      <w:bookmarkEnd w:id="25"/>
      <w:bookmarkEnd w:id="26"/>
    </w:p>
    <w:p>
      <w:pPr>
        <w:rPr>
          <w:rFonts w:hAnsi="宋体"/>
          <w:szCs w:val="21"/>
        </w:rPr>
      </w:pPr>
      <w:r>
        <w:rPr>
          <w:rFonts w:hint="eastAsia" w:ascii="黑体" w:hAnsi="黑体" w:eastAsia="黑体"/>
          <w:kern w:val="0"/>
          <w:szCs w:val="21"/>
        </w:rPr>
        <w:t>5.9</w:t>
      </w:r>
      <w:r>
        <w:rPr>
          <w:rFonts w:hint="eastAsia" w:ascii="宋体" w:hAnsi="宋体"/>
        </w:rPr>
        <w:t>体金属（铁）的测量按照YS/T 679进行，或按照供需双方协商的</w:t>
      </w:r>
      <w:r>
        <w:rPr>
          <w:rFonts w:hint="eastAsia" w:hAnsi="宋体"/>
          <w:szCs w:val="21"/>
        </w:rPr>
        <w:t>方法进行。</w:t>
      </w:r>
    </w:p>
    <w:p>
      <w:pPr>
        <w:pStyle w:val="48"/>
        <w:spacing w:before="312" w:after="312"/>
      </w:pPr>
      <w:bookmarkStart w:id="27" w:name="_Toc41299124"/>
      <w:r>
        <w:rPr>
          <w:rFonts w:hint="eastAsia"/>
        </w:rPr>
        <w:t>6 检验规则</w:t>
      </w:r>
      <w:bookmarkEnd w:id="27"/>
    </w:p>
    <w:p>
      <w:pPr>
        <w:pStyle w:val="45"/>
        <w:spacing w:before="156" w:after="156"/>
      </w:pPr>
      <w:r>
        <w:rPr>
          <w:rFonts w:hint="eastAsia"/>
        </w:rPr>
        <w:t>6.1检验和验收</w:t>
      </w:r>
    </w:p>
    <w:p>
      <w:pPr>
        <w:pStyle w:val="66"/>
        <w:numPr>
          <w:ilvl w:val="0"/>
          <w:numId w:val="0"/>
        </w:numPr>
        <w:spacing w:before="0" w:after="0"/>
      </w:pPr>
      <w:r>
        <w:rPr>
          <w:rFonts w:hint="eastAsia" w:ascii="黑体" w:hAnsi="黑体" w:eastAsia="黑体"/>
        </w:rPr>
        <w:t>6.1.</w:t>
      </w:r>
      <w:r>
        <w:rPr>
          <w:rFonts w:hint="eastAsia"/>
        </w:rPr>
        <w:t>1产品应由供方技术（质量）监督部门进行检验，保证产品质量符合本文件的规定，并填写产品质量保证书。</w:t>
      </w:r>
    </w:p>
    <w:p>
      <w:pPr>
        <w:pStyle w:val="66"/>
        <w:numPr>
          <w:ilvl w:val="0"/>
          <w:numId w:val="0"/>
        </w:numPr>
        <w:spacing w:before="0" w:after="0"/>
      </w:pPr>
      <w:r>
        <w:rPr>
          <w:rFonts w:hint="eastAsia" w:ascii="黑体" w:hAnsi="黑体" w:eastAsia="黑体"/>
        </w:rPr>
        <w:t>6.1.2</w:t>
      </w:r>
      <w:r>
        <w:rPr>
          <w:rFonts w:hint="eastAsia"/>
        </w:rPr>
        <w:t>需方可对收到的产品进行检验。若检验结果与本文件规定不符时，应在收到产品之日起三个月内向供方提出，由供需双方协商解决。</w:t>
      </w:r>
    </w:p>
    <w:p>
      <w:pPr>
        <w:pStyle w:val="45"/>
        <w:spacing w:before="156" w:after="156"/>
      </w:pPr>
      <w:r>
        <w:rPr>
          <w:rFonts w:hint="eastAsia"/>
        </w:rPr>
        <w:t>6.2组批</w:t>
      </w:r>
    </w:p>
    <w:p>
      <w:pPr>
        <w:pStyle w:val="22"/>
      </w:pPr>
      <w:r>
        <w:rPr>
          <w:rFonts w:hint="eastAsia"/>
        </w:rPr>
        <w:t>Low-COP抛光片</w:t>
      </w:r>
      <w:r>
        <w:t>以批的形式提交验收</w:t>
      </w:r>
      <w:r>
        <w:rPr>
          <w:rFonts w:hint="eastAsia"/>
        </w:rPr>
        <w:t>，每批应由相同规格的产品组成，或有供需双方协商确定组批方式。</w:t>
      </w:r>
    </w:p>
    <w:p>
      <w:pPr>
        <w:pStyle w:val="45"/>
        <w:spacing w:before="156" w:after="156"/>
      </w:pPr>
      <w:r>
        <w:rPr>
          <w:rFonts w:hint="eastAsia"/>
        </w:rPr>
        <w:t>6.3检验项目</w:t>
      </w:r>
    </w:p>
    <w:p>
      <w:pPr>
        <w:widowControl/>
        <w:numPr>
          <w:ilvl w:val="2"/>
          <w:numId w:val="0"/>
        </w:numPr>
        <w:jc w:val="left"/>
        <w:outlineLvl w:val="3"/>
        <w:rPr>
          <w:rFonts w:ascii="宋体"/>
          <w:kern w:val="0"/>
          <w:szCs w:val="21"/>
        </w:rPr>
      </w:pPr>
      <w:r>
        <w:rPr>
          <w:rFonts w:hint="eastAsia" w:ascii="黑体" w:hAnsi="黑体" w:eastAsia="黑体"/>
          <w:kern w:val="0"/>
          <w:szCs w:val="21"/>
        </w:rPr>
        <w:t>6.3.1</w:t>
      </w:r>
      <w:r>
        <w:rPr>
          <w:rFonts w:hint="eastAsia" w:ascii="宋体"/>
          <w:kern w:val="0"/>
          <w:szCs w:val="21"/>
        </w:rPr>
        <w:t>每批Low-COP抛光片抽检的项目有：导电类型，电阻率范围，径向电阻率变化，厚度，总厚度变化，总平整度，弯曲度、翘曲度，目检表面质量、局部光散射体（LLS及COP）、表面金属。</w:t>
      </w:r>
    </w:p>
    <w:p>
      <w:pPr>
        <w:widowControl/>
        <w:numPr>
          <w:ilvl w:val="2"/>
          <w:numId w:val="0"/>
        </w:numPr>
        <w:jc w:val="left"/>
        <w:outlineLvl w:val="3"/>
        <w:rPr>
          <w:rFonts w:ascii="宋体"/>
          <w:kern w:val="0"/>
          <w:szCs w:val="21"/>
        </w:rPr>
      </w:pPr>
      <w:r>
        <w:rPr>
          <w:rFonts w:hint="eastAsia" w:ascii="黑体" w:hAnsi="黑体" w:eastAsia="黑体"/>
          <w:kern w:val="0"/>
          <w:szCs w:val="21"/>
        </w:rPr>
        <w:t>6.3.2</w:t>
      </w:r>
      <w:r>
        <w:rPr>
          <w:rFonts w:hint="eastAsia" w:ascii="宋体"/>
          <w:kern w:val="0"/>
          <w:szCs w:val="21"/>
        </w:rPr>
        <w:t>可由供需双方协商的检验项目：局部平整度、体金属（铁）含量，氧化诱生缺陷。</w:t>
      </w:r>
    </w:p>
    <w:p>
      <w:pPr>
        <w:widowControl/>
        <w:numPr>
          <w:ilvl w:val="2"/>
          <w:numId w:val="0"/>
        </w:numPr>
        <w:jc w:val="left"/>
        <w:outlineLvl w:val="3"/>
        <w:rPr>
          <w:rFonts w:ascii="宋体"/>
          <w:kern w:val="0"/>
          <w:szCs w:val="21"/>
        </w:rPr>
      </w:pPr>
      <w:r>
        <w:rPr>
          <w:rFonts w:hint="eastAsia" w:ascii="黑体" w:hAnsi="黑体" w:eastAsia="黑体"/>
          <w:kern w:val="0"/>
          <w:szCs w:val="21"/>
        </w:rPr>
        <w:t>6.3.3</w:t>
      </w:r>
      <w:r>
        <w:rPr>
          <w:rFonts w:hint="eastAsia" w:ascii="宋体"/>
          <w:kern w:val="0"/>
          <w:szCs w:val="21"/>
        </w:rPr>
        <w:t>其他检验项目如直径、氧碳含量、晶向及晶向偏离度、参考面位置和晶向、参考面或缺口尺寸、边缘轮廓等应满足GB/T 12962和GB/T 12965或GB/T 29504和GB/T 29508的规定，由供方在质量保证书中提供数据，或由供需双方协商确定。</w:t>
      </w:r>
    </w:p>
    <w:p>
      <w:pPr>
        <w:spacing w:before="156" w:beforeLines="50" w:after="156" w:afterLines="50"/>
        <w:rPr>
          <w:rFonts w:ascii="黑体" w:hAnsi="黑体" w:eastAsia="黑体"/>
          <w:szCs w:val="21"/>
        </w:rPr>
      </w:pPr>
      <w:r>
        <w:rPr>
          <w:rFonts w:hint="eastAsia" w:ascii="黑体" w:hAnsi="黑体" w:eastAsia="黑体"/>
          <w:szCs w:val="21"/>
        </w:rPr>
        <w:t>6.4 取样</w:t>
      </w:r>
    </w:p>
    <w:p>
      <w:pPr>
        <w:rPr>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4.</w:t>
      </w:r>
      <w:r>
        <w:rPr>
          <w:rFonts w:ascii="黑体" w:hAnsi="黑体" w:eastAsia="黑体"/>
          <w:szCs w:val="21"/>
        </w:rPr>
        <w:t>1</w:t>
      </w:r>
      <w:r>
        <w:rPr>
          <w:rFonts w:hint="eastAsia"/>
          <w:szCs w:val="21"/>
        </w:rPr>
        <w:t>每批产品如属非破坏性测试项目，检测按GB/T 2828.1的一般检验水平</w:t>
      </w:r>
      <w:r>
        <w:rPr>
          <w:rFonts w:hint="eastAsia" w:ascii="宋体" w:hAnsi="宋体"/>
          <w:szCs w:val="21"/>
        </w:rPr>
        <w:t>Ⅱ，正常检验一次抽样方案，</w:t>
      </w:r>
      <w:r>
        <w:rPr>
          <w:rFonts w:hint="eastAsia"/>
          <w:szCs w:val="21"/>
        </w:rPr>
        <w:t>或由供需双方协商确定的抽样方案进行。</w:t>
      </w:r>
    </w:p>
    <w:p>
      <w:pPr>
        <w:pStyle w:val="22"/>
        <w:ind w:firstLine="0" w:firstLineChars="0"/>
      </w:pPr>
      <w:r>
        <w:rPr>
          <w:rFonts w:hint="eastAsia" w:ascii="黑体" w:hAnsi="黑体" w:eastAsia="黑体"/>
          <w:szCs w:val="21"/>
        </w:rPr>
        <w:t>6.4.2</w:t>
      </w:r>
      <w:r>
        <w:rPr>
          <w:rFonts w:hint="eastAsia"/>
          <w:szCs w:val="21"/>
        </w:rPr>
        <w:t>如属破坏性测试项目，检测按GB/T 2828.1特殊检验水平S-2，正常检验一次抽样方案，或由供需双方协商确定的抽样方案进行。</w:t>
      </w:r>
    </w:p>
    <w:p>
      <w:pPr>
        <w:pStyle w:val="45"/>
        <w:spacing w:before="156" w:after="156"/>
      </w:pPr>
      <w:r>
        <w:rPr>
          <w:rFonts w:hint="eastAsia"/>
        </w:rPr>
        <w:t>6.5检验结果的判定</w:t>
      </w:r>
    </w:p>
    <w:p>
      <w:pPr>
        <w:widowControl/>
        <w:outlineLvl w:val="1"/>
        <w:rPr>
          <w:rFonts w:ascii="宋体" w:hAnsi="宋体"/>
          <w:kern w:val="0"/>
          <w:szCs w:val="20"/>
        </w:rPr>
      </w:pPr>
      <w:r>
        <w:rPr>
          <w:rFonts w:hint="eastAsia" w:ascii="黑体" w:eastAsia="黑体"/>
          <w:kern w:val="0"/>
          <w:szCs w:val="20"/>
        </w:rPr>
        <w:t>6.5.1</w:t>
      </w:r>
      <w:r>
        <w:rPr>
          <w:rFonts w:hint="eastAsia" w:ascii="宋体" w:hAnsi="宋体"/>
          <w:kern w:val="0"/>
          <w:szCs w:val="20"/>
        </w:rPr>
        <w:t>导电类型的检验结果中若有一片不合格，则判定该批产品为不合格。其他项目的接收质量限AQL）见表3 ，或由供需双方协商确定。</w:t>
      </w:r>
    </w:p>
    <w:p>
      <w:pPr>
        <w:pStyle w:val="66"/>
        <w:numPr>
          <w:ilvl w:val="0"/>
          <w:numId w:val="0"/>
        </w:numPr>
        <w:spacing w:before="0" w:after="0"/>
      </w:pPr>
      <w:r>
        <w:rPr>
          <w:rFonts w:hint="eastAsia" w:ascii="黑体" w:hAnsi="黑体" w:eastAsia="黑体"/>
          <w:szCs w:val="20"/>
        </w:rPr>
        <w:t>6.5.2</w:t>
      </w:r>
      <w:r>
        <w:rPr>
          <w:rFonts w:hint="eastAsia"/>
        </w:rPr>
        <w:t>局部光散射体(LLS及COP)、表面金属及体（铁）金属检验结果的判定由供需双方协商确定。</w:t>
      </w:r>
    </w:p>
    <w:p>
      <w:pPr>
        <w:widowControl/>
        <w:outlineLvl w:val="1"/>
        <w:rPr>
          <w:rFonts w:hAnsi="宋体"/>
        </w:rPr>
      </w:pPr>
      <w:r>
        <w:rPr>
          <w:rFonts w:hint="eastAsia" w:ascii="黑体" w:hAnsi="黑体" w:eastAsia="黑体"/>
        </w:rPr>
        <w:t xml:space="preserve">6.5.3 </w:t>
      </w:r>
      <w:r>
        <w:rPr>
          <w:rFonts w:hint="eastAsia" w:hAnsi="宋体"/>
        </w:rPr>
        <w:t>抽检不合格的产品，供方可对不合格项进行全数检验，除去不合格品后，合格品可以重新组批。</w:t>
      </w:r>
    </w:p>
    <w:p>
      <w:pPr>
        <w:pStyle w:val="129"/>
        <w:tabs>
          <w:tab w:val="left" w:pos="360"/>
        </w:tabs>
        <w:spacing w:before="156" w:after="156"/>
      </w:pPr>
    </w:p>
    <w:p>
      <w:pPr>
        <w:pStyle w:val="129"/>
        <w:tabs>
          <w:tab w:val="left" w:pos="360"/>
        </w:tabs>
        <w:spacing w:before="156" w:after="156"/>
      </w:pPr>
      <w:r>
        <w:rPr>
          <w:rFonts w:hint="eastAsia"/>
        </w:rPr>
        <w:t>表3 检测项目及接收质量限</w:t>
      </w:r>
    </w:p>
    <w:tbl>
      <w:tblPr>
        <w:tblStyle w:val="32"/>
        <w:tblpPr w:leftFromText="180" w:rightFromText="180" w:vertAnchor="text" w:horzAnchor="margin" w:tblpY="15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25"/>
        <w:gridCol w:w="3633"/>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bookmarkStart w:id="28" w:name="_Toc41299125"/>
            <w:r>
              <w:rPr>
                <w:rFonts w:hint="eastAsia" w:ascii="宋体"/>
                <w:kern w:val="0"/>
                <w:szCs w:val="20"/>
              </w:rPr>
              <w:t>序号</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检验项目</w:t>
            </w:r>
          </w:p>
        </w:tc>
        <w:tc>
          <w:tcPr>
            <w:tcW w:w="1482" w:type="pct"/>
            <w:vAlign w:val="center"/>
          </w:tcPr>
          <w:p>
            <w:pPr>
              <w:adjustRightInd w:val="0"/>
              <w:spacing w:line="360" w:lineRule="atLeast"/>
              <w:jc w:val="center"/>
              <w:textAlignment w:val="baseline"/>
              <w:rPr>
                <w:rFonts w:ascii="宋体"/>
                <w:kern w:val="0"/>
                <w:szCs w:val="20"/>
              </w:rPr>
            </w:pPr>
            <w:r>
              <w:rPr>
                <w:rFonts w:hint="eastAsia" w:ascii="宋体"/>
                <w:kern w:val="0"/>
                <w:szCs w:val="20"/>
              </w:rPr>
              <w:t>接收质量限（</w:t>
            </w:r>
            <w:r>
              <w:rPr>
                <w:rFonts w:ascii="宋体"/>
                <w:kern w:val="0"/>
                <w:szCs w:val="20"/>
              </w:rPr>
              <w:t>AQL</w:t>
            </w:r>
            <w:r>
              <w:rPr>
                <w:rFonts w:hint="eastAsia" w:ascii="宋体"/>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r>
              <w:rPr>
                <w:rFonts w:ascii="宋体"/>
                <w:kern w:val="0"/>
                <w:szCs w:val="20"/>
              </w:rPr>
              <w:t>1</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电阻率范围</w:t>
            </w:r>
          </w:p>
        </w:tc>
        <w:tc>
          <w:tcPr>
            <w:tcW w:w="1482" w:type="pct"/>
            <w:vAlign w:val="center"/>
          </w:tcPr>
          <w:p>
            <w:pPr>
              <w:adjustRightInd w:val="0"/>
              <w:spacing w:line="360" w:lineRule="atLeast"/>
              <w:jc w:val="center"/>
              <w:textAlignment w:val="baseline"/>
              <w:rPr>
                <w:rFonts w:ascii="宋体"/>
                <w:kern w:val="0"/>
                <w:szCs w:val="20"/>
              </w:rPr>
            </w:pP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r>
              <w:rPr>
                <w:rFonts w:ascii="宋体"/>
                <w:kern w:val="0"/>
                <w:szCs w:val="20"/>
              </w:rPr>
              <w:t>2</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径向电阻率变化</w:t>
            </w:r>
          </w:p>
        </w:tc>
        <w:tc>
          <w:tcPr>
            <w:tcW w:w="1482" w:type="pct"/>
            <w:vAlign w:val="center"/>
          </w:tcPr>
          <w:p>
            <w:pPr>
              <w:adjustRightInd w:val="0"/>
              <w:spacing w:line="360" w:lineRule="atLeast"/>
              <w:jc w:val="center"/>
              <w:textAlignment w:val="baseline"/>
              <w:rPr>
                <w:rFonts w:ascii="宋体"/>
                <w:kern w:val="0"/>
                <w:szCs w:val="20"/>
              </w:rPr>
            </w:pP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r>
              <w:rPr>
                <w:rFonts w:hint="eastAsia" w:ascii="宋体"/>
                <w:kern w:val="0"/>
                <w:szCs w:val="20"/>
              </w:rPr>
              <w:t>3</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厚度及厚度偏差</w:t>
            </w:r>
          </w:p>
        </w:tc>
        <w:tc>
          <w:tcPr>
            <w:tcW w:w="1482" w:type="pct"/>
            <w:vAlign w:val="center"/>
          </w:tcPr>
          <w:p>
            <w:pPr>
              <w:adjustRightInd w:val="0"/>
              <w:spacing w:line="360" w:lineRule="atLeast"/>
              <w:jc w:val="center"/>
              <w:textAlignment w:val="baseline"/>
              <w:rPr>
                <w:rFonts w:ascii="宋体"/>
                <w:kern w:val="0"/>
                <w:szCs w:val="20"/>
              </w:rPr>
            </w:pP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r>
              <w:rPr>
                <w:rFonts w:hint="eastAsia" w:ascii="宋体"/>
                <w:kern w:val="0"/>
                <w:szCs w:val="20"/>
              </w:rPr>
              <w:t>4</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总厚度变化</w:t>
            </w:r>
          </w:p>
        </w:tc>
        <w:tc>
          <w:tcPr>
            <w:tcW w:w="1482" w:type="pct"/>
            <w:vAlign w:val="center"/>
          </w:tcPr>
          <w:p>
            <w:pPr>
              <w:adjustRightInd w:val="0"/>
              <w:spacing w:line="360" w:lineRule="atLeast"/>
              <w:jc w:val="center"/>
              <w:textAlignment w:val="baseline"/>
              <w:rPr>
                <w:rFonts w:ascii="宋体"/>
                <w:kern w:val="0"/>
                <w:szCs w:val="20"/>
              </w:rPr>
            </w:pP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r>
              <w:rPr>
                <w:rFonts w:hint="eastAsia" w:ascii="宋体"/>
                <w:kern w:val="0"/>
                <w:szCs w:val="20"/>
              </w:rPr>
              <w:t>5</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弯曲度</w:t>
            </w:r>
          </w:p>
        </w:tc>
        <w:tc>
          <w:tcPr>
            <w:tcW w:w="1482" w:type="pct"/>
            <w:vAlign w:val="center"/>
          </w:tcPr>
          <w:p>
            <w:pPr>
              <w:adjustRightInd w:val="0"/>
              <w:spacing w:line="360" w:lineRule="atLeast"/>
              <w:jc w:val="center"/>
              <w:textAlignment w:val="baseline"/>
              <w:rPr>
                <w:rFonts w:ascii="宋体"/>
                <w:kern w:val="0"/>
                <w:szCs w:val="20"/>
              </w:rPr>
            </w:pPr>
            <w:r>
              <w:rPr>
                <w:rFonts w:hint="eastAsia"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r>
              <w:rPr>
                <w:rFonts w:ascii="宋体"/>
                <w:kern w:val="0"/>
                <w:szCs w:val="20"/>
              </w:rPr>
              <w:t>6</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翘曲度</w:t>
            </w:r>
          </w:p>
        </w:tc>
        <w:tc>
          <w:tcPr>
            <w:tcW w:w="1482" w:type="pct"/>
            <w:vAlign w:val="center"/>
          </w:tcPr>
          <w:p>
            <w:pPr>
              <w:adjustRightInd w:val="0"/>
              <w:spacing w:line="360" w:lineRule="atLeast"/>
              <w:jc w:val="center"/>
              <w:textAlignment w:val="baseline"/>
              <w:rPr>
                <w:rFonts w:ascii="宋体"/>
                <w:kern w:val="0"/>
                <w:szCs w:val="20"/>
              </w:rPr>
            </w:pP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r>
              <w:rPr>
                <w:rFonts w:ascii="宋体"/>
                <w:kern w:val="0"/>
                <w:szCs w:val="20"/>
              </w:rPr>
              <w:t>7</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总平整度</w:t>
            </w:r>
          </w:p>
        </w:tc>
        <w:tc>
          <w:tcPr>
            <w:tcW w:w="1482" w:type="pct"/>
            <w:vAlign w:val="center"/>
          </w:tcPr>
          <w:p>
            <w:pPr>
              <w:adjustRightInd w:val="0"/>
              <w:spacing w:line="360" w:lineRule="atLeast"/>
              <w:jc w:val="center"/>
              <w:textAlignment w:val="baseline"/>
              <w:rPr>
                <w:rFonts w:ascii="宋体"/>
                <w:kern w:val="0"/>
                <w:szCs w:val="20"/>
              </w:rPr>
            </w:pP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adjustRightInd w:val="0"/>
              <w:spacing w:line="360" w:lineRule="atLeast"/>
              <w:jc w:val="center"/>
              <w:textAlignment w:val="baseline"/>
              <w:rPr>
                <w:rFonts w:ascii="宋体"/>
                <w:kern w:val="0"/>
                <w:szCs w:val="20"/>
              </w:rPr>
            </w:pPr>
            <w:r>
              <w:rPr>
                <w:rFonts w:hint="eastAsia" w:ascii="宋体"/>
                <w:kern w:val="0"/>
                <w:szCs w:val="20"/>
              </w:rPr>
              <w:t>8</w:t>
            </w:r>
          </w:p>
        </w:tc>
        <w:tc>
          <w:tcPr>
            <w:tcW w:w="3165" w:type="pct"/>
            <w:gridSpan w:val="2"/>
            <w:vAlign w:val="center"/>
          </w:tcPr>
          <w:p>
            <w:pPr>
              <w:adjustRightInd w:val="0"/>
              <w:spacing w:line="360" w:lineRule="atLeast"/>
              <w:jc w:val="center"/>
              <w:textAlignment w:val="baseline"/>
              <w:rPr>
                <w:rFonts w:ascii="宋体"/>
                <w:kern w:val="0"/>
                <w:szCs w:val="20"/>
              </w:rPr>
            </w:pPr>
            <w:r>
              <w:rPr>
                <w:rFonts w:hint="eastAsia" w:ascii="宋体"/>
                <w:kern w:val="0"/>
                <w:szCs w:val="20"/>
              </w:rPr>
              <w:t>局部平整度</w:t>
            </w:r>
          </w:p>
        </w:tc>
        <w:tc>
          <w:tcPr>
            <w:tcW w:w="1482" w:type="pct"/>
            <w:vAlign w:val="center"/>
          </w:tcPr>
          <w:p>
            <w:pPr>
              <w:adjustRightInd w:val="0"/>
              <w:spacing w:line="360" w:lineRule="atLeast"/>
              <w:jc w:val="center"/>
              <w:textAlignment w:val="baseline"/>
              <w:rPr>
                <w:rFonts w:ascii="宋体"/>
                <w:kern w:val="0"/>
                <w:szCs w:val="20"/>
              </w:rPr>
            </w:pPr>
            <w:r>
              <w:rPr>
                <w:rFonts w:hint="eastAsia"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353" w:type="pct"/>
            <w:vMerge w:val="restart"/>
            <w:vAlign w:val="center"/>
          </w:tcPr>
          <w:p>
            <w:pPr>
              <w:adjustRightInd w:val="0"/>
              <w:spacing w:line="360" w:lineRule="atLeast"/>
              <w:jc w:val="center"/>
              <w:textAlignment w:val="baseline"/>
              <w:rPr>
                <w:rFonts w:ascii="宋体"/>
                <w:kern w:val="0"/>
                <w:szCs w:val="20"/>
              </w:rPr>
            </w:pPr>
            <w:r>
              <w:rPr>
                <w:rFonts w:hint="eastAsia" w:ascii="宋体"/>
                <w:kern w:val="0"/>
                <w:szCs w:val="20"/>
              </w:rPr>
              <w:t>9</w:t>
            </w:r>
          </w:p>
        </w:tc>
        <w:tc>
          <w:tcPr>
            <w:tcW w:w="1267" w:type="pct"/>
            <w:vMerge w:val="restart"/>
            <w:vAlign w:val="center"/>
          </w:tcPr>
          <w:p>
            <w:pPr>
              <w:adjustRightInd w:val="0"/>
              <w:spacing w:line="360" w:lineRule="atLeast"/>
              <w:jc w:val="center"/>
              <w:textAlignment w:val="baseline"/>
              <w:rPr>
                <w:rFonts w:ascii="宋体"/>
                <w:kern w:val="0"/>
                <w:szCs w:val="20"/>
              </w:rPr>
            </w:pPr>
            <w:r>
              <w:rPr>
                <w:rFonts w:hint="eastAsia" w:ascii="宋体"/>
                <w:kern w:val="0"/>
                <w:szCs w:val="20"/>
              </w:rPr>
              <w:t>表面质量</w:t>
            </w:r>
          </w:p>
        </w:tc>
        <w:tc>
          <w:tcPr>
            <w:tcW w:w="1898" w:type="pct"/>
            <w:vAlign w:val="center"/>
          </w:tcPr>
          <w:p>
            <w:pPr>
              <w:adjustRightInd w:val="0"/>
              <w:spacing w:line="360" w:lineRule="atLeast"/>
              <w:jc w:val="center"/>
              <w:textAlignment w:val="baseline"/>
              <w:rPr>
                <w:rFonts w:ascii="宋体"/>
                <w:kern w:val="0"/>
                <w:szCs w:val="20"/>
              </w:rPr>
            </w:pPr>
            <w:r>
              <w:rPr>
                <w:rFonts w:hint="eastAsia" w:ascii="宋体"/>
                <w:kern w:val="0"/>
                <w:szCs w:val="20"/>
              </w:rPr>
              <w:t>区域沾污</w:t>
            </w:r>
          </w:p>
        </w:tc>
        <w:tc>
          <w:tcPr>
            <w:tcW w:w="1482" w:type="pct"/>
            <w:vAlign w:val="center"/>
          </w:tcPr>
          <w:p>
            <w:pPr>
              <w:adjustRightInd w:val="0"/>
              <w:spacing w:line="360" w:lineRule="atLeast"/>
              <w:ind w:firstLine="420"/>
              <w:jc w:val="center"/>
              <w:textAlignment w:val="baseline"/>
              <w:rPr>
                <w:rFonts w:ascii="宋体"/>
                <w:kern w:val="0"/>
                <w:szCs w:val="20"/>
              </w:rPr>
            </w:pP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353" w:type="pct"/>
            <w:vMerge w:val="continue"/>
            <w:vAlign w:val="center"/>
          </w:tcPr>
          <w:p>
            <w:pPr>
              <w:adjustRightInd w:val="0"/>
              <w:spacing w:line="360" w:lineRule="atLeast"/>
              <w:jc w:val="center"/>
              <w:textAlignment w:val="baseline"/>
              <w:rPr>
                <w:rFonts w:ascii="宋体"/>
                <w:kern w:val="0"/>
                <w:szCs w:val="20"/>
              </w:rPr>
            </w:pPr>
          </w:p>
        </w:tc>
        <w:tc>
          <w:tcPr>
            <w:tcW w:w="1267" w:type="pct"/>
            <w:vMerge w:val="continue"/>
            <w:vAlign w:val="center"/>
          </w:tcPr>
          <w:p>
            <w:pPr>
              <w:adjustRightInd w:val="0"/>
              <w:spacing w:line="360" w:lineRule="atLeast"/>
              <w:jc w:val="center"/>
              <w:textAlignment w:val="baseline"/>
              <w:rPr>
                <w:rFonts w:ascii="宋体"/>
                <w:kern w:val="0"/>
                <w:szCs w:val="20"/>
              </w:rPr>
            </w:pPr>
          </w:p>
        </w:tc>
        <w:tc>
          <w:tcPr>
            <w:tcW w:w="1898" w:type="pct"/>
            <w:vAlign w:val="center"/>
          </w:tcPr>
          <w:p>
            <w:pPr>
              <w:adjustRightInd w:val="0"/>
              <w:spacing w:line="360" w:lineRule="atLeast"/>
              <w:jc w:val="center"/>
              <w:textAlignment w:val="baseline"/>
              <w:rPr>
                <w:rFonts w:ascii="宋体"/>
                <w:kern w:val="0"/>
                <w:szCs w:val="20"/>
              </w:rPr>
            </w:pPr>
            <w:r>
              <w:rPr>
                <w:rFonts w:hint="eastAsia" w:ascii="宋体"/>
                <w:kern w:val="0"/>
                <w:szCs w:val="20"/>
              </w:rPr>
              <w:t>划伤，</w:t>
            </w:r>
            <w:r>
              <w:rPr>
                <w:rFonts w:ascii="宋体"/>
                <w:kern w:val="0"/>
                <w:szCs w:val="20"/>
              </w:rPr>
              <w:t xml:space="preserve"> </w:t>
            </w:r>
            <w:r>
              <w:rPr>
                <w:rFonts w:hint="eastAsia" w:ascii="宋体"/>
                <w:kern w:val="0"/>
                <w:szCs w:val="20"/>
              </w:rPr>
              <w:t>蚀坑</w:t>
            </w:r>
          </w:p>
        </w:tc>
        <w:tc>
          <w:tcPr>
            <w:tcW w:w="1482" w:type="pct"/>
            <w:vAlign w:val="center"/>
          </w:tcPr>
          <w:p>
            <w:pPr>
              <w:adjustRightInd w:val="0"/>
              <w:spacing w:line="360" w:lineRule="atLeast"/>
              <w:ind w:firstLine="420"/>
              <w:jc w:val="center"/>
              <w:textAlignment w:val="baseline"/>
              <w:rPr>
                <w:rFonts w:ascii="宋体"/>
                <w:kern w:val="0"/>
                <w:szCs w:val="20"/>
              </w:rPr>
            </w:pP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353" w:type="pct"/>
            <w:vMerge w:val="continue"/>
            <w:vAlign w:val="center"/>
          </w:tcPr>
          <w:p>
            <w:pPr>
              <w:adjustRightInd w:val="0"/>
              <w:spacing w:line="360" w:lineRule="atLeast"/>
              <w:jc w:val="center"/>
              <w:textAlignment w:val="baseline"/>
              <w:rPr>
                <w:rFonts w:ascii="宋体"/>
                <w:kern w:val="0"/>
                <w:szCs w:val="20"/>
              </w:rPr>
            </w:pPr>
          </w:p>
        </w:tc>
        <w:tc>
          <w:tcPr>
            <w:tcW w:w="1267" w:type="pct"/>
            <w:vMerge w:val="continue"/>
            <w:vAlign w:val="center"/>
          </w:tcPr>
          <w:p>
            <w:pPr>
              <w:adjustRightInd w:val="0"/>
              <w:spacing w:line="360" w:lineRule="atLeast"/>
              <w:jc w:val="center"/>
              <w:textAlignment w:val="baseline"/>
              <w:rPr>
                <w:rFonts w:ascii="宋体"/>
                <w:kern w:val="0"/>
                <w:szCs w:val="20"/>
              </w:rPr>
            </w:pPr>
          </w:p>
        </w:tc>
        <w:tc>
          <w:tcPr>
            <w:tcW w:w="1898" w:type="pct"/>
            <w:vAlign w:val="center"/>
          </w:tcPr>
          <w:p>
            <w:pPr>
              <w:adjustRightInd w:val="0"/>
              <w:spacing w:line="360" w:lineRule="atLeast"/>
              <w:jc w:val="center"/>
              <w:textAlignment w:val="baseline"/>
              <w:rPr>
                <w:rFonts w:ascii="宋体"/>
                <w:kern w:val="0"/>
                <w:szCs w:val="20"/>
              </w:rPr>
            </w:pPr>
            <w:r>
              <w:rPr>
                <w:rFonts w:hint="eastAsia" w:ascii="宋体"/>
                <w:kern w:val="0"/>
                <w:szCs w:val="20"/>
              </w:rPr>
              <w:t>崩边，</w:t>
            </w:r>
            <w:r>
              <w:rPr>
                <w:rFonts w:ascii="宋体"/>
                <w:kern w:val="0"/>
                <w:szCs w:val="20"/>
              </w:rPr>
              <w:t xml:space="preserve"> </w:t>
            </w:r>
            <w:r>
              <w:rPr>
                <w:rFonts w:hint="eastAsia" w:ascii="宋体"/>
                <w:kern w:val="0"/>
                <w:szCs w:val="20"/>
              </w:rPr>
              <w:t>裂纹</w:t>
            </w:r>
          </w:p>
        </w:tc>
        <w:tc>
          <w:tcPr>
            <w:tcW w:w="1482" w:type="pct"/>
            <w:vAlign w:val="center"/>
          </w:tcPr>
          <w:p>
            <w:pPr>
              <w:adjustRightInd w:val="0"/>
              <w:spacing w:line="360" w:lineRule="atLeast"/>
              <w:ind w:firstLine="420"/>
              <w:jc w:val="center"/>
              <w:textAlignment w:val="baseline"/>
              <w:rPr>
                <w:rFonts w:ascii="宋体"/>
                <w:kern w:val="0"/>
                <w:szCs w:val="20"/>
              </w:rPr>
            </w:pPr>
            <w:r>
              <w:rPr>
                <w:rFonts w:hint="eastAsia" w:ascii="宋体"/>
                <w:kern w:val="0"/>
                <w:szCs w:val="20"/>
              </w:rPr>
              <w:t>累计</w:t>
            </w: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353" w:type="pct"/>
            <w:vMerge w:val="continue"/>
            <w:vAlign w:val="center"/>
          </w:tcPr>
          <w:p>
            <w:pPr>
              <w:adjustRightInd w:val="0"/>
              <w:spacing w:line="360" w:lineRule="atLeast"/>
              <w:jc w:val="center"/>
              <w:textAlignment w:val="baseline"/>
              <w:rPr>
                <w:rFonts w:ascii="宋体"/>
                <w:kern w:val="0"/>
                <w:szCs w:val="20"/>
              </w:rPr>
            </w:pPr>
          </w:p>
        </w:tc>
        <w:tc>
          <w:tcPr>
            <w:tcW w:w="1267" w:type="pct"/>
            <w:vMerge w:val="continue"/>
            <w:vAlign w:val="center"/>
          </w:tcPr>
          <w:p>
            <w:pPr>
              <w:adjustRightInd w:val="0"/>
              <w:spacing w:line="360" w:lineRule="atLeast"/>
              <w:jc w:val="center"/>
              <w:textAlignment w:val="baseline"/>
              <w:rPr>
                <w:rFonts w:ascii="宋体"/>
                <w:kern w:val="0"/>
                <w:szCs w:val="20"/>
              </w:rPr>
            </w:pPr>
          </w:p>
        </w:tc>
        <w:tc>
          <w:tcPr>
            <w:tcW w:w="1898" w:type="pct"/>
            <w:vAlign w:val="center"/>
          </w:tcPr>
          <w:p>
            <w:pPr>
              <w:adjustRightInd w:val="0"/>
              <w:spacing w:line="360" w:lineRule="atLeast"/>
              <w:jc w:val="center"/>
              <w:textAlignment w:val="baseline"/>
              <w:rPr>
                <w:rFonts w:ascii="宋体"/>
                <w:kern w:val="0"/>
                <w:szCs w:val="20"/>
              </w:rPr>
            </w:pPr>
            <w:r>
              <w:rPr>
                <w:rFonts w:hint="eastAsia" w:ascii="宋体"/>
                <w:kern w:val="0"/>
                <w:szCs w:val="20"/>
              </w:rPr>
              <w:t>沟槽，凹坑，小丘，橘皮</w:t>
            </w:r>
          </w:p>
        </w:tc>
        <w:tc>
          <w:tcPr>
            <w:tcW w:w="1482" w:type="pct"/>
            <w:vAlign w:val="center"/>
          </w:tcPr>
          <w:p>
            <w:pPr>
              <w:adjustRightInd w:val="0"/>
              <w:spacing w:line="360" w:lineRule="atLeast"/>
              <w:ind w:firstLine="420"/>
              <w:jc w:val="center"/>
              <w:textAlignment w:val="baseline"/>
              <w:rPr>
                <w:rFonts w:ascii="宋体"/>
                <w:kern w:val="0"/>
                <w:szCs w:val="20"/>
              </w:rPr>
            </w:pPr>
            <w:r>
              <w:rPr>
                <w:rFonts w:hint="eastAsia" w:ascii="宋体"/>
                <w:kern w:val="0"/>
                <w:szCs w:val="20"/>
              </w:rPr>
              <w:t>累计</w:t>
            </w: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353" w:type="pct"/>
            <w:vMerge w:val="continue"/>
            <w:vAlign w:val="center"/>
          </w:tcPr>
          <w:p>
            <w:pPr>
              <w:adjustRightInd w:val="0"/>
              <w:spacing w:line="360" w:lineRule="atLeast"/>
              <w:jc w:val="center"/>
              <w:textAlignment w:val="baseline"/>
              <w:rPr>
                <w:rFonts w:ascii="宋体"/>
                <w:kern w:val="0"/>
                <w:szCs w:val="20"/>
              </w:rPr>
            </w:pPr>
          </w:p>
        </w:tc>
        <w:tc>
          <w:tcPr>
            <w:tcW w:w="1267" w:type="pct"/>
            <w:vMerge w:val="continue"/>
            <w:vAlign w:val="center"/>
          </w:tcPr>
          <w:p>
            <w:pPr>
              <w:adjustRightInd w:val="0"/>
              <w:spacing w:line="360" w:lineRule="atLeast"/>
              <w:jc w:val="center"/>
              <w:textAlignment w:val="baseline"/>
              <w:rPr>
                <w:rFonts w:ascii="宋体"/>
                <w:kern w:val="0"/>
                <w:szCs w:val="20"/>
              </w:rPr>
            </w:pPr>
          </w:p>
        </w:tc>
        <w:tc>
          <w:tcPr>
            <w:tcW w:w="1898" w:type="pct"/>
            <w:vAlign w:val="center"/>
          </w:tcPr>
          <w:p>
            <w:pPr>
              <w:adjustRightInd w:val="0"/>
              <w:spacing w:line="360" w:lineRule="atLeast"/>
              <w:jc w:val="center"/>
              <w:textAlignment w:val="baseline"/>
              <w:rPr>
                <w:rFonts w:ascii="宋体"/>
                <w:kern w:val="0"/>
                <w:szCs w:val="20"/>
              </w:rPr>
            </w:pPr>
            <w:r>
              <w:rPr>
                <w:rFonts w:hint="eastAsia" w:ascii="宋体"/>
                <w:kern w:val="0"/>
                <w:szCs w:val="20"/>
              </w:rPr>
              <w:t>刀痕（线痕）、杂质条纹</w:t>
            </w:r>
          </w:p>
        </w:tc>
        <w:tc>
          <w:tcPr>
            <w:tcW w:w="1482" w:type="pct"/>
            <w:vAlign w:val="center"/>
          </w:tcPr>
          <w:p>
            <w:pPr>
              <w:adjustRightInd w:val="0"/>
              <w:spacing w:line="360" w:lineRule="atLeast"/>
              <w:ind w:firstLine="420"/>
              <w:jc w:val="center"/>
              <w:textAlignment w:val="baseline"/>
              <w:rPr>
                <w:rFonts w:ascii="宋体"/>
                <w:kern w:val="0"/>
                <w:szCs w:val="20"/>
              </w:rPr>
            </w:pPr>
            <w:r>
              <w:rPr>
                <w:rFonts w:hint="eastAsia" w:ascii="宋体"/>
                <w:kern w:val="0"/>
                <w:szCs w:val="20"/>
              </w:rPr>
              <w:t>累计</w:t>
            </w:r>
            <w:r>
              <w:rPr>
                <w:rFonts w:ascii="宋体"/>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53" w:type="pct"/>
            <w:vMerge w:val="continue"/>
            <w:vAlign w:val="center"/>
          </w:tcPr>
          <w:p>
            <w:pPr>
              <w:adjustRightInd w:val="0"/>
              <w:spacing w:line="360" w:lineRule="atLeast"/>
              <w:jc w:val="center"/>
              <w:textAlignment w:val="baseline"/>
              <w:rPr>
                <w:rFonts w:ascii="宋体"/>
                <w:kern w:val="0"/>
                <w:szCs w:val="20"/>
              </w:rPr>
            </w:pPr>
          </w:p>
        </w:tc>
        <w:tc>
          <w:tcPr>
            <w:tcW w:w="1267" w:type="pct"/>
            <w:vMerge w:val="continue"/>
            <w:vAlign w:val="center"/>
          </w:tcPr>
          <w:p>
            <w:pPr>
              <w:adjustRightInd w:val="0"/>
              <w:spacing w:line="360" w:lineRule="atLeast"/>
              <w:jc w:val="center"/>
              <w:textAlignment w:val="baseline"/>
              <w:rPr>
                <w:rFonts w:ascii="宋体"/>
                <w:kern w:val="0"/>
                <w:szCs w:val="20"/>
              </w:rPr>
            </w:pPr>
          </w:p>
        </w:tc>
        <w:tc>
          <w:tcPr>
            <w:tcW w:w="1898" w:type="pct"/>
            <w:vAlign w:val="center"/>
          </w:tcPr>
          <w:p>
            <w:pPr>
              <w:adjustRightInd w:val="0"/>
              <w:spacing w:line="360" w:lineRule="atLeast"/>
              <w:jc w:val="center"/>
              <w:textAlignment w:val="baseline"/>
              <w:rPr>
                <w:rFonts w:ascii="宋体"/>
                <w:kern w:val="0"/>
                <w:szCs w:val="20"/>
              </w:rPr>
            </w:pPr>
            <w:r>
              <w:rPr>
                <w:rFonts w:hint="eastAsia" w:ascii="宋体"/>
                <w:kern w:val="0"/>
                <w:szCs w:val="20"/>
              </w:rPr>
              <w:t>累计</w:t>
            </w:r>
          </w:p>
        </w:tc>
        <w:tc>
          <w:tcPr>
            <w:tcW w:w="1482" w:type="pct"/>
            <w:vAlign w:val="center"/>
          </w:tcPr>
          <w:p>
            <w:pPr>
              <w:adjustRightInd w:val="0"/>
              <w:spacing w:line="360" w:lineRule="atLeast"/>
              <w:ind w:firstLine="420"/>
              <w:jc w:val="center"/>
              <w:textAlignment w:val="baseline"/>
              <w:rPr>
                <w:rFonts w:ascii="宋体"/>
                <w:kern w:val="0"/>
                <w:szCs w:val="20"/>
              </w:rPr>
            </w:pPr>
            <w:r>
              <w:rPr>
                <w:rFonts w:hint="eastAsia" w:ascii="宋体"/>
                <w:kern w:val="0"/>
                <w:szCs w:val="20"/>
              </w:rPr>
              <w:t>累计2</w:t>
            </w:r>
            <w:r>
              <w:rPr>
                <w:rFonts w:ascii="宋体"/>
                <w:kern w:val="0"/>
                <w:szCs w:val="20"/>
              </w:rPr>
              <w:t>.0</w:t>
            </w:r>
          </w:p>
        </w:tc>
      </w:tr>
    </w:tbl>
    <w:p>
      <w:pPr>
        <w:pStyle w:val="48"/>
        <w:spacing w:before="312" w:after="312"/>
      </w:pPr>
      <w:r>
        <w:rPr>
          <w:rFonts w:hint="eastAsia"/>
        </w:rPr>
        <w:t>7标志、</w:t>
      </w:r>
      <w:r>
        <w:t>包装、运输、贮存和</w:t>
      </w:r>
      <w:r>
        <w:rPr>
          <w:rFonts w:hint="eastAsia"/>
        </w:rPr>
        <w:t>随行文件</w:t>
      </w:r>
    </w:p>
    <w:p>
      <w:pPr>
        <w:pStyle w:val="45"/>
        <w:spacing w:before="156" w:after="156"/>
      </w:pPr>
      <w:r>
        <w:rPr>
          <w:rFonts w:hint="eastAsia"/>
        </w:rPr>
        <w:t>7.1标志</w:t>
      </w:r>
    </w:p>
    <w:p>
      <w:pPr>
        <w:pStyle w:val="66"/>
        <w:spacing w:before="0" w:after="0"/>
        <w:rPr>
          <w:rFonts w:ascii="黑体" w:hAnsi="黑体" w:eastAsia="黑体"/>
        </w:rPr>
      </w:pPr>
      <w:r>
        <w:rPr>
          <w:rFonts w:hint="eastAsia" w:ascii="黑体" w:hAnsi="黑体" w:eastAsia="黑体"/>
        </w:rPr>
        <w:t>7.1.1</w:t>
      </w:r>
      <w:r>
        <w:t>在检验合格的</w:t>
      </w:r>
      <w:r>
        <w:rPr>
          <w:rFonts w:hint="eastAsia"/>
        </w:rPr>
        <w:t>Low-COP抛光片</w:t>
      </w:r>
      <w:r>
        <w:t>包装</w:t>
      </w:r>
      <w:r>
        <w:rPr>
          <w:rFonts w:hint="eastAsia"/>
        </w:rPr>
        <w:t>盒</w:t>
      </w:r>
      <w:r>
        <w:t>上张贴标签</w:t>
      </w:r>
      <w:r>
        <w:rPr>
          <w:rFonts w:hint="eastAsia"/>
        </w:rPr>
        <w:t>，其上</w:t>
      </w:r>
      <w:r>
        <w:t>注明：</w:t>
      </w:r>
    </w:p>
    <w:p>
      <w:pPr>
        <w:pStyle w:val="66"/>
        <w:numPr>
          <w:ilvl w:val="0"/>
          <w:numId w:val="18"/>
        </w:numPr>
        <w:spacing w:before="0" w:after="0"/>
      </w:pPr>
      <w:r>
        <w:rPr>
          <w:rFonts w:hint="eastAsia"/>
        </w:rPr>
        <w:t>产品名称；</w:t>
      </w:r>
    </w:p>
    <w:p>
      <w:pPr>
        <w:pStyle w:val="66"/>
        <w:numPr>
          <w:ilvl w:val="0"/>
          <w:numId w:val="18"/>
        </w:numPr>
        <w:spacing w:before="0" w:after="0"/>
      </w:pPr>
      <w:r>
        <w:rPr>
          <w:rFonts w:hint="eastAsia"/>
        </w:rPr>
        <w:t>产品批号；</w:t>
      </w:r>
    </w:p>
    <w:p>
      <w:pPr>
        <w:pStyle w:val="66"/>
        <w:numPr>
          <w:ilvl w:val="0"/>
          <w:numId w:val="18"/>
        </w:numPr>
        <w:spacing w:before="0" w:after="0"/>
      </w:pPr>
      <w:r>
        <w:rPr>
          <w:rFonts w:hint="eastAsia"/>
        </w:rPr>
        <w:t>产品数量。</w:t>
      </w:r>
    </w:p>
    <w:p>
      <w:pPr>
        <w:pStyle w:val="66"/>
        <w:spacing w:before="0" w:after="0"/>
        <w:rPr>
          <w:rFonts w:ascii="黑体" w:hAnsi="黑体" w:eastAsia="黑体"/>
        </w:rPr>
      </w:pPr>
      <w:r>
        <w:rPr>
          <w:rFonts w:hint="eastAsia" w:ascii="黑体" w:hAnsi="黑体" w:eastAsia="黑体"/>
        </w:rPr>
        <w:t xml:space="preserve">7.1.2 </w:t>
      </w:r>
      <w:r>
        <w:rPr>
          <w:rFonts w:hint="eastAsia"/>
        </w:rPr>
        <w:t>Low-COP抛光片应</w:t>
      </w:r>
      <w:r>
        <w:t>成</w:t>
      </w:r>
      <w:r>
        <w:rPr>
          <w:rFonts w:hint="eastAsia"/>
        </w:rPr>
        <w:t>箱包装</w:t>
      </w:r>
      <w:r>
        <w:t>，每箱</w:t>
      </w:r>
      <w:r>
        <w:rPr>
          <w:rFonts w:hint="eastAsia"/>
        </w:rPr>
        <w:t>外侧应注明</w:t>
      </w:r>
      <w:r>
        <w:t>：</w:t>
      </w:r>
    </w:p>
    <w:p>
      <w:pPr>
        <w:pStyle w:val="66"/>
        <w:numPr>
          <w:ilvl w:val="0"/>
          <w:numId w:val="19"/>
        </w:numPr>
        <w:spacing w:before="0" w:after="0"/>
      </w:pPr>
      <w:r>
        <w:rPr>
          <w:rFonts w:hint="eastAsia"/>
        </w:rPr>
        <w:t>供方名称</w:t>
      </w:r>
      <w:r>
        <w:t>；</w:t>
      </w:r>
    </w:p>
    <w:p>
      <w:pPr>
        <w:pStyle w:val="66"/>
        <w:numPr>
          <w:ilvl w:val="0"/>
          <w:numId w:val="19"/>
        </w:numPr>
        <w:spacing w:before="0" w:after="0"/>
      </w:pPr>
      <w:r>
        <w:rPr>
          <w:rFonts w:hint="eastAsia"/>
        </w:rPr>
        <w:t>产品名称；</w:t>
      </w:r>
    </w:p>
    <w:p>
      <w:pPr>
        <w:pStyle w:val="66"/>
        <w:numPr>
          <w:ilvl w:val="0"/>
          <w:numId w:val="19"/>
        </w:numPr>
        <w:spacing w:before="0" w:after="0"/>
      </w:pPr>
      <w:r>
        <w:rPr>
          <w:rFonts w:hint="eastAsia"/>
        </w:rPr>
        <w:t>产品数量；</w:t>
      </w:r>
    </w:p>
    <w:p>
      <w:pPr>
        <w:pStyle w:val="66"/>
        <w:numPr>
          <w:ilvl w:val="0"/>
          <w:numId w:val="19"/>
        </w:numPr>
        <w:spacing w:before="0" w:after="0"/>
      </w:pPr>
      <w:r>
        <w:rPr>
          <w:rFonts w:hint="eastAsia"/>
        </w:rPr>
        <w:t>“小心轻放”“防潮”“易碎”“防腐”标志</w:t>
      </w:r>
      <w:r>
        <w:t>或字样</w:t>
      </w:r>
      <w:r>
        <w:rPr>
          <w:rFonts w:hint="eastAsia"/>
        </w:rPr>
        <w:t>。</w:t>
      </w:r>
    </w:p>
    <w:p>
      <w:pPr>
        <w:pStyle w:val="45"/>
        <w:spacing w:before="156" w:after="156"/>
      </w:pPr>
      <w:r>
        <w:rPr>
          <w:rFonts w:hint="eastAsia"/>
        </w:rPr>
        <w:t>7.2包装</w:t>
      </w:r>
    </w:p>
    <w:p>
      <w:pPr>
        <w:pStyle w:val="66"/>
        <w:numPr>
          <w:ilvl w:val="0"/>
          <w:numId w:val="0"/>
        </w:numPr>
        <w:spacing w:before="0" w:after="0"/>
        <w:ind w:firstLine="420" w:firstLineChars="200"/>
        <w:rPr>
          <w:rFonts w:ascii="黑体" w:hAnsi="黑体" w:eastAsia="黑体"/>
        </w:rPr>
      </w:pPr>
      <w:r>
        <w:rPr>
          <w:rFonts w:hint="eastAsia"/>
        </w:rPr>
        <w:t>Low-COP抛光片包装</w:t>
      </w:r>
      <w:r>
        <w:t>按</w:t>
      </w:r>
      <w:r>
        <w:rPr>
          <w:rFonts w:hint="eastAsia"/>
        </w:rPr>
        <w:t>YS/T 28的规定进行，也可由供需双方协商确定。</w:t>
      </w:r>
    </w:p>
    <w:p>
      <w:pPr>
        <w:pStyle w:val="45"/>
        <w:spacing w:before="156" w:after="156"/>
      </w:pPr>
      <w:r>
        <w:rPr>
          <w:rFonts w:hint="eastAsia"/>
        </w:rPr>
        <w:t>7.3运输</w:t>
      </w:r>
    </w:p>
    <w:p>
      <w:pPr>
        <w:pStyle w:val="66"/>
        <w:numPr>
          <w:ilvl w:val="0"/>
          <w:numId w:val="0"/>
        </w:numPr>
        <w:spacing w:before="0" w:after="0"/>
        <w:ind w:firstLine="420" w:firstLineChars="200"/>
      </w:pPr>
      <w:r>
        <w:rPr>
          <w:rFonts w:hint="eastAsia"/>
        </w:rPr>
        <w:t>Low-COP抛光片</w:t>
      </w:r>
      <w:r>
        <w:t>在运输过程中应轻装轻卸，严禁抛掷，</w:t>
      </w:r>
      <w:r>
        <w:rPr>
          <w:rFonts w:hint="eastAsia"/>
        </w:rPr>
        <w:t>勿挤压，</w:t>
      </w:r>
      <w:r>
        <w:t>且应采取防震、防潮措施。</w:t>
      </w:r>
    </w:p>
    <w:p>
      <w:pPr>
        <w:pStyle w:val="45"/>
        <w:spacing w:before="156" w:after="156"/>
      </w:pPr>
      <w:r>
        <w:rPr>
          <w:rFonts w:hint="eastAsia"/>
        </w:rPr>
        <w:t>7.4贮存</w:t>
      </w:r>
    </w:p>
    <w:p>
      <w:pPr>
        <w:pStyle w:val="66"/>
        <w:numPr>
          <w:ilvl w:val="0"/>
          <w:numId w:val="0"/>
        </w:numPr>
        <w:spacing w:before="0" w:after="0"/>
        <w:ind w:firstLine="420" w:firstLineChars="200"/>
      </w:pPr>
      <w:r>
        <w:rPr>
          <w:rFonts w:hint="eastAsia"/>
        </w:rPr>
        <w:t>Low-COP抛光片应贮存在清洁、干燥的环境中</w:t>
      </w:r>
      <w:r>
        <w:t>。</w:t>
      </w:r>
    </w:p>
    <w:p>
      <w:pPr>
        <w:pStyle w:val="45"/>
        <w:spacing w:before="156" w:after="156"/>
        <w:rPr>
          <w:rFonts w:hAnsi="宋体"/>
        </w:rPr>
      </w:pPr>
      <w:r>
        <w:rPr>
          <w:rFonts w:hint="eastAsia"/>
        </w:rPr>
        <w:t>7.5随行文件</w:t>
      </w:r>
    </w:p>
    <w:p>
      <w:pPr>
        <w:pStyle w:val="66"/>
        <w:numPr>
          <w:ilvl w:val="0"/>
          <w:numId w:val="0"/>
        </w:numPr>
        <w:spacing w:before="0" w:after="0"/>
        <w:ind w:firstLine="420"/>
      </w:pPr>
      <w:r>
        <w:rPr>
          <w:rFonts w:hint="eastAsia"/>
        </w:rPr>
        <w:t>每批Low-COP抛光片</w:t>
      </w:r>
      <w:r>
        <w:t>应附有</w:t>
      </w:r>
      <w:r>
        <w:rPr>
          <w:rFonts w:hint="eastAsia"/>
        </w:rPr>
        <w:t>随行文件，其中包括：</w:t>
      </w:r>
    </w:p>
    <w:p>
      <w:pPr>
        <w:pStyle w:val="66"/>
        <w:numPr>
          <w:ilvl w:val="0"/>
          <w:numId w:val="20"/>
        </w:numPr>
        <w:spacing w:before="0" w:after="0"/>
      </w:pPr>
      <w:r>
        <w:rPr>
          <w:rFonts w:hint="eastAsia"/>
        </w:rPr>
        <w:t>供方名称；</w:t>
      </w:r>
    </w:p>
    <w:p>
      <w:pPr>
        <w:pStyle w:val="162"/>
        <w:numPr>
          <w:ilvl w:val="0"/>
          <w:numId w:val="20"/>
        </w:numPr>
        <w:ind w:firstLineChars="0"/>
        <w:rPr>
          <w:rFonts w:ascii="宋体"/>
          <w:kern w:val="0"/>
          <w:szCs w:val="21"/>
        </w:rPr>
      </w:pPr>
      <w:r>
        <w:rPr>
          <w:rFonts w:hint="eastAsia" w:ascii="宋体"/>
          <w:kern w:val="0"/>
          <w:szCs w:val="21"/>
        </w:rPr>
        <w:t>产品名称及规格、牌号；</w:t>
      </w:r>
    </w:p>
    <w:p>
      <w:pPr>
        <w:pStyle w:val="66"/>
        <w:numPr>
          <w:ilvl w:val="0"/>
          <w:numId w:val="20"/>
        </w:numPr>
        <w:spacing w:before="0" w:after="0"/>
      </w:pPr>
      <w:r>
        <w:rPr>
          <w:rFonts w:hint="eastAsia"/>
        </w:rPr>
        <w:t>产品批号；</w:t>
      </w:r>
    </w:p>
    <w:p>
      <w:pPr>
        <w:pStyle w:val="66"/>
        <w:numPr>
          <w:ilvl w:val="0"/>
          <w:numId w:val="20"/>
        </w:numPr>
        <w:spacing w:before="0" w:after="0"/>
      </w:pPr>
      <w:r>
        <w:rPr>
          <w:rFonts w:hint="eastAsia"/>
        </w:rPr>
        <w:t>产品片数（盒数）；</w:t>
      </w:r>
    </w:p>
    <w:p>
      <w:pPr>
        <w:pStyle w:val="66"/>
        <w:numPr>
          <w:ilvl w:val="0"/>
          <w:numId w:val="20"/>
        </w:numPr>
        <w:spacing w:before="0" w:after="0"/>
      </w:pPr>
      <w:r>
        <w:rPr>
          <w:rFonts w:hint="eastAsia"/>
        </w:rPr>
        <w:t>各项参数检验结果和检验部门的印记；</w:t>
      </w:r>
    </w:p>
    <w:p>
      <w:pPr>
        <w:pStyle w:val="66"/>
        <w:numPr>
          <w:ilvl w:val="0"/>
          <w:numId w:val="20"/>
        </w:numPr>
        <w:spacing w:before="0" w:after="0"/>
      </w:pPr>
      <w:r>
        <w:rPr>
          <w:rFonts w:hint="eastAsia"/>
        </w:rPr>
        <w:t>出厂日期；</w:t>
      </w:r>
    </w:p>
    <w:p>
      <w:pPr>
        <w:pStyle w:val="66"/>
        <w:numPr>
          <w:ilvl w:val="0"/>
          <w:numId w:val="20"/>
        </w:numPr>
        <w:spacing w:before="0" w:after="0"/>
      </w:pPr>
      <w:r>
        <w:t>本文件编号</w:t>
      </w:r>
      <w:r>
        <w:rPr>
          <w:rFonts w:hint="eastAsia"/>
        </w:rPr>
        <w:t>。</w:t>
      </w:r>
    </w:p>
    <w:p>
      <w:pPr>
        <w:pStyle w:val="48"/>
        <w:spacing w:before="312" w:after="312"/>
      </w:pPr>
      <w:r>
        <w:rPr>
          <w:rFonts w:hint="eastAsia"/>
        </w:rPr>
        <w:t>8订货单</w:t>
      </w:r>
      <w:bookmarkEnd w:id="28"/>
      <w:r>
        <w:t>内容</w:t>
      </w:r>
    </w:p>
    <w:p>
      <w:pPr>
        <w:pStyle w:val="66"/>
        <w:numPr>
          <w:ilvl w:val="0"/>
          <w:numId w:val="0"/>
        </w:numPr>
        <w:ind w:firstLine="420" w:firstLineChars="200"/>
      </w:pPr>
      <w:r>
        <w:rPr>
          <w:rFonts w:hint="eastAsia"/>
        </w:rPr>
        <w:t>需方可根据自身的需要，在订购本文件</w:t>
      </w:r>
      <w:r>
        <w:t>所列</w:t>
      </w:r>
      <w:r>
        <w:rPr>
          <w:rFonts w:hint="eastAsia"/>
        </w:rPr>
        <w:t>产品</w:t>
      </w:r>
      <w:r>
        <w:t>的订货单</w:t>
      </w:r>
      <w:r>
        <w:rPr>
          <w:rFonts w:hint="eastAsia"/>
        </w:rPr>
        <w:t>内，列出以下</w:t>
      </w:r>
      <w:r>
        <w:t>内容：</w:t>
      </w:r>
    </w:p>
    <w:p>
      <w:pPr>
        <w:pStyle w:val="66"/>
        <w:numPr>
          <w:ilvl w:val="0"/>
          <w:numId w:val="21"/>
        </w:numPr>
        <w:spacing w:before="0" w:after="0"/>
      </w:pPr>
      <w:r>
        <w:rPr>
          <w:rFonts w:hint="eastAsia"/>
        </w:rPr>
        <w:t>产品名称；</w:t>
      </w:r>
    </w:p>
    <w:p>
      <w:pPr>
        <w:pStyle w:val="66"/>
        <w:numPr>
          <w:ilvl w:val="0"/>
          <w:numId w:val="21"/>
        </w:numPr>
        <w:spacing w:before="0" w:after="0"/>
      </w:pPr>
      <w:r>
        <w:rPr>
          <w:rFonts w:hint="eastAsia"/>
        </w:rPr>
        <w:t>产品技术要求；</w:t>
      </w:r>
    </w:p>
    <w:p>
      <w:pPr>
        <w:pStyle w:val="66"/>
        <w:numPr>
          <w:ilvl w:val="0"/>
          <w:numId w:val="21"/>
        </w:numPr>
        <w:spacing w:before="0" w:after="0"/>
      </w:pPr>
      <w:r>
        <w:rPr>
          <w:rFonts w:hint="eastAsia"/>
        </w:rPr>
        <w:t>产品</w:t>
      </w:r>
      <w:r>
        <w:t>数量</w:t>
      </w:r>
      <w:r>
        <w:rPr>
          <w:rFonts w:hint="eastAsia"/>
        </w:rPr>
        <w:t>；</w:t>
      </w:r>
    </w:p>
    <w:p>
      <w:pPr>
        <w:pStyle w:val="66"/>
        <w:numPr>
          <w:ilvl w:val="0"/>
          <w:numId w:val="21"/>
        </w:numPr>
        <w:spacing w:before="0" w:after="0"/>
      </w:pPr>
      <w:r>
        <w:rPr>
          <w:rFonts w:hint="eastAsia"/>
        </w:rPr>
        <w:t>本文件编号；</w:t>
      </w:r>
    </w:p>
    <w:p>
      <w:pPr>
        <w:pStyle w:val="66"/>
        <w:numPr>
          <w:ilvl w:val="0"/>
          <w:numId w:val="21"/>
        </w:numPr>
        <w:spacing w:before="0" w:after="0"/>
      </w:pPr>
      <w:r>
        <w:rPr>
          <w:rFonts w:hint="eastAsia"/>
        </w:rPr>
        <w:t>本文件中要求在订货单中注明的内容；</w:t>
      </w:r>
    </w:p>
    <w:p>
      <w:pPr>
        <w:pStyle w:val="66"/>
        <w:numPr>
          <w:ilvl w:val="0"/>
          <w:numId w:val="21"/>
        </w:numPr>
        <w:spacing w:before="0" w:after="0"/>
      </w:pPr>
      <w:r>
        <w:rPr>
          <w:rFonts w:hint="eastAsia"/>
        </w:rPr>
        <w:t>其他。</w:t>
      </w:r>
    </w:p>
    <w:p>
      <w:pPr>
        <w:pStyle w:val="22"/>
      </w:pPr>
    </w:p>
    <w:p>
      <w:pPr>
        <w:pStyle w:val="22"/>
      </w:pPr>
    </w:p>
    <w:p>
      <w:pPr>
        <w:pStyle w:val="22"/>
      </w:pPr>
    </w:p>
    <w:p>
      <w:pPr>
        <w:pStyle w:val="132"/>
        <w:framePr w:wrap="around"/>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STXihei">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GB/T </w:t>
    </w:r>
    <w:r>
      <w:rPr>
        <w:rFonts w:hint="eastAsia"/>
      </w:rPr>
      <w:t>26069</w:t>
    </w:r>
    <w:r>
      <w:t>XXXX</w:t>
    </w:r>
    <w:r>
      <w:rPr>
        <w:color w:val="00B050"/>
      </w:rPr>
      <w:t>—XXXX</w:t>
    </w:r>
    <w:r>
      <w:rPr>
        <w:rFonts w:hint="eastAsia"/>
        <w:color w:val="00B05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9D61A3"/>
    <w:multiLevelType w:val="multilevel"/>
    <w:tmpl w:val="029D61A3"/>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7"/>
      <w:suff w:val="nothing"/>
      <w:lvlText w:val="%1%2.%3　"/>
      <w:lvlJc w:val="left"/>
      <w:pPr>
        <w:ind w:left="0" w:firstLine="0"/>
      </w:pPr>
      <w:rPr>
        <w:rFonts w:hint="eastAsia" w:ascii="黑体" w:hAnsi="Times New Roman" w:eastAsia="黑体"/>
        <w:b w:val="0"/>
        <w:i w:val="0"/>
        <w:sz w:val="21"/>
      </w:rPr>
    </w:lvl>
    <w:lvl w:ilvl="3" w:tentative="0">
      <w:start w:val="1"/>
      <w:numFmt w:val="decimal"/>
      <w:pStyle w:val="163"/>
      <w:suff w:val="nothing"/>
      <w:lvlText w:val="%1%2.%3.%4　"/>
      <w:lvlJc w:val="left"/>
      <w:pPr>
        <w:ind w:left="0" w:firstLine="0"/>
      </w:pPr>
      <w:rPr>
        <w:rFonts w:hint="eastAsia" w:ascii="黑体" w:hAnsi="Times New Roman" w:eastAsia="黑体"/>
        <w:b w:val="0"/>
        <w:i w:val="0"/>
        <w:sz w:val="21"/>
      </w:rPr>
    </w:lvl>
    <w:lvl w:ilvl="4" w:tentative="0">
      <w:start w:val="1"/>
      <w:numFmt w:val="decimal"/>
      <w:pStyle w:val="164"/>
      <w:suff w:val="nothing"/>
      <w:lvlText w:val="%1%2.%3.%4.%5　"/>
      <w:lvlJc w:val="left"/>
      <w:pPr>
        <w:ind w:left="0" w:firstLine="0"/>
      </w:pPr>
      <w:rPr>
        <w:rFonts w:hint="eastAsia" w:ascii="黑体" w:hAnsi="Times New Roman" w:eastAsia="黑体"/>
        <w:b w:val="0"/>
        <w:i w:val="0"/>
        <w:sz w:val="21"/>
      </w:rPr>
    </w:lvl>
    <w:lvl w:ilvl="5" w:tentative="0">
      <w:start w:val="1"/>
      <w:numFmt w:val="decimal"/>
      <w:pStyle w:val="165"/>
      <w:suff w:val="nothing"/>
      <w:lvlText w:val="%1%2.%3.%4.%5.%6　"/>
      <w:lvlJc w:val="left"/>
      <w:pPr>
        <w:ind w:left="0" w:firstLine="0"/>
      </w:pPr>
      <w:rPr>
        <w:rFonts w:hint="eastAsia" w:ascii="黑体" w:hAnsi="Times New Roman" w:eastAsia="黑体"/>
        <w:b w:val="0"/>
        <w:i w:val="0"/>
        <w:sz w:val="21"/>
      </w:rPr>
    </w:lvl>
    <w:lvl w:ilvl="6" w:tentative="0">
      <w:start w:val="1"/>
      <w:numFmt w:val="decimal"/>
      <w:pStyle w:val="1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1"/>
      <w:suff w:val="nothing"/>
      <w:lvlText w:val="%1——"/>
      <w:lvlJc w:val="left"/>
      <w:pPr>
        <w:ind w:left="976" w:hanging="408"/>
      </w:pPr>
      <w:rPr>
        <w:rFonts w:hint="eastAsia"/>
        <w:lang w:val="en-US"/>
      </w:rPr>
    </w:lvl>
    <w:lvl w:ilvl="1" w:tentative="0">
      <w:start w:val="1"/>
      <w:numFmt w:val="bullet"/>
      <w:pStyle w:val="52"/>
      <w:lvlText w:val=""/>
      <w:lvlJc w:val="left"/>
      <w:pPr>
        <w:tabs>
          <w:tab w:val="left" w:pos="903"/>
        </w:tabs>
        <w:ind w:left="1407" w:hanging="413"/>
      </w:pPr>
      <w:rPr>
        <w:rFonts w:hint="default" w:ascii="Symbol" w:hAnsi="Symbol"/>
        <w:color w:val="auto"/>
      </w:rPr>
    </w:lvl>
    <w:lvl w:ilvl="2" w:tentative="0">
      <w:start w:val="1"/>
      <w:numFmt w:val="bullet"/>
      <w:pStyle w:val="63"/>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6FEB54F0"/>
    <w:multiLevelType w:val="multilevel"/>
    <w:tmpl w:val="6FEB54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2"/>
  </w:num>
  <w:num w:numId="6">
    <w:abstractNumId w:val="19"/>
  </w:num>
  <w:num w:numId="7">
    <w:abstractNumId w:val="3"/>
  </w:num>
  <w:num w:numId="8">
    <w:abstractNumId w:val="14"/>
  </w:num>
  <w:num w:numId="9">
    <w:abstractNumId w:val="7"/>
  </w:num>
  <w:num w:numId="10">
    <w:abstractNumId w:val="17"/>
  </w:num>
  <w:num w:numId="11">
    <w:abstractNumId w:val="16"/>
  </w:num>
  <w:num w:numId="12">
    <w:abstractNumId w:val="18"/>
  </w:num>
  <w:num w:numId="13">
    <w:abstractNumId w:val="8"/>
  </w:num>
  <w:num w:numId="14">
    <w:abstractNumId w:val="4"/>
  </w:num>
  <w:num w:numId="15">
    <w:abstractNumId w:val="6"/>
  </w:num>
  <w:num w:numId="16">
    <w:abstractNumId w:val="15"/>
  </w:num>
  <w:num w:numId="17">
    <w:abstractNumId w:val="2"/>
  </w:num>
  <w:num w:numId="18">
    <w:abstractNumId w:val="0"/>
  </w:num>
  <w:num w:numId="19">
    <w:abstractNumId w:val="1"/>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5"/>
    <w:rsid w:val="00000244"/>
    <w:rsid w:val="0000185F"/>
    <w:rsid w:val="0000586F"/>
    <w:rsid w:val="00011107"/>
    <w:rsid w:val="00013D86"/>
    <w:rsid w:val="00013E02"/>
    <w:rsid w:val="00015AD6"/>
    <w:rsid w:val="0002143C"/>
    <w:rsid w:val="00025A65"/>
    <w:rsid w:val="00026C31"/>
    <w:rsid w:val="00027280"/>
    <w:rsid w:val="00027646"/>
    <w:rsid w:val="00031BDE"/>
    <w:rsid w:val="000320A7"/>
    <w:rsid w:val="00033EAC"/>
    <w:rsid w:val="00035925"/>
    <w:rsid w:val="00035EA5"/>
    <w:rsid w:val="000406F0"/>
    <w:rsid w:val="00045AEA"/>
    <w:rsid w:val="00057C16"/>
    <w:rsid w:val="00067B30"/>
    <w:rsid w:val="00067CDF"/>
    <w:rsid w:val="00072A37"/>
    <w:rsid w:val="000735D3"/>
    <w:rsid w:val="00074FBE"/>
    <w:rsid w:val="00082335"/>
    <w:rsid w:val="00083A09"/>
    <w:rsid w:val="0009005E"/>
    <w:rsid w:val="000911B0"/>
    <w:rsid w:val="00092857"/>
    <w:rsid w:val="0009402B"/>
    <w:rsid w:val="000973C3"/>
    <w:rsid w:val="000973DA"/>
    <w:rsid w:val="000976FF"/>
    <w:rsid w:val="000A0483"/>
    <w:rsid w:val="000A1B6D"/>
    <w:rsid w:val="000A20A9"/>
    <w:rsid w:val="000A48B1"/>
    <w:rsid w:val="000B2103"/>
    <w:rsid w:val="000B3143"/>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56DE"/>
    <w:rsid w:val="00107C50"/>
    <w:rsid w:val="001124C0"/>
    <w:rsid w:val="00113192"/>
    <w:rsid w:val="00116795"/>
    <w:rsid w:val="001176B7"/>
    <w:rsid w:val="0013175F"/>
    <w:rsid w:val="00143370"/>
    <w:rsid w:val="001511E1"/>
    <w:rsid w:val="001512B4"/>
    <w:rsid w:val="001620A5"/>
    <w:rsid w:val="0016370D"/>
    <w:rsid w:val="00164B49"/>
    <w:rsid w:val="00164E53"/>
    <w:rsid w:val="0016699D"/>
    <w:rsid w:val="001723B3"/>
    <w:rsid w:val="00175159"/>
    <w:rsid w:val="00176208"/>
    <w:rsid w:val="00177569"/>
    <w:rsid w:val="0018211B"/>
    <w:rsid w:val="0018274A"/>
    <w:rsid w:val="001840D3"/>
    <w:rsid w:val="001855C6"/>
    <w:rsid w:val="00185C8C"/>
    <w:rsid w:val="001900F8"/>
    <w:rsid w:val="001902AE"/>
    <w:rsid w:val="00191258"/>
    <w:rsid w:val="001922DF"/>
    <w:rsid w:val="00192680"/>
    <w:rsid w:val="00193037"/>
    <w:rsid w:val="00193A2C"/>
    <w:rsid w:val="001A288E"/>
    <w:rsid w:val="001B11C3"/>
    <w:rsid w:val="001B1E9B"/>
    <w:rsid w:val="001B6DC2"/>
    <w:rsid w:val="001B79DA"/>
    <w:rsid w:val="001C0D55"/>
    <w:rsid w:val="001C149C"/>
    <w:rsid w:val="001C21AC"/>
    <w:rsid w:val="001C2B54"/>
    <w:rsid w:val="001C47BA"/>
    <w:rsid w:val="001C59EA"/>
    <w:rsid w:val="001D406C"/>
    <w:rsid w:val="001D41EE"/>
    <w:rsid w:val="001E0380"/>
    <w:rsid w:val="001E13B1"/>
    <w:rsid w:val="001E2F7E"/>
    <w:rsid w:val="001E4BE3"/>
    <w:rsid w:val="001F04C8"/>
    <w:rsid w:val="001F2E61"/>
    <w:rsid w:val="001F3A19"/>
    <w:rsid w:val="001F4178"/>
    <w:rsid w:val="001F45BB"/>
    <w:rsid w:val="00213EFD"/>
    <w:rsid w:val="00216646"/>
    <w:rsid w:val="00216D2A"/>
    <w:rsid w:val="00221113"/>
    <w:rsid w:val="00234467"/>
    <w:rsid w:val="00237D8D"/>
    <w:rsid w:val="00241DA2"/>
    <w:rsid w:val="00247FEE"/>
    <w:rsid w:val="002503A7"/>
    <w:rsid w:val="00250E7D"/>
    <w:rsid w:val="002565D5"/>
    <w:rsid w:val="00260BCB"/>
    <w:rsid w:val="002622C0"/>
    <w:rsid w:val="00263ECE"/>
    <w:rsid w:val="002674DC"/>
    <w:rsid w:val="00270637"/>
    <w:rsid w:val="00273653"/>
    <w:rsid w:val="002778AE"/>
    <w:rsid w:val="00280A52"/>
    <w:rsid w:val="0028269A"/>
    <w:rsid w:val="00283590"/>
    <w:rsid w:val="002838FB"/>
    <w:rsid w:val="002847B5"/>
    <w:rsid w:val="00284D2E"/>
    <w:rsid w:val="0028655B"/>
    <w:rsid w:val="00286973"/>
    <w:rsid w:val="00294E70"/>
    <w:rsid w:val="002A07FA"/>
    <w:rsid w:val="002A1528"/>
    <w:rsid w:val="002A1924"/>
    <w:rsid w:val="002A3BEC"/>
    <w:rsid w:val="002A7420"/>
    <w:rsid w:val="002B003B"/>
    <w:rsid w:val="002B023D"/>
    <w:rsid w:val="002B0F12"/>
    <w:rsid w:val="002B1308"/>
    <w:rsid w:val="002B4554"/>
    <w:rsid w:val="002B5A91"/>
    <w:rsid w:val="002C3891"/>
    <w:rsid w:val="002C5773"/>
    <w:rsid w:val="002C5D9D"/>
    <w:rsid w:val="002C7146"/>
    <w:rsid w:val="002C72D8"/>
    <w:rsid w:val="002D11FA"/>
    <w:rsid w:val="002D4067"/>
    <w:rsid w:val="002D6351"/>
    <w:rsid w:val="002D67C9"/>
    <w:rsid w:val="002D6A44"/>
    <w:rsid w:val="002D7CCB"/>
    <w:rsid w:val="002E0DDF"/>
    <w:rsid w:val="002E2906"/>
    <w:rsid w:val="002E5635"/>
    <w:rsid w:val="002E64C3"/>
    <w:rsid w:val="002E6A2C"/>
    <w:rsid w:val="002F1D8C"/>
    <w:rsid w:val="002F21DA"/>
    <w:rsid w:val="002F3DF0"/>
    <w:rsid w:val="002F45A5"/>
    <w:rsid w:val="002F4B8A"/>
    <w:rsid w:val="00301F39"/>
    <w:rsid w:val="00313C8E"/>
    <w:rsid w:val="00316218"/>
    <w:rsid w:val="00325926"/>
    <w:rsid w:val="00327A8A"/>
    <w:rsid w:val="00333B21"/>
    <w:rsid w:val="00336610"/>
    <w:rsid w:val="00343F73"/>
    <w:rsid w:val="00344571"/>
    <w:rsid w:val="00345060"/>
    <w:rsid w:val="00345846"/>
    <w:rsid w:val="0035323B"/>
    <w:rsid w:val="003609D2"/>
    <w:rsid w:val="003632BA"/>
    <w:rsid w:val="00363F22"/>
    <w:rsid w:val="00375564"/>
    <w:rsid w:val="00381344"/>
    <w:rsid w:val="00383191"/>
    <w:rsid w:val="00384A68"/>
    <w:rsid w:val="00386DED"/>
    <w:rsid w:val="0038798C"/>
    <w:rsid w:val="003912E7"/>
    <w:rsid w:val="00393947"/>
    <w:rsid w:val="003A2275"/>
    <w:rsid w:val="003A6A4F"/>
    <w:rsid w:val="003A7088"/>
    <w:rsid w:val="003A770D"/>
    <w:rsid w:val="003B00DF"/>
    <w:rsid w:val="003B1275"/>
    <w:rsid w:val="003B1778"/>
    <w:rsid w:val="003C11CB"/>
    <w:rsid w:val="003C519A"/>
    <w:rsid w:val="003C75F3"/>
    <w:rsid w:val="003C78A3"/>
    <w:rsid w:val="003D0C53"/>
    <w:rsid w:val="003E1867"/>
    <w:rsid w:val="003E361A"/>
    <w:rsid w:val="003E5729"/>
    <w:rsid w:val="003F4EA1"/>
    <w:rsid w:val="003F4EE0"/>
    <w:rsid w:val="003F7E0D"/>
    <w:rsid w:val="00402153"/>
    <w:rsid w:val="00402FC1"/>
    <w:rsid w:val="004058EB"/>
    <w:rsid w:val="00407859"/>
    <w:rsid w:val="004123FB"/>
    <w:rsid w:val="00421E34"/>
    <w:rsid w:val="004240F5"/>
    <w:rsid w:val="00425082"/>
    <w:rsid w:val="00431DEB"/>
    <w:rsid w:val="00434213"/>
    <w:rsid w:val="004356AF"/>
    <w:rsid w:val="00441961"/>
    <w:rsid w:val="00443AE6"/>
    <w:rsid w:val="0044584E"/>
    <w:rsid w:val="00446B29"/>
    <w:rsid w:val="00450B0B"/>
    <w:rsid w:val="00451865"/>
    <w:rsid w:val="00453F9A"/>
    <w:rsid w:val="00455125"/>
    <w:rsid w:val="00462CAA"/>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645E"/>
    <w:rsid w:val="004D79BF"/>
    <w:rsid w:val="004E045B"/>
    <w:rsid w:val="004E3F0E"/>
    <w:rsid w:val="004E490D"/>
    <w:rsid w:val="004E568C"/>
    <w:rsid w:val="004F346D"/>
    <w:rsid w:val="00510280"/>
    <w:rsid w:val="00511118"/>
    <w:rsid w:val="00511BA9"/>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3BFD"/>
    <w:rsid w:val="0056738D"/>
    <w:rsid w:val="005703DE"/>
    <w:rsid w:val="00576508"/>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3A29"/>
    <w:rsid w:val="005B3A76"/>
    <w:rsid w:val="005B3C11"/>
    <w:rsid w:val="005B65AC"/>
    <w:rsid w:val="005C177F"/>
    <w:rsid w:val="005C18EE"/>
    <w:rsid w:val="005C1C28"/>
    <w:rsid w:val="005C25F5"/>
    <w:rsid w:val="005C27B9"/>
    <w:rsid w:val="005C6DB5"/>
    <w:rsid w:val="005D0F7E"/>
    <w:rsid w:val="005D677A"/>
    <w:rsid w:val="005E19E7"/>
    <w:rsid w:val="005E1DA2"/>
    <w:rsid w:val="005F068F"/>
    <w:rsid w:val="005F281E"/>
    <w:rsid w:val="005F7580"/>
    <w:rsid w:val="0061571C"/>
    <w:rsid w:val="0061716C"/>
    <w:rsid w:val="006230EA"/>
    <w:rsid w:val="006239DF"/>
    <w:rsid w:val="00623C93"/>
    <w:rsid w:val="006243A1"/>
    <w:rsid w:val="00632E56"/>
    <w:rsid w:val="0063315E"/>
    <w:rsid w:val="00635CBA"/>
    <w:rsid w:val="00636E40"/>
    <w:rsid w:val="00637A59"/>
    <w:rsid w:val="0064338B"/>
    <w:rsid w:val="00645C38"/>
    <w:rsid w:val="00646542"/>
    <w:rsid w:val="006504F4"/>
    <w:rsid w:val="006536B0"/>
    <w:rsid w:val="00654BC9"/>
    <w:rsid w:val="006552FD"/>
    <w:rsid w:val="006562E4"/>
    <w:rsid w:val="006601B3"/>
    <w:rsid w:val="00660BCE"/>
    <w:rsid w:val="00661749"/>
    <w:rsid w:val="00663AF3"/>
    <w:rsid w:val="00665669"/>
    <w:rsid w:val="00666B6C"/>
    <w:rsid w:val="006704D9"/>
    <w:rsid w:val="00671F31"/>
    <w:rsid w:val="00672CFB"/>
    <w:rsid w:val="00674527"/>
    <w:rsid w:val="00677C26"/>
    <w:rsid w:val="0068237B"/>
    <w:rsid w:val="00682682"/>
    <w:rsid w:val="00682702"/>
    <w:rsid w:val="006914EA"/>
    <w:rsid w:val="00692368"/>
    <w:rsid w:val="006945FB"/>
    <w:rsid w:val="006A2EBC"/>
    <w:rsid w:val="006A5EA0"/>
    <w:rsid w:val="006A6F64"/>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604B"/>
    <w:rsid w:val="007268BE"/>
    <w:rsid w:val="00731DA3"/>
    <w:rsid w:val="007419C3"/>
    <w:rsid w:val="00746120"/>
    <w:rsid w:val="007467A7"/>
    <w:rsid w:val="007469DD"/>
    <w:rsid w:val="0074741B"/>
    <w:rsid w:val="0074759E"/>
    <w:rsid w:val="007478EA"/>
    <w:rsid w:val="0075415C"/>
    <w:rsid w:val="007572B2"/>
    <w:rsid w:val="00761F71"/>
    <w:rsid w:val="007625E4"/>
    <w:rsid w:val="007626BC"/>
    <w:rsid w:val="00762AAA"/>
    <w:rsid w:val="00763502"/>
    <w:rsid w:val="00770C0D"/>
    <w:rsid w:val="00774FB3"/>
    <w:rsid w:val="00781056"/>
    <w:rsid w:val="007826C9"/>
    <w:rsid w:val="0078639F"/>
    <w:rsid w:val="007913AB"/>
    <w:rsid w:val="007914F7"/>
    <w:rsid w:val="00792BE8"/>
    <w:rsid w:val="007964D0"/>
    <w:rsid w:val="007965B0"/>
    <w:rsid w:val="007A1EFF"/>
    <w:rsid w:val="007A3233"/>
    <w:rsid w:val="007A5A87"/>
    <w:rsid w:val="007A6016"/>
    <w:rsid w:val="007A670E"/>
    <w:rsid w:val="007A6E42"/>
    <w:rsid w:val="007A73E4"/>
    <w:rsid w:val="007B1625"/>
    <w:rsid w:val="007B6129"/>
    <w:rsid w:val="007B706E"/>
    <w:rsid w:val="007B71EB"/>
    <w:rsid w:val="007C506B"/>
    <w:rsid w:val="007C6205"/>
    <w:rsid w:val="007C686A"/>
    <w:rsid w:val="007C728E"/>
    <w:rsid w:val="007C78DB"/>
    <w:rsid w:val="007D0325"/>
    <w:rsid w:val="007D2C53"/>
    <w:rsid w:val="007D3D60"/>
    <w:rsid w:val="007D4A44"/>
    <w:rsid w:val="007D5176"/>
    <w:rsid w:val="007E1980"/>
    <w:rsid w:val="007E4B76"/>
    <w:rsid w:val="007E5EA8"/>
    <w:rsid w:val="007E68D6"/>
    <w:rsid w:val="007E6CBA"/>
    <w:rsid w:val="007F0514"/>
    <w:rsid w:val="007F0CF1"/>
    <w:rsid w:val="007F12A5"/>
    <w:rsid w:val="007F25D7"/>
    <w:rsid w:val="007F2EEB"/>
    <w:rsid w:val="007F4CF1"/>
    <w:rsid w:val="007F5AF3"/>
    <w:rsid w:val="007F758D"/>
    <w:rsid w:val="007F7D52"/>
    <w:rsid w:val="00800530"/>
    <w:rsid w:val="00803416"/>
    <w:rsid w:val="0080399C"/>
    <w:rsid w:val="0080654C"/>
    <w:rsid w:val="008071C6"/>
    <w:rsid w:val="00817A00"/>
    <w:rsid w:val="008205A9"/>
    <w:rsid w:val="00820DA7"/>
    <w:rsid w:val="00821CBF"/>
    <w:rsid w:val="0082323D"/>
    <w:rsid w:val="008236EF"/>
    <w:rsid w:val="00824CBB"/>
    <w:rsid w:val="00830F44"/>
    <w:rsid w:val="00835DB3"/>
    <w:rsid w:val="00835DE7"/>
    <w:rsid w:val="0083617B"/>
    <w:rsid w:val="008371BD"/>
    <w:rsid w:val="008504A8"/>
    <w:rsid w:val="0085282E"/>
    <w:rsid w:val="00855FAF"/>
    <w:rsid w:val="008575D8"/>
    <w:rsid w:val="00863982"/>
    <w:rsid w:val="00864F47"/>
    <w:rsid w:val="0087198C"/>
    <w:rsid w:val="008724BA"/>
    <w:rsid w:val="00872C1F"/>
    <w:rsid w:val="00873B42"/>
    <w:rsid w:val="008749E4"/>
    <w:rsid w:val="00877D2E"/>
    <w:rsid w:val="008856D8"/>
    <w:rsid w:val="00886462"/>
    <w:rsid w:val="00887EEA"/>
    <w:rsid w:val="00892E82"/>
    <w:rsid w:val="008A478E"/>
    <w:rsid w:val="008A4800"/>
    <w:rsid w:val="008A62C1"/>
    <w:rsid w:val="008A70E1"/>
    <w:rsid w:val="008B5DC2"/>
    <w:rsid w:val="008B7AE0"/>
    <w:rsid w:val="008C0FFC"/>
    <w:rsid w:val="008C1B58"/>
    <w:rsid w:val="008C1D10"/>
    <w:rsid w:val="008C29CC"/>
    <w:rsid w:val="008C35F6"/>
    <w:rsid w:val="008C39AE"/>
    <w:rsid w:val="008C590D"/>
    <w:rsid w:val="008C7F1C"/>
    <w:rsid w:val="008E031B"/>
    <w:rsid w:val="008E0BD7"/>
    <w:rsid w:val="008E3BB5"/>
    <w:rsid w:val="008E7029"/>
    <w:rsid w:val="008E7EF6"/>
    <w:rsid w:val="008F0E16"/>
    <w:rsid w:val="008F12CE"/>
    <w:rsid w:val="008F1F98"/>
    <w:rsid w:val="008F586A"/>
    <w:rsid w:val="008F6758"/>
    <w:rsid w:val="008F7587"/>
    <w:rsid w:val="009040DD"/>
    <w:rsid w:val="00905B47"/>
    <w:rsid w:val="0091331C"/>
    <w:rsid w:val="0091631F"/>
    <w:rsid w:val="009279DE"/>
    <w:rsid w:val="00930116"/>
    <w:rsid w:val="0093240A"/>
    <w:rsid w:val="009335B9"/>
    <w:rsid w:val="00933DEC"/>
    <w:rsid w:val="0093436D"/>
    <w:rsid w:val="00936969"/>
    <w:rsid w:val="00941E47"/>
    <w:rsid w:val="0094212C"/>
    <w:rsid w:val="009437F7"/>
    <w:rsid w:val="0095244D"/>
    <w:rsid w:val="00954689"/>
    <w:rsid w:val="00955B6F"/>
    <w:rsid w:val="009569CB"/>
    <w:rsid w:val="009617C9"/>
    <w:rsid w:val="00961C93"/>
    <w:rsid w:val="00962BD3"/>
    <w:rsid w:val="00965324"/>
    <w:rsid w:val="00966ECF"/>
    <w:rsid w:val="0097091E"/>
    <w:rsid w:val="00971D0F"/>
    <w:rsid w:val="00974AF6"/>
    <w:rsid w:val="009760D3"/>
    <w:rsid w:val="00977132"/>
    <w:rsid w:val="00981A4B"/>
    <w:rsid w:val="00982501"/>
    <w:rsid w:val="009877D3"/>
    <w:rsid w:val="00987B50"/>
    <w:rsid w:val="00990A46"/>
    <w:rsid w:val="00990C80"/>
    <w:rsid w:val="00994E8F"/>
    <w:rsid w:val="009951DC"/>
    <w:rsid w:val="009959BB"/>
    <w:rsid w:val="00997158"/>
    <w:rsid w:val="009A0785"/>
    <w:rsid w:val="009A3A7C"/>
    <w:rsid w:val="009A5E2C"/>
    <w:rsid w:val="009B2ADB"/>
    <w:rsid w:val="009B3A05"/>
    <w:rsid w:val="009B603A"/>
    <w:rsid w:val="009C0A29"/>
    <w:rsid w:val="009C116A"/>
    <w:rsid w:val="009C2AE0"/>
    <w:rsid w:val="009C2D0E"/>
    <w:rsid w:val="009C3DAC"/>
    <w:rsid w:val="009C4138"/>
    <w:rsid w:val="009C42E0"/>
    <w:rsid w:val="009C669B"/>
    <w:rsid w:val="009C7192"/>
    <w:rsid w:val="009D31DC"/>
    <w:rsid w:val="009D5362"/>
    <w:rsid w:val="009D66FB"/>
    <w:rsid w:val="009D6A7C"/>
    <w:rsid w:val="009E1415"/>
    <w:rsid w:val="009E6116"/>
    <w:rsid w:val="009F1D28"/>
    <w:rsid w:val="009F7AF9"/>
    <w:rsid w:val="00A02E43"/>
    <w:rsid w:val="00A0431C"/>
    <w:rsid w:val="00A065F9"/>
    <w:rsid w:val="00A069CB"/>
    <w:rsid w:val="00A07F34"/>
    <w:rsid w:val="00A156E5"/>
    <w:rsid w:val="00A22154"/>
    <w:rsid w:val="00A23012"/>
    <w:rsid w:val="00A25C38"/>
    <w:rsid w:val="00A31629"/>
    <w:rsid w:val="00A35532"/>
    <w:rsid w:val="00A36BBE"/>
    <w:rsid w:val="00A376E9"/>
    <w:rsid w:val="00A4307A"/>
    <w:rsid w:val="00A43806"/>
    <w:rsid w:val="00A4470A"/>
    <w:rsid w:val="00A47EBB"/>
    <w:rsid w:val="00A51CDD"/>
    <w:rsid w:val="00A525C7"/>
    <w:rsid w:val="00A53329"/>
    <w:rsid w:val="00A6730D"/>
    <w:rsid w:val="00A71625"/>
    <w:rsid w:val="00A71659"/>
    <w:rsid w:val="00A71B9B"/>
    <w:rsid w:val="00A73CDE"/>
    <w:rsid w:val="00A751C7"/>
    <w:rsid w:val="00A7543C"/>
    <w:rsid w:val="00A819FD"/>
    <w:rsid w:val="00A87844"/>
    <w:rsid w:val="00A92259"/>
    <w:rsid w:val="00A9443E"/>
    <w:rsid w:val="00AA038C"/>
    <w:rsid w:val="00AA3849"/>
    <w:rsid w:val="00AA7A09"/>
    <w:rsid w:val="00AB0858"/>
    <w:rsid w:val="00AB3B50"/>
    <w:rsid w:val="00AB4277"/>
    <w:rsid w:val="00AB5386"/>
    <w:rsid w:val="00AC05B1"/>
    <w:rsid w:val="00AD356C"/>
    <w:rsid w:val="00AE09E2"/>
    <w:rsid w:val="00AE2914"/>
    <w:rsid w:val="00AE362B"/>
    <w:rsid w:val="00AE6D15"/>
    <w:rsid w:val="00AF2115"/>
    <w:rsid w:val="00AF2B3B"/>
    <w:rsid w:val="00AF70C4"/>
    <w:rsid w:val="00B01302"/>
    <w:rsid w:val="00B013F3"/>
    <w:rsid w:val="00B04182"/>
    <w:rsid w:val="00B07AE3"/>
    <w:rsid w:val="00B11430"/>
    <w:rsid w:val="00B2474C"/>
    <w:rsid w:val="00B253D3"/>
    <w:rsid w:val="00B3515F"/>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805AF"/>
    <w:rsid w:val="00B80F3B"/>
    <w:rsid w:val="00B81093"/>
    <w:rsid w:val="00B859CD"/>
    <w:rsid w:val="00B869EC"/>
    <w:rsid w:val="00B9397A"/>
    <w:rsid w:val="00B9633D"/>
    <w:rsid w:val="00BA1CA0"/>
    <w:rsid w:val="00BA2EBE"/>
    <w:rsid w:val="00BA5AEB"/>
    <w:rsid w:val="00BB0F28"/>
    <w:rsid w:val="00BB291D"/>
    <w:rsid w:val="00BB458A"/>
    <w:rsid w:val="00BB4591"/>
    <w:rsid w:val="00BB49D5"/>
    <w:rsid w:val="00BB4C8D"/>
    <w:rsid w:val="00BB799B"/>
    <w:rsid w:val="00BC094F"/>
    <w:rsid w:val="00BC09EE"/>
    <w:rsid w:val="00BC3490"/>
    <w:rsid w:val="00BC5BAC"/>
    <w:rsid w:val="00BC64F8"/>
    <w:rsid w:val="00BD00D3"/>
    <w:rsid w:val="00BD1659"/>
    <w:rsid w:val="00BD3AA9"/>
    <w:rsid w:val="00BD4A18"/>
    <w:rsid w:val="00BD6DB2"/>
    <w:rsid w:val="00BE11CF"/>
    <w:rsid w:val="00BE21AB"/>
    <w:rsid w:val="00BE4AF2"/>
    <w:rsid w:val="00BE55CB"/>
    <w:rsid w:val="00BE7105"/>
    <w:rsid w:val="00BF2CD1"/>
    <w:rsid w:val="00BF617A"/>
    <w:rsid w:val="00C02136"/>
    <w:rsid w:val="00C02915"/>
    <w:rsid w:val="00C0379D"/>
    <w:rsid w:val="00C03931"/>
    <w:rsid w:val="00C05FE3"/>
    <w:rsid w:val="00C075C3"/>
    <w:rsid w:val="00C1014A"/>
    <w:rsid w:val="00C108F8"/>
    <w:rsid w:val="00C17BC8"/>
    <w:rsid w:val="00C2136D"/>
    <w:rsid w:val="00C214EE"/>
    <w:rsid w:val="00C2314B"/>
    <w:rsid w:val="00C24971"/>
    <w:rsid w:val="00C26BE5"/>
    <w:rsid w:val="00C26E4D"/>
    <w:rsid w:val="00C272B8"/>
    <w:rsid w:val="00C27909"/>
    <w:rsid w:val="00C27B03"/>
    <w:rsid w:val="00C30F22"/>
    <w:rsid w:val="00C314E1"/>
    <w:rsid w:val="00C32936"/>
    <w:rsid w:val="00C332D6"/>
    <w:rsid w:val="00C34011"/>
    <w:rsid w:val="00C34397"/>
    <w:rsid w:val="00C34578"/>
    <w:rsid w:val="00C35341"/>
    <w:rsid w:val="00C36506"/>
    <w:rsid w:val="00C4095D"/>
    <w:rsid w:val="00C46360"/>
    <w:rsid w:val="00C51358"/>
    <w:rsid w:val="00C52689"/>
    <w:rsid w:val="00C54C8A"/>
    <w:rsid w:val="00C554F3"/>
    <w:rsid w:val="00C601D2"/>
    <w:rsid w:val="00C654FC"/>
    <w:rsid w:val="00C657AB"/>
    <w:rsid w:val="00C65BCC"/>
    <w:rsid w:val="00C66970"/>
    <w:rsid w:val="00C8691C"/>
    <w:rsid w:val="00C9297E"/>
    <w:rsid w:val="00C94300"/>
    <w:rsid w:val="00C9754B"/>
    <w:rsid w:val="00CA112C"/>
    <w:rsid w:val="00CA168A"/>
    <w:rsid w:val="00CA171E"/>
    <w:rsid w:val="00CA357E"/>
    <w:rsid w:val="00CA3C44"/>
    <w:rsid w:val="00CA41A0"/>
    <w:rsid w:val="00CA44F9"/>
    <w:rsid w:val="00CA4A69"/>
    <w:rsid w:val="00CB0AFE"/>
    <w:rsid w:val="00CB3617"/>
    <w:rsid w:val="00CB6135"/>
    <w:rsid w:val="00CC3E0C"/>
    <w:rsid w:val="00CC58D3"/>
    <w:rsid w:val="00CC784D"/>
    <w:rsid w:val="00CD2167"/>
    <w:rsid w:val="00CD6300"/>
    <w:rsid w:val="00CD7B6C"/>
    <w:rsid w:val="00CE2137"/>
    <w:rsid w:val="00CE5ED9"/>
    <w:rsid w:val="00CE6B9D"/>
    <w:rsid w:val="00CF1D1D"/>
    <w:rsid w:val="00D0337B"/>
    <w:rsid w:val="00D079B2"/>
    <w:rsid w:val="00D11478"/>
    <w:rsid w:val="00D114E9"/>
    <w:rsid w:val="00D160ED"/>
    <w:rsid w:val="00D20699"/>
    <w:rsid w:val="00D22141"/>
    <w:rsid w:val="00D22845"/>
    <w:rsid w:val="00D24F68"/>
    <w:rsid w:val="00D429C6"/>
    <w:rsid w:val="00D45B96"/>
    <w:rsid w:val="00D47748"/>
    <w:rsid w:val="00D47F36"/>
    <w:rsid w:val="00D51AF0"/>
    <w:rsid w:val="00D5311A"/>
    <w:rsid w:val="00D54CC3"/>
    <w:rsid w:val="00D6041A"/>
    <w:rsid w:val="00D62005"/>
    <w:rsid w:val="00D633EB"/>
    <w:rsid w:val="00D67DA6"/>
    <w:rsid w:val="00D725BA"/>
    <w:rsid w:val="00D72BB1"/>
    <w:rsid w:val="00D72BF8"/>
    <w:rsid w:val="00D82FF7"/>
    <w:rsid w:val="00D847FE"/>
    <w:rsid w:val="00D87C63"/>
    <w:rsid w:val="00D964EA"/>
    <w:rsid w:val="00D966D0"/>
    <w:rsid w:val="00D973CC"/>
    <w:rsid w:val="00DA0C59"/>
    <w:rsid w:val="00DA3991"/>
    <w:rsid w:val="00DB7E6C"/>
    <w:rsid w:val="00DC224E"/>
    <w:rsid w:val="00DC5AAD"/>
    <w:rsid w:val="00DD5A29"/>
    <w:rsid w:val="00DD5D9D"/>
    <w:rsid w:val="00DE07BE"/>
    <w:rsid w:val="00DE2C79"/>
    <w:rsid w:val="00DE35CB"/>
    <w:rsid w:val="00DF13E9"/>
    <w:rsid w:val="00DF1E24"/>
    <w:rsid w:val="00DF21E9"/>
    <w:rsid w:val="00DF4669"/>
    <w:rsid w:val="00DF6822"/>
    <w:rsid w:val="00E00F14"/>
    <w:rsid w:val="00E01F68"/>
    <w:rsid w:val="00E05B2B"/>
    <w:rsid w:val="00E06386"/>
    <w:rsid w:val="00E07C31"/>
    <w:rsid w:val="00E2398E"/>
    <w:rsid w:val="00E24EB4"/>
    <w:rsid w:val="00E320ED"/>
    <w:rsid w:val="00E33650"/>
    <w:rsid w:val="00E33AFB"/>
    <w:rsid w:val="00E34218"/>
    <w:rsid w:val="00E35F8A"/>
    <w:rsid w:val="00E361EC"/>
    <w:rsid w:val="00E43F3A"/>
    <w:rsid w:val="00E45228"/>
    <w:rsid w:val="00E46282"/>
    <w:rsid w:val="00E5216E"/>
    <w:rsid w:val="00E5724B"/>
    <w:rsid w:val="00E6480F"/>
    <w:rsid w:val="00E7041C"/>
    <w:rsid w:val="00E82344"/>
    <w:rsid w:val="00E84C82"/>
    <w:rsid w:val="00E84D64"/>
    <w:rsid w:val="00E87408"/>
    <w:rsid w:val="00E914C4"/>
    <w:rsid w:val="00E91CD2"/>
    <w:rsid w:val="00E934F5"/>
    <w:rsid w:val="00E95CAC"/>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D794E"/>
    <w:rsid w:val="00EE0A6A"/>
    <w:rsid w:val="00EE2819"/>
    <w:rsid w:val="00EE2BED"/>
    <w:rsid w:val="00EE374B"/>
    <w:rsid w:val="00EE5A7F"/>
    <w:rsid w:val="00EE7133"/>
    <w:rsid w:val="00EE7636"/>
    <w:rsid w:val="00EF2DD3"/>
    <w:rsid w:val="00EF2FAD"/>
    <w:rsid w:val="00EF768F"/>
    <w:rsid w:val="00F0124A"/>
    <w:rsid w:val="00F06FC1"/>
    <w:rsid w:val="00F1075A"/>
    <w:rsid w:val="00F109DC"/>
    <w:rsid w:val="00F10C4D"/>
    <w:rsid w:val="00F11BB5"/>
    <w:rsid w:val="00F11F9F"/>
    <w:rsid w:val="00F1417B"/>
    <w:rsid w:val="00F161FA"/>
    <w:rsid w:val="00F20323"/>
    <w:rsid w:val="00F31B08"/>
    <w:rsid w:val="00F33816"/>
    <w:rsid w:val="00F34B99"/>
    <w:rsid w:val="00F4096E"/>
    <w:rsid w:val="00F43BA1"/>
    <w:rsid w:val="00F52DAB"/>
    <w:rsid w:val="00F543F0"/>
    <w:rsid w:val="00F64441"/>
    <w:rsid w:val="00F64826"/>
    <w:rsid w:val="00F651C0"/>
    <w:rsid w:val="00F660E6"/>
    <w:rsid w:val="00F737BC"/>
    <w:rsid w:val="00F73BBC"/>
    <w:rsid w:val="00F74608"/>
    <w:rsid w:val="00F81D29"/>
    <w:rsid w:val="00F871AD"/>
    <w:rsid w:val="00F91C4D"/>
    <w:rsid w:val="00F92272"/>
    <w:rsid w:val="00F92FD9"/>
    <w:rsid w:val="00F934B5"/>
    <w:rsid w:val="00F936EC"/>
    <w:rsid w:val="00FA3021"/>
    <w:rsid w:val="00FA6684"/>
    <w:rsid w:val="00FA731E"/>
    <w:rsid w:val="00FB2B38"/>
    <w:rsid w:val="00FB2C8B"/>
    <w:rsid w:val="00FB2F7C"/>
    <w:rsid w:val="00FC1921"/>
    <w:rsid w:val="00FC6358"/>
    <w:rsid w:val="00FC7E22"/>
    <w:rsid w:val="00FD2E56"/>
    <w:rsid w:val="00FD320D"/>
    <w:rsid w:val="00FE10CE"/>
    <w:rsid w:val="00FE23DE"/>
    <w:rsid w:val="00FE531F"/>
    <w:rsid w:val="00FF38A3"/>
    <w:rsid w:val="70F3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nhideWhenUsed="0" w:uiPriority="0" w:name="HTML Acronym"/>
    <w:lsdException w:uiPriority="0" w:name="HTML Address"/>
    <w:lsdException w:unhideWhenUsed="0" w:uiPriority="0" w:name="HTML Cite"/>
    <w:lsdException w:unhideWhenUsed="0"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40"/>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link w:val="142"/>
    <w:uiPriority w:val="0"/>
    <w:rPr>
      <w:sz w:val="18"/>
      <w:szCs w:val="18"/>
    </w:r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semiHidden/>
    <w:uiPriority w:val="0"/>
    <w:pPr>
      <w:tabs>
        <w:tab w:val="right" w:leader="dot" w:pos="9242"/>
      </w:tabs>
      <w:spacing w:beforeLines="25" w:afterLines="25"/>
      <w:jc w:val="left"/>
    </w:pPr>
    <w:rPr>
      <w:rFonts w:ascii="宋体"/>
      <w:szCs w:val="21"/>
    </w:rPr>
  </w:style>
  <w:style w:type="paragraph" w:styleId="19">
    <w:name w:val="toc 4"/>
    <w:basedOn w:val="1"/>
    <w:next w:val="1"/>
    <w:semiHidden/>
    <w:uiPriority w:val="0"/>
    <w:pPr>
      <w:tabs>
        <w:tab w:val="right" w:leader="dot" w:pos="9241"/>
      </w:tabs>
      <w:ind w:firstLine="200"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0"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semiHidden/>
    <w:uiPriority w:val="0"/>
    <w:pPr>
      <w:tabs>
        <w:tab w:val="right" w:leader="dot" w:pos="9242"/>
      </w:tabs>
    </w:pPr>
    <w:rPr>
      <w:rFonts w:ascii="宋体"/>
      <w:szCs w:val="21"/>
    </w:rPr>
  </w:style>
  <w:style w:type="paragraph" w:styleId="28">
    <w:name w:val="toc 9"/>
    <w:basedOn w:val="1"/>
    <w:next w:val="1"/>
    <w:semiHidden/>
    <w:uiPriority w:val="0"/>
    <w:pPr>
      <w:ind w:left="1470"/>
      <w:jc w:val="left"/>
    </w:pPr>
    <w:rPr>
      <w:sz w:val="20"/>
      <w:szCs w:val="20"/>
    </w:rPr>
  </w:style>
  <w:style w:type="paragraph" w:styleId="29">
    <w:name w:val="index 2"/>
    <w:basedOn w:val="1"/>
    <w:next w:val="1"/>
    <w:uiPriority w:val="0"/>
    <w:pPr>
      <w:ind w:left="420" w:hanging="210"/>
      <w:jc w:val="left"/>
    </w:pPr>
    <w:rPr>
      <w:rFonts w:ascii="Calibri" w:hAnsi="Calibri"/>
      <w:sz w:val="20"/>
      <w:szCs w:val="20"/>
    </w:rPr>
  </w:style>
  <w:style w:type="paragraph" w:styleId="30">
    <w:name w:val="Title"/>
    <w:basedOn w:val="1"/>
    <w:link w:val="168"/>
    <w:qFormat/>
    <w:uiPriority w:val="0"/>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31">
    <w:name w:val="annotation subject"/>
    <w:basedOn w:val="7"/>
    <w:next w:val="7"/>
    <w:link w:val="141"/>
    <w:uiPriority w:val="0"/>
    <w:rPr>
      <w:b/>
      <w:bCs/>
    </w:rPr>
  </w:style>
  <w:style w:type="table" w:styleId="33">
    <w:name w:val="Table Grid"/>
    <w:basedOn w:val="32"/>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uiPriority w:val="0"/>
    <w:rPr>
      <w:vertAlign w:val="superscript"/>
    </w:rPr>
  </w:style>
  <w:style w:type="character" w:styleId="36">
    <w:name w:val="page number"/>
    <w:uiPriority w:val="0"/>
    <w:rPr>
      <w:rFonts w:ascii="Times New Roman" w:hAnsi="Times New Roman" w:eastAsia="宋体"/>
      <w:sz w:val="18"/>
    </w:rPr>
  </w:style>
  <w:style w:type="character" w:styleId="37">
    <w:name w:val="FollowedHyperlink"/>
    <w:uiPriority w:val="0"/>
    <w:rPr>
      <w:color w:val="800080"/>
      <w:u w:val="single"/>
    </w:rPr>
  </w:style>
  <w:style w:type="character" w:styleId="38">
    <w:name w:val="HTML Acronym"/>
    <w:basedOn w:val="34"/>
    <w:semiHidden/>
    <w:uiPriority w:val="0"/>
  </w:style>
  <w:style w:type="character" w:styleId="39">
    <w:name w:val="Hyperlink"/>
    <w:qFormat/>
    <w:uiPriority w:val="0"/>
    <w:rPr>
      <w:color w:val="0000FF"/>
      <w:spacing w:val="0"/>
      <w:w w:val="100"/>
      <w:szCs w:val="21"/>
      <w:u w:val="single"/>
    </w:rPr>
  </w:style>
  <w:style w:type="character" w:styleId="40">
    <w:name w:val="HTML Code"/>
    <w:semiHidden/>
    <w:uiPriority w:val="0"/>
    <w:rPr>
      <w:rFonts w:ascii="Courier New" w:hAnsi="Courier New"/>
      <w:sz w:val="20"/>
      <w:szCs w:val="20"/>
    </w:rPr>
  </w:style>
  <w:style w:type="character" w:styleId="41">
    <w:name w:val="annotation reference"/>
    <w:uiPriority w:val="0"/>
    <w:rPr>
      <w:sz w:val="21"/>
      <w:szCs w:val="21"/>
    </w:rPr>
  </w:style>
  <w:style w:type="character" w:styleId="42">
    <w:name w:val="HTML Cite"/>
    <w:semiHidden/>
    <w:uiPriority w:val="0"/>
    <w:rPr>
      <w:i/>
      <w:iCs/>
    </w:rPr>
  </w:style>
  <w:style w:type="character" w:styleId="43">
    <w:name w:val="footnote reference"/>
    <w:semiHidden/>
    <w:uiPriority w:val="0"/>
    <w:rPr>
      <w:vertAlign w:val="superscript"/>
    </w:rPr>
  </w:style>
  <w:style w:type="character" w:customStyle="1" w:styleId="44">
    <w:name w:val="段 Char"/>
    <w:link w:val="22"/>
    <w:qFormat/>
    <w:uiPriority w:val="0"/>
    <w:rPr>
      <w:rFonts w:ascii="宋体"/>
      <w:sz w:val="21"/>
      <w:lang w:val="en-US" w:eastAsia="zh-CN" w:bidi="ar-SA"/>
    </w:rPr>
  </w:style>
  <w:style w:type="paragraph" w:customStyle="1" w:styleId="45">
    <w:name w:val="一级条标题"/>
    <w:next w:val="22"/>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2"/>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2"/>
    <w:uiPriority w:val="0"/>
    <w:pPr>
      <w:spacing w:before="50" w:after="50"/>
      <w:outlineLvl w:val="3"/>
    </w:pPr>
  </w:style>
  <w:style w:type="paragraph" w:customStyle="1" w:styleId="5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2"/>
    <w:uiPriority w:val="0"/>
    <w:pPr>
      <w:outlineLvl w:val="4"/>
    </w:pPr>
  </w:style>
  <w:style w:type="paragraph" w:customStyle="1" w:styleId="55">
    <w:name w:val="示例"/>
    <w:next w:val="56"/>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2"/>
    <w:uiPriority w:val="0"/>
    <w:pPr>
      <w:outlineLvl w:val="5"/>
    </w:pPr>
  </w:style>
  <w:style w:type="paragraph" w:customStyle="1" w:styleId="59">
    <w:name w:val="五级条标题"/>
    <w:basedOn w:val="58"/>
    <w:next w:val="22"/>
    <w:uiPriority w:val="0"/>
    <w:pPr>
      <w:outlineLvl w:val="6"/>
    </w:pPr>
  </w:style>
  <w:style w:type="paragraph" w:customStyle="1" w:styleId="60">
    <w:name w:val="注："/>
    <w:next w:val="22"/>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uiPriority w:val="0"/>
    <w:pPr>
      <w:numPr>
        <w:ilvl w:val="2"/>
        <w:numId w:val="3"/>
      </w:numPr>
    </w:pPr>
    <w:rPr>
      <w:rFonts w:ascii="宋体"/>
      <w:szCs w:val="21"/>
    </w:rPr>
  </w:style>
  <w:style w:type="paragraph" w:customStyle="1" w:styleId="64">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ilvl w:val="0"/>
        <w:numId w:val="8"/>
      </w:numPr>
      <w:spacing w:beforeLines="0" w:afterLines="0"/>
      <w:outlineLvl w:val="9"/>
    </w:pPr>
    <w:rPr>
      <w:rFonts w:ascii="宋体" w:eastAsia="宋体"/>
      <w:sz w:val="18"/>
      <w:szCs w:val="18"/>
    </w:rPr>
  </w:style>
  <w:style w:type="paragraph" w:customStyle="1" w:styleId="66">
    <w:name w:val="二级无"/>
    <w:basedOn w:val="49"/>
    <w:uiPriority w:val="0"/>
    <w:pPr>
      <w:spacing w:beforeLines="0" w:afterLines="0"/>
    </w:pPr>
    <w:rPr>
      <w:rFonts w:ascii="宋体" w:eastAsia="宋体"/>
    </w:rPr>
  </w:style>
  <w:style w:type="paragraph" w:customStyle="1" w:styleId="67">
    <w:name w:val="注：（正文）"/>
    <w:basedOn w:val="60"/>
    <w:next w:val="22"/>
    <w:uiPriority w:val="0"/>
  </w:style>
  <w:style w:type="paragraph" w:customStyle="1" w:styleId="68">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spacing w:before="370" w:line="400" w:lineRule="exact"/>
    </w:pPr>
    <w:rPr>
      <w:rFonts w:ascii="Times New Roman"/>
      <w:sz w:val="28"/>
      <w:szCs w:val="28"/>
    </w:rPr>
  </w:style>
  <w:style w:type="paragraph" w:customStyle="1" w:styleId="83">
    <w:name w:val="封面一致性程度标识"/>
    <w:basedOn w:val="82"/>
    <w:qFormat/>
    <w:uiPriority w:val="0"/>
    <w:pPr>
      <w:framePr w:wrap="around"/>
      <w:spacing w:before="440"/>
    </w:pPr>
    <w:rPr>
      <w:rFonts w:ascii="宋体" w:eastAsia="宋体"/>
    </w:rPr>
  </w:style>
  <w:style w:type="paragraph" w:customStyle="1" w:styleId="84">
    <w:name w:val="封面标准文稿类别"/>
    <w:basedOn w:val="83"/>
    <w:uiPriority w:val="0"/>
    <w:pPr>
      <w:framePr w:wrap="around"/>
      <w:spacing w:after="160" w:line="240" w:lineRule="auto"/>
    </w:pPr>
    <w:rPr>
      <w:sz w:val="24"/>
    </w:rPr>
  </w:style>
  <w:style w:type="paragraph" w:customStyle="1" w:styleId="85">
    <w:name w:val="封面标准文稿编辑信息"/>
    <w:basedOn w:val="84"/>
    <w:qFormat/>
    <w:uiPriority w:val="0"/>
    <w:pPr>
      <w:framePr w:wrap="around"/>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2"/>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2"/>
    <w:next w:val="22"/>
    <w:uiPriority w:val="0"/>
    <w:pPr>
      <w:ind w:firstLine="0" w:firstLineChars="0"/>
      <w:jc w:val="center"/>
    </w:pPr>
    <w:rPr>
      <w:rFonts w:ascii="黑体" w:eastAsia="黑体"/>
    </w:rPr>
  </w:style>
  <w:style w:type="paragraph" w:customStyle="1" w:styleId="89">
    <w:name w:val="附录表标号"/>
    <w:basedOn w:val="1"/>
    <w:next w:val="22"/>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2"/>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2"/>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uiPriority w:val="0"/>
    <w:pPr>
      <w:tabs>
        <w:tab w:val="clear" w:pos="360"/>
      </w:tabs>
      <w:spacing w:beforeLines="0" w:afterLines="0"/>
    </w:pPr>
    <w:rPr>
      <w:rFonts w:ascii="宋体" w:eastAsia="宋体"/>
      <w:szCs w:val="21"/>
    </w:rPr>
  </w:style>
  <w:style w:type="paragraph" w:customStyle="1" w:styleId="93">
    <w:name w:val="附录公式"/>
    <w:basedOn w:val="22"/>
    <w:next w:val="22"/>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2"/>
    <w:qFormat/>
    <w:uiPriority w:val="0"/>
    <w:pPr>
      <w:numPr>
        <w:ilvl w:val="4"/>
      </w:numPr>
      <w:outlineLvl w:val="4"/>
    </w:pPr>
  </w:style>
  <w:style w:type="paragraph" w:customStyle="1" w:styleId="97">
    <w:name w:val="附录三级无"/>
    <w:basedOn w:val="96"/>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2"/>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2"/>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2"/>
    <w:qFormat/>
    <w:uiPriority w:val="0"/>
    <w:pPr>
      <w:numPr>
        <w:ilvl w:val="6"/>
      </w:numPr>
      <w:outlineLvl w:val="6"/>
    </w:pPr>
  </w:style>
  <w:style w:type="paragraph" w:customStyle="1" w:styleId="104">
    <w:name w:val="附录五级无"/>
    <w:basedOn w:val="103"/>
    <w:uiPriority w:val="0"/>
    <w:pPr>
      <w:tabs>
        <w:tab w:val="clear" w:pos="360"/>
      </w:tabs>
      <w:spacing w:beforeLines="0" w:afterLines="0"/>
    </w:pPr>
    <w:rPr>
      <w:rFonts w:ascii="宋体" w:eastAsia="宋体"/>
      <w:szCs w:val="21"/>
    </w:rPr>
  </w:style>
  <w:style w:type="paragraph" w:customStyle="1" w:styleId="105">
    <w:name w:val="附录章标题"/>
    <w:next w:val="22"/>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2"/>
    <w:uiPriority w:val="0"/>
    <w:pPr>
      <w:numPr>
        <w:ilvl w:val="2"/>
      </w:numPr>
      <w:autoSpaceDN w:val="0"/>
      <w:spacing w:beforeLines="50" w:afterLines="50"/>
      <w:outlineLvl w:val="2"/>
    </w:pPr>
  </w:style>
  <w:style w:type="paragraph" w:customStyle="1" w:styleId="107">
    <w:name w:val="附录一级无"/>
    <w:basedOn w:val="106"/>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uiPriority w:val="0"/>
    <w:pPr>
      <w:framePr w:w="6101" w:wrap="around" w:vAnchor="page" w:hAnchor="page" w:x="4673" w:y="942"/>
    </w:pPr>
    <w:rPr>
      <w:w w:val="130"/>
    </w:rPr>
  </w:style>
  <w:style w:type="paragraph" w:customStyle="1" w:styleId="113">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uiPriority w:val="0"/>
    <w:pPr>
      <w:framePr w:wrap="around" w:y="15310"/>
      <w:spacing w:line="0" w:lineRule="atLeast"/>
    </w:pPr>
    <w:rPr>
      <w:rFonts w:ascii="黑体" w:eastAsia="黑体"/>
      <w:b w:val="0"/>
    </w:rPr>
  </w:style>
  <w:style w:type="paragraph" w:customStyle="1" w:styleId="115">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uiPriority w:val="0"/>
    <w:pPr>
      <w:spacing w:beforeLines="0" w:afterLines="0"/>
    </w:pPr>
    <w:rPr>
      <w:rFonts w:ascii="宋体" w:eastAsia="宋体"/>
    </w:rPr>
  </w:style>
  <w:style w:type="paragraph" w:customStyle="1" w:styleId="117">
    <w:name w:val="实施日期"/>
    <w:basedOn w:val="78"/>
    <w:uiPriority w:val="0"/>
    <w:pPr>
      <w:framePr w:wrap="around" w:vAnchor="page" w:hAnchor="text"/>
      <w:jc w:val="right"/>
    </w:pPr>
  </w:style>
  <w:style w:type="paragraph" w:customStyle="1" w:styleId="118">
    <w:name w:val="示例后文字"/>
    <w:basedOn w:val="22"/>
    <w:next w:val="22"/>
    <w:qFormat/>
    <w:uiPriority w:val="0"/>
    <w:pPr>
      <w:ind w:firstLine="360"/>
    </w:pPr>
    <w:rPr>
      <w:sz w:val="18"/>
    </w:rPr>
  </w:style>
  <w:style w:type="paragraph" w:customStyle="1" w:styleId="119">
    <w:name w:val="首示例"/>
    <w:next w:val="22"/>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uiPriority w:val="0"/>
    <w:rPr>
      <w:rFonts w:ascii="宋体" w:hAnsi="宋体"/>
      <w:kern w:val="2"/>
      <w:sz w:val="18"/>
      <w:szCs w:val="18"/>
    </w:rPr>
  </w:style>
  <w:style w:type="paragraph" w:customStyle="1" w:styleId="121">
    <w:name w:val="四级无"/>
    <w:basedOn w:val="58"/>
    <w:uiPriority w:val="0"/>
    <w:pPr>
      <w:spacing w:beforeLines="0" w:afterLines="0"/>
    </w:pPr>
    <w:rPr>
      <w:rFonts w:ascii="宋体" w:eastAsia="宋体"/>
    </w:rPr>
  </w:style>
  <w:style w:type="paragraph" w:customStyle="1" w:styleId="122">
    <w:name w:val="条文脚注"/>
    <w:basedOn w:val="23"/>
    <w:uiPriority w:val="0"/>
    <w:pPr>
      <w:numPr>
        <w:numId w:val="0"/>
      </w:numPr>
      <w:jc w:val="both"/>
    </w:pPr>
  </w:style>
  <w:style w:type="paragraph" w:customStyle="1" w:styleId="123">
    <w:name w:val="图标脚注说明"/>
    <w:basedOn w:val="22"/>
    <w:uiPriority w:val="0"/>
    <w:pPr>
      <w:ind w:left="840" w:hanging="420" w:firstLineChars="0"/>
    </w:pPr>
    <w:rPr>
      <w:sz w:val="18"/>
      <w:szCs w:val="18"/>
    </w:rPr>
  </w:style>
  <w:style w:type="paragraph" w:customStyle="1" w:styleId="124">
    <w:name w:val="图表脚注说明"/>
    <w:basedOn w:val="1"/>
    <w:uiPriority w:val="0"/>
    <w:pPr>
      <w:numPr>
        <w:ilvl w:val="0"/>
        <w:numId w:val="15"/>
      </w:numPr>
    </w:pPr>
    <w:rPr>
      <w:rFonts w:ascii="宋体"/>
      <w:sz w:val="18"/>
      <w:szCs w:val="18"/>
    </w:rPr>
  </w:style>
  <w:style w:type="paragraph" w:customStyle="1" w:styleId="125">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uiPriority w:val="0"/>
    <w:pPr>
      <w:spacing w:beforeLines="0" w:afterLines="0"/>
    </w:pPr>
    <w:rPr>
      <w:rFonts w:ascii="宋体" w:eastAsia="宋体"/>
    </w:rPr>
  </w:style>
  <w:style w:type="paragraph" w:customStyle="1" w:styleId="128">
    <w:name w:val="一级无"/>
    <w:basedOn w:val="45"/>
    <w:uiPriority w:val="0"/>
    <w:pPr>
      <w:spacing w:beforeLines="0" w:afterLines="0"/>
    </w:pPr>
    <w:rPr>
      <w:rFonts w:ascii="宋体" w:eastAsia="宋体"/>
    </w:rPr>
  </w:style>
  <w:style w:type="paragraph" w:customStyle="1" w:styleId="129">
    <w:name w:val="正文表标题"/>
    <w:next w:val="22"/>
    <w:uiPriority w:val="0"/>
    <w:pPr>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2"/>
    <w:next w:val="22"/>
    <w:qFormat/>
    <w:uiPriority w:val="0"/>
    <w:pPr>
      <w:ind w:firstLine="0" w:firstLineChars="0"/>
    </w:pPr>
  </w:style>
  <w:style w:type="paragraph" w:customStyle="1" w:styleId="131">
    <w:name w:val="正文图标题"/>
    <w:next w:val="22"/>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uiPriority w:val="0"/>
    <w:pPr>
      <w:framePr w:hSpace="181" w:vSpace="181" w:wrap="around" w:vAnchor="text" w:hAnchor="margin" w:xAlign="center" w:y="285"/>
    </w:pPr>
  </w:style>
  <w:style w:type="paragraph" w:customStyle="1" w:styleId="133">
    <w:name w:val="其他发布日期"/>
    <w:basedOn w:val="78"/>
    <w:uiPriority w:val="0"/>
    <w:pPr>
      <w:framePr w:wrap="around" w:vAnchor="page" w:hAnchor="text" w:x="1419"/>
    </w:pPr>
  </w:style>
  <w:style w:type="paragraph" w:customStyle="1" w:styleId="134">
    <w:name w:val="其他实施日期"/>
    <w:basedOn w:val="117"/>
    <w:uiPriority w:val="0"/>
    <w:pPr>
      <w:framePr w:wrap="around"/>
    </w:pPr>
  </w:style>
  <w:style w:type="paragraph" w:customStyle="1" w:styleId="135">
    <w:name w:val="封面标准名称2"/>
    <w:basedOn w:val="81"/>
    <w:uiPriority w:val="0"/>
    <w:pPr>
      <w:framePr w:wrap="around" w:y="4469"/>
      <w:spacing w:beforeLines="630"/>
    </w:pPr>
  </w:style>
  <w:style w:type="paragraph" w:customStyle="1" w:styleId="136">
    <w:name w:val="封面标准英文名称2"/>
    <w:basedOn w:val="82"/>
    <w:uiPriority w:val="0"/>
    <w:pPr>
      <w:framePr w:wrap="around" w:y="4469"/>
    </w:pPr>
  </w:style>
  <w:style w:type="paragraph" w:customStyle="1" w:styleId="137">
    <w:name w:val="封面一致性程度标识2"/>
    <w:basedOn w:val="83"/>
    <w:uiPriority w:val="0"/>
    <w:pPr>
      <w:framePr w:wrap="around" w:y="4469"/>
    </w:pPr>
  </w:style>
  <w:style w:type="paragraph" w:customStyle="1" w:styleId="138">
    <w:name w:val="封面标准文稿类别2"/>
    <w:basedOn w:val="84"/>
    <w:uiPriority w:val="0"/>
    <w:pPr>
      <w:framePr w:wrap="around" w:y="4469"/>
    </w:pPr>
  </w:style>
  <w:style w:type="paragraph" w:customStyle="1" w:styleId="139">
    <w:name w:val="封面标准文稿编辑信息2"/>
    <w:basedOn w:val="85"/>
    <w:uiPriority w:val="0"/>
    <w:pPr>
      <w:framePr w:wrap="around" w:y="4469"/>
    </w:pPr>
  </w:style>
  <w:style w:type="character" w:customStyle="1" w:styleId="140">
    <w:name w:val="批注文字 字符"/>
    <w:link w:val="7"/>
    <w:uiPriority w:val="0"/>
    <w:rPr>
      <w:kern w:val="2"/>
      <w:sz w:val="21"/>
      <w:szCs w:val="24"/>
    </w:rPr>
  </w:style>
  <w:style w:type="character" w:customStyle="1" w:styleId="141">
    <w:name w:val="批注主题 字符"/>
    <w:link w:val="31"/>
    <w:uiPriority w:val="0"/>
    <w:rPr>
      <w:b/>
      <w:bCs/>
      <w:kern w:val="2"/>
      <w:sz w:val="21"/>
      <w:szCs w:val="24"/>
    </w:rPr>
  </w:style>
  <w:style w:type="character" w:customStyle="1" w:styleId="142">
    <w:name w:val="批注框文本 字符"/>
    <w:link w:val="15"/>
    <w:uiPriority w:val="0"/>
    <w:rPr>
      <w:kern w:val="2"/>
      <w:sz w:val="18"/>
      <w:szCs w:val="18"/>
    </w:rPr>
  </w:style>
  <w:style w:type="paragraph" w:customStyle="1" w:styleId="143">
    <w:name w:val="StdsHead3"/>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1"/>
    <w:uiPriority w:val="0"/>
    <w:pPr>
      <w:keepNext/>
      <w:spacing w:before="180" w:after="60"/>
    </w:pPr>
    <w:rPr>
      <w:rFonts w:ascii="Arial" w:hAnsi="Arial" w:eastAsia="Arial Unicode MS" w:cs="Times New Roman"/>
      <w:b/>
      <w:lang w:val="en-US" w:eastAsia="ja-JP" w:bidi="ar-SA"/>
    </w:rPr>
  </w:style>
  <w:style w:type="paragraph" w:customStyle="1" w:styleId="145">
    <w:name w:val="StdsHead2"/>
    <w:link w:val="161"/>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5"/>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7"/>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8"/>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1"/>
    <w:qFormat/>
    <w:uiPriority w:val="0"/>
    <w:pPr>
      <w:keepNext/>
      <w:spacing w:before="180" w:after="60"/>
    </w:pPr>
    <w:rPr>
      <w:rFonts w:ascii="Arial" w:hAnsi="Arial" w:eastAsia="Arial Unicode MS" w:cs="Times New Roman"/>
      <w:b/>
      <w:lang w:val="en-US" w:eastAsia="ja-JP" w:bidi="ar-SA"/>
    </w:rPr>
  </w:style>
  <w:style w:type="paragraph" w:customStyle="1" w:styleId="152">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9">
    <w:name w:val="StdsText Char"/>
    <w:link w:val="160"/>
    <w:locked/>
    <w:uiPriority w:val="0"/>
    <w:rPr>
      <w:lang w:eastAsia="ja-JP"/>
    </w:rPr>
  </w:style>
  <w:style w:type="paragraph" w:customStyle="1" w:styleId="160">
    <w:name w:val="StdsText"/>
    <w:link w:val="159"/>
    <w:uiPriority w:val="0"/>
    <w:pPr>
      <w:spacing w:before="120" w:after="120"/>
      <w:jc w:val="both"/>
    </w:pPr>
    <w:rPr>
      <w:rFonts w:ascii="Times New Roman" w:hAnsi="Times New Roman" w:eastAsia="宋体" w:cs="Times New Roman"/>
      <w:lang w:val="en-US" w:eastAsia="ja-JP" w:bidi="ar-SA"/>
    </w:rPr>
  </w:style>
  <w:style w:type="character" w:customStyle="1" w:styleId="161">
    <w:name w:val="StdsHead2 Char"/>
    <w:link w:val="145"/>
    <w:locked/>
    <w:uiPriority w:val="0"/>
    <w:rPr>
      <w:rFonts w:eastAsia="MS Mincho"/>
      <w:lang w:eastAsia="ja-JP"/>
    </w:rPr>
  </w:style>
  <w:style w:type="paragraph" w:styleId="162">
    <w:name w:val="List Paragraph"/>
    <w:basedOn w:val="1"/>
    <w:qFormat/>
    <w:uiPriority w:val="34"/>
    <w:pPr>
      <w:ind w:firstLine="420" w:firstLineChars="200"/>
    </w:pPr>
  </w:style>
  <w:style w:type="paragraph" w:customStyle="1" w:styleId="163">
    <w:name w:val="二级无标题条"/>
    <w:basedOn w:val="1"/>
    <w:uiPriority w:val="0"/>
    <w:pPr>
      <w:numPr>
        <w:ilvl w:val="3"/>
        <w:numId w:val="17"/>
      </w:numPr>
    </w:pPr>
  </w:style>
  <w:style w:type="paragraph" w:customStyle="1" w:styleId="164">
    <w:name w:val="三级无标题条"/>
    <w:basedOn w:val="1"/>
    <w:uiPriority w:val="0"/>
    <w:pPr>
      <w:numPr>
        <w:ilvl w:val="4"/>
        <w:numId w:val="17"/>
      </w:numPr>
    </w:pPr>
  </w:style>
  <w:style w:type="paragraph" w:customStyle="1" w:styleId="165">
    <w:name w:val="四级无标题条"/>
    <w:basedOn w:val="1"/>
    <w:uiPriority w:val="0"/>
    <w:pPr>
      <w:numPr>
        <w:ilvl w:val="5"/>
        <w:numId w:val="17"/>
      </w:numPr>
    </w:pPr>
  </w:style>
  <w:style w:type="paragraph" w:customStyle="1" w:styleId="166">
    <w:name w:val="五级无标题条"/>
    <w:basedOn w:val="1"/>
    <w:uiPriority w:val="0"/>
    <w:pPr>
      <w:numPr>
        <w:ilvl w:val="6"/>
        <w:numId w:val="17"/>
      </w:numPr>
    </w:pPr>
  </w:style>
  <w:style w:type="paragraph" w:customStyle="1" w:styleId="167">
    <w:name w:val="一级无标题条"/>
    <w:basedOn w:val="1"/>
    <w:uiPriority w:val="0"/>
    <w:pPr>
      <w:numPr>
        <w:ilvl w:val="2"/>
        <w:numId w:val="17"/>
      </w:numPr>
    </w:pPr>
  </w:style>
  <w:style w:type="character" w:customStyle="1" w:styleId="168">
    <w:name w:val="标题 字符"/>
    <w:basedOn w:val="34"/>
    <w:link w:val="30"/>
    <w:uiPriority w:val="0"/>
    <w:rPr>
      <w:rFonts w:ascii="Arial" w:hAnsi="Arial" w:cs="Arial"/>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47B31-459D-4F2E-BF9D-05FF20863FC4}">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9</Pages>
  <Words>751</Words>
  <Characters>4286</Characters>
  <Lines>35</Lines>
  <Paragraphs>10</Paragraphs>
  <TotalTime>0</TotalTime>
  <ScaleCrop>false</ScaleCrop>
  <LinksUpToDate>false</LinksUpToDate>
  <CharactersWithSpaces>5027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2021-06-02T22:28:00Z</dcterms:created>
  <dcterms:modified xsi:type="dcterms:W3CDTF">2021-06-03T20:37:48Z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8EB4185C6214464CAFAE66D9EB21D4E9</vt:lpwstr>
  </property>
</Properties>
</file>