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framePr w:wrap="around"/>
      </w:pPr>
      <w:bookmarkStart w:id="13" w:name="_GoBack"/>
      <w:bookmarkEnd w:id="13"/>
      <w:r>
        <w:rPr>
          <w:rFonts w:ascii="Times New Roman"/>
        </w:rPr>
        <w:t>ICS</w:t>
      </w:r>
      <w: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77.040</w:t>
      </w:r>
      <w:r>
        <w:fldChar w:fldCharType="end"/>
      </w:r>
      <w:bookmarkEnd w:id="0"/>
    </w:p>
    <w:p>
      <w:pPr>
        <w:pStyle w:val="121"/>
        <w:framePr w:wrap="around"/>
      </w:pPr>
      <w:r>
        <w:t xml:space="preserve">CCS </w:t>
      </w: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w:t>
      </w:r>
      <w:r>
        <w:t xml:space="preserve"> </w:t>
      </w:r>
      <w:r>
        <w:rPr>
          <w:rFonts w:hint="eastAsia"/>
        </w:rPr>
        <w:t>21</w:t>
      </w:r>
      <w:r>
        <w:fldChar w:fldCharType="end"/>
      </w:r>
      <w:bookmarkEnd w:id="1"/>
    </w:p>
    <w:p>
      <w:pPr>
        <w:pStyle w:val="57"/>
        <w:framePr w:wrap="around"/>
      </w:pPr>
      <w:r>
        <w:drawing>
          <wp:inline distT="0" distB="0" distL="0" distR="0">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pPr>
        <w:pStyle w:val="58"/>
        <w:framePr w:wrap="around"/>
      </w:pPr>
      <w:r>
        <w:rPr>
          <w:rFonts w:hint="eastAsia"/>
        </w:rPr>
        <w:t>中华人民共和国国家标准</w:t>
      </w:r>
    </w:p>
    <w:p>
      <w:pPr>
        <w:pStyle w:val="38"/>
        <w:framePr w:wrap="around"/>
      </w:pPr>
      <w:r>
        <w:rPr>
          <w:rFonts w:ascii="Times New Roman"/>
        </w:rPr>
        <w:t xml:space="preserve">GB/T </w:t>
      </w:r>
      <w:r>
        <w:rPr>
          <w:rFonts w:hint="eastAsia"/>
        </w:rPr>
        <w:t>24581</w:t>
      </w:r>
      <w:r>
        <w:t>—</w:t>
      </w:r>
      <w:r>
        <w:fldChar w:fldCharType="begin">
          <w:ffData>
            <w:name w:val="StdNo2"/>
            <w:enabled/>
            <w:calcOnExit w:val="0"/>
            <w:textInput>
              <w:default w:val="XXXX"/>
              <w:maxLength w:val="4"/>
            </w:textInput>
          </w:ffData>
        </w:fldChar>
      </w:r>
      <w:bookmarkStart w:id="2" w:name="StdNo2"/>
      <w:r>
        <w:instrText xml:space="preserve"> FORMTEXT </w:instrText>
      </w:r>
      <w:r>
        <w:fldChar w:fldCharType="separate"/>
      </w:r>
      <w:r>
        <w:t>XXXX</w:t>
      </w:r>
      <w:r>
        <w:fldChar w:fldCharType="end"/>
      </w:r>
      <w:bookmarkEnd w:id="2"/>
    </w:p>
    <w:tbl>
      <w:tblPr>
        <w:tblStyle w:val="2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67"/>
              <w:framePr w:wrap="around"/>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eUs6kOAgAAKwQAAA4AAABkcnMvZTJvRG9jLnhtbK1TwW7b&#10;MAy9D9g/CLovtrMs64I4RZEgw4BuK9DuA2RZtoXJokYpsbuvHyWnadZdepgPBimST3yP1Pp67A07&#10;KvQabMmLWc6ZshJqbduS/3jYv7vizAdha2HAqpI/Ks+vN2/frAe3UnPowNQKGYFYvxpcybsQ3CrL&#10;vOxUL/wMnLIUbAB7EcjFNqtRDITem2ye58tsAKwdglTe0+luCvITIr4GEJpGS7UDeeiVDRMqKiMC&#10;UfKddp5vUrdNo2T43jReBWZKTkxD+tMlZFfxn23WYtWicJ2WpxbEa1p4wakX2tKlZ6idCIIdUP8D&#10;1WuJ4KEJMwl9NhFJihCLIn+hzX0nnEpcSGrvzqL7/wcrvx3vkOm65EvOrOhp4LuHqMrg/IqC9+4O&#10;Iy/vbkH+9MzCthO2VTeIMHRK1NRLEfOzvwqi46mUVcNXqAlUHAIkgcYG+whI1NmY5vB4noMaA5N0&#10;WBSL93lOI5IUm8+vlmTHK8TqqdqhD58V9CwaJUeac0IXx1sfptSnlNQ9GF3vtTHJwbbaGmRHQTux&#10;T98J3V+mGRuTLcSyCTGeJJqR2aRQGKuRgpFuBfUjEUaYdoxeGBkd4G/OBtqvkvtfB4GKM/PFkmif&#10;isUiLmRyFh8+zsnBy0h1GRFWElTJA2eTuQ3TEh8c6rajm4rE38INCd3opMFzV6e+aYeSiqd9j0t6&#10;6aes5ze++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V5SzqQ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r>
              <w:fldChar w:fldCharType="begin">
                <w:ffData>
                  <w:name w:val="DT"/>
                  <w:enabled/>
                  <w:calcOnExit w:val="0"/>
                  <w:textInput>
                    <w:default w:val="代替GB/T 1551-2009"/>
                  </w:textInput>
                </w:ffData>
              </w:fldChar>
            </w:r>
            <w:bookmarkStart w:id="3" w:name="DT"/>
            <w:r>
              <w:instrText xml:space="preserve"> FORMTEXT </w:instrText>
            </w:r>
            <w:r>
              <w:fldChar w:fldCharType="separate"/>
            </w:r>
            <w:r>
              <w:rPr>
                <w:rFonts w:hint="eastAsia"/>
              </w:rPr>
              <w:t xml:space="preserve">代替GB/T </w:t>
            </w:r>
            <w:r>
              <w:fldChar w:fldCharType="begin">
                <w:ffData>
                  <w:name w:val="DT"/>
                  <w:enabled/>
                  <w:calcOnExit w:val="0"/>
                  <w:entryMacro w:val="ShowHelp4"/>
                  <w:textInput>
                    <w:default w:val="代替 GB/T 24581—2009"/>
                  </w:textInput>
                </w:ffData>
              </w:fldChar>
            </w:r>
            <w:r>
              <w:instrText xml:space="preserve"> FORMTEXT </w:instrText>
            </w:r>
            <w:r>
              <w:fldChar w:fldCharType="separate"/>
            </w:r>
            <w:r>
              <w:rPr>
                <w:rFonts w:hint="eastAsia"/>
              </w:rPr>
              <w:t>24581—2009</w:t>
            </w:r>
            <w:r>
              <w:fldChar w:fldCharType="end"/>
            </w:r>
            <w:r>
              <w:fldChar w:fldCharType="end"/>
            </w:r>
            <w:bookmarkEnd w:id="3"/>
          </w:p>
        </w:tc>
      </w:tr>
    </w:tbl>
    <w:p>
      <w:pPr>
        <w:pStyle w:val="38"/>
        <w:framePr w:wrap="around"/>
      </w:pPr>
    </w:p>
    <w:p>
      <w:pPr>
        <w:pStyle w:val="38"/>
        <w:framePr w:wrap="around"/>
      </w:pPr>
    </w:p>
    <w:tbl>
      <w:tblPr>
        <w:tblStyle w:val="2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tcBorders>
              <w:top w:val="nil"/>
              <w:left w:val="nil"/>
              <w:bottom w:val="nil"/>
              <w:right w:val="nil"/>
            </w:tcBorders>
            <w:shd w:val="clear" w:color="auto" w:fill="auto"/>
          </w:tcPr>
          <w:p>
            <w:pPr>
              <w:pStyle w:val="70"/>
              <w:framePr w:wrap="around" w:x="1381" w:y="6321"/>
              <w:adjustRightInd w:val="0"/>
              <w:snapToGrid w:val="0"/>
              <w:spacing w:before="0" w:line="240" w:lineRule="auto"/>
              <w:rPr>
                <w:rFonts w:ascii="黑体"/>
                <w:sz w:val="52"/>
                <w:szCs w:val="52"/>
              </w:rPr>
            </w:pPr>
            <w:r>
              <w:rPr>
                <w:rFonts w:hint="eastAsia" w:ascii="黑体"/>
                <w:sz w:val="52"/>
                <w:szCs w:val="52"/>
              </w:rPr>
              <w:t xml:space="preserve">硅单晶中III、V族杂质含量的测定 </w:t>
            </w:r>
          </w:p>
          <w:p>
            <w:pPr>
              <w:pStyle w:val="70"/>
              <w:framePr w:wrap="around" w:x="1381" w:y="6321"/>
              <w:adjustRightInd w:val="0"/>
              <w:snapToGrid w:val="0"/>
              <w:spacing w:before="0" w:line="240" w:lineRule="auto"/>
              <w:rPr>
                <w:rFonts w:ascii="黑体"/>
                <w:sz w:val="52"/>
                <w:szCs w:val="52"/>
              </w:rPr>
            </w:pPr>
            <w:r>
              <w:rPr>
                <w:rFonts w:hint="eastAsia" w:ascii="黑体"/>
                <w:sz w:val="52"/>
                <w:szCs w:val="52"/>
              </w:rPr>
              <w:t>低温傅立叶变换红外光谱法</w:t>
            </w:r>
          </w:p>
          <w:p>
            <w:pPr>
              <w:pStyle w:val="70"/>
              <w:framePr w:wrap="around" w:x="1381" w:y="6321"/>
              <w:rPr>
                <w:rFonts w:ascii="黑体" w:hAnsi="黑体"/>
              </w:rPr>
            </w:pPr>
            <w:r>
              <w:rPr>
                <w:rFonts w:hint="eastAsia" w:ascii="黑体" w:hAnsi="黑体"/>
              </w:rPr>
              <w:t>Test method for Ⅲ-Ⅴ impurities content in single crystal silicon —</w:t>
            </w:r>
            <w:r>
              <w:rPr>
                <w:rFonts w:ascii="黑体" w:hAnsi="黑体"/>
              </w:rPr>
              <w:t>L</w:t>
            </w:r>
            <w:r>
              <w:rPr>
                <w:rFonts w:hint="eastAsia" w:ascii="黑体" w:hAnsi="黑体"/>
              </w:rPr>
              <w:t>ow temperature FT-IR analysis method</w:t>
            </w:r>
          </w:p>
          <w:p>
            <w:pPr>
              <w:pStyle w:val="72"/>
              <w:framePr w:wrap="around" w:x="1381" w:y="6321"/>
              <w:rPr>
                <w:szCs w:val="24"/>
              </w:rPr>
            </w:pPr>
            <w:r>
              <w:rPr>
                <w:szCs w:val="24"/>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Z+jBMQ0CAAArBAAADgAAAGRycy9lMm9Eb2MueG1srVPBbtsw&#10;DL0P2D8Iui+2g2RbjThFkSDDgG7r1u0DZFm2hcmiRilxuq8fJadp1l16mA8GKZJPfI/U6vo4GHZQ&#10;6DXYiheznDNlJTTadhX/8X335j1nPgjbCANWVfxBeX69fv1qNbpSzaEH0yhkBGJ9ObqK9yG4Msu8&#10;7NUg/AycshRsAQcRyMUua1CMhD6YbJ7nb7MRsHEIUnlPp9spyE+I+BJAaFst1RbkflA2TKiojAhE&#10;yffaeb5O3batkuFL23oVmKk4MQ3pT5eQXcd/tl6JskPhei1PLYiXtPCM0yC0pUvPUFsRBNuj/gdq&#10;0BLBQxtmEoZsIpIUIRZF/kyb+144lbiQ1N6dRff/D1Z+Ptwh003Fl5xZMdDAv32NqozOlxS8d3cY&#10;eXl3C/KnZxY2vbCdukGEsVeioV6KmJ/9VRAdT6WsHj9BQ6BiHyAJdGxxiIBEnR3THB7Oc1DHwCQd&#10;Flf5Ms9pRJJi8+Ui2vEKUT5WO/Thg4KBRaPiSHNO6OJw68OU+piSugejm502JjnY1RuD7CBoJ3bp&#10;O6H7yzRjY7KFWDYhxpNEMzKbFArH+kjBSLeG5oEII0w7Ri+MjB7wN2cj7VfF/a+9QMWZ+WhJtKti&#10;sYgLmZzF8t2cHLyM1JcRYSVBVTxwNpmbMC3x3qHuerqpSPwt3JDQrU4aPHV16pt2KKl42ve4pJd+&#10;ynp64+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muktUAAAAKAQAADwAAAAAAAAABACAAAAAi&#10;AAAAZHJzL2Rvd25yZXYueG1sUEsBAhQAFAAAAAgAh07iQGfowTENAgAAKwQAAA4AAAAAAAAAAQAg&#10;AAAAJAEAAGRycy9lMm9Eb2MueG1sUEsFBgAAAAAGAAYAWQEAAKMFAAAAAA==&#10;">
                      <v:fill on="t" focussize="0,0"/>
                      <v:stroke on="f"/>
                      <v:imagedata o:title=""/>
                      <o:lock v:ext="edit" aspectratio="f"/>
                      <v:textbox>
                        <w:txbxContent>
                          <w:p>
                            <w:pPr>
                              <w:jc w:val="center"/>
                            </w:pPr>
                          </w:p>
                        </w:txbxContent>
                      </v:textbox>
                      <w10:anchorlock/>
                    </v:rect>
                  </w:pict>
                </mc:Fallback>
              </mc:AlternateContent>
            </w:r>
            <w:r>
              <w:rPr>
                <w:szCs w:val="24"/>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VgsaANAgAAKwQAAA4AAABkcnMvZTJvRG9jLnhtbK1TwY7T&#10;MBC9I/EPlu80SSnsEjVdLa2KkBZYaeEDHMdJLByPGbtNy9czdrrdslz2gA/WjGfmed7zeHlzGAzb&#10;K/QabMWLWc6ZshIabbuK//i+fXPNmQ/CNsKAVRU/Ks9vVq9fLUdXqjn0YBqFjECsL0dX8T4EV2aZ&#10;l70ahJ+BU5aCLeAgArnYZQ2KkdAHk83z/H02AjYOQSrv6XQzBfkJEV8CCG2rpdqA3A3KhgkVlRGB&#10;KPleO89Xqdu2VTJ8a1uvAjMVJ6Yh7XQJ2XXcs9VSlB0K12t5akG8pIVnnAahLV16htqIINgO9T9Q&#10;g5YIHtowkzBkE5GkCLEo8mfaPPTCqcSFpPbuLLr/f7Dy6/4emW4qvuDMioEe/O5jVGV0vqTgg7vH&#10;yMu7O5A/PbOw7oXt1C0ijL0SDfVSxPzsr4LoeCpl9fgFGgIVuwBJoEOLQwQk6uyQ3uF4fgd1CEzS&#10;YTG/ymlxJin2Nl9ckx2vEOVjtUMfPikYWDQqjvTOCV3s73yYUh9TUvdgdLPVxiQHu3ptkO0FzcQ2&#10;rRO6v0wzNiZbiGUTYjxJNCOzSaFwqA8UjHRraI5EGGGaMfphZPSAvzkbab4q7n/tBCrOzGdLon0o&#10;Fos4kMlZvLuak4OXkfoyIqwkqIoHziZzHaYh3jnUXU83FYm/hVsSutVJg6euTn3TDCUVT/Meh/TS&#10;T1lPf3z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AlYLGgDQIAACsEAAAOAAAAAAAAAAEA&#10;IAAAACUBAABkcnMvZTJvRG9jLnhtbFBLBQYAAAAABgAGAFkBAACkBQA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3"/>
              <w:framePr w:wrap="around" w:x="1381" w:y="6321"/>
              <w:rPr>
                <w:sz w:val="24"/>
                <w:szCs w:val="24"/>
              </w:rPr>
            </w:pPr>
            <w:r>
              <w:rPr>
                <w:rFonts w:hint="eastAsia"/>
                <w:sz w:val="24"/>
                <w:szCs w:val="24"/>
              </w:rPr>
              <w:t>(送审稿)</w:t>
            </w:r>
          </w:p>
          <w:p>
            <w:pPr>
              <w:pStyle w:val="73"/>
              <w:framePr w:wrap="around" w:x="1381" w:y="6321"/>
              <w:rPr>
                <w:sz w:val="24"/>
                <w:szCs w:val="24"/>
              </w:rPr>
            </w:pPr>
          </w:p>
          <w:p>
            <w:pPr>
              <w:pStyle w:val="73"/>
              <w:framePr w:wrap="around" w:x="1381" w:y="6321"/>
              <w:rPr>
                <w:sz w:val="24"/>
                <w:szCs w:val="24"/>
              </w:rPr>
            </w:pPr>
            <w:r>
              <w:rPr>
                <w:rFonts w:hint="eastAsia" w:ascii="Times New Roman"/>
                <w:b/>
                <w:bCs/>
              </w:rPr>
              <w:t>（在提交反馈意见时，请将您知道的相关专利连同支持性文件一并附上）</w:t>
            </w:r>
          </w:p>
        </w:tc>
      </w:tr>
    </w:tbl>
    <w:p>
      <w:pPr>
        <w:pStyle w:val="129"/>
        <w:framePr w:wrap="around" w:hAnchor="page" w:x="1460" w:y="14121"/>
      </w:pPr>
      <w:r>
        <w:rPr>
          <w:rFonts w:ascii="黑体"/>
        </w:rPr>
        <w:fldChar w:fldCharType="begin">
          <w:ffData>
            <w:name w:val="FY"/>
            <w:enabled/>
            <w:calcOnExit w:val="0"/>
            <w:textInput>
              <w:default w:val="XXXX"/>
              <w:maxLength w:val="4"/>
            </w:textInput>
          </w:ffData>
        </w:fldChar>
      </w:r>
      <w:bookmarkStart w:id="4" w:name="F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5"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6"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tSG4nKAQAAoAMAAA4AAABkcnMvZTJvRG9jLnhtbK1TTW/b&#10;MAy9D9h/EHRfHKdosRlxekjQXbItQLsfoEiyLUwSBVGJnX8/SvlY1116mA+CKJKPfI/08nFylh11&#10;RAO+5fVszpn2EpTxfct/vjx9+swZJuGVsOB1y08a+ePq44flGBq9gAGs0pERiMdmDC0fUgpNVaEc&#10;tBM4g6A9OTuITiQyY1+pKEZCd7ZazOcP1QhRhQhSI9Lr5uzkF8T4HkDoOiP1BuTBaZ/OqFFbkYgS&#10;DiYgX5Vuu07L9KPrUCdmW05MUzmpCN33+axWS9H0UYTByEsL4j0tvOHkhPFU9Aa1EUmwQzT/QDkj&#10;IyB0aSbBVWciRRFiUc/faPM8iKALF5Iaw010/H+w8vtxF5lRLb/jzAtHA98ar1ldpBkDNhSx9ruY&#10;ycnJP4ctyF/IPKwH4XtdWnw5Bcqrs5jVXynZwEAF9uM3UBQjDgmKTlMXXYYkBdhUxnG6jUNPiUl6&#10;fKhJkzualLz6KtFcE0PE9FWDY/nScktNF2Bx3GLKjYjmGpLreHgy1pZpW8/Gln+5X9yXBARrVHbm&#10;MIz9fm0jO4q8L+UrrMjzOizCwatzEesvpDPPvHbY7EGddvEqBg2udHNZsrwZr+2S/efH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FtSG4nKAQAAoAMAAA4AAAAAAAAAAQAgAAAAJQEAAGRy&#10;cy9lMm9Eb2MueG1sUEsFBgAAAAAGAAYAWQEAAGEFAAAAAA==&#10;">
                <v:fill on="f" focussize="0,0"/>
                <v:stroke color="#000000" joinstyle="round"/>
                <v:imagedata o:title=""/>
                <o:lock v:ext="edit" aspectratio="f"/>
                <w10:anchorlock/>
              </v:line>
            </w:pict>
          </mc:Fallback>
        </mc:AlternateContent>
      </w:r>
    </w:p>
    <w:p>
      <w:pPr>
        <w:pStyle w:val="130"/>
        <w:framePr w:wrap="around" w:hAnchor="page" w:x="7108" w:y="14121"/>
      </w:pPr>
      <w:r>
        <w:rPr>
          <w:rFonts w:ascii="黑体"/>
        </w:rPr>
        <w:fldChar w:fldCharType="begin">
          <w:ffData>
            <w:name w:val="SY"/>
            <w:enabled/>
            <w:calcOnExit w:val="0"/>
            <w:textInput>
              <w:default w:val="XXXX"/>
              <w:maxLength w:val="4"/>
            </w:textInput>
          </w:ffData>
        </w:fldChar>
      </w:r>
      <w:bookmarkStart w:id="7"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8"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9"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8"/>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8957945</wp:posOffset>
                </wp:positionV>
                <wp:extent cx="6120130" cy="0"/>
                <wp:effectExtent l="0" t="0" r="0" b="0"/>
                <wp:wrapNone/>
                <wp:docPr id="7"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pt;margin-top:705.35pt;height:0pt;width:481.9pt;z-index:251664384;mso-width-relative:page;mso-height-relative:page;" filled="f" stroked="t" coordsize="21600,21600" o:gfxdata="UEsDBAoAAAAAAIdO4kAAAAAAAAAAAAAAAAAEAAAAZHJzL1BLAwQUAAAACACHTuJAs06XKtUAAAAK&#10;AQAADwAAAGRycy9kb3ducmV2LnhtbE2PzU7DMBCE70i8g7VIXCpqp0UthDg9ALlxoVBx3cZLEhGv&#10;09j9gadnOSA47sxodr5idfK9OtAYu8AWsqkBRVwH13Fj4fWluroBFROywz4wWfikCKvy/KzA3IUj&#10;P9NhnRolJRxztNCmNORax7olj3EaBmLx3sPoMck5NtqNeJRy3+uZMQvtsWP50OJA9y3VH+u9txCr&#10;De2qr0k9MW/zJtBs9/D0iNZeXmTmDlSiU/oLw898mQ6lbNqGPbuoegsCkkS9zswSlPi3i7mgbH8l&#10;XRb6P0L5DVBLAwQUAAAACACHTuJAQMp9U8gBAACgAwAADgAAAGRycy9lMm9Eb2MueG1srVNNj9sg&#10;EL1X6n9A3BvHqXbbWnH2kGh7SdtIu/0BBLCNCgxiSOz8+w7ko93tZQ/1ATFfb+a9wcuHyVl21BEN&#10;+JbXszln2ktQxvct//n8+OEzZ5iEV8KC1y0/aeQPq/fvlmNo9AIGsEpHRiAemzG0fEgpNFWFctBO&#10;4AyC9hTsIDqRyIx9paIYCd3ZajGf31cjRBUiSI1I3s05yC+I8S2A0HVG6g3Ig9M+nVGjtiIRJRxM&#10;QL4q03adlulH16FOzLacmKZyUhO67/NZrZai6aMIg5GXEcRbRnjFyQnjqekNaiOSYIdo/oFyRkZA&#10;6NJMgqvORIoixKKev9LmaRBBFy4kNYab6Pj/YOX34y4yo1r+iTMvHC18a7xmdZ2lGQM2lLH2u5jJ&#10;yck/hS3IX8g8rAfhe11GfD4FqisV1YuSbGCgBvvxGyjKEYcERaepiy5DkgJsKus43dahp8QkOe9r&#10;0uQjbUpeY5VoroUhYvqqwbF8abmloQuwOG4x0eiUek3JfTw8GmvLtq1nY8u/3C3uSgGCNSoHcxrG&#10;fr+2kR1Ffi/lyzoQ2Iu0CAevzn7rKXzleVZsD+q0izmc/bS4AnB5ZPll/G2XrD8/1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06XKtUAAAAKAQAADwAAAAAAAAABACAAAAAiAAAAZHJzL2Rvd25y&#10;ZXYueG1sUEsBAhQAFAAAAAgAh07iQEDKfVPIAQAAoAMAAA4AAAAAAAAAAQAgAAAAJAEAAGRycy9l&#10;Mm9Eb2MueG1sUEsFBgAAAAAGAAYAWQEAAF4FAAAAAA==&#10;">
                <v:fill on="f" focussize="0,0"/>
                <v:stroke color="#000000" joinstyle="round"/>
                <v:imagedata o:title=""/>
                <o:lock v:ext="edit" aspectratio="f"/>
              </v:line>
            </w:pict>
          </mc:Fallback>
        </mc:AlternateContent>
      </w:r>
      <w:r>
        <w:drawing>
          <wp:anchor distT="0" distB="0" distL="114300" distR="114300" simplePos="0" relativeHeight="251663360" behindDoc="0" locked="0" layoutInCell="1" allowOverlap="1">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pPr>
        <w:pStyle w:val="110"/>
      </w:pPr>
      <w:r>
        <w:rPr>
          <w:rFonts w:hint="eastAsia"/>
        </w:rPr>
        <w:t>前</w:t>
      </w:r>
      <w:bookmarkStart w:id="10" w:name="BKQY"/>
      <w:r>
        <w:t>  </w:t>
      </w:r>
      <w:r>
        <w:rPr>
          <w:rFonts w:hint="eastAsia"/>
        </w:rPr>
        <w:t>言</w:t>
      </w:r>
      <w:bookmarkEnd w:id="10"/>
    </w:p>
    <w:p>
      <w:pPr>
        <w:pStyle w:val="39"/>
        <w:numPr>
          <w:ilvl w:val="0"/>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pPr>
        <w:pStyle w:val="39"/>
        <w:numPr>
          <w:ilvl w:val="0"/>
          <w:numId w:val="0"/>
        </w:numPr>
        <w:ind w:firstLine="420" w:firstLineChars="200"/>
        <w:rPr>
          <w:rFonts w:hAnsi="宋体"/>
        </w:rPr>
      </w:pPr>
      <w:r>
        <w:rPr>
          <w:rFonts w:hint="eastAsia"/>
        </w:rPr>
        <w:t>本文件代替</w:t>
      </w:r>
      <w:r>
        <w:rPr>
          <w:rFonts w:hint="eastAsia" w:hAnsi="宋体"/>
        </w:rPr>
        <w:t>GB/T 24581-2009《</w:t>
      </w:r>
      <w:r>
        <w:rPr>
          <w:rFonts w:hint="eastAsia"/>
        </w:rPr>
        <w:t>低温傅立叶变换红外光谱法测量硅单晶中Ⅲ、Ⅴ族杂质含量的标准方法</w:t>
      </w:r>
      <w:r>
        <w:rPr>
          <w:rFonts w:hint="eastAsia" w:hAnsi="宋体"/>
        </w:rPr>
        <w:t>》</w:t>
      </w:r>
      <w:r>
        <w:rPr>
          <w:rFonts w:hint="eastAsia"/>
        </w:rPr>
        <w:t>，与GB/T 24581</w:t>
      </w:r>
      <w:r>
        <w:t>-2009</w:t>
      </w:r>
      <w:r>
        <w:rPr>
          <w:rFonts w:hint="eastAsia"/>
        </w:rPr>
        <w:t>相比，除结构调整和编辑性改动外，主要技术变化如下：</w:t>
      </w:r>
    </w:p>
    <w:p>
      <w:pPr>
        <w:pStyle w:val="18"/>
        <w:numPr>
          <w:ilvl w:val="0"/>
          <w:numId w:val="19"/>
        </w:numPr>
        <w:tabs>
          <w:tab w:val="center" w:pos="851"/>
          <w:tab w:val="clear" w:pos="4201"/>
        </w:tabs>
        <w:ind w:firstLineChars="0"/>
        <w:jc w:val="left"/>
        <w:rPr>
          <w:rFonts w:hAnsi="宋体"/>
        </w:rPr>
      </w:pPr>
      <w:r>
        <w:rPr>
          <w:rFonts w:hint="eastAsia"/>
        </w:rPr>
        <w:t>将标准名称修订为《硅单晶中III、V族杂质含量的测定 低温傅立叶变换红外光谱法》</w:t>
      </w:r>
      <w:r>
        <w:rPr>
          <w:rFonts w:hint="eastAsia" w:hAnsi="宋体"/>
        </w:rPr>
        <w:t>；</w:t>
      </w:r>
    </w:p>
    <w:p>
      <w:pPr>
        <w:pStyle w:val="18"/>
        <w:numPr>
          <w:ilvl w:val="0"/>
          <w:numId w:val="19"/>
        </w:numPr>
        <w:tabs>
          <w:tab w:val="center" w:pos="851"/>
          <w:tab w:val="clear" w:pos="4201"/>
        </w:tabs>
        <w:ind w:firstLineChars="0"/>
        <w:jc w:val="left"/>
        <w:rPr>
          <w:rFonts w:hAnsi="宋体"/>
        </w:rPr>
      </w:pPr>
      <w:r>
        <w:rPr>
          <w:rFonts w:hint="eastAsia"/>
        </w:rPr>
        <w:t>删除第1章，章条号顺延</w:t>
      </w:r>
      <w:r>
        <w:rPr>
          <w:rFonts w:hint="eastAsia" w:hAnsi="宋体"/>
        </w:rPr>
        <w:t>（见2</w:t>
      </w:r>
      <w:r>
        <w:rPr>
          <w:rFonts w:hAnsi="宋体"/>
        </w:rPr>
        <w:t>0</w:t>
      </w:r>
      <w:r>
        <w:rPr>
          <w:rFonts w:hint="eastAsia" w:hAnsi="宋体"/>
        </w:rPr>
        <w:t>0</w:t>
      </w:r>
      <w:r>
        <w:rPr>
          <w:rFonts w:hAnsi="宋体"/>
        </w:rPr>
        <w:t>9</w:t>
      </w:r>
      <w:r>
        <w:rPr>
          <w:rFonts w:hint="eastAsia" w:hAnsi="宋体"/>
        </w:rPr>
        <w:t>版第1章）；</w:t>
      </w:r>
    </w:p>
    <w:p>
      <w:pPr>
        <w:pStyle w:val="18"/>
        <w:numPr>
          <w:ilvl w:val="0"/>
          <w:numId w:val="19"/>
        </w:numPr>
        <w:tabs>
          <w:tab w:val="center" w:pos="851"/>
          <w:tab w:val="clear" w:pos="4201"/>
        </w:tabs>
        <w:ind w:firstLineChars="0"/>
        <w:jc w:val="left"/>
        <w:rPr>
          <w:szCs w:val="22"/>
        </w:rPr>
      </w:pPr>
      <w:r>
        <w:rPr>
          <w:rFonts w:hint="eastAsia"/>
          <w:szCs w:val="22"/>
        </w:rPr>
        <w:t>将第2章的章条号改为第1章，并将内容改为“</w:t>
      </w:r>
      <w:r>
        <w:rPr>
          <w:rFonts w:hint="eastAsia" w:hAnsi="宋体" w:cs="宋体"/>
        </w:rPr>
        <w:t>本文件规定</w:t>
      </w:r>
      <w:r>
        <w:rPr>
          <w:rFonts w:hint="eastAsia" w:hAnsi="宋体" w:cs="宋体"/>
          <w:szCs w:val="22"/>
        </w:rPr>
        <w:t>了用低温傅立叶变换红外光谱法测定硅单晶中III、V族杂质含量的方法。本文件适用于硅单晶中的III、V族杂质硼（B）、磷（P）、砷（As）、铝（Al）、锑（Sb）、镓（Ga) 和</w:t>
      </w:r>
      <w:r>
        <w:rPr>
          <w:rFonts w:hint="eastAsia" w:hAnsi="宋体"/>
          <w:sz w:val="18"/>
          <w:szCs w:val="18"/>
        </w:rPr>
        <w:t xml:space="preserve"> </w:t>
      </w:r>
      <w:r>
        <w:rPr>
          <w:rFonts w:hint="eastAsia" w:hAnsi="宋体" w:cs="宋体"/>
          <w:szCs w:val="22"/>
        </w:rPr>
        <w:t>铟（In）含量的测定，测定范围（以原子数计）为2.1×10</w:t>
      </w:r>
      <w:r>
        <w:rPr>
          <w:rFonts w:hint="eastAsia" w:hAnsi="宋体" w:cs="宋体"/>
          <w:szCs w:val="22"/>
          <w:vertAlign w:val="superscript"/>
        </w:rPr>
        <w:t>10</w:t>
      </w:r>
      <w:r>
        <w:rPr>
          <w:rFonts w:hint="eastAsia" w:hAnsi="宋体" w:cs="宋体"/>
          <w:szCs w:val="22"/>
        </w:rPr>
        <w:t>cm</w:t>
      </w:r>
      <w:r>
        <w:rPr>
          <w:rFonts w:hint="eastAsia" w:hAnsi="宋体" w:cs="宋体"/>
          <w:szCs w:val="22"/>
          <w:vertAlign w:val="superscript"/>
        </w:rPr>
        <w:t>-3</w:t>
      </w:r>
      <w:r>
        <w:rPr>
          <w:rFonts w:hint="eastAsia" w:hAnsi="宋体" w:cs="宋体"/>
          <w:szCs w:val="22"/>
        </w:rPr>
        <w:t>～4.1×10</w:t>
      </w:r>
      <w:r>
        <w:rPr>
          <w:rFonts w:hint="eastAsia" w:hAnsi="宋体" w:cs="宋体"/>
          <w:szCs w:val="22"/>
          <w:vertAlign w:val="superscript"/>
        </w:rPr>
        <w:t>14</w:t>
      </w:r>
      <w:r>
        <w:rPr>
          <w:rFonts w:hint="eastAsia" w:hAnsi="宋体" w:cs="宋体"/>
          <w:szCs w:val="22"/>
        </w:rPr>
        <w:t>cm</w:t>
      </w:r>
      <w:r>
        <w:rPr>
          <w:rFonts w:hint="eastAsia" w:hAnsi="宋体" w:cs="宋体"/>
          <w:szCs w:val="22"/>
          <w:vertAlign w:val="superscript"/>
        </w:rPr>
        <w:t>-</w:t>
      </w:r>
      <w:r>
        <w:rPr>
          <w:rFonts w:hAnsi="宋体" w:cs="宋体"/>
          <w:szCs w:val="22"/>
          <w:vertAlign w:val="superscript"/>
        </w:rPr>
        <w:t>3</w:t>
      </w:r>
      <w:r>
        <w:rPr>
          <w:rFonts w:hint="eastAsia"/>
          <w:szCs w:val="22"/>
        </w:rPr>
        <w:t>”（见第1章，2009版第2章）；</w:t>
      </w:r>
    </w:p>
    <w:p>
      <w:pPr>
        <w:pStyle w:val="18"/>
        <w:numPr>
          <w:ilvl w:val="0"/>
          <w:numId w:val="19"/>
        </w:numPr>
        <w:tabs>
          <w:tab w:val="center" w:pos="851"/>
          <w:tab w:val="clear" w:pos="4201"/>
        </w:tabs>
        <w:ind w:firstLineChars="0"/>
        <w:jc w:val="left"/>
        <w:rPr>
          <w:szCs w:val="22"/>
        </w:rPr>
      </w:pPr>
      <w:r>
        <w:rPr>
          <w:rFonts w:hint="eastAsia"/>
          <w:szCs w:val="22"/>
        </w:rPr>
        <w:t>将第3章“局限性”改为第5章“干扰因素”，章条号顺延（见第5章，2009版第3章）；</w:t>
      </w:r>
    </w:p>
    <w:p>
      <w:pPr>
        <w:pStyle w:val="18"/>
        <w:numPr>
          <w:ilvl w:val="0"/>
          <w:numId w:val="19"/>
        </w:numPr>
        <w:tabs>
          <w:tab w:val="center" w:pos="851"/>
          <w:tab w:val="clear" w:pos="4201"/>
        </w:tabs>
        <w:ind w:firstLineChars="0"/>
        <w:jc w:val="left"/>
        <w:rPr>
          <w:szCs w:val="22"/>
        </w:rPr>
      </w:pPr>
      <w:r>
        <w:rPr>
          <w:rFonts w:hint="eastAsia"/>
          <w:szCs w:val="22"/>
        </w:rPr>
        <w:t>在规范性引用文件中用国家标准代替国外标准（见第2章，2009版第4章）；</w:t>
      </w:r>
    </w:p>
    <w:p>
      <w:pPr>
        <w:pStyle w:val="18"/>
        <w:numPr>
          <w:ilvl w:val="0"/>
          <w:numId w:val="19"/>
        </w:numPr>
        <w:tabs>
          <w:tab w:val="center" w:pos="851"/>
          <w:tab w:val="clear" w:pos="4201"/>
        </w:tabs>
        <w:ind w:firstLineChars="0"/>
        <w:jc w:val="left"/>
        <w:rPr>
          <w:szCs w:val="22"/>
        </w:rPr>
      </w:pPr>
      <w:r>
        <w:rPr>
          <w:rFonts w:hint="eastAsia"/>
          <w:szCs w:val="22"/>
        </w:rPr>
        <w:t>删除规范性引用文件“GB/T 1558 硅中代位碳原子含量红外吸收测量方法”、“GB/T 13389 掺硼掺磷硅单晶电阻率与掺杂剂浓度换算规程”（见2009版第4章）；</w:t>
      </w:r>
    </w:p>
    <w:p>
      <w:pPr>
        <w:pStyle w:val="18"/>
        <w:numPr>
          <w:ilvl w:val="0"/>
          <w:numId w:val="19"/>
        </w:numPr>
        <w:tabs>
          <w:tab w:val="center" w:pos="851"/>
          <w:tab w:val="clear" w:pos="4201"/>
        </w:tabs>
        <w:ind w:firstLineChars="0"/>
        <w:jc w:val="left"/>
        <w:rPr>
          <w:szCs w:val="22"/>
        </w:rPr>
      </w:pPr>
      <w:r>
        <w:rPr>
          <w:rFonts w:hint="eastAsia"/>
          <w:szCs w:val="22"/>
        </w:rPr>
        <w:t>删除5.1、5.2、5.3、5.4、5.5、5.6、5.7条（见2009版5.1、5.2、5.3、5.4、5.5、5.6、5.7）；</w:t>
      </w:r>
    </w:p>
    <w:p>
      <w:pPr>
        <w:pStyle w:val="18"/>
        <w:numPr>
          <w:ilvl w:val="0"/>
          <w:numId w:val="19"/>
        </w:numPr>
        <w:tabs>
          <w:tab w:val="center" w:pos="851"/>
          <w:tab w:val="clear" w:pos="4201"/>
        </w:tabs>
        <w:ind w:firstLineChars="0"/>
        <w:jc w:val="left"/>
        <w:rPr>
          <w:szCs w:val="22"/>
        </w:rPr>
      </w:pPr>
      <w:r>
        <w:rPr>
          <w:rFonts w:hint="eastAsia"/>
          <w:szCs w:val="22"/>
        </w:rPr>
        <w:t>将第6章的章条号改为第4章，并将6.1-6.6条合并为一段（见第4章，2009版6.1-6.6）；</w:t>
      </w:r>
    </w:p>
    <w:p>
      <w:pPr>
        <w:pStyle w:val="18"/>
        <w:numPr>
          <w:ilvl w:val="0"/>
          <w:numId w:val="19"/>
        </w:numPr>
        <w:tabs>
          <w:tab w:val="center" w:pos="851"/>
          <w:tab w:val="clear" w:pos="4201"/>
        </w:tabs>
        <w:ind w:firstLineChars="0"/>
        <w:jc w:val="left"/>
        <w:rPr>
          <w:szCs w:val="22"/>
        </w:rPr>
      </w:pPr>
      <w:r>
        <w:rPr>
          <w:rFonts w:hint="eastAsia"/>
          <w:szCs w:val="22"/>
        </w:rPr>
        <w:t>将3.2条改为“5.2 如果没有足量连续的白光，补偿的施主和受主将不产生吸收，故白光强度须足够强以完全抵消所有施主和受主的补偿。使用者通过逐步增加仪器白光光强，来确定III、V族杂质吸收峰的面积或高度不再受光强增加影响的最佳白光强度”（见第5章，2009版3.2）；</w:t>
      </w:r>
    </w:p>
    <w:p>
      <w:pPr>
        <w:pStyle w:val="18"/>
        <w:numPr>
          <w:ilvl w:val="0"/>
          <w:numId w:val="19"/>
        </w:numPr>
        <w:tabs>
          <w:tab w:val="center" w:pos="851"/>
          <w:tab w:val="clear" w:pos="4201"/>
        </w:tabs>
        <w:ind w:firstLineChars="0"/>
        <w:jc w:val="left"/>
        <w:rPr>
          <w:szCs w:val="22"/>
        </w:rPr>
      </w:pPr>
      <w:r>
        <w:rPr>
          <w:rFonts w:hint="eastAsia"/>
          <w:szCs w:val="22"/>
        </w:rPr>
        <w:t>增加5.6条“</w:t>
      </w:r>
      <w:r>
        <w:rPr>
          <w:rFonts w:hint="eastAsia" w:hAnsi="宋体"/>
          <w:kern w:val="2"/>
          <w:szCs w:val="24"/>
        </w:rPr>
        <w:t>测量（以原子数计）5.0×10</w:t>
      </w:r>
      <w:r>
        <w:rPr>
          <w:rFonts w:hint="eastAsia" w:hAnsi="宋体"/>
          <w:kern w:val="2"/>
          <w:szCs w:val="24"/>
          <w:vertAlign w:val="superscript"/>
        </w:rPr>
        <w:t>11</w:t>
      </w:r>
      <w:r>
        <w:rPr>
          <w:rFonts w:hint="eastAsia" w:hAnsi="宋体"/>
          <w:kern w:val="2"/>
          <w:szCs w:val="24"/>
        </w:rPr>
        <w:t>cm</w:t>
      </w:r>
      <w:r>
        <w:rPr>
          <w:rFonts w:hint="eastAsia" w:hAnsi="宋体"/>
          <w:kern w:val="2"/>
          <w:szCs w:val="24"/>
          <w:vertAlign w:val="superscript"/>
        </w:rPr>
        <w:t>-3</w:t>
      </w:r>
      <w:r>
        <w:rPr>
          <w:rFonts w:hint="eastAsia" w:hAnsi="宋体"/>
          <w:kern w:val="2"/>
          <w:szCs w:val="24"/>
        </w:rPr>
        <w:t>以下的杂质含量时，建议</w:t>
      </w:r>
      <w:r>
        <w:rPr>
          <w:rFonts w:hAnsi="宋体"/>
          <w:kern w:val="2"/>
          <w:szCs w:val="24"/>
        </w:rPr>
        <w:t>采用</w:t>
      </w:r>
      <w:r>
        <w:rPr>
          <w:rFonts w:hint="eastAsia" w:hAnsi="宋体"/>
          <w:kern w:val="2"/>
          <w:szCs w:val="24"/>
        </w:rPr>
        <w:t>5mm～20mm厚度的样品及</w:t>
      </w:r>
      <w:r>
        <w:rPr>
          <w:rFonts w:hAnsi="宋体"/>
          <w:kern w:val="2"/>
          <w:szCs w:val="24"/>
        </w:rPr>
        <w:t>恒定低温检测器（</w:t>
      </w:r>
      <w:r>
        <w:rPr>
          <w:rFonts w:hint="eastAsia" w:hAnsi="宋体"/>
          <w:kern w:val="2"/>
          <w:szCs w:val="24"/>
        </w:rPr>
        <w:t>低于15K，波动小于1K</w:t>
      </w:r>
      <w:r>
        <w:rPr>
          <w:rFonts w:hAnsi="宋体"/>
          <w:kern w:val="2"/>
          <w:szCs w:val="24"/>
        </w:rPr>
        <w:t>）进行检测</w:t>
      </w:r>
      <w:r>
        <w:rPr>
          <w:rFonts w:hint="eastAsia" w:hAnsi="宋体"/>
          <w:kern w:val="2"/>
          <w:szCs w:val="24"/>
        </w:rPr>
        <w:t>，</w:t>
      </w:r>
      <w:r>
        <w:rPr>
          <w:rFonts w:hint="eastAsia"/>
          <w:szCs w:val="22"/>
        </w:rPr>
        <w:t>以消除干扰，提高测量的准确性”（见第5章）；</w:t>
      </w:r>
    </w:p>
    <w:p>
      <w:pPr>
        <w:pStyle w:val="18"/>
        <w:numPr>
          <w:ilvl w:val="0"/>
          <w:numId w:val="19"/>
        </w:numPr>
        <w:tabs>
          <w:tab w:val="center" w:pos="851"/>
          <w:tab w:val="clear" w:pos="4201"/>
        </w:tabs>
        <w:ind w:firstLineChars="0"/>
        <w:jc w:val="left"/>
        <w:rPr>
          <w:szCs w:val="22"/>
        </w:rPr>
      </w:pPr>
      <w:r>
        <w:rPr>
          <w:rFonts w:hint="eastAsia"/>
          <w:szCs w:val="22"/>
        </w:rPr>
        <w:t>增加5.7条“</w:t>
      </w:r>
      <w:r>
        <w:rPr>
          <w:rFonts w:hint="eastAsia" w:hAnsi="宋体"/>
          <w:kern w:val="2"/>
          <w:szCs w:val="24"/>
        </w:rPr>
        <w:t>磷（</w:t>
      </w:r>
      <w:r>
        <w:rPr>
          <w:rFonts w:hint="eastAsia" w:hAnsi="宋体"/>
          <w:bCs/>
        </w:rPr>
        <w:t>P</w:t>
      </w:r>
      <w:r>
        <w:rPr>
          <w:rFonts w:hint="eastAsia" w:hAnsi="宋体"/>
          <w:kern w:val="2"/>
          <w:szCs w:val="24"/>
        </w:rPr>
        <w:t>）含量较高时，其</w:t>
      </w:r>
      <w:r>
        <w:rPr>
          <w:rFonts w:hint="eastAsia" w:hAnsi="宋体"/>
          <w:bCs/>
        </w:rPr>
        <w:t>P</w:t>
      </w:r>
      <w:r>
        <w:rPr>
          <w:rFonts w:hint="eastAsia" w:hAnsi="宋体"/>
          <w:kern w:val="2"/>
          <w:szCs w:val="24"/>
        </w:rPr>
        <w:t>（</w:t>
      </w:r>
      <w:r>
        <w:rPr>
          <w:rFonts w:hint="eastAsia" w:hAnsi="宋体"/>
        </w:rPr>
        <w:t>316</w:t>
      </w:r>
      <w:r>
        <w:rPr>
          <w:rFonts w:hint="eastAsia" w:hAnsi="宋体"/>
          <w:kern w:val="2"/>
          <w:szCs w:val="24"/>
        </w:rPr>
        <w:t>cm</w:t>
      </w:r>
      <w:r>
        <w:rPr>
          <w:rFonts w:hint="eastAsia" w:hAnsi="宋体"/>
          <w:kern w:val="2"/>
          <w:szCs w:val="24"/>
          <w:vertAlign w:val="superscript"/>
        </w:rPr>
        <w:t>-1</w:t>
      </w:r>
      <w:r>
        <w:rPr>
          <w:rFonts w:hint="eastAsia" w:hAnsi="宋体"/>
          <w:kern w:val="2"/>
          <w:szCs w:val="24"/>
        </w:rPr>
        <w:t>）的吸收谱带会出现削峰的现象，此时不能用该吸收谱带来计算磷（P）元素的含量，可采用磷（</w:t>
      </w:r>
      <w:r>
        <w:rPr>
          <w:rFonts w:hint="eastAsia" w:hAnsi="宋体"/>
          <w:bCs/>
        </w:rPr>
        <w:t>P</w:t>
      </w:r>
      <w:r>
        <w:rPr>
          <w:rFonts w:hint="eastAsia" w:hAnsi="宋体"/>
          <w:kern w:val="2"/>
          <w:szCs w:val="24"/>
        </w:rPr>
        <w:t>）的次强吸收谱带</w:t>
      </w:r>
      <w:r>
        <w:rPr>
          <w:rFonts w:hint="eastAsia" w:hAnsi="宋体"/>
          <w:bCs/>
        </w:rPr>
        <w:t>P</w:t>
      </w:r>
      <w:r>
        <w:rPr>
          <w:rFonts w:hint="eastAsia" w:hAnsi="宋体"/>
          <w:kern w:val="2"/>
          <w:szCs w:val="24"/>
        </w:rPr>
        <w:t>（</w:t>
      </w:r>
      <w:r>
        <w:rPr>
          <w:rFonts w:hint="eastAsia" w:hAnsi="宋体"/>
        </w:rPr>
        <w:t>275</w:t>
      </w:r>
      <w:r>
        <w:rPr>
          <w:rFonts w:hint="eastAsia" w:hAnsi="宋体"/>
          <w:kern w:val="2"/>
          <w:szCs w:val="24"/>
        </w:rPr>
        <w:t>cm</w:t>
      </w:r>
      <w:r>
        <w:rPr>
          <w:rFonts w:hint="eastAsia" w:hAnsi="宋体"/>
          <w:kern w:val="2"/>
          <w:szCs w:val="24"/>
          <w:vertAlign w:val="superscript"/>
        </w:rPr>
        <w:t>-1</w:t>
      </w:r>
      <w:r>
        <w:rPr>
          <w:rFonts w:hint="eastAsia" w:hAnsi="宋体"/>
          <w:kern w:val="2"/>
          <w:szCs w:val="24"/>
        </w:rPr>
        <w:t>）来计算磷（P）元素的含量</w:t>
      </w:r>
      <w:r>
        <w:rPr>
          <w:rFonts w:hint="eastAsia"/>
          <w:szCs w:val="22"/>
        </w:rPr>
        <w:t>”（见第5章）；</w:t>
      </w:r>
    </w:p>
    <w:p>
      <w:pPr>
        <w:pStyle w:val="18"/>
        <w:numPr>
          <w:ilvl w:val="0"/>
          <w:numId w:val="19"/>
        </w:numPr>
        <w:tabs>
          <w:tab w:val="center" w:pos="851"/>
          <w:tab w:val="clear" w:pos="4201"/>
        </w:tabs>
        <w:ind w:firstLineChars="0"/>
        <w:jc w:val="left"/>
        <w:rPr>
          <w:szCs w:val="22"/>
        </w:rPr>
      </w:pPr>
      <w:r>
        <w:rPr>
          <w:rFonts w:hint="eastAsia"/>
          <w:szCs w:val="22"/>
        </w:rPr>
        <w:t>增加5.8条“对于掺杂单晶，其掺杂元素较高的吸收峰会干扰其它元素的测量，因此本方法不能作为测定掺杂单晶中III、V族杂质元素的仲裁方法”（见第5章）；</w:t>
      </w:r>
    </w:p>
    <w:p>
      <w:pPr>
        <w:pStyle w:val="18"/>
        <w:numPr>
          <w:ilvl w:val="0"/>
          <w:numId w:val="19"/>
        </w:numPr>
        <w:tabs>
          <w:tab w:val="center" w:pos="851"/>
          <w:tab w:val="clear" w:pos="4201"/>
        </w:tabs>
        <w:ind w:firstLineChars="0"/>
        <w:jc w:val="left"/>
        <w:rPr>
          <w:szCs w:val="22"/>
        </w:rPr>
      </w:pPr>
      <w:r>
        <w:rPr>
          <w:rFonts w:hint="eastAsia"/>
          <w:szCs w:val="22"/>
        </w:rPr>
        <w:t>增加5.11条“本方法虽然是多晶硅的重要质量评价方法，但由于多晶的晶界严重影响样品的红外吸收，因此，本方法应严格依据GB/T 29057将多晶转变成单晶后才可应用”（见第5章）；</w:t>
      </w:r>
    </w:p>
    <w:p>
      <w:pPr>
        <w:pStyle w:val="18"/>
        <w:numPr>
          <w:ilvl w:val="0"/>
          <w:numId w:val="19"/>
        </w:numPr>
        <w:tabs>
          <w:tab w:val="center" w:pos="851"/>
          <w:tab w:val="clear" w:pos="4201"/>
        </w:tabs>
        <w:ind w:firstLineChars="0"/>
        <w:jc w:val="left"/>
        <w:rPr>
          <w:szCs w:val="22"/>
        </w:rPr>
      </w:pPr>
      <w:r>
        <w:rPr>
          <w:rFonts w:hint="eastAsia"/>
          <w:szCs w:val="22"/>
        </w:rPr>
        <w:t>增加第6章“试剂和材料”（见第6章）；</w:t>
      </w:r>
    </w:p>
    <w:p>
      <w:pPr>
        <w:pStyle w:val="18"/>
        <w:numPr>
          <w:ilvl w:val="0"/>
          <w:numId w:val="19"/>
        </w:numPr>
        <w:tabs>
          <w:tab w:val="center" w:pos="851"/>
          <w:tab w:val="clear" w:pos="4201"/>
        </w:tabs>
        <w:ind w:firstLineChars="0"/>
        <w:jc w:val="left"/>
        <w:rPr>
          <w:szCs w:val="22"/>
        </w:rPr>
      </w:pPr>
      <w:r>
        <w:rPr>
          <w:rFonts w:hint="eastAsia"/>
          <w:szCs w:val="22"/>
        </w:rPr>
        <w:t>将第7章“设备和材料”改为第7章“仪器设备”（见第7章，2009版第7章）；</w:t>
      </w:r>
    </w:p>
    <w:p>
      <w:pPr>
        <w:pStyle w:val="18"/>
        <w:numPr>
          <w:ilvl w:val="0"/>
          <w:numId w:val="19"/>
        </w:numPr>
        <w:tabs>
          <w:tab w:val="center" w:pos="851"/>
          <w:tab w:val="clear" w:pos="4201"/>
        </w:tabs>
        <w:ind w:firstLineChars="0"/>
        <w:jc w:val="left"/>
        <w:rPr>
          <w:szCs w:val="22"/>
        </w:rPr>
      </w:pPr>
      <w:r>
        <w:rPr>
          <w:rFonts w:hint="eastAsia"/>
          <w:szCs w:val="22"/>
        </w:rPr>
        <w:t>将7.4、7.4.1、7.4.2条合并为“</w:t>
      </w:r>
      <w:r>
        <w:rPr>
          <w:rFonts w:hint="eastAsia" w:hAnsi="宋体"/>
          <w:kern w:val="2"/>
          <w:szCs w:val="24"/>
        </w:rPr>
        <w:t>傅立叶变换红外光谱仪，</w:t>
      </w:r>
      <w:r>
        <w:rPr>
          <w:rFonts w:hint="eastAsia" w:hAnsi="宋体"/>
        </w:rPr>
        <w:t>至少具有</w:t>
      </w:r>
      <w:r>
        <w:rPr>
          <w:rFonts w:hAnsi="宋体"/>
        </w:rPr>
        <w:t>1cm</w:t>
      </w:r>
      <w:r>
        <w:rPr>
          <w:rFonts w:hAnsi="宋体"/>
          <w:vertAlign w:val="superscript"/>
        </w:rPr>
        <w:t>-1</w:t>
      </w:r>
      <w:r>
        <w:rPr>
          <w:rFonts w:hint="eastAsia" w:hAnsi="宋体"/>
        </w:rPr>
        <w:t>的分辨率，</w:t>
      </w:r>
      <w:r>
        <w:rPr>
          <w:rFonts w:hint="eastAsia" w:hAnsi="宋体"/>
          <w:kern w:val="2"/>
          <w:szCs w:val="24"/>
        </w:rPr>
        <w:t>具有优于270cm</w:t>
      </w:r>
      <w:r>
        <w:rPr>
          <w:rFonts w:hint="eastAsia" w:hAnsi="宋体"/>
          <w:kern w:val="2"/>
          <w:szCs w:val="24"/>
          <w:vertAlign w:val="superscript"/>
        </w:rPr>
        <w:t>-1</w:t>
      </w:r>
      <w:r>
        <w:rPr>
          <w:rFonts w:hint="eastAsia" w:hAnsi="宋体"/>
          <w:kern w:val="2"/>
          <w:szCs w:val="24"/>
        </w:rPr>
        <w:t>至1250cm</w:t>
      </w:r>
      <w:r>
        <w:rPr>
          <w:rFonts w:hint="eastAsia" w:hAnsi="宋体"/>
          <w:kern w:val="2"/>
          <w:szCs w:val="24"/>
          <w:vertAlign w:val="superscript"/>
        </w:rPr>
        <w:t>-1</w:t>
      </w:r>
      <w:r>
        <w:rPr>
          <w:rFonts w:hint="eastAsia" w:hAnsi="宋体"/>
          <w:kern w:val="2"/>
          <w:szCs w:val="24"/>
        </w:rPr>
        <w:t>范围的光学部件和检测器，</w:t>
      </w:r>
      <w:r>
        <w:rPr>
          <w:rFonts w:hint="eastAsia" w:hAnsi="宋体"/>
        </w:rPr>
        <w:t>具有足够灵敏度的检测器，在要求的光谱范围提供合适的信噪比</w:t>
      </w:r>
      <w:r>
        <w:rPr>
          <w:rFonts w:hint="eastAsia"/>
          <w:szCs w:val="22"/>
        </w:rPr>
        <w:t>”（见7.4，2009版7.4、7.4.1、7.4.2）；</w:t>
      </w:r>
    </w:p>
    <w:p>
      <w:pPr>
        <w:pStyle w:val="18"/>
        <w:numPr>
          <w:ilvl w:val="0"/>
          <w:numId w:val="19"/>
        </w:numPr>
        <w:tabs>
          <w:tab w:val="center" w:pos="851"/>
          <w:tab w:val="clear" w:pos="4201"/>
        </w:tabs>
        <w:ind w:firstLineChars="0"/>
        <w:jc w:val="left"/>
        <w:rPr>
          <w:szCs w:val="22"/>
        </w:rPr>
      </w:pPr>
      <w:r>
        <w:rPr>
          <w:rFonts w:hint="eastAsia"/>
          <w:szCs w:val="22"/>
        </w:rPr>
        <w:t>删除7.4.3条（见2009版7.4.3）；</w:t>
      </w:r>
    </w:p>
    <w:p>
      <w:pPr>
        <w:pStyle w:val="18"/>
        <w:numPr>
          <w:ilvl w:val="0"/>
          <w:numId w:val="19"/>
        </w:numPr>
        <w:tabs>
          <w:tab w:val="center" w:pos="851"/>
          <w:tab w:val="clear" w:pos="4201"/>
        </w:tabs>
        <w:ind w:firstLineChars="0"/>
        <w:jc w:val="left"/>
        <w:rPr>
          <w:szCs w:val="22"/>
        </w:rPr>
      </w:pPr>
      <w:r>
        <w:rPr>
          <w:rFonts w:hint="eastAsia"/>
          <w:szCs w:val="22"/>
        </w:rPr>
        <w:t>将7.5条的内容移到第6章（见第6章，2009版7.5）；</w:t>
      </w:r>
    </w:p>
    <w:p>
      <w:pPr>
        <w:pStyle w:val="18"/>
        <w:numPr>
          <w:ilvl w:val="0"/>
          <w:numId w:val="19"/>
        </w:numPr>
        <w:tabs>
          <w:tab w:val="center" w:pos="851"/>
          <w:tab w:val="clear" w:pos="4201"/>
        </w:tabs>
        <w:ind w:firstLineChars="0"/>
        <w:jc w:val="left"/>
        <w:rPr>
          <w:szCs w:val="22"/>
        </w:rPr>
      </w:pPr>
      <w:r>
        <w:rPr>
          <w:rFonts w:hint="eastAsia"/>
          <w:szCs w:val="22"/>
        </w:rPr>
        <w:t>增加7.5条“千分尺，精度不低于0.01mm”（见7.5）；</w:t>
      </w:r>
    </w:p>
    <w:p>
      <w:pPr>
        <w:pStyle w:val="18"/>
        <w:numPr>
          <w:ilvl w:val="0"/>
          <w:numId w:val="19"/>
        </w:numPr>
        <w:tabs>
          <w:tab w:val="center" w:pos="851"/>
          <w:tab w:val="clear" w:pos="4201"/>
        </w:tabs>
        <w:ind w:firstLineChars="0"/>
        <w:jc w:val="left"/>
        <w:rPr>
          <w:szCs w:val="22"/>
        </w:rPr>
      </w:pPr>
      <w:r>
        <w:rPr>
          <w:rFonts w:hint="eastAsia"/>
          <w:szCs w:val="22"/>
        </w:rPr>
        <w:t>将第9章改为8.1条（见8.1，2009版8.1、第9章）；</w:t>
      </w:r>
    </w:p>
    <w:p>
      <w:pPr>
        <w:pStyle w:val="18"/>
        <w:numPr>
          <w:ilvl w:val="0"/>
          <w:numId w:val="19"/>
        </w:numPr>
        <w:tabs>
          <w:tab w:val="center" w:pos="851"/>
          <w:tab w:val="clear" w:pos="4201"/>
        </w:tabs>
        <w:ind w:firstLineChars="0"/>
        <w:jc w:val="left"/>
        <w:rPr>
          <w:szCs w:val="22"/>
        </w:rPr>
      </w:pPr>
      <w:r>
        <w:rPr>
          <w:rFonts w:hint="eastAsia"/>
          <w:szCs w:val="22"/>
        </w:rPr>
        <w:t xml:space="preserve">将第8.3条改为“8.3 </w:t>
      </w:r>
      <w:r>
        <w:rPr>
          <w:rFonts w:hint="eastAsia" w:hAnsi="宋体"/>
          <w:kern w:val="2"/>
          <w:szCs w:val="24"/>
        </w:rPr>
        <w:t>测量III、V族杂质含量，按以下厚度准备样品</w:t>
      </w:r>
      <w:r>
        <w:rPr>
          <w:rFonts w:hint="eastAsia"/>
          <w:szCs w:val="22"/>
        </w:rPr>
        <w:t>：a)</w:t>
      </w:r>
      <w:r>
        <w:rPr>
          <w:rFonts w:hint="eastAsia" w:hAnsi="宋体"/>
          <w:kern w:val="2"/>
          <w:szCs w:val="24"/>
        </w:rPr>
        <w:t>电阻率大于2000</w:t>
      </w:r>
      <w:r>
        <w:rPr>
          <w:rFonts w:hint="eastAsia" w:hAnsi="宋体" w:cs="宋体"/>
          <w:kern w:val="2"/>
          <w:szCs w:val="24"/>
        </w:rPr>
        <w:t>Ω•cm</w:t>
      </w:r>
      <w:r>
        <w:rPr>
          <w:rFonts w:hint="eastAsia" w:hAnsi="宋体"/>
          <w:kern w:val="2"/>
          <w:szCs w:val="24"/>
        </w:rPr>
        <w:t>的高纯度样品应具有3mm～5mm厚度，以达到较低的检测限。b)5mm～20mm厚度的样品可测量</w:t>
      </w:r>
      <w:r>
        <w:rPr>
          <w:rFonts w:hint="eastAsia" w:hAnsi="宋体" w:cs="宋体"/>
          <w:szCs w:val="22"/>
        </w:rPr>
        <w:t>（以原子数计）5.0×10</w:t>
      </w:r>
      <w:r>
        <w:rPr>
          <w:rFonts w:hint="eastAsia" w:hAnsi="宋体" w:cs="宋体"/>
          <w:szCs w:val="22"/>
          <w:vertAlign w:val="superscript"/>
        </w:rPr>
        <w:t>11</w:t>
      </w:r>
      <w:r>
        <w:rPr>
          <w:rFonts w:hint="eastAsia" w:hAnsi="宋体" w:cs="宋体"/>
          <w:szCs w:val="22"/>
        </w:rPr>
        <w:t>cm</w:t>
      </w:r>
      <w:r>
        <w:rPr>
          <w:rFonts w:hint="eastAsia" w:hAnsi="宋体" w:cs="宋体"/>
          <w:szCs w:val="22"/>
          <w:vertAlign w:val="superscript"/>
        </w:rPr>
        <w:t>-3</w:t>
      </w:r>
      <w:r>
        <w:rPr>
          <w:rFonts w:hint="eastAsia" w:hAnsi="宋体"/>
          <w:kern w:val="2"/>
          <w:szCs w:val="24"/>
        </w:rPr>
        <w:t>以下的杂质含量。c)电阻率小于10</w:t>
      </w:r>
      <w:r>
        <w:rPr>
          <w:rFonts w:hint="eastAsia" w:hAnsi="宋体" w:cs="宋体"/>
          <w:kern w:val="2"/>
          <w:szCs w:val="24"/>
        </w:rPr>
        <w:t>Ω•cm</w:t>
      </w:r>
      <w:r>
        <w:rPr>
          <w:rFonts w:hint="eastAsia" w:hAnsi="宋体"/>
          <w:kern w:val="2"/>
          <w:szCs w:val="24"/>
        </w:rPr>
        <w:t>的非重掺样品厚度宜采用1mm～2mm，以获得更大的红外光透射率。</w:t>
      </w:r>
      <w:r>
        <w:rPr>
          <w:rFonts w:hint="eastAsia"/>
          <w:szCs w:val="22"/>
        </w:rPr>
        <w:t>”（见8.3，2009版8.3、8.3.1、8.3.2）；</w:t>
      </w:r>
    </w:p>
    <w:p>
      <w:pPr>
        <w:pStyle w:val="18"/>
        <w:numPr>
          <w:ilvl w:val="0"/>
          <w:numId w:val="19"/>
        </w:numPr>
        <w:tabs>
          <w:tab w:val="center" w:pos="851"/>
          <w:tab w:val="clear" w:pos="4201"/>
        </w:tabs>
        <w:ind w:firstLineChars="0"/>
        <w:jc w:val="left"/>
        <w:rPr>
          <w:szCs w:val="22"/>
        </w:rPr>
      </w:pPr>
      <w:r>
        <w:rPr>
          <w:rFonts w:hint="eastAsia"/>
          <w:szCs w:val="22"/>
        </w:rPr>
        <w:t>将第10章的章条号改为第9章，章条号顺延（见第9章，2009版第10章）</w:t>
      </w:r>
    </w:p>
    <w:p>
      <w:pPr>
        <w:pStyle w:val="18"/>
        <w:numPr>
          <w:ilvl w:val="0"/>
          <w:numId w:val="19"/>
        </w:numPr>
        <w:tabs>
          <w:tab w:val="center" w:pos="851"/>
          <w:tab w:val="clear" w:pos="4201"/>
        </w:tabs>
        <w:ind w:firstLineChars="0"/>
        <w:jc w:val="left"/>
        <w:rPr>
          <w:szCs w:val="22"/>
        </w:rPr>
      </w:pPr>
      <w:r>
        <w:rPr>
          <w:rFonts w:hint="eastAsia"/>
          <w:szCs w:val="22"/>
        </w:rPr>
        <w:t xml:space="preserve">将11.1条改为“10.1 </w:t>
      </w:r>
      <w:r>
        <w:rPr>
          <w:rFonts w:hint="eastAsia" w:hAnsi="宋体"/>
          <w:kern w:val="2"/>
          <w:szCs w:val="24"/>
        </w:rPr>
        <w:t>用千分尺测量样品厚度</w:t>
      </w:r>
      <w:r>
        <w:rPr>
          <w:rFonts w:hint="eastAsia"/>
          <w:szCs w:val="22"/>
        </w:rPr>
        <w:t>，精确到±0.02mm。10.2 将待测样品装到样品架上，但至少应保留一个空的光孔，用来采集背景光谱”（见10.1、10.2，2009版11.1）；</w:t>
      </w:r>
    </w:p>
    <w:p>
      <w:pPr>
        <w:pStyle w:val="18"/>
        <w:numPr>
          <w:ilvl w:val="0"/>
          <w:numId w:val="19"/>
        </w:numPr>
        <w:tabs>
          <w:tab w:val="center" w:pos="851"/>
          <w:tab w:val="clear" w:pos="4201"/>
        </w:tabs>
        <w:ind w:firstLineChars="0"/>
        <w:jc w:val="left"/>
        <w:rPr>
          <w:szCs w:val="22"/>
        </w:rPr>
      </w:pPr>
      <w:r>
        <w:rPr>
          <w:rFonts w:hint="eastAsia"/>
          <w:szCs w:val="22"/>
        </w:rPr>
        <w:t>删除11.4（见2009版11.4）；</w:t>
      </w:r>
    </w:p>
    <w:p>
      <w:pPr>
        <w:pStyle w:val="18"/>
        <w:numPr>
          <w:ilvl w:val="0"/>
          <w:numId w:val="19"/>
        </w:numPr>
        <w:tabs>
          <w:tab w:val="center" w:pos="851"/>
          <w:tab w:val="clear" w:pos="4201"/>
        </w:tabs>
        <w:ind w:firstLineChars="0"/>
        <w:jc w:val="left"/>
        <w:rPr>
          <w:szCs w:val="22"/>
        </w:rPr>
      </w:pPr>
      <w:r>
        <w:rPr>
          <w:rFonts w:hint="eastAsia"/>
          <w:szCs w:val="22"/>
        </w:rPr>
        <w:t>将11.5条改为“10.5 对空的光孔采集至少200次扫描图谱，作为背景光谱”（见10.5，2009版11.5）；</w:t>
      </w:r>
    </w:p>
    <w:p>
      <w:pPr>
        <w:pStyle w:val="18"/>
        <w:numPr>
          <w:ilvl w:val="0"/>
          <w:numId w:val="19"/>
        </w:numPr>
        <w:tabs>
          <w:tab w:val="center" w:pos="851"/>
          <w:tab w:val="clear" w:pos="4201"/>
        </w:tabs>
        <w:ind w:firstLineChars="0"/>
        <w:jc w:val="left"/>
        <w:rPr>
          <w:szCs w:val="22"/>
        </w:rPr>
      </w:pPr>
      <w:r>
        <w:rPr>
          <w:rFonts w:hint="eastAsia"/>
          <w:szCs w:val="22"/>
        </w:rPr>
        <w:t>将11.8条改为“10.8 对样品采集至少200次扫描图谱”（见10.8，2009版11.8）；</w:t>
      </w:r>
    </w:p>
    <w:p>
      <w:pPr>
        <w:pStyle w:val="18"/>
        <w:numPr>
          <w:ilvl w:val="0"/>
          <w:numId w:val="19"/>
        </w:numPr>
        <w:tabs>
          <w:tab w:val="center" w:pos="851"/>
          <w:tab w:val="clear" w:pos="4201"/>
        </w:tabs>
        <w:ind w:firstLineChars="0"/>
        <w:jc w:val="left"/>
        <w:rPr>
          <w:szCs w:val="22"/>
        </w:rPr>
      </w:pPr>
      <w:r>
        <w:rPr>
          <w:rFonts w:hint="eastAsia"/>
          <w:szCs w:val="22"/>
        </w:rPr>
        <w:t>将第11章“测量步骤”改为第10章“试验步骤”，章条号顺延（见第10章，2009版第11章）；</w:t>
      </w:r>
    </w:p>
    <w:p>
      <w:pPr>
        <w:pStyle w:val="18"/>
        <w:numPr>
          <w:ilvl w:val="0"/>
          <w:numId w:val="19"/>
        </w:numPr>
        <w:tabs>
          <w:tab w:val="center" w:pos="851"/>
          <w:tab w:val="clear" w:pos="4201"/>
        </w:tabs>
        <w:ind w:firstLineChars="0"/>
        <w:jc w:val="left"/>
        <w:rPr>
          <w:szCs w:val="22"/>
        </w:rPr>
      </w:pPr>
      <w:r>
        <w:rPr>
          <w:rFonts w:hint="eastAsia"/>
          <w:szCs w:val="22"/>
        </w:rPr>
        <w:t>将第12章与第13章合并为第11章“试验数据处理”，章条号顺延（见第11章，2009版第12章、第13章）；</w:t>
      </w:r>
    </w:p>
    <w:p>
      <w:pPr>
        <w:pStyle w:val="18"/>
        <w:numPr>
          <w:ilvl w:val="0"/>
          <w:numId w:val="19"/>
        </w:numPr>
        <w:tabs>
          <w:tab w:val="center" w:pos="851"/>
          <w:tab w:val="clear" w:pos="4201"/>
        </w:tabs>
        <w:ind w:firstLineChars="0"/>
        <w:jc w:val="left"/>
        <w:rPr>
          <w:szCs w:val="22"/>
        </w:rPr>
      </w:pPr>
      <w:r>
        <w:rPr>
          <w:rFonts w:hint="eastAsia"/>
          <w:szCs w:val="22"/>
        </w:rPr>
        <w:t>将第12章中的“本方法要求在计算每个元素含量之前测量其吸收谱带面积。吸收谱带通常很尖锐，尤其对第Ⅴ族元素，因而峰高值在仪器和仪器之间难以重现，采用计算峰面积则可最大限度地减少这种影响”移到第5章“干扰因素”中（见5.9，2009版第12章）；</w:t>
      </w:r>
    </w:p>
    <w:p>
      <w:pPr>
        <w:pStyle w:val="18"/>
        <w:numPr>
          <w:ilvl w:val="0"/>
          <w:numId w:val="19"/>
        </w:numPr>
        <w:tabs>
          <w:tab w:val="center" w:pos="851"/>
          <w:tab w:val="clear" w:pos="4201"/>
        </w:tabs>
        <w:ind w:firstLineChars="0"/>
        <w:jc w:val="left"/>
        <w:rPr>
          <w:szCs w:val="22"/>
        </w:rPr>
      </w:pPr>
      <w:r>
        <w:rPr>
          <w:rFonts w:hint="eastAsia"/>
          <w:szCs w:val="22"/>
        </w:rPr>
        <w:t>将12.1.1条号改为11.1 a)（见11.1 a)，2009版12.1）；</w:t>
      </w:r>
    </w:p>
    <w:p>
      <w:pPr>
        <w:pStyle w:val="18"/>
        <w:numPr>
          <w:ilvl w:val="0"/>
          <w:numId w:val="19"/>
        </w:numPr>
        <w:tabs>
          <w:tab w:val="center" w:pos="851"/>
          <w:tab w:val="clear" w:pos="4201"/>
        </w:tabs>
        <w:ind w:firstLineChars="0"/>
        <w:jc w:val="left"/>
        <w:rPr>
          <w:szCs w:val="22"/>
        </w:rPr>
      </w:pPr>
      <w:r>
        <w:rPr>
          <w:rFonts w:hint="eastAsia"/>
          <w:szCs w:val="22"/>
        </w:rPr>
        <w:t>将12.1.2条改为“11.1 b) 运用交互式基线校正程序使谱图基线与0.0吸收谱线相交。参照表l中上下波数区域调整基线。对吸收区放大以提高对杂峰和特征吸收谱带的观测，并提供最优化的基线位置。对连接吸收峰两侧的直线进行适当的线性校正。11.1 c) 由于B和P的峰十分接近，因此只能用同一条基线。图2和图3分别列出了对B、P吸收谱带的吸收特征区作基线校正前后的谱图”（见11.1 b)、11.1 c)，2009版12.1.2）。</w:t>
      </w:r>
    </w:p>
    <w:p>
      <w:pPr>
        <w:pStyle w:val="18"/>
        <w:numPr>
          <w:ilvl w:val="0"/>
          <w:numId w:val="19"/>
        </w:numPr>
        <w:tabs>
          <w:tab w:val="center" w:pos="851"/>
          <w:tab w:val="clear" w:pos="4201"/>
        </w:tabs>
        <w:ind w:firstLineChars="0"/>
        <w:jc w:val="left"/>
        <w:rPr>
          <w:szCs w:val="22"/>
        </w:rPr>
      </w:pPr>
      <w:r>
        <w:rPr>
          <w:rFonts w:hint="eastAsia"/>
          <w:szCs w:val="22"/>
        </w:rPr>
        <w:t>将第14章“报告”改为第13章“试验报告”，章条号顺延（见第13章，2009版第14章）；</w:t>
      </w:r>
    </w:p>
    <w:p>
      <w:pPr>
        <w:pStyle w:val="18"/>
        <w:numPr>
          <w:ilvl w:val="0"/>
          <w:numId w:val="19"/>
        </w:numPr>
        <w:tabs>
          <w:tab w:val="center" w:pos="851"/>
          <w:tab w:val="clear" w:pos="4201"/>
        </w:tabs>
        <w:ind w:firstLineChars="0"/>
        <w:jc w:val="left"/>
        <w:rPr>
          <w:szCs w:val="22"/>
        </w:rPr>
      </w:pPr>
      <w:r>
        <w:rPr>
          <w:rFonts w:hint="eastAsia"/>
        </w:rPr>
        <w:t>删除第16章、第17章</w:t>
      </w:r>
      <w:r>
        <w:rPr>
          <w:rFonts w:hint="eastAsia" w:hAnsi="宋体"/>
          <w:color w:val="000000" w:themeColor="text1"/>
          <w14:textFill>
            <w14:solidFill>
              <w14:schemeClr w14:val="tx1"/>
            </w14:solidFill>
          </w14:textFill>
        </w:rPr>
        <w:t>（见2</w:t>
      </w:r>
      <w:r>
        <w:rPr>
          <w:rFonts w:hAnsi="宋体"/>
          <w:color w:val="000000" w:themeColor="text1"/>
          <w14:textFill>
            <w14:solidFill>
              <w14:schemeClr w14:val="tx1"/>
            </w14:solidFill>
          </w14:textFill>
        </w:rPr>
        <w:t>0</w:t>
      </w:r>
      <w:r>
        <w:rPr>
          <w:rFonts w:hint="eastAsia" w:hAnsi="宋体"/>
          <w:color w:val="000000" w:themeColor="text1"/>
          <w14:textFill>
            <w14:solidFill>
              <w14:schemeClr w14:val="tx1"/>
            </w14:solidFill>
          </w14:textFill>
        </w:rPr>
        <w:t>0</w:t>
      </w:r>
      <w:r>
        <w:rPr>
          <w:rFonts w:hAnsi="宋体"/>
          <w:color w:val="000000" w:themeColor="text1"/>
          <w14:textFill>
            <w14:solidFill>
              <w14:schemeClr w14:val="tx1"/>
            </w14:solidFill>
          </w14:textFill>
        </w:rPr>
        <w:t>9</w:t>
      </w:r>
      <w:r>
        <w:rPr>
          <w:rFonts w:hint="eastAsia" w:hAnsi="宋体"/>
          <w:color w:val="000000" w:themeColor="text1"/>
          <w14:textFill>
            <w14:solidFill>
              <w14:schemeClr w14:val="tx1"/>
            </w14:solidFill>
          </w14:textFill>
        </w:rPr>
        <w:t>版</w:t>
      </w:r>
      <w:r>
        <w:rPr>
          <w:rFonts w:hint="eastAsia"/>
        </w:rPr>
        <w:t>第16章、第17章</w:t>
      </w:r>
      <w:r>
        <w:rPr>
          <w:rFonts w:hint="eastAsia" w:hAnsi="宋体"/>
          <w:color w:val="000000" w:themeColor="text1"/>
          <w14:textFill>
            <w14:solidFill>
              <w14:schemeClr w14:val="tx1"/>
            </w14:solidFill>
          </w14:textFill>
        </w:rPr>
        <w:t>）。</w:t>
      </w:r>
    </w:p>
    <w:p>
      <w:pPr>
        <w:pStyle w:val="18"/>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pPr>
        <w:pStyle w:val="18"/>
        <w:rPr>
          <w:rFonts w:hAnsi="宋体"/>
          <w:szCs w:val="21"/>
        </w:rPr>
      </w:pPr>
      <w:r>
        <w:rPr>
          <w:rFonts w:hint="eastAsia"/>
          <w:color w:val="000000" w:themeColor="text1"/>
          <w14:textFill>
            <w14:solidFill>
              <w14:schemeClr w14:val="tx1"/>
            </w14:solidFill>
          </w14:textFill>
        </w:rPr>
        <w:t>本文件由</w:t>
      </w:r>
      <w:r>
        <w:rPr>
          <w:rFonts w:hint="eastAsia" w:hAnsi="宋体"/>
          <w:color w:val="000000" w:themeColor="text1"/>
          <w:szCs w:val="21"/>
          <w14:textFill>
            <w14:solidFill>
              <w14:schemeClr w14:val="tx1"/>
            </w14:solidFill>
          </w14:textFill>
        </w:rPr>
        <w:t>全国半导体设备与材料标准化技术委员会（SAC/TC 203）和全国半导体设备与材料标准化技术委员会材料分会（SAC/TC 203</w:t>
      </w:r>
      <w:r>
        <w:rPr>
          <w:rFonts w:hint="eastAsia" w:hAnsi="宋体"/>
          <w:szCs w:val="21"/>
        </w:rPr>
        <w:t>/SC2）共同提出并归口。</w:t>
      </w:r>
    </w:p>
    <w:p>
      <w:pPr>
        <w:pStyle w:val="18"/>
        <w:rPr>
          <w:rFonts w:hAnsi="宋体"/>
        </w:rPr>
      </w:pPr>
      <w:r>
        <w:rPr>
          <w:rFonts w:hint="eastAsia"/>
        </w:rPr>
        <w:t>本文件</w:t>
      </w:r>
      <w:r>
        <w:rPr>
          <w:rFonts w:hint="eastAsia" w:hAnsi="宋体"/>
          <w:szCs w:val="21"/>
        </w:rPr>
        <w:t>起草单位：</w:t>
      </w:r>
      <w:r>
        <w:rPr>
          <w:rFonts w:hint="eastAsia"/>
          <w:kern w:val="2"/>
        </w:rPr>
        <w:t>乐山市产品质量监督检验所</w:t>
      </w:r>
      <w:r>
        <w:rPr>
          <w:rFonts w:hint="eastAsia"/>
          <w:kern w:val="2"/>
          <w:szCs w:val="22"/>
        </w:rPr>
        <w:t>、青海芯测科技有限公司、亚洲硅业（青海）有限公司、新特能源股份有限公司、宜昌南玻硅材料有限公司、洛阳中硅高科技有限公司、</w:t>
      </w:r>
      <w:r>
        <w:rPr>
          <w:rFonts w:hint="eastAsia"/>
          <w:kern w:val="2"/>
        </w:rPr>
        <w:t>……（最终根据工作情况确定）</w:t>
      </w:r>
    </w:p>
    <w:p>
      <w:pPr>
        <w:pStyle w:val="18"/>
        <w:rPr>
          <w:rFonts w:ascii="Times New Roman"/>
        </w:rPr>
      </w:pPr>
      <w:r>
        <w:rPr>
          <w:rFonts w:hint="eastAsia" w:hAnsi="宋体"/>
          <w:szCs w:val="21"/>
        </w:rPr>
        <w:t>本文件主要起草人：梁洪、赵晓斌、万涛、</w:t>
      </w:r>
      <w:r>
        <w:rPr>
          <w:rFonts w:hint="eastAsia"/>
          <w:kern w:val="2"/>
        </w:rPr>
        <w:t>……（最终根据工作情况确定）</w:t>
      </w:r>
    </w:p>
    <w:p>
      <w:pPr>
        <w:pStyle w:val="18"/>
        <w:rPr>
          <w:rFonts w:ascii="Times New Roman"/>
        </w:rPr>
      </w:pPr>
      <w:r>
        <w:rPr>
          <w:rFonts w:hint="eastAsia" w:ascii="Times New Roman"/>
        </w:rPr>
        <w:t>本文件及其所代替文件的历次版本发布情况为：</w:t>
      </w:r>
    </w:p>
    <w:p>
      <w:pPr>
        <w:pStyle w:val="18"/>
        <w:rPr>
          <w:rFonts w:hAnsi="宋体"/>
        </w:rPr>
      </w:pPr>
      <w:r>
        <w:rPr>
          <w:rFonts w:ascii="Times New Roman"/>
        </w:rPr>
        <w:t>——</w:t>
      </w:r>
      <w:r>
        <w:rPr>
          <w:rFonts w:hint="eastAsia" w:hAnsi="宋体"/>
        </w:rPr>
        <w:t>2</w:t>
      </w:r>
      <w:r>
        <w:rPr>
          <w:rFonts w:hAnsi="宋体"/>
        </w:rPr>
        <w:t>009</w:t>
      </w:r>
      <w:r>
        <w:rPr>
          <w:rFonts w:hint="eastAsia" w:hAnsi="宋体"/>
        </w:rPr>
        <w:t>年首次发布为GB/T 24581-2009；</w:t>
      </w:r>
    </w:p>
    <w:p>
      <w:pPr>
        <w:pStyle w:val="18"/>
        <w:rPr>
          <w:rFonts w:hAnsi="宋体"/>
        </w:rPr>
      </w:pPr>
      <w:r>
        <w:rPr>
          <w:rFonts w:ascii="Times New Roman"/>
        </w:rPr>
        <w:t>——</w:t>
      </w:r>
      <w:r>
        <w:rPr>
          <w:rFonts w:hint="eastAsia" w:ascii="Times New Roman"/>
        </w:rPr>
        <w:t>本次为第一次修订</w:t>
      </w:r>
      <w:r>
        <w:rPr>
          <w:rFonts w:hint="eastAsia" w:hAnsi="宋体"/>
        </w:rPr>
        <w:t>。</w:t>
      </w:r>
    </w:p>
    <w:p>
      <w:pPr>
        <w:pStyle w:val="18"/>
      </w:pPr>
    </w:p>
    <w:p>
      <w:pPr>
        <w:pStyle w:val="18"/>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1"/>
      </w:pPr>
      <w:r>
        <w:rPr>
          <w:rFonts w:hint="eastAsia"/>
        </w:rPr>
        <w:t>硅单晶中III、V族杂质含量的测定 低温傅立叶变换红外光谱法</w:t>
      </w:r>
    </w:p>
    <w:p>
      <w:pPr>
        <w:pStyle w:val="34"/>
      </w:pPr>
      <w:r>
        <w:rPr>
          <w:rFonts w:hint="eastAsia"/>
        </w:rPr>
        <w:t>范围</w:t>
      </w:r>
    </w:p>
    <w:p>
      <w:pPr>
        <w:pStyle w:val="18"/>
        <w:rPr>
          <w:rFonts w:hAnsi="宋体" w:cs="宋体"/>
          <w:szCs w:val="22"/>
        </w:rPr>
      </w:pPr>
      <w:r>
        <w:rPr>
          <w:rFonts w:hint="eastAsia" w:hAnsi="宋体" w:cs="宋体"/>
        </w:rPr>
        <w:t>本文件规定</w:t>
      </w:r>
      <w:r>
        <w:rPr>
          <w:rFonts w:hint="eastAsia" w:hAnsi="宋体" w:cs="宋体"/>
          <w:szCs w:val="22"/>
        </w:rPr>
        <w:t>了用低温傅立叶变换红外光谱法测定硅单晶中III、V族杂质含量的方法。</w:t>
      </w:r>
    </w:p>
    <w:p>
      <w:pPr>
        <w:pStyle w:val="18"/>
        <w:rPr>
          <w:rFonts w:hAnsi="宋体" w:cs="宋体"/>
          <w:szCs w:val="22"/>
        </w:rPr>
      </w:pPr>
      <w:r>
        <w:rPr>
          <w:rFonts w:hint="eastAsia" w:hAnsi="宋体" w:cs="宋体"/>
          <w:szCs w:val="22"/>
        </w:rPr>
        <w:t>本文件适用于硅单晶中的III、V族杂质硼（B）、磷（P）、砷（As）、铝（Al）、锑（Sb）、镓（Ga) 和</w:t>
      </w:r>
      <w:r>
        <w:rPr>
          <w:rFonts w:hint="eastAsia" w:hAnsi="宋体"/>
          <w:sz w:val="18"/>
          <w:szCs w:val="18"/>
        </w:rPr>
        <w:t xml:space="preserve"> </w:t>
      </w:r>
      <w:r>
        <w:rPr>
          <w:rFonts w:hint="eastAsia" w:hAnsi="宋体" w:cs="宋体"/>
          <w:szCs w:val="22"/>
        </w:rPr>
        <w:t>铟（In）含量的测定，测定范围（以原子数计）为2.1×10</w:t>
      </w:r>
      <w:r>
        <w:rPr>
          <w:rFonts w:hint="eastAsia" w:hAnsi="宋体" w:cs="宋体"/>
          <w:szCs w:val="22"/>
          <w:vertAlign w:val="superscript"/>
        </w:rPr>
        <w:t>10</w:t>
      </w:r>
      <w:r>
        <w:rPr>
          <w:rFonts w:hint="eastAsia" w:hAnsi="宋体" w:cs="宋体"/>
          <w:szCs w:val="22"/>
        </w:rPr>
        <w:t>cm</w:t>
      </w:r>
      <w:r>
        <w:rPr>
          <w:rFonts w:hint="eastAsia" w:hAnsi="宋体" w:cs="宋体"/>
          <w:szCs w:val="22"/>
          <w:vertAlign w:val="superscript"/>
        </w:rPr>
        <w:t>-3</w:t>
      </w:r>
      <w:r>
        <w:rPr>
          <w:rFonts w:hint="eastAsia" w:hAnsi="宋体" w:cs="宋体"/>
          <w:szCs w:val="22"/>
        </w:rPr>
        <w:t>～4.1×10</w:t>
      </w:r>
      <w:r>
        <w:rPr>
          <w:rFonts w:hint="eastAsia" w:hAnsi="宋体" w:cs="宋体"/>
          <w:szCs w:val="22"/>
          <w:vertAlign w:val="superscript"/>
        </w:rPr>
        <w:t>14</w:t>
      </w:r>
      <w:r>
        <w:rPr>
          <w:rFonts w:hint="eastAsia" w:hAnsi="宋体" w:cs="宋体"/>
          <w:szCs w:val="22"/>
        </w:rPr>
        <w:t>cm</w:t>
      </w:r>
      <w:r>
        <w:rPr>
          <w:rFonts w:hint="eastAsia" w:hAnsi="宋体" w:cs="宋体"/>
          <w:szCs w:val="22"/>
          <w:vertAlign w:val="superscript"/>
        </w:rPr>
        <w:t>-</w:t>
      </w:r>
      <w:r>
        <w:rPr>
          <w:rFonts w:hAnsi="宋体" w:cs="宋体"/>
          <w:szCs w:val="22"/>
          <w:vertAlign w:val="superscript"/>
        </w:rPr>
        <w:t>3</w:t>
      </w:r>
      <w:r>
        <w:rPr>
          <w:rFonts w:hint="eastAsia" w:hAnsi="宋体" w:cs="宋体"/>
          <w:szCs w:val="22"/>
        </w:rPr>
        <w:t>。</w:t>
      </w:r>
    </w:p>
    <w:p>
      <w:pPr>
        <w:pStyle w:val="34"/>
      </w:pPr>
      <w:r>
        <w:rPr>
          <w:rFonts w:hint="eastAsia"/>
        </w:rPr>
        <w:t>规范性引用文件</w:t>
      </w:r>
    </w:p>
    <w:p>
      <w:pPr>
        <w:pStyle w:val="18"/>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8"/>
        <w:ind w:firstLineChars="0"/>
      </w:pPr>
      <w:r>
        <w:rPr>
          <w:rFonts w:hint="eastAsia"/>
        </w:rPr>
        <w:t>GB/T 6618 硅片厚度和总厚度变化的测试方法</w:t>
      </w:r>
    </w:p>
    <w:p>
      <w:pPr>
        <w:pStyle w:val="18"/>
        <w:spacing w:line="276" w:lineRule="auto"/>
        <w:rPr>
          <w:rFonts w:hAnsi="宋体"/>
        </w:rPr>
      </w:pPr>
      <w:r>
        <w:rPr>
          <w:rFonts w:hint="eastAsia"/>
          <w:szCs w:val="22"/>
        </w:rPr>
        <w:t>GB/T 8322 分子吸收光谱法 术语</w:t>
      </w:r>
    </w:p>
    <w:p>
      <w:pPr>
        <w:pStyle w:val="18"/>
        <w:ind w:firstLineChars="0"/>
      </w:pPr>
      <w:r>
        <w:rPr>
          <w:rFonts w:hint="eastAsia"/>
        </w:rPr>
        <w:t>GB/T 14264 半导体材料术语</w:t>
      </w:r>
    </w:p>
    <w:p>
      <w:pPr>
        <w:pStyle w:val="18"/>
        <w:ind w:firstLineChars="0"/>
      </w:pPr>
      <w:r>
        <w:rPr>
          <w:rFonts w:hint="eastAsia"/>
          <w:szCs w:val="22"/>
        </w:rPr>
        <w:t>GB/T 29057 用区熔拉晶法和光谱分析法评价多晶硅棒的规程</w:t>
      </w:r>
    </w:p>
    <w:p>
      <w:pPr>
        <w:pStyle w:val="34"/>
      </w:pPr>
      <w:r>
        <w:rPr>
          <w:rFonts w:hint="eastAsia"/>
        </w:rPr>
        <w:t>术语和定义</w:t>
      </w:r>
    </w:p>
    <w:p>
      <w:pPr>
        <w:pStyle w:val="18"/>
      </w:pPr>
      <w:r>
        <w:rPr>
          <w:rFonts w:hint="eastAsia" w:hAnsi="宋体"/>
        </w:rPr>
        <w:t>GB/T 8322、</w:t>
      </w:r>
      <w:r>
        <w:rPr>
          <w:rFonts w:hint="eastAsia"/>
        </w:rPr>
        <w:t>GB/T 14264</w:t>
      </w:r>
      <w:r>
        <w:rPr>
          <w:rFonts w:hint="eastAsia" w:hAnsi="宋体"/>
        </w:rPr>
        <w:t>界定的以及下列术语和定义适用于本文件</w:t>
      </w:r>
      <w:r>
        <w:rPr>
          <w:rFonts w:hint="eastAsia"/>
        </w:rPr>
        <w:t>。</w:t>
      </w:r>
    </w:p>
    <w:p>
      <w:pPr>
        <w:pStyle w:val="34"/>
      </w:pPr>
      <w:r>
        <w:rPr>
          <w:rFonts w:hint="eastAsia" w:hAnsi="宋体"/>
        </w:rPr>
        <w:t>方法原理</w:t>
      </w:r>
    </w:p>
    <w:p>
      <w:pPr>
        <w:pStyle w:val="18"/>
        <w:rPr>
          <w:szCs w:val="22"/>
        </w:rPr>
      </w:pPr>
      <w:r>
        <w:rPr>
          <w:rFonts w:hint="eastAsia"/>
          <w:szCs w:val="22"/>
        </w:rPr>
        <w:t>将硅单晶样品冷却至15 K以下，此时红外光谱主要是由杂质元素引起的一系列吸收谱带。用一个连续白炽灯光源照射样品，使其光线能量大于补偿杂质的能带。将红外光束直接透射样品，采集透射光谱，该光谱扣除背景光谱后转化为吸收光谱。在杂质元素特征吸收谱带上建立基线并计算其吸收谱带面积。根据通用吸收定律及本文件给出的III、V族杂质元素校准因子计算出III、V族杂质元素的含量。</w:t>
      </w:r>
    </w:p>
    <w:p>
      <w:pPr>
        <w:pStyle w:val="34"/>
      </w:pPr>
      <w:r>
        <w:rPr>
          <w:rFonts w:hint="eastAsia" w:hAnsi="黑体"/>
        </w:rPr>
        <w:t>干扰因素</w:t>
      </w:r>
    </w:p>
    <w:p>
      <w:pPr>
        <w:pStyle w:val="33"/>
        <w:spacing w:before="0" w:beforeLines="0" w:after="0" w:afterLines="0"/>
        <w:ind w:left="0"/>
        <w:rPr>
          <w:rFonts w:ascii="宋体" w:hAnsi="宋体" w:eastAsia="宋体"/>
        </w:rPr>
      </w:pPr>
      <w:r>
        <w:rPr>
          <w:rFonts w:hint="eastAsia" w:ascii="宋体" w:eastAsia="宋体"/>
          <w:szCs w:val="22"/>
        </w:rPr>
        <w:t>样品应冷却至15K以下测量III、V族杂质元素，以消除自由载流子的影响。将样品固定在冷头上时，样品和冷头之间应保持良好的接触，以获得较高的热传导效率。氧在1136cm</w:t>
      </w:r>
      <w:r>
        <w:rPr>
          <w:rFonts w:hint="eastAsia" w:ascii="宋体" w:eastAsia="宋体"/>
          <w:szCs w:val="22"/>
          <w:vertAlign w:val="superscript"/>
        </w:rPr>
        <w:t>-1</w:t>
      </w:r>
      <w:r>
        <w:rPr>
          <w:rFonts w:hint="eastAsia" w:ascii="宋体" w:eastAsia="宋体"/>
          <w:szCs w:val="22"/>
        </w:rPr>
        <w:t>和1128cm</w:t>
      </w:r>
      <w:r>
        <w:rPr>
          <w:rFonts w:hint="eastAsia" w:ascii="宋体" w:eastAsia="宋体"/>
          <w:szCs w:val="22"/>
          <w:vertAlign w:val="superscript"/>
        </w:rPr>
        <w:t>-1</w:t>
      </w:r>
      <w:r>
        <w:rPr>
          <w:rFonts w:hint="eastAsia" w:ascii="宋体" w:eastAsia="宋体"/>
          <w:szCs w:val="22"/>
        </w:rPr>
        <w:t>的吸收谱带对温度十分灵敏，可用于判断样品温度。当样品温度高于15K时，在1136cm</w:t>
      </w:r>
      <w:r>
        <w:rPr>
          <w:rFonts w:hint="eastAsia" w:ascii="宋体" w:eastAsia="宋体"/>
          <w:szCs w:val="22"/>
          <w:vertAlign w:val="superscript"/>
        </w:rPr>
        <w:t>-1</w:t>
      </w:r>
      <w:r>
        <w:rPr>
          <w:rFonts w:hint="eastAsia" w:ascii="宋体" w:eastAsia="宋体"/>
          <w:szCs w:val="22"/>
        </w:rPr>
        <w:t>的吸收强度是1128cm</w:t>
      </w:r>
      <w:r>
        <w:rPr>
          <w:rFonts w:hint="eastAsia" w:ascii="宋体" w:eastAsia="宋体"/>
          <w:szCs w:val="22"/>
          <w:vertAlign w:val="superscript"/>
        </w:rPr>
        <w:t>-1</w:t>
      </w:r>
      <w:r>
        <w:rPr>
          <w:rFonts w:hint="eastAsia" w:ascii="宋体" w:eastAsia="宋体"/>
          <w:szCs w:val="22"/>
        </w:rPr>
        <w:t>吸收强度的3倍，而低于15K时，其比率将大于3</w:t>
      </w:r>
      <w:r>
        <w:rPr>
          <w:rFonts w:hint="eastAsia" w:ascii="宋体" w:hAnsi="宋体" w:eastAsia="宋体"/>
        </w:rPr>
        <w:t>。</w:t>
      </w:r>
    </w:p>
    <w:p>
      <w:pPr>
        <w:pStyle w:val="33"/>
        <w:spacing w:before="0" w:beforeLines="0" w:after="0" w:afterLines="0"/>
        <w:ind w:left="0"/>
        <w:rPr>
          <w:rFonts w:ascii="宋体" w:eastAsia="宋体"/>
          <w:szCs w:val="22"/>
        </w:rPr>
      </w:pPr>
      <w:r>
        <w:rPr>
          <w:rFonts w:hint="eastAsia" w:ascii="宋体" w:eastAsia="宋体"/>
          <w:szCs w:val="22"/>
        </w:rPr>
        <w:t>如果没有足量连续的白光，补偿的施主和受主将不产生吸收，故白光强度须足够强以完全抵消所有施主和受主的补偿。可通过逐步增加仪器白光光强来确定III、V族杂质吸收峰的面积或高度不再受光强增加影响的最佳白光强度。</w:t>
      </w:r>
    </w:p>
    <w:p>
      <w:pPr>
        <w:pStyle w:val="33"/>
        <w:spacing w:before="0" w:beforeLines="0" w:after="0" w:afterLines="0"/>
        <w:ind w:left="0"/>
      </w:pPr>
      <w:r>
        <w:rPr>
          <w:rFonts w:hint="eastAsia" w:ascii="宋体" w:hAnsi="宋体" w:eastAsia="宋体"/>
          <w:kern w:val="2"/>
          <w:szCs w:val="24"/>
        </w:rPr>
        <w:t>水蒸汽吸收谱可干扰数个吸收谱的测量。所以，至少每天都要采集背景光谱。必须除去光路中（含样品室）的水汽。更换样品时，应保证样品室和光路中的其他部分不受水汽的影响。</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CZ单晶硅中氧含量较高时，将产生热施主吸收谱线。这些谱线在400cm</w:t>
      </w:r>
      <w:r>
        <w:rPr>
          <w:rFonts w:hint="eastAsia" w:ascii="宋体" w:hAnsi="宋体" w:eastAsia="宋体"/>
          <w:kern w:val="2"/>
          <w:szCs w:val="24"/>
          <w:vertAlign w:val="superscript"/>
        </w:rPr>
        <w:t>-1</w:t>
      </w:r>
      <w:r>
        <w:rPr>
          <w:rFonts w:hint="eastAsia" w:ascii="宋体" w:hAnsi="宋体" w:eastAsia="宋体"/>
          <w:kern w:val="2"/>
          <w:szCs w:val="24"/>
        </w:rPr>
        <w:t>～500cm</w:t>
      </w:r>
      <w:r>
        <w:rPr>
          <w:rFonts w:hint="eastAsia" w:ascii="宋体" w:hAnsi="宋体" w:eastAsia="宋体"/>
          <w:kern w:val="2"/>
          <w:szCs w:val="24"/>
          <w:vertAlign w:val="superscript"/>
        </w:rPr>
        <w:t>-1</w:t>
      </w:r>
      <w:r>
        <w:rPr>
          <w:rFonts w:hint="eastAsia" w:ascii="宋体" w:hAnsi="宋体" w:eastAsia="宋体"/>
          <w:kern w:val="2"/>
          <w:szCs w:val="24"/>
        </w:rPr>
        <w:t>之间，影响Al（473cm</w:t>
      </w:r>
      <w:r>
        <w:rPr>
          <w:rFonts w:hint="eastAsia" w:ascii="宋体" w:hAnsi="宋体" w:eastAsia="宋体"/>
          <w:kern w:val="2"/>
          <w:szCs w:val="24"/>
          <w:vertAlign w:val="superscript"/>
        </w:rPr>
        <w:t>-1</w:t>
      </w:r>
      <w:r>
        <w:rPr>
          <w:rFonts w:hint="eastAsia" w:ascii="宋体" w:hAnsi="宋体" w:eastAsia="宋体"/>
          <w:kern w:val="2"/>
          <w:szCs w:val="24"/>
        </w:rPr>
        <w:t>）、Ga（548cm</w:t>
      </w:r>
      <w:r>
        <w:rPr>
          <w:rFonts w:hint="eastAsia" w:ascii="宋体" w:hAnsi="宋体" w:eastAsia="宋体"/>
          <w:kern w:val="2"/>
          <w:szCs w:val="24"/>
          <w:vertAlign w:val="superscript"/>
        </w:rPr>
        <w:t>-1</w:t>
      </w:r>
      <w:r>
        <w:rPr>
          <w:rFonts w:hint="eastAsia" w:ascii="宋体" w:hAnsi="宋体" w:eastAsia="宋体"/>
          <w:kern w:val="2"/>
          <w:szCs w:val="24"/>
        </w:rPr>
        <w:t>）和As（382cm</w:t>
      </w:r>
      <w:r>
        <w:rPr>
          <w:rFonts w:hint="eastAsia" w:ascii="宋体" w:hAnsi="宋体" w:eastAsia="宋体"/>
          <w:kern w:val="2"/>
          <w:szCs w:val="24"/>
          <w:vertAlign w:val="superscript"/>
        </w:rPr>
        <w:t>-1</w:t>
      </w:r>
      <w:r>
        <w:rPr>
          <w:rFonts w:hint="eastAsia" w:ascii="宋体" w:hAnsi="宋体" w:eastAsia="宋体"/>
          <w:kern w:val="2"/>
          <w:szCs w:val="24"/>
        </w:rPr>
        <w:t>）的测量。氧的热施主可以通过退火的方法消除。</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多级内部反射会产生次级干涉和基线偏离。通过改变样品厚度、表面处理方式或分辨率可以消除次级干涉和基线偏离。</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测量（以原子数计）5.0×10</w:t>
      </w:r>
      <w:r>
        <w:rPr>
          <w:rFonts w:hint="eastAsia" w:ascii="宋体" w:hAnsi="宋体" w:eastAsia="宋体"/>
          <w:kern w:val="2"/>
          <w:szCs w:val="24"/>
          <w:vertAlign w:val="superscript"/>
        </w:rPr>
        <w:t>11</w:t>
      </w:r>
      <w:r>
        <w:rPr>
          <w:rFonts w:hint="eastAsia" w:ascii="宋体" w:hAnsi="宋体" w:eastAsia="宋体"/>
          <w:kern w:val="2"/>
          <w:szCs w:val="24"/>
        </w:rPr>
        <w:t>cm</w:t>
      </w:r>
      <w:r>
        <w:rPr>
          <w:rFonts w:hint="eastAsia" w:ascii="宋体" w:hAnsi="宋体" w:eastAsia="宋体"/>
          <w:kern w:val="2"/>
          <w:szCs w:val="24"/>
          <w:vertAlign w:val="superscript"/>
        </w:rPr>
        <w:t>-3</w:t>
      </w:r>
      <w:r>
        <w:rPr>
          <w:rFonts w:hint="eastAsia" w:ascii="宋体" w:hAnsi="宋体" w:eastAsia="宋体"/>
          <w:kern w:val="2"/>
          <w:szCs w:val="24"/>
        </w:rPr>
        <w:t>以下的杂质含量时，建议</w:t>
      </w:r>
      <w:r>
        <w:rPr>
          <w:rFonts w:ascii="宋体" w:hAnsi="宋体" w:eastAsia="宋体"/>
          <w:kern w:val="2"/>
          <w:szCs w:val="24"/>
        </w:rPr>
        <w:t>采用</w:t>
      </w:r>
      <w:r>
        <w:rPr>
          <w:rFonts w:hint="eastAsia" w:ascii="宋体" w:hAnsi="宋体" w:eastAsia="宋体"/>
          <w:kern w:val="2"/>
          <w:szCs w:val="24"/>
        </w:rPr>
        <w:t>5mm～20mm厚度的样品及</w:t>
      </w:r>
      <w:r>
        <w:rPr>
          <w:rFonts w:ascii="宋体" w:hAnsi="宋体" w:eastAsia="宋体"/>
          <w:kern w:val="2"/>
          <w:szCs w:val="24"/>
        </w:rPr>
        <w:t>恒定低温检测器（</w:t>
      </w:r>
      <w:r>
        <w:rPr>
          <w:rFonts w:hint="eastAsia" w:ascii="宋体" w:hAnsi="宋体" w:eastAsia="宋体"/>
          <w:kern w:val="2"/>
          <w:szCs w:val="24"/>
        </w:rPr>
        <w:t>低于15K，波动小于1K</w:t>
      </w:r>
      <w:r>
        <w:rPr>
          <w:rFonts w:ascii="宋体" w:hAnsi="宋体" w:eastAsia="宋体"/>
          <w:kern w:val="2"/>
          <w:szCs w:val="24"/>
        </w:rPr>
        <w:t>）进行检测</w:t>
      </w:r>
      <w:r>
        <w:rPr>
          <w:rFonts w:hint="eastAsia" w:ascii="宋体" w:hAnsi="宋体" w:eastAsia="宋体"/>
          <w:kern w:val="2"/>
          <w:szCs w:val="24"/>
        </w:rPr>
        <w:t>，</w:t>
      </w:r>
      <w:r>
        <w:rPr>
          <w:rFonts w:hint="eastAsia" w:ascii="宋体" w:eastAsia="宋体"/>
          <w:szCs w:val="22"/>
        </w:rPr>
        <w:t>以消除干扰，提高测量的准确性。</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较高的锑（Sb）含量会影响B（320cm</w:t>
      </w:r>
      <w:r>
        <w:rPr>
          <w:rFonts w:hint="eastAsia" w:ascii="宋体" w:hAnsi="宋体" w:eastAsia="宋体"/>
          <w:kern w:val="2"/>
          <w:szCs w:val="24"/>
          <w:vertAlign w:val="superscript"/>
        </w:rPr>
        <w:t>-1</w:t>
      </w:r>
      <w:r>
        <w:rPr>
          <w:rFonts w:hint="eastAsia" w:ascii="宋体" w:hAnsi="宋体" w:eastAsia="宋体"/>
          <w:kern w:val="2"/>
          <w:szCs w:val="24"/>
        </w:rPr>
        <w:t>）的吸收谱带，Sb的最强吸收谱带在293cm</w:t>
      </w:r>
      <w:r>
        <w:rPr>
          <w:rFonts w:hint="eastAsia" w:ascii="宋体" w:hAnsi="宋体" w:eastAsia="宋体"/>
          <w:kern w:val="2"/>
          <w:szCs w:val="24"/>
          <w:vertAlign w:val="superscript"/>
        </w:rPr>
        <w:t>-1</w:t>
      </w:r>
      <w:r>
        <w:rPr>
          <w:rFonts w:hint="eastAsia" w:ascii="宋体" w:hAnsi="宋体" w:eastAsia="宋体"/>
          <w:kern w:val="2"/>
          <w:szCs w:val="24"/>
        </w:rPr>
        <w:t>，次强吸收谱带则位于320cm</w:t>
      </w:r>
      <w:r>
        <w:rPr>
          <w:rFonts w:hint="eastAsia" w:ascii="宋体" w:hAnsi="宋体" w:eastAsia="宋体"/>
          <w:kern w:val="2"/>
          <w:szCs w:val="24"/>
          <w:vertAlign w:val="superscript"/>
        </w:rPr>
        <w:t>-1</w:t>
      </w:r>
      <w:r>
        <w:rPr>
          <w:rFonts w:hint="eastAsia" w:ascii="宋体" w:hAnsi="宋体" w:eastAsia="宋体"/>
          <w:kern w:val="2"/>
          <w:szCs w:val="24"/>
        </w:rPr>
        <w:t>。</w:t>
      </w:r>
    </w:p>
    <w:p>
      <w:pPr>
        <w:pStyle w:val="33"/>
        <w:spacing w:before="0" w:beforeLines="0" w:after="0" w:afterLines="0"/>
        <w:ind w:left="0"/>
        <w:rPr>
          <w:rFonts w:ascii="宋体" w:eastAsia="宋体"/>
          <w:szCs w:val="22"/>
        </w:rPr>
      </w:pPr>
      <w:r>
        <w:rPr>
          <w:rFonts w:hint="eastAsia" w:ascii="宋体" w:hAnsi="宋体" w:eastAsia="宋体"/>
          <w:kern w:val="2"/>
          <w:szCs w:val="24"/>
        </w:rPr>
        <w:t>磷（</w:t>
      </w:r>
      <w:r>
        <w:rPr>
          <w:rFonts w:hint="eastAsia" w:ascii="宋体" w:hAnsi="宋体" w:eastAsia="宋体"/>
          <w:bCs/>
        </w:rPr>
        <w:t>P</w:t>
      </w:r>
      <w:r>
        <w:rPr>
          <w:rFonts w:hint="eastAsia" w:ascii="宋体" w:hAnsi="宋体" w:eastAsia="宋体"/>
          <w:kern w:val="2"/>
          <w:szCs w:val="24"/>
        </w:rPr>
        <w:t>）含量较高时，其</w:t>
      </w:r>
      <w:r>
        <w:rPr>
          <w:rFonts w:hint="eastAsia" w:ascii="宋体" w:hAnsi="宋体" w:eastAsia="宋体"/>
          <w:bCs/>
        </w:rPr>
        <w:t>P</w:t>
      </w:r>
      <w:r>
        <w:rPr>
          <w:rFonts w:hint="eastAsia" w:ascii="宋体" w:hAnsi="宋体" w:eastAsia="宋体"/>
          <w:kern w:val="2"/>
          <w:szCs w:val="24"/>
        </w:rPr>
        <w:t>（</w:t>
      </w:r>
      <w:r>
        <w:rPr>
          <w:rFonts w:hint="eastAsia" w:ascii="宋体" w:hAnsi="宋体"/>
          <w:szCs w:val="20"/>
        </w:rPr>
        <w:t>316</w:t>
      </w:r>
      <w:r>
        <w:rPr>
          <w:rFonts w:hint="eastAsia" w:ascii="宋体" w:hAnsi="宋体" w:eastAsia="宋体"/>
          <w:kern w:val="2"/>
          <w:szCs w:val="24"/>
        </w:rPr>
        <w:t>cm</w:t>
      </w:r>
      <w:r>
        <w:rPr>
          <w:rFonts w:hint="eastAsia" w:ascii="宋体" w:hAnsi="宋体" w:eastAsia="宋体"/>
          <w:kern w:val="2"/>
          <w:szCs w:val="24"/>
          <w:vertAlign w:val="superscript"/>
        </w:rPr>
        <w:t>-1</w:t>
      </w:r>
      <w:r>
        <w:rPr>
          <w:rFonts w:hint="eastAsia" w:ascii="宋体" w:hAnsi="宋体" w:eastAsia="宋体"/>
          <w:kern w:val="2"/>
          <w:szCs w:val="24"/>
        </w:rPr>
        <w:t>）的吸收谱带会出现削峰的现象，此时不能用该吸收谱带来计算磷（P）元素的含量，可采用磷（</w:t>
      </w:r>
      <w:r>
        <w:rPr>
          <w:rFonts w:hint="eastAsia" w:ascii="宋体" w:hAnsi="宋体" w:eastAsia="宋体"/>
          <w:bCs/>
        </w:rPr>
        <w:t>P</w:t>
      </w:r>
      <w:r>
        <w:rPr>
          <w:rFonts w:hint="eastAsia" w:ascii="宋体" w:hAnsi="宋体" w:eastAsia="宋体"/>
          <w:kern w:val="2"/>
          <w:szCs w:val="24"/>
        </w:rPr>
        <w:t>）的次强吸收谱带</w:t>
      </w:r>
      <w:r>
        <w:rPr>
          <w:rFonts w:hint="eastAsia" w:ascii="宋体" w:hAnsi="宋体" w:eastAsia="宋体"/>
          <w:bCs/>
        </w:rPr>
        <w:t>P</w:t>
      </w:r>
      <w:r>
        <w:rPr>
          <w:rFonts w:hint="eastAsia" w:ascii="宋体" w:hAnsi="宋体" w:eastAsia="宋体"/>
          <w:kern w:val="2"/>
          <w:szCs w:val="24"/>
        </w:rPr>
        <w:t>（</w:t>
      </w:r>
      <w:r>
        <w:rPr>
          <w:rFonts w:hint="eastAsia" w:ascii="宋体" w:hAnsi="宋体" w:eastAsia="宋体"/>
          <w:szCs w:val="20"/>
        </w:rPr>
        <w:t>275</w:t>
      </w:r>
      <w:r>
        <w:rPr>
          <w:rFonts w:hint="eastAsia" w:ascii="宋体" w:hAnsi="宋体" w:eastAsia="宋体"/>
          <w:kern w:val="2"/>
          <w:szCs w:val="24"/>
        </w:rPr>
        <w:t>cm</w:t>
      </w:r>
      <w:r>
        <w:rPr>
          <w:rFonts w:hint="eastAsia" w:ascii="宋体" w:hAnsi="宋体" w:eastAsia="宋体"/>
          <w:kern w:val="2"/>
          <w:szCs w:val="24"/>
          <w:vertAlign w:val="superscript"/>
        </w:rPr>
        <w:t>-1</w:t>
      </w:r>
      <w:r>
        <w:rPr>
          <w:rFonts w:hint="eastAsia" w:ascii="宋体" w:hAnsi="宋体" w:eastAsia="宋体"/>
          <w:kern w:val="2"/>
          <w:szCs w:val="24"/>
        </w:rPr>
        <w:t>）来计算磷（P）元素的含量。</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对于掺杂单晶，其掺杂元素较高的吸收峰会干扰其它元素的测量，因此本方法不能作为测定掺杂单晶中III、V族杂质元素的仲裁方法。</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本方法采集的吸收谱带通常很尖锐，尤其是第Ⅴ族元素，峰高值在仪器和仪器之间难以重现，采用计算峰面积可最大限度地减少这种影响。</w:t>
      </w:r>
    </w:p>
    <w:p>
      <w:pPr>
        <w:pStyle w:val="33"/>
        <w:spacing w:before="0" w:beforeLines="0" w:after="0" w:afterLines="0"/>
        <w:ind w:left="0"/>
        <w:rPr>
          <w:rFonts w:ascii="宋体" w:eastAsia="宋体"/>
          <w:szCs w:val="22"/>
        </w:rPr>
      </w:pPr>
      <w:r>
        <w:rPr>
          <w:rFonts w:hint="eastAsia" w:ascii="宋体" w:eastAsia="宋体"/>
          <w:szCs w:val="22"/>
        </w:rPr>
        <w:t>采用计算机计算吸收峰面积时，由于积分仪的限制，不能自由调整零点和基线，因而可能带来误差。</w:t>
      </w:r>
    </w:p>
    <w:p>
      <w:pPr>
        <w:pStyle w:val="33"/>
        <w:spacing w:before="0" w:beforeLines="0" w:after="0" w:afterLines="0"/>
        <w:ind w:left="0"/>
        <w:rPr>
          <w:rFonts w:ascii="宋体" w:eastAsia="宋体"/>
          <w:szCs w:val="22"/>
        </w:rPr>
      </w:pPr>
      <w:r>
        <w:rPr>
          <w:rFonts w:hint="eastAsia" w:ascii="宋体" w:eastAsia="宋体"/>
          <w:szCs w:val="22"/>
        </w:rPr>
        <w:t>本方法虽然是多晶硅的重要质量评价方法，但由于多晶的晶界严重影响样品的红外吸收，因此，本方法应严格依据GB/T 29057将多晶转变成单晶后才可应用。</w:t>
      </w:r>
    </w:p>
    <w:p>
      <w:pPr>
        <w:pStyle w:val="34"/>
        <w:rPr>
          <w:rFonts w:ascii="宋体" w:hAnsi="宋体" w:eastAsia="宋体"/>
        </w:rPr>
      </w:pPr>
      <w:r>
        <w:rPr>
          <w:rFonts w:hint="eastAsia"/>
        </w:rPr>
        <w:t>试剂和材料</w:t>
      </w:r>
    </w:p>
    <w:p>
      <w:pPr>
        <w:pStyle w:val="33"/>
        <w:numPr>
          <w:ilvl w:val="1"/>
          <w:numId w:val="0"/>
        </w:numPr>
        <w:spacing w:before="0" w:beforeLines="0" w:after="0" w:afterLines="0"/>
        <w:ind w:firstLine="420" w:firstLineChars="200"/>
        <w:rPr>
          <w:rFonts w:ascii="宋体" w:hAnsi="宋体" w:eastAsia="宋体"/>
        </w:rPr>
      </w:pPr>
      <w:r>
        <w:rPr>
          <w:rFonts w:hint="eastAsia" w:ascii="宋体" w:hAnsi="宋体" w:eastAsia="宋体"/>
          <w:kern w:val="2"/>
          <w:szCs w:val="24"/>
        </w:rPr>
        <w:t>氟化钙（CaF</w:t>
      </w:r>
      <w:r>
        <w:rPr>
          <w:rFonts w:hint="eastAsia" w:ascii="宋体" w:hAnsi="宋体" w:eastAsia="宋体"/>
          <w:kern w:val="2"/>
          <w:szCs w:val="24"/>
          <w:vertAlign w:val="subscript"/>
        </w:rPr>
        <w:t>2</w:t>
      </w:r>
      <w:r>
        <w:rPr>
          <w:rFonts w:hint="eastAsia" w:ascii="宋体" w:hAnsi="宋体" w:eastAsia="宋体"/>
          <w:kern w:val="2"/>
          <w:szCs w:val="24"/>
        </w:rPr>
        <w:t>）晶片，切成5mm厚的薄片</w:t>
      </w:r>
      <w:r>
        <w:rPr>
          <w:rFonts w:hint="eastAsia" w:ascii="宋体" w:hAnsi="宋体" w:eastAsia="宋体"/>
        </w:rPr>
        <w:t>。</w:t>
      </w:r>
    </w:p>
    <w:p>
      <w:pPr>
        <w:pStyle w:val="34"/>
      </w:pPr>
      <w:r>
        <w:rPr>
          <w:rFonts w:hint="eastAsia"/>
        </w:rPr>
        <w:t>仪器设备</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低温恒温箱，保证样品温度低于15K，可采用液氦（He）浸液式、交换式、或封闭循环等方式冷却。</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样品架，由高热传导系数的金属材料制成，开有小孔并可阻档通过样品以外的任何红外光线。</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白光光源，如图1所示。</w:t>
      </w:r>
    </w:p>
    <w:p>
      <w:pPr>
        <w:pStyle w:val="18"/>
        <w:jc w:val="center"/>
        <w:rPr>
          <w:rFonts w:hAnsi="黑体"/>
          <w:kern w:val="2"/>
          <w:szCs w:val="24"/>
        </w:rPr>
      </w:pPr>
      <w:r>
        <w:rPr>
          <w:rFonts w:hAnsi="宋体"/>
        </w:rPr>
        <w:pict>
          <v:shape id="_x0000_s1026" o:spid="_x0000_s1026" o:spt="75" type="#_x0000_t75" style="position:absolute;left:0pt;margin-left:105.65pt;margin-top:9.65pt;height:188.25pt;width:268.75pt;mso-wrap-distance-bottom:0pt;mso-wrap-distance-top:0pt;z-index:251666432;mso-width-relative:page;mso-height-relative:page;" o:ole="t" filled="f" o:preferrelative="t" stroked="f" coordsize="21600,21600">
            <v:path/>
            <v:fill on="f" focussize="0,0"/>
            <v:stroke on="f" joinstyle="miter"/>
            <v:imagedata r:id="rId11" cropleft="1380f" cropbottom="6973f" o:title=""/>
            <o:lock v:ext="edit" aspectratio="t"/>
            <w10:wrap type="topAndBottom"/>
          </v:shape>
          <o:OLEObject Type="Embed" ProgID="Visio.Drawing.11" ShapeID="_x0000_s1026" DrawAspect="Content" ObjectID="_1468075725" r:id="rId10">
            <o:LockedField>false</o:LockedField>
          </o:OLEObject>
        </w:pict>
      </w:r>
      <w:r>
        <w:rPr>
          <w:rFonts w:hint="eastAsia" w:hAnsi="黑体"/>
        </w:rPr>
        <w:t>图1</w:t>
      </w:r>
      <w:r>
        <w:rPr>
          <w:rFonts w:hAnsi="黑体"/>
        </w:rPr>
        <w:t xml:space="preserve">  </w:t>
      </w:r>
      <w:r>
        <w:rPr>
          <w:rFonts w:hint="eastAsia" w:hAnsi="黑体"/>
        </w:rPr>
        <w:t>样品架和采用光纤的白光光学系统</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傅立叶变换红外光谱仪，</w:t>
      </w:r>
      <w:r>
        <w:rPr>
          <w:rFonts w:hint="eastAsia" w:ascii="宋体" w:hAnsi="宋体" w:eastAsia="宋体"/>
        </w:rPr>
        <w:t>至少具有</w:t>
      </w:r>
      <w:r>
        <w:rPr>
          <w:rFonts w:ascii="宋体" w:hAnsi="宋体" w:eastAsia="宋体"/>
        </w:rPr>
        <w:t>1cm</w:t>
      </w:r>
      <w:r>
        <w:rPr>
          <w:rFonts w:ascii="宋体" w:hAnsi="宋体" w:eastAsia="宋体"/>
          <w:vertAlign w:val="superscript"/>
        </w:rPr>
        <w:t>-1</w:t>
      </w:r>
      <w:r>
        <w:rPr>
          <w:rFonts w:hint="eastAsia" w:ascii="宋体" w:hAnsi="宋体" w:eastAsia="宋体"/>
        </w:rPr>
        <w:t>的分辨率，</w:t>
      </w:r>
      <w:r>
        <w:rPr>
          <w:rFonts w:hint="eastAsia" w:ascii="宋体" w:hAnsi="宋体" w:eastAsia="宋体"/>
          <w:kern w:val="2"/>
          <w:szCs w:val="24"/>
        </w:rPr>
        <w:t>具有优于270cm</w:t>
      </w:r>
      <w:r>
        <w:rPr>
          <w:rFonts w:hint="eastAsia" w:ascii="宋体" w:hAnsi="宋体" w:eastAsia="宋体"/>
          <w:kern w:val="2"/>
          <w:szCs w:val="24"/>
          <w:vertAlign w:val="superscript"/>
        </w:rPr>
        <w:t>-1</w:t>
      </w:r>
      <w:r>
        <w:rPr>
          <w:rFonts w:hint="eastAsia" w:ascii="宋体" w:hAnsi="宋体" w:eastAsia="宋体"/>
          <w:kern w:val="2"/>
          <w:szCs w:val="24"/>
        </w:rPr>
        <w:t>至1250cm</w:t>
      </w:r>
      <w:r>
        <w:rPr>
          <w:rFonts w:hint="eastAsia" w:ascii="宋体" w:hAnsi="宋体" w:eastAsia="宋体"/>
          <w:kern w:val="2"/>
          <w:szCs w:val="24"/>
          <w:vertAlign w:val="superscript"/>
        </w:rPr>
        <w:t>-1</w:t>
      </w:r>
      <w:r>
        <w:rPr>
          <w:rFonts w:hint="eastAsia" w:ascii="宋体" w:hAnsi="宋体" w:eastAsia="宋体"/>
          <w:kern w:val="2"/>
          <w:szCs w:val="24"/>
        </w:rPr>
        <w:t>范围的光学部件和检测器，</w:t>
      </w:r>
      <w:r>
        <w:rPr>
          <w:rFonts w:hint="eastAsia" w:ascii="宋体" w:hAnsi="宋体" w:eastAsia="宋体"/>
        </w:rPr>
        <w:t>具有足够灵敏度的检测器，在要求的光谱范围提供合适的信噪比。</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千分尺，精度不低于0.01mm。</w:t>
      </w:r>
    </w:p>
    <w:p>
      <w:pPr>
        <w:pStyle w:val="34"/>
        <w:rPr>
          <w:rFonts w:ascii="宋体" w:hAnsi="宋体" w:eastAsia="宋体"/>
        </w:rPr>
      </w:pPr>
      <w:r>
        <w:rPr>
          <w:rFonts w:hint="eastAsia"/>
        </w:rPr>
        <w:t>样品</w:t>
      </w:r>
    </w:p>
    <w:p>
      <w:pPr>
        <w:pStyle w:val="33"/>
        <w:spacing w:before="0" w:beforeLines="0" w:after="0" w:afterLines="0"/>
        <w:ind w:left="0"/>
        <w:rPr>
          <w:rFonts w:ascii="宋体" w:hAnsi="宋体" w:eastAsia="宋体"/>
          <w:kern w:val="2"/>
          <w:szCs w:val="24"/>
        </w:rPr>
      </w:pPr>
      <w:bookmarkStart w:id="11" w:name="_Hlk21678638"/>
      <w:r>
        <w:rPr>
          <w:rFonts w:hint="eastAsia" w:ascii="宋体" w:hAnsi="宋体" w:eastAsia="宋体"/>
          <w:kern w:val="2"/>
          <w:szCs w:val="24"/>
        </w:rPr>
        <w:t>标准样品，准备1个或多个硅单晶样品，其杂质含量在本方法的检测范围内，作为标准样品。按本方法对其进行反复及周期性测量，对照前后结果，以保证仪器测量的准确性。</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根据样品架尺寸切割、抛光样品。样品表面可采用机械或化学抛光，样品的厚度误差应不超过1%。</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测量III、V族杂质含量，按以下厚度准备样品：</w:t>
      </w:r>
    </w:p>
    <w:p>
      <w:pPr>
        <w:pStyle w:val="54"/>
        <w:numPr>
          <w:ilvl w:val="0"/>
          <w:numId w:val="20"/>
        </w:numPr>
        <w:ind w:left="840" w:leftChars="200" w:hangingChars="200"/>
        <w:rPr>
          <w:rFonts w:hAnsi="宋体"/>
          <w:kern w:val="2"/>
          <w:szCs w:val="24"/>
        </w:rPr>
      </w:pPr>
      <w:r>
        <w:rPr>
          <w:rFonts w:hint="eastAsia" w:hAnsi="宋体"/>
          <w:kern w:val="2"/>
          <w:szCs w:val="24"/>
        </w:rPr>
        <w:t>电阻率大于2000</w:t>
      </w:r>
      <w:r>
        <w:rPr>
          <w:rFonts w:hint="eastAsia" w:hAnsi="宋体" w:cs="宋体"/>
          <w:kern w:val="2"/>
          <w:szCs w:val="24"/>
        </w:rPr>
        <w:t>Ω•cm</w:t>
      </w:r>
      <w:r>
        <w:rPr>
          <w:rFonts w:hint="eastAsia" w:hAnsi="宋体"/>
          <w:kern w:val="2"/>
          <w:szCs w:val="24"/>
        </w:rPr>
        <w:t>的高纯度样品应具有3mm～5mm厚度，以达到较低的检测限。</w:t>
      </w:r>
    </w:p>
    <w:p>
      <w:pPr>
        <w:pStyle w:val="54"/>
        <w:numPr>
          <w:ilvl w:val="0"/>
          <w:numId w:val="20"/>
        </w:numPr>
        <w:ind w:left="840" w:leftChars="200" w:hangingChars="200"/>
        <w:rPr>
          <w:rFonts w:hAnsi="宋体"/>
          <w:kern w:val="2"/>
          <w:szCs w:val="24"/>
        </w:rPr>
      </w:pPr>
      <w:r>
        <w:rPr>
          <w:rFonts w:hint="eastAsia" w:hAnsi="宋体"/>
          <w:kern w:val="2"/>
          <w:szCs w:val="24"/>
        </w:rPr>
        <w:t>5mm～20mm厚度的样品可测量</w:t>
      </w:r>
      <w:r>
        <w:rPr>
          <w:rFonts w:hint="eastAsia" w:hAnsi="宋体" w:cs="宋体"/>
          <w:szCs w:val="22"/>
        </w:rPr>
        <w:t>（以原子数计）5.0×10</w:t>
      </w:r>
      <w:r>
        <w:rPr>
          <w:rFonts w:hint="eastAsia" w:hAnsi="宋体" w:cs="宋体"/>
          <w:szCs w:val="22"/>
          <w:vertAlign w:val="superscript"/>
        </w:rPr>
        <w:t>11</w:t>
      </w:r>
      <w:r>
        <w:rPr>
          <w:rFonts w:hint="eastAsia" w:hAnsi="宋体" w:cs="宋体"/>
          <w:szCs w:val="22"/>
        </w:rPr>
        <w:t>cm</w:t>
      </w:r>
      <w:r>
        <w:rPr>
          <w:rFonts w:hint="eastAsia" w:hAnsi="宋体" w:cs="宋体"/>
          <w:szCs w:val="22"/>
          <w:vertAlign w:val="superscript"/>
        </w:rPr>
        <w:t>-3</w:t>
      </w:r>
      <w:r>
        <w:rPr>
          <w:rFonts w:hint="eastAsia" w:hAnsi="宋体"/>
          <w:kern w:val="2"/>
          <w:szCs w:val="24"/>
        </w:rPr>
        <w:t>以下的杂质含量。</w:t>
      </w:r>
    </w:p>
    <w:p>
      <w:pPr>
        <w:pStyle w:val="54"/>
        <w:numPr>
          <w:ilvl w:val="0"/>
          <w:numId w:val="20"/>
        </w:numPr>
        <w:ind w:left="840" w:leftChars="200" w:hangingChars="200"/>
        <w:rPr>
          <w:rFonts w:hAnsi="宋体"/>
          <w:kern w:val="2"/>
          <w:szCs w:val="24"/>
        </w:rPr>
      </w:pPr>
      <w:r>
        <w:rPr>
          <w:rFonts w:hint="eastAsia" w:hAnsi="宋体"/>
          <w:kern w:val="2"/>
          <w:szCs w:val="24"/>
        </w:rPr>
        <w:t>电阻率小于10</w:t>
      </w:r>
      <w:r>
        <w:rPr>
          <w:rFonts w:hint="eastAsia" w:hAnsi="宋体" w:cs="宋体"/>
          <w:kern w:val="2"/>
          <w:szCs w:val="24"/>
        </w:rPr>
        <w:t>Ω•cm</w:t>
      </w:r>
      <w:r>
        <w:rPr>
          <w:rFonts w:hint="eastAsia" w:hAnsi="宋体"/>
          <w:kern w:val="2"/>
          <w:szCs w:val="24"/>
        </w:rPr>
        <w:t>的非重掺样品厚度宜采用1mm～2mm，以获得更大的红外光透射率。</w:t>
      </w:r>
    </w:p>
    <w:bookmarkEnd w:id="11"/>
    <w:p>
      <w:pPr>
        <w:pStyle w:val="34"/>
        <w:spacing w:line="276" w:lineRule="auto"/>
      </w:pPr>
      <w:r>
        <w:rPr>
          <w:rFonts w:hint="eastAsia"/>
        </w:rPr>
        <w:t>仪器检查</w:t>
      </w:r>
    </w:p>
    <w:p>
      <w:pPr>
        <w:pStyle w:val="33"/>
        <w:ind w:left="0"/>
        <w:rPr>
          <w:rFonts w:hAnsi="黑体"/>
          <w:kern w:val="2"/>
          <w:szCs w:val="24"/>
        </w:rPr>
      </w:pPr>
      <w:r>
        <w:rPr>
          <w:rFonts w:hint="eastAsia" w:hAnsi="黑体"/>
          <w:kern w:val="2"/>
          <w:szCs w:val="24"/>
        </w:rPr>
        <w:t>傅立叶变换红外光</w:t>
      </w:r>
      <w:r>
        <w:rPr>
          <w:rFonts w:hint="eastAsia" w:hAnsi="黑体"/>
          <w:kern w:val="2"/>
        </w:rPr>
        <w:t>谱仪稳定性的检查</w:t>
      </w:r>
      <w:r>
        <w:rPr>
          <w:rFonts w:hint="eastAsia" w:hAnsi="黑体"/>
          <w:kern w:val="2"/>
          <w:szCs w:val="24"/>
        </w:rPr>
        <w:t>。</w:t>
      </w:r>
    </w:p>
    <w:p>
      <w:pPr>
        <w:pStyle w:val="54"/>
        <w:ind w:left="0"/>
        <w:rPr>
          <w:rFonts w:hAnsi="宋体"/>
          <w:kern w:val="2"/>
          <w:szCs w:val="24"/>
        </w:rPr>
      </w:pPr>
      <w:r>
        <w:rPr>
          <w:rFonts w:hint="eastAsia" w:hAnsi="宋体"/>
          <w:kern w:val="2"/>
          <w:szCs w:val="24"/>
        </w:rPr>
        <w:t>通过开启的低温样品架光通道，连续收集存储两张背景光谱。</w:t>
      </w:r>
    </w:p>
    <w:p>
      <w:pPr>
        <w:pStyle w:val="54"/>
        <w:ind w:left="0"/>
        <w:rPr>
          <w:rFonts w:hAnsi="宋体"/>
          <w:kern w:val="2"/>
          <w:szCs w:val="24"/>
        </w:rPr>
      </w:pPr>
      <w:r>
        <w:rPr>
          <w:rFonts w:hint="eastAsia" w:hAnsi="宋体"/>
          <w:kern w:val="2"/>
          <w:szCs w:val="24"/>
        </w:rPr>
        <w:t>将两张光谱相扣后得到透射光谱。</w:t>
      </w:r>
    </w:p>
    <w:p>
      <w:pPr>
        <w:pStyle w:val="54"/>
        <w:ind w:left="0"/>
        <w:rPr>
          <w:rFonts w:hAnsi="宋体"/>
          <w:kern w:val="2"/>
          <w:szCs w:val="24"/>
        </w:rPr>
      </w:pPr>
      <w:r>
        <w:rPr>
          <w:rFonts w:hint="eastAsia" w:hAnsi="宋体"/>
          <w:kern w:val="2"/>
          <w:szCs w:val="24"/>
        </w:rPr>
        <w:t>检查从1200cm</w:t>
      </w:r>
      <w:r>
        <w:rPr>
          <w:rFonts w:hint="eastAsia" w:hAnsi="宋体"/>
          <w:kern w:val="2"/>
          <w:szCs w:val="24"/>
          <w:vertAlign w:val="superscript"/>
        </w:rPr>
        <w:t>-1</w:t>
      </w:r>
      <w:r>
        <w:rPr>
          <w:rFonts w:hint="eastAsia" w:hAnsi="宋体"/>
          <w:kern w:val="2"/>
          <w:szCs w:val="24"/>
        </w:rPr>
        <w:t>至270cm</w:t>
      </w:r>
      <w:r>
        <w:rPr>
          <w:rFonts w:hint="eastAsia" w:hAnsi="宋体"/>
          <w:kern w:val="2"/>
          <w:szCs w:val="24"/>
          <w:vertAlign w:val="superscript"/>
        </w:rPr>
        <w:t>-1</w:t>
      </w:r>
      <w:r>
        <w:rPr>
          <w:rFonts w:hint="eastAsia" w:hAnsi="宋体"/>
          <w:kern w:val="2"/>
          <w:szCs w:val="24"/>
        </w:rPr>
        <w:t>的谱线，谱线透过率应在（100±0.5）%T之间，否则，必须校正仪器的稳定性。</w:t>
      </w:r>
    </w:p>
    <w:p>
      <w:pPr>
        <w:pStyle w:val="33"/>
        <w:ind w:left="0"/>
        <w:rPr>
          <w:rFonts w:hAnsi="黑体"/>
          <w:kern w:val="2"/>
          <w:szCs w:val="24"/>
        </w:rPr>
      </w:pPr>
      <w:r>
        <w:rPr>
          <w:rFonts w:hint="eastAsia" w:hAnsi="黑体"/>
          <w:kern w:val="2"/>
          <w:szCs w:val="24"/>
        </w:rPr>
        <w:t>检测器线性度的检查</w:t>
      </w:r>
    </w:p>
    <w:p>
      <w:pPr>
        <w:pStyle w:val="54"/>
        <w:ind w:left="0"/>
        <w:rPr>
          <w:rFonts w:hAnsi="宋体"/>
          <w:kern w:val="2"/>
          <w:szCs w:val="24"/>
        </w:rPr>
      </w:pPr>
      <w:r>
        <w:rPr>
          <w:rFonts w:hint="eastAsia" w:hAnsi="宋体"/>
          <w:kern w:val="2"/>
          <w:szCs w:val="24"/>
        </w:rPr>
        <w:t>用10.1.1中得到的两张单光束（未相扣的）谱图之一来检查检测器已知零响应波数位置处的非零响应值（对具有CsI窗口的Ge:Zn检测器为小于200cm</w:t>
      </w:r>
      <w:r>
        <w:rPr>
          <w:rFonts w:hint="eastAsia" w:hAnsi="宋体"/>
          <w:kern w:val="2"/>
          <w:szCs w:val="24"/>
          <w:vertAlign w:val="superscript"/>
        </w:rPr>
        <w:t>-1</w:t>
      </w:r>
      <w:r>
        <w:rPr>
          <w:rFonts w:hint="eastAsia" w:hAnsi="宋体"/>
          <w:kern w:val="2"/>
          <w:szCs w:val="24"/>
        </w:rPr>
        <w:t>）。在此区间所观察到的非零响应值不应超过在1200cm</w:t>
      </w:r>
      <w:r>
        <w:rPr>
          <w:rFonts w:hint="eastAsia" w:hAnsi="宋体"/>
          <w:kern w:val="2"/>
          <w:szCs w:val="24"/>
          <w:vertAlign w:val="superscript"/>
        </w:rPr>
        <w:t>-1</w:t>
      </w:r>
      <w:r>
        <w:rPr>
          <w:rFonts w:hint="eastAsia" w:hAnsi="宋体"/>
          <w:kern w:val="2"/>
          <w:szCs w:val="24"/>
        </w:rPr>
        <w:t>至270cm</w:t>
      </w:r>
      <w:r>
        <w:rPr>
          <w:rFonts w:hint="eastAsia" w:hAnsi="宋体"/>
          <w:kern w:val="2"/>
          <w:szCs w:val="24"/>
          <w:vertAlign w:val="superscript"/>
        </w:rPr>
        <w:t>-1</w:t>
      </w:r>
      <w:r>
        <w:rPr>
          <w:rFonts w:hint="eastAsia" w:hAnsi="宋体"/>
          <w:kern w:val="2"/>
          <w:szCs w:val="24"/>
        </w:rPr>
        <w:t>的谱线范围内最大响应值的1%。否则，必须进行校正。</w:t>
      </w:r>
    </w:p>
    <w:p>
      <w:pPr>
        <w:pStyle w:val="54"/>
        <w:ind w:left="0"/>
        <w:rPr>
          <w:rFonts w:hAnsi="宋体"/>
          <w:kern w:val="2"/>
          <w:szCs w:val="24"/>
        </w:rPr>
      </w:pPr>
      <w:r>
        <w:rPr>
          <w:rFonts w:hint="eastAsia" w:hAnsi="宋体"/>
        </w:rPr>
        <w:t>备用方法，用5mm的CaF</w:t>
      </w:r>
      <w:r>
        <w:rPr>
          <w:rFonts w:hint="eastAsia" w:hAnsi="宋体"/>
          <w:vertAlign w:val="subscript"/>
        </w:rPr>
        <w:t>2</w:t>
      </w:r>
      <w:r>
        <w:rPr>
          <w:rFonts w:hint="eastAsia" w:hAnsi="宋体"/>
        </w:rPr>
        <w:t>晶片放在红外光路中，扫描一张光谱，扣除在10.1.1中得到的两张背景光谱之一，得到透射光谱。CaF</w:t>
      </w:r>
      <w:r>
        <w:rPr>
          <w:rFonts w:hint="eastAsia" w:hAnsi="宋体"/>
          <w:vertAlign w:val="subscript"/>
        </w:rPr>
        <w:t>2</w:t>
      </w:r>
      <w:r>
        <w:rPr>
          <w:rFonts w:hint="eastAsia" w:hAnsi="宋体"/>
        </w:rPr>
        <w:t>晶片在800cm</w:t>
      </w:r>
      <w:r>
        <w:rPr>
          <w:rFonts w:hint="eastAsia" w:hAnsi="宋体"/>
          <w:vertAlign w:val="superscript"/>
        </w:rPr>
        <w:t>-1</w:t>
      </w:r>
      <w:r>
        <w:rPr>
          <w:rFonts w:hint="eastAsia" w:hAnsi="宋体"/>
        </w:rPr>
        <w:t>以下完全不透光，从800cm</w:t>
      </w:r>
      <w:r>
        <w:rPr>
          <w:rFonts w:hint="eastAsia" w:hAnsi="宋体"/>
          <w:vertAlign w:val="superscript"/>
        </w:rPr>
        <w:t>-1</w:t>
      </w:r>
      <w:r>
        <w:rPr>
          <w:rFonts w:hint="eastAsia" w:hAnsi="宋体"/>
        </w:rPr>
        <w:t>到270cm</w:t>
      </w:r>
      <w:r>
        <w:rPr>
          <w:rFonts w:hint="eastAsia" w:hAnsi="宋体"/>
          <w:vertAlign w:val="superscript"/>
        </w:rPr>
        <w:t>-1</w:t>
      </w:r>
      <w:r>
        <w:rPr>
          <w:rFonts w:hint="eastAsia" w:hAnsi="宋体"/>
        </w:rPr>
        <w:t>的光谱须满足0.0±0.5%T, 否则，必须进行校正。</w:t>
      </w:r>
    </w:p>
    <w:p>
      <w:pPr>
        <w:pStyle w:val="34"/>
        <w:rPr>
          <w:rFonts w:ascii="宋体" w:hAnsi="宋体" w:eastAsia="宋体"/>
        </w:rPr>
      </w:pPr>
      <w:r>
        <w:rPr>
          <w:rFonts w:hint="eastAsia"/>
        </w:rPr>
        <w:t>试验</w:t>
      </w:r>
      <w:r>
        <w:rPr>
          <w:rFonts w:hAnsi="黑体"/>
        </w:rPr>
        <w:t>步骤</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用千分尺测量样品厚度，精确到±0.02mm。</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将待测样品装至样品架上，但至少应保留一个空的光孔，用来采集背景光谱。</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将样品固定至低温恒温箱中，冷却至15K以下。</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设置仪器参数，使其分辩率为1.0cm</w:t>
      </w:r>
      <w:r>
        <w:rPr>
          <w:rFonts w:hint="eastAsia" w:ascii="宋体" w:hAnsi="宋体" w:eastAsia="宋体"/>
          <w:kern w:val="2"/>
          <w:szCs w:val="24"/>
          <w:vertAlign w:val="superscript"/>
        </w:rPr>
        <w:t>-1</w:t>
      </w:r>
      <w:r>
        <w:rPr>
          <w:rFonts w:hint="eastAsia" w:ascii="宋体" w:hAnsi="宋体" w:eastAsia="宋体"/>
          <w:kern w:val="2"/>
          <w:szCs w:val="24"/>
        </w:rPr>
        <w:t>或更高。</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对空的光孔采集至少200次扫描图谱，作为背景光谱。</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将样品移至测量位置。</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打开连续白炽灯源，使样品完全处于照射光束中，并相对于红外光束进行适当的调整（见图1）。</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对样品采集至少200次扫描图谱。</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进行零填充、切趾，然后将干涉图转换为光谱图并扣除背景光谱。</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转换为吸收光谱并作为样品光谱。</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存储该光谱及随后的其他光谱以作进一步的处理和计算吸收峰面积。</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对每个样品的测量都重复10.5到10.11的步骤。</w:t>
      </w:r>
    </w:p>
    <w:p>
      <w:pPr>
        <w:pStyle w:val="34"/>
      </w:pPr>
      <w:r>
        <w:rPr>
          <w:rFonts w:hint="eastAsia"/>
          <w:szCs w:val="22"/>
        </w:rPr>
        <w:t>试验数据</w:t>
      </w:r>
      <w:r>
        <w:rPr>
          <w:rFonts w:hint="eastAsia"/>
        </w:rPr>
        <w:t>处理</w:t>
      </w:r>
    </w:p>
    <w:p>
      <w:pPr>
        <w:pStyle w:val="33"/>
        <w:spacing w:before="0" w:beforeLines="0" w:after="0" w:afterLines="0"/>
        <w:ind w:left="0"/>
        <w:rPr>
          <w:rFonts w:ascii="宋体" w:hAnsi="宋体" w:eastAsia="宋体"/>
          <w:kern w:val="2"/>
          <w:szCs w:val="24"/>
        </w:rPr>
      </w:pPr>
      <w:bookmarkStart w:id="12" w:name="_Hlk42503460"/>
      <w:r>
        <w:rPr>
          <w:rFonts w:hint="eastAsia" w:ascii="宋体" w:hAnsi="宋体" w:eastAsia="宋体"/>
          <w:kern w:val="2"/>
          <w:szCs w:val="24"/>
        </w:rPr>
        <w:t>在测量杂质元素吸收峰面积前首先确定各吸收谱带的基线，处于基线以上的部分用于测量峰面积。为得到理想的基线并修正吸收谱带面积，建议采用以下方法：</w:t>
      </w:r>
    </w:p>
    <w:p>
      <w:pPr>
        <w:pStyle w:val="54"/>
        <w:numPr>
          <w:ilvl w:val="2"/>
          <w:numId w:val="21"/>
        </w:numPr>
        <w:ind w:left="454"/>
        <w:rPr>
          <w:rFonts w:hAnsi="宋体"/>
          <w:kern w:val="2"/>
          <w:szCs w:val="24"/>
        </w:rPr>
      </w:pPr>
      <w:r>
        <w:rPr>
          <w:rFonts w:hint="eastAsia" w:hAnsi="宋体"/>
          <w:kern w:val="2"/>
          <w:szCs w:val="24"/>
        </w:rPr>
        <w:t>从计算机贮存信息中读出样品的谱带，将波数进行放大，在吸收谱带需要的地方进行局部放大，直至该区域仅约为超过表l所列的基线范围。</w:t>
      </w:r>
    </w:p>
    <w:p>
      <w:pPr>
        <w:pStyle w:val="54"/>
        <w:numPr>
          <w:ilvl w:val="2"/>
          <w:numId w:val="21"/>
        </w:numPr>
        <w:ind w:left="454"/>
        <w:rPr>
          <w:rFonts w:hAnsi="宋体"/>
          <w:kern w:val="2"/>
          <w:szCs w:val="24"/>
        </w:rPr>
      </w:pPr>
      <w:r>
        <w:rPr>
          <w:rFonts w:hint="eastAsia" w:hAnsi="宋体"/>
          <w:kern w:val="2"/>
          <w:szCs w:val="24"/>
        </w:rPr>
        <w:t>运用交互式基线校正程序使谱图基线与0.0吸收谱线相交。参照表l中上下波数区域调整基线。对吸收区放大以提高对杂峰和特征吸收谱带的观测，并提供最优化的基线位置。对连接吸收峰两侧的直线进行适当的线性校正。</w:t>
      </w:r>
    </w:p>
    <w:p>
      <w:pPr>
        <w:pStyle w:val="54"/>
        <w:numPr>
          <w:ilvl w:val="2"/>
          <w:numId w:val="21"/>
        </w:numPr>
        <w:ind w:left="454"/>
        <w:rPr>
          <w:rFonts w:hAnsi="宋体"/>
          <w:kern w:val="2"/>
          <w:szCs w:val="24"/>
        </w:rPr>
      </w:pPr>
      <w:r>
        <w:rPr>
          <w:rFonts w:hint="eastAsia" w:hAnsi="宋体"/>
          <w:kern w:val="2"/>
          <w:szCs w:val="24"/>
        </w:rPr>
        <w:t>由于B和P的峰十分接近，因此只能用同一条基线。图2和图3分别列出了对B、P吸收谱带的吸收特征区作基线校正前后的谱图。</w:t>
      </w:r>
    </w:p>
    <w:p>
      <w:pPr>
        <w:spacing w:line="360" w:lineRule="auto"/>
        <w:ind w:left="-105" w:leftChars="-50"/>
        <w:jc w:val="center"/>
        <w:rPr>
          <w:rFonts w:ascii="黑体" w:hAnsi="黑体" w:eastAsia="黑体"/>
          <w:kern w:val="0"/>
          <w:szCs w:val="20"/>
        </w:rPr>
      </w:pPr>
      <w:r>
        <w:rPr>
          <w:rFonts w:hint="eastAsia" w:ascii="黑体" w:hAnsi="黑体" w:eastAsia="黑体"/>
          <w:kern w:val="0"/>
          <w:szCs w:val="20"/>
        </w:rPr>
        <w:t>表1  峰位置、基线和积分范围及校准因子</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341"/>
        <w:gridCol w:w="1348"/>
        <w:gridCol w:w="1348"/>
        <w:gridCol w:w="1348"/>
        <w:gridCol w:w="134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1" w:type="pct"/>
            <w:vMerge w:val="restart"/>
            <w:vAlign w:val="center"/>
          </w:tcPr>
          <w:p>
            <w:pPr>
              <w:ind w:left="-105" w:leftChars="-50"/>
              <w:jc w:val="center"/>
              <w:rPr>
                <w:rFonts w:ascii="宋体" w:hAnsi="宋体"/>
                <w:sz w:val="18"/>
                <w:szCs w:val="18"/>
              </w:rPr>
            </w:pPr>
            <w:r>
              <w:rPr>
                <w:rFonts w:hint="eastAsia" w:ascii="宋体" w:hAnsi="宋体"/>
                <w:sz w:val="18"/>
                <w:szCs w:val="18"/>
              </w:rPr>
              <w:t>元素</w:t>
            </w:r>
          </w:p>
        </w:tc>
        <w:tc>
          <w:tcPr>
            <w:tcW w:w="701" w:type="pct"/>
            <w:vMerge w:val="restart"/>
            <w:vAlign w:val="center"/>
          </w:tcPr>
          <w:p>
            <w:pPr>
              <w:ind w:left="61" w:leftChars="29"/>
              <w:jc w:val="center"/>
              <w:rPr>
                <w:rFonts w:ascii="宋体" w:hAnsi="宋体"/>
                <w:sz w:val="18"/>
                <w:szCs w:val="18"/>
              </w:rPr>
            </w:pPr>
            <w:r>
              <w:rPr>
                <w:rFonts w:hint="eastAsia" w:ascii="宋体" w:hAnsi="宋体"/>
                <w:sz w:val="18"/>
                <w:szCs w:val="18"/>
              </w:rPr>
              <w:t>峰</w:t>
            </w:r>
          </w:p>
          <w:p>
            <w:pPr>
              <w:ind w:left="61" w:leftChars="29"/>
              <w:jc w:val="center"/>
              <w:rPr>
                <w:rFonts w:ascii="宋体" w:hAnsi="宋体"/>
                <w:sz w:val="18"/>
                <w:szCs w:val="18"/>
              </w:rPr>
            </w:pPr>
            <w:r>
              <w:rPr>
                <w:rFonts w:hint="eastAsia" w:ascii="宋体" w:hAnsi="宋体"/>
                <w:sz w:val="18"/>
                <w:szCs w:val="18"/>
              </w:rPr>
              <w:t>cm</w:t>
            </w:r>
            <w:r>
              <w:rPr>
                <w:rFonts w:hint="eastAsia" w:ascii="宋体" w:hAnsi="宋体"/>
                <w:sz w:val="18"/>
                <w:szCs w:val="18"/>
                <w:vertAlign w:val="superscript"/>
              </w:rPr>
              <w:t>-1</w:t>
            </w:r>
          </w:p>
        </w:tc>
        <w:tc>
          <w:tcPr>
            <w:tcW w:w="1408" w:type="pct"/>
            <w:gridSpan w:val="2"/>
            <w:vAlign w:val="center"/>
          </w:tcPr>
          <w:p>
            <w:pPr>
              <w:spacing w:line="240" w:lineRule="exact"/>
              <w:ind w:left="271" w:leftChars="129"/>
              <w:jc w:val="center"/>
              <w:rPr>
                <w:rFonts w:ascii="宋体" w:hAnsi="宋体"/>
                <w:sz w:val="18"/>
                <w:szCs w:val="18"/>
              </w:rPr>
            </w:pPr>
            <w:r>
              <w:rPr>
                <w:rFonts w:hint="eastAsia" w:ascii="宋体" w:hAnsi="宋体"/>
                <w:sz w:val="18"/>
                <w:szCs w:val="18"/>
              </w:rPr>
              <w:t>基线范围</w:t>
            </w:r>
          </w:p>
          <w:p>
            <w:pPr>
              <w:spacing w:line="240" w:lineRule="exact"/>
              <w:ind w:left="271" w:leftChars="129"/>
              <w:jc w:val="center"/>
              <w:rPr>
                <w:rFonts w:ascii="宋体" w:hAnsi="宋体"/>
                <w:sz w:val="18"/>
                <w:szCs w:val="18"/>
              </w:rPr>
            </w:pPr>
            <w:r>
              <w:rPr>
                <w:rFonts w:hint="eastAsia" w:ascii="宋体" w:hAnsi="宋体"/>
                <w:sz w:val="18"/>
                <w:szCs w:val="18"/>
              </w:rPr>
              <w:t>cm</w:t>
            </w:r>
            <w:r>
              <w:rPr>
                <w:rFonts w:hint="eastAsia" w:ascii="宋体" w:hAnsi="宋体"/>
                <w:sz w:val="18"/>
                <w:szCs w:val="18"/>
                <w:vertAlign w:val="superscript"/>
              </w:rPr>
              <w:t>-1</w:t>
            </w:r>
          </w:p>
        </w:tc>
        <w:tc>
          <w:tcPr>
            <w:tcW w:w="1408" w:type="pct"/>
            <w:gridSpan w:val="2"/>
            <w:vAlign w:val="center"/>
          </w:tcPr>
          <w:p>
            <w:pPr>
              <w:spacing w:line="240" w:lineRule="exact"/>
              <w:ind w:left="210" w:leftChars="100"/>
              <w:jc w:val="center"/>
              <w:rPr>
                <w:rFonts w:ascii="宋体" w:hAnsi="宋体"/>
                <w:sz w:val="18"/>
                <w:szCs w:val="18"/>
              </w:rPr>
            </w:pPr>
            <w:r>
              <w:rPr>
                <w:rFonts w:hint="eastAsia" w:ascii="宋体" w:hAnsi="宋体"/>
                <w:sz w:val="18"/>
                <w:szCs w:val="18"/>
              </w:rPr>
              <w:t>积分范围</w:t>
            </w:r>
          </w:p>
          <w:p>
            <w:pPr>
              <w:spacing w:line="240" w:lineRule="exact"/>
              <w:ind w:left="210" w:leftChars="100"/>
              <w:jc w:val="center"/>
              <w:rPr>
                <w:rFonts w:ascii="宋体" w:hAnsi="宋体"/>
                <w:sz w:val="18"/>
                <w:szCs w:val="18"/>
              </w:rPr>
            </w:pPr>
            <w:r>
              <w:rPr>
                <w:rFonts w:hint="eastAsia" w:ascii="宋体" w:hAnsi="宋体"/>
                <w:sz w:val="18"/>
                <w:szCs w:val="18"/>
              </w:rPr>
              <w:t>cm</w:t>
            </w:r>
            <w:r>
              <w:rPr>
                <w:rFonts w:hint="eastAsia" w:ascii="宋体" w:hAnsi="宋体"/>
                <w:sz w:val="18"/>
                <w:szCs w:val="18"/>
                <w:vertAlign w:val="superscript"/>
              </w:rPr>
              <w:t>-1</w:t>
            </w:r>
          </w:p>
        </w:tc>
        <w:tc>
          <w:tcPr>
            <w:tcW w:w="779" w:type="pct"/>
            <w:vMerge w:val="restart"/>
            <w:vAlign w:val="center"/>
          </w:tcPr>
          <w:p>
            <w:pPr>
              <w:jc w:val="center"/>
              <w:rPr>
                <w:rFonts w:ascii="宋体" w:hAnsi="宋体"/>
                <w:sz w:val="18"/>
                <w:szCs w:val="18"/>
              </w:rPr>
            </w:pPr>
            <w:r>
              <w:rPr>
                <w:rFonts w:hint="eastAsia" w:ascii="宋体" w:hAnsi="宋体"/>
                <w:sz w:val="18"/>
                <w:szCs w:val="18"/>
              </w:rPr>
              <w:t>校准因子</w:t>
            </w:r>
          </w:p>
          <w:p>
            <w:pPr>
              <w:jc w:val="center"/>
              <w:rPr>
                <w:rFonts w:ascii="宋体" w:hAnsi="宋体"/>
                <w:sz w:val="18"/>
                <w:szCs w:val="18"/>
              </w:rPr>
            </w:pPr>
            <w:r>
              <w:rPr>
                <w:rFonts w:hint="eastAsia" w:ascii="宋体" w:hAnsi="宋体"/>
                <w:sz w:val="18"/>
                <w:szCs w:val="18"/>
              </w:rPr>
              <w:t>f（mm-cm）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1" w:type="pct"/>
            <w:vMerge w:val="continue"/>
            <w:vAlign w:val="center"/>
          </w:tcPr>
          <w:p>
            <w:pPr>
              <w:spacing w:line="360" w:lineRule="auto"/>
              <w:ind w:left="-105" w:leftChars="-50"/>
              <w:rPr>
                <w:rFonts w:ascii="宋体" w:hAnsi="宋体"/>
                <w:sz w:val="18"/>
                <w:szCs w:val="18"/>
              </w:rPr>
            </w:pPr>
          </w:p>
        </w:tc>
        <w:tc>
          <w:tcPr>
            <w:tcW w:w="701" w:type="pct"/>
            <w:vMerge w:val="continue"/>
            <w:vAlign w:val="center"/>
          </w:tcPr>
          <w:p>
            <w:pPr>
              <w:spacing w:line="360" w:lineRule="auto"/>
              <w:ind w:left="-105" w:leftChars="-50"/>
              <w:jc w:val="center"/>
              <w:rPr>
                <w:rFonts w:ascii="宋体" w:hAnsi="宋体"/>
                <w:sz w:val="18"/>
                <w:szCs w:val="18"/>
              </w:rPr>
            </w:pPr>
          </w:p>
        </w:tc>
        <w:tc>
          <w:tcPr>
            <w:tcW w:w="704" w:type="pct"/>
            <w:vAlign w:val="center"/>
          </w:tcPr>
          <w:p>
            <w:pPr>
              <w:spacing w:line="360" w:lineRule="auto"/>
              <w:ind w:left="-105" w:leftChars="-50"/>
              <w:jc w:val="center"/>
              <w:rPr>
                <w:rFonts w:ascii="宋体" w:hAnsi="宋体"/>
                <w:sz w:val="18"/>
                <w:szCs w:val="18"/>
              </w:rPr>
            </w:pPr>
            <w:r>
              <w:rPr>
                <w:rFonts w:hint="eastAsia" w:ascii="宋体" w:hAnsi="宋体"/>
                <w:sz w:val="18"/>
                <w:szCs w:val="18"/>
              </w:rPr>
              <w:t>上限</w:t>
            </w:r>
          </w:p>
        </w:tc>
        <w:tc>
          <w:tcPr>
            <w:tcW w:w="704" w:type="pct"/>
            <w:vAlign w:val="center"/>
          </w:tcPr>
          <w:p>
            <w:pPr>
              <w:spacing w:line="360" w:lineRule="auto"/>
              <w:ind w:left="-105" w:leftChars="-50"/>
              <w:jc w:val="center"/>
              <w:rPr>
                <w:rFonts w:ascii="宋体" w:hAnsi="宋体"/>
                <w:sz w:val="18"/>
                <w:szCs w:val="18"/>
              </w:rPr>
            </w:pPr>
            <w:r>
              <w:rPr>
                <w:rFonts w:hint="eastAsia" w:ascii="宋体" w:hAnsi="宋体"/>
                <w:sz w:val="18"/>
                <w:szCs w:val="18"/>
              </w:rPr>
              <w:t>下限</w:t>
            </w:r>
          </w:p>
        </w:tc>
        <w:tc>
          <w:tcPr>
            <w:tcW w:w="704" w:type="pct"/>
            <w:vAlign w:val="center"/>
          </w:tcPr>
          <w:p>
            <w:pPr>
              <w:spacing w:line="360" w:lineRule="auto"/>
              <w:ind w:left="-105" w:leftChars="-50"/>
              <w:jc w:val="center"/>
              <w:rPr>
                <w:rFonts w:ascii="宋体" w:hAnsi="宋体"/>
                <w:sz w:val="18"/>
                <w:szCs w:val="18"/>
              </w:rPr>
            </w:pPr>
            <w:r>
              <w:rPr>
                <w:rFonts w:hint="eastAsia" w:ascii="宋体" w:hAnsi="宋体"/>
                <w:sz w:val="18"/>
                <w:szCs w:val="18"/>
              </w:rPr>
              <w:t>上限</w:t>
            </w:r>
          </w:p>
        </w:tc>
        <w:tc>
          <w:tcPr>
            <w:tcW w:w="704" w:type="pct"/>
            <w:vAlign w:val="center"/>
          </w:tcPr>
          <w:p>
            <w:pPr>
              <w:spacing w:line="360" w:lineRule="auto"/>
              <w:ind w:left="-105" w:leftChars="-50"/>
              <w:jc w:val="center"/>
              <w:rPr>
                <w:rFonts w:ascii="宋体" w:hAnsi="宋体"/>
                <w:sz w:val="18"/>
                <w:szCs w:val="18"/>
              </w:rPr>
            </w:pPr>
            <w:r>
              <w:rPr>
                <w:rFonts w:hint="eastAsia" w:ascii="宋体" w:hAnsi="宋体"/>
                <w:sz w:val="18"/>
                <w:szCs w:val="18"/>
              </w:rPr>
              <w:t>下限</w:t>
            </w:r>
          </w:p>
        </w:tc>
        <w:tc>
          <w:tcPr>
            <w:tcW w:w="779" w:type="pct"/>
            <w:vMerge w:val="continue"/>
            <w:vAlign w:val="center"/>
          </w:tcPr>
          <w:p>
            <w:pPr>
              <w:spacing w:line="360" w:lineRule="auto"/>
              <w:ind w:left="-105" w:leftChars="-5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铝（Al）</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473.2</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479</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467</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475.2</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471.2</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锑（Sb）</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293.6</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296</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289</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295.1</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292.1</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砷（As）</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382.0</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385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379</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383.5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380.5</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硼（B）</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319.6</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323</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313</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321.5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318.0</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镓（Ga）</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548.0</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552</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544</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549.5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546.5</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铟（In）</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1175.9</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1181</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1169</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1177.4</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1174.4</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61" w:leftChars="29"/>
              <w:jc w:val="left"/>
              <w:rPr>
                <w:rFonts w:ascii="宋体" w:hAnsi="宋体"/>
                <w:kern w:val="0"/>
                <w:sz w:val="18"/>
                <w:szCs w:val="18"/>
              </w:rPr>
            </w:pPr>
            <w:r>
              <w:rPr>
                <w:rFonts w:hint="eastAsia" w:ascii="宋体" w:hAnsi="宋体"/>
                <w:kern w:val="0"/>
                <w:sz w:val="18"/>
                <w:szCs w:val="18"/>
              </w:rPr>
              <w:t>磷（P）</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316.0</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323</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313</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317.5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314.5</w:t>
            </w:r>
          </w:p>
        </w:tc>
        <w:tc>
          <w:tcPr>
            <w:tcW w:w="779" w:type="pct"/>
          </w:tcPr>
          <w:p>
            <w:pPr>
              <w:spacing w:line="360" w:lineRule="auto"/>
              <w:jc w:val="center"/>
              <w:rPr>
                <w:rFonts w:ascii="宋体" w:hAnsi="宋体"/>
                <w:kern w:val="0"/>
                <w:sz w:val="18"/>
                <w:szCs w:val="18"/>
              </w:rPr>
            </w:pPr>
            <w:r>
              <w:rPr>
                <w:rFonts w:hint="eastAsia" w:ascii="宋体" w:hAnsi="宋体"/>
                <w:kern w:val="0"/>
                <w:sz w:val="18"/>
                <w:szCs w:val="18"/>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701" w:type="pct"/>
          </w:tcPr>
          <w:p>
            <w:pPr>
              <w:spacing w:line="360" w:lineRule="auto"/>
              <w:ind w:left="-105" w:leftChars="-50" w:firstLine="180" w:firstLineChars="100"/>
              <w:rPr>
                <w:rFonts w:ascii="宋体" w:hAnsi="宋体"/>
                <w:kern w:val="0"/>
                <w:sz w:val="18"/>
                <w:szCs w:val="18"/>
              </w:rPr>
            </w:pPr>
            <w:r>
              <w:rPr>
                <w:rFonts w:hint="eastAsia" w:ascii="宋体" w:hAnsi="宋体"/>
                <w:kern w:val="0"/>
                <w:sz w:val="18"/>
                <w:szCs w:val="18"/>
              </w:rPr>
              <w:t>磷（P）</w:t>
            </w:r>
          </w:p>
        </w:tc>
        <w:tc>
          <w:tcPr>
            <w:tcW w:w="701" w:type="pct"/>
          </w:tcPr>
          <w:p>
            <w:pPr>
              <w:spacing w:line="360" w:lineRule="auto"/>
              <w:jc w:val="center"/>
              <w:rPr>
                <w:rFonts w:ascii="宋体" w:hAnsi="宋体"/>
                <w:kern w:val="0"/>
                <w:sz w:val="18"/>
                <w:szCs w:val="18"/>
              </w:rPr>
            </w:pPr>
            <w:r>
              <w:rPr>
                <w:rFonts w:hint="eastAsia" w:ascii="宋体" w:hAnsi="宋体"/>
                <w:kern w:val="0"/>
                <w:sz w:val="18"/>
                <w:szCs w:val="18"/>
              </w:rPr>
              <w:t>275.0</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295</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252</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292.3</w:t>
            </w:r>
          </w:p>
        </w:tc>
        <w:tc>
          <w:tcPr>
            <w:tcW w:w="704" w:type="pct"/>
          </w:tcPr>
          <w:p>
            <w:pPr>
              <w:spacing w:line="360" w:lineRule="auto"/>
              <w:jc w:val="center"/>
              <w:rPr>
                <w:rFonts w:ascii="宋体" w:hAnsi="宋体"/>
                <w:kern w:val="0"/>
                <w:sz w:val="18"/>
                <w:szCs w:val="18"/>
              </w:rPr>
            </w:pPr>
            <w:r>
              <w:rPr>
                <w:rFonts w:hint="eastAsia" w:ascii="宋体" w:hAnsi="宋体"/>
                <w:kern w:val="0"/>
                <w:sz w:val="18"/>
                <w:szCs w:val="18"/>
              </w:rPr>
              <w:t>265.6</w:t>
            </w:r>
          </w:p>
        </w:tc>
        <w:tc>
          <w:tcPr>
            <w:tcW w:w="779" w:type="pct"/>
            <w:vAlign w:val="bottom"/>
          </w:tcPr>
          <w:p>
            <w:pPr>
              <w:widowControl/>
              <w:jc w:val="center"/>
              <w:textAlignment w:val="center"/>
              <w:rPr>
                <w:rFonts w:ascii="宋体" w:hAnsi="宋体" w:cs="宋体"/>
                <w:sz w:val="18"/>
                <w:szCs w:val="18"/>
              </w:rPr>
            </w:pPr>
            <w:r>
              <w:rPr>
                <w:rFonts w:hint="eastAsia" w:ascii="宋体" w:hAnsi="宋体"/>
                <w:kern w:val="0"/>
                <w:sz w:val="18"/>
                <w:szCs w:val="18"/>
              </w:rPr>
              <w:t>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5000" w:type="pct"/>
            <w:gridSpan w:val="7"/>
            <w:vAlign w:val="center"/>
          </w:tcPr>
          <w:p>
            <w:pPr>
              <w:pStyle w:val="33"/>
              <w:numPr>
                <w:ilvl w:val="0"/>
                <w:numId w:val="0"/>
              </w:numPr>
              <w:spacing w:before="0" w:beforeLines="0" w:after="0" w:afterLines="0"/>
              <w:ind w:left="780" w:leftChars="200" w:hanging="360" w:hangingChars="200"/>
              <w:rPr>
                <w:rFonts w:ascii="宋体" w:hAnsi="宋体"/>
                <w:sz w:val="18"/>
                <w:szCs w:val="18"/>
              </w:rPr>
            </w:pPr>
            <w:r>
              <w:rPr>
                <w:rFonts w:hint="eastAsia" w:hAnsi="黑体"/>
                <w:sz w:val="18"/>
                <w:szCs w:val="18"/>
              </w:rPr>
              <w:t>注</w:t>
            </w:r>
            <w:r>
              <w:rPr>
                <w:rFonts w:hint="eastAsia" w:ascii="宋体" w:hAnsi="宋体" w:eastAsia="宋体"/>
                <w:sz w:val="18"/>
                <w:szCs w:val="18"/>
              </w:rPr>
              <w:t>：这里给出的因子并非都具有相同的确定度。除硼、磷及砷外的的其他因子可作为近似值，仅用于估算。</w:t>
            </w:r>
          </w:p>
        </w:tc>
      </w:tr>
    </w:tbl>
    <w:p>
      <w:pPr>
        <w:pStyle w:val="54"/>
        <w:numPr>
          <w:ilvl w:val="2"/>
          <w:numId w:val="0"/>
        </w:numPr>
        <w:rPr>
          <w:rFonts w:hAnsi="宋体"/>
          <w:kern w:val="2"/>
          <w:szCs w:val="24"/>
        </w:rPr>
      </w:pP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根据表1提供的积分范围，计算位于上下波数区域的吸收峰面积。</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对被测样品中每个要计算的元素重复11.1和11.2的操作。</w:t>
      </w:r>
    </w:p>
    <w:p>
      <w:pPr>
        <w:pStyle w:val="33"/>
        <w:spacing w:before="0" w:beforeLines="0" w:after="0" w:afterLines="0"/>
        <w:ind w:left="0"/>
        <w:rPr>
          <w:rFonts w:ascii="宋体" w:hAnsi="宋体" w:eastAsia="宋体"/>
          <w:kern w:val="2"/>
          <w:szCs w:val="24"/>
        </w:rPr>
      </w:pPr>
      <w:r>
        <w:rPr>
          <w:rFonts w:hint="eastAsia" w:ascii="宋体" w:hAnsi="宋体" w:eastAsia="宋体"/>
          <w:kern w:val="2"/>
          <w:szCs w:val="24"/>
        </w:rPr>
        <w:t>按以下公式计算被测样品中各III、V族杂质的浓度：</w:t>
      </w:r>
    </w:p>
    <w:p>
      <w:pPr>
        <w:spacing w:line="360" w:lineRule="auto"/>
        <w:ind w:left="375" w:leftChars="-50" w:hanging="480" w:hangingChars="200"/>
        <w:jc w:val="right"/>
        <w:rPr>
          <w:rFonts w:ascii="宋体" w:hAnsi="宋体"/>
          <w:sz w:val="24"/>
        </w:rPr>
      </w:pPr>
      <w:r>
        <w:rPr>
          <w:rFonts w:ascii="宋体" w:hAnsi="宋体"/>
          <w:position w:val="-32"/>
          <w:sz w:val="24"/>
        </w:rPr>
        <w:object>
          <v:shape id="_x0000_i1025" o:spt="75" type="#_x0000_t75" style="height:36.75pt;width:104.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6" r:id="rId12">
            <o:LockedField>false</o:LockedField>
          </o:OLEObject>
        </w:object>
      </w:r>
      <w:r>
        <w:rPr>
          <w:rFonts w:ascii="宋体" w:hAnsi="宋体"/>
          <w:sz w:val="24"/>
          <w:vertAlign w:val="subscript"/>
        </w:rPr>
        <w:t xml:space="preserve"> </w:t>
      </w:r>
      <w:r>
        <w:rPr>
          <w:rFonts w:hint="eastAsia" w:ascii="宋体" w:hAnsi="宋体"/>
          <w:sz w:val="24"/>
          <w:vertAlign w:val="subscript"/>
        </w:rPr>
        <w:t xml:space="preserve">  </w:t>
      </w:r>
      <w:r>
        <w:fldChar w:fldCharType="begin"/>
      </w:r>
      <w:r>
        <w:instrText xml:space="preserve"> QUOTE </w:instrText>
      </w:r>
      <w:r>
        <w:rPr>
          <w:position w:val="-20"/>
        </w:rPr>
        <w:pict>
          <v:shape id="_x0000_i1026" o:spt="75" type="#_x0000_t75" style="height:31.5pt;width:49.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removePersonalInformation/&gt;&lt;w:doNotEmbedSystemFonts/&gt;&lt;w:mirrorMargin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46A5C&quot;/&gt;&lt;wsp:rsid wsp:val=&quot;00000244&quot;/&gt;&lt;wsp:rsid wsp:val=&quot;00000B8B&quot;/&gt;&lt;wsp:rsid wsp:val=&quot;00000EAC&quot;/&gt;&lt;wsp:rsid wsp:val=&quot;0000185F&quot;/&gt;&lt;wsp:rsid wsp:val=&quot;00003B6B&quot;/&gt;&lt;wsp:rsid wsp:val=&quot;0000586F&quot;/&gt;&lt;wsp:rsid wsp:val=&quot;000068F2&quot;/&gt;&lt;wsp:rsid wsp:val=&quot;000102CA&quot;/&gt;&lt;wsp:rsid wsp:val=&quot;00011623&quot;/&gt;&lt;wsp:rsid wsp:val=&quot;000131C2&quot;/&gt;&lt;wsp:rsid wsp:val=&quot;00013D86&quot;/&gt;&lt;wsp:rsid wsp:val=&quot;00013E02&quot;/&gt;&lt;wsp:rsid wsp:val=&quot;0001441A&quot;/&gt;&lt;wsp:rsid wsp:val=&quot;00014F9C&quot;/&gt;&lt;wsp:rsid wsp:val=&quot;000156D5&quot;/&gt;&lt;wsp:rsid wsp:val=&quot;00017539&quot;/&gt;&lt;wsp:rsid wsp:val=&quot;0002143C&quot;/&gt;&lt;wsp:rsid wsp:val=&quot;000220B5&quot;/&gt;&lt;wsp:rsid wsp:val=&quot;0002238F&quot;/&gt;&lt;wsp:rsid wsp:val=&quot;00025A65&quot;/&gt;&lt;wsp:rsid wsp:val=&quot;00025CA0&quot;/&gt;&lt;wsp:rsid wsp:val=&quot;00026C31&quot;/&gt;&lt;wsp:rsid wsp:val=&quot;00027280&quot;/&gt;&lt;wsp:rsid wsp:val=&quot;00030087&quot;/&gt;&lt;wsp:rsid wsp:val=&quot;000301D6&quot;/&gt;&lt;wsp:rsid wsp:val=&quot;000320A7&quot;/&gt;&lt;wsp:rsid wsp:val=&quot;00035925&quot;/&gt;&lt;wsp:rsid wsp:val=&quot;00045CFE&quot;/&gt;&lt;wsp:rsid wsp:val=&quot;000555F3&quot;/&gt;&lt;wsp:rsid wsp:val=&quot;00060775&quot;/&gt;&lt;wsp:rsid wsp:val=&quot;00060BD3&quot;/&gt;&lt;wsp:rsid wsp:val=&quot;000666B5&quot;/&gt;&lt;wsp:rsid wsp:val=&quot;00066E98&quot;/&gt;&lt;wsp:rsid wsp:val=&quot;000678A7&quot;/&gt;&lt;wsp:rsid wsp:val=&quot;00067CB4&quot;/&gt;&lt;wsp:rsid wsp:val=&quot;00067CDF&quot;/&gt;&lt;wsp:rsid wsp:val=&quot;000727D3&quot;/&gt;&lt;wsp:rsid wsp:val=&quot;00074EF2&quot;/&gt;&lt;wsp:rsid wsp:val=&quot;00074FBE&quot;/&gt;&lt;wsp:rsid wsp:val=&quot;00077AE6&quot;/&gt;&lt;wsp:rsid wsp:val=&quot;00077D62&quot;/&gt;&lt;wsp:rsid wsp:val=&quot;00080D7A&quot;/&gt;&lt;wsp:rsid wsp:val=&quot;00083A09&quot;/&gt;&lt;wsp:rsid wsp:val=&quot;00084700&quot;/&gt;&lt;wsp:rsid wsp:val=&quot;00084D9D&quot;/&gt;&lt;wsp:rsid wsp:val=&quot;00084E9A&quot;/&gt;&lt;wsp:rsid wsp:val=&quot;000876F7&quot;/&gt;&lt;wsp:rsid wsp:val=&quot;0009005E&quot;/&gt;&lt;wsp:rsid wsp:val=&quot;00091FEA&quot;/&gt;&lt;wsp:rsid wsp:val=&quot;00092857&quot;/&gt;&lt;wsp:rsid wsp:val=&quot;000928BE&quot;/&gt;&lt;wsp:rsid wsp:val=&quot;00093EFB&quot;/&gt;&lt;wsp:rsid wsp:val=&quot;0009420C&quot;/&gt;&lt;wsp:rsid wsp:val=&quot;0009422F&quot;/&gt;&lt;wsp:rsid wsp:val=&quot;00097AFD&quot;/&gt;&lt;wsp:rsid wsp:val=&quot;00097F2E&quot;/&gt;&lt;wsp:rsid wsp:val=&quot;000A0724&quot;/&gt;&lt;wsp:rsid wsp:val=&quot;000A20A9&quot;/&gt;&lt;wsp:rsid wsp:val=&quot;000A48B1&quot;/&gt;&lt;wsp:rsid wsp:val=&quot;000A5683&quot;/&gt;&lt;wsp:rsid wsp:val=&quot;000A5721&quot;/&gt;&lt;wsp:rsid wsp:val=&quot;000B3143&quot;/&gt;&lt;wsp:rsid wsp:val=&quot;000B4953&quot;/&gt;&lt;wsp:rsid wsp:val=&quot;000C0174&quot;/&gt;&lt;wsp:rsid wsp:val=&quot;000C48DB&quot;/&gt;&lt;wsp:rsid wsp:val=&quot;000C4D9C&quot;/&gt;&lt;wsp:rsid wsp:val=&quot;000C6B05&quot;/&gt;&lt;wsp:rsid wsp:val=&quot;000C6DD6&quot;/&gt;&lt;wsp:rsid wsp:val=&quot;000C73C9&quot;/&gt;&lt;wsp:rsid wsp:val=&quot;000C73D4&quot;/&gt;&lt;wsp:rsid wsp:val=&quot;000D107F&quot;/&gt;&lt;wsp:rsid wsp:val=&quot;000D23B8&quot;/&gt;&lt;wsp:rsid wsp:val=&quot;000D261D&quot;/&gt;&lt;wsp:rsid wsp:val=&quot;000D3D4C&quot;/&gt;&lt;wsp:rsid wsp:val=&quot;000D4F51&quot;/&gt;&lt;wsp:rsid wsp:val=&quot;000D57AD&quot;/&gt;&lt;wsp:rsid wsp:val=&quot;000D5B52&quot;/&gt;&lt;wsp:rsid wsp:val=&quot;000D718B&quot;/&gt;&lt;wsp:rsid wsp:val=&quot;000E0C46&quot;/&gt;&lt;wsp:rsid wsp:val=&quot;000E5E14&quot;/&gt;&lt;wsp:rsid wsp:val=&quot;000E6C33&quot;/&gt;&lt;wsp:rsid wsp:val=&quot;000F030C&quot;/&gt;&lt;wsp:rsid wsp:val=&quot;000F04FF&quot;/&gt;&lt;wsp:rsid wsp:val=&quot;000F129C&quot;/&gt;&lt;wsp:rsid wsp:val=&quot;000F33E1&quot;/&gt;&lt;wsp:rsid wsp:val=&quot;000F7571&quot;/&gt;&lt;wsp:rsid wsp:val=&quot;000F7927&quot;/&gt;&lt;wsp:rsid wsp:val=&quot;00100ABF&quot;/&gt;&lt;wsp:rsid wsp:val=&quot;001056DE&quot;/&gt;&lt;wsp:rsid wsp:val=&quot;00110B26&quot;/&gt;&lt;wsp:rsid wsp:val=&quot;001124C0&quot;/&gt;&lt;wsp:rsid wsp:val=&quot;001143E8&quot;/&gt;&lt;wsp:rsid wsp:val=&quot;00124E20&quot;/&gt;&lt;wsp:rsid wsp:val=&quot;001250EF&quot;/&gt;&lt;wsp:rsid wsp:val=&quot;001255AA&quot;/&gt;&lt;wsp:rsid wsp:val=&quot;001279CC&quot;/&gt;&lt;wsp:rsid wsp:val=&quot;0013175F&quot;/&gt;&lt;wsp:rsid wsp:val=&quot;0013218F&quot;/&gt;&lt;wsp:rsid wsp:val=&quot;00133BDA&quot;/&gt;&lt;wsp:rsid wsp:val=&quot;001454C3&quot;/&gt;&lt;wsp:rsid wsp:val=&quot;001467C0&quot;/&gt;&lt;wsp:rsid wsp:val=&quot;00146A5C&quot;/&gt;&lt;wsp:rsid wsp:val=&quot;001507E3&quot;/&gt;&lt;wsp:rsid wsp:val=&quot;00150F43&quot;/&gt;&lt;wsp:rsid wsp:val=&quot;001512B4&quot;/&gt;&lt;wsp:rsid wsp:val=&quot;00155B19&quot;/&gt;&lt;wsp:rsid wsp:val=&quot;0015615F&quot;/&gt;&lt;wsp:rsid wsp:val=&quot;00160E72&quot;/&gt;&lt;wsp:rsid wsp:val=&quot;001620A5&quot;/&gt;&lt;wsp:rsid wsp:val=&quot;0016231B&quot;/&gt;&lt;wsp:rsid wsp:val=&quot;00162A55&quot;/&gt;&lt;wsp:rsid wsp:val=&quot;00164E53&quot;/&gt;&lt;wsp:rsid wsp:val=&quot;0016699D&quot;/&gt;&lt;wsp:rsid wsp:val=&quot;00172711&quot;/&gt;&lt;wsp:rsid wsp:val=&quot;00174B56&quot;/&gt;&lt;wsp:rsid wsp:val=&quot;00175159&quot;/&gt;&lt;wsp:rsid wsp:val=&quot;00176208&quot;/&gt;&lt;wsp:rsid wsp:val=&quot;0018211B&quot;/&gt;&lt;wsp:rsid wsp:val=&quot;001840D3&quot;/&gt;&lt;wsp:rsid wsp:val=&quot;001841A4&quot;/&gt;&lt;wsp:rsid wsp:val=&quot;001866DC&quot;/&gt;&lt;wsp:rsid wsp:val=&quot;001900F8&quot;/&gt;&lt;wsp:rsid wsp:val=&quot;001909B1&quot;/&gt;&lt;wsp:rsid wsp:val=&quot;00191258&quot;/&gt;&lt;wsp:rsid wsp:val=&quot;00191B0F&quot;/&gt;&lt;wsp:rsid wsp:val=&quot;00192680&quot;/&gt;&lt;wsp:rsid wsp:val=&quot;00193037&quot;/&gt;&lt;wsp:rsid wsp:val=&quot;00193303&quot;/&gt;&lt;wsp:rsid wsp:val=&quot;00193A2C&quot;/&gt;&lt;wsp:rsid wsp:val=&quot;00196982&quot;/&gt;&lt;wsp:rsid wsp:val=&quot;001A1833&quot;/&gt;&lt;wsp:rsid wsp:val=&quot;001A288E&quot;/&gt;&lt;wsp:rsid wsp:val=&quot;001A3016&quot;/&gt;&lt;wsp:rsid wsp:val=&quot;001B12CD&quot;/&gt;&lt;wsp:rsid wsp:val=&quot;001B3D81&quot;/&gt;&lt;wsp:rsid wsp:val=&quot;001B6D84&quot;/&gt;&lt;wsp:rsid wsp:val=&quot;001B6DC2&quot;/&gt;&lt;wsp:rsid wsp:val=&quot;001B7F7F&quot;/&gt;&lt;wsp:rsid wsp:val=&quot;001C149C&quot;/&gt;&lt;wsp:rsid wsp:val=&quot;001C1A8E&quot;/&gt;&lt;wsp:rsid wsp:val=&quot;001C21AC&quot;/&gt;&lt;wsp:rsid wsp:val=&quot;001C2591&quot;/&gt;&lt;wsp:rsid wsp:val=&quot;001C47BA&quot;/&gt;&lt;wsp:rsid wsp:val=&quot;001C59EA&quot;/&gt;&lt;wsp:rsid wsp:val=&quot;001D3ABD&quot;/&gt;&lt;wsp:rsid wsp:val=&quot;001D406C&quot;/&gt;&lt;wsp:rsid wsp:val=&quot;001D41EE&quot;/&gt;&lt;wsp:rsid wsp:val=&quot;001E02DA&quot;/&gt;&lt;wsp:rsid wsp:val=&quot;001E0380&quot;/&gt;&lt;wsp:rsid wsp:val=&quot;001E13B1&quot;/&gt;&lt;wsp:rsid wsp:val=&quot;001E424E&quot;/&gt;&lt;wsp:rsid wsp:val=&quot;001F1588&quot;/&gt;&lt;wsp:rsid wsp:val=&quot;001F3222&quot;/&gt;&lt;wsp:rsid wsp:val=&quot;001F3A19&quot;/&gt;&lt;wsp:rsid wsp:val=&quot;001F4308&quot;/&gt;&lt;wsp:rsid wsp:val=&quot;001F47DF&quot;/&gt;&lt;wsp:rsid wsp:val=&quot;001F5128&quot;/&gt;&lt;wsp:rsid wsp:val=&quot;001F5A09&quot;/&gt;&lt;wsp:rsid wsp:val=&quot;0020184A&quot;/&gt;&lt;wsp:rsid wsp:val=&quot;0020312E&quot;/&gt;&lt;wsp:rsid wsp:val=&quot;00206C3A&quot;/&gt;&lt;wsp:rsid wsp:val=&quot;00210551&quot;/&gt;&lt;wsp:rsid wsp:val=&quot;00211315&quot;/&gt;&lt;wsp:rsid wsp:val=&quot;0021256D&quot;/&gt;&lt;wsp:rsid wsp:val=&quot;00214B89&quot;/&gt;&lt;wsp:rsid wsp:val=&quot;002208A6&quot;/&gt;&lt;wsp:rsid wsp:val=&quot;00222D2D&quot;/&gt;&lt;wsp:rsid wsp:val=&quot;00225216&quot;/&gt;&lt;wsp:rsid wsp:val=&quot;00225875&quot;/&gt;&lt;wsp:rsid wsp:val=&quot;00227F79&quot;/&gt;&lt;wsp:rsid wsp:val=&quot;00230CD2&quot;/&gt;&lt;wsp:rsid wsp:val=&quot;002312A6&quot;/&gt;&lt;wsp:rsid wsp:val=&quot;00234467&quot;/&gt;&lt;wsp:rsid wsp:val=&quot;00237D8D&quot;/&gt;&lt;wsp:rsid wsp:val=&quot;002408F1&quot;/&gt;&lt;wsp:rsid wsp:val=&quot;00240D72&quot;/&gt;&lt;wsp:rsid wsp:val=&quot;002418FA&quot;/&gt;&lt;wsp:rsid wsp:val=&quot;00241DA2&quot;/&gt;&lt;wsp:rsid wsp:val=&quot;00243472&quot;/&gt;&lt;wsp:rsid wsp:val=&quot;0024375A&quot;/&gt;&lt;wsp:rsid wsp:val=&quot;002471FC&quot;/&gt;&lt;wsp:rsid wsp:val=&quot;00247A11&quot;/&gt;&lt;wsp:rsid wsp:val=&quot;00247FEE&quot;/&gt;&lt;wsp:rsid wsp:val=&quot;00250E7D&quot;/&gt;&lt;wsp:rsid wsp:val=&quot;00255ADD&quot;/&gt;&lt;wsp:rsid wsp:val=&quot;002565D5&quot;/&gt;&lt;wsp:rsid wsp:val=&quot;00260AC1&quot;/&gt;&lt;wsp:rsid wsp:val=&quot;00261077&quot;/&gt;&lt;wsp:rsid wsp:val=&quot;00261176&quot;/&gt;&lt;wsp:rsid wsp:val=&quot;002622C0&quot;/&gt;&lt;wsp:rsid wsp:val=&quot;00263C7E&quot;/&gt;&lt;wsp:rsid wsp:val=&quot;00263CBD&quot;/&gt;&lt;wsp:rsid wsp:val=&quot;002663B0&quot;/&gt;&lt;wsp:rsid wsp:val=&quot;0026723E&quot;/&gt;&lt;wsp:rsid wsp:val=&quot;0026752B&quot;/&gt;&lt;wsp:rsid wsp:val=&quot;002678F4&quot;/&gt;&lt;wsp:rsid wsp:val=&quot;00273FB1&quot;/&gt;&lt;wsp:rsid wsp:val=&quot;00274018&quot;/&gt;&lt;wsp:rsid wsp:val=&quot;002778AE&quot;/&gt;&lt;wsp:rsid wsp:val=&quot;002813DC&quot;/&gt;&lt;wsp:rsid wsp:val=&quot;0028269A&quot;/&gt;&lt;wsp:rsid wsp:val=&quot;00283590&quot;/&gt;&lt;wsp:rsid wsp:val=&quot;0028385D&quot;/&gt;&lt;wsp:rsid wsp:val=&quot;00283C54&quot;/&gt;&lt;wsp:rsid wsp:val=&quot;002859D0&quot;/&gt;&lt;wsp:rsid wsp:val=&quot;00286973&quot;/&gt;&lt;wsp:rsid wsp:val=&quot;002875DE&quot;/&gt;&lt;wsp:rsid wsp:val=&quot;002928EA&quot;/&gt;&lt;wsp:rsid wsp:val=&quot;00292F8C&quot;/&gt;&lt;wsp:rsid wsp:val=&quot;002941A2&quot;/&gt;&lt;wsp:rsid wsp:val=&quot;00294B5F&quot;/&gt;&lt;wsp:rsid wsp:val=&quot;00294DD5&quot;/&gt;&lt;wsp:rsid wsp:val=&quot;00294E70&quot;/&gt;&lt;wsp:rsid wsp:val=&quot;00297C76&quot;/&gt;&lt;wsp:rsid wsp:val=&quot;002A1281&quot;/&gt;&lt;wsp:rsid wsp:val=&quot;002A1924&quot;/&gt;&lt;wsp:rsid wsp:val=&quot;002A32FD&quot;/&gt;&lt;wsp:rsid wsp:val=&quot;002A3A31&quot;/&gt;&lt;wsp:rsid wsp:val=&quot;002A5890&quot;/&gt;&lt;wsp:rsid wsp:val=&quot;002A6FD3&quot;/&gt;&lt;wsp:rsid wsp:val=&quot;002A7420&quot;/&gt;&lt;wsp:rsid wsp:val=&quot;002A7D04&quot;/&gt;&lt;wsp:rsid wsp:val=&quot;002B0F12&quot;/&gt;&lt;wsp:rsid wsp:val=&quot;002B10F6&quot;/&gt;&lt;wsp:rsid wsp:val=&quot;002B1308&quot;/&gt;&lt;wsp:rsid wsp:val=&quot;002B1D4E&quot;/&gt;&lt;wsp:rsid wsp:val=&quot;002B37EF&quot;/&gt;&lt;wsp:rsid wsp:val=&quot;002B4075&quot;/&gt;&lt;wsp:rsid wsp:val=&quot;002B4554&quot;/&gt;&lt;wsp:rsid wsp:val=&quot;002B4BBD&quot;/&gt;&lt;wsp:rsid wsp:val=&quot;002B73EC&quot;/&gt;&lt;wsp:rsid wsp:val=&quot;002B7F4A&quot;/&gt;&lt;wsp:rsid wsp:val=&quot;002C1472&quot;/&gt;&lt;wsp:rsid wsp:val=&quot;002C22A9&quot;/&gt;&lt;wsp:rsid wsp:val=&quot;002C72D8&quot;/&gt;&lt;wsp:rsid wsp:val=&quot;002C7620&quot;/&gt;&lt;wsp:rsid wsp:val=&quot;002C76DD&quot;/&gt;&lt;wsp:rsid wsp:val=&quot;002D06C8&quot;/&gt;&lt;wsp:rsid wsp:val=&quot;002D11FA&quot;/&gt;&lt;wsp:rsid wsp:val=&quot;002D3A7B&quot;/&gt;&lt;wsp:rsid wsp:val=&quot;002E0DDF&quot;/&gt;&lt;wsp:rsid wsp:val=&quot;002E2685&quot;/&gt;&lt;wsp:rsid wsp:val=&quot;002E2906&quot;/&gt;&lt;wsp:rsid wsp:val=&quot;002E3BDA&quot;/&gt;&lt;wsp:rsid wsp:val=&quot;002E5635&quot;/&gt;&lt;wsp:rsid wsp:val=&quot;002E64C3&quot;/&gt;&lt;wsp:rsid wsp:val=&quot;002E6A2C&quot;/&gt;&lt;wsp:rsid wsp:val=&quot;002E6CCE&quot;/&gt;&lt;wsp:rsid wsp:val=&quot;002F10FD&quot;/&gt;&lt;wsp:rsid wsp:val=&quot;002F1D8C&quot;/&gt;&lt;wsp:rsid wsp:val=&quot;002F21DA&quot;/&gt;&lt;wsp:rsid wsp:val=&quot;002F6A7D&quot;/&gt;&lt;wsp:rsid wsp:val=&quot;00300E37&quot;/&gt;&lt;wsp:rsid wsp:val=&quot;00301543&quot;/&gt;&lt;wsp:rsid wsp:val=&quot;00301F39&quot;/&gt;&lt;wsp:rsid wsp:val=&quot;00303B28&quot;/&gt;&lt;wsp:rsid wsp:val=&quot;00305BB5&quot;/&gt;&lt;wsp:rsid wsp:val=&quot;00306025&quot;/&gt;&lt;wsp:rsid wsp:val=&quot;003154B2&quot;/&gt;&lt;wsp:rsid wsp:val=&quot;00320CE6&quot;/&gt;&lt;wsp:rsid wsp:val=&quot;00321036&quot;/&gt;&lt;wsp:rsid wsp:val=&quot;003238DF&quot;/&gt;&lt;wsp:rsid wsp:val=&quot;00323F59&quot;/&gt;&lt;wsp:rsid wsp:val=&quot;00325926&quot;/&gt;&lt;wsp:rsid wsp:val=&quot;00325ACC&quot;/&gt;&lt;wsp:rsid wsp:val=&quot;00327A8A&quot;/&gt;&lt;wsp:rsid wsp:val=&quot;00327D5E&quot;/&gt;&lt;wsp:rsid wsp:val=&quot;00331C5B&quot;/&gt;&lt;wsp:rsid wsp:val=&quot;003349F0&quot;/&gt;&lt;wsp:rsid wsp:val=&quot;00334ED5&quot;/&gt;&lt;wsp:rsid wsp:val=&quot;00336610&quot;/&gt;&lt;wsp:rsid wsp:val=&quot;0034144D&quot;/&gt;&lt;wsp:rsid wsp:val=&quot;00343F73&quot;/&gt;&lt;wsp:rsid wsp:val=&quot;00345060&quot;/&gt;&lt;wsp:rsid wsp:val=&quot;00350F77&quot;/&gt;&lt;wsp:rsid wsp:val=&quot;0035323B&quot;/&gt;&lt;wsp:rsid wsp:val=&quot;00354476&quot;/&gt;&lt;wsp:rsid wsp:val=&quot;003609D2&quot;/&gt;&lt;wsp:rsid wsp:val=&quot;00360B7B&quot;/&gt;&lt;wsp:rsid wsp:val=&quot;003636C1&quot;/&gt;&lt;wsp:rsid wsp:val=&quot;00363F22&quot;/&gt;&lt;wsp:rsid wsp:val=&quot;00365360&quot;/&gt;&lt;wsp:rsid wsp:val=&quot;00365A81&quot;/&gt;&lt;wsp:rsid wsp:val=&quot;00366990&quot;/&gt;&lt;wsp:rsid wsp:val=&quot;00371C6F&quot;/&gt;&lt;wsp:rsid wsp:val=&quot;00375564&quot;/&gt;&lt;wsp:rsid wsp:val=&quot;003757BD&quot;/&gt;&lt;wsp:rsid wsp:val=&quot;00375ECD&quot;/&gt;&lt;wsp:rsid wsp:val=&quot;00375FA6&quot;/&gt;&lt;wsp:rsid wsp:val=&quot;00377132&quot;/&gt;&lt;wsp:rsid wsp:val=&quot;00381786&quot;/&gt;&lt;wsp:rsid wsp:val=&quot;003821A6&quot;/&gt;&lt;wsp:rsid wsp:val=&quot;00383191&quot;/&gt;&lt;wsp:rsid wsp:val=&quot;00386DED&quot;/&gt;&lt;wsp:rsid wsp:val=&quot;00387909&quot;/&gt;&lt;wsp:rsid wsp:val=&quot;003912E7&quot;/&gt;&lt;wsp:rsid wsp:val=&quot;00393202&quot;/&gt;&lt;wsp:rsid wsp:val=&quot;00393947&quot;/&gt;&lt;wsp:rsid wsp:val=&quot;003A00A5&quot;/&gt;&lt;wsp:rsid wsp:val=&quot;003A1634&quot;/&gt;&lt;wsp:rsid wsp:val=&quot;003A183C&quot;/&gt;&lt;wsp:rsid wsp:val=&quot;003A2275&quot;/&gt;&lt;wsp:rsid wsp:val=&quot;003A2FC1&quot;/&gt;&lt;wsp:rsid wsp:val=&quot;003A6A4F&quot;/&gt;&lt;wsp:rsid wsp:val=&quot;003A7088&quot;/&gt;&lt;wsp:rsid wsp:val=&quot;003B00DF&quot;/&gt;&lt;wsp:rsid wsp:val=&quot;003B1275&quot;/&gt;&lt;wsp:rsid wsp:val=&quot;003B1778&quot;/&gt;&lt;wsp:rsid wsp:val=&quot;003B6666&quot;/&gt;&lt;wsp:rsid wsp:val=&quot;003C11CB&quot;/&gt;&lt;wsp:rsid wsp:val=&quot;003C1C6D&quot;/&gt;&lt;wsp:rsid wsp:val=&quot;003C1F57&quot;/&gt;&lt;wsp:rsid wsp:val=&quot;003C3C66&quot;/&gt;&lt;wsp:rsid wsp:val=&quot;003C442E&quot;/&gt;&lt;wsp:rsid wsp:val=&quot;003C4D9A&quot;/&gt;&lt;wsp:rsid wsp:val=&quot;003C75F3&quot;/&gt;&lt;wsp:rsid wsp:val=&quot;003C78A3&quot;/&gt;&lt;wsp:rsid wsp:val=&quot;003D0BA6&quot;/&gt;&lt;wsp:rsid wsp:val=&quot;003D1318&quot;/&gt;&lt;wsp:rsid wsp:val=&quot;003D3F85&quot;/&gt;&lt;wsp:rsid wsp:val=&quot;003D7D3D&quot;/&gt;&lt;wsp:rsid wsp:val=&quot;003E0AB6&quot;/&gt;&lt;wsp:rsid wsp:val=&quot;003E1619&quot;/&gt;&lt;wsp:rsid wsp:val=&quot;003E1867&quot;/&gt;&lt;wsp:rsid wsp:val=&quot;003E3EC0&quot;/&gt;&lt;wsp:rsid wsp:val=&quot;003E5729&quot;/&gt;&lt;wsp:rsid wsp:val=&quot;003F2757&quot;/&gt;&lt;wsp:rsid wsp:val=&quot;003F2DD4&quot;/&gt;&lt;wsp:rsid wsp:val=&quot;003F4EE0&quot;/&gt;&lt;wsp:rsid wsp:val=&quot;00400906&quot;/&gt;&lt;wsp:rsid wsp:val=&quot;004012F3&quot;/&gt;&lt;wsp:rsid wsp:val=&quot;00401919&quot;/&gt;&lt;wsp:rsid wsp:val=&quot;00401949&quot;/&gt;&lt;wsp:rsid wsp:val=&quot;00402153&quot;/&gt;&lt;wsp:rsid wsp:val=&quot;00402482&quot;/&gt;&lt;wsp:rsid wsp:val=&quot;00402FC1&quot;/&gt;&lt;wsp:rsid wsp:val=&quot;00404AAD&quot;/&gt;&lt;wsp:rsid wsp:val=&quot;0040773B&quot;/&gt;&lt;wsp:rsid wsp:val=&quot;0041580C&quot;/&gt;&lt;wsp:rsid wsp:val=&quot;004175B9&quot;/&gt;&lt;wsp:rsid wsp:val=&quot;00421376&quot;/&gt;&lt;wsp:rsid wsp:val=&quot;00425082&quot;/&gt;&lt;wsp:rsid wsp:val=&quot;00425544&quot;/&gt;&lt;wsp:rsid wsp:val=&quot;00425C0A&quot;/&gt;&lt;wsp:rsid wsp:val=&quot;004268C7&quot;/&gt;&lt;wsp:rsid wsp:val=&quot;00426D67&quot;/&gt;&lt;wsp:rsid wsp:val=&quot;00431034&quot;/&gt;&lt;wsp:rsid wsp:val=&quot;00431DEB&quot;/&gt;&lt;wsp:rsid wsp:val=&quot;004342C7&quot;/&gt;&lt;wsp:rsid wsp:val=&quot;004369A1&quot;/&gt;&lt;wsp:rsid wsp:val=&quot;00440288&quot;/&gt;&lt;wsp:rsid wsp:val=&quot;0044087C&quot;/&gt;&lt;wsp:rsid wsp:val=&quot;0044092D&quot;/&gt;&lt;wsp:rsid wsp:val=&quot;00443987&quot;/&gt;&lt;wsp:rsid wsp:val=&quot;00446B29&quot;/&gt;&lt;wsp:rsid wsp:val=&quot;004474A1&quot;/&gt;&lt;wsp:rsid wsp:val=&quot;0044788F&quot;/&gt;&lt;wsp:rsid wsp:val=&quot;00450040&quot;/&gt;&lt;wsp:rsid wsp:val=&quot;00452393&quot;/&gt;&lt;wsp:rsid wsp:val=&quot;00453F9A&quot;/&gt;&lt;wsp:rsid wsp:val=&quot;004547A6&quot;/&gt;&lt;wsp:rsid wsp:val=&quot;004601AE&quot;/&gt;&lt;wsp:rsid wsp:val=&quot;00460815&quot;/&gt;&lt;wsp:rsid wsp:val=&quot;004617A1&quot;/&gt;&lt;wsp:rsid wsp:val=&quot;00467668&quot;/&gt;&lt;wsp:rsid wsp:val=&quot;0047144B&quot;/&gt;&lt;wsp:rsid wsp:val=&quot;00471E91&quot;/&gt;&lt;wsp:rsid wsp:val=&quot;00472CCD&quot;/&gt;&lt;wsp:rsid wsp:val=&quot;00474675&quot;/&gt;&lt;wsp:rsid wsp:val=&quot;0047470C&quot;/&gt;&lt;wsp:rsid wsp:val=&quot;00481218&quot;/&gt;&lt;wsp:rsid wsp:val=&quot;0048574A&quot;/&gt;&lt;wsp:rsid wsp:val=&quot;004903C1&quot;/&gt;&lt;wsp:rsid wsp:val=&quot;004976FC&quot;/&gt;&lt;wsp:rsid wsp:val=&quot;004A0BDD&quot;/&gt;&lt;wsp:rsid wsp:val=&quot;004A23A2&quot;/&gt;&lt;wsp:rsid wsp:val=&quot;004A35F9&quot;/&gt;&lt;wsp:rsid wsp:val=&quot;004A38C8&quot;/&gt;&lt;wsp:rsid wsp:val=&quot;004A446F&quot;/&gt;&lt;wsp:rsid wsp:val=&quot;004B1730&quot;/&gt;&lt;wsp:rsid wsp:val=&quot;004B24C1&quot;/&gt;&lt;wsp:rsid wsp:val=&quot;004B2FB0&quot;/&gt;&lt;wsp:rsid wsp:val=&quot;004B3A68&quot;/&gt;&lt;wsp:rsid wsp:val=&quot;004B6386&quot;/&gt;&lt;wsp:rsid wsp:val=&quot;004B7C6B&quot;/&gt;&lt;wsp:rsid wsp:val=&quot;004C0493&quot;/&gt;&lt;wsp:rsid wsp:val=&quot;004C13C3&quot;/&gt;&lt;wsp:rsid wsp:val=&quot;004C17B3&quot;/&gt;&lt;wsp:rsid wsp:val=&quot;004C292F&quot;/&gt;&lt;wsp:rsid wsp:val=&quot;004C3307&quot;/&gt;&lt;wsp:rsid wsp:val=&quot;004C577D&quot;/&gt;&lt;wsp:rsid wsp:val=&quot;004C5A15&quot;/&gt;&lt;wsp:rsid wsp:val=&quot;004C5C78&quot;/&gt;&lt;wsp:rsid wsp:val=&quot;004D1FB0&quot;/&gt;&lt;wsp:rsid wsp:val=&quot;004D32CA&quot;/&gt;&lt;wsp:rsid wsp:val=&quot;004D3FF3&quot;/&gt;&lt;wsp:rsid wsp:val=&quot;004D7639&quot;/&gt;&lt;wsp:rsid wsp:val=&quot;004E2B72&quot;/&gt;&lt;wsp:rsid wsp:val=&quot;004E4A18&quot;/&gt;&lt;wsp:rsid wsp:val=&quot;004F2190&quot;/&gt;&lt;wsp:rsid wsp:val=&quot;004F2988&quot;/&gt;&lt;wsp:rsid wsp:val=&quot;004F40FD&quot;/&gt;&lt;wsp:rsid wsp:val=&quot;004F56A5&quot;/&gt;&lt;wsp:rsid wsp:val=&quot;004F57DE&quot;/&gt;&lt;wsp:rsid wsp:val=&quot;00504BA1&quot;/&gt;&lt;wsp:rsid wsp:val=&quot;00510280&quot;/&gt;&lt;wsp:rsid wsp:val=&quot;005131DA&quot;/&gt;&lt;wsp:rsid wsp:val=&quot;00513D73&quot;/&gt;&lt;wsp:rsid wsp:val=&quot;00514491&quot;/&gt;&lt;wsp:rsid wsp:val=&quot;00514A43&quot;/&gt;&lt;wsp:rsid wsp:val=&quot;005174E5&quot;/&gt;&lt;wsp:rsid wsp:val=&quot;0052062D&quot;/&gt;&lt;wsp:rsid wsp:val=&quot;00522393&quot;/&gt;&lt;wsp:rsid wsp:val=&quot;00522620&quot;/&gt;&lt;wsp:rsid wsp:val=&quot;00525656&quot;/&gt;&lt;wsp:rsid wsp:val=&quot;0053008D&quot;/&gt;&lt;wsp:rsid wsp:val=&quot;00532C72&quot;/&gt;&lt;wsp:rsid wsp:val=&quot;00534C02&quot;/&gt;&lt;wsp:rsid wsp:val=&quot;00535DF4&quot;/&gt;&lt;wsp:rsid wsp:val=&quot;00541B92&quot;/&gt;&lt;wsp:rsid wsp:val=&quot;00542098&quot;/&gt;&lt;wsp:rsid wsp:val=&quot;0054264B&quot;/&gt;&lt;wsp:rsid wsp:val=&quot;005433E0&quot;/&gt;&lt;wsp:rsid wsp:val=&quot;00543786&quot;/&gt;&lt;wsp:rsid wsp:val=&quot;00546D05&quot;/&gt;&lt;wsp:rsid wsp:val=&quot;005533D7&quot;/&gt;&lt;wsp:rsid wsp:val=&quot;005703DE&quot;/&gt;&lt;wsp:rsid wsp:val=&quot;00573A35&quot;/&gt;&lt;wsp:rsid wsp:val=&quot;005746DD&quot;/&gt;&lt;wsp:rsid wsp:val=&quot;00577524&quot;/&gt;&lt;wsp:rsid wsp:val=&quot;00577CFF&quot;/&gt;&lt;wsp:rsid wsp:val=&quot;00577E05&quot;/&gt;&lt;wsp:rsid wsp:val=&quot;00580B3B&quot;/&gt;&lt;wsp:rsid wsp:val=&quot;00581C4B&quot;/&gt;&lt;wsp:rsid wsp:val=&quot;00583D3A&quot;/&gt;&lt;wsp:rsid wsp:val=&quot;0058464E&quot;/&gt;&lt;wsp:rsid wsp:val=&quot;00585E80&quot;/&gt;&lt;wsp:rsid wsp:val=&quot;00586415&quot;/&gt;&lt;wsp:rsid wsp:val=&quot;00590C4C&quot;/&gt;&lt;wsp:rsid wsp:val=&quot;0059235B&quot;/&gt;&lt;wsp:rsid wsp:val=&quot;00592A65&quot;/&gt;&lt;wsp:rsid wsp:val=&quot;00595D1C&quot;/&gt;&lt;wsp:rsid wsp:val=&quot;005A01CB&quot;/&gt;&lt;wsp:rsid wsp:val=&quot;005A0965&quot;/&gt;&lt;wsp:rsid wsp:val=&quot;005A1DE2&quot;/&gt;&lt;wsp:rsid wsp:val=&quot;005A4925&quot;/&gt;&lt;wsp:rsid wsp:val=&quot;005A53F7&quot;/&gt;&lt;wsp:rsid wsp:val=&quot;005A58B9&quot;/&gt;&lt;wsp:rsid wsp:val=&quot;005A58FF&quot;/&gt;&lt;wsp:rsid wsp:val=&quot;005A5EAF&quot;/&gt;&lt;wsp:rsid wsp:val=&quot;005A64C0&quot;/&gt;&lt;wsp:rsid wsp:val=&quot;005B0C55&quot;/&gt;&lt;wsp:rsid wsp:val=&quot;005B3C11&quot;/&gt;&lt;wsp:rsid wsp:val=&quot;005B5F8C&quot;/&gt;&lt;wsp:rsid wsp:val=&quot;005C0295&quot;/&gt;&lt;wsp:rsid wsp:val=&quot;005C044C&quot;/&gt;&lt;wsp:rsid wsp:val=&quot;005C1C28&quot;/&gt;&lt;wsp:rsid wsp:val=&quot;005C2CB0&quot;/&gt;&lt;wsp:rsid wsp:val=&quot;005C2CF2&quot;/&gt;&lt;wsp:rsid wsp:val=&quot;005C3BAB&quot;/&gt;&lt;wsp:rsid wsp:val=&quot;005C51D3&quot;/&gt;&lt;wsp:rsid wsp:val=&quot;005C6DB5&quot;/&gt;&lt;wsp:rsid wsp:val=&quot;005C7818&quot;/&gt;&lt;wsp:rsid wsp:val=&quot;005D1ABB&quot;/&gt;&lt;wsp:rsid wsp:val=&quot;005D2B19&quot;/&gt;&lt;wsp:rsid wsp:val=&quot;005D5555&quot;/&gt;&lt;wsp:rsid wsp:val=&quot;005D6F0F&quot;/&gt;&lt;wsp:rsid wsp:val=&quot;005D7614&quot;/&gt;&lt;wsp:rsid wsp:val=&quot;005E1955&quot;/&gt;&lt;wsp:rsid wsp:val=&quot;005E19E7&quot;/&gt;&lt;wsp:rsid wsp:val=&quot;005E472D&quot;/&gt;&lt;wsp:rsid wsp:val=&quot;005E6FEF&quot;/&gt;&lt;wsp:rsid wsp:val=&quot;005F11B1&quot;/&gt;&lt;wsp:rsid wsp:val=&quot;005F11F2&quot;/&gt;&lt;wsp:rsid wsp:val=&quot;005F288C&quot;/&gt;&lt;wsp:rsid wsp:val=&quot;005F4153&quot;/&gt;&lt;wsp:rsid wsp:val=&quot;005F5B9C&quot;/&gt;&lt;wsp:rsid wsp:val=&quot;0060523E&quot;/&gt;&lt;wsp:rsid wsp:val=&quot;006059BD&quot;/&gt;&lt;wsp:rsid wsp:val=&quot;00612267&quot;/&gt;&lt;wsp:rsid wsp:val=&quot;00614E91&quot;/&gt;&lt;wsp:rsid wsp:val=&quot;00615D63&quot;/&gt;&lt;wsp:rsid wsp:val=&quot;0061716C&quot;/&gt;&lt;wsp:rsid wsp:val=&quot;006237F7&quot;/&gt;&lt;wsp:rsid wsp:val=&quot;006243A1&quot;/&gt;&lt;wsp:rsid wsp:val=&quot;006316AA&quot;/&gt;&lt;wsp:rsid wsp:val=&quot;00631F50&quot;/&gt;&lt;wsp:rsid wsp:val=&quot;00632449&quot;/&gt;&lt;wsp:rsid wsp:val=&quot;00632AF5&quot;/&gt;&lt;wsp:rsid wsp:val=&quot;00632E56&quot;/&gt;&lt;wsp:rsid wsp:val=&quot;00634B7E&quot;/&gt;&lt;wsp:rsid wsp:val=&quot;00634F84&quot;/&gt;&lt;wsp:rsid wsp:val=&quot;00635CBA&quot;/&gt;&lt;wsp:rsid wsp:val=&quot;00637055&quot;/&gt;&lt;wsp:rsid wsp:val=&quot;00637DC3&quot;/&gt;&lt;wsp:rsid wsp:val=&quot;006403CB&quot;/&gt;&lt;wsp:rsid wsp:val=&quot;0064336D&quot;/&gt;&lt;wsp:rsid wsp:val=&quot;0064338B&quot;/&gt;&lt;wsp:rsid wsp:val=&quot;00646542&quot;/&gt;&lt;wsp:rsid wsp:val=&quot;006504F4&quot;/&gt;&lt;wsp:rsid wsp:val=&quot;00650CB9&quot;/&gt;&lt;wsp:rsid wsp:val=&quot;006515C0&quot;/&gt;&lt;wsp:rsid wsp:val=&quot;00652392&quot;/&gt;&lt;wsp:rsid wsp:val=&quot;00654BC9&quot;/&gt;&lt;wsp:rsid wsp:val=&quot;006552FD&quot;/&gt;&lt;wsp:rsid wsp:val=&quot;006553EB&quot;/&gt;&lt;wsp:rsid wsp:val=&quot;00656B3A&quot;/&gt;&lt;wsp:rsid wsp:val=&quot;00656EA2&quot;/&gt;&lt;wsp:rsid wsp:val=&quot;0066032B&quot;/&gt;&lt;wsp:rsid wsp:val=&quot;006605EE&quot;/&gt;&lt;wsp:rsid wsp:val=&quot;00660888&quot;/&gt;&lt;wsp:rsid wsp:val=&quot;00662EE5&quot;/&gt;&lt;wsp:rsid wsp:val=&quot;00663861&quot;/&gt;&lt;wsp:rsid wsp:val=&quot;00663AF3&quot;/&gt;&lt;wsp:rsid wsp:val=&quot;00664B8D&quot;/&gt;&lt;wsp:rsid wsp:val=&quot;00665C3F&quot;/&gt;&lt;wsp:rsid wsp:val=&quot;006668EA&quot;/&gt;&lt;wsp:rsid wsp:val=&quot;00666B6C&quot;/&gt;&lt;wsp:rsid wsp:val=&quot;0067023A&quot;/&gt;&lt;wsp:rsid wsp:val=&quot;0067050C&quot;/&gt;&lt;wsp:rsid wsp:val=&quot;0067138C&quot;/&gt;&lt;wsp:rsid wsp:val=&quot;00672DAD&quot;/&gt;&lt;wsp:rsid wsp:val=&quot;00673499&quot;/&gt;&lt;wsp:rsid wsp:val=&quot;00674988&quot;/&gt;&lt;wsp:rsid wsp:val=&quot;00675500&quot;/&gt;&lt;wsp:rsid wsp:val=&quot;00675748&quot;/&gt;&lt;wsp:rsid wsp:val=&quot;006760F0&quot;/&gt;&lt;wsp:rsid wsp:val=&quot;00680529&quot;/&gt;&lt;wsp:rsid wsp:val=&quot;00682682&quot;/&gt;&lt;wsp:rsid wsp:val=&quot;00682702&quot;/&gt;&lt;wsp:rsid wsp:val=&quot;006836E2&quot;/&gt;&lt;wsp:rsid wsp:val=&quot;00686E39&quot;/&gt;&lt;wsp:rsid wsp:val=&quot;00690277&quot;/&gt;&lt;wsp:rsid wsp:val=&quot;00692368&quot;/&gt;&lt;wsp:rsid wsp:val=&quot;00696724&quot;/&gt;&lt;wsp:rsid wsp:val=&quot;006A2EBC&quot;/&gt;&lt;wsp:rsid wsp:val=&quot;006A5EA0&quot;/&gt;&lt;wsp:rsid wsp:val=&quot;006A6C4E&quot;/&gt;&lt;wsp:rsid wsp:val=&quot;006A783B&quot;/&gt;&lt;wsp:rsid wsp:val=&quot;006A7B33&quot;/&gt;&lt;wsp:rsid wsp:val=&quot;006B43E4&quot;/&gt;&lt;wsp:rsid wsp:val=&quot;006B48EB&quot;/&gt;&lt;wsp:rsid wsp:val=&quot;006B4E13&quot;/&gt;&lt;wsp:rsid wsp:val=&quot;006B5466&quot;/&gt;&lt;wsp:rsid wsp:val=&quot;006B6376&quot;/&gt;&lt;wsp:rsid wsp:val=&quot;006B6DCE&quot;/&gt;&lt;wsp:rsid wsp:val=&quot;006B75DD&quot;/&gt;&lt;wsp:rsid wsp:val=&quot;006B7D31&quot;/&gt;&lt;wsp:rsid wsp:val=&quot;006C0E69&quot;/&gt;&lt;wsp:rsid wsp:val=&quot;006C2A09&quot;/&gt;&lt;wsp:rsid wsp:val=&quot;006C4D0E&quot;/&gt;&lt;wsp:rsid wsp:val=&quot;006C6471&quot;/&gt;&lt;wsp:rsid wsp:val=&quot;006C67E0&quot;/&gt;&lt;wsp:rsid wsp:val=&quot;006C7ABA&quot;/&gt;&lt;wsp:rsid wsp:val=&quot;006D0D60&quot;/&gt;&lt;wsp:rsid wsp:val=&quot;006D1122&quot;/&gt;&lt;wsp:rsid wsp:val=&quot;006D264D&quot;/&gt;&lt;wsp:rsid wsp:val=&quot;006D3C00&quot;/&gt;&lt;wsp:rsid wsp:val=&quot;006D40A8&quot;/&gt;&lt;wsp:rsid wsp:val=&quot;006E3675&quot;/&gt;&lt;wsp:rsid wsp:val=&quot;006E4A7F&quot;/&gt;&lt;wsp:rsid wsp:val=&quot;006E4B62&quot;/&gt;&lt;wsp:rsid wsp:val=&quot;006E5314&quot;/&gt;&lt;wsp:rsid wsp:val=&quot;006E5606&quot;/&gt;&lt;wsp:rsid wsp:val=&quot;006E7123&quot;/&gt;&lt;wsp:rsid wsp:val=&quot;006F2D96&quot;/&gt;&lt;wsp:rsid wsp:val=&quot;006F2ED8&quot;/&gt;&lt;wsp:rsid wsp:val=&quot;006F3F0F&quot;/&gt;&lt;wsp:rsid wsp:val=&quot;006F4637&quot;/&gt;&lt;wsp:rsid wsp:val=&quot;006F63B2&quot;/&gt;&lt;wsp:rsid wsp:val=&quot;007009D0&quot;/&gt;&lt;wsp:rsid wsp:val=&quot;00703A92&quot;/&gt;&lt;wsp:rsid wsp:val=&quot;00704DF6&quot;/&gt;&lt;wsp:rsid wsp:val=&quot;0070651C&quot;/&gt;&lt;wsp:rsid wsp:val=&quot;007065CD&quot;/&gt;&lt;wsp:rsid wsp:val=&quot;007132A3&quot;/&gt;&lt;wsp:rsid wsp:val=&quot;00716421&quot;/&gt;&lt;wsp:rsid wsp:val=&quot;00716A31&quot;/&gt;&lt;wsp:rsid wsp:val=&quot;00716D3A&quot;/&gt;&lt;wsp:rsid wsp:val=&quot;00717511&quot;/&gt;&lt;wsp:rsid wsp:val=&quot;00720F2A&quot;/&gt;&lt;wsp:rsid wsp:val=&quot;00722CF0&quot;/&gt;&lt;wsp:rsid wsp:val=&quot;00723134&quot;/&gt;&lt;wsp:rsid wsp:val=&quot;0072470A&quot;/&gt;&lt;wsp:rsid wsp:val=&quot;00724EFB&quot;/&gt;&lt;wsp:rsid wsp:val=&quot;0072640F&quot;/&gt;&lt;wsp:rsid wsp:val=&quot;00727047&quot;/&gt;&lt;wsp:rsid wsp:val=&quot;0073271F&quot;/&gt;&lt;wsp:rsid wsp:val=&quot;007419C3&quot;/&gt;&lt;wsp:rsid wsp:val=&quot;00745725&quot;/&gt;&lt;wsp:rsid wsp:val=&quot;007467A7&quot;/&gt;&lt;wsp:rsid wsp:val=&quot;007467D7&quot;/&gt;&lt;wsp:rsid wsp:val=&quot;007469DD&quot;/&gt;&lt;wsp:rsid wsp:val=&quot;0074741B&quot;/&gt;&lt;wsp:rsid wsp:val=&quot;0074759E&quot;/&gt;&lt;wsp:rsid wsp:val=&quot;007478EA&quot;/&gt;&lt;wsp:rsid wsp:val=&quot;0075415C&quot;/&gt;&lt;wsp:rsid wsp:val=&quot;00754B85&quot;/&gt;&lt;wsp:rsid wsp:val=&quot;00755281&quot;/&gt;&lt;wsp:rsid wsp:val=&quot;00755966&quot;/&gt;&lt;wsp:rsid wsp:val=&quot;007614E5&quot;/&gt;&lt;wsp:rsid wsp:val=&quot;00761FFB&quot;/&gt;&lt;wsp:rsid wsp:val=&quot;00763502&quot;/&gt;&lt;wsp:rsid wsp:val=&quot;00764341&quot;/&gt;&lt;wsp:rsid wsp:val=&quot;00764DD2&quot;/&gt;&lt;wsp:rsid wsp:val=&quot;007717EA&quot;/&gt;&lt;wsp:rsid wsp:val=&quot;00772341&quot;/&gt;&lt;wsp:rsid wsp:val=&quot;00774557&quot;/&gt;&lt;wsp:rsid wsp:val=&quot;007843A1&quot;/&gt;&lt;wsp:rsid wsp:val=&quot;00786160&quot;/&gt;&lt;wsp:rsid wsp:val=&quot;007903A6&quot;/&gt;&lt;wsp:rsid wsp:val=&quot;007913AB&quot;/&gt;&lt;wsp:rsid wsp:val=&quot;007914F7&quot;/&gt;&lt;wsp:rsid wsp:val=&quot;00792F61&quot;/&gt;&lt;wsp:rsid wsp:val=&quot;00795505&quot;/&gt;&lt;wsp:rsid wsp:val=&quot;00796F20&quot;/&gt;&lt;wsp:rsid wsp:val=&quot;007A0340&quot;/&gt;&lt;wsp:rsid wsp:val=&quot;007A158D&quot;/&gt;&lt;wsp:rsid wsp:val=&quot;007A1701&quot;/&gt;&lt;wsp:rsid wsp:val=&quot;007A263B&quot;/&gt;&lt;wsp:rsid wsp:val=&quot;007A28DF&quot;/&gt;&lt;wsp:rsid wsp:val=&quot;007A7FC1&quot;/&gt;&lt;wsp:rsid wsp:val=&quot;007B1625&quot;/&gt;&lt;wsp:rsid wsp:val=&quot;007B1873&quot;/&gt;&lt;wsp:rsid wsp:val=&quot;007B1DC5&quot;/&gt;&lt;wsp:rsid wsp:val=&quot;007B3B4C&quot;/&gt;&lt;wsp:rsid wsp:val=&quot;007B5DDD&quot;/&gt;&lt;wsp:rsid wsp:val=&quot;007B6149&quot;/&gt;&lt;wsp:rsid wsp:val=&quot;007B706E&quot;/&gt;&lt;wsp:rsid wsp:val=&quot;007B71EB&quot;/&gt;&lt;wsp:rsid wsp:val=&quot;007C3246&quot;/&gt;&lt;wsp:rsid wsp:val=&quot;007C3DB5&quot;/&gt;&lt;wsp:rsid wsp:val=&quot;007C450F&quot;/&gt;&lt;wsp:rsid wsp:val=&quot;007C479A&quot;/&gt;&lt;wsp:rsid wsp:val=&quot;007C6205&quot;/&gt;&lt;wsp:rsid wsp:val=&quot;007C686A&quot;/&gt;&lt;wsp:rsid wsp:val=&quot;007C728E&quot;/&gt;&lt;wsp:rsid wsp:val=&quot;007C783F&quot;/&gt;&lt;wsp:rsid wsp:val=&quot;007C7FD9&quot;/&gt;&lt;wsp:rsid wsp:val=&quot;007D040E&quot;/&gt;&lt;wsp:rsid wsp:val=&quot;007D1DFF&quot;/&gt;&lt;wsp:rsid wsp:val=&quot;007D279C&quot;/&gt;&lt;wsp:rsid wsp:val=&quot;007D2C53&quot;/&gt;&lt;wsp:rsid wsp:val=&quot;007D3D60&quot;/&gt;&lt;wsp:rsid wsp:val=&quot;007D4651&quot;/&gt;&lt;wsp:rsid wsp:val=&quot;007D5F36&quot;/&gt;&lt;wsp:rsid wsp:val=&quot;007D7567&quot;/&gt;&lt;wsp:rsid wsp:val=&quot;007E1980&quot;/&gt;&lt;wsp:rsid wsp:val=&quot;007E2C5F&quot;/&gt;&lt;wsp:rsid wsp:val=&quot;007E4B76&quot;/&gt;&lt;wsp:rsid wsp:val=&quot;007E5EA8&quot;/&gt;&lt;wsp:rsid wsp:val=&quot;007F0CF1&quot;/&gt;&lt;wsp:rsid wsp:val=&quot;007F0CFF&quot;/&gt;&lt;wsp:rsid wsp:val=&quot;007F12A5&quot;/&gt;&lt;wsp:rsid wsp:val=&quot;007F43E3&quot;/&gt;&lt;wsp:rsid wsp:val=&quot;007F4CF1&quot;/&gt;&lt;wsp:rsid wsp:val=&quot;007F4E9F&quot;/&gt;&lt;wsp:rsid wsp:val=&quot;007F758D&quot;/&gt;&lt;wsp:rsid wsp:val=&quot;007F7D52&quot;/&gt;&lt;wsp:rsid wsp:val=&quot;008032B6&quot;/&gt;&lt;wsp:rsid wsp:val=&quot;00803E1B&quot;/&gt;&lt;wsp:rsid wsp:val=&quot;008048BF&quot;/&gt;&lt;wsp:rsid wsp:val=&quot;0080519A&quot;/&gt;&lt;wsp:rsid wsp:val=&quot;00805810&quot;/&gt;&lt;wsp:rsid wsp:val=&quot;0080654C&quot;/&gt;&lt;wsp:rsid wsp:val=&quot;008071C6&quot;/&gt;&lt;wsp:rsid wsp:val=&quot;00813C8A&quot;/&gt;&lt;wsp:rsid wsp:val=&quot;00816373&quot;/&gt;&lt;wsp:rsid wsp:val=&quot;00817810&quot;/&gt;&lt;wsp:rsid wsp:val=&quot;00817A00&quot;/&gt;&lt;wsp:rsid wsp:val=&quot;008217FE&quot;/&gt;&lt;wsp:rsid wsp:val=&quot;00822078&quot;/&gt;&lt;wsp:rsid wsp:val=&quot;008237D9&quot;/&gt;&lt;wsp:rsid wsp:val=&quot;008238AB&quot;/&gt;&lt;wsp:rsid wsp:val=&quot;00825ACC&quot;/&gt;&lt;wsp:rsid wsp:val=&quot;00830499&quot;/&gt;&lt;wsp:rsid wsp:val=&quot;00835DB3&quot;/&gt;&lt;wsp:rsid wsp:val=&quot;0083617B&quot;/&gt;&lt;wsp:rsid wsp:val=&quot;008371BD&quot;/&gt;&lt;wsp:rsid wsp:val=&quot;0084078B&quot;/&gt;&lt;wsp:rsid wsp:val=&quot;00840CD2&quot;/&gt;&lt;wsp:rsid wsp:val=&quot;00842ADA&quot;/&gt;&lt;wsp:rsid wsp:val=&quot;00844053&quot;/&gt;&lt;wsp:rsid wsp:val=&quot;0084462F&quot;/&gt;&lt;wsp:rsid wsp:val=&quot;008504A8&quot;/&gt;&lt;wsp:rsid wsp:val=&quot;0085282E&quot;/&gt;&lt;wsp:rsid wsp:val=&quot;0085470D&quot;/&gt;&lt;wsp:rsid wsp:val=&quot;00861DBA&quot;/&gt;&lt;wsp:rsid wsp:val=&quot;008630A2&quot;/&gt;&lt;wsp:rsid wsp:val=&quot;00863D4D&quot;/&gt;&lt;wsp:rsid wsp:val=&quot;00864E8D&quot;/&gt;&lt;wsp:rsid wsp:val=&quot;00871218&quot;/&gt;&lt;wsp:rsid wsp:val=&quot;0087198C&quot;/&gt;&lt;wsp:rsid wsp:val=&quot;00872C1F&quot;/&gt;&lt;wsp:rsid wsp:val=&quot;00873A53&quot;/&gt;&lt;wsp:rsid wsp:val=&quot;00873B42&quot;/&gt;&lt;wsp:rsid wsp:val=&quot;00876C8C&quot;/&gt;&lt;wsp:rsid wsp:val=&quot;00877458&quot;/&gt;&lt;wsp:rsid wsp:val=&quot;008821D0&quot;/&gt;&lt;wsp:rsid wsp:val=&quot;0088256A&quot;/&gt;&lt;wsp:rsid wsp:val=&quot;00885480&quot;/&gt;&lt;wsp:rsid wsp:val=&quot;008856D8&quot;/&gt;&lt;wsp:rsid wsp:val=&quot;0088676D&quot;/&gt;&lt;wsp:rsid wsp:val=&quot;00892E82&quot;/&gt;&lt;wsp:rsid wsp:val=&quot;00893622&quot;/&gt;&lt;wsp:rsid wsp:val=&quot;00895136&quot;/&gt;&lt;wsp:rsid wsp:val=&quot;008964ED&quot;/&gt;&lt;wsp:rsid wsp:val=&quot;008976FA&quot;/&gt;&lt;wsp:rsid wsp:val=&quot;008A04D8&quot;/&gt;&lt;wsp:rsid wsp:val=&quot;008A0B8F&quot;/&gt;&lt;wsp:rsid wsp:val=&quot;008A1461&quot;/&gt;&lt;wsp:rsid wsp:val=&quot;008A3F33&quot;/&gt;&lt;wsp:rsid wsp:val=&quot;008A799B&quot;/&gt;&lt;wsp:rsid wsp:val=&quot;008A7D92&quot;/&gt;&lt;wsp:rsid wsp:val=&quot;008C05A4&quot;/&gt;&lt;wsp:rsid wsp:val=&quot;008C1B58&quot;/&gt;&lt;wsp:rsid wsp:val=&quot;008C27F7&quot;/&gt;&lt;wsp:rsid wsp:val=&quot;008C39AE&quot;/&gt;&lt;wsp:rsid wsp:val=&quot;008C3A07&quot;/&gt;&lt;wsp:rsid wsp:val=&quot;008C41C8&quot;/&gt;&lt;wsp:rsid wsp:val=&quot;008C590D&quot;/&gt;&lt;wsp:rsid wsp:val=&quot;008C711D&quot;/&gt;&lt;wsp:rsid wsp:val=&quot;008C7FB3&quot;/&gt;&lt;wsp:rsid wsp:val=&quot;008D3232&quot;/&gt;&lt;wsp:rsid wsp:val=&quot;008D32FC&quot;/&gt;&lt;wsp:rsid wsp:val=&quot;008D4BC0&quot;/&gt;&lt;wsp:rsid wsp:val=&quot;008D5543&quot;/&gt;&lt;wsp:rsid wsp:val=&quot;008D684E&quot;/&gt;&lt;wsp:rsid wsp:val=&quot;008E031B&quot;/&gt;&lt;wsp:rsid wsp:val=&quot;008E34BA&quot;/&gt;&lt;wsp:rsid wsp:val=&quot;008E3EE4&quot;/&gt;&lt;wsp:rsid wsp:val=&quot;008E4D38&quot;/&gt;&lt;wsp:rsid wsp:val=&quot;008E4F88&quot;/&gt;&lt;wsp:rsid wsp:val=&quot;008E63CB&quot;/&gt;&lt;wsp:rsid wsp:val=&quot;008E6668&quot;/&gt;&lt;wsp:rsid wsp:val=&quot;008E7029&quot;/&gt;&lt;wsp:rsid wsp:val=&quot;008E7EF6&quot;/&gt;&lt;wsp:rsid wsp:val=&quot;008F1465&quot;/&gt;&lt;wsp:rsid wsp:val=&quot;008F1F98&quot;/&gt;&lt;wsp:rsid wsp:val=&quot;008F6758&quot;/&gt;&lt;wsp:rsid wsp:val=&quot;00901F1D&quot;/&gt;&lt;wsp:rsid wsp:val=&quot;0090243A&quot;/&gt;&lt;wsp:rsid wsp:val=&quot;0090401F&quot;/&gt;&lt;wsp:rsid wsp:val=&quot;009040DD&quot;/&gt;&lt;wsp:rsid wsp:val=&quot;00905155&quot;/&gt;&lt;wsp:rsid wsp:val=&quot;00905B47&quot;/&gt;&lt;wsp:rsid wsp:val=&quot;009118C1&quot;/&gt;&lt;wsp:rsid wsp:val=&quot;0091331C&quot;/&gt;&lt;wsp:rsid wsp:val=&quot;00916636&quot;/&gt;&lt;wsp:rsid wsp:val=&quot;009205AA&quot;/&gt;&lt;wsp:rsid wsp:val=&quot;00921114&quot;/&gt;&lt;wsp:rsid wsp:val=&quot;009232C7&quot;/&gt;&lt;wsp:rsid wsp:val=&quot;009257BF&quot;/&gt;&lt;wsp:rsid wsp:val=&quot;00927033&quot;/&gt;&lt;wsp:rsid wsp:val=&quot;009279DE&quot;/&gt;&lt;wsp:rsid wsp:val=&quot;00930116&quot;/&gt;&lt;wsp:rsid wsp:val=&quot;00930AF7&quot;/&gt;&lt;wsp:rsid wsp:val=&quot;00934514&quot;/&gt;&lt;wsp:rsid wsp:val=&quot;0094212C&quot;/&gt;&lt;wsp:rsid wsp:val=&quot;009446ED&quot;/&gt;&lt;wsp:rsid wsp:val=&quot;0094668C&quot;/&gt;&lt;wsp:rsid wsp:val=&quot;00950872&quot;/&gt;&lt;wsp:rsid wsp:val=&quot;00951666&quot;/&gt;&lt;wsp:rsid wsp:val=&quot;009540A9&quot;/&gt;&lt;wsp:rsid wsp:val=&quot;00954385&quot;/&gt;&lt;wsp:rsid wsp:val=&quot;00954689&quot;/&gt;&lt;wsp:rsid wsp:val=&quot;00956BD1&quot;/&gt;&lt;wsp:rsid wsp:val=&quot;00957728&quot;/&gt;&lt;wsp:rsid wsp:val=&quot;009617C9&quot;/&gt;&lt;wsp:rsid wsp:val=&quot;00961C93&quot;/&gt;&lt;wsp:rsid wsp:val=&quot;00961E21&quot;/&gt;&lt;wsp:rsid wsp:val=&quot;00962E55&quot;/&gt;&lt;wsp:rsid wsp:val=&quot;0096433A&quot;/&gt;&lt;wsp:rsid wsp:val=&quot;009644B5&quot;/&gt;&lt;wsp:rsid wsp:val=&quot;00964D29&quot;/&gt;&lt;wsp:rsid wsp:val=&quot;009650B0&quot;/&gt;&lt;wsp:rsid wsp:val=&quot;00965324&quot;/&gt;&lt;wsp:rsid wsp:val=&quot;0097091E&quot;/&gt;&lt;wsp:rsid wsp:val=&quot;009760D3&quot;/&gt;&lt;wsp:rsid wsp:val=&quot;0097670A&quot;/&gt;&lt;wsp:rsid wsp:val=&quot;00976ECE&quot;/&gt;&lt;wsp:rsid wsp:val=&quot;00977132&quot;/&gt;&lt;wsp:rsid wsp:val=&quot;009801BD&quot;/&gt;&lt;wsp:rsid wsp:val=&quot;00980E6B&quot;/&gt;&lt;wsp:rsid wsp:val=&quot;00981A4B&quot;/&gt;&lt;wsp:rsid wsp:val=&quot;00982501&quot;/&gt;&lt;wsp:rsid wsp:val=&quot;009875A5&quot;/&gt;&lt;wsp:rsid wsp:val=&quot;009877D3&quot;/&gt;&lt;wsp:rsid wsp:val=&quot;00987B9F&quot;/&gt;&lt;wsp:rsid wsp:val=&quot;00987C58&quot;/&gt;&lt;wsp:rsid wsp:val=&quot;00994E8F&quot;/&gt;&lt;wsp:rsid wsp:val=&quot;009951DC&quot;/&gt;&lt;wsp:rsid wsp:val=&quot;009958DB&quot;/&gt;&lt;wsp:rsid wsp:val=&quot;009959BB&quot;/&gt;&lt;wsp:rsid wsp:val=&quot;0099673E&quot;/&gt;&lt;wsp:rsid wsp:val=&quot;00997158&quot;/&gt;&lt;wsp:rsid wsp:val=&quot;009A3A29&quot;/&gt;&lt;wsp:rsid wsp:val=&quot;009A3A7C&quot;/&gt;&lt;wsp:rsid wsp:val=&quot;009A74B3&quot;/&gt;&lt;wsp:rsid wsp:val=&quot;009B23AC&quot;/&gt;&lt;wsp:rsid wsp:val=&quot;009B2ADB&quot;/&gt;&lt;wsp:rsid wsp:val=&quot;009B2C06&quot;/&gt;&lt;wsp:rsid wsp:val=&quot;009B3567&quot;/&gt;&lt;wsp:rsid wsp:val=&quot;009B488B&quot;/&gt;&lt;wsp:rsid wsp:val=&quot;009B603A&quot;/&gt;&lt;wsp:rsid wsp:val=&quot;009B7F41&quot;/&gt;&lt;wsp:rsid wsp:val=&quot;009C0F21&quot;/&gt;&lt;wsp:rsid wsp:val=&quot;009C2D0E&quot;/&gt;&lt;wsp:rsid wsp:val=&quot;009C345A&quot;/&gt;&lt;wsp:rsid wsp:val=&quot;009C3DAC&quot;/&gt;&lt;wsp:rsid wsp:val=&quot;009C42E0&quot;/&gt;&lt;wsp:rsid wsp:val=&quot;009C5D9C&quot;/&gt;&lt;wsp:rsid wsp:val=&quot;009C68B9&quot;/&gt;&lt;wsp:rsid wsp:val=&quot;009C7B41&quot;/&gt;&lt;wsp:rsid wsp:val=&quot;009D1021&quot;/&gt;&lt;wsp:rsid wsp:val=&quot;009D1891&quot;/&gt;&lt;wsp:rsid wsp:val=&quot;009D2F0C&quot;/&gt;&lt;wsp:rsid wsp:val=&quot;009D3365&quot;/&gt;&lt;wsp:rsid wsp:val=&quot;009D4F83&quot;/&gt;&lt;wsp:rsid wsp:val=&quot;009D5362&quot;/&gt;&lt;wsp:rsid wsp:val=&quot;009D6538&quot;/&gt;&lt;wsp:rsid wsp:val=&quot;009D7A57&quot;/&gt;&lt;wsp:rsid wsp:val=&quot;009E0DDF&quot;/&gt;&lt;wsp:rsid wsp:val=&quot;009E1415&quot;/&gt;&lt;wsp:rsid wsp:val=&quot;009E1997&quot;/&gt;&lt;wsp:rsid wsp:val=&quot;009E3EDD&quot;/&gt;&lt;wsp:rsid wsp:val=&quot;009E5FB1&quot;/&gt;&lt;wsp:rsid wsp:val=&quot;009E6116&quot;/&gt;&lt;wsp:rsid wsp:val=&quot;009F04D2&quot;/&gt;&lt;wsp:rsid wsp:val=&quot;009F306C&quot;/&gt;&lt;wsp:rsid wsp:val=&quot;009F4ED7&quot;/&gt;&lt;wsp:rsid wsp:val=&quot;009F55DF&quot;/&gt;&lt;wsp:rsid wsp:val=&quot;009F5C33&quot;/&gt;&lt;wsp:rsid wsp:val=&quot;00A01592&quot;/&gt;&lt;wsp:rsid wsp:val=&quot;00A02E43&quot;/&gt;&lt;wsp:rsid wsp:val=&quot;00A065F9&quot;/&gt;&lt;wsp:rsid wsp:val=&quot;00A07F34&quot;/&gt;&lt;wsp:rsid wsp:val=&quot;00A11539&quot;/&gt;&lt;wsp:rsid wsp:val=&quot;00A13111&quot;/&gt;&lt;wsp:rsid wsp:val=&quot;00A1311B&quot;/&gt;&lt;wsp:rsid wsp:val=&quot;00A1339D&quot;/&gt;&lt;wsp:rsid wsp:val=&quot;00A1661B&quot;/&gt;&lt;wsp:rsid wsp:val=&quot;00A21F73&quot;/&gt;&lt;wsp:rsid wsp:val=&quot;00A22154&quot;/&gt;&lt;wsp:rsid wsp:val=&quot;00A23DEE&quot;/&gt;&lt;wsp:rsid wsp:val=&quot;00A25C38&quot;/&gt;&lt;wsp:rsid wsp:val=&quot;00A2741E&quot;/&gt;&lt;wsp:rsid wsp:val=&quot;00A3278B&quot;/&gt;&lt;wsp:rsid wsp:val=&quot;00A349D1&quot;/&gt;&lt;wsp:rsid wsp:val=&quot;00A34C3D&quot;/&gt;&lt;wsp:rsid wsp:val=&quot;00A36BBE&quot;/&gt;&lt;wsp:rsid wsp:val=&quot;00A42BE0&quot;/&gt;&lt;wsp:rsid wsp:val=&quot;00A4307A&quot;/&gt;&lt;wsp:rsid wsp:val=&quot;00A44189&quot;/&gt;&lt;wsp:rsid wsp:val=&quot;00A441AB&quot;/&gt;&lt;wsp:rsid wsp:val=&quot;00A47DA2&quot;/&gt;&lt;wsp:rsid wsp:val=&quot;00A47EBB&quot;/&gt;&lt;wsp:rsid wsp:val=&quot;00A51CDD&quot;/&gt;&lt;wsp:rsid wsp:val=&quot;00A52C4A&quot;/&gt;&lt;wsp:rsid wsp:val=&quot;00A53DA6&quot;/&gt;&lt;wsp:rsid wsp:val=&quot;00A557D1&quot;/&gt;&lt;wsp:rsid wsp:val=&quot;00A61282&quot;/&gt;&lt;wsp:rsid wsp:val=&quot;00A61EE8&quot;/&gt;&lt;wsp:rsid wsp:val=&quot;00A62DF0&quot;/&gt;&lt;wsp:rsid wsp:val=&quot;00A63938&quot;/&gt;&lt;wsp:rsid wsp:val=&quot;00A66668&quot;/&gt;&lt;wsp:rsid wsp:val=&quot;00A66CAC&quot;/&gt;&lt;wsp:rsid wsp:val=&quot;00A66F15&quot;/&gt;&lt;wsp:rsid wsp:val=&quot;00A6730D&quot;/&gt;&lt;wsp:rsid wsp:val=&quot;00A70F9A&quot;/&gt;&lt;wsp:rsid wsp:val=&quot;00A715BD&quot;/&gt;&lt;wsp:rsid wsp:val=&quot;00A71625&quot;/&gt;&lt;wsp:rsid wsp:val=&quot;00A71A52&quot;/&gt;&lt;wsp:rsid wsp:val=&quot;00A71B9B&quot;/&gt;&lt;wsp:rsid wsp:val=&quot;00A73549&quot;/&gt;&lt;wsp:rsid wsp:val=&quot;00A751C7&quot;/&gt;&lt;wsp:rsid wsp:val=&quot;00A7557E&quot;/&gt;&lt;wsp:rsid wsp:val=&quot;00A75AA0&quot;/&gt;&lt;wsp:rsid wsp:val=&quot;00A75D08&quot;/&gt;&lt;wsp:rsid wsp:val=&quot;00A814BB&quot;/&gt;&lt;wsp:rsid wsp:val=&quot;00A81794&quot;/&gt;&lt;wsp:rsid wsp:val=&quot;00A83C2F&quot;/&gt;&lt;wsp:rsid wsp:val=&quot;00A8451A&quot;/&gt;&lt;wsp:rsid wsp:val=&quot;00A86553&quot;/&gt;&lt;wsp:rsid wsp:val=&quot;00A86E6F&quot;/&gt;&lt;wsp:rsid wsp:val=&quot;00A87844&quot;/&gt;&lt;wsp:rsid wsp:val=&quot;00A91ED3&quot;/&gt;&lt;wsp:rsid wsp:val=&quot;00A963B8&quot;/&gt;&lt;wsp:rsid wsp:val=&quot;00AA038C&quot;/&gt;&lt;wsp:rsid wsp:val=&quot;00AA1862&quot;/&gt;&lt;wsp:rsid wsp:val=&quot;00AA388A&quot;/&gt;&lt;wsp:rsid wsp:val=&quot;00AA5FE1&quot;/&gt;&lt;wsp:rsid wsp:val=&quot;00AA7207&quot;/&gt;&lt;wsp:rsid wsp:val=&quot;00AA7A09&quot;/&gt;&lt;wsp:rsid wsp:val=&quot;00AB0F39&quot;/&gt;&lt;wsp:rsid wsp:val=&quot;00AB3B50&quot;/&gt;&lt;wsp:rsid wsp:val=&quot;00AB3B7D&quot;/&gt;&lt;wsp:rsid wsp:val=&quot;00AB3EA5&quot;/&gt;&lt;wsp:rsid wsp:val=&quot;00AB4337&quot;/&gt;&lt;wsp:rsid wsp:val=&quot;00AB55F9&quot;/&gt;&lt;wsp:rsid wsp:val=&quot;00AC05B1&quot;/&gt;&lt;wsp:rsid wsp:val=&quot;00AC540F&quot;/&gt;&lt;wsp:rsid wsp:val=&quot;00AC587A&quot;/&gt;&lt;wsp:rsid wsp:val=&quot;00AD0CBD&quot;/&gt;&lt;wsp:rsid wsp:val=&quot;00AD356C&quot;/&gt;&lt;wsp:rsid wsp:val=&quot;00AD3873&quot;/&gt;&lt;wsp:rsid wsp:val=&quot;00AE2914&quot;/&gt;&lt;wsp:rsid wsp:val=&quot;00AE2BB7&quot;/&gt;&lt;wsp:rsid wsp:val=&quot;00AE56A0&quot;/&gt;&lt;wsp:rsid wsp:val=&quot;00AE6D15&quot;/&gt;&lt;wsp:rsid wsp:val=&quot;00AF0126&quot;/&gt;&lt;wsp:rsid wsp:val=&quot;00AF0BBD&quot;/&gt;&lt;wsp:rsid wsp:val=&quot;00AF39A4&quot;/&gt;&lt;wsp:rsid wsp:val=&quot;00AF5511&quot;/&gt;&lt;wsp:rsid wsp:val=&quot;00B004E7&quot;/&gt;&lt;wsp:rsid wsp:val=&quot;00B02352&quot;/&gt;&lt;wsp:rsid wsp:val=&quot;00B04182&quot;/&gt;&lt;wsp:rsid wsp:val=&quot;00B07AE3&quot;/&gt;&lt;wsp:rsid wsp:val=&quot;00B10DF1&quot;/&gt;&lt;wsp:rsid wsp:val=&quot;00B11430&quot;/&gt;&lt;wsp:rsid wsp:val=&quot;00B135D1&quot;/&gt;&lt;wsp:rsid wsp:val=&quot;00B17309&quot;/&gt;&lt;wsp:rsid wsp:val=&quot;00B20C7B&quot;/&gt;&lt;wsp:rsid wsp:val=&quot;00B21170&quot;/&gt;&lt;wsp:rsid wsp:val=&quot;00B238E2&quot;/&gt;&lt;wsp:rsid wsp:val=&quot;00B31F38&quot;/&gt;&lt;wsp:rsid wsp:val=&quot;00B353EB&quot;/&gt;&lt;wsp:rsid wsp:val=&quot;00B35D31&quot;/&gt;&lt;wsp:rsid wsp:val=&quot;00B3772B&quot;/&gt;&lt;wsp:rsid wsp:val=&quot;00B4083C&quot;/&gt;&lt;wsp:rsid wsp:val=&quot;00B439C4&quot;/&gt;&lt;wsp:rsid wsp:val=&quot;00B4535E&quot;/&gt;&lt;wsp:rsid wsp:val=&quot;00B507D9&quot;/&gt;&lt;wsp:rsid wsp:val=&quot;00B51306&quot;/&gt;&lt;wsp:rsid wsp:val=&quot;00B5193C&quot;/&gt;&lt;wsp:rsid wsp:val=&quot;00B52A8C&quot;/&gt;&lt;wsp:rsid wsp:val=&quot;00B55143&quot;/&gt;&lt;wsp:rsid wsp:val=&quot;00B56CDB&quot;/&gt;&lt;wsp:rsid wsp:val=&quot;00B60AE4&quot;/&gt;&lt;wsp:rsid wsp:val=&quot;00B60C1D&quot;/&gt;&lt;wsp:rsid wsp:val=&quot;00B636A8&quot;/&gt;&lt;wsp:rsid wsp:val=&quot;00B65ED9&quot;/&gt;&lt;wsp:rsid wsp:val=&quot;00B665C6&quot;/&gt;&lt;wsp:rsid wsp:val=&quot;00B715AF&quot;/&gt;&lt;wsp:rsid wsp:val=&quot;00B76589&quot;/&gt;&lt;wsp:rsid wsp:val=&quot;00B805AF&quot;/&gt;&lt;wsp:rsid wsp:val=&quot;00B83B2B&quot;/&gt;&lt;wsp:rsid wsp:val=&quot;00B869EC&quot;/&gt;&lt;wsp:rsid wsp:val=&quot;00B872A2&quot;/&gt;&lt;wsp:rsid wsp:val=&quot;00B91787&quot;/&gt;&lt;wsp:rsid wsp:val=&quot;00B91936&quot;/&gt;&lt;wsp:rsid wsp:val=&quot;00B9397A&quot;/&gt;&lt;wsp:rsid wsp:val=&quot;00B9633D&quot;/&gt;&lt;wsp:rsid wsp:val=&quot;00BA2EBE&quot;/&gt;&lt;wsp:rsid wsp:val=&quot;00BA5AF0&quot;/&gt;&lt;wsp:rsid wsp:val=&quot;00BB0F28&quot;/&gt;&lt;wsp:rsid wsp:val=&quot;00BB1CA1&quot;/&gt;&lt;wsp:rsid wsp:val=&quot;00BB458A&quot;/&gt;&lt;wsp:rsid wsp:val=&quot;00BB53CA&quot;/&gt;&lt;wsp:rsid wsp:val=&quot;00BC0C95&quot;/&gt;&lt;wsp:rsid wsp:val=&quot;00BC17F8&quot;/&gt;&lt;wsp:rsid wsp:val=&quot;00BC3211&quot;/&gt;&lt;wsp:rsid wsp:val=&quot;00BC4EF4&quot;/&gt;&lt;wsp:rsid wsp:val=&quot;00BC5B43&quot;/&gt;&lt;wsp:rsid wsp:val=&quot;00BD00D3&quot;/&gt;&lt;wsp:rsid wsp:val=&quot;00BD1659&quot;/&gt;&lt;wsp:rsid wsp:val=&quot;00BD3AA9&quot;/&gt;&lt;wsp:rsid wsp:val=&quot;00BD4A18&quot;/&gt;&lt;wsp:rsid wsp:val=&quot;00BD4BC0&quot;/&gt;&lt;wsp:rsid wsp:val=&quot;00BD6514&quot;/&gt;&lt;wsp:rsid wsp:val=&quot;00BD6DB2&quot;/&gt;&lt;wsp:rsid wsp:val=&quot;00BD7BFE&quot;/&gt;&lt;wsp:rsid wsp:val=&quot;00BE11CF&quot;/&gt;&lt;wsp:rsid wsp:val=&quot;00BE21AB&quot;/&gt;&lt;wsp:rsid wsp:val=&quot;00BE55CB&quot;/&gt;&lt;wsp:rsid wsp:val=&quot;00BE71F6&quot;/&gt;&lt;wsp:rsid wsp:val=&quot;00BF3821&quot;/&gt;&lt;wsp:rsid wsp:val=&quot;00BF617A&quot;/&gt;&lt;wsp:rsid wsp:val=&quot;00C00C18&quot;/&gt;&lt;wsp:rsid wsp:val=&quot;00C0202D&quot;/&gt;&lt;wsp:rsid wsp:val=&quot;00C0379D&quot;/&gt;&lt;wsp:rsid wsp:val=&quot;00C037C6&quot;/&gt;&lt;wsp:rsid wsp:val=&quot;00C03931&quot;/&gt;&lt;wsp:rsid wsp:val=&quot;00C05FE3&quot;/&gt;&lt;wsp:rsid wsp:val=&quot;00C06519&quot;/&gt;&lt;wsp:rsid wsp:val=&quot;00C06E3D&quot;/&gt;&lt;wsp:rsid wsp:val=&quot;00C0758D&quot;/&gt;&lt;wsp:rsid wsp:val=&quot;00C1300B&quot;/&gt;&lt;wsp:rsid wsp:val=&quot;00C1550C&quot;/&gt;&lt;wsp:rsid wsp:val=&quot;00C15E99&quot;/&gt;&lt;wsp:rsid wsp:val=&quot;00C172D7&quot;/&gt;&lt;wsp:rsid wsp:val=&quot;00C2136D&quot;/&gt;&lt;wsp:rsid wsp:val=&quot;00C213C2&quot;/&gt;&lt;wsp:rsid wsp:val=&quot;00C214EE&quot;/&gt;&lt;wsp:rsid wsp:val=&quot;00C21CC9&quot;/&gt;&lt;wsp:rsid wsp:val=&quot;00C2206E&quot;/&gt;&lt;wsp:rsid wsp:val=&quot;00C2314B&quot;/&gt;&lt;wsp:rsid wsp:val=&quot;00C24971&quot;/&gt;&lt;wsp:rsid wsp:val=&quot;00C25D94&quot;/&gt;&lt;wsp:rsid wsp:val=&quot;00C26091&quot;/&gt;&lt;wsp:rsid wsp:val=&quot;00C26BE5&quot;/&gt;&lt;wsp:rsid wsp:val=&quot;00C26E4D&quot;/&gt;&lt;wsp:rsid wsp:val=&quot;00C26EB7&quot;/&gt;&lt;wsp:rsid wsp:val=&quot;00C27909&quot;/&gt;&lt;wsp:rsid wsp:val=&quot;00C27B03&quot;/&gt;&lt;wsp:rsid wsp:val=&quot;00C3117B&quot;/&gt;&lt;wsp:rsid wsp:val=&quot;00C314E1&quot;/&gt;&lt;wsp:rsid wsp:val=&quot;00C3224C&quot;/&gt;&lt;wsp:rsid wsp:val=&quot;00C33486&quot;/&gt;&lt;wsp:rsid wsp:val=&quot;00C33A8E&quot;/&gt;&lt;wsp:rsid wsp:val=&quot;00C34397&quot;/&gt;&lt;wsp:rsid wsp:val=&quot;00C34535&quot;/&gt;&lt;wsp:rsid wsp:val=&quot;00C35332&quot;/&gt;&lt;wsp:rsid wsp:val=&quot;00C371CB&quot;/&gt;&lt;wsp:rsid wsp:val=&quot;00C402F1&quot;/&gt;&lt;wsp:rsid wsp:val=&quot;00C4095D&quot;/&gt;&lt;wsp:rsid wsp:val=&quot;00C43A2C&quot;/&gt;&lt;wsp:rsid wsp:val=&quot;00C43C76&quot;/&gt;&lt;wsp:rsid wsp:val=&quot;00C44D07&quot;/&gt;&lt;wsp:rsid wsp:val=&quot;00C50D5B&quot;/&gt;&lt;wsp:rsid wsp:val=&quot;00C51663&quot;/&gt;&lt;wsp:rsid wsp:val=&quot;00C518BD&quot;/&gt;&lt;wsp:rsid wsp:val=&quot;00C601D2&quot;/&gt;&lt;wsp:rsid wsp:val=&quot;00C60787&quot;/&gt;&lt;wsp:rsid wsp:val=&quot;00C615BF&quot;/&gt;&lt;wsp:rsid wsp:val=&quot;00C61FA7&quot;/&gt;&lt;wsp:rsid wsp:val=&quot;00C625B1&quot;/&gt;&lt;wsp:rsid wsp:val=&quot;00C63EA1&quot;/&gt;&lt;wsp:rsid wsp:val=&quot;00C6498D&quot;/&gt;&lt;wsp:rsid wsp:val=&quot;00C657AB&quot;/&gt;&lt;wsp:rsid wsp:val=&quot;00C65BCC&quot;/&gt;&lt;wsp:rsid wsp:val=&quot;00C66092&quot;/&gt;&lt;wsp:rsid wsp:val=&quot;00C66970&quot;/&gt;&lt;wsp:rsid wsp:val=&quot;00C66A6E&quot;/&gt;&lt;wsp:rsid wsp:val=&quot;00C67A4D&quot;/&gt;&lt;wsp:rsid wsp:val=&quot;00C709B2&quot;/&gt;&lt;wsp:rsid wsp:val=&quot;00C71922&quot;/&gt;&lt;wsp:rsid wsp:val=&quot;00C74D09&quot;/&gt;&lt;wsp:rsid wsp:val=&quot;00C75AC8&quot;/&gt;&lt;wsp:rsid wsp:val=&quot;00C75DF2&quot;/&gt;&lt;wsp:rsid wsp:val=&quot;00C8097C&quot;/&gt;&lt;wsp:rsid wsp:val=&quot;00C82945&quot;/&gt;&lt;wsp:rsid wsp:val=&quot;00C83AF9&quot;/&gt;&lt;wsp:rsid wsp:val=&quot;00C84021&quot;/&gt;&lt;wsp:rsid wsp:val=&quot;00C8691C&quot;/&gt;&lt;wsp:rsid wsp:val=&quot;00C8725C&quot;/&gt;&lt;wsp:rsid wsp:val=&quot;00C87E56&quot;/&gt;&lt;wsp:rsid wsp:val=&quot;00C907E7&quot;/&gt;&lt;wsp:rsid wsp:val=&quot;00C9345D&quot;/&gt;&lt;wsp:rsid wsp:val=&quot;00C95458&quot;/&gt;&lt;wsp:rsid wsp:val=&quot;00CA0C5C&quot;/&gt;&lt;wsp:rsid wsp:val=&quot;00CA168A&quot;/&gt;&lt;wsp:rsid wsp:val=&quot;00CA2B49&quot;/&gt;&lt;wsp:rsid wsp:val=&quot;00CA357E&quot;/&gt;&lt;wsp:rsid wsp:val=&quot;00CA44F9&quot;/&gt;&lt;wsp:rsid wsp:val=&quot;00CA4A69&quot;/&gt;&lt;wsp:rsid wsp:val=&quot;00CA4FE2&quot;/&gt;&lt;wsp:rsid wsp:val=&quot;00CA5ADE&quot;/&gt;&lt;wsp:rsid wsp:val=&quot;00CA5B80&quot;/&gt;&lt;wsp:rsid wsp:val=&quot;00CA6725&quot;/&gt;&lt;wsp:rsid wsp:val=&quot;00CA71A9&quot;/&gt;&lt;wsp:rsid wsp:val=&quot;00CA7420&quot;/&gt;&lt;wsp:rsid wsp:val=&quot;00CB2287&quot;/&gt;&lt;wsp:rsid wsp:val=&quot;00CB3CFE&quot;/&gt;&lt;wsp:rsid wsp:val=&quot;00CB4318&quot;/&gt;&lt;wsp:rsid wsp:val=&quot;00CC37F9&quot;/&gt;&lt;wsp:rsid wsp:val=&quot;00CC38D6&quot;/&gt;&lt;wsp:rsid wsp:val=&quot;00CC3E0C&quot;/&gt;&lt;wsp:rsid wsp:val=&quot;00CC58D3&quot;/&gt;&lt;wsp:rsid wsp:val=&quot;00CC784D&quot;/&gt;&lt;wsp:rsid wsp:val=&quot;00CD1D17&quot;/&gt;&lt;wsp:rsid wsp:val=&quot;00CD1F19&quot;/&gt;&lt;wsp:rsid wsp:val=&quot;00CD38AC&quot;/&gt;&lt;wsp:rsid wsp:val=&quot;00CD3B6D&quot;/&gt;&lt;wsp:rsid wsp:val=&quot;00CD627B&quot;/&gt;&lt;wsp:rsid wsp:val=&quot;00CE1A6B&quot;/&gt;&lt;wsp:rsid wsp:val=&quot;00CE2C93&quot;/&gt;&lt;wsp:rsid wsp:val=&quot;00CE3201&quot;/&gt;&lt;wsp:rsid wsp:val=&quot;00CE5E2F&quot;/&gt;&lt;wsp:rsid wsp:val=&quot;00CE7A23&quot;/&gt;&lt;wsp:rsid wsp:val=&quot;00CF1009&quot;/&gt;&lt;wsp:rsid wsp:val=&quot;00CF372D&quot;/&gt;&lt;wsp:rsid wsp:val=&quot;00CF4792&quot;/&gt;&lt;wsp:rsid wsp:val=&quot;00CF5373&quot;/&gt;&lt;wsp:rsid wsp:val=&quot;00CF673F&quot;/&gt;&lt;wsp:rsid wsp:val=&quot;00CF7830&quot;/&gt;&lt;wsp:rsid wsp:val=&quot;00D00BC8&quot;/&gt;&lt;wsp:rsid wsp:val=&quot;00D017CA&quot;/&gt;&lt;wsp:rsid wsp:val=&quot;00D0337B&quot;/&gt;&lt;wsp:rsid wsp:val=&quot;00D04EE1&quot;/&gt;&lt;wsp:rsid wsp:val=&quot;00D05826&quot;/&gt;&lt;wsp:rsid wsp:val=&quot;00D06888&quot;/&gt;&lt;wsp:rsid wsp:val=&quot;00D06EBE&quot;/&gt;&lt;wsp:rsid wsp:val=&quot;00D072C4&quot;/&gt;&lt;wsp:rsid wsp:val=&quot;00D079B2&quot;/&gt;&lt;wsp:rsid wsp:val=&quot;00D114E9&quot;/&gt;&lt;wsp:rsid wsp:val=&quot;00D12DFE&quot;/&gt;&lt;wsp:rsid wsp:val=&quot;00D13165&quot;/&gt;&lt;wsp:rsid wsp:val=&quot;00D1402C&quot;/&gt;&lt;wsp:rsid wsp:val=&quot;00D15F1D&quot;/&gt;&lt;wsp:rsid wsp:val=&quot;00D24F5D&quot;/&gt;&lt;wsp:rsid wsp:val=&quot;00D25504&quot;/&gt;&lt;wsp:rsid wsp:val=&quot;00D2687B&quot;/&gt;&lt;wsp:rsid wsp:val=&quot;00D30CF1&quot;/&gt;&lt;wsp:rsid wsp:val=&quot;00D344F2&quot;/&gt;&lt;wsp:rsid wsp:val=&quot;00D35E81&quot;/&gt;&lt;wsp:rsid wsp:val=&quot;00D36710&quot;/&gt;&lt;wsp:rsid wsp:val=&quot;00D372DA&quot;/&gt;&lt;wsp:rsid wsp:val=&quot;00D403D5&quot;/&gt;&lt;wsp:rsid wsp:val=&quot;00D429C6&quot;/&gt;&lt;wsp:rsid wsp:val=&quot;00D43608&quot;/&gt;&lt;wsp:rsid wsp:val=&quot;00D457C6&quot;/&gt;&lt;wsp:rsid wsp:val=&quot;00D47748&quot;/&gt;&lt;wsp:rsid wsp:val=&quot;00D50272&quot;/&gt;&lt;wsp:rsid wsp:val=&quot;00D5413F&quot;/&gt;&lt;wsp:rsid wsp:val=&quot;00D54CC3&quot;/&gt;&lt;wsp:rsid wsp:val=&quot;00D55FEC&quot;/&gt;&lt;wsp:rsid wsp:val=&quot;00D6041A&quot;/&gt;&lt;wsp:rsid wsp:val=&quot;00D60F91&quot;/&gt;&lt;wsp:rsid wsp:val=&quot;00D61266&quot;/&gt;&lt;wsp:rsid wsp:val=&quot;00D633EB&quot;/&gt;&lt;wsp:rsid wsp:val=&quot;00D6438A&quot;/&gt;&lt;wsp:rsid wsp:val=&quot;00D64C21&quot;/&gt;&lt;wsp:rsid wsp:val=&quot;00D66F3D&quot;/&gt;&lt;wsp:rsid wsp:val=&quot;00D72A17&quot;/&gt;&lt;wsp:rsid wsp:val=&quot;00D736C3&quot;/&gt;&lt;wsp:rsid wsp:val=&quot;00D7787F&quot;/&gt;&lt;wsp:rsid wsp:val=&quot;00D77B3A&quot;/&gt;&lt;wsp:rsid wsp:val=&quot;00D81256&quot;/&gt;&lt;wsp:rsid wsp:val=&quot;00D81286&quot;/&gt;&lt;wsp:rsid wsp:val=&quot;00D82FF7&quot;/&gt;&lt;wsp:rsid wsp:val=&quot;00D8334F&quot;/&gt;&lt;wsp:rsid wsp:val=&quot;00D839AE&quot;/&gt;&lt;wsp:rsid wsp:val=&quot;00D847FE&quot;/&gt;&lt;wsp:rsid wsp:val=&quot;00D964EA&quot;/&gt;&lt;wsp:rsid wsp:val=&quot;00D966D0&quot;/&gt;&lt;wsp:rsid wsp:val=&quot;00D96D4A&quot;/&gt;&lt;wsp:rsid wsp:val=&quot;00DA0C59&quot;/&gt;&lt;wsp:rsid wsp:val=&quot;00DA16AE&quot;/&gt;&lt;wsp:rsid wsp:val=&quot;00DA2501&quot;/&gt;&lt;wsp:rsid wsp:val=&quot;00DA3991&quot;/&gt;&lt;wsp:rsid wsp:val=&quot;00DB01EE&quot;/&gt;&lt;wsp:rsid wsp:val=&quot;00DB3AA5&quot;/&gt;&lt;wsp:rsid wsp:val=&quot;00DB4EF8&quot;/&gt;&lt;wsp:rsid wsp:val=&quot;00DB7E6C&quot;/&gt;&lt;wsp:rsid wsp:val=&quot;00DC044B&quot;/&gt;&lt;wsp:rsid wsp:val=&quot;00DC1979&quot;/&gt;&lt;wsp:rsid wsp:val=&quot;00DC3812&quot;/&gt;&lt;wsp:rsid wsp:val=&quot;00DC5973&quot;/&gt;&lt;wsp:rsid wsp:val=&quot;00DC6BE1&quot;/&gt;&lt;wsp:rsid wsp:val=&quot;00DC7158&quot;/&gt;&lt;wsp:rsid wsp:val=&quot;00DD16AB&quot;/&gt;&lt;wsp:rsid wsp:val=&quot;00DD23C0&quot;/&gt;&lt;wsp:rsid wsp:val=&quot;00DD410E&quot;/&gt;&lt;wsp:rsid wsp:val=&quot;00DD5425&quot;/&gt;&lt;wsp:rsid wsp:val=&quot;00DD5A29&quot;/&gt;&lt;wsp:rsid wsp:val=&quot;00DD5D9D&quot;/&gt;&lt;wsp:rsid wsp:val=&quot;00DD7E8C&quot;/&gt;&lt;wsp:rsid wsp:val=&quot;00DE1273&quot;/&gt;&lt;wsp:rsid wsp:val=&quot;00DE35CB&quot;/&gt;&lt;wsp:rsid wsp:val=&quot;00DE7629&quot;/&gt;&lt;wsp:rsid wsp:val=&quot;00DF21E9&quot;/&gt;&lt;wsp:rsid wsp:val=&quot;00DF64E7&quot;/&gt;&lt;wsp:rsid wsp:val=&quot;00DF6E72&quot;/&gt;&lt;wsp:rsid wsp:val=&quot;00DF7E45&quot;/&gt;&lt;wsp:rsid wsp:val=&quot;00E00F14&quot;/&gt;&lt;wsp:rsid wsp:val=&quot;00E00FED&quot;/&gt;&lt;wsp:rsid wsp:val=&quot;00E02E7D&quot;/&gt;&lt;wsp:rsid wsp:val=&quot;00E033B4&quot;/&gt;&lt;wsp:rsid wsp:val=&quot;00E03E92&quot;/&gt;&lt;wsp:rsid wsp:val=&quot;00E05444&quot;/&gt;&lt;wsp:rsid wsp:val=&quot;00E06386&quot;/&gt;&lt;wsp:rsid wsp:val=&quot;00E06C9A&quot;/&gt;&lt;wsp:rsid wsp:val=&quot;00E137B8&quot;/&gt;&lt;wsp:rsid wsp:val=&quot;00E16394&quot;/&gt;&lt;wsp:rsid wsp:val=&quot;00E24EB4&quot;/&gt;&lt;wsp:rsid wsp:val=&quot;00E26B04&quot;/&gt;&lt;wsp:rsid wsp:val=&quot;00E26CEC&quot;/&gt;&lt;wsp:rsid wsp:val=&quot;00E30DBA&quot;/&gt;&lt;wsp:rsid wsp:val=&quot;00E319FE&quot;/&gt;&lt;wsp:rsid wsp:val=&quot;00E320ED&quot;/&gt;&lt;wsp:rsid wsp:val=&quot;00E33AFB&quot;/&gt;&lt;wsp:rsid wsp:val=&quot;00E34218&quot;/&gt;&lt;wsp:rsid wsp:val=&quot;00E363D5&quot;/&gt;&lt;wsp:rsid wsp:val=&quot;00E40808&quot;/&gt;&lt;wsp:rsid wsp:val=&quot;00E40D7E&quot;/&gt;&lt;wsp:rsid wsp:val=&quot;00E42404&quot;/&gt;&lt;wsp:rsid wsp:val=&quot;00E441D1&quot;/&gt;&lt;wsp:rsid wsp:val=&quot;00E44312&quot;/&gt;&lt;wsp:rsid wsp:val=&quot;00E46282&quot;/&gt;&lt;wsp:rsid wsp:val=&quot;00E475AA&quot;/&gt;&lt;wsp:rsid wsp:val=&quot;00E5070E&quot;/&gt;&lt;wsp:rsid wsp:val=&quot;00E50AA6&quot;/&gt;&lt;wsp:rsid wsp:val=&quot;00E5216E&quot;/&gt;&lt;wsp:rsid wsp:val=&quot;00E602EC&quot;/&gt;&lt;wsp:rsid wsp:val=&quot;00E62F24&quot;/&gt;&lt;wsp:rsid wsp:val=&quot;00E72F66&quot;/&gt;&lt;wsp:rsid wsp:val=&quot;00E73B88&quot;/&gt;&lt;wsp:rsid wsp:val=&quot;00E73BD3&quot;/&gt;&lt;wsp:rsid wsp:val=&quot;00E7453F&quot;/&gt;&lt;wsp:rsid wsp:val=&quot;00E74556&quot;/&gt;&lt;wsp:rsid wsp:val=&quot;00E75FE8&quot;/&gt;&lt;wsp:rsid wsp:val=&quot;00E8153A&quot;/&gt;&lt;wsp:rsid wsp:val=&quot;00E81662&quot;/&gt;&lt;wsp:rsid wsp:val=&quot;00E81D48&quot;/&gt;&lt;wsp:rsid wsp:val=&quot;00E82344&quot;/&gt;&lt;wsp:rsid wsp:val=&quot;00E828A2&quot;/&gt;&lt;wsp:rsid wsp:val=&quot;00E8416A&quot;/&gt;&lt;wsp:rsid wsp:val=&quot;00E843CD&quot;/&gt;&lt;wsp:rsid wsp:val=&quot;00E84C82&quot;/&gt;&lt;wsp:rsid wsp:val=&quot;00E84D64&quot;/&gt;&lt;wsp:rsid wsp:val=&quot;00E87408&quot;/&gt;&lt;wsp:rsid wsp:val=&quot;00E914C4&quot;/&gt;&lt;wsp:rsid wsp:val=&quot;00E934F5&quot;/&gt;&lt;wsp:rsid wsp:val=&quot;00E93F03&quot;/&gt;&lt;wsp:rsid wsp:val=&quot;00E9447D&quot;/&gt;&lt;wsp:rsid wsp:val=&quot;00E95E53&quot;/&gt;&lt;wsp:rsid wsp:val=&quot;00E95ED2&quot;/&gt;&lt;wsp:rsid wsp:val=&quot;00E96961&quot;/&gt;&lt;wsp:rsid wsp:val=&quot;00EA06A7&quot;/&gt;&lt;wsp:rsid wsp:val=&quot;00EA308E&quot;/&gt;&lt;wsp:rsid wsp:val=&quot;00EA3FCE&quot;/&gt;&lt;wsp:rsid wsp:val=&quot;00EA4376&quot;/&gt;&lt;wsp:rsid wsp:val=&quot;00EA52C4&quot;/&gt;&lt;wsp:rsid wsp:val=&quot;00EA562D&quot;/&gt;&lt;wsp:rsid wsp:val=&quot;00EA72EC&quot;/&gt;&lt;wsp:rsid wsp:val=&quot;00EB11CB&quot;/&gt;&lt;wsp:rsid wsp:val=&quot;00EB1762&quot;/&gt;&lt;wsp:rsid wsp:val=&quot;00EB275A&quot;/&gt;&lt;wsp:rsid wsp:val=&quot;00EB5887&quot;/&gt;&lt;wsp:rsid wsp:val=&quot;00EB5C46&quot;/&gt;&lt;wsp:rsid wsp:val=&quot;00EB786A&quot;/&gt;&lt;wsp:rsid wsp:val=&quot;00EB7B29&quot;/&gt;&lt;wsp:rsid wsp:val=&quot;00EC06F0&quot;/&gt;&lt;wsp:rsid wsp:val=&quot;00EC1578&quot;/&gt;&lt;wsp:rsid wsp:val=&quot;00EC1C72&quot;/&gt;&lt;wsp:rsid wsp:val=&quot;00EC2317&quot;/&gt;&lt;wsp:rsid wsp:val=&quot;00EC2CFA&quot;/&gt;&lt;wsp:rsid wsp:val=&quot;00EC3462&quot;/&gt;&lt;wsp:rsid wsp:val=&quot;00EC3CC9&quot;/&gt;&lt;wsp:rsid wsp:val=&quot;00EC680A&quot;/&gt;&lt;wsp:rsid wsp:val=&quot;00EC6D44&quot;/&gt;&lt;wsp:rsid wsp:val=&quot;00EC7275&quot;/&gt;&lt;wsp:rsid wsp:val=&quot;00EE19F9&quot;/&gt;&lt;wsp:rsid wsp:val=&quot;00EE2BED&quot;/&gt;&lt;wsp:rsid wsp:val=&quot;00EE2E74&quot;/&gt;&lt;wsp:rsid wsp:val=&quot;00EE3003&quot;/&gt;&lt;wsp:rsid wsp:val=&quot;00EE310A&quot;/&gt;&lt;wsp:rsid wsp:val=&quot;00EE374B&quot;/&gt;&lt;wsp:rsid wsp:val=&quot;00EE40F1&quot;/&gt;&lt;wsp:rsid wsp:val=&quot;00EE65D0&quot;/&gt;&lt;wsp:rsid wsp:val=&quot;00EF2383&quot;/&gt;&lt;wsp:rsid wsp:val=&quot;00EF2B68&quot;/&gt;&lt;wsp:rsid wsp:val=&quot;00EF6980&quot;/&gt;&lt;wsp:rsid wsp:val=&quot;00EF6C52&quot;/&gt;&lt;wsp:rsid wsp:val=&quot;00EF6D94&quot;/&gt;&lt;wsp:rsid wsp:val=&quot;00EF6F38&quot;/&gt;&lt;wsp:rsid wsp:val=&quot;00F06E38&quot;/&gt;&lt;wsp:rsid wsp:val=&quot;00F07972&quot;/&gt;&lt;wsp:rsid wsp:val=&quot;00F079FC&quot;/&gt;&lt;wsp:rsid wsp:val=&quot;00F104E5&quot;/&gt;&lt;wsp:rsid wsp:val=&quot;00F11BB5&quot;/&gt;&lt;wsp:rsid wsp:val=&quot;00F1417B&quot;/&gt;&lt;wsp:rsid wsp:val=&quot;00F170FF&quot;/&gt;&lt;wsp:rsid wsp:val=&quot;00F207FF&quot;/&gt;&lt;wsp:rsid wsp:val=&quot;00F23FB3&quot;/&gt;&lt;wsp:rsid wsp:val=&quot;00F24FE6&quot;/&gt;&lt;wsp:rsid wsp:val=&quot;00F269C1&quot;/&gt;&lt;wsp:rsid wsp:val=&quot;00F273C9&quot;/&gt;&lt;wsp:rsid wsp:val=&quot;00F32FF2&quot;/&gt;&lt;wsp:rsid wsp:val=&quot;00F34B99&quot;/&gt;&lt;wsp:rsid wsp:val=&quot;00F35865&quot;/&gt;&lt;wsp:rsid wsp:val=&quot;00F366ED&quot;/&gt;&lt;wsp:rsid wsp:val=&quot;00F37728&quot;/&gt;&lt;wsp:rsid wsp:val=&quot;00F42583&quot;/&gt;&lt;wsp:rsid wsp:val=&quot;00F4312E&quot;/&gt;&lt;wsp:rsid wsp:val=&quot;00F52DAB&quot;/&gt;&lt;wsp:rsid wsp:val=&quot;00F5422E&quot;/&gt;&lt;wsp:rsid wsp:val=&quot;00F543F0&quot;/&gt;&lt;wsp:rsid wsp:val=&quot;00F55235&quot;/&gt;&lt;wsp:rsid wsp:val=&quot;00F5534A&quot;/&gt;&lt;wsp:rsid wsp:val=&quot;00F60C00&quot;/&gt;&lt;wsp:rsid wsp:val=&quot;00F655C4&quot;/&gt;&lt;wsp:rsid wsp:val=&quot;00F65E55&quot;/&gt;&lt;wsp:rsid wsp:val=&quot;00F662BE&quot;/&gt;&lt;wsp:rsid wsp:val=&quot;00F752E1&quot;/&gt;&lt;wsp:rsid wsp:val=&quot;00F814B8&quot;/&gt;&lt;wsp:rsid wsp:val=&quot;00F81D29&quot;/&gt;&lt;wsp:rsid wsp:val=&quot;00F91C4D&quot;/&gt;&lt;wsp:rsid wsp:val=&quot;00F92FD9&quot;/&gt;&lt;wsp:rsid wsp:val=&quot;00F93155&quot;/&gt;&lt;wsp:rsid wsp:val=&quot;00F951DC&quot;/&gt;&lt;wsp:rsid wsp:val=&quot;00F9729D&quot;/&gt;&lt;wsp:rsid wsp:val=&quot;00F97B18&quot;/&gt;&lt;wsp:rsid wsp:val=&quot;00FA1195&quot;/&gt;&lt;wsp:rsid wsp:val=&quot;00FA1414&quot;/&gt;&lt;wsp:rsid wsp:val=&quot;00FA2B24&quot;/&gt;&lt;wsp:rsid wsp:val=&quot;00FA3688&quot;/&gt;&lt;wsp:rsid wsp:val=&quot;00FA382D&quot;/&gt;&lt;wsp:rsid wsp:val=&quot;00FA4B94&quot;/&gt;&lt;wsp:rsid wsp:val=&quot;00FA6684&quot;/&gt;&lt;wsp:rsid wsp:val=&quot;00FA731E&quot;/&gt;&lt;wsp:rsid wsp:val=&quot;00FB2B38&quot;/&gt;&lt;wsp:rsid wsp:val=&quot;00FB4858&quot;/&gt;&lt;wsp:rsid wsp:val=&quot;00FC169D&quot;/&gt;&lt;wsp:rsid wsp:val=&quot;00FC3BFE&quot;/&gt;&lt;wsp:rsid wsp:val=&quot;00FC3EA8&quot;/&gt;&lt;wsp:rsid wsp:val=&quot;00FC4ADB&quot;/&gt;&lt;wsp:rsid wsp:val=&quot;00FC6358&quot;/&gt;&lt;wsp:rsid wsp:val=&quot;00FD2295&quot;/&gt;&lt;wsp:rsid wsp:val=&quot;00FD2DF3&quot;/&gt;&lt;wsp:rsid wsp:val=&quot;00FD320D&quot;/&gt;&lt;wsp:rsid wsp:val=&quot;00FD359C&quot;/&gt;&lt;wsp:rsid wsp:val=&quot;00FE11D1&quot;/&gt;&lt;wsp:rsid wsp:val=&quot;00FE23DE&quot;/&gt;&lt;wsp:rsid wsp:val=&quot;00FE553E&quot;/&gt;&lt;wsp:rsid wsp:val=&quot;00FE5BE4&quot;/&gt;&lt;wsp:rsid wsp:val=&quot;00FE61CB&quot;/&gt;&lt;wsp:rsid wsp:val=&quot;00FE77ED&quot;/&gt;&lt;/wsp:rsids&gt;&lt;/w:docPr&gt;&lt;w:body&gt;&lt;wx:sect&gt;&lt;w:p wsp:rsidR=&quot;00000000&quot; wsp:rsidRDefault=&quot;000D23B8&quot; wsp:rsidP=&quot;000D23B8&quot;&gt;&lt;m:oMathPara&gt;&lt;m:oMath&gt;&lt;m:sSub&gt;&lt;m:sSubPr&gt;&lt;m:ctrlPr&gt;&lt;w:rPr&gt;&lt;w:rFonts w:ascii=&quot;Cambria Math&quot; w:fareast=&quot;等线&quot; w:h-ansi=&quot;Cambria Matalalalalalalalalh&quot;=&quot; w:cs=&quot;Times New Roman&quot;/&gt;&lt;wx:font wx:val=&quot;Cambria Math&quot;/&gt;&lt;w:i/&gt;&lt;w:sz-cs w:val=&quot;22&quot;/&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f&gt;&lt;m:fPr&gt;&lt;m:ctrlPr&gt;&lt;w:rPr&gt;&lt;w:rFonts w:ascii=&quot;Cambria Math&quot; w:fareast=&quot;等线&quot; w:h-ansi=&quot;Cambria Math&quot; w:cs=&quot;Times New Roman&quot;/&gt;&lt;wx:font wx:val=&quot;Cambria Math&quot;/&gt;&lt;w:i/&gt;&lt;w:sz-cs w:val=&quot;22&quot;/&gt;&lt;/w:rPr&gt;&lt;/:fm:onctt rlwxPr:v&gt;&lt;al/m=&quot;:fCaPr&gt;&lt;rim:num&gt;&lt;m:f&gt;&lt;m:fPr&gt;&lt;m:ctrlPr&gt;&lt;w:rPr&gt;&lt;w:rFonts w:ascii=&quot;Cambria Math&quot; w:fareast=&quot;等线&quot; w:h-ansi=&quot;Cambria Math&quot; w:cs=&quot;Times New Roman&quot;/&gt;&lt;wx:font wx:val=&quot;Cambria Math&quot;/&gt;&lt;w:i/&gt;&lt;w:sz-cs w:val=&quot;22&quot;/&gt;&lt;/w:rPr&gt;&lt;/m:ctrlPr&gt;&lt;/m:fPr&gt;&lt;m:f:numon&gt;&lt;m:t r&gt;&lt;wwx:rPr:v&gt;&lt;w:alrFon=&quot;ts wCa:asciiri=&quot;Cambria Math&quot; w:h-ansi=&quot;Cambria Math&quot;/&gt;&lt;wx:font wx:val=&quot;Cambria Math&quot;/&gt;&lt;w:i/&gt;&lt;/w:rPr&gt;&lt;m:t&gt;w?v&lt;/m:t&gt;&lt;/m:r&gt;&lt;/m:num&gt;&lt;m:den&gt;&lt;m:r&gt;&lt;w:rPr&gt;&lt;w:rFonts w:ascii=&quot;Cambria Math&quot; w:h-ansi=&quot;Cambria Math&quot;/&gt;&lt;wx:font wx:val=&quot;Cambria Math&quot;/&gt;&lt;w:i/&gt;&lt;/w:rPr&gt;&lt;m:t&gt;M&lt;/m:t&gt;&lt;/m:r&gt;&lt;/m:den&gt;&lt;/m:f&gt;&lt;m:r&gt;&lt;w:rPr&gt;&lt;w:rFonts w:ascii=&quot;Cambria Math&quot; w:h-ansi=&quot;Cambria Math&quot;/&gt;&lt;wx:font wx:val=&quot;Cambria Math&quot;/&gt;&lt;w:i/&gt;&lt;/w:rPr&gt;&lt;m:t&gt;×&lt;/m:t&gt;&lt;/m:r&gt;&lt;m:sSub&gt;&lt;m:sSubPr&gt;&lt;m:ctrlPr&gt;&lt;w:rPr&gt;&lt;w:rFonts w:ascii=&quot;Cvambriaa Math&quot;  w:far/east=&quot;/等线&quot; w:rw:h-an&lt;m:si=&quot;Ca&lt;/mmbria Mam:rth&quot; w:cs=&quot;Times New Roman&quot;/&gt;&lt;wx:font wx:val=&quot;Cambria Math&quot;/&gt;&lt;w:i/&gt;&lt;w:sz-cs w:val=&quot;22&quot;/&gt;&lt;/w:rPr&gt;&lt;/m:ctrlPr&gt;&lt;/m:sSubPr&gt;&lt;m:e&gt;&lt;m:r&gt;&lt;w:rPr&gt;&lt;w:rFonts w:ascii=&quot;Cambria Math&quot; w:h-ansi=&quot;Cambria MathCv&quot;/&gt;&lt;wx:aafont wx&quot; :val=&quot;Cr/ambria &quot;/Math&quot;/&gt;&lt;w:i/&gt;&lt;/w:rPr&gt;&lt;m:t&gt;N&lt;/m:t&gt;&lt;/m:r&gt;&lt;/m:e&gt;&lt;m:sub&gt;&lt;m:r&gt;&lt;w:rPr&gt;&lt;w:rFonts w:ascii=&quot;Cambria Math&quot; w:h-ansi=&quot;Cambria Math&quot;/&gt;&lt;wx:font wx:val=&quot;Cambria Math&quot;/&gt;&lt;w:i/&gt;&lt;/w:rPr&gt;&lt;m:t&gt;A&lt;/m:t&gt;&lt;/m:r&gt;&lt;/m:sub&gt;&lt;/m:sSub&gt;&lt;/m:num&gt;&lt;m:den&gt;&lt;m:r&gt;&lt;w:rPr&gt;&lt;w:rFonts w:ascii=&quot;Cambria Math&quot; w:h-ansi=&quot;Cambria Math&quot;/&gt;&lt;wx:font wx:val=&quot;Cambria Math&quot;/&gt;&lt;w:i/&gt;&lt;/w:rPr&gt;&lt;m:t&gt;S&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instrText xml:space="preserve"> </w:instrText>
      </w:r>
      <w:r>
        <w:fldChar w:fldCharType="end"/>
      </w:r>
      <w:r>
        <w:rPr>
          <w:rFonts w:hint="eastAsia"/>
        </w:rPr>
        <w:t>…………………………………………（1）</w:t>
      </w:r>
    </w:p>
    <w:p>
      <w:pPr>
        <w:spacing w:line="360" w:lineRule="auto"/>
        <w:ind w:firstLine="420" w:firstLineChars="200"/>
        <w:jc w:val="left"/>
        <w:rPr>
          <w:rFonts w:ascii="宋体"/>
          <w:kern w:val="0"/>
          <w:szCs w:val="22"/>
        </w:rPr>
      </w:pPr>
      <w:r>
        <w:rPr>
          <w:rFonts w:hint="eastAsia" w:ascii="宋体"/>
          <w:kern w:val="0"/>
          <w:szCs w:val="22"/>
        </w:rPr>
        <w:t>式中：</w:t>
      </w:r>
    </w:p>
    <w:p>
      <w:pPr>
        <w:spacing w:line="360" w:lineRule="auto"/>
        <w:ind w:firstLine="420" w:firstLineChars="200"/>
        <w:jc w:val="left"/>
        <w:rPr>
          <w:rFonts w:ascii="宋体" w:hAnsi="宋体"/>
          <w:szCs w:val="21"/>
        </w:rPr>
      </w:pPr>
      <w:r>
        <w:rPr>
          <w:i/>
          <w:szCs w:val="21"/>
        </w:rPr>
        <w:t>C</w:t>
      </w:r>
      <w:r>
        <w:rPr>
          <w:i/>
          <w:szCs w:val="21"/>
          <w:vertAlign w:val="subscript"/>
        </w:rPr>
        <w:t>ij</w:t>
      </w:r>
      <w:r>
        <w:rPr>
          <w:rFonts w:hint="eastAsia"/>
          <w:i/>
          <w:szCs w:val="21"/>
          <w:vertAlign w:val="subscript"/>
        </w:rPr>
        <w:t xml:space="preserve"> </w:t>
      </w:r>
      <w:r>
        <w:t>——</w:t>
      </w:r>
      <w:r>
        <w:rPr>
          <w:rFonts w:hint="eastAsia"/>
          <w:i/>
          <w:szCs w:val="21"/>
        </w:rPr>
        <w:t xml:space="preserve"> </w:t>
      </w:r>
      <w:r>
        <w:rPr>
          <w:rFonts w:hint="eastAsia" w:ascii="宋体" w:hAnsi="宋体"/>
          <w:szCs w:val="21"/>
        </w:rPr>
        <w:t>样品</w:t>
      </w:r>
      <w:r>
        <w:rPr>
          <w:rFonts w:hint="eastAsia"/>
          <w:i/>
          <w:szCs w:val="21"/>
        </w:rPr>
        <w:t>j</w:t>
      </w:r>
      <w:r>
        <w:rPr>
          <w:rFonts w:hint="eastAsia" w:ascii="宋体" w:hAnsi="宋体"/>
          <w:szCs w:val="21"/>
        </w:rPr>
        <w:t>中杂质元素</w:t>
      </w:r>
      <w:r>
        <w:rPr>
          <w:rFonts w:hint="eastAsia"/>
          <w:i/>
          <w:szCs w:val="21"/>
        </w:rPr>
        <w:t>i</w:t>
      </w:r>
      <w:r>
        <w:rPr>
          <w:rFonts w:hint="eastAsia" w:ascii="宋体" w:hAnsi="宋体"/>
          <w:szCs w:val="21"/>
        </w:rPr>
        <w:t>的浓度，单位</w:t>
      </w:r>
      <w:r>
        <w:rPr>
          <w:rFonts w:hint="eastAsia" w:hAnsi="宋体" w:cs="宋体"/>
          <w:szCs w:val="22"/>
        </w:rPr>
        <w:t>（以原子数计）</w:t>
      </w:r>
      <w:r>
        <w:rPr>
          <w:rFonts w:hint="eastAsia" w:ascii="宋体" w:hAnsi="宋体"/>
          <w:szCs w:val="21"/>
        </w:rPr>
        <w:t>为</w:t>
      </w:r>
      <w:r>
        <w:rPr>
          <w:rFonts w:hint="eastAsia" w:hAnsi="宋体" w:cs="宋体"/>
          <w:szCs w:val="22"/>
        </w:rPr>
        <w:t>每立方厘米（</w:t>
      </w:r>
      <w:r>
        <w:rPr>
          <w:rFonts w:hint="eastAsia" w:ascii="宋体" w:hAnsi="宋体" w:cs="宋体"/>
          <w:kern w:val="0"/>
          <w:szCs w:val="22"/>
        </w:rPr>
        <w:t>cm</w:t>
      </w:r>
      <w:r>
        <w:rPr>
          <w:rFonts w:hint="eastAsia" w:ascii="宋体" w:hAnsi="宋体" w:cs="宋体"/>
          <w:kern w:val="0"/>
          <w:szCs w:val="22"/>
          <w:vertAlign w:val="superscript"/>
        </w:rPr>
        <w:t>-3</w:t>
      </w:r>
      <w:r>
        <w:rPr>
          <w:rFonts w:hint="eastAsia" w:hAnsi="宋体" w:cs="宋体"/>
          <w:szCs w:val="22"/>
        </w:rPr>
        <w:t>）</w:t>
      </w:r>
      <w:r>
        <w:rPr>
          <w:rFonts w:hint="eastAsia" w:ascii="宋体" w:hAnsi="宋体"/>
          <w:szCs w:val="21"/>
        </w:rPr>
        <w:t>；</w:t>
      </w:r>
    </w:p>
    <w:p>
      <w:pPr>
        <w:spacing w:line="360" w:lineRule="auto"/>
        <w:ind w:left="-105" w:leftChars="-50" w:firstLine="420" w:firstLineChars="200"/>
        <w:jc w:val="left"/>
        <w:rPr>
          <w:rFonts w:ascii="宋体" w:hAnsi="宋体"/>
          <w:szCs w:val="21"/>
        </w:rPr>
      </w:pPr>
      <w:r>
        <w:rPr>
          <w:rFonts w:hint="eastAsia"/>
          <w:i/>
          <w:szCs w:val="21"/>
        </w:rPr>
        <w:t>　</w:t>
      </w:r>
      <w:r>
        <w:rPr>
          <w:i/>
          <w:szCs w:val="21"/>
        </w:rPr>
        <w:t>I</w:t>
      </w:r>
      <w:r>
        <w:rPr>
          <w:rFonts w:hint="eastAsia"/>
          <w:i/>
          <w:szCs w:val="21"/>
          <w:vertAlign w:val="subscript"/>
        </w:rPr>
        <w:t xml:space="preserve">ij </w:t>
      </w:r>
      <w:r>
        <w:t>——</w:t>
      </w:r>
      <w:r>
        <w:rPr>
          <w:rFonts w:hint="eastAsia"/>
          <w:i/>
          <w:szCs w:val="21"/>
        </w:rPr>
        <w:t xml:space="preserve"> </w:t>
      </w:r>
      <w:r>
        <w:rPr>
          <w:rFonts w:hint="eastAsia" w:ascii="宋体" w:hAnsi="宋体"/>
          <w:szCs w:val="21"/>
        </w:rPr>
        <w:t>成分</w:t>
      </w:r>
      <w:r>
        <w:rPr>
          <w:rFonts w:hint="eastAsia"/>
          <w:i/>
          <w:szCs w:val="21"/>
        </w:rPr>
        <w:t>i</w:t>
      </w:r>
      <w:r>
        <w:rPr>
          <w:rFonts w:hint="eastAsia" w:ascii="宋体" w:hAnsi="宋体"/>
          <w:szCs w:val="21"/>
        </w:rPr>
        <w:t>的积分面积；</w:t>
      </w:r>
    </w:p>
    <w:p>
      <w:pPr>
        <w:spacing w:line="360" w:lineRule="auto"/>
        <w:ind w:left="-105" w:leftChars="-50" w:firstLine="420" w:firstLineChars="200"/>
        <w:jc w:val="left"/>
        <w:rPr>
          <w:rFonts w:ascii="宋体" w:hAnsi="宋体"/>
          <w:szCs w:val="21"/>
        </w:rPr>
      </w:pPr>
      <w:r>
        <w:rPr>
          <w:rFonts w:hint="eastAsia"/>
          <w:i/>
          <w:szCs w:val="21"/>
        </w:rPr>
        <w:t>　t</w:t>
      </w:r>
      <w:r>
        <w:rPr>
          <w:i/>
          <w:szCs w:val="21"/>
          <w:vertAlign w:val="subscript"/>
        </w:rPr>
        <w:t>j</w:t>
      </w:r>
      <w:r>
        <w:rPr>
          <w:rFonts w:hint="eastAsia"/>
          <w:i/>
          <w:szCs w:val="21"/>
        </w:rPr>
        <w:t xml:space="preserve"> </w:t>
      </w:r>
      <w:r>
        <w:t>——</w:t>
      </w:r>
      <w:r>
        <w:rPr>
          <w:rFonts w:hint="eastAsia"/>
          <w:i/>
          <w:szCs w:val="21"/>
        </w:rPr>
        <w:t xml:space="preserve"> </w:t>
      </w:r>
      <w:r>
        <w:rPr>
          <w:rFonts w:hint="eastAsia" w:ascii="宋体" w:hAnsi="宋体"/>
          <w:szCs w:val="21"/>
        </w:rPr>
        <w:t>样品</w:t>
      </w:r>
      <w:r>
        <w:rPr>
          <w:rFonts w:hint="eastAsia"/>
          <w:i/>
          <w:szCs w:val="21"/>
        </w:rPr>
        <w:t>j</w:t>
      </w:r>
      <w:r>
        <w:rPr>
          <w:rFonts w:hint="eastAsia" w:ascii="宋体" w:hAnsi="宋体"/>
          <w:szCs w:val="21"/>
        </w:rPr>
        <w:t>厚度，单位为毫米（</w:t>
      </w:r>
      <w:r>
        <w:rPr>
          <w:rFonts w:ascii="宋体" w:hAnsi="宋体"/>
          <w:szCs w:val="21"/>
        </w:rPr>
        <w:t>mm</w:t>
      </w:r>
      <w:r>
        <w:rPr>
          <w:rFonts w:hint="eastAsia" w:ascii="宋体" w:hAnsi="宋体"/>
          <w:szCs w:val="21"/>
        </w:rPr>
        <w:t>）；</w:t>
      </w:r>
    </w:p>
    <w:p>
      <w:pPr>
        <w:spacing w:line="360" w:lineRule="auto"/>
        <w:ind w:left="-105" w:leftChars="-50" w:firstLine="420" w:firstLineChars="200"/>
        <w:jc w:val="left"/>
        <w:rPr>
          <w:rFonts w:ascii="宋体" w:hAnsi="宋体"/>
          <w:szCs w:val="21"/>
        </w:rPr>
      </w:pPr>
      <w:r>
        <w:rPr>
          <w:rFonts w:hint="eastAsia"/>
          <w:i/>
          <w:szCs w:val="21"/>
        </w:rPr>
        <w:t>　f</w:t>
      </w:r>
      <w:r>
        <w:rPr>
          <w:i/>
          <w:szCs w:val="21"/>
          <w:vertAlign w:val="subscript"/>
        </w:rPr>
        <w:t>i</w:t>
      </w:r>
      <w:r>
        <w:rPr>
          <w:rFonts w:hint="eastAsia"/>
          <w:i/>
          <w:szCs w:val="21"/>
        </w:rPr>
        <w:t xml:space="preserve"> </w:t>
      </w:r>
      <w:r>
        <w:t>——</w:t>
      </w:r>
      <w:r>
        <w:rPr>
          <w:rFonts w:hint="eastAsia"/>
          <w:i/>
          <w:szCs w:val="21"/>
        </w:rPr>
        <w:t xml:space="preserve"> </w:t>
      </w:r>
      <w:r>
        <w:rPr>
          <w:rFonts w:hint="eastAsia" w:ascii="宋体" w:hAnsi="宋体"/>
          <w:szCs w:val="21"/>
        </w:rPr>
        <w:t>成分</w:t>
      </w:r>
      <w:r>
        <w:rPr>
          <w:rFonts w:hint="eastAsia"/>
          <w:i/>
          <w:szCs w:val="21"/>
        </w:rPr>
        <w:t>i</w:t>
      </w:r>
      <w:r>
        <w:rPr>
          <w:rFonts w:hint="eastAsia" w:ascii="宋体" w:hAnsi="宋体"/>
          <w:szCs w:val="21"/>
        </w:rPr>
        <w:t>的校准因子，单位为毫米厘米（mm-cm）。</w:t>
      </w:r>
    </w:p>
    <w:p>
      <w:pPr>
        <w:spacing w:line="360" w:lineRule="auto"/>
        <w:ind w:firstLine="420" w:firstLineChars="200"/>
        <w:jc w:val="left"/>
        <w:rPr>
          <w:rFonts w:ascii="宋体"/>
          <w:kern w:val="0"/>
          <w:szCs w:val="22"/>
        </w:rPr>
      </w:pPr>
      <w:r>
        <w:rPr>
          <w:rFonts w:hint="eastAsia" w:ascii="宋体"/>
          <w:kern w:val="0"/>
          <w:szCs w:val="22"/>
        </w:rPr>
        <w:t>注：样品中</w:t>
      </w:r>
      <w:r>
        <w:rPr>
          <w:rFonts w:hint="eastAsia" w:ascii="宋体" w:hAnsi="宋体"/>
        </w:rPr>
        <w:t>III、V族</w:t>
      </w:r>
      <w:r>
        <w:rPr>
          <w:rFonts w:hint="eastAsia" w:ascii="宋体"/>
          <w:kern w:val="0"/>
          <w:szCs w:val="22"/>
        </w:rPr>
        <w:t>杂质的浓度单位</w:t>
      </w:r>
      <w:r>
        <w:rPr>
          <w:rFonts w:hint="eastAsia" w:ascii="宋体" w:hAnsi="宋体" w:cs="宋体"/>
          <w:kern w:val="0"/>
          <w:szCs w:val="22"/>
        </w:rPr>
        <w:t>由</w:t>
      </w:r>
      <w:r>
        <w:rPr>
          <w:rFonts w:hint="eastAsia" w:hAnsi="宋体" w:cs="宋体"/>
          <w:szCs w:val="22"/>
        </w:rPr>
        <w:t>（以原子数计）</w:t>
      </w:r>
      <w:r>
        <w:rPr>
          <w:rFonts w:hint="eastAsia" w:ascii="宋体" w:hAnsi="宋体"/>
          <w:szCs w:val="21"/>
        </w:rPr>
        <w:t>为</w:t>
      </w:r>
      <w:r>
        <w:rPr>
          <w:rFonts w:hint="eastAsia" w:hAnsi="宋体" w:cs="宋体"/>
          <w:szCs w:val="22"/>
        </w:rPr>
        <w:t>每立方厘米（</w:t>
      </w:r>
      <w:r>
        <w:rPr>
          <w:rFonts w:hint="eastAsia" w:ascii="宋体" w:hAnsi="宋体" w:cs="宋体"/>
          <w:kern w:val="0"/>
          <w:szCs w:val="22"/>
        </w:rPr>
        <w:t>cm</w:t>
      </w:r>
      <w:r>
        <w:rPr>
          <w:rFonts w:hint="eastAsia" w:ascii="宋体" w:hAnsi="宋体" w:cs="宋体"/>
          <w:kern w:val="0"/>
          <w:szCs w:val="22"/>
          <w:vertAlign w:val="superscript"/>
        </w:rPr>
        <w:t>-3</w:t>
      </w:r>
      <w:r>
        <w:rPr>
          <w:rFonts w:hint="eastAsia" w:hAnsi="宋体" w:cs="宋体"/>
          <w:szCs w:val="22"/>
        </w:rPr>
        <w:t>）</w:t>
      </w:r>
      <w:r>
        <w:rPr>
          <w:rFonts w:hint="eastAsia" w:ascii="宋体" w:hAnsi="宋体" w:cs="宋体"/>
          <w:kern w:val="0"/>
          <w:szCs w:val="22"/>
        </w:rPr>
        <w:t>换算为ppba时,除以5.0×10</w:t>
      </w:r>
      <w:r>
        <w:rPr>
          <w:rFonts w:hint="eastAsia" w:ascii="宋体" w:hAnsi="宋体" w:cs="宋体"/>
          <w:kern w:val="0"/>
          <w:szCs w:val="22"/>
          <w:vertAlign w:val="superscript"/>
        </w:rPr>
        <w:t>13</w:t>
      </w:r>
      <w:r>
        <w:rPr>
          <w:rFonts w:hint="eastAsia" w:ascii="宋体"/>
          <w:kern w:val="0"/>
          <w:szCs w:val="22"/>
        </w:rPr>
        <w:t> </w:t>
      </w:r>
      <w:r>
        <w:rPr>
          <w:rFonts w:hint="eastAsia" w:ascii="宋体"/>
          <w:kern w:val="0"/>
          <w:szCs w:val="21"/>
        </w:rPr>
        <w:t>(cm</w:t>
      </w:r>
      <w:r>
        <w:rPr>
          <w:rFonts w:hint="eastAsia" w:ascii="宋体"/>
          <w:kern w:val="0"/>
          <w:szCs w:val="21"/>
          <w:vertAlign w:val="superscript"/>
        </w:rPr>
        <w:t>-3</w:t>
      </w:r>
      <w:r>
        <w:rPr>
          <w:rFonts w:hint="eastAsia" w:ascii="宋体"/>
          <w:kern w:val="0"/>
          <w:szCs w:val="21"/>
        </w:rPr>
        <w:t>/ppba)。</w:t>
      </w:r>
    </w:p>
    <w:p>
      <w:pPr>
        <w:pStyle w:val="111"/>
        <w:numPr>
          <w:ilvl w:val="0"/>
          <w:numId w:val="0"/>
        </w:numPr>
        <w:jc w:val="center"/>
        <w:rPr>
          <w:rFonts w:ascii="黑体" w:hAnsi="黑体" w:eastAsia="黑体"/>
        </w:rPr>
      </w:pPr>
      <w:r>
        <w:rPr>
          <w:rFonts w:hint="eastAsia" w:ascii="黑体" w:hAnsi="黑体" w:eastAsia="黑体"/>
        </w:rPr>
        <w:drawing>
          <wp:anchor distT="0" distB="0" distL="114300" distR="114300" simplePos="0" relativeHeight="251665408" behindDoc="0" locked="0" layoutInCell="1" allowOverlap="1">
            <wp:simplePos x="0" y="0"/>
            <wp:positionH relativeFrom="column">
              <wp:posOffset>53975</wp:posOffset>
            </wp:positionH>
            <wp:positionV relativeFrom="paragraph">
              <wp:posOffset>32385</wp:posOffset>
            </wp:positionV>
            <wp:extent cx="5619750" cy="3540760"/>
            <wp:effectExtent l="0" t="0" r="0" b="2540"/>
            <wp:wrapTopAndBottom/>
            <wp:docPr id="8" name="图片 3" descr="低温红外图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低温红外图谱12"/>
                    <pic:cNvPicPr>
                      <a:picLocks noChangeAspect="1"/>
                    </pic:cNvPicPr>
                  </pic:nvPicPr>
                  <pic:blipFill>
                    <a:blip r:embed="rId15"/>
                    <a:stretch>
                      <a:fillRect/>
                    </a:stretch>
                  </pic:blipFill>
                  <pic:spPr>
                    <a:xfrm>
                      <a:off x="0" y="0"/>
                      <a:ext cx="5619750" cy="3540760"/>
                    </a:xfrm>
                    <a:prstGeom prst="rect">
                      <a:avLst/>
                    </a:prstGeom>
                    <a:noFill/>
                    <a:ln>
                      <a:noFill/>
                    </a:ln>
                  </pic:spPr>
                </pic:pic>
              </a:graphicData>
            </a:graphic>
          </wp:anchor>
        </w:drawing>
      </w:r>
      <w:r>
        <w:rPr>
          <w:rFonts w:hint="eastAsia" w:ascii="黑体" w:hAnsi="黑体" w:eastAsia="黑体"/>
        </w:rPr>
        <w:t>图2 砷、硼和磷在＜15K时特征区的典型红外谱图</w:t>
      </w:r>
    </w:p>
    <w:p>
      <w:pPr>
        <w:pStyle w:val="111"/>
        <w:numPr>
          <w:ilvl w:val="0"/>
          <w:numId w:val="0"/>
        </w:numPr>
        <w:jc w:val="center"/>
        <w:rPr>
          <w:rFonts w:ascii="黑体" w:hAnsi="黑体" w:eastAsia="黑体"/>
        </w:rPr>
      </w:pPr>
      <w:r>
        <w:rPr>
          <w:rFonts w:hint="eastAsia" w:ascii="黑体" w:hAnsi="黑体" w:eastAsia="黑体"/>
        </w:rPr>
        <w:drawing>
          <wp:inline distT="0" distB="0" distL="114300" distR="114300">
            <wp:extent cx="4761865" cy="2999105"/>
            <wp:effectExtent l="0" t="0" r="635" b="10795"/>
            <wp:docPr id="13" name="图片 1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无标题"/>
                    <pic:cNvPicPr>
                      <a:picLocks noChangeAspect="1"/>
                    </pic:cNvPicPr>
                  </pic:nvPicPr>
                  <pic:blipFill>
                    <a:blip r:embed="rId16"/>
                    <a:srcRect r="43816" b="37093"/>
                    <a:stretch>
                      <a:fillRect/>
                    </a:stretch>
                  </pic:blipFill>
                  <pic:spPr>
                    <a:xfrm>
                      <a:off x="0" y="0"/>
                      <a:ext cx="4761865" cy="2999105"/>
                    </a:xfrm>
                    <a:prstGeom prst="rect">
                      <a:avLst/>
                    </a:prstGeom>
                  </pic:spPr>
                </pic:pic>
              </a:graphicData>
            </a:graphic>
          </wp:inline>
        </w:drawing>
      </w:r>
    </w:p>
    <w:p>
      <w:pPr>
        <w:pStyle w:val="111"/>
        <w:numPr>
          <w:ilvl w:val="0"/>
          <w:numId w:val="0"/>
        </w:numPr>
        <w:jc w:val="center"/>
        <w:rPr>
          <w:rFonts w:ascii="黑体" w:hAnsi="黑体" w:eastAsia="黑体"/>
        </w:rPr>
      </w:pPr>
      <w:r>
        <w:rPr>
          <w:rFonts w:hint="eastAsia" w:ascii="黑体" w:hAnsi="黑体" w:eastAsia="黑体"/>
        </w:rPr>
        <w:t>图3 局部放大和基线校正后的硼和磷</w:t>
      </w:r>
    </w:p>
    <w:bookmarkEnd w:id="12"/>
    <w:p>
      <w:pPr>
        <w:pStyle w:val="34"/>
        <w:rPr>
          <w:szCs w:val="22"/>
        </w:rPr>
      </w:pPr>
      <w:r>
        <w:rPr>
          <w:rFonts w:hint="eastAsia"/>
          <w:szCs w:val="22"/>
        </w:rPr>
        <w:t>精密度</w:t>
      </w:r>
    </w:p>
    <w:p>
      <w:pPr>
        <w:pStyle w:val="18"/>
        <w:rPr>
          <w:rFonts w:hint="eastAsia" w:hAnsi="宋体"/>
          <w:kern w:val="2"/>
          <w:szCs w:val="24"/>
        </w:rPr>
      </w:pPr>
      <w:r>
        <w:rPr>
          <w:rFonts w:hint="eastAsia" w:hAnsi="宋体"/>
          <w:kern w:val="2"/>
        </w:rPr>
        <w:t>经10家实验室对5个厚度约2mm,</w:t>
      </w:r>
      <w:r>
        <w:rPr>
          <w:rFonts w:hint="eastAsia"/>
        </w:rPr>
        <w:t xml:space="preserve"> </w:t>
      </w:r>
      <w:r>
        <w:rPr>
          <w:rFonts w:hint="eastAsia" w:hAnsi="宋体"/>
          <w:kern w:val="2"/>
        </w:rPr>
        <w:t>磷、硼、砷含量（以原子数计）在</w:t>
      </w:r>
      <w:r>
        <w:rPr>
          <w:rFonts w:hint="eastAsia" w:hAnsi="宋体" w:cs="宋体"/>
          <w:szCs w:val="22"/>
        </w:rPr>
        <w:t>7.4×10</w:t>
      </w:r>
      <w:r>
        <w:rPr>
          <w:rFonts w:hint="eastAsia" w:hAnsi="宋体" w:cs="宋体"/>
          <w:szCs w:val="22"/>
          <w:vertAlign w:val="superscript"/>
        </w:rPr>
        <w:t>11</w:t>
      </w:r>
      <w:r>
        <w:rPr>
          <w:rFonts w:hint="eastAsia" w:hAnsi="宋体" w:cs="宋体"/>
          <w:szCs w:val="22"/>
        </w:rPr>
        <w:t>cm</w:t>
      </w:r>
      <w:r>
        <w:rPr>
          <w:rFonts w:hint="eastAsia" w:hAnsi="宋体" w:cs="宋体"/>
          <w:szCs w:val="22"/>
          <w:vertAlign w:val="superscript"/>
        </w:rPr>
        <w:t>-3</w:t>
      </w:r>
      <w:r>
        <w:rPr>
          <w:rFonts w:hint="eastAsia" w:hAnsi="宋体" w:cs="宋体"/>
          <w:szCs w:val="22"/>
        </w:rPr>
        <w:t>～4.1×10</w:t>
      </w:r>
      <w:r>
        <w:rPr>
          <w:rFonts w:hint="eastAsia" w:hAnsi="宋体" w:cs="宋体"/>
          <w:szCs w:val="22"/>
          <w:vertAlign w:val="superscript"/>
        </w:rPr>
        <w:t>14</w:t>
      </w:r>
      <w:r>
        <w:rPr>
          <w:rFonts w:hint="eastAsia" w:hAnsi="宋体" w:cs="宋体"/>
          <w:szCs w:val="22"/>
        </w:rPr>
        <w:t>cm</w:t>
      </w:r>
      <w:r>
        <w:rPr>
          <w:rFonts w:hint="eastAsia" w:hAnsi="宋体" w:cs="宋体"/>
          <w:szCs w:val="22"/>
          <w:vertAlign w:val="superscript"/>
        </w:rPr>
        <w:t>-</w:t>
      </w:r>
      <w:r>
        <w:rPr>
          <w:rFonts w:hAnsi="宋体" w:cs="宋体"/>
          <w:szCs w:val="22"/>
          <w:vertAlign w:val="superscript"/>
        </w:rPr>
        <w:t>3</w:t>
      </w:r>
      <w:r>
        <w:rPr>
          <w:rFonts w:hint="eastAsia" w:hAnsi="宋体" w:cs="宋体"/>
          <w:szCs w:val="22"/>
        </w:rPr>
        <w:t>范围的样片进行测试，</w:t>
      </w:r>
      <w:r>
        <w:rPr>
          <w:rFonts w:hint="eastAsia" w:hAnsi="宋体"/>
          <w:kern w:val="2"/>
          <w:szCs w:val="24"/>
        </w:rPr>
        <w:t>单一实验室的测试精度为7.27%，不同实验室间的测试精度为10.40%。</w:t>
      </w:r>
    </w:p>
    <w:p>
      <w:pPr>
        <w:widowControl/>
        <w:tabs>
          <w:tab w:val="center" w:pos="4201"/>
          <w:tab w:val="right" w:leader="dot" w:pos="9298"/>
        </w:tabs>
        <w:autoSpaceDE w:val="0"/>
        <w:autoSpaceDN w:val="0"/>
        <w:ind w:firstLine="420" w:firstLineChars="200"/>
        <w:rPr>
          <w:rFonts w:hint="eastAsia" w:ascii="宋体" w:hAnsi="宋体"/>
        </w:rPr>
      </w:pPr>
      <w:r>
        <w:rPr>
          <w:rFonts w:hint="eastAsia" w:ascii="宋体" w:hAnsi="宋体"/>
          <w:szCs w:val="20"/>
        </w:rPr>
        <w:t>经5家实验室对3个厚度约10mm,</w:t>
      </w:r>
      <w:r>
        <w:rPr>
          <w:rFonts w:hint="eastAsia" w:ascii="宋体"/>
          <w:kern w:val="0"/>
          <w:szCs w:val="20"/>
        </w:rPr>
        <w:t xml:space="preserve"> </w:t>
      </w:r>
      <w:r>
        <w:rPr>
          <w:rFonts w:hint="eastAsia" w:ascii="宋体" w:hAnsi="宋体"/>
          <w:szCs w:val="20"/>
        </w:rPr>
        <w:t>磷、硼、砷含量（以原子数计）在</w:t>
      </w:r>
      <w:r>
        <w:rPr>
          <w:rFonts w:hint="eastAsia" w:ascii="宋体" w:hAnsi="宋体" w:cs="宋体"/>
          <w:kern w:val="0"/>
          <w:szCs w:val="22"/>
        </w:rPr>
        <w:t>2.1×10</w:t>
      </w:r>
      <w:r>
        <w:rPr>
          <w:rFonts w:hint="eastAsia" w:ascii="宋体" w:hAnsi="宋体" w:cs="宋体"/>
          <w:kern w:val="0"/>
          <w:szCs w:val="22"/>
          <w:vertAlign w:val="superscript"/>
        </w:rPr>
        <w:t>10</w:t>
      </w:r>
      <w:r>
        <w:rPr>
          <w:rFonts w:hint="eastAsia" w:ascii="宋体" w:hAnsi="宋体" w:cs="宋体"/>
          <w:kern w:val="0"/>
          <w:szCs w:val="22"/>
        </w:rPr>
        <w:t>cm</w:t>
      </w:r>
      <w:r>
        <w:rPr>
          <w:rFonts w:hint="eastAsia" w:ascii="宋体" w:hAnsi="宋体" w:cs="宋体"/>
          <w:kern w:val="0"/>
          <w:szCs w:val="22"/>
          <w:vertAlign w:val="superscript"/>
        </w:rPr>
        <w:t>-3</w:t>
      </w:r>
      <w:r>
        <w:rPr>
          <w:rFonts w:hint="eastAsia" w:ascii="宋体" w:hAnsi="宋体" w:cs="宋体"/>
          <w:kern w:val="0"/>
          <w:szCs w:val="22"/>
        </w:rPr>
        <w:t>～6.1×10</w:t>
      </w:r>
      <w:r>
        <w:rPr>
          <w:rFonts w:hint="eastAsia" w:ascii="宋体" w:hAnsi="宋体" w:cs="宋体"/>
          <w:kern w:val="0"/>
          <w:szCs w:val="22"/>
          <w:vertAlign w:val="superscript"/>
        </w:rPr>
        <w:t>11</w:t>
      </w:r>
      <w:r>
        <w:rPr>
          <w:rFonts w:hint="eastAsia" w:ascii="宋体" w:hAnsi="宋体" w:cs="宋体"/>
          <w:kern w:val="0"/>
          <w:szCs w:val="22"/>
        </w:rPr>
        <w:t>cm</w:t>
      </w:r>
      <w:r>
        <w:rPr>
          <w:rFonts w:hint="eastAsia" w:ascii="宋体" w:hAnsi="宋体" w:cs="宋体"/>
          <w:kern w:val="0"/>
          <w:szCs w:val="22"/>
          <w:vertAlign w:val="superscript"/>
        </w:rPr>
        <w:t>-</w:t>
      </w:r>
      <w:r>
        <w:rPr>
          <w:rFonts w:ascii="宋体" w:hAnsi="宋体" w:cs="宋体"/>
          <w:kern w:val="0"/>
          <w:szCs w:val="22"/>
          <w:vertAlign w:val="superscript"/>
        </w:rPr>
        <w:t>3</w:t>
      </w:r>
      <w:r>
        <w:rPr>
          <w:rFonts w:hint="eastAsia" w:ascii="宋体" w:hAnsi="宋体" w:cs="宋体"/>
          <w:kern w:val="0"/>
          <w:szCs w:val="22"/>
        </w:rPr>
        <w:t>范围的样片进行测试，</w:t>
      </w:r>
      <w:r>
        <w:rPr>
          <w:rFonts w:hint="eastAsia" w:ascii="宋体" w:hAnsi="宋体"/>
        </w:rPr>
        <w:t>单一实验室的测试精度为28.92%，不同实验室间的</w:t>
      </w:r>
      <w:r>
        <w:rPr>
          <w:rFonts w:hint="eastAsia" w:hAnsi="宋体"/>
        </w:rPr>
        <w:t>测试</w:t>
      </w:r>
      <w:r>
        <w:rPr>
          <w:rFonts w:hint="eastAsia" w:ascii="宋体" w:hAnsi="宋体"/>
        </w:rPr>
        <w:t>精度为43.36%。</w:t>
      </w:r>
    </w:p>
    <w:p>
      <w:pPr>
        <w:pStyle w:val="34"/>
      </w:pPr>
      <w:r>
        <w:rPr>
          <w:rFonts w:hint="eastAsia"/>
        </w:rPr>
        <w:t>试验报告</w:t>
      </w:r>
    </w:p>
    <w:p>
      <w:pPr>
        <w:spacing w:line="360" w:lineRule="auto"/>
        <w:ind w:firstLine="420" w:firstLineChars="200"/>
        <w:jc w:val="left"/>
        <w:rPr>
          <w:rFonts w:ascii="宋体"/>
          <w:kern w:val="0"/>
          <w:szCs w:val="22"/>
        </w:rPr>
      </w:pPr>
      <w:r>
        <w:rPr>
          <w:rFonts w:hint="eastAsia" w:ascii="宋体"/>
          <w:kern w:val="0"/>
          <w:szCs w:val="22"/>
        </w:rPr>
        <w:t>试验报告应至少包括以下内容：</w:t>
      </w:r>
    </w:p>
    <w:p>
      <w:pPr>
        <w:pStyle w:val="50"/>
        <w:numPr>
          <w:ilvl w:val="0"/>
          <w:numId w:val="22"/>
        </w:numPr>
        <w:rPr>
          <w:szCs w:val="22"/>
        </w:rPr>
      </w:pPr>
      <w:r>
        <w:rPr>
          <w:rFonts w:hint="eastAsia"/>
          <w:szCs w:val="22"/>
        </w:rPr>
        <w:t>试样信息：送样单位、送样日期、样品名称、规格、编号；</w:t>
      </w:r>
    </w:p>
    <w:p>
      <w:pPr>
        <w:pStyle w:val="50"/>
        <w:numPr>
          <w:ilvl w:val="0"/>
          <w:numId w:val="22"/>
        </w:numPr>
        <w:rPr>
          <w:szCs w:val="22"/>
        </w:rPr>
      </w:pPr>
      <w:r>
        <w:rPr>
          <w:rFonts w:hint="eastAsia"/>
          <w:szCs w:val="22"/>
        </w:rPr>
        <w:t>仪器型号、品牌；</w:t>
      </w:r>
    </w:p>
    <w:p>
      <w:pPr>
        <w:pStyle w:val="50"/>
        <w:rPr>
          <w:szCs w:val="22"/>
        </w:rPr>
      </w:pPr>
      <w:r>
        <w:rPr>
          <w:rFonts w:hint="eastAsia"/>
          <w:szCs w:val="22"/>
        </w:rPr>
        <w:t xml:space="preserve">低温恒温箱温度； </w:t>
      </w:r>
    </w:p>
    <w:p>
      <w:pPr>
        <w:pStyle w:val="50"/>
        <w:rPr>
          <w:szCs w:val="22"/>
        </w:rPr>
      </w:pPr>
      <w:r>
        <w:rPr>
          <w:rFonts w:hint="eastAsia"/>
          <w:szCs w:val="22"/>
        </w:rPr>
        <w:t>样品厚度；</w:t>
      </w:r>
    </w:p>
    <w:p>
      <w:pPr>
        <w:pStyle w:val="50"/>
        <w:rPr>
          <w:szCs w:val="22"/>
        </w:rPr>
      </w:pPr>
      <w:r>
        <w:rPr>
          <w:rFonts w:hint="eastAsia"/>
          <w:szCs w:val="22"/>
        </w:rPr>
        <w:t>切趾函数、填零因子和峰位置；</w:t>
      </w:r>
    </w:p>
    <w:p>
      <w:pPr>
        <w:pStyle w:val="50"/>
        <w:rPr>
          <w:szCs w:val="22"/>
        </w:rPr>
      </w:pPr>
      <w:r>
        <w:rPr>
          <w:rFonts w:hint="eastAsia"/>
          <w:szCs w:val="22"/>
        </w:rPr>
        <w:t>测试结果：各杂质/掺杂剂的浓度，如果没有检测到吸收峰，则报其检测限；</w:t>
      </w:r>
    </w:p>
    <w:p>
      <w:pPr>
        <w:pStyle w:val="50"/>
        <w:rPr>
          <w:szCs w:val="22"/>
        </w:rPr>
      </w:pPr>
      <w:r>
        <w:rPr>
          <w:rFonts w:hint="eastAsia"/>
          <w:szCs w:val="22"/>
        </w:rPr>
        <w:t>测试日期、测试者、审核者；</w:t>
      </w:r>
    </w:p>
    <w:p>
      <w:pPr>
        <w:pStyle w:val="50"/>
        <w:rPr>
          <w:szCs w:val="22"/>
        </w:rPr>
      </w:pPr>
      <w:r>
        <w:rPr>
          <w:rFonts w:hint="eastAsia"/>
          <w:szCs w:val="22"/>
        </w:rPr>
        <w:t>本文件编号。</w:t>
      </w:r>
    </w:p>
    <w:p>
      <w:pPr>
        <w:pStyle w:val="18"/>
      </w:pPr>
    </w:p>
    <w:p>
      <w:pPr>
        <w:pStyle w:val="18"/>
      </w:pPr>
    </w:p>
    <w:p>
      <w:pPr>
        <w:pStyle w:val="18"/>
      </w:pPr>
    </w:p>
    <w:p>
      <w:pPr>
        <w:pStyle w:val="18"/>
      </w:pPr>
    </w:p>
    <w:p>
      <w:pPr>
        <w:pStyle w:val="128"/>
        <w:framePr w:wrap="around" w:y="1"/>
      </w:pPr>
      <w:r>
        <w:t>_________________________________</w:t>
      </w:r>
    </w:p>
    <w:p>
      <w:pPr>
        <w:pStyle w:val="18"/>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139681"/>
    </w:sdtPr>
    <w:sdtContent>
      <w:p>
        <w:pPr>
          <w:pStyle w:val="14"/>
          <w:jc w:val="left"/>
        </w:pPr>
        <w:r>
          <w:fldChar w:fldCharType="begin"/>
        </w:r>
        <w:r>
          <w:instrText xml:space="preserve">PAGE   \* MERGEFORMAT</w:instrText>
        </w:r>
        <w:r>
          <w:fldChar w:fldCharType="separate"/>
        </w:r>
        <w:r>
          <w:rPr>
            <w:lang w:val="zh-CN"/>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032427"/>
    </w:sdtPr>
    <w:sdtContent>
      <w:p>
        <w:pPr>
          <w:pStyle w:val="14"/>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 xml:space="preserve">GB/T </w:t>
    </w:r>
    <w:r>
      <w:rPr>
        <w:rFonts w:hint="eastAsia"/>
      </w:rPr>
      <w:t>24581</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 xml:space="preserve">GB/T </w:t>
    </w:r>
    <w:r>
      <w:rPr>
        <w:rFonts w:hint="eastAsia"/>
      </w:rPr>
      <w:t>24581</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B1FB1"/>
    <w:multiLevelType w:val="multilevel"/>
    <w:tmpl w:val="029B1FB1"/>
    <w:lvl w:ilvl="0" w:tentative="0">
      <w:start w:val="1"/>
      <w:numFmt w:val="decimal"/>
      <w:suff w:val="nothing"/>
      <w:lvlText w:val="%1　"/>
      <w:lvlJc w:val="left"/>
      <w:pPr>
        <w:ind w:left="992" w:firstLine="0"/>
      </w:pPr>
      <w:rPr>
        <w:rFonts w:hint="eastAsia" w:ascii="黑体" w:hAnsi="Times New Roman" w:eastAsia="黑体"/>
        <w:b w:val="0"/>
        <w:i w:val="0"/>
        <w:sz w:val="21"/>
        <w:szCs w:val="21"/>
      </w:rPr>
    </w:lvl>
    <w:lvl w:ilvl="1" w:tentative="0">
      <w:start w:val="1"/>
      <w:numFmt w:val="decimal"/>
      <w:suff w:val="nothing"/>
      <w:lvlText w:val="%1.%2　"/>
      <w:lvlJc w:val="left"/>
      <w:pPr>
        <w:ind w:left="255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lvlText w:val="%3)"/>
      <w:lvlJc w:val="left"/>
      <w:pPr>
        <w:ind w:left="3969"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40A15CD"/>
    <w:multiLevelType w:val="multilevel"/>
    <w:tmpl w:val="040A15CD"/>
    <w:lvl w:ilvl="0" w:tentative="0">
      <w:start w:val="1"/>
      <w:numFmt w:val="none"/>
      <w:suff w:val="nothing"/>
      <w:lvlText w:val="　"/>
      <w:lvlJc w:val="left"/>
      <w:pPr>
        <w:ind w:left="71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146"/>
      <w:suff w:val="nothing"/>
      <w:lvlText w:val="%1%2.%3　"/>
      <w:lvlJc w:val="left"/>
      <w:pPr>
        <w:ind w:left="1122" w:firstLine="0"/>
      </w:pPr>
      <w:rPr>
        <w:rFonts w:hint="eastAsia" w:ascii="黑体" w:hAnsi="Times New Roman" w:eastAsia="黑体"/>
        <w:b w:val="0"/>
        <w:i w:val="0"/>
        <w:sz w:val="21"/>
      </w:rPr>
    </w:lvl>
    <w:lvl w:ilvl="3" w:tentative="0">
      <w:start w:val="1"/>
      <w:numFmt w:val="decimal"/>
      <w:pStyle w:val="142"/>
      <w:suff w:val="nothing"/>
      <w:lvlText w:val="%1%2.%3.%4　"/>
      <w:lvlJc w:val="left"/>
      <w:pPr>
        <w:ind w:left="710" w:firstLine="0"/>
      </w:pPr>
      <w:rPr>
        <w:rFonts w:hint="eastAsia" w:ascii="黑体" w:hAnsi="Times New Roman" w:eastAsia="黑体"/>
        <w:b w:val="0"/>
        <w:i w:val="0"/>
        <w:sz w:val="21"/>
      </w:rPr>
    </w:lvl>
    <w:lvl w:ilvl="4" w:tentative="0">
      <w:start w:val="1"/>
      <w:numFmt w:val="decimal"/>
      <w:pStyle w:val="143"/>
      <w:suff w:val="nothing"/>
      <w:lvlText w:val="%1%2.%3.%4.%5　"/>
      <w:lvlJc w:val="left"/>
      <w:pPr>
        <w:ind w:left="1534" w:firstLine="0"/>
      </w:pPr>
      <w:rPr>
        <w:rFonts w:hint="eastAsia" w:ascii="黑体" w:hAnsi="Times New Roman" w:eastAsia="黑体"/>
        <w:b w:val="0"/>
        <w:i w:val="0"/>
        <w:sz w:val="21"/>
      </w:rPr>
    </w:lvl>
    <w:lvl w:ilvl="5" w:tentative="0">
      <w:start w:val="1"/>
      <w:numFmt w:val="decimal"/>
      <w:pStyle w:val="144"/>
      <w:suff w:val="nothing"/>
      <w:lvlText w:val="%1%2.%3.%4.%5.%6　"/>
      <w:lvlJc w:val="left"/>
      <w:pPr>
        <w:ind w:left="710" w:firstLine="0"/>
      </w:pPr>
      <w:rPr>
        <w:rFonts w:hint="eastAsia" w:ascii="黑体" w:hAnsi="Times New Roman" w:eastAsia="黑体"/>
        <w:b w:val="0"/>
        <w:i w:val="0"/>
        <w:sz w:val="21"/>
      </w:rPr>
    </w:lvl>
    <w:lvl w:ilvl="6" w:tentative="0">
      <w:start w:val="1"/>
      <w:numFmt w:val="decimal"/>
      <w:pStyle w:val="145"/>
      <w:suff w:val="nothing"/>
      <w:lvlText w:val="%1%2.%3.%4.%5.%6.%7　"/>
      <w:lvlJc w:val="left"/>
      <w:pPr>
        <w:ind w:left="710" w:firstLine="0"/>
      </w:pPr>
      <w:rPr>
        <w:rFonts w:hint="eastAsia" w:ascii="黑体" w:hAnsi="Times New Roman" w:eastAsia="黑体"/>
        <w:b w:val="0"/>
        <w:i w:val="0"/>
        <w:sz w:val="21"/>
      </w:rPr>
    </w:lvl>
    <w:lvl w:ilvl="7" w:tentative="0">
      <w:start w:val="1"/>
      <w:numFmt w:val="decimal"/>
      <w:lvlText w:val="%1.%2.%3.%4.%5.%6.%7.%8"/>
      <w:lvlJc w:val="left"/>
      <w:pPr>
        <w:tabs>
          <w:tab w:val="left" w:pos="5104"/>
        </w:tabs>
        <w:ind w:left="5104" w:hanging="1418"/>
      </w:pPr>
      <w:rPr>
        <w:rFonts w:hint="eastAsia"/>
      </w:rPr>
    </w:lvl>
    <w:lvl w:ilvl="8" w:tentative="0">
      <w:start w:val="1"/>
      <w:numFmt w:val="decimal"/>
      <w:lvlText w:val="%1.%2.%3.%4.%5.%6.%7.%8.%9"/>
      <w:lvlJc w:val="left"/>
      <w:pPr>
        <w:tabs>
          <w:tab w:val="left" w:pos="5812"/>
        </w:tabs>
        <w:ind w:left="5812" w:hanging="1700"/>
      </w:pPr>
      <w:rPr>
        <w:rFonts w:hint="eastAsia"/>
      </w:rPr>
    </w:lvl>
  </w:abstractNum>
  <w:abstractNum w:abstractNumId="2">
    <w:nsid w:val="079102AD"/>
    <w:multiLevelType w:val="multilevel"/>
    <w:tmpl w:val="079102AD"/>
    <w:lvl w:ilvl="0" w:tentative="0">
      <w:start w:val="1"/>
      <w:numFmt w:val="decimal"/>
      <w:pStyle w:val="4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1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4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05E0B74"/>
    <w:multiLevelType w:val="multilevel"/>
    <w:tmpl w:val="105E0B7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DBF583A"/>
    <w:multiLevelType w:val="multilevel"/>
    <w:tmpl w:val="1DBF583A"/>
    <w:lvl w:ilvl="0" w:tentative="0">
      <w:start w:val="1"/>
      <w:numFmt w:val="decimal"/>
      <w:pStyle w:val="5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34"/>
      <w:suff w:val="nothing"/>
      <w:lvlText w:val="%1　"/>
      <w:lvlJc w:val="left"/>
      <w:pPr>
        <w:ind w:left="992"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7"/>
      <w:suff w:val="nothing"/>
      <w:lvlText w:val="%1.%2.%3　"/>
      <w:lvlJc w:val="left"/>
      <w:pPr>
        <w:ind w:left="3969" w:firstLine="0"/>
      </w:pPr>
      <w:rPr>
        <w:rFonts w:hint="eastAsia" w:ascii="黑体" w:hAnsi="Times New Roman" w:eastAsia="黑体"/>
        <w:b w:val="0"/>
        <w:i w:val="0"/>
        <w:sz w:val="21"/>
      </w:rPr>
    </w:lvl>
    <w:lvl w:ilvl="3" w:tentative="0">
      <w:start w:val="1"/>
      <w:numFmt w:val="decimal"/>
      <w:pStyle w:val="42"/>
      <w:suff w:val="nothing"/>
      <w:lvlText w:val="%1.%2.%3.%4　"/>
      <w:lvlJc w:val="left"/>
      <w:pPr>
        <w:ind w:left="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89"/>
      <w:suff w:val="space"/>
      <w:lvlText w:val="%1"/>
      <w:lvlJc w:val="left"/>
      <w:pPr>
        <w:ind w:left="623" w:hanging="425"/>
      </w:pPr>
      <w:rPr>
        <w:rFonts w:hint="eastAsia"/>
      </w:rPr>
    </w:lvl>
    <w:lvl w:ilvl="1" w:tentative="0">
      <w:start w:val="1"/>
      <w:numFmt w:val="decimal"/>
      <w:pStyle w:val="9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39"/>
      <w:suff w:val="nothing"/>
      <w:lvlText w:val="%1——"/>
      <w:lvlJc w:val="left"/>
      <w:pPr>
        <w:ind w:left="833" w:hanging="408"/>
      </w:pPr>
      <w:rPr>
        <w:rFonts w:hint="eastAsia"/>
        <w:color w:val="auto"/>
        <w:lang w:val="en-US"/>
      </w:rPr>
    </w:lvl>
    <w:lvl w:ilvl="1" w:tentative="0">
      <w:start w:val="1"/>
      <w:numFmt w:val="bullet"/>
      <w:pStyle w:val="40"/>
      <w:lvlText w:val=""/>
      <w:lvlJc w:val="left"/>
      <w:pPr>
        <w:tabs>
          <w:tab w:val="left" w:pos="760"/>
        </w:tabs>
        <w:ind w:left="1264" w:hanging="413"/>
      </w:pPr>
      <w:rPr>
        <w:rFonts w:hint="default" w:ascii="Symbol" w:hAnsi="Symbol"/>
        <w:color w:val="auto"/>
      </w:rPr>
    </w:lvl>
    <w:lvl w:ilvl="2" w:tentative="0">
      <w:start w:val="1"/>
      <w:numFmt w:val="bullet"/>
      <w:pStyle w:val="5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1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tentative="0">
      <w:start w:val="1"/>
      <w:numFmt w:val="decimal"/>
      <w:pStyle w:val="5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A954498"/>
    <w:multiLevelType w:val="multilevel"/>
    <w:tmpl w:val="5A954498"/>
    <w:lvl w:ilvl="0" w:tentative="0">
      <w:start w:val="1"/>
      <w:numFmt w:val="lowerLetter"/>
      <w:pStyle w:val="5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5"/>
      <w:lvlText w:val="%2)"/>
      <w:lvlJc w:val="left"/>
      <w:pPr>
        <w:tabs>
          <w:tab w:val="left" w:pos="1260"/>
        </w:tabs>
        <w:ind w:left="1259" w:hanging="419"/>
      </w:pPr>
      <w:rPr>
        <w:rFonts w:hint="eastAsia"/>
      </w:rPr>
    </w:lvl>
    <w:lvl w:ilvl="2" w:tentative="0">
      <w:start w:val="1"/>
      <w:numFmt w:val="decimal"/>
      <w:pStyle w:val="5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5DD1631B"/>
    <w:multiLevelType w:val="multilevel"/>
    <w:tmpl w:val="5DD1631B"/>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60B55DC2"/>
    <w:multiLevelType w:val="multilevel"/>
    <w:tmpl w:val="60B55DC2"/>
    <w:lvl w:ilvl="0" w:tentative="0">
      <w:start w:val="1"/>
      <w:numFmt w:val="upperLetter"/>
      <w:pStyle w:val="77"/>
      <w:lvlText w:val="%1"/>
      <w:lvlJc w:val="left"/>
      <w:pPr>
        <w:tabs>
          <w:tab w:val="left" w:pos="0"/>
        </w:tabs>
        <w:ind w:left="0" w:hanging="425"/>
      </w:pPr>
      <w:rPr>
        <w:rFonts w:hint="eastAsia"/>
      </w:rPr>
    </w:lvl>
    <w:lvl w:ilvl="1" w:tentative="0">
      <w:start w:val="1"/>
      <w:numFmt w:val="decimal"/>
      <w:pStyle w:val="7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3"/>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7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4"/>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9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8C1732F"/>
    <w:multiLevelType w:val="multilevel"/>
    <w:tmpl w:val="68C1732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6D6C07CD"/>
    <w:multiLevelType w:val="multilevel"/>
    <w:tmpl w:val="6D6C07CD"/>
    <w:lvl w:ilvl="0" w:tentative="0">
      <w:start w:val="1"/>
      <w:numFmt w:val="lowerLetter"/>
      <w:pStyle w:val="96"/>
      <w:lvlText w:val="%1)"/>
      <w:lvlJc w:val="left"/>
      <w:pPr>
        <w:tabs>
          <w:tab w:val="left" w:pos="839"/>
        </w:tabs>
        <w:ind w:left="839" w:hanging="419"/>
      </w:pPr>
      <w:rPr>
        <w:rFonts w:hint="eastAsia" w:ascii="宋体" w:eastAsia="宋体"/>
        <w:b w:val="0"/>
        <w:i w:val="0"/>
        <w:sz w:val="21"/>
      </w:rPr>
    </w:lvl>
    <w:lvl w:ilvl="1" w:tentative="0">
      <w:start w:val="1"/>
      <w:numFmt w:val="decimal"/>
      <w:pStyle w:val="8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4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8"/>
  </w:num>
  <w:num w:numId="3">
    <w:abstractNumId w:val="10"/>
  </w:num>
  <w:num w:numId="4">
    <w:abstractNumId w:val="4"/>
  </w:num>
  <w:num w:numId="5">
    <w:abstractNumId w:val="14"/>
  </w:num>
  <w:num w:numId="6">
    <w:abstractNumId w:val="21"/>
  </w:num>
  <w:num w:numId="7">
    <w:abstractNumId w:val="2"/>
  </w:num>
  <w:num w:numId="8">
    <w:abstractNumId w:val="12"/>
  </w:num>
  <w:num w:numId="9">
    <w:abstractNumId w:val="7"/>
  </w:num>
  <w:num w:numId="10">
    <w:abstractNumId w:val="18"/>
  </w:num>
  <w:num w:numId="11">
    <w:abstractNumId w:val="16"/>
  </w:num>
  <w:num w:numId="12">
    <w:abstractNumId w:val="20"/>
  </w:num>
  <w:num w:numId="13">
    <w:abstractNumId w:val="9"/>
  </w:num>
  <w:num w:numId="14">
    <w:abstractNumId w:val="3"/>
  </w:num>
  <w:num w:numId="15">
    <w:abstractNumId w:val="5"/>
  </w:num>
  <w:num w:numId="16">
    <w:abstractNumId w:val="17"/>
  </w:num>
  <w:num w:numId="17">
    <w:abstractNumId w:val="13"/>
  </w:num>
  <w:num w:numId="18">
    <w:abstractNumId w:val="1"/>
  </w:num>
  <w:num w:numId="19">
    <w:abstractNumId w:val="6"/>
  </w:num>
  <w:num w:numId="20">
    <w:abstractNumId w:val="15"/>
  </w:num>
  <w:num w:numId="21">
    <w:abstractNumId w:val="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4431"/>
    <w:rsid w:val="00004868"/>
    <w:rsid w:val="0000586F"/>
    <w:rsid w:val="000105AA"/>
    <w:rsid w:val="00010F22"/>
    <w:rsid w:val="000111E5"/>
    <w:rsid w:val="00013D86"/>
    <w:rsid w:val="00013E02"/>
    <w:rsid w:val="00014EC1"/>
    <w:rsid w:val="00017F79"/>
    <w:rsid w:val="0002143C"/>
    <w:rsid w:val="00021826"/>
    <w:rsid w:val="000226CE"/>
    <w:rsid w:val="00025A65"/>
    <w:rsid w:val="00026C31"/>
    <w:rsid w:val="00027280"/>
    <w:rsid w:val="000312D2"/>
    <w:rsid w:val="00031505"/>
    <w:rsid w:val="00031B8A"/>
    <w:rsid w:val="000320A7"/>
    <w:rsid w:val="000345C7"/>
    <w:rsid w:val="00035925"/>
    <w:rsid w:val="00036C3D"/>
    <w:rsid w:val="00040EEC"/>
    <w:rsid w:val="0004289B"/>
    <w:rsid w:val="00046D5B"/>
    <w:rsid w:val="000621AA"/>
    <w:rsid w:val="0006296B"/>
    <w:rsid w:val="00064F88"/>
    <w:rsid w:val="00067CDF"/>
    <w:rsid w:val="00070B61"/>
    <w:rsid w:val="00074FBE"/>
    <w:rsid w:val="00083A09"/>
    <w:rsid w:val="00085E5A"/>
    <w:rsid w:val="00086A06"/>
    <w:rsid w:val="00086CE5"/>
    <w:rsid w:val="0009005E"/>
    <w:rsid w:val="00092427"/>
    <w:rsid w:val="00092857"/>
    <w:rsid w:val="000A050C"/>
    <w:rsid w:val="000A20A9"/>
    <w:rsid w:val="000A31BF"/>
    <w:rsid w:val="000A327D"/>
    <w:rsid w:val="000A3807"/>
    <w:rsid w:val="000A48B1"/>
    <w:rsid w:val="000B3143"/>
    <w:rsid w:val="000B3E15"/>
    <w:rsid w:val="000B5DD1"/>
    <w:rsid w:val="000B7AFF"/>
    <w:rsid w:val="000C1AAF"/>
    <w:rsid w:val="000C648F"/>
    <w:rsid w:val="000C68D0"/>
    <w:rsid w:val="000C69CF"/>
    <w:rsid w:val="000C6B05"/>
    <w:rsid w:val="000C6DD6"/>
    <w:rsid w:val="000C71D7"/>
    <w:rsid w:val="000C73D4"/>
    <w:rsid w:val="000D154E"/>
    <w:rsid w:val="000D1E5B"/>
    <w:rsid w:val="000D20E8"/>
    <w:rsid w:val="000D278D"/>
    <w:rsid w:val="000D3D4C"/>
    <w:rsid w:val="000D3EAE"/>
    <w:rsid w:val="000D4F51"/>
    <w:rsid w:val="000D718B"/>
    <w:rsid w:val="000E09F7"/>
    <w:rsid w:val="000E0C46"/>
    <w:rsid w:val="000E174F"/>
    <w:rsid w:val="000E2BEF"/>
    <w:rsid w:val="000E4A70"/>
    <w:rsid w:val="000F030C"/>
    <w:rsid w:val="000F129C"/>
    <w:rsid w:val="000F2903"/>
    <w:rsid w:val="00102B0C"/>
    <w:rsid w:val="00103C0F"/>
    <w:rsid w:val="001056DE"/>
    <w:rsid w:val="0010719E"/>
    <w:rsid w:val="00110766"/>
    <w:rsid w:val="00111A9E"/>
    <w:rsid w:val="001124C0"/>
    <w:rsid w:val="001126B1"/>
    <w:rsid w:val="00115F07"/>
    <w:rsid w:val="00117DCE"/>
    <w:rsid w:val="00121DE0"/>
    <w:rsid w:val="00121F71"/>
    <w:rsid w:val="001225B7"/>
    <w:rsid w:val="001234A4"/>
    <w:rsid w:val="00124705"/>
    <w:rsid w:val="0013175F"/>
    <w:rsid w:val="00136667"/>
    <w:rsid w:val="00136C6E"/>
    <w:rsid w:val="00141439"/>
    <w:rsid w:val="00141ACB"/>
    <w:rsid w:val="00141EB0"/>
    <w:rsid w:val="00147D26"/>
    <w:rsid w:val="001512B4"/>
    <w:rsid w:val="001569A6"/>
    <w:rsid w:val="00160A90"/>
    <w:rsid w:val="00160C61"/>
    <w:rsid w:val="00161E82"/>
    <w:rsid w:val="001620A5"/>
    <w:rsid w:val="001621AD"/>
    <w:rsid w:val="0016472C"/>
    <w:rsid w:val="00164E53"/>
    <w:rsid w:val="0016699D"/>
    <w:rsid w:val="00166CB4"/>
    <w:rsid w:val="0017011D"/>
    <w:rsid w:val="00172847"/>
    <w:rsid w:val="00175159"/>
    <w:rsid w:val="00176208"/>
    <w:rsid w:val="001775C6"/>
    <w:rsid w:val="00177A82"/>
    <w:rsid w:val="001806F5"/>
    <w:rsid w:val="0018211B"/>
    <w:rsid w:val="001840D3"/>
    <w:rsid w:val="00184733"/>
    <w:rsid w:val="001900F8"/>
    <w:rsid w:val="00191258"/>
    <w:rsid w:val="00192680"/>
    <w:rsid w:val="00192913"/>
    <w:rsid w:val="00193037"/>
    <w:rsid w:val="00193A2C"/>
    <w:rsid w:val="00195A9A"/>
    <w:rsid w:val="00195E51"/>
    <w:rsid w:val="001A0AA9"/>
    <w:rsid w:val="001A288E"/>
    <w:rsid w:val="001A734E"/>
    <w:rsid w:val="001B2284"/>
    <w:rsid w:val="001B3FB5"/>
    <w:rsid w:val="001B6B87"/>
    <w:rsid w:val="001B6DC2"/>
    <w:rsid w:val="001C149C"/>
    <w:rsid w:val="001C21AC"/>
    <w:rsid w:val="001C33DB"/>
    <w:rsid w:val="001C47BA"/>
    <w:rsid w:val="001C59EA"/>
    <w:rsid w:val="001C67D2"/>
    <w:rsid w:val="001C723C"/>
    <w:rsid w:val="001D0C55"/>
    <w:rsid w:val="001D406C"/>
    <w:rsid w:val="001D41EE"/>
    <w:rsid w:val="001D7F65"/>
    <w:rsid w:val="001E0380"/>
    <w:rsid w:val="001E13B1"/>
    <w:rsid w:val="001E16FC"/>
    <w:rsid w:val="001E436B"/>
    <w:rsid w:val="001E63DD"/>
    <w:rsid w:val="001E77E1"/>
    <w:rsid w:val="001F0D0A"/>
    <w:rsid w:val="001F3A19"/>
    <w:rsid w:val="001F4C6D"/>
    <w:rsid w:val="001F62EF"/>
    <w:rsid w:val="0020178D"/>
    <w:rsid w:val="0020659A"/>
    <w:rsid w:val="002068F5"/>
    <w:rsid w:val="00207DF1"/>
    <w:rsid w:val="002167A0"/>
    <w:rsid w:val="002206C7"/>
    <w:rsid w:val="002238BC"/>
    <w:rsid w:val="00225428"/>
    <w:rsid w:val="00234467"/>
    <w:rsid w:val="00235411"/>
    <w:rsid w:val="00235AF2"/>
    <w:rsid w:val="00237D8D"/>
    <w:rsid w:val="00240405"/>
    <w:rsid w:val="002406AA"/>
    <w:rsid w:val="00241925"/>
    <w:rsid w:val="00241DA2"/>
    <w:rsid w:val="0024536C"/>
    <w:rsid w:val="002468FD"/>
    <w:rsid w:val="00247FEE"/>
    <w:rsid w:val="0025058E"/>
    <w:rsid w:val="00250E7D"/>
    <w:rsid w:val="00251C05"/>
    <w:rsid w:val="002565D5"/>
    <w:rsid w:val="00256CBF"/>
    <w:rsid w:val="00261FD7"/>
    <w:rsid w:val="002622C0"/>
    <w:rsid w:val="00262319"/>
    <w:rsid w:val="00263093"/>
    <w:rsid w:val="00263492"/>
    <w:rsid w:val="00267338"/>
    <w:rsid w:val="00273694"/>
    <w:rsid w:val="00273E87"/>
    <w:rsid w:val="00274185"/>
    <w:rsid w:val="0027553D"/>
    <w:rsid w:val="0027554A"/>
    <w:rsid w:val="002778AE"/>
    <w:rsid w:val="0028017A"/>
    <w:rsid w:val="0028111F"/>
    <w:rsid w:val="002819FB"/>
    <w:rsid w:val="00282428"/>
    <w:rsid w:val="002824E9"/>
    <w:rsid w:val="0028269A"/>
    <w:rsid w:val="00283590"/>
    <w:rsid w:val="0028533B"/>
    <w:rsid w:val="00286423"/>
    <w:rsid w:val="00286973"/>
    <w:rsid w:val="00290FFE"/>
    <w:rsid w:val="00294E70"/>
    <w:rsid w:val="002A087D"/>
    <w:rsid w:val="002A1924"/>
    <w:rsid w:val="002A19FB"/>
    <w:rsid w:val="002A336C"/>
    <w:rsid w:val="002A4E78"/>
    <w:rsid w:val="002A7420"/>
    <w:rsid w:val="002B0F12"/>
    <w:rsid w:val="002B1308"/>
    <w:rsid w:val="002B1F67"/>
    <w:rsid w:val="002B31D7"/>
    <w:rsid w:val="002B4554"/>
    <w:rsid w:val="002B5DD6"/>
    <w:rsid w:val="002B601B"/>
    <w:rsid w:val="002C364F"/>
    <w:rsid w:val="002C3D4B"/>
    <w:rsid w:val="002C4143"/>
    <w:rsid w:val="002C72D8"/>
    <w:rsid w:val="002D0229"/>
    <w:rsid w:val="002D11FA"/>
    <w:rsid w:val="002D3444"/>
    <w:rsid w:val="002E0DDF"/>
    <w:rsid w:val="002E2906"/>
    <w:rsid w:val="002E5635"/>
    <w:rsid w:val="002E5EE2"/>
    <w:rsid w:val="002E64C3"/>
    <w:rsid w:val="002E6A2C"/>
    <w:rsid w:val="002F1D8C"/>
    <w:rsid w:val="002F21DA"/>
    <w:rsid w:val="00300E8E"/>
    <w:rsid w:val="00301307"/>
    <w:rsid w:val="00301F39"/>
    <w:rsid w:val="00303FF1"/>
    <w:rsid w:val="00305882"/>
    <w:rsid w:val="00307FC8"/>
    <w:rsid w:val="00313335"/>
    <w:rsid w:val="00320B28"/>
    <w:rsid w:val="00325926"/>
    <w:rsid w:val="00327A8A"/>
    <w:rsid w:val="00333639"/>
    <w:rsid w:val="003351DD"/>
    <w:rsid w:val="00336610"/>
    <w:rsid w:val="003401CE"/>
    <w:rsid w:val="00341496"/>
    <w:rsid w:val="00342ED8"/>
    <w:rsid w:val="00343F73"/>
    <w:rsid w:val="00345060"/>
    <w:rsid w:val="003452ED"/>
    <w:rsid w:val="00345E6F"/>
    <w:rsid w:val="00347836"/>
    <w:rsid w:val="003500E5"/>
    <w:rsid w:val="0035103F"/>
    <w:rsid w:val="0035178A"/>
    <w:rsid w:val="003521BF"/>
    <w:rsid w:val="0035241D"/>
    <w:rsid w:val="0035323B"/>
    <w:rsid w:val="00353249"/>
    <w:rsid w:val="0035684C"/>
    <w:rsid w:val="00360915"/>
    <w:rsid w:val="003609D2"/>
    <w:rsid w:val="00360EBD"/>
    <w:rsid w:val="00361F3B"/>
    <w:rsid w:val="00363730"/>
    <w:rsid w:val="00363F22"/>
    <w:rsid w:val="003705B4"/>
    <w:rsid w:val="00372365"/>
    <w:rsid w:val="00372452"/>
    <w:rsid w:val="00374CA6"/>
    <w:rsid w:val="00375564"/>
    <w:rsid w:val="00375B11"/>
    <w:rsid w:val="00382B08"/>
    <w:rsid w:val="00383191"/>
    <w:rsid w:val="0038570C"/>
    <w:rsid w:val="0038686A"/>
    <w:rsid w:val="00386DED"/>
    <w:rsid w:val="00390088"/>
    <w:rsid w:val="003912E7"/>
    <w:rsid w:val="00393947"/>
    <w:rsid w:val="00394168"/>
    <w:rsid w:val="003945E8"/>
    <w:rsid w:val="003A2275"/>
    <w:rsid w:val="003A6A4F"/>
    <w:rsid w:val="003A7088"/>
    <w:rsid w:val="003B00DF"/>
    <w:rsid w:val="003B1143"/>
    <w:rsid w:val="003B1275"/>
    <w:rsid w:val="003B1778"/>
    <w:rsid w:val="003B63A6"/>
    <w:rsid w:val="003C11CB"/>
    <w:rsid w:val="003C1983"/>
    <w:rsid w:val="003C4CC2"/>
    <w:rsid w:val="003C67E8"/>
    <w:rsid w:val="003C75F3"/>
    <w:rsid w:val="003C78A3"/>
    <w:rsid w:val="003D10F6"/>
    <w:rsid w:val="003D4348"/>
    <w:rsid w:val="003D7DAA"/>
    <w:rsid w:val="003E0AC7"/>
    <w:rsid w:val="003E1867"/>
    <w:rsid w:val="003E39B2"/>
    <w:rsid w:val="003E5729"/>
    <w:rsid w:val="003E75F0"/>
    <w:rsid w:val="003F0372"/>
    <w:rsid w:val="003F3468"/>
    <w:rsid w:val="003F4A03"/>
    <w:rsid w:val="003F4EE0"/>
    <w:rsid w:val="00400E1C"/>
    <w:rsid w:val="0040160F"/>
    <w:rsid w:val="00402153"/>
    <w:rsid w:val="00402FC1"/>
    <w:rsid w:val="00404E9B"/>
    <w:rsid w:val="004103BB"/>
    <w:rsid w:val="0041235B"/>
    <w:rsid w:val="00414343"/>
    <w:rsid w:val="00414C8F"/>
    <w:rsid w:val="00416048"/>
    <w:rsid w:val="00417A01"/>
    <w:rsid w:val="00417EF4"/>
    <w:rsid w:val="00421781"/>
    <w:rsid w:val="00421EFA"/>
    <w:rsid w:val="00425082"/>
    <w:rsid w:val="004311A5"/>
    <w:rsid w:val="00431DEB"/>
    <w:rsid w:val="004340AF"/>
    <w:rsid w:val="00435F92"/>
    <w:rsid w:val="0044038A"/>
    <w:rsid w:val="004417BE"/>
    <w:rsid w:val="00441EE5"/>
    <w:rsid w:val="00442F49"/>
    <w:rsid w:val="004462BB"/>
    <w:rsid w:val="00446B29"/>
    <w:rsid w:val="00451BBF"/>
    <w:rsid w:val="00453F9A"/>
    <w:rsid w:val="00454174"/>
    <w:rsid w:val="00454B10"/>
    <w:rsid w:val="00457125"/>
    <w:rsid w:val="00460A69"/>
    <w:rsid w:val="0046330F"/>
    <w:rsid w:val="00465001"/>
    <w:rsid w:val="00466DA7"/>
    <w:rsid w:val="00470627"/>
    <w:rsid w:val="00471E91"/>
    <w:rsid w:val="00474675"/>
    <w:rsid w:val="0047470C"/>
    <w:rsid w:val="0048481D"/>
    <w:rsid w:val="004920FD"/>
    <w:rsid w:val="0049253E"/>
    <w:rsid w:val="00492844"/>
    <w:rsid w:val="004A0D9F"/>
    <w:rsid w:val="004A35F9"/>
    <w:rsid w:val="004A41EC"/>
    <w:rsid w:val="004A420B"/>
    <w:rsid w:val="004A4324"/>
    <w:rsid w:val="004B0551"/>
    <w:rsid w:val="004B13B7"/>
    <w:rsid w:val="004B16A8"/>
    <w:rsid w:val="004B24C1"/>
    <w:rsid w:val="004B2BA8"/>
    <w:rsid w:val="004B64AA"/>
    <w:rsid w:val="004C292F"/>
    <w:rsid w:val="004C368D"/>
    <w:rsid w:val="004C554C"/>
    <w:rsid w:val="004D1B8C"/>
    <w:rsid w:val="004D3DFE"/>
    <w:rsid w:val="004D4616"/>
    <w:rsid w:val="004D7CA7"/>
    <w:rsid w:val="004D7D2E"/>
    <w:rsid w:val="004E0152"/>
    <w:rsid w:val="004E08AB"/>
    <w:rsid w:val="004E0F32"/>
    <w:rsid w:val="004E4157"/>
    <w:rsid w:val="004E48FA"/>
    <w:rsid w:val="004F2BA7"/>
    <w:rsid w:val="00501619"/>
    <w:rsid w:val="0050333F"/>
    <w:rsid w:val="00510280"/>
    <w:rsid w:val="00510DC2"/>
    <w:rsid w:val="00513D73"/>
    <w:rsid w:val="00514A43"/>
    <w:rsid w:val="00515824"/>
    <w:rsid w:val="005174E5"/>
    <w:rsid w:val="00517C03"/>
    <w:rsid w:val="00521C1D"/>
    <w:rsid w:val="00522393"/>
    <w:rsid w:val="00522620"/>
    <w:rsid w:val="00524852"/>
    <w:rsid w:val="00525656"/>
    <w:rsid w:val="005338C2"/>
    <w:rsid w:val="00534C02"/>
    <w:rsid w:val="0054264B"/>
    <w:rsid w:val="00543786"/>
    <w:rsid w:val="005466D0"/>
    <w:rsid w:val="00551CF3"/>
    <w:rsid w:val="005533D7"/>
    <w:rsid w:val="00553B08"/>
    <w:rsid w:val="00556959"/>
    <w:rsid w:val="00557692"/>
    <w:rsid w:val="00561AC4"/>
    <w:rsid w:val="00562D88"/>
    <w:rsid w:val="005647BB"/>
    <w:rsid w:val="005703DE"/>
    <w:rsid w:val="00571F4A"/>
    <w:rsid w:val="00574500"/>
    <w:rsid w:val="0058464E"/>
    <w:rsid w:val="005861B2"/>
    <w:rsid w:val="00586C09"/>
    <w:rsid w:val="00591B0D"/>
    <w:rsid w:val="00591C72"/>
    <w:rsid w:val="005937C2"/>
    <w:rsid w:val="00594354"/>
    <w:rsid w:val="005944F5"/>
    <w:rsid w:val="00595269"/>
    <w:rsid w:val="00597D9E"/>
    <w:rsid w:val="005A01CB"/>
    <w:rsid w:val="005A01F6"/>
    <w:rsid w:val="005A1858"/>
    <w:rsid w:val="005A46B4"/>
    <w:rsid w:val="005A58FF"/>
    <w:rsid w:val="005A5EAF"/>
    <w:rsid w:val="005A5F4D"/>
    <w:rsid w:val="005A64C0"/>
    <w:rsid w:val="005A7964"/>
    <w:rsid w:val="005B3C11"/>
    <w:rsid w:val="005C0488"/>
    <w:rsid w:val="005C14FF"/>
    <w:rsid w:val="005C1C28"/>
    <w:rsid w:val="005C30C4"/>
    <w:rsid w:val="005C6DB5"/>
    <w:rsid w:val="005C70E2"/>
    <w:rsid w:val="005C742A"/>
    <w:rsid w:val="005C7D9D"/>
    <w:rsid w:val="005D0BA1"/>
    <w:rsid w:val="005D151A"/>
    <w:rsid w:val="005D3313"/>
    <w:rsid w:val="005D3358"/>
    <w:rsid w:val="005D797B"/>
    <w:rsid w:val="005E0FCC"/>
    <w:rsid w:val="005E1851"/>
    <w:rsid w:val="005E19E7"/>
    <w:rsid w:val="005F175E"/>
    <w:rsid w:val="005F38C0"/>
    <w:rsid w:val="00607986"/>
    <w:rsid w:val="00610FC1"/>
    <w:rsid w:val="00613656"/>
    <w:rsid w:val="00613FEF"/>
    <w:rsid w:val="00614A3F"/>
    <w:rsid w:val="00616BE2"/>
    <w:rsid w:val="0061716C"/>
    <w:rsid w:val="006218FE"/>
    <w:rsid w:val="00622146"/>
    <w:rsid w:val="006232B5"/>
    <w:rsid w:val="006243A1"/>
    <w:rsid w:val="006307CA"/>
    <w:rsid w:val="006310D8"/>
    <w:rsid w:val="00632E56"/>
    <w:rsid w:val="0063448A"/>
    <w:rsid w:val="00635CBA"/>
    <w:rsid w:val="00637E43"/>
    <w:rsid w:val="00637E44"/>
    <w:rsid w:val="006431DF"/>
    <w:rsid w:val="0064338B"/>
    <w:rsid w:val="006444BD"/>
    <w:rsid w:val="00645829"/>
    <w:rsid w:val="00646542"/>
    <w:rsid w:val="006504F4"/>
    <w:rsid w:val="00654BC9"/>
    <w:rsid w:val="006552FD"/>
    <w:rsid w:val="00655816"/>
    <w:rsid w:val="00663AF3"/>
    <w:rsid w:val="00665C26"/>
    <w:rsid w:val="00666B6C"/>
    <w:rsid w:val="0067334B"/>
    <w:rsid w:val="00673FBC"/>
    <w:rsid w:val="0067439A"/>
    <w:rsid w:val="006755FA"/>
    <w:rsid w:val="00675C96"/>
    <w:rsid w:val="00675F33"/>
    <w:rsid w:val="006805F4"/>
    <w:rsid w:val="00682682"/>
    <w:rsid w:val="00682702"/>
    <w:rsid w:val="00686564"/>
    <w:rsid w:val="0069171C"/>
    <w:rsid w:val="00692368"/>
    <w:rsid w:val="00693701"/>
    <w:rsid w:val="00694585"/>
    <w:rsid w:val="006945AE"/>
    <w:rsid w:val="0069718F"/>
    <w:rsid w:val="0069777A"/>
    <w:rsid w:val="006A2EBC"/>
    <w:rsid w:val="006A3595"/>
    <w:rsid w:val="006A42FC"/>
    <w:rsid w:val="006A5AC4"/>
    <w:rsid w:val="006A5EA0"/>
    <w:rsid w:val="006A783B"/>
    <w:rsid w:val="006A7B33"/>
    <w:rsid w:val="006B146E"/>
    <w:rsid w:val="006B390D"/>
    <w:rsid w:val="006B3EB3"/>
    <w:rsid w:val="006B43E8"/>
    <w:rsid w:val="006B4E13"/>
    <w:rsid w:val="006B75DD"/>
    <w:rsid w:val="006C16C4"/>
    <w:rsid w:val="006C2776"/>
    <w:rsid w:val="006C37CD"/>
    <w:rsid w:val="006C5C5D"/>
    <w:rsid w:val="006C67E0"/>
    <w:rsid w:val="006C7ABA"/>
    <w:rsid w:val="006D0D60"/>
    <w:rsid w:val="006D1122"/>
    <w:rsid w:val="006D1C33"/>
    <w:rsid w:val="006D2236"/>
    <w:rsid w:val="006D3C00"/>
    <w:rsid w:val="006D5B59"/>
    <w:rsid w:val="006D6628"/>
    <w:rsid w:val="006D7D14"/>
    <w:rsid w:val="006E0535"/>
    <w:rsid w:val="006E3675"/>
    <w:rsid w:val="006E49E1"/>
    <w:rsid w:val="006E4A7F"/>
    <w:rsid w:val="006E749B"/>
    <w:rsid w:val="007002B7"/>
    <w:rsid w:val="007013F9"/>
    <w:rsid w:val="0070155B"/>
    <w:rsid w:val="007017E5"/>
    <w:rsid w:val="007022E8"/>
    <w:rsid w:val="00704DF6"/>
    <w:rsid w:val="0070651C"/>
    <w:rsid w:val="00710D65"/>
    <w:rsid w:val="007132A3"/>
    <w:rsid w:val="007133CF"/>
    <w:rsid w:val="00715059"/>
    <w:rsid w:val="00715E32"/>
    <w:rsid w:val="00716421"/>
    <w:rsid w:val="00723631"/>
    <w:rsid w:val="007237B8"/>
    <w:rsid w:val="00724EFB"/>
    <w:rsid w:val="00731BFD"/>
    <w:rsid w:val="0073269C"/>
    <w:rsid w:val="007419C3"/>
    <w:rsid w:val="00742525"/>
    <w:rsid w:val="0074435B"/>
    <w:rsid w:val="00744CEB"/>
    <w:rsid w:val="00745126"/>
    <w:rsid w:val="007467A7"/>
    <w:rsid w:val="007469DD"/>
    <w:rsid w:val="0074741B"/>
    <w:rsid w:val="0074759E"/>
    <w:rsid w:val="00747749"/>
    <w:rsid w:val="007478EA"/>
    <w:rsid w:val="0075035B"/>
    <w:rsid w:val="0075169F"/>
    <w:rsid w:val="0075415C"/>
    <w:rsid w:val="00755BEE"/>
    <w:rsid w:val="00762191"/>
    <w:rsid w:val="00763502"/>
    <w:rsid w:val="007638F6"/>
    <w:rsid w:val="00763908"/>
    <w:rsid w:val="0077182C"/>
    <w:rsid w:val="00772AEE"/>
    <w:rsid w:val="00777227"/>
    <w:rsid w:val="0077728C"/>
    <w:rsid w:val="00784916"/>
    <w:rsid w:val="00785050"/>
    <w:rsid w:val="0078567F"/>
    <w:rsid w:val="007864B9"/>
    <w:rsid w:val="007913AB"/>
    <w:rsid w:val="007914F7"/>
    <w:rsid w:val="007945DC"/>
    <w:rsid w:val="00794E79"/>
    <w:rsid w:val="007A48DD"/>
    <w:rsid w:val="007A6051"/>
    <w:rsid w:val="007B00AB"/>
    <w:rsid w:val="007B1625"/>
    <w:rsid w:val="007B1A33"/>
    <w:rsid w:val="007B295A"/>
    <w:rsid w:val="007B53B4"/>
    <w:rsid w:val="007B706E"/>
    <w:rsid w:val="007B71EB"/>
    <w:rsid w:val="007B7D10"/>
    <w:rsid w:val="007C0162"/>
    <w:rsid w:val="007C0B78"/>
    <w:rsid w:val="007C12C2"/>
    <w:rsid w:val="007C3305"/>
    <w:rsid w:val="007C3407"/>
    <w:rsid w:val="007C6205"/>
    <w:rsid w:val="007C621F"/>
    <w:rsid w:val="007C686A"/>
    <w:rsid w:val="007C6A72"/>
    <w:rsid w:val="007C728E"/>
    <w:rsid w:val="007C73AE"/>
    <w:rsid w:val="007C78AA"/>
    <w:rsid w:val="007D1EDE"/>
    <w:rsid w:val="007D28D3"/>
    <w:rsid w:val="007D2BA3"/>
    <w:rsid w:val="007D2C53"/>
    <w:rsid w:val="007D3D60"/>
    <w:rsid w:val="007D3E0B"/>
    <w:rsid w:val="007D7732"/>
    <w:rsid w:val="007D78DF"/>
    <w:rsid w:val="007E0A02"/>
    <w:rsid w:val="007E1579"/>
    <w:rsid w:val="007E1980"/>
    <w:rsid w:val="007E223C"/>
    <w:rsid w:val="007E3646"/>
    <w:rsid w:val="007E3DEE"/>
    <w:rsid w:val="007E4B76"/>
    <w:rsid w:val="007E5EA8"/>
    <w:rsid w:val="007F0CF1"/>
    <w:rsid w:val="007F12A5"/>
    <w:rsid w:val="007F227A"/>
    <w:rsid w:val="007F4CF1"/>
    <w:rsid w:val="007F4F1F"/>
    <w:rsid w:val="007F758D"/>
    <w:rsid w:val="007F7D52"/>
    <w:rsid w:val="00800463"/>
    <w:rsid w:val="0080177D"/>
    <w:rsid w:val="008023E9"/>
    <w:rsid w:val="0080654C"/>
    <w:rsid w:val="008071C6"/>
    <w:rsid w:val="008078D2"/>
    <w:rsid w:val="00814F01"/>
    <w:rsid w:val="00815EE0"/>
    <w:rsid w:val="0081738E"/>
    <w:rsid w:val="00817A00"/>
    <w:rsid w:val="00820B4E"/>
    <w:rsid w:val="00825278"/>
    <w:rsid w:val="00825A99"/>
    <w:rsid w:val="00835250"/>
    <w:rsid w:val="00835DB3"/>
    <w:rsid w:val="0083617B"/>
    <w:rsid w:val="008371BD"/>
    <w:rsid w:val="0084220A"/>
    <w:rsid w:val="00842E1B"/>
    <w:rsid w:val="00844AE4"/>
    <w:rsid w:val="00846A5F"/>
    <w:rsid w:val="008504A8"/>
    <w:rsid w:val="00851452"/>
    <w:rsid w:val="0085282E"/>
    <w:rsid w:val="00852964"/>
    <w:rsid w:val="008571D2"/>
    <w:rsid w:val="00860D38"/>
    <w:rsid w:val="00864B0F"/>
    <w:rsid w:val="00867833"/>
    <w:rsid w:val="0087198C"/>
    <w:rsid w:val="00872C1F"/>
    <w:rsid w:val="00873B42"/>
    <w:rsid w:val="00873E26"/>
    <w:rsid w:val="00874481"/>
    <w:rsid w:val="0087683B"/>
    <w:rsid w:val="00877216"/>
    <w:rsid w:val="008777C8"/>
    <w:rsid w:val="00882301"/>
    <w:rsid w:val="00882825"/>
    <w:rsid w:val="00884591"/>
    <w:rsid w:val="008856D8"/>
    <w:rsid w:val="00886969"/>
    <w:rsid w:val="00887137"/>
    <w:rsid w:val="00891642"/>
    <w:rsid w:val="00892E82"/>
    <w:rsid w:val="0089306F"/>
    <w:rsid w:val="008953A2"/>
    <w:rsid w:val="00897830"/>
    <w:rsid w:val="008A007C"/>
    <w:rsid w:val="008A07A3"/>
    <w:rsid w:val="008A0CD0"/>
    <w:rsid w:val="008B51D8"/>
    <w:rsid w:val="008B74EB"/>
    <w:rsid w:val="008C1B58"/>
    <w:rsid w:val="008C39AE"/>
    <w:rsid w:val="008C411E"/>
    <w:rsid w:val="008C590D"/>
    <w:rsid w:val="008C765E"/>
    <w:rsid w:val="008D4451"/>
    <w:rsid w:val="008E031B"/>
    <w:rsid w:val="008E4B5F"/>
    <w:rsid w:val="008E502F"/>
    <w:rsid w:val="008E5A90"/>
    <w:rsid w:val="008E5D49"/>
    <w:rsid w:val="008E7029"/>
    <w:rsid w:val="008E7EEA"/>
    <w:rsid w:val="008E7EF6"/>
    <w:rsid w:val="008F1F98"/>
    <w:rsid w:val="008F4551"/>
    <w:rsid w:val="008F6758"/>
    <w:rsid w:val="0090189A"/>
    <w:rsid w:val="00902813"/>
    <w:rsid w:val="009039B6"/>
    <w:rsid w:val="009040DD"/>
    <w:rsid w:val="00905B47"/>
    <w:rsid w:val="00906E0C"/>
    <w:rsid w:val="00911651"/>
    <w:rsid w:val="0091331C"/>
    <w:rsid w:val="00914115"/>
    <w:rsid w:val="009174D1"/>
    <w:rsid w:val="009221E2"/>
    <w:rsid w:val="00926244"/>
    <w:rsid w:val="00926726"/>
    <w:rsid w:val="00926901"/>
    <w:rsid w:val="009279DE"/>
    <w:rsid w:val="00927FF0"/>
    <w:rsid w:val="00930116"/>
    <w:rsid w:val="0093410C"/>
    <w:rsid w:val="0094212C"/>
    <w:rsid w:val="009430B3"/>
    <w:rsid w:val="00946CA0"/>
    <w:rsid w:val="00946FFF"/>
    <w:rsid w:val="00947319"/>
    <w:rsid w:val="00951590"/>
    <w:rsid w:val="009530E6"/>
    <w:rsid w:val="00954689"/>
    <w:rsid w:val="00960250"/>
    <w:rsid w:val="00960E2E"/>
    <w:rsid w:val="009617C9"/>
    <w:rsid w:val="00961C93"/>
    <w:rsid w:val="00961D6B"/>
    <w:rsid w:val="0096338C"/>
    <w:rsid w:val="00965324"/>
    <w:rsid w:val="009663FC"/>
    <w:rsid w:val="00966776"/>
    <w:rsid w:val="0097091E"/>
    <w:rsid w:val="0097443A"/>
    <w:rsid w:val="009760D3"/>
    <w:rsid w:val="00976A9A"/>
    <w:rsid w:val="00977132"/>
    <w:rsid w:val="00980C09"/>
    <w:rsid w:val="00981A4B"/>
    <w:rsid w:val="009823E1"/>
    <w:rsid w:val="00982501"/>
    <w:rsid w:val="00983E23"/>
    <w:rsid w:val="009877D3"/>
    <w:rsid w:val="00987CAD"/>
    <w:rsid w:val="00991262"/>
    <w:rsid w:val="00992C3A"/>
    <w:rsid w:val="00992FFE"/>
    <w:rsid w:val="0099437F"/>
    <w:rsid w:val="00994E8F"/>
    <w:rsid w:val="009951DC"/>
    <w:rsid w:val="009959BB"/>
    <w:rsid w:val="00997158"/>
    <w:rsid w:val="009A1980"/>
    <w:rsid w:val="009A3A7C"/>
    <w:rsid w:val="009A72CF"/>
    <w:rsid w:val="009A743E"/>
    <w:rsid w:val="009B2ADB"/>
    <w:rsid w:val="009B603A"/>
    <w:rsid w:val="009C2D0E"/>
    <w:rsid w:val="009C31B1"/>
    <w:rsid w:val="009C3DAC"/>
    <w:rsid w:val="009C42E0"/>
    <w:rsid w:val="009C547A"/>
    <w:rsid w:val="009C6975"/>
    <w:rsid w:val="009D3B2A"/>
    <w:rsid w:val="009D4DD0"/>
    <w:rsid w:val="009D5362"/>
    <w:rsid w:val="009E07DE"/>
    <w:rsid w:val="009E0F48"/>
    <w:rsid w:val="009E1415"/>
    <w:rsid w:val="009E18EB"/>
    <w:rsid w:val="009E2019"/>
    <w:rsid w:val="009E26CD"/>
    <w:rsid w:val="009E355F"/>
    <w:rsid w:val="009E5162"/>
    <w:rsid w:val="009E6116"/>
    <w:rsid w:val="009E7C96"/>
    <w:rsid w:val="009F27BB"/>
    <w:rsid w:val="009F3F0D"/>
    <w:rsid w:val="00A02E43"/>
    <w:rsid w:val="00A064A1"/>
    <w:rsid w:val="00A065F9"/>
    <w:rsid w:val="00A07F34"/>
    <w:rsid w:val="00A164AA"/>
    <w:rsid w:val="00A172D9"/>
    <w:rsid w:val="00A17E16"/>
    <w:rsid w:val="00A20994"/>
    <w:rsid w:val="00A22154"/>
    <w:rsid w:val="00A236AB"/>
    <w:rsid w:val="00A25C38"/>
    <w:rsid w:val="00A27A19"/>
    <w:rsid w:val="00A36BBE"/>
    <w:rsid w:val="00A37A79"/>
    <w:rsid w:val="00A4307A"/>
    <w:rsid w:val="00A442C7"/>
    <w:rsid w:val="00A47EBB"/>
    <w:rsid w:val="00A51CDD"/>
    <w:rsid w:val="00A55AEA"/>
    <w:rsid w:val="00A5607C"/>
    <w:rsid w:val="00A5784F"/>
    <w:rsid w:val="00A60FE4"/>
    <w:rsid w:val="00A61265"/>
    <w:rsid w:val="00A6404E"/>
    <w:rsid w:val="00A661CA"/>
    <w:rsid w:val="00A66F80"/>
    <w:rsid w:val="00A6730D"/>
    <w:rsid w:val="00A71625"/>
    <w:rsid w:val="00A71B9B"/>
    <w:rsid w:val="00A751C7"/>
    <w:rsid w:val="00A76A0B"/>
    <w:rsid w:val="00A80067"/>
    <w:rsid w:val="00A8124B"/>
    <w:rsid w:val="00A83290"/>
    <w:rsid w:val="00A87844"/>
    <w:rsid w:val="00A91EF4"/>
    <w:rsid w:val="00A92178"/>
    <w:rsid w:val="00A94005"/>
    <w:rsid w:val="00A94C01"/>
    <w:rsid w:val="00A96923"/>
    <w:rsid w:val="00AA038C"/>
    <w:rsid w:val="00AA285F"/>
    <w:rsid w:val="00AA6F6F"/>
    <w:rsid w:val="00AA6FB1"/>
    <w:rsid w:val="00AA7A09"/>
    <w:rsid w:val="00AA7B93"/>
    <w:rsid w:val="00AB3B50"/>
    <w:rsid w:val="00AB5CDF"/>
    <w:rsid w:val="00AB784C"/>
    <w:rsid w:val="00AC05B1"/>
    <w:rsid w:val="00AC2632"/>
    <w:rsid w:val="00AC3D12"/>
    <w:rsid w:val="00AC655A"/>
    <w:rsid w:val="00AC6E6C"/>
    <w:rsid w:val="00AD03B7"/>
    <w:rsid w:val="00AD0D79"/>
    <w:rsid w:val="00AD12BC"/>
    <w:rsid w:val="00AD356C"/>
    <w:rsid w:val="00AD451A"/>
    <w:rsid w:val="00AE2914"/>
    <w:rsid w:val="00AE6D15"/>
    <w:rsid w:val="00AE7547"/>
    <w:rsid w:val="00AF04FC"/>
    <w:rsid w:val="00AF521A"/>
    <w:rsid w:val="00AF7F07"/>
    <w:rsid w:val="00B032DB"/>
    <w:rsid w:val="00B04182"/>
    <w:rsid w:val="00B04605"/>
    <w:rsid w:val="00B07AE3"/>
    <w:rsid w:val="00B11430"/>
    <w:rsid w:val="00B14B5D"/>
    <w:rsid w:val="00B14D8A"/>
    <w:rsid w:val="00B16FAB"/>
    <w:rsid w:val="00B20F6C"/>
    <w:rsid w:val="00B2743A"/>
    <w:rsid w:val="00B31B2E"/>
    <w:rsid w:val="00B331F4"/>
    <w:rsid w:val="00B348D9"/>
    <w:rsid w:val="00B353EB"/>
    <w:rsid w:val="00B35EAE"/>
    <w:rsid w:val="00B416BD"/>
    <w:rsid w:val="00B41DEC"/>
    <w:rsid w:val="00B439C4"/>
    <w:rsid w:val="00B4535E"/>
    <w:rsid w:val="00B4611A"/>
    <w:rsid w:val="00B47EE4"/>
    <w:rsid w:val="00B52A8C"/>
    <w:rsid w:val="00B55094"/>
    <w:rsid w:val="00B61E33"/>
    <w:rsid w:val="00B636A8"/>
    <w:rsid w:val="00B63BAF"/>
    <w:rsid w:val="00B6658A"/>
    <w:rsid w:val="00B665C6"/>
    <w:rsid w:val="00B76A4A"/>
    <w:rsid w:val="00B76F14"/>
    <w:rsid w:val="00B774B9"/>
    <w:rsid w:val="00B805AF"/>
    <w:rsid w:val="00B81FFD"/>
    <w:rsid w:val="00B8660B"/>
    <w:rsid w:val="00B869EC"/>
    <w:rsid w:val="00B90A6F"/>
    <w:rsid w:val="00B91FC1"/>
    <w:rsid w:val="00B92A3E"/>
    <w:rsid w:val="00B9397A"/>
    <w:rsid w:val="00B93BBC"/>
    <w:rsid w:val="00B94580"/>
    <w:rsid w:val="00B9485B"/>
    <w:rsid w:val="00B9633D"/>
    <w:rsid w:val="00BA2EBE"/>
    <w:rsid w:val="00BA43E4"/>
    <w:rsid w:val="00BA53E8"/>
    <w:rsid w:val="00BA66A6"/>
    <w:rsid w:val="00BA74CF"/>
    <w:rsid w:val="00BB0F28"/>
    <w:rsid w:val="00BB458A"/>
    <w:rsid w:val="00BB5116"/>
    <w:rsid w:val="00BB5162"/>
    <w:rsid w:val="00BB6CCC"/>
    <w:rsid w:val="00BB6EF2"/>
    <w:rsid w:val="00BC1207"/>
    <w:rsid w:val="00BC280A"/>
    <w:rsid w:val="00BC3B69"/>
    <w:rsid w:val="00BC3E33"/>
    <w:rsid w:val="00BC7989"/>
    <w:rsid w:val="00BD00D3"/>
    <w:rsid w:val="00BD1659"/>
    <w:rsid w:val="00BD323F"/>
    <w:rsid w:val="00BD3AA9"/>
    <w:rsid w:val="00BD4A18"/>
    <w:rsid w:val="00BD6DB2"/>
    <w:rsid w:val="00BE11CF"/>
    <w:rsid w:val="00BE21AB"/>
    <w:rsid w:val="00BE3223"/>
    <w:rsid w:val="00BE55CB"/>
    <w:rsid w:val="00BE61E4"/>
    <w:rsid w:val="00BE6BAB"/>
    <w:rsid w:val="00BE6E0C"/>
    <w:rsid w:val="00BE70D3"/>
    <w:rsid w:val="00BE7BB1"/>
    <w:rsid w:val="00BF032A"/>
    <w:rsid w:val="00BF0EA3"/>
    <w:rsid w:val="00BF4690"/>
    <w:rsid w:val="00BF51C5"/>
    <w:rsid w:val="00BF617A"/>
    <w:rsid w:val="00BF7290"/>
    <w:rsid w:val="00BF7CC2"/>
    <w:rsid w:val="00C013EB"/>
    <w:rsid w:val="00C017CC"/>
    <w:rsid w:val="00C0379D"/>
    <w:rsid w:val="00C03931"/>
    <w:rsid w:val="00C05FE3"/>
    <w:rsid w:val="00C1068C"/>
    <w:rsid w:val="00C2136D"/>
    <w:rsid w:val="00C214EE"/>
    <w:rsid w:val="00C2314B"/>
    <w:rsid w:val="00C24971"/>
    <w:rsid w:val="00C26BE5"/>
    <w:rsid w:val="00C26E4D"/>
    <w:rsid w:val="00C271A8"/>
    <w:rsid w:val="00C27909"/>
    <w:rsid w:val="00C27B03"/>
    <w:rsid w:val="00C309B8"/>
    <w:rsid w:val="00C314E1"/>
    <w:rsid w:val="00C31BE8"/>
    <w:rsid w:val="00C32C62"/>
    <w:rsid w:val="00C34397"/>
    <w:rsid w:val="00C4095D"/>
    <w:rsid w:val="00C42005"/>
    <w:rsid w:val="00C44B29"/>
    <w:rsid w:val="00C45EC4"/>
    <w:rsid w:val="00C46E86"/>
    <w:rsid w:val="00C50560"/>
    <w:rsid w:val="00C57722"/>
    <w:rsid w:val="00C601D2"/>
    <w:rsid w:val="00C61F9A"/>
    <w:rsid w:val="00C63961"/>
    <w:rsid w:val="00C63B08"/>
    <w:rsid w:val="00C647D0"/>
    <w:rsid w:val="00C64AB9"/>
    <w:rsid w:val="00C6534C"/>
    <w:rsid w:val="00C657AB"/>
    <w:rsid w:val="00C65BCC"/>
    <w:rsid w:val="00C66970"/>
    <w:rsid w:val="00C705EF"/>
    <w:rsid w:val="00C72B86"/>
    <w:rsid w:val="00C72C67"/>
    <w:rsid w:val="00C74142"/>
    <w:rsid w:val="00C76FC1"/>
    <w:rsid w:val="00C8279F"/>
    <w:rsid w:val="00C83604"/>
    <w:rsid w:val="00C866B3"/>
    <w:rsid w:val="00C8691C"/>
    <w:rsid w:val="00C873F3"/>
    <w:rsid w:val="00C95D46"/>
    <w:rsid w:val="00C9644E"/>
    <w:rsid w:val="00C966C1"/>
    <w:rsid w:val="00CA1258"/>
    <w:rsid w:val="00CA168A"/>
    <w:rsid w:val="00CA357E"/>
    <w:rsid w:val="00CA44F9"/>
    <w:rsid w:val="00CA4A69"/>
    <w:rsid w:val="00CA4D64"/>
    <w:rsid w:val="00CA7DBB"/>
    <w:rsid w:val="00CB4B10"/>
    <w:rsid w:val="00CB68FB"/>
    <w:rsid w:val="00CB7E18"/>
    <w:rsid w:val="00CC2BC7"/>
    <w:rsid w:val="00CC35A3"/>
    <w:rsid w:val="00CC3E0C"/>
    <w:rsid w:val="00CC4D60"/>
    <w:rsid w:val="00CC58D3"/>
    <w:rsid w:val="00CC73D2"/>
    <w:rsid w:val="00CC784D"/>
    <w:rsid w:val="00CD0033"/>
    <w:rsid w:val="00CD2E86"/>
    <w:rsid w:val="00CD370B"/>
    <w:rsid w:val="00CE05E1"/>
    <w:rsid w:val="00CE3430"/>
    <w:rsid w:val="00CE34F8"/>
    <w:rsid w:val="00CE3B4F"/>
    <w:rsid w:val="00CE4398"/>
    <w:rsid w:val="00CE6BA4"/>
    <w:rsid w:val="00CF03AE"/>
    <w:rsid w:val="00CF0791"/>
    <w:rsid w:val="00CF2319"/>
    <w:rsid w:val="00CF45B7"/>
    <w:rsid w:val="00CF775F"/>
    <w:rsid w:val="00D01BCA"/>
    <w:rsid w:val="00D0337B"/>
    <w:rsid w:val="00D07960"/>
    <w:rsid w:val="00D079B2"/>
    <w:rsid w:val="00D114E9"/>
    <w:rsid w:val="00D1364F"/>
    <w:rsid w:val="00D23F1B"/>
    <w:rsid w:val="00D2484A"/>
    <w:rsid w:val="00D2750E"/>
    <w:rsid w:val="00D3540F"/>
    <w:rsid w:val="00D36B8D"/>
    <w:rsid w:val="00D379A3"/>
    <w:rsid w:val="00D40494"/>
    <w:rsid w:val="00D429C6"/>
    <w:rsid w:val="00D465D5"/>
    <w:rsid w:val="00D46AD1"/>
    <w:rsid w:val="00D47748"/>
    <w:rsid w:val="00D514A9"/>
    <w:rsid w:val="00D518F0"/>
    <w:rsid w:val="00D54CC3"/>
    <w:rsid w:val="00D55BFF"/>
    <w:rsid w:val="00D6041A"/>
    <w:rsid w:val="00D633EB"/>
    <w:rsid w:val="00D726D8"/>
    <w:rsid w:val="00D750CF"/>
    <w:rsid w:val="00D7754A"/>
    <w:rsid w:val="00D77738"/>
    <w:rsid w:val="00D818F0"/>
    <w:rsid w:val="00D824A6"/>
    <w:rsid w:val="00D82FF7"/>
    <w:rsid w:val="00D833B7"/>
    <w:rsid w:val="00D847FE"/>
    <w:rsid w:val="00D92CCB"/>
    <w:rsid w:val="00D95A1B"/>
    <w:rsid w:val="00D95A83"/>
    <w:rsid w:val="00D964EA"/>
    <w:rsid w:val="00D966D0"/>
    <w:rsid w:val="00D9712F"/>
    <w:rsid w:val="00D97857"/>
    <w:rsid w:val="00D97A42"/>
    <w:rsid w:val="00DA0C59"/>
    <w:rsid w:val="00DA314F"/>
    <w:rsid w:val="00DA3991"/>
    <w:rsid w:val="00DA595A"/>
    <w:rsid w:val="00DB0D92"/>
    <w:rsid w:val="00DB0F94"/>
    <w:rsid w:val="00DB2B48"/>
    <w:rsid w:val="00DB7639"/>
    <w:rsid w:val="00DB7808"/>
    <w:rsid w:val="00DB7E6C"/>
    <w:rsid w:val="00DC2342"/>
    <w:rsid w:val="00DC6944"/>
    <w:rsid w:val="00DD0DFD"/>
    <w:rsid w:val="00DD16AB"/>
    <w:rsid w:val="00DD25FB"/>
    <w:rsid w:val="00DD37AF"/>
    <w:rsid w:val="00DD5A29"/>
    <w:rsid w:val="00DD5D9D"/>
    <w:rsid w:val="00DE0440"/>
    <w:rsid w:val="00DE2DE9"/>
    <w:rsid w:val="00DE35CB"/>
    <w:rsid w:val="00DE473C"/>
    <w:rsid w:val="00DE48C8"/>
    <w:rsid w:val="00DE4EC8"/>
    <w:rsid w:val="00DF187B"/>
    <w:rsid w:val="00DF21E9"/>
    <w:rsid w:val="00DF3CC0"/>
    <w:rsid w:val="00DF440F"/>
    <w:rsid w:val="00DF6431"/>
    <w:rsid w:val="00DF6AFF"/>
    <w:rsid w:val="00E00F14"/>
    <w:rsid w:val="00E06386"/>
    <w:rsid w:val="00E102DF"/>
    <w:rsid w:val="00E14A65"/>
    <w:rsid w:val="00E1776D"/>
    <w:rsid w:val="00E2107E"/>
    <w:rsid w:val="00E22323"/>
    <w:rsid w:val="00E22ADA"/>
    <w:rsid w:val="00E24EB4"/>
    <w:rsid w:val="00E255EA"/>
    <w:rsid w:val="00E267E6"/>
    <w:rsid w:val="00E2775F"/>
    <w:rsid w:val="00E27BBC"/>
    <w:rsid w:val="00E30FE1"/>
    <w:rsid w:val="00E320ED"/>
    <w:rsid w:val="00E32591"/>
    <w:rsid w:val="00E32FED"/>
    <w:rsid w:val="00E334C1"/>
    <w:rsid w:val="00E33AFB"/>
    <w:rsid w:val="00E34218"/>
    <w:rsid w:val="00E37E0B"/>
    <w:rsid w:val="00E4541C"/>
    <w:rsid w:val="00E45800"/>
    <w:rsid w:val="00E46282"/>
    <w:rsid w:val="00E5153F"/>
    <w:rsid w:val="00E5216E"/>
    <w:rsid w:val="00E55DD5"/>
    <w:rsid w:val="00E60818"/>
    <w:rsid w:val="00E62745"/>
    <w:rsid w:val="00E633E7"/>
    <w:rsid w:val="00E731ED"/>
    <w:rsid w:val="00E7367B"/>
    <w:rsid w:val="00E77299"/>
    <w:rsid w:val="00E772A0"/>
    <w:rsid w:val="00E81C87"/>
    <w:rsid w:val="00E82344"/>
    <w:rsid w:val="00E82FE1"/>
    <w:rsid w:val="00E84B84"/>
    <w:rsid w:val="00E84C82"/>
    <w:rsid w:val="00E84D64"/>
    <w:rsid w:val="00E86E8B"/>
    <w:rsid w:val="00E87408"/>
    <w:rsid w:val="00E914C4"/>
    <w:rsid w:val="00E934F5"/>
    <w:rsid w:val="00E93A63"/>
    <w:rsid w:val="00E93EAA"/>
    <w:rsid w:val="00E95E48"/>
    <w:rsid w:val="00E96961"/>
    <w:rsid w:val="00EA1819"/>
    <w:rsid w:val="00EA48DA"/>
    <w:rsid w:val="00EA5B90"/>
    <w:rsid w:val="00EA661F"/>
    <w:rsid w:val="00EA665A"/>
    <w:rsid w:val="00EA72EC"/>
    <w:rsid w:val="00EA7D83"/>
    <w:rsid w:val="00EB11CB"/>
    <w:rsid w:val="00EB19A8"/>
    <w:rsid w:val="00EB275A"/>
    <w:rsid w:val="00EB388C"/>
    <w:rsid w:val="00EB786A"/>
    <w:rsid w:val="00EC1578"/>
    <w:rsid w:val="00EC1C72"/>
    <w:rsid w:val="00EC3CC9"/>
    <w:rsid w:val="00EC44C9"/>
    <w:rsid w:val="00EC680A"/>
    <w:rsid w:val="00EC6CCB"/>
    <w:rsid w:val="00EC7E35"/>
    <w:rsid w:val="00ED0353"/>
    <w:rsid w:val="00ED0498"/>
    <w:rsid w:val="00ED14EE"/>
    <w:rsid w:val="00ED5EDD"/>
    <w:rsid w:val="00ED613F"/>
    <w:rsid w:val="00EE0357"/>
    <w:rsid w:val="00EE133C"/>
    <w:rsid w:val="00EE2497"/>
    <w:rsid w:val="00EE2BED"/>
    <w:rsid w:val="00EE374B"/>
    <w:rsid w:val="00F005B8"/>
    <w:rsid w:val="00F01FCF"/>
    <w:rsid w:val="00F04BC8"/>
    <w:rsid w:val="00F04F00"/>
    <w:rsid w:val="00F0675D"/>
    <w:rsid w:val="00F11798"/>
    <w:rsid w:val="00F11BB5"/>
    <w:rsid w:val="00F13185"/>
    <w:rsid w:val="00F13F78"/>
    <w:rsid w:val="00F1417B"/>
    <w:rsid w:val="00F14921"/>
    <w:rsid w:val="00F170EB"/>
    <w:rsid w:val="00F231FC"/>
    <w:rsid w:val="00F23853"/>
    <w:rsid w:val="00F266D0"/>
    <w:rsid w:val="00F32E75"/>
    <w:rsid w:val="00F3328D"/>
    <w:rsid w:val="00F3425B"/>
    <w:rsid w:val="00F34B99"/>
    <w:rsid w:val="00F357F2"/>
    <w:rsid w:val="00F3615D"/>
    <w:rsid w:val="00F40233"/>
    <w:rsid w:val="00F40C6D"/>
    <w:rsid w:val="00F41E08"/>
    <w:rsid w:val="00F4405F"/>
    <w:rsid w:val="00F45754"/>
    <w:rsid w:val="00F46B78"/>
    <w:rsid w:val="00F4744D"/>
    <w:rsid w:val="00F52DAB"/>
    <w:rsid w:val="00F543F0"/>
    <w:rsid w:val="00F54EA5"/>
    <w:rsid w:val="00F63E41"/>
    <w:rsid w:val="00F65C2A"/>
    <w:rsid w:val="00F66608"/>
    <w:rsid w:val="00F67AF4"/>
    <w:rsid w:val="00F712CB"/>
    <w:rsid w:val="00F716BB"/>
    <w:rsid w:val="00F72390"/>
    <w:rsid w:val="00F72ABA"/>
    <w:rsid w:val="00F7557A"/>
    <w:rsid w:val="00F76513"/>
    <w:rsid w:val="00F81D29"/>
    <w:rsid w:val="00F82DD2"/>
    <w:rsid w:val="00F83A97"/>
    <w:rsid w:val="00F91C4D"/>
    <w:rsid w:val="00F92FD9"/>
    <w:rsid w:val="00F9482C"/>
    <w:rsid w:val="00F951F3"/>
    <w:rsid w:val="00FA6684"/>
    <w:rsid w:val="00FA731E"/>
    <w:rsid w:val="00FA76C5"/>
    <w:rsid w:val="00FB0966"/>
    <w:rsid w:val="00FB1A2C"/>
    <w:rsid w:val="00FB2B38"/>
    <w:rsid w:val="00FB5213"/>
    <w:rsid w:val="00FC2449"/>
    <w:rsid w:val="00FC2AE1"/>
    <w:rsid w:val="00FC6358"/>
    <w:rsid w:val="00FD28A5"/>
    <w:rsid w:val="00FD320D"/>
    <w:rsid w:val="00FD47BE"/>
    <w:rsid w:val="00FD5F86"/>
    <w:rsid w:val="00FE23DE"/>
    <w:rsid w:val="00FF273A"/>
    <w:rsid w:val="01E4596E"/>
    <w:rsid w:val="01EF6B17"/>
    <w:rsid w:val="023076EE"/>
    <w:rsid w:val="02BC429F"/>
    <w:rsid w:val="0351443D"/>
    <w:rsid w:val="03796150"/>
    <w:rsid w:val="039D4AC9"/>
    <w:rsid w:val="03AD60D3"/>
    <w:rsid w:val="03B93307"/>
    <w:rsid w:val="04086509"/>
    <w:rsid w:val="05CD2C2D"/>
    <w:rsid w:val="05D242E7"/>
    <w:rsid w:val="07353394"/>
    <w:rsid w:val="076B418C"/>
    <w:rsid w:val="085E5363"/>
    <w:rsid w:val="09201B85"/>
    <w:rsid w:val="09A13B38"/>
    <w:rsid w:val="0A2D6536"/>
    <w:rsid w:val="0A925892"/>
    <w:rsid w:val="0B6E7C48"/>
    <w:rsid w:val="0BBA5615"/>
    <w:rsid w:val="0C13774B"/>
    <w:rsid w:val="0D390E6C"/>
    <w:rsid w:val="0E1E24B9"/>
    <w:rsid w:val="0E4F0A1A"/>
    <w:rsid w:val="0E8048DF"/>
    <w:rsid w:val="0F04130E"/>
    <w:rsid w:val="0F5A2AB3"/>
    <w:rsid w:val="0F6C6153"/>
    <w:rsid w:val="10422A52"/>
    <w:rsid w:val="112769FA"/>
    <w:rsid w:val="11BC7D9D"/>
    <w:rsid w:val="142A7F6B"/>
    <w:rsid w:val="144C68FB"/>
    <w:rsid w:val="1492352A"/>
    <w:rsid w:val="15361474"/>
    <w:rsid w:val="176B480B"/>
    <w:rsid w:val="17847BFC"/>
    <w:rsid w:val="181173DB"/>
    <w:rsid w:val="18471793"/>
    <w:rsid w:val="184A427E"/>
    <w:rsid w:val="19530682"/>
    <w:rsid w:val="1B053F59"/>
    <w:rsid w:val="1BEF3FFE"/>
    <w:rsid w:val="1C0A3037"/>
    <w:rsid w:val="1CD41F25"/>
    <w:rsid w:val="1D035A7E"/>
    <w:rsid w:val="1DD73C26"/>
    <w:rsid w:val="1E866D93"/>
    <w:rsid w:val="1E9800FA"/>
    <w:rsid w:val="1EB61677"/>
    <w:rsid w:val="1F92648E"/>
    <w:rsid w:val="1FBD798C"/>
    <w:rsid w:val="21BA5DDF"/>
    <w:rsid w:val="2426259E"/>
    <w:rsid w:val="24273A01"/>
    <w:rsid w:val="244158D5"/>
    <w:rsid w:val="25176491"/>
    <w:rsid w:val="255038A4"/>
    <w:rsid w:val="25945B52"/>
    <w:rsid w:val="266C7B79"/>
    <w:rsid w:val="26862C9F"/>
    <w:rsid w:val="28D445F4"/>
    <w:rsid w:val="2AA04CDB"/>
    <w:rsid w:val="2B63272A"/>
    <w:rsid w:val="2DF26326"/>
    <w:rsid w:val="2F0C7A01"/>
    <w:rsid w:val="2F1F79AE"/>
    <w:rsid w:val="30880655"/>
    <w:rsid w:val="309B399F"/>
    <w:rsid w:val="31A74B71"/>
    <w:rsid w:val="31A770A4"/>
    <w:rsid w:val="33EF3720"/>
    <w:rsid w:val="344B22CC"/>
    <w:rsid w:val="34C52A53"/>
    <w:rsid w:val="36844A9A"/>
    <w:rsid w:val="37DA4AE5"/>
    <w:rsid w:val="384020CD"/>
    <w:rsid w:val="39480296"/>
    <w:rsid w:val="39AC1EA8"/>
    <w:rsid w:val="3A046F71"/>
    <w:rsid w:val="3B732A6B"/>
    <w:rsid w:val="3B970FAA"/>
    <w:rsid w:val="3BC67D8D"/>
    <w:rsid w:val="3C44797E"/>
    <w:rsid w:val="3C605056"/>
    <w:rsid w:val="3CAE7C24"/>
    <w:rsid w:val="3D397097"/>
    <w:rsid w:val="3E401A3B"/>
    <w:rsid w:val="3E9D7DB7"/>
    <w:rsid w:val="3EBA0D33"/>
    <w:rsid w:val="3ED2592B"/>
    <w:rsid w:val="41CF687E"/>
    <w:rsid w:val="435170C5"/>
    <w:rsid w:val="44DE7310"/>
    <w:rsid w:val="457660CC"/>
    <w:rsid w:val="4771704E"/>
    <w:rsid w:val="480E3FD3"/>
    <w:rsid w:val="49844C8B"/>
    <w:rsid w:val="4A3A481A"/>
    <w:rsid w:val="4A750A10"/>
    <w:rsid w:val="4A863D7C"/>
    <w:rsid w:val="4C26657D"/>
    <w:rsid w:val="4CD40D1C"/>
    <w:rsid w:val="4D3E3D1A"/>
    <w:rsid w:val="4E454279"/>
    <w:rsid w:val="4E716890"/>
    <w:rsid w:val="4EB20A10"/>
    <w:rsid w:val="4F3D36B9"/>
    <w:rsid w:val="4F4A2A8E"/>
    <w:rsid w:val="4FAC25B8"/>
    <w:rsid w:val="5053331B"/>
    <w:rsid w:val="51C871DB"/>
    <w:rsid w:val="52B908D5"/>
    <w:rsid w:val="52EB5783"/>
    <w:rsid w:val="53C02748"/>
    <w:rsid w:val="553C02E6"/>
    <w:rsid w:val="560B57A2"/>
    <w:rsid w:val="56331574"/>
    <w:rsid w:val="56904F62"/>
    <w:rsid w:val="56AB1891"/>
    <w:rsid w:val="570B7745"/>
    <w:rsid w:val="58752586"/>
    <w:rsid w:val="58AA265A"/>
    <w:rsid w:val="58EE1215"/>
    <w:rsid w:val="5B3D133A"/>
    <w:rsid w:val="5C0735E3"/>
    <w:rsid w:val="5C8D6A71"/>
    <w:rsid w:val="5D291718"/>
    <w:rsid w:val="5D5105DF"/>
    <w:rsid w:val="5E9A458F"/>
    <w:rsid w:val="5F0F0F9A"/>
    <w:rsid w:val="5FDE2E12"/>
    <w:rsid w:val="5FFB7369"/>
    <w:rsid w:val="602E4725"/>
    <w:rsid w:val="60D403B2"/>
    <w:rsid w:val="613E1440"/>
    <w:rsid w:val="61E03763"/>
    <w:rsid w:val="620B7C70"/>
    <w:rsid w:val="6477185F"/>
    <w:rsid w:val="64786AE2"/>
    <w:rsid w:val="65470FBD"/>
    <w:rsid w:val="65A50B2A"/>
    <w:rsid w:val="65DC4CF3"/>
    <w:rsid w:val="67467F19"/>
    <w:rsid w:val="675A0995"/>
    <w:rsid w:val="675D4644"/>
    <w:rsid w:val="6A0B33CF"/>
    <w:rsid w:val="6B9E62E1"/>
    <w:rsid w:val="6BC81B85"/>
    <w:rsid w:val="6C7E3D22"/>
    <w:rsid w:val="6CA31956"/>
    <w:rsid w:val="6DF95C35"/>
    <w:rsid w:val="6F1B4701"/>
    <w:rsid w:val="6F8A2011"/>
    <w:rsid w:val="6FB3241D"/>
    <w:rsid w:val="6FD202CA"/>
    <w:rsid w:val="6FEC6009"/>
    <w:rsid w:val="704E7483"/>
    <w:rsid w:val="715270A4"/>
    <w:rsid w:val="73172E88"/>
    <w:rsid w:val="73C97750"/>
    <w:rsid w:val="73E377C1"/>
    <w:rsid w:val="740A3864"/>
    <w:rsid w:val="756958F4"/>
    <w:rsid w:val="75950001"/>
    <w:rsid w:val="75DF190F"/>
    <w:rsid w:val="773166A6"/>
    <w:rsid w:val="79073D80"/>
    <w:rsid w:val="7A49076A"/>
    <w:rsid w:val="7A8D1FB6"/>
    <w:rsid w:val="7A917F7F"/>
    <w:rsid w:val="7DA96AB7"/>
    <w:rsid w:val="7DD04AF6"/>
    <w:rsid w:val="7F44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index 8"/>
    <w:basedOn w:val="1"/>
    <w:next w:val="1"/>
    <w:qFormat/>
    <w:uiPriority w:val="0"/>
    <w:pPr>
      <w:ind w:left="1680" w:hanging="210"/>
      <w:jc w:val="left"/>
    </w:pPr>
    <w:rPr>
      <w:rFonts w:ascii="Calibri" w:hAnsi="Calibri"/>
      <w:sz w:val="20"/>
      <w:szCs w:val="20"/>
    </w:rPr>
  </w:style>
  <w:style w:type="paragraph" w:styleId="3">
    <w:name w:val="Normal Indent"/>
    <w:basedOn w:val="1"/>
    <w:qFormat/>
    <w:uiPriority w:val="0"/>
    <w:pPr>
      <w:adjustRightInd w:val="0"/>
      <w:spacing w:line="360" w:lineRule="atLeast"/>
      <w:ind w:firstLine="420"/>
      <w:jc w:val="left"/>
      <w:textAlignment w:val="baseline"/>
    </w:pPr>
    <w:rPr>
      <w:kern w:val="0"/>
      <w:sz w:val="24"/>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39"/>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Plain Text"/>
    <w:basedOn w:val="1"/>
    <w:link w:val="152"/>
    <w:qFormat/>
    <w:uiPriority w:val="0"/>
    <w:rPr>
      <w:rFonts w:ascii="宋体" w:hAnsi="Courier New"/>
      <w:szCs w:val="20"/>
    </w:rPr>
  </w:style>
  <w:style w:type="paragraph" w:styleId="11">
    <w:name w:val="index 3"/>
    <w:basedOn w:val="1"/>
    <w:next w:val="1"/>
    <w:qFormat/>
    <w:uiPriority w:val="0"/>
    <w:pPr>
      <w:ind w:left="630" w:hanging="210"/>
      <w:jc w:val="left"/>
    </w:pPr>
    <w:rPr>
      <w:rFonts w:ascii="Calibri" w:hAnsi="Calibri"/>
      <w:sz w:val="20"/>
      <w:szCs w:val="20"/>
    </w:rPr>
  </w:style>
  <w:style w:type="paragraph" w:styleId="12">
    <w:name w:val="endnote text"/>
    <w:basedOn w:val="1"/>
    <w:semiHidden/>
    <w:qFormat/>
    <w:uiPriority w:val="0"/>
    <w:pPr>
      <w:snapToGrid w:val="0"/>
      <w:jc w:val="left"/>
    </w:pPr>
  </w:style>
  <w:style w:type="paragraph" w:styleId="13">
    <w:name w:val="Balloon Text"/>
    <w:basedOn w:val="1"/>
    <w:link w:val="141"/>
    <w:qFormat/>
    <w:uiPriority w:val="0"/>
    <w:rPr>
      <w:sz w:val="18"/>
      <w:szCs w:val="18"/>
    </w:rPr>
  </w:style>
  <w:style w:type="paragraph" w:styleId="14">
    <w:name w:val="footer"/>
    <w:basedOn w:val="1"/>
    <w:link w:val="153"/>
    <w:qFormat/>
    <w:uiPriority w:val="99"/>
    <w:pPr>
      <w:snapToGrid w:val="0"/>
      <w:ind w:right="210" w:rightChars="100"/>
      <w:jc w:val="right"/>
    </w:pPr>
    <w:rPr>
      <w:sz w:val="18"/>
      <w:szCs w:val="18"/>
    </w:rPr>
  </w:style>
  <w:style w:type="paragraph" w:styleId="15">
    <w:name w:val="header"/>
    <w:basedOn w:val="1"/>
    <w:qFormat/>
    <w:uiPriority w:val="0"/>
    <w:pPr>
      <w:snapToGrid w:val="0"/>
      <w:jc w:val="left"/>
    </w:pPr>
    <w:rPr>
      <w:sz w:val="18"/>
      <w:szCs w:val="18"/>
    </w:rPr>
  </w:style>
  <w:style w:type="paragraph" w:styleId="16">
    <w:name w:val="index heading"/>
    <w:basedOn w:val="1"/>
    <w:next w:val="17"/>
    <w:qFormat/>
    <w:uiPriority w:val="0"/>
    <w:pPr>
      <w:spacing w:before="120" w:after="120"/>
      <w:jc w:val="center"/>
    </w:pPr>
    <w:rPr>
      <w:rFonts w:ascii="Calibri" w:hAnsi="Calibri"/>
      <w:b/>
      <w:bCs/>
      <w:iCs/>
      <w:szCs w:val="20"/>
    </w:rPr>
  </w:style>
  <w:style w:type="paragraph" w:styleId="17">
    <w:name w:val="index 1"/>
    <w:basedOn w:val="1"/>
    <w:next w:val="18"/>
    <w:qFormat/>
    <w:uiPriority w:val="0"/>
    <w:pPr>
      <w:tabs>
        <w:tab w:val="right" w:leader="dot" w:pos="9299"/>
      </w:tabs>
      <w:jc w:val="left"/>
    </w:pPr>
    <w:rPr>
      <w:rFonts w:ascii="宋体"/>
      <w:szCs w:val="21"/>
    </w:rPr>
  </w:style>
  <w:style w:type="paragraph" w:customStyle="1" w:styleId="18">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9">
    <w:name w:val="footnote text"/>
    <w:basedOn w:val="1"/>
    <w:qFormat/>
    <w:uiPriority w:val="0"/>
    <w:pPr>
      <w:numPr>
        <w:ilvl w:val="0"/>
        <w:numId w:val="1"/>
      </w:numPr>
      <w:snapToGrid w:val="0"/>
      <w:jc w:val="left"/>
    </w:pPr>
    <w:rPr>
      <w:rFonts w:ascii="宋体"/>
      <w:sz w:val="18"/>
      <w:szCs w:val="18"/>
    </w:rPr>
  </w:style>
  <w:style w:type="paragraph" w:styleId="20">
    <w:name w:val="index 7"/>
    <w:basedOn w:val="1"/>
    <w:next w:val="1"/>
    <w:qFormat/>
    <w:uiPriority w:val="0"/>
    <w:pPr>
      <w:ind w:left="1470" w:hanging="210"/>
      <w:jc w:val="left"/>
    </w:pPr>
    <w:rPr>
      <w:rFonts w:ascii="Calibri" w:hAnsi="Calibri"/>
      <w:sz w:val="20"/>
      <w:szCs w:val="20"/>
    </w:rPr>
  </w:style>
  <w:style w:type="paragraph" w:styleId="21">
    <w:name w:val="index 9"/>
    <w:basedOn w:val="1"/>
    <w:next w:val="1"/>
    <w:qFormat/>
    <w:uiPriority w:val="0"/>
    <w:pPr>
      <w:ind w:left="1890" w:hanging="210"/>
      <w:jc w:val="left"/>
    </w:pPr>
    <w:rPr>
      <w:rFonts w:ascii="Calibri" w:hAnsi="Calibri"/>
      <w:sz w:val="20"/>
      <w:szCs w:val="20"/>
    </w:rPr>
  </w:style>
  <w:style w:type="paragraph" w:styleId="22">
    <w:name w:val="index 2"/>
    <w:basedOn w:val="1"/>
    <w:next w:val="1"/>
    <w:qFormat/>
    <w:uiPriority w:val="0"/>
    <w:pPr>
      <w:ind w:left="420" w:hanging="210"/>
      <w:jc w:val="left"/>
    </w:pPr>
    <w:rPr>
      <w:rFonts w:ascii="Calibri" w:hAnsi="Calibri"/>
      <w:sz w:val="20"/>
      <w:szCs w:val="20"/>
    </w:rPr>
  </w:style>
  <w:style w:type="paragraph" w:styleId="23">
    <w:name w:val="annotation subject"/>
    <w:basedOn w:val="7"/>
    <w:next w:val="7"/>
    <w:link w:val="140"/>
    <w:qFormat/>
    <w:uiPriority w:val="0"/>
    <w:rPr>
      <w:b/>
      <w:bCs/>
    </w:rPr>
  </w:style>
  <w:style w:type="table" w:styleId="25">
    <w:name w:val="Table Grid"/>
    <w:basedOn w:val="2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endnote reference"/>
    <w:semiHidden/>
    <w:qFormat/>
    <w:uiPriority w:val="0"/>
    <w:rPr>
      <w:vertAlign w:val="superscript"/>
    </w:rPr>
  </w:style>
  <w:style w:type="character" w:styleId="28">
    <w:name w:val="page number"/>
    <w:qFormat/>
    <w:uiPriority w:val="0"/>
    <w:rPr>
      <w:rFonts w:ascii="Times New Roman" w:hAnsi="Times New Roman" w:eastAsia="宋体"/>
      <w:sz w:val="18"/>
    </w:rPr>
  </w:style>
  <w:style w:type="character" w:styleId="29">
    <w:name w:val="Hyperlink"/>
    <w:qFormat/>
    <w:uiPriority w:val="0"/>
    <w:rPr>
      <w:color w:val="0000FF"/>
      <w:spacing w:val="0"/>
      <w:w w:val="100"/>
      <w:szCs w:val="21"/>
      <w:u w:val="single"/>
    </w:rPr>
  </w:style>
  <w:style w:type="character" w:styleId="30">
    <w:name w:val="annotation reference"/>
    <w:qFormat/>
    <w:uiPriority w:val="0"/>
    <w:rPr>
      <w:sz w:val="21"/>
      <w:szCs w:val="21"/>
    </w:rPr>
  </w:style>
  <w:style w:type="character" w:styleId="31">
    <w:name w:val="footnote reference"/>
    <w:semiHidden/>
    <w:qFormat/>
    <w:uiPriority w:val="0"/>
    <w:rPr>
      <w:vertAlign w:val="superscript"/>
    </w:rPr>
  </w:style>
  <w:style w:type="character" w:customStyle="1" w:styleId="32">
    <w:name w:val="段 Char"/>
    <w:link w:val="18"/>
    <w:qFormat/>
    <w:uiPriority w:val="0"/>
    <w:rPr>
      <w:rFonts w:ascii="宋体"/>
      <w:sz w:val="21"/>
      <w:lang w:val="en-US" w:eastAsia="zh-CN" w:bidi="ar-SA"/>
    </w:rPr>
  </w:style>
  <w:style w:type="paragraph" w:customStyle="1" w:styleId="33">
    <w:name w:val="一级条标题"/>
    <w:basedOn w:val="34"/>
    <w:next w:val="18"/>
    <w:link w:val="149"/>
    <w:qFormat/>
    <w:uiPriority w:val="0"/>
    <w:pPr>
      <w:numPr>
        <w:ilvl w:val="1"/>
      </w:numPr>
      <w:spacing w:before="156" w:beforeLines="50" w:after="156" w:afterLines="50"/>
      <w:ind w:left="284"/>
      <w:outlineLvl w:val="2"/>
    </w:pPr>
    <w:rPr>
      <w:szCs w:val="21"/>
    </w:rPr>
  </w:style>
  <w:style w:type="paragraph" w:customStyle="1" w:styleId="34">
    <w:name w:val="章标题"/>
    <w:next w:val="18"/>
    <w:link w:val="148"/>
    <w:qFormat/>
    <w:uiPriority w:val="0"/>
    <w:pPr>
      <w:numPr>
        <w:ilvl w:val="0"/>
        <w:numId w:val="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二级条标题"/>
    <w:basedOn w:val="33"/>
    <w:next w:val="18"/>
    <w:link w:val="150"/>
    <w:qFormat/>
    <w:uiPriority w:val="0"/>
    <w:pPr>
      <w:numPr>
        <w:ilvl w:val="2"/>
      </w:numPr>
      <w:spacing w:before="50" w:after="50"/>
      <w:ind w:left="1560"/>
      <w:outlineLvl w:val="3"/>
    </w:pPr>
  </w:style>
  <w:style w:type="paragraph" w:customStyle="1" w:styleId="3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1">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2">
    <w:name w:val="三级条标题"/>
    <w:basedOn w:val="37"/>
    <w:next w:val="18"/>
    <w:link w:val="151"/>
    <w:qFormat/>
    <w:uiPriority w:val="0"/>
    <w:pPr>
      <w:numPr>
        <w:ilvl w:val="3"/>
      </w:numPr>
      <w:outlineLvl w:val="4"/>
    </w:pPr>
  </w:style>
  <w:style w:type="paragraph" w:customStyle="1" w:styleId="43">
    <w:name w:val="示例"/>
    <w:next w:val="4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46">
    <w:name w:val="四级条标题"/>
    <w:basedOn w:val="42"/>
    <w:next w:val="18"/>
    <w:qFormat/>
    <w:uiPriority w:val="0"/>
    <w:pPr>
      <w:numPr>
        <w:ilvl w:val="4"/>
      </w:numPr>
      <w:outlineLvl w:val="5"/>
    </w:pPr>
  </w:style>
  <w:style w:type="paragraph" w:customStyle="1" w:styleId="47">
    <w:name w:val="五级条标题"/>
    <w:basedOn w:val="46"/>
    <w:next w:val="18"/>
    <w:qFormat/>
    <w:uiPriority w:val="0"/>
    <w:pPr>
      <w:numPr>
        <w:ilvl w:val="5"/>
      </w:numPr>
      <w:outlineLvl w:val="6"/>
    </w:pPr>
  </w:style>
  <w:style w:type="paragraph" w:customStyle="1" w:styleId="48">
    <w:name w:val="注："/>
    <w:next w:val="1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4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1">
    <w:name w:val="列项◆（三级）"/>
    <w:basedOn w:val="1"/>
    <w:qFormat/>
    <w:uiPriority w:val="0"/>
    <w:pPr>
      <w:numPr>
        <w:ilvl w:val="2"/>
        <w:numId w:val="3"/>
      </w:numPr>
    </w:pPr>
    <w:rPr>
      <w:rFonts w:ascii="宋体"/>
      <w:szCs w:val="21"/>
    </w:rPr>
  </w:style>
  <w:style w:type="paragraph" w:customStyle="1" w:styleId="5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3">
    <w:name w:val="示例×："/>
    <w:basedOn w:val="34"/>
    <w:qFormat/>
    <w:uiPriority w:val="0"/>
    <w:pPr>
      <w:numPr>
        <w:numId w:val="8"/>
      </w:numPr>
      <w:spacing w:before="0" w:beforeLines="0" w:after="0" w:afterLines="0"/>
      <w:outlineLvl w:val="9"/>
    </w:pPr>
    <w:rPr>
      <w:rFonts w:ascii="宋体" w:eastAsia="宋体"/>
      <w:sz w:val="18"/>
      <w:szCs w:val="18"/>
    </w:rPr>
  </w:style>
  <w:style w:type="paragraph" w:customStyle="1" w:styleId="54">
    <w:name w:val="二级无"/>
    <w:basedOn w:val="37"/>
    <w:qFormat/>
    <w:uiPriority w:val="0"/>
    <w:pPr>
      <w:spacing w:before="0" w:beforeLines="0" w:after="0" w:afterLines="0"/>
    </w:pPr>
    <w:rPr>
      <w:rFonts w:ascii="宋体" w:eastAsia="宋体"/>
    </w:rPr>
  </w:style>
  <w:style w:type="paragraph" w:customStyle="1" w:styleId="55">
    <w:name w:val="注：（正文）"/>
    <w:basedOn w:val="48"/>
    <w:next w:val="18"/>
    <w:qFormat/>
    <w:uiPriority w:val="0"/>
  </w:style>
  <w:style w:type="paragraph" w:customStyle="1" w:styleId="5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5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0">
    <w:name w:val="标准书眉_偶数页"/>
    <w:basedOn w:val="36"/>
    <w:next w:val="1"/>
    <w:qFormat/>
    <w:uiPriority w:val="0"/>
    <w:pPr>
      <w:jc w:val="left"/>
    </w:p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参考文献"/>
    <w:basedOn w:val="1"/>
    <w:next w:val="1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3">
    <w:name w:val="参考文献、索引标题"/>
    <w:basedOn w:val="1"/>
    <w:next w:val="1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4">
    <w:name w:val="发布"/>
    <w:qFormat/>
    <w:uiPriority w:val="0"/>
    <w:rPr>
      <w:rFonts w:ascii="黑体" w:eastAsia="黑体"/>
      <w:spacing w:val="85"/>
      <w:w w:val="100"/>
      <w:position w:val="3"/>
      <w:sz w:val="28"/>
      <w:szCs w:val="28"/>
    </w:rPr>
  </w:style>
  <w:style w:type="paragraph" w:customStyle="1" w:styleId="65">
    <w:name w:val="发布部门"/>
    <w:next w:val="1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封面标准英文名称"/>
    <w:basedOn w:val="69"/>
    <w:qFormat/>
    <w:uiPriority w:val="0"/>
    <w:pPr>
      <w:framePr w:wrap="around"/>
      <w:spacing w:before="370" w:line="400" w:lineRule="exact"/>
    </w:pPr>
    <w:rPr>
      <w:rFonts w:ascii="Times New Roman"/>
      <w:sz w:val="28"/>
      <w:szCs w:val="28"/>
    </w:rPr>
  </w:style>
  <w:style w:type="paragraph" w:customStyle="1" w:styleId="71">
    <w:name w:val="封面一致性程度标识"/>
    <w:basedOn w:val="70"/>
    <w:qFormat/>
    <w:uiPriority w:val="0"/>
    <w:pPr>
      <w:framePr w:wrap="around"/>
      <w:spacing w:before="440"/>
    </w:pPr>
    <w:rPr>
      <w:rFonts w:ascii="宋体" w:eastAsia="宋体"/>
    </w:rPr>
  </w:style>
  <w:style w:type="paragraph" w:customStyle="1" w:styleId="72">
    <w:name w:val="封面标准文稿类别"/>
    <w:basedOn w:val="71"/>
    <w:qFormat/>
    <w:uiPriority w:val="0"/>
    <w:pPr>
      <w:framePr w:wrap="around"/>
      <w:spacing w:after="160" w:line="240" w:lineRule="auto"/>
    </w:pPr>
    <w:rPr>
      <w:sz w:val="24"/>
    </w:rPr>
  </w:style>
  <w:style w:type="paragraph" w:customStyle="1" w:styleId="73">
    <w:name w:val="封面标准文稿编辑信息"/>
    <w:basedOn w:val="72"/>
    <w:qFormat/>
    <w:uiPriority w:val="0"/>
    <w:pPr>
      <w:framePr w:wrap="around"/>
      <w:spacing w:before="180" w:line="180" w:lineRule="exact"/>
    </w:pPr>
    <w:rPr>
      <w:sz w:val="21"/>
    </w:rPr>
  </w:style>
  <w:style w:type="paragraph" w:customStyle="1" w:styleId="74">
    <w:name w:val="封面正文"/>
    <w:qFormat/>
    <w:uiPriority w:val="0"/>
    <w:pPr>
      <w:jc w:val="both"/>
    </w:pPr>
    <w:rPr>
      <w:rFonts w:ascii="Times New Roman" w:hAnsi="Times New Roman" w:eastAsia="宋体" w:cs="Times New Roman"/>
      <w:lang w:val="en-US" w:eastAsia="zh-CN" w:bidi="ar-SA"/>
    </w:rPr>
  </w:style>
  <w:style w:type="paragraph" w:customStyle="1" w:styleId="75">
    <w:name w:val="附录标识"/>
    <w:basedOn w:val="1"/>
    <w:next w:val="18"/>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6">
    <w:name w:val="附录标题"/>
    <w:basedOn w:val="18"/>
    <w:next w:val="18"/>
    <w:qFormat/>
    <w:uiPriority w:val="0"/>
    <w:pPr>
      <w:ind w:firstLine="0" w:firstLineChars="0"/>
      <w:jc w:val="center"/>
    </w:pPr>
    <w:rPr>
      <w:rFonts w:ascii="黑体" w:eastAsia="黑体"/>
    </w:rPr>
  </w:style>
  <w:style w:type="paragraph" w:customStyle="1" w:styleId="77">
    <w:name w:val="附录表标号"/>
    <w:basedOn w:val="1"/>
    <w:next w:val="18"/>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78">
    <w:name w:val="附录表标题"/>
    <w:basedOn w:val="1"/>
    <w:next w:val="18"/>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79">
    <w:name w:val="附录二级条标题"/>
    <w:basedOn w:val="1"/>
    <w:next w:val="18"/>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0">
    <w:name w:val="附录二级无"/>
    <w:basedOn w:val="79"/>
    <w:qFormat/>
    <w:uiPriority w:val="0"/>
    <w:pPr>
      <w:tabs>
        <w:tab w:val="clear" w:pos="360"/>
      </w:tabs>
      <w:spacing w:before="0" w:beforeLines="0" w:after="0" w:afterLines="0"/>
    </w:pPr>
    <w:rPr>
      <w:rFonts w:ascii="宋体" w:eastAsia="宋体"/>
      <w:szCs w:val="21"/>
    </w:rPr>
  </w:style>
  <w:style w:type="paragraph" w:customStyle="1" w:styleId="81">
    <w:name w:val="附录公式"/>
    <w:basedOn w:val="18"/>
    <w:next w:val="18"/>
    <w:link w:val="82"/>
    <w:qFormat/>
    <w:uiPriority w:val="0"/>
  </w:style>
  <w:style w:type="character" w:customStyle="1" w:styleId="82">
    <w:name w:val="附录公式 Char"/>
    <w:basedOn w:val="32"/>
    <w:link w:val="81"/>
    <w:qFormat/>
    <w:uiPriority w:val="0"/>
    <w:rPr>
      <w:rFonts w:ascii="宋体"/>
      <w:sz w:val="21"/>
      <w:lang w:val="en-US" w:eastAsia="zh-CN" w:bidi="ar-SA"/>
    </w:rPr>
  </w:style>
  <w:style w:type="paragraph" w:customStyle="1" w:styleId="83">
    <w:name w:val="附录公式编号制表符"/>
    <w:basedOn w:val="1"/>
    <w:next w:val="18"/>
    <w:qFormat/>
    <w:uiPriority w:val="0"/>
    <w:pPr>
      <w:widowControl/>
      <w:tabs>
        <w:tab w:val="center" w:pos="4201"/>
        <w:tab w:val="right" w:leader="dot" w:pos="9298"/>
      </w:tabs>
      <w:autoSpaceDE w:val="0"/>
      <w:autoSpaceDN w:val="0"/>
    </w:pPr>
    <w:rPr>
      <w:rFonts w:ascii="宋体"/>
      <w:kern w:val="0"/>
      <w:szCs w:val="20"/>
    </w:rPr>
  </w:style>
  <w:style w:type="paragraph" w:customStyle="1" w:styleId="84">
    <w:name w:val="附录三级条标题"/>
    <w:basedOn w:val="79"/>
    <w:next w:val="18"/>
    <w:qFormat/>
    <w:uiPriority w:val="0"/>
    <w:pPr>
      <w:numPr>
        <w:ilvl w:val="4"/>
      </w:numPr>
      <w:outlineLvl w:val="4"/>
    </w:pPr>
  </w:style>
  <w:style w:type="paragraph" w:customStyle="1" w:styleId="85">
    <w:name w:val="附录三级无"/>
    <w:basedOn w:val="84"/>
    <w:qFormat/>
    <w:uiPriority w:val="0"/>
    <w:pPr>
      <w:tabs>
        <w:tab w:val="clear" w:pos="360"/>
      </w:tabs>
      <w:spacing w:before="0" w:beforeLines="0" w:after="0" w:afterLines="0"/>
    </w:pPr>
    <w:rPr>
      <w:rFonts w:ascii="宋体" w:eastAsia="宋体"/>
      <w:szCs w:val="21"/>
    </w:rPr>
  </w:style>
  <w:style w:type="paragraph" w:customStyle="1" w:styleId="8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87">
    <w:name w:val="附录四级条标题"/>
    <w:basedOn w:val="84"/>
    <w:next w:val="18"/>
    <w:qFormat/>
    <w:uiPriority w:val="0"/>
    <w:pPr>
      <w:numPr>
        <w:ilvl w:val="5"/>
      </w:numPr>
      <w:outlineLvl w:val="5"/>
    </w:pPr>
  </w:style>
  <w:style w:type="paragraph" w:customStyle="1" w:styleId="88">
    <w:name w:val="附录四级无"/>
    <w:basedOn w:val="87"/>
    <w:qFormat/>
    <w:uiPriority w:val="0"/>
    <w:pPr>
      <w:tabs>
        <w:tab w:val="clear" w:pos="360"/>
      </w:tabs>
      <w:spacing w:before="0" w:beforeLines="0" w:after="0" w:afterLines="0"/>
    </w:pPr>
    <w:rPr>
      <w:rFonts w:ascii="宋体" w:eastAsia="宋体"/>
      <w:szCs w:val="21"/>
    </w:rPr>
  </w:style>
  <w:style w:type="paragraph" w:customStyle="1" w:styleId="8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0">
    <w:name w:val="附录图标题"/>
    <w:basedOn w:val="1"/>
    <w:next w:val="18"/>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1">
    <w:name w:val="附录五级条标题"/>
    <w:basedOn w:val="87"/>
    <w:next w:val="18"/>
    <w:qFormat/>
    <w:uiPriority w:val="0"/>
    <w:pPr>
      <w:numPr>
        <w:ilvl w:val="6"/>
      </w:numPr>
      <w:outlineLvl w:val="6"/>
    </w:pPr>
  </w:style>
  <w:style w:type="paragraph" w:customStyle="1" w:styleId="92">
    <w:name w:val="附录五级无"/>
    <w:basedOn w:val="91"/>
    <w:qFormat/>
    <w:uiPriority w:val="0"/>
    <w:pPr>
      <w:tabs>
        <w:tab w:val="clear" w:pos="360"/>
      </w:tabs>
      <w:spacing w:before="0" w:beforeLines="0" w:after="0" w:afterLines="0"/>
    </w:pPr>
    <w:rPr>
      <w:rFonts w:ascii="宋体" w:eastAsia="宋体"/>
      <w:szCs w:val="21"/>
    </w:rPr>
  </w:style>
  <w:style w:type="paragraph" w:customStyle="1" w:styleId="93">
    <w:name w:val="附录章标题"/>
    <w:next w:val="18"/>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附录一级条标题"/>
    <w:basedOn w:val="93"/>
    <w:next w:val="18"/>
    <w:qFormat/>
    <w:uiPriority w:val="0"/>
    <w:pPr>
      <w:numPr>
        <w:ilvl w:val="2"/>
      </w:numPr>
      <w:autoSpaceDN w:val="0"/>
      <w:spacing w:before="50" w:beforeLines="50" w:after="50" w:afterLines="50"/>
      <w:outlineLvl w:val="2"/>
    </w:pPr>
  </w:style>
  <w:style w:type="paragraph" w:customStyle="1" w:styleId="95">
    <w:name w:val="附录一级无"/>
    <w:basedOn w:val="94"/>
    <w:qFormat/>
    <w:uiPriority w:val="0"/>
    <w:pPr>
      <w:tabs>
        <w:tab w:val="clear" w:pos="360"/>
      </w:tabs>
      <w:spacing w:before="0" w:beforeLines="0" w:after="0" w:afterLines="0"/>
    </w:pPr>
    <w:rPr>
      <w:rFonts w:ascii="宋体" w:eastAsia="宋体"/>
      <w:szCs w:val="21"/>
    </w:rPr>
  </w:style>
  <w:style w:type="paragraph" w:customStyle="1" w:styleId="9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目录 31"/>
    <w:basedOn w:val="1"/>
    <w:next w:val="1"/>
    <w:semiHidden/>
    <w:qFormat/>
    <w:uiPriority w:val="0"/>
    <w:pPr>
      <w:tabs>
        <w:tab w:val="right" w:leader="dot" w:pos="9241"/>
      </w:tabs>
      <w:ind w:firstLine="100" w:firstLineChars="100"/>
      <w:jc w:val="left"/>
    </w:pPr>
    <w:rPr>
      <w:rFonts w:ascii="宋体"/>
      <w:szCs w:val="21"/>
    </w:rPr>
  </w:style>
  <w:style w:type="paragraph" w:customStyle="1" w:styleId="101">
    <w:name w:val="目录 41"/>
    <w:basedOn w:val="1"/>
    <w:next w:val="1"/>
    <w:semiHidden/>
    <w:qFormat/>
    <w:uiPriority w:val="0"/>
    <w:pPr>
      <w:tabs>
        <w:tab w:val="right" w:leader="dot" w:pos="9241"/>
      </w:tabs>
      <w:ind w:firstLine="200" w:firstLineChars="200"/>
      <w:jc w:val="left"/>
    </w:pPr>
    <w:rPr>
      <w:rFonts w:ascii="宋体"/>
      <w:szCs w:val="21"/>
    </w:rPr>
  </w:style>
  <w:style w:type="paragraph" w:customStyle="1" w:styleId="102">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03">
    <w:name w:val="目录 61"/>
    <w:basedOn w:val="1"/>
    <w:next w:val="1"/>
    <w:semiHidden/>
    <w:qFormat/>
    <w:uiPriority w:val="0"/>
    <w:pPr>
      <w:tabs>
        <w:tab w:val="right" w:leader="dot" w:pos="9241"/>
      </w:tabs>
      <w:ind w:firstLine="400" w:firstLineChars="400"/>
      <w:jc w:val="left"/>
    </w:pPr>
    <w:rPr>
      <w:rFonts w:ascii="宋体"/>
      <w:szCs w:val="21"/>
    </w:rPr>
  </w:style>
  <w:style w:type="paragraph" w:customStyle="1" w:styleId="104">
    <w:name w:val="目录 71"/>
    <w:basedOn w:val="1"/>
    <w:next w:val="1"/>
    <w:semiHidden/>
    <w:qFormat/>
    <w:uiPriority w:val="0"/>
    <w:pPr>
      <w:tabs>
        <w:tab w:val="right" w:leader="dot" w:pos="9241"/>
      </w:tabs>
      <w:ind w:firstLine="500" w:firstLineChars="500"/>
      <w:jc w:val="left"/>
    </w:pPr>
    <w:rPr>
      <w:rFonts w:ascii="宋体"/>
      <w:szCs w:val="21"/>
    </w:rPr>
  </w:style>
  <w:style w:type="paragraph" w:customStyle="1" w:styleId="105">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06">
    <w:name w:val="目录 91"/>
    <w:basedOn w:val="1"/>
    <w:next w:val="1"/>
    <w:semiHidden/>
    <w:qFormat/>
    <w:uiPriority w:val="0"/>
    <w:pPr>
      <w:ind w:left="1470"/>
      <w:jc w:val="left"/>
    </w:pPr>
    <w:rPr>
      <w:sz w:val="20"/>
      <w:szCs w:val="20"/>
    </w:rPr>
  </w:style>
  <w:style w:type="paragraph" w:customStyle="1" w:styleId="107">
    <w:name w:val="其他标准标志"/>
    <w:basedOn w:val="57"/>
    <w:qFormat/>
    <w:uiPriority w:val="0"/>
    <w:pPr>
      <w:framePr w:w="6101" w:wrap="around" w:vAnchor="page" w:hAnchor="page" w:x="4673" w:y="942"/>
    </w:pPr>
    <w:rPr>
      <w:w w:val="130"/>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65"/>
    <w:qFormat/>
    <w:uiPriority w:val="0"/>
    <w:pPr>
      <w:framePr w:wrap="around" w:y="15310"/>
      <w:spacing w:line="0" w:lineRule="atLeast"/>
    </w:pPr>
    <w:rPr>
      <w:rFonts w:ascii="黑体" w:eastAsia="黑体"/>
      <w:b w:val="0"/>
    </w:rPr>
  </w:style>
  <w:style w:type="paragraph" w:customStyle="1" w:styleId="110">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2"/>
    <w:qFormat/>
    <w:uiPriority w:val="0"/>
    <w:pPr>
      <w:spacing w:before="0" w:beforeLines="0" w:after="0" w:afterLines="0"/>
    </w:pPr>
    <w:rPr>
      <w:rFonts w:ascii="宋体" w:hAnsi="宋体" w:eastAsia="宋体"/>
    </w:rPr>
  </w:style>
  <w:style w:type="paragraph" w:customStyle="1" w:styleId="112">
    <w:name w:val="实施日期"/>
    <w:basedOn w:val="66"/>
    <w:qFormat/>
    <w:uiPriority w:val="0"/>
    <w:pPr>
      <w:framePr w:wrap="around" w:vAnchor="page" w:hAnchor="text"/>
      <w:jc w:val="right"/>
    </w:pPr>
  </w:style>
  <w:style w:type="paragraph" w:customStyle="1" w:styleId="113">
    <w:name w:val="示例后文字"/>
    <w:basedOn w:val="18"/>
    <w:next w:val="18"/>
    <w:qFormat/>
    <w:uiPriority w:val="0"/>
    <w:pPr>
      <w:ind w:firstLine="360"/>
    </w:pPr>
    <w:rPr>
      <w:sz w:val="18"/>
    </w:rPr>
  </w:style>
  <w:style w:type="paragraph" w:customStyle="1" w:styleId="114">
    <w:name w:val="首示例"/>
    <w:next w:val="18"/>
    <w:link w:val="115"/>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5">
    <w:name w:val="首示例 Char"/>
    <w:link w:val="114"/>
    <w:qFormat/>
    <w:uiPriority w:val="0"/>
    <w:rPr>
      <w:rFonts w:ascii="宋体" w:hAnsi="宋体"/>
      <w:kern w:val="2"/>
      <w:sz w:val="18"/>
      <w:szCs w:val="18"/>
    </w:rPr>
  </w:style>
  <w:style w:type="paragraph" w:customStyle="1" w:styleId="116">
    <w:name w:val="四级无"/>
    <w:basedOn w:val="46"/>
    <w:qFormat/>
    <w:uiPriority w:val="0"/>
    <w:pPr>
      <w:spacing w:before="0" w:beforeLines="0" w:after="0" w:afterLines="0"/>
    </w:pPr>
    <w:rPr>
      <w:rFonts w:ascii="宋体" w:eastAsia="宋体"/>
    </w:rPr>
  </w:style>
  <w:style w:type="paragraph" w:customStyle="1" w:styleId="117">
    <w:name w:val="条文脚注"/>
    <w:basedOn w:val="19"/>
    <w:qFormat/>
    <w:uiPriority w:val="0"/>
    <w:pPr>
      <w:numPr>
        <w:numId w:val="0"/>
      </w:numPr>
      <w:jc w:val="both"/>
    </w:pPr>
  </w:style>
  <w:style w:type="paragraph" w:customStyle="1" w:styleId="118">
    <w:name w:val="图标脚注说明"/>
    <w:basedOn w:val="18"/>
    <w:qFormat/>
    <w:uiPriority w:val="0"/>
    <w:pPr>
      <w:ind w:left="840" w:hanging="420" w:firstLineChars="0"/>
    </w:pPr>
    <w:rPr>
      <w:sz w:val="18"/>
      <w:szCs w:val="18"/>
    </w:rPr>
  </w:style>
  <w:style w:type="paragraph" w:customStyle="1" w:styleId="119">
    <w:name w:val="图表脚注说明"/>
    <w:basedOn w:val="1"/>
    <w:qFormat/>
    <w:uiPriority w:val="0"/>
    <w:pPr>
      <w:numPr>
        <w:ilvl w:val="0"/>
        <w:numId w:val="15"/>
      </w:numPr>
    </w:pPr>
    <w:rPr>
      <w:rFonts w:ascii="宋体"/>
      <w:sz w:val="18"/>
      <w:szCs w:val="18"/>
    </w:rPr>
  </w:style>
  <w:style w:type="paragraph" w:customStyle="1" w:styleId="120">
    <w:name w:val="图的脚注"/>
    <w:next w:val="1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47"/>
    <w:qFormat/>
    <w:uiPriority w:val="0"/>
    <w:pPr>
      <w:spacing w:before="0" w:beforeLines="0" w:after="0" w:afterLines="0"/>
    </w:pPr>
    <w:rPr>
      <w:rFonts w:ascii="宋体" w:eastAsia="宋体"/>
    </w:rPr>
  </w:style>
  <w:style w:type="paragraph" w:customStyle="1" w:styleId="123">
    <w:name w:val="一级无"/>
    <w:basedOn w:val="33"/>
    <w:qFormat/>
    <w:uiPriority w:val="0"/>
    <w:pPr>
      <w:spacing w:before="0" w:beforeLines="0" w:after="0" w:afterLines="0"/>
    </w:pPr>
    <w:rPr>
      <w:rFonts w:ascii="宋体" w:eastAsia="宋体"/>
    </w:rPr>
  </w:style>
  <w:style w:type="character" w:customStyle="1" w:styleId="124">
    <w:name w:val="已访问的超链接1"/>
    <w:qFormat/>
    <w:uiPriority w:val="0"/>
    <w:rPr>
      <w:color w:val="800080"/>
      <w:u w:val="single"/>
    </w:rPr>
  </w:style>
  <w:style w:type="paragraph" w:customStyle="1" w:styleId="125">
    <w:name w:val="正文表标题"/>
    <w:next w:val="18"/>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正文公式编号制表符"/>
    <w:basedOn w:val="18"/>
    <w:next w:val="18"/>
    <w:qFormat/>
    <w:uiPriority w:val="0"/>
    <w:pPr>
      <w:ind w:firstLine="0" w:firstLineChars="0"/>
    </w:pPr>
  </w:style>
  <w:style w:type="paragraph" w:customStyle="1" w:styleId="127">
    <w:name w:val="正文图标题"/>
    <w:next w:val="18"/>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66"/>
    <w:qFormat/>
    <w:uiPriority w:val="0"/>
    <w:pPr>
      <w:framePr w:wrap="around" w:vAnchor="page" w:hAnchor="text" w:x="1419"/>
    </w:pPr>
  </w:style>
  <w:style w:type="paragraph" w:customStyle="1" w:styleId="130">
    <w:name w:val="其他实施日期"/>
    <w:basedOn w:val="112"/>
    <w:qFormat/>
    <w:uiPriority w:val="0"/>
    <w:pPr>
      <w:framePr w:wrap="around"/>
    </w:pPr>
  </w:style>
  <w:style w:type="paragraph" w:customStyle="1" w:styleId="131">
    <w:name w:val="封面标准名称2"/>
    <w:basedOn w:val="69"/>
    <w:qFormat/>
    <w:uiPriority w:val="0"/>
    <w:pPr>
      <w:framePr w:wrap="around" w:y="4469"/>
      <w:spacing w:before="630" w:beforeLines="630"/>
    </w:pPr>
  </w:style>
  <w:style w:type="paragraph" w:customStyle="1" w:styleId="132">
    <w:name w:val="封面标准英文名称2"/>
    <w:basedOn w:val="70"/>
    <w:qFormat/>
    <w:uiPriority w:val="0"/>
    <w:pPr>
      <w:framePr w:wrap="around" w:y="4469"/>
    </w:pPr>
  </w:style>
  <w:style w:type="paragraph" w:customStyle="1" w:styleId="133">
    <w:name w:val="封面一致性程度标识2"/>
    <w:basedOn w:val="71"/>
    <w:qFormat/>
    <w:uiPriority w:val="0"/>
    <w:pPr>
      <w:framePr w:wrap="around" w:y="4469"/>
    </w:pPr>
  </w:style>
  <w:style w:type="paragraph" w:customStyle="1" w:styleId="134">
    <w:name w:val="封面标准文稿类别2"/>
    <w:basedOn w:val="72"/>
    <w:qFormat/>
    <w:uiPriority w:val="0"/>
    <w:pPr>
      <w:framePr w:wrap="around" w:y="4469"/>
    </w:pPr>
  </w:style>
  <w:style w:type="paragraph" w:customStyle="1" w:styleId="135">
    <w:name w:val="封面标准文稿编辑信息2"/>
    <w:basedOn w:val="73"/>
    <w:qFormat/>
    <w:uiPriority w:val="0"/>
    <w:pPr>
      <w:framePr w:wrap="around" w:y="4469"/>
    </w:pPr>
  </w:style>
  <w:style w:type="paragraph" w:customStyle="1" w:styleId="136">
    <w:name w:val="列出段落1"/>
    <w:basedOn w:val="1"/>
    <w:qFormat/>
    <w:uiPriority w:val="34"/>
    <w:pPr>
      <w:ind w:firstLine="420" w:firstLineChars="200"/>
    </w:pPr>
    <w:rPr>
      <w:rFonts w:ascii="Calibri" w:hAnsi="Calibri"/>
      <w:szCs w:val="22"/>
    </w:rPr>
  </w:style>
  <w:style w:type="paragraph" w:customStyle="1" w:styleId="137">
    <w:name w:val="目录 11"/>
    <w:basedOn w:val="1"/>
    <w:next w:val="1"/>
    <w:semiHidden/>
    <w:qFormat/>
    <w:uiPriority w:val="0"/>
    <w:pPr>
      <w:tabs>
        <w:tab w:val="right" w:leader="dot" w:pos="9242"/>
      </w:tabs>
      <w:spacing w:before="25" w:beforeLines="25" w:after="25" w:afterLines="25"/>
      <w:jc w:val="left"/>
    </w:pPr>
    <w:rPr>
      <w:rFonts w:ascii="宋体"/>
      <w:szCs w:val="21"/>
    </w:rPr>
  </w:style>
  <w:style w:type="paragraph" w:customStyle="1" w:styleId="138">
    <w:name w:val="目录 21"/>
    <w:basedOn w:val="1"/>
    <w:next w:val="1"/>
    <w:semiHidden/>
    <w:qFormat/>
    <w:uiPriority w:val="0"/>
    <w:pPr>
      <w:tabs>
        <w:tab w:val="right" w:leader="dot" w:pos="9242"/>
      </w:tabs>
    </w:pPr>
    <w:rPr>
      <w:rFonts w:ascii="宋体"/>
      <w:szCs w:val="21"/>
    </w:rPr>
  </w:style>
  <w:style w:type="character" w:customStyle="1" w:styleId="139">
    <w:name w:val="批注文字 Char"/>
    <w:link w:val="7"/>
    <w:qFormat/>
    <w:uiPriority w:val="0"/>
    <w:rPr>
      <w:kern w:val="2"/>
      <w:sz w:val="21"/>
      <w:szCs w:val="24"/>
    </w:rPr>
  </w:style>
  <w:style w:type="character" w:customStyle="1" w:styleId="140">
    <w:name w:val="批注主题 Char"/>
    <w:link w:val="23"/>
    <w:qFormat/>
    <w:uiPriority w:val="0"/>
    <w:rPr>
      <w:b/>
      <w:bCs/>
      <w:kern w:val="2"/>
      <w:sz w:val="21"/>
      <w:szCs w:val="24"/>
    </w:rPr>
  </w:style>
  <w:style w:type="character" w:customStyle="1" w:styleId="141">
    <w:name w:val="批注框文本 Char"/>
    <w:link w:val="13"/>
    <w:qFormat/>
    <w:uiPriority w:val="0"/>
    <w:rPr>
      <w:kern w:val="2"/>
      <w:sz w:val="18"/>
      <w:szCs w:val="18"/>
    </w:rPr>
  </w:style>
  <w:style w:type="paragraph" w:customStyle="1" w:styleId="142">
    <w:name w:val="二级无标题条"/>
    <w:basedOn w:val="1"/>
    <w:qFormat/>
    <w:uiPriority w:val="0"/>
    <w:pPr>
      <w:numPr>
        <w:ilvl w:val="3"/>
        <w:numId w:val="18"/>
      </w:numPr>
    </w:pPr>
  </w:style>
  <w:style w:type="paragraph" w:customStyle="1" w:styleId="143">
    <w:name w:val="三级无标题条"/>
    <w:basedOn w:val="1"/>
    <w:qFormat/>
    <w:uiPriority w:val="0"/>
    <w:pPr>
      <w:numPr>
        <w:ilvl w:val="4"/>
        <w:numId w:val="18"/>
      </w:numPr>
    </w:pPr>
  </w:style>
  <w:style w:type="paragraph" w:customStyle="1" w:styleId="144">
    <w:name w:val="四级无标题条"/>
    <w:basedOn w:val="1"/>
    <w:qFormat/>
    <w:uiPriority w:val="0"/>
    <w:pPr>
      <w:numPr>
        <w:ilvl w:val="5"/>
        <w:numId w:val="18"/>
      </w:numPr>
    </w:pPr>
  </w:style>
  <w:style w:type="paragraph" w:customStyle="1" w:styleId="145">
    <w:name w:val="五级无标题条"/>
    <w:basedOn w:val="1"/>
    <w:qFormat/>
    <w:uiPriority w:val="0"/>
    <w:pPr>
      <w:numPr>
        <w:ilvl w:val="6"/>
        <w:numId w:val="18"/>
      </w:numPr>
    </w:pPr>
  </w:style>
  <w:style w:type="paragraph" w:customStyle="1" w:styleId="146">
    <w:name w:val="一级无标题条"/>
    <w:basedOn w:val="1"/>
    <w:qFormat/>
    <w:uiPriority w:val="0"/>
    <w:pPr>
      <w:numPr>
        <w:ilvl w:val="2"/>
        <w:numId w:val="18"/>
      </w:numPr>
    </w:pPr>
  </w:style>
  <w:style w:type="paragraph" w:customStyle="1" w:styleId="147">
    <w:name w:val="MTDisplayEquation"/>
    <w:basedOn w:val="1"/>
    <w:next w:val="1"/>
    <w:qFormat/>
    <w:uiPriority w:val="0"/>
    <w:pPr>
      <w:tabs>
        <w:tab w:val="center" w:pos="4680"/>
        <w:tab w:val="right" w:pos="9360"/>
      </w:tabs>
      <w:autoSpaceDE w:val="0"/>
      <w:autoSpaceDN w:val="0"/>
      <w:adjustRightInd w:val="0"/>
      <w:ind w:firstLine="435"/>
      <w:jc w:val="left"/>
    </w:pPr>
  </w:style>
  <w:style w:type="character" w:customStyle="1" w:styleId="148">
    <w:name w:val="章标题 Char"/>
    <w:link w:val="34"/>
    <w:qFormat/>
    <w:uiPriority w:val="0"/>
    <w:rPr>
      <w:rFonts w:ascii="黑体" w:eastAsia="黑体"/>
      <w:sz w:val="21"/>
    </w:rPr>
  </w:style>
  <w:style w:type="character" w:customStyle="1" w:styleId="149">
    <w:name w:val="一级条标题 Char"/>
    <w:link w:val="33"/>
    <w:qFormat/>
    <w:uiPriority w:val="0"/>
    <w:rPr>
      <w:rFonts w:ascii="黑体" w:eastAsia="黑体"/>
      <w:sz w:val="21"/>
      <w:szCs w:val="21"/>
    </w:rPr>
  </w:style>
  <w:style w:type="character" w:customStyle="1" w:styleId="150">
    <w:name w:val="二级条标题 Char"/>
    <w:basedOn w:val="149"/>
    <w:link w:val="37"/>
    <w:qFormat/>
    <w:uiPriority w:val="0"/>
    <w:rPr>
      <w:rFonts w:ascii="黑体" w:eastAsia="黑体"/>
      <w:sz w:val="21"/>
      <w:szCs w:val="21"/>
    </w:rPr>
  </w:style>
  <w:style w:type="character" w:customStyle="1" w:styleId="151">
    <w:name w:val="三级条标题 Char"/>
    <w:basedOn w:val="150"/>
    <w:link w:val="42"/>
    <w:qFormat/>
    <w:uiPriority w:val="0"/>
    <w:rPr>
      <w:rFonts w:ascii="黑体" w:eastAsia="黑体"/>
      <w:sz w:val="21"/>
      <w:szCs w:val="21"/>
    </w:rPr>
  </w:style>
  <w:style w:type="character" w:customStyle="1" w:styleId="152">
    <w:name w:val="纯文本 Char"/>
    <w:basedOn w:val="26"/>
    <w:link w:val="10"/>
    <w:qFormat/>
    <w:uiPriority w:val="0"/>
    <w:rPr>
      <w:rFonts w:ascii="宋体" w:hAnsi="Courier New"/>
      <w:kern w:val="2"/>
      <w:sz w:val="21"/>
    </w:rPr>
  </w:style>
  <w:style w:type="character" w:customStyle="1" w:styleId="153">
    <w:name w:val="页脚 Char"/>
    <w:basedOn w:val="26"/>
    <w:link w:val="14"/>
    <w:qFormat/>
    <w:uiPriority w:val="99"/>
    <w:rPr>
      <w:kern w:val="2"/>
      <w:sz w:val="18"/>
      <w:szCs w:val="18"/>
    </w:rPr>
  </w:style>
  <w:style w:type="character" w:styleId="154">
    <w:name w:val="Placeholder Text"/>
    <w:basedOn w:val="26"/>
    <w:semiHidden/>
    <w:qFormat/>
    <w:uiPriority w:val="99"/>
    <w:rPr>
      <w:color w:val="808080"/>
    </w:rPr>
  </w:style>
  <w:style w:type="paragraph" w:customStyle="1" w:styleId="15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tiff"/><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4B0AD-E849-47DA-8A9F-818CAF714B33}">
  <ds:schemaRefs/>
</ds:datastoreItem>
</file>

<file path=docProps/app.xml><?xml version="1.0" encoding="utf-8"?>
<Properties xmlns="http://schemas.openxmlformats.org/officeDocument/2006/extended-properties" xmlns:vt="http://schemas.openxmlformats.org/officeDocument/2006/docPropsVTypes">
  <Template>Normal</Template>
  <Pages>10</Pages>
  <Words>1148</Words>
  <Characters>6544</Characters>
  <Lines>54</Lines>
  <Paragraphs>15</Paragraphs>
  <TotalTime>0</TotalTime>
  <ScaleCrop>false</ScaleCrop>
  <LinksUpToDate>false</LinksUpToDate>
  <CharactersWithSpaces>7677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2021-06-03T07:50:00Z</dcterms:created>
  <cp:lastPrinted>2021-03-12T06:13:00Z</cp:lastPrinted>
  <dcterms:modified xsi:type="dcterms:W3CDTF">2021-06-03T20:38:12Z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DB11A666B01B4D4FBA83673A7D285396</vt:lpwstr>
  </property>
</Properties>
</file>