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CDDF" w14:textId="08ED1204" w:rsidR="00D90C73" w:rsidRDefault="00100E6F" w:rsidP="00D90C73">
      <w:pPr>
        <w:spacing w:line="312" w:lineRule="auto"/>
        <w:jc w:val="center"/>
        <w:rPr>
          <w:rFonts w:ascii="黑体" w:eastAsia="黑体" w:hAnsi="黑体" w:cs="黑体"/>
          <w:w w:val="90"/>
          <w:sz w:val="32"/>
          <w:szCs w:val="32"/>
        </w:rPr>
      </w:pPr>
      <w:r>
        <w:rPr>
          <w:rFonts w:ascii="黑体" w:eastAsia="黑体" w:hAnsi="黑体" w:cs="黑体" w:hint="eastAsia"/>
          <w:w w:val="90"/>
          <w:sz w:val="32"/>
          <w:szCs w:val="32"/>
        </w:rPr>
        <w:t>稀土</w:t>
      </w:r>
      <w:r w:rsidR="00D90C73">
        <w:rPr>
          <w:rFonts w:ascii="黑体" w:eastAsia="黑体" w:hAnsi="黑体" w:cs="黑体" w:hint="eastAsia"/>
          <w:w w:val="90"/>
          <w:sz w:val="32"/>
          <w:szCs w:val="32"/>
        </w:rPr>
        <w:t>行业标准</w:t>
      </w:r>
      <w:r>
        <w:rPr>
          <w:rFonts w:ascii="黑体" w:eastAsia="黑体" w:hAnsi="黑体" w:cs="黑体"/>
          <w:w w:val="90"/>
          <w:sz w:val="32"/>
          <w:szCs w:val="32"/>
        </w:rPr>
        <w:t>《</w:t>
      </w:r>
      <w:r w:rsidR="00D90C73" w:rsidRPr="00FE32DA">
        <w:rPr>
          <w:rFonts w:ascii="黑体" w:eastAsia="黑体" w:hAnsi="黑体" w:cs="黑体" w:hint="eastAsia"/>
          <w:w w:val="90"/>
          <w:sz w:val="32"/>
          <w:szCs w:val="32"/>
        </w:rPr>
        <w:t>烧结钕铁硼磁体晶界扩散用氟化铽、氟化镝</w:t>
      </w:r>
      <w:r>
        <w:rPr>
          <w:rFonts w:ascii="黑体" w:eastAsia="黑体" w:hAnsi="黑体" w:cs="黑体"/>
          <w:w w:val="90"/>
          <w:sz w:val="32"/>
          <w:szCs w:val="32"/>
        </w:rPr>
        <w:t>》</w:t>
      </w:r>
    </w:p>
    <w:p w14:paraId="1D6D22C9" w14:textId="09D8E7CB" w:rsidR="009507EE" w:rsidRPr="00FE32DA" w:rsidRDefault="00100E6F" w:rsidP="00D90C73">
      <w:pPr>
        <w:spacing w:line="312" w:lineRule="auto"/>
        <w:jc w:val="center"/>
        <w:rPr>
          <w:rFonts w:ascii="黑体" w:eastAsia="黑体" w:hAnsi="黑体" w:cs="黑体"/>
          <w:w w:val="90"/>
          <w:sz w:val="32"/>
          <w:szCs w:val="32"/>
        </w:rPr>
      </w:pPr>
      <w:r>
        <w:rPr>
          <w:rFonts w:ascii="黑体" w:eastAsia="黑体" w:hAnsi="黑体" w:cs="黑体" w:hint="eastAsia"/>
          <w:w w:val="90"/>
          <w:sz w:val="32"/>
          <w:szCs w:val="32"/>
        </w:rPr>
        <w:t>（</w:t>
      </w:r>
      <w:r w:rsidR="00D90C73">
        <w:rPr>
          <w:rFonts w:ascii="黑体" w:eastAsia="黑体" w:hAnsi="黑体" w:cs="黑体" w:hint="eastAsia"/>
          <w:w w:val="90"/>
          <w:sz w:val="32"/>
          <w:szCs w:val="32"/>
        </w:rPr>
        <w:t>预审稿</w:t>
      </w:r>
      <w:r>
        <w:rPr>
          <w:rFonts w:ascii="黑体" w:eastAsia="黑体" w:hAnsi="黑体" w:cs="黑体" w:hint="eastAsia"/>
          <w:w w:val="90"/>
          <w:sz w:val="32"/>
          <w:szCs w:val="32"/>
        </w:rPr>
        <w:t>）</w:t>
      </w:r>
      <w:r>
        <w:rPr>
          <w:rFonts w:ascii="黑体" w:eastAsia="黑体" w:hAnsi="黑体" w:cs="黑体"/>
          <w:w w:val="90"/>
          <w:sz w:val="32"/>
          <w:szCs w:val="32"/>
        </w:rPr>
        <w:t>编制说明</w:t>
      </w:r>
    </w:p>
    <w:p w14:paraId="7EDC2CA4"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一、工作简况</w:t>
      </w:r>
    </w:p>
    <w:p w14:paraId="5FA9958C"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（一）</w:t>
      </w:r>
      <w:r w:rsidRPr="00A6172F">
        <w:rPr>
          <w:rFonts w:hAnsi="黑体"/>
        </w:rPr>
        <w:t>任务来源</w:t>
      </w:r>
    </w:p>
    <w:p w14:paraId="7A82F27C" w14:textId="7998919A" w:rsidR="009507EE" w:rsidRDefault="00D90C73" w:rsidP="00FE32DA">
      <w:pPr>
        <w:spacing w:line="312" w:lineRule="auto"/>
        <w:ind w:firstLineChars="200" w:firstLine="420"/>
      </w:pPr>
      <w:r>
        <w:rPr>
          <w:rFonts w:hint="eastAsia"/>
          <w:szCs w:val="21"/>
        </w:rPr>
        <w:t>2</w:t>
      </w:r>
      <w:r>
        <w:rPr>
          <w:szCs w:val="21"/>
        </w:rPr>
        <w:t>020</w:t>
      </w:r>
      <w:r>
        <w:rPr>
          <w:rFonts w:hint="eastAsia"/>
          <w:szCs w:val="21"/>
        </w:rPr>
        <w:t>年</w:t>
      </w:r>
      <w:r>
        <w:rPr>
          <w:szCs w:val="21"/>
        </w:rPr>
        <w:t>9</w:t>
      </w:r>
      <w:r>
        <w:rPr>
          <w:rFonts w:hint="eastAsia"/>
          <w:szCs w:val="21"/>
        </w:rPr>
        <w:t>月，根据《</w:t>
      </w:r>
      <w:r w:rsidRPr="00D90C73">
        <w:rPr>
          <w:rFonts w:hint="eastAsia"/>
          <w:szCs w:val="21"/>
        </w:rPr>
        <w:t>工业和信息化部办公厅关于印发</w:t>
      </w:r>
      <w:r w:rsidRPr="00D90C73">
        <w:rPr>
          <w:szCs w:val="21"/>
        </w:rPr>
        <w:t xml:space="preserve">2020 </w:t>
      </w:r>
      <w:r w:rsidRPr="00D90C73">
        <w:rPr>
          <w:rFonts w:hint="eastAsia"/>
          <w:szCs w:val="21"/>
        </w:rPr>
        <w:t>年第一批行业标准制修订项目计划的通知》（工信厅科函〔</w:t>
      </w:r>
      <w:r w:rsidRPr="00D90C73">
        <w:rPr>
          <w:szCs w:val="21"/>
        </w:rPr>
        <w:t>2020</w:t>
      </w:r>
      <w:r w:rsidRPr="00D90C73">
        <w:rPr>
          <w:rFonts w:hint="eastAsia"/>
          <w:szCs w:val="21"/>
        </w:rPr>
        <w:t>〕</w:t>
      </w:r>
      <w:r w:rsidRPr="00D90C73">
        <w:rPr>
          <w:szCs w:val="21"/>
        </w:rPr>
        <w:t xml:space="preserve">114 </w:t>
      </w:r>
      <w:r w:rsidRPr="00D90C73">
        <w:rPr>
          <w:rFonts w:hint="eastAsia"/>
          <w:szCs w:val="21"/>
        </w:rPr>
        <w:t>号）、《工业和信息化部办公厅关于印发</w:t>
      </w:r>
      <w:r w:rsidRPr="00D90C73">
        <w:rPr>
          <w:szCs w:val="21"/>
        </w:rPr>
        <w:t xml:space="preserve">2020 </w:t>
      </w:r>
      <w:r w:rsidRPr="00D90C73">
        <w:rPr>
          <w:rFonts w:hint="eastAsia"/>
          <w:szCs w:val="21"/>
        </w:rPr>
        <w:t>年第二批行业标准制修订和外文版项目计划的通知》（工信厅科函〔</w:t>
      </w:r>
      <w:r w:rsidRPr="00D90C73">
        <w:rPr>
          <w:szCs w:val="21"/>
        </w:rPr>
        <w:t>2020</w:t>
      </w:r>
      <w:r w:rsidRPr="00D90C73">
        <w:rPr>
          <w:rFonts w:hint="eastAsia"/>
          <w:szCs w:val="21"/>
        </w:rPr>
        <w:t>〕</w:t>
      </w:r>
      <w:r w:rsidRPr="00D90C73">
        <w:rPr>
          <w:szCs w:val="21"/>
        </w:rPr>
        <w:t xml:space="preserve">181 </w:t>
      </w:r>
      <w:r w:rsidRPr="00D90C73">
        <w:rPr>
          <w:rFonts w:hint="eastAsia"/>
          <w:szCs w:val="21"/>
        </w:rPr>
        <w:t>号）</w:t>
      </w:r>
      <w:r>
        <w:rPr>
          <w:rFonts w:hint="eastAsia"/>
          <w:szCs w:val="21"/>
        </w:rPr>
        <w:t>文件</w:t>
      </w:r>
      <w:r w:rsidRPr="00D90C73">
        <w:rPr>
          <w:rFonts w:hint="eastAsia"/>
          <w:szCs w:val="21"/>
        </w:rPr>
        <w:t>，</w:t>
      </w:r>
      <w:r w:rsidRPr="005C6B06">
        <w:rPr>
          <w:rFonts w:asciiTheme="minorEastAsia" w:eastAsiaTheme="minorEastAsia" w:hAnsiTheme="minorEastAsia" w:hint="eastAsia"/>
          <w:szCs w:val="18"/>
        </w:rPr>
        <w:t>《烧结钕铁硼磁体晶界扩散用稀土氟化物》行业标准</w:t>
      </w:r>
      <w:r>
        <w:rPr>
          <w:rFonts w:asciiTheme="minorEastAsia" w:eastAsiaTheme="minorEastAsia" w:hAnsiTheme="minorEastAsia" w:hint="eastAsia"/>
          <w:szCs w:val="18"/>
        </w:rPr>
        <w:t>新制定</w:t>
      </w:r>
      <w:r w:rsidRPr="005C6B06">
        <w:rPr>
          <w:rFonts w:asciiTheme="minorEastAsia" w:eastAsiaTheme="minorEastAsia" w:hAnsiTheme="minorEastAsia" w:hint="eastAsia"/>
          <w:szCs w:val="18"/>
        </w:rPr>
        <w:t>计划正式下达</w:t>
      </w:r>
      <w:r>
        <w:rPr>
          <w:rFonts w:asciiTheme="minorEastAsia" w:eastAsiaTheme="minorEastAsia" w:hAnsiTheme="minorEastAsia" w:hint="eastAsia"/>
          <w:szCs w:val="18"/>
        </w:rPr>
        <w:t>，</w:t>
      </w:r>
      <w:r w:rsidRPr="005C6B06">
        <w:rPr>
          <w:rFonts w:asciiTheme="minorEastAsia" w:eastAsiaTheme="minorEastAsia" w:hAnsiTheme="minorEastAsia" w:hint="eastAsia"/>
          <w:szCs w:val="18"/>
        </w:rPr>
        <w:t>计划号为</w:t>
      </w:r>
      <w:r w:rsidRPr="005C6B06">
        <w:rPr>
          <w:rFonts w:asciiTheme="minorEastAsia" w:eastAsiaTheme="minorEastAsia" w:hAnsiTheme="minorEastAsia"/>
          <w:szCs w:val="18"/>
        </w:rPr>
        <w:t>2020-0053T-XB</w:t>
      </w:r>
      <w:r w:rsidRPr="005C6B06">
        <w:rPr>
          <w:rFonts w:asciiTheme="minorEastAsia" w:eastAsiaTheme="minorEastAsia" w:hAnsiTheme="minorEastAsia" w:hint="eastAsia"/>
          <w:szCs w:val="18"/>
        </w:rPr>
        <w:t>，完成年限为</w:t>
      </w:r>
      <w:r w:rsidRPr="005C6B06">
        <w:rPr>
          <w:rFonts w:asciiTheme="minorEastAsia" w:eastAsiaTheme="minorEastAsia" w:hAnsiTheme="minorEastAsia"/>
          <w:szCs w:val="18"/>
        </w:rPr>
        <w:t>202</w:t>
      </w:r>
      <w:r w:rsidRPr="005C6B06">
        <w:rPr>
          <w:rFonts w:asciiTheme="minorEastAsia" w:eastAsiaTheme="minorEastAsia" w:hAnsiTheme="minorEastAsia" w:hint="eastAsia"/>
          <w:szCs w:val="18"/>
        </w:rPr>
        <w:t>1年。</w:t>
      </w:r>
      <w:r>
        <w:rPr>
          <w:rFonts w:hint="eastAsia"/>
          <w:szCs w:val="21"/>
        </w:rPr>
        <w:t>本文件</w:t>
      </w:r>
      <w:r w:rsidR="00100E6F">
        <w:t>由全国稀土标准化技术委员会（</w:t>
      </w:r>
      <w:r w:rsidR="00100E6F">
        <w:t>SAC/TC 229</w:t>
      </w:r>
      <w:r w:rsidR="00100E6F">
        <w:t>）提出并归口，由</w:t>
      </w:r>
      <w:r w:rsidRPr="00D90C73">
        <w:rPr>
          <w:rFonts w:hint="eastAsia"/>
        </w:rPr>
        <w:t>有研稀土高技术有限公司、北京工业大学、包头稀土研究院、中国北方稀土（集团）高科技股份有限公司、赣州湛海新材料有限公司、安徽大地熊新材料股份有限公司</w:t>
      </w:r>
      <w:r>
        <w:rPr>
          <w:rFonts w:hint="eastAsia"/>
        </w:rPr>
        <w:t>共同</w:t>
      </w:r>
      <w:r w:rsidR="00100E6F">
        <w:rPr>
          <w:szCs w:val="21"/>
        </w:rPr>
        <w:t>负责起草</w:t>
      </w:r>
      <w:r w:rsidR="00100E6F">
        <w:t>。</w:t>
      </w:r>
    </w:p>
    <w:p w14:paraId="3818E702"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（二）</w:t>
      </w:r>
      <w:bookmarkStart w:id="0" w:name="_Toc451633880"/>
      <w:r w:rsidRPr="00A6172F">
        <w:rPr>
          <w:rFonts w:hAnsi="黑体" w:hint="eastAsia"/>
        </w:rPr>
        <w:t>主要参加单位和工作成员及其所做的工作</w:t>
      </w:r>
      <w:bookmarkEnd w:id="0"/>
    </w:p>
    <w:p w14:paraId="2E630CD9" w14:textId="4138D78C" w:rsidR="009507EE" w:rsidRPr="00A6172F" w:rsidRDefault="00100E6F">
      <w:pPr>
        <w:spacing w:afterLines="50" w:after="156" w:line="312" w:lineRule="auto"/>
        <w:rPr>
          <w:rFonts w:ascii="黑体" w:eastAsia="黑体" w:hAnsi="黑体"/>
        </w:rPr>
      </w:pPr>
      <w:bookmarkStart w:id="1" w:name="_Toc451633881"/>
      <w:r w:rsidRPr="00A6172F">
        <w:rPr>
          <w:rFonts w:ascii="黑体" w:eastAsia="黑体" w:hAnsi="黑体" w:hint="eastAsia"/>
        </w:rPr>
        <w:t>1、主要参加单位情况</w:t>
      </w:r>
      <w:bookmarkEnd w:id="1"/>
    </w:p>
    <w:p w14:paraId="525B6C53" w14:textId="100383E9" w:rsidR="00F1444E" w:rsidRPr="00F1444E" w:rsidRDefault="00F1444E" w:rsidP="00F1444E">
      <w:pPr>
        <w:spacing w:line="312" w:lineRule="auto"/>
        <w:ind w:firstLineChars="200" w:firstLine="420"/>
      </w:pPr>
      <w:r w:rsidRPr="00F1444E">
        <w:rPr>
          <w:rFonts w:hint="eastAsia"/>
        </w:rPr>
        <w:t>有研稀土新材料股份有限公司（简称有研稀土）是</w:t>
      </w:r>
      <w:r w:rsidRPr="00F1444E">
        <w:t>2001</w:t>
      </w:r>
      <w:r w:rsidRPr="00F1444E">
        <w:rPr>
          <w:rFonts w:hint="eastAsia"/>
        </w:rPr>
        <w:t>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w:t>
      </w:r>
    </w:p>
    <w:p w14:paraId="18579654" w14:textId="2D285098" w:rsidR="00F1444E" w:rsidRPr="00F1444E" w:rsidRDefault="00F1444E" w:rsidP="00F1444E">
      <w:pPr>
        <w:spacing w:line="312" w:lineRule="auto"/>
        <w:ind w:firstLineChars="200" w:firstLine="420"/>
      </w:pPr>
      <w:r w:rsidRPr="00F1444E">
        <w:rPr>
          <w:rFonts w:hint="eastAsia"/>
        </w:rPr>
        <w:t>有研稀土一直积极参与标准的制修订工作，先后牵头</w:t>
      </w:r>
      <w:r w:rsidRPr="00F1444E">
        <w:t>/</w:t>
      </w:r>
      <w:r w:rsidRPr="00F1444E">
        <w:rPr>
          <w:rFonts w:hint="eastAsia"/>
        </w:rPr>
        <w:t>参与制定了《氟化镝》、《氟化钕》、《稀土术语</w:t>
      </w:r>
      <w:r w:rsidRPr="00F1444E">
        <w:t>-</w:t>
      </w:r>
      <w:r w:rsidRPr="00F1444E">
        <w:rPr>
          <w:rFonts w:hint="eastAsia"/>
        </w:rPr>
        <w:t>稀土金属及合金》、《稀土术语</w:t>
      </w:r>
      <w:r w:rsidRPr="00F1444E">
        <w:t>-</w:t>
      </w:r>
      <w:r w:rsidRPr="00F1444E">
        <w:rPr>
          <w:rFonts w:hint="eastAsia"/>
        </w:rPr>
        <w:t>稀土矿产品及化合物》、《快淬钕铁硼永磁粉》、《粘结钕铁硼永磁材料》、《钕铁硼速凝薄片合金》、《稀土工业污染物排放标准》、《金属钬》、《高纯金属镝》、《高纯金属铽》等</w:t>
      </w:r>
      <w:r w:rsidRPr="00F1444E">
        <w:t>60</w:t>
      </w:r>
      <w:r w:rsidRPr="00F1444E">
        <w:rPr>
          <w:rFonts w:hint="eastAsia"/>
        </w:rPr>
        <w:t>多项稀土国际标准、国家标准、行业标准。公司多位同志多次参与制修订国务院新闻办《中国的稀土状况与政策》白皮书，工信部《稀土行业发展规划（</w:t>
      </w:r>
      <w:r w:rsidRPr="00F1444E">
        <w:rPr>
          <w:rFonts w:hint="eastAsia"/>
        </w:rPr>
        <w:t>2016-2020</w:t>
      </w:r>
      <w:r w:rsidRPr="00F1444E">
        <w:rPr>
          <w:rFonts w:hint="eastAsia"/>
        </w:rPr>
        <w:t>年）》、《稀土行业规范条件》、科技部《稀土化合物及金属技术发展战略研究报告》，中国工程院科技咨询项目《稀土功能材料及应用发展战略研究》等稀土政策以及重点报告，为稀土行业发展献言献策。可为本项目的顺利实施提供坚实的技术基础和人员保障。</w:t>
      </w:r>
    </w:p>
    <w:p w14:paraId="732ED6C0" w14:textId="7A5192E2" w:rsidR="00F1444E" w:rsidRPr="00F1444E" w:rsidRDefault="00F1444E" w:rsidP="00F1444E">
      <w:pPr>
        <w:spacing w:line="312" w:lineRule="auto"/>
        <w:ind w:firstLineChars="200" w:firstLine="420"/>
      </w:pPr>
      <w:r>
        <w:rPr>
          <w:rFonts w:hint="eastAsia"/>
        </w:rPr>
        <w:t>标准牵头起草单位为有研稀土新材料股份有限公司，负责完成标准草案</w:t>
      </w:r>
      <w:r w:rsidRPr="00F1444E">
        <w:rPr>
          <w:rFonts w:hint="eastAsia"/>
        </w:rPr>
        <w:t>标准</w:t>
      </w:r>
      <w:r>
        <w:rPr>
          <w:rFonts w:hint="eastAsia"/>
        </w:rPr>
        <w:t>。</w:t>
      </w:r>
      <w:r w:rsidRPr="00F1444E">
        <w:rPr>
          <w:rFonts w:hint="eastAsia"/>
        </w:rPr>
        <w:t>参与单位包括有研稀土高技术有限公司、</w:t>
      </w:r>
      <w:r>
        <w:rPr>
          <w:rFonts w:hint="eastAsia"/>
        </w:rPr>
        <w:t>北京工业大学、包头稀土研究院、</w:t>
      </w:r>
      <w:r w:rsidRPr="00F1444E">
        <w:rPr>
          <w:rFonts w:hint="eastAsia"/>
        </w:rPr>
        <w:t>中国北方稀土（集团）</w:t>
      </w:r>
      <w:r w:rsidRPr="00F1444E">
        <w:rPr>
          <w:rFonts w:hint="eastAsia"/>
        </w:rPr>
        <w:t xml:space="preserve"> </w:t>
      </w:r>
      <w:r w:rsidRPr="00F1444E">
        <w:rPr>
          <w:rFonts w:hint="eastAsia"/>
        </w:rPr>
        <w:t>高科技股份有限公司、</w:t>
      </w:r>
      <w:r w:rsidRPr="00F1444E">
        <w:rPr>
          <w:rFonts w:hint="eastAsia"/>
        </w:rPr>
        <w:t xml:space="preserve"> </w:t>
      </w:r>
      <w:r w:rsidRPr="00F1444E">
        <w:rPr>
          <w:rFonts w:hint="eastAsia"/>
        </w:rPr>
        <w:t>赣州湛海新材料有限公司</w:t>
      </w:r>
      <w:r>
        <w:rPr>
          <w:rFonts w:hint="eastAsia"/>
        </w:rPr>
        <w:t>、</w:t>
      </w:r>
      <w:r w:rsidRPr="00F1444E">
        <w:rPr>
          <w:rFonts w:hint="eastAsia"/>
        </w:rPr>
        <w:t>安徽大地熊新材料股份有限公司</w:t>
      </w:r>
      <w:r>
        <w:rPr>
          <w:rFonts w:hint="eastAsia"/>
        </w:rPr>
        <w:t>和赣州科明高技术有限公司等在内的生产与应用单位</w:t>
      </w:r>
      <w:r w:rsidRPr="00F1444E">
        <w:rPr>
          <w:rFonts w:hint="eastAsia"/>
        </w:rPr>
        <w:t>对《烧结钕铁硼磁体晶界扩散用稀土</w:t>
      </w:r>
      <w:r>
        <w:rPr>
          <w:rFonts w:hint="eastAsia"/>
        </w:rPr>
        <w:t>氟化铽、氟化镝</w:t>
      </w:r>
      <w:r w:rsidRPr="00F1444E">
        <w:rPr>
          <w:rFonts w:hint="eastAsia"/>
        </w:rPr>
        <w:t>》标准提出了修改意见</w:t>
      </w:r>
      <w:r>
        <w:rPr>
          <w:rFonts w:hint="eastAsia"/>
        </w:rPr>
        <w:t>，并由牵头单位组织完成标准草案的修订并形成最终标准征求意见稿</w:t>
      </w:r>
      <w:r w:rsidRPr="00F1444E">
        <w:rPr>
          <w:rFonts w:hint="eastAsia"/>
        </w:rPr>
        <w:t>。</w:t>
      </w:r>
    </w:p>
    <w:p w14:paraId="24C019CC" w14:textId="77777777" w:rsidR="009507EE" w:rsidRPr="00A6172F" w:rsidRDefault="00100E6F">
      <w:pPr>
        <w:spacing w:afterLines="50" w:after="156" w:line="312" w:lineRule="auto"/>
        <w:rPr>
          <w:rFonts w:ascii="黑体" w:eastAsia="黑体" w:hAnsi="黑体"/>
        </w:rPr>
      </w:pPr>
      <w:r w:rsidRPr="00A6172F">
        <w:rPr>
          <w:rFonts w:ascii="黑体" w:eastAsia="黑体" w:hAnsi="黑体" w:hint="eastAsia"/>
        </w:rPr>
        <w:t>2、主要工作成员所负责的工作情况</w:t>
      </w:r>
    </w:p>
    <w:p w14:paraId="3B229580" w14:textId="77777777" w:rsidR="009507EE" w:rsidRDefault="00100E6F">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Pr>
          <w:rFonts w:ascii="Times New Roman" w:cs="Times New Roman" w:hint="eastAsia"/>
          <w:kern w:val="2"/>
          <w:sz w:val="21"/>
        </w:rPr>
        <w:t>1</w:t>
      </w:r>
      <w:r>
        <w:rPr>
          <w:rFonts w:ascii="Times New Roman" w:cs="Times New Roman" w:hint="eastAsia"/>
          <w:kern w:val="2"/>
          <w:sz w:val="21"/>
        </w:rPr>
        <w:t>。</w:t>
      </w:r>
    </w:p>
    <w:p w14:paraId="153F4800" w14:textId="77777777" w:rsidR="00A6172F" w:rsidRDefault="00A6172F">
      <w:pPr>
        <w:spacing w:line="312" w:lineRule="auto"/>
        <w:ind w:firstLine="435"/>
        <w:jc w:val="center"/>
        <w:rPr>
          <w:rFonts w:ascii="黑体" w:eastAsia="黑体" w:hAnsi="黑体"/>
          <w:szCs w:val="21"/>
        </w:rPr>
      </w:pPr>
    </w:p>
    <w:p w14:paraId="701749A3" w14:textId="77777777" w:rsidR="00A6172F" w:rsidRDefault="00A6172F">
      <w:pPr>
        <w:spacing w:line="312" w:lineRule="auto"/>
        <w:ind w:firstLine="435"/>
        <w:jc w:val="center"/>
        <w:rPr>
          <w:rFonts w:ascii="黑体" w:eastAsia="黑体" w:hAnsi="黑体"/>
          <w:szCs w:val="21"/>
        </w:rPr>
      </w:pPr>
    </w:p>
    <w:p w14:paraId="38CE2166" w14:textId="37B9DB1A" w:rsidR="009507EE" w:rsidRDefault="00100E6F" w:rsidP="00A6172F">
      <w:pPr>
        <w:spacing w:line="360" w:lineRule="auto"/>
        <w:ind w:firstLine="435"/>
        <w:jc w:val="center"/>
        <w:rPr>
          <w:rFonts w:ascii="黑体" w:eastAsia="黑体" w:hAnsi="黑体"/>
          <w:szCs w:val="21"/>
        </w:rPr>
      </w:pPr>
      <w:r>
        <w:rPr>
          <w:rFonts w:ascii="黑体" w:eastAsia="黑体" w:hAnsi="黑体" w:hint="eastAsia"/>
          <w:szCs w:val="21"/>
        </w:rPr>
        <w:lastRenderedPageBreak/>
        <w:t>表1 主要起草人及工作职责</w:t>
      </w:r>
    </w:p>
    <w:tbl>
      <w:tblPr>
        <w:tblStyle w:val="affff4"/>
        <w:tblW w:w="0" w:type="auto"/>
        <w:jc w:val="center"/>
        <w:tblLook w:val="04A0" w:firstRow="1" w:lastRow="0" w:firstColumn="1" w:lastColumn="0" w:noHBand="0" w:noVBand="1"/>
      </w:tblPr>
      <w:tblGrid>
        <w:gridCol w:w="2040"/>
        <w:gridCol w:w="3683"/>
        <w:gridCol w:w="3963"/>
      </w:tblGrid>
      <w:tr w:rsidR="00A6172F" w14:paraId="4B9BCCCE" w14:textId="77777777" w:rsidTr="00A6172F">
        <w:trPr>
          <w:jc w:val="center"/>
        </w:trPr>
        <w:tc>
          <w:tcPr>
            <w:tcW w:w="2040" w:type="dxa"/>
          </w:tcPr>
          <w:p w14:paraId="56E40DFC" w14:textId="77777777" w:rsidR="00A6172F" w:rsidRPr="00A6172F" w:rsidRDefault="00A6172F">
            <w:pPr>
              <w:spacing w:line="312" w:lineRule="auto"/>
              <w:ind w:firstLine="435"/>
              <w:jc w:val="center"/>
              <w:rPr>
                <w:rFonts w:hAnsi="宋体"/>
              </w:rPr>
            </w:pPr>
            <w:r w:rsidRPr="00A6172F">
              <w:rPr>
                <w:rFonts w:hAnsi="宋体" w:hint="eastAsia"/>
              </w:rPr>
              <w:t>起草人</w:t>
            </w:r>
          </w:p>
        </w:tc>
        <w:tc>
          <w:tcPr>
            <w:tcW w:w="3683" w:type="dxa"/>
          </w:tcPr>
          <w:p w14:paraId="5A024D15" w14:textId="71093245" w:rsidR="00A6172F" w:rsidRPr="00A6172F" w:rsidRDefault="00A6172F">
            <w:pPr>
              <w:spacing w:line="312" w:lineRule="auto"/>
              <w:ind w:firstLine="435"/>
              <w:jc w:val="center"/>
              <w:rPr>
                <w:rFonts w:hAnsi="宋体"/>
              </w:rPr>
            </w:pPr>
            <w:r>
              <w:rPr>
                <w:szCs w:val="21"/>
              </w:rPr>
              <w:t>单位</w:t>
            </w:r>
          </w:p>
        </w:tc>
        <w:tc>
          <w:tcPr>
            <w:tcW w:w="3963" w:type="dxa"/>
          </w:tcPr>
          <w:p w14:paraId="05F964C7" w14:textId="7670A1F6" w:rsidR="00A6172F" w:rsidRPr="00A6172F" w:rsidRDefault="00A6172F">
            <w:pPr>
              <w:spacing w:line="312" w:lineRule="auto"/>
              <w:ind w:firstLine="435"/>
              <w:jc w:val="center"/>
              <w:rPr>
                <w:rFonts w:hAnsi="宋体"/>
              </w:rPr>
            </w:pPr>
            <w:r w:rsidRPr="00A6172F">
              <w:rPr>
                <w:rFonts w:hAnsi="宋体" w:hint="eastAsia"/>
              </w:rPr>
              <w:t>工作职责</w:t>
            </w:r>
          </w:p>
        </w:tc>
      </w:tr>
      <w:tr w:rsidR="00A6172F" w14:paraId="1127315F" w14:textId="77777777" w:rsidTr="00A6172F">
        <w:trPr>
          <w:jc w:val="center"/>
        </w:trPr>
        <w:tc>
          <w:tcPr>
            <w:tcW w:w="2040" w:type="dxa"/>
            <w:vAlign w:val="center"/>
          </w:tcPr>
          <w:p w14:paraId="330CE29D" w14:textId="2E6B39CC"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hint="eastAsia"/>
                <w:kern w:val="2"/>
                <w:sz w:val="21"/>
              </w:rPr>
              <w:t>吴道高、陈德宏、卢文礼、胡权霞</w:t>
            </w:r>
          </w:p>
        </w:tc>
        <w:tc>
          <w:tcPr>
            <w:tcW w:w="3683" w:type="dxa"/>
            <w:vAlign w:val="center"/>
          </w:tcPr>
          <w:p w14:paraId="21F9DF0F" w14:textId="795E223F"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hint="eastAsia"/>
                <w:kern w:val="2"/>
                <w:sz w:val="21"/>
              </w:rPr>
              <w:t>有研稀土新材料股份有限公司</w:t>
            </w:r>
          </w:p>
        </w:tc>
        <w:tc>
          <w:tcPr>
            <w:tcW w:w="3963" w:type="dxa"/>
            <w:vAlign w:val="center"/>
          </w:tcPr>
          <w:p w14:paraId="105E6A78" w14:textId="2FF038C5"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kern w:val="2"/>
                <w:sz w:val="21"/>
              </w:rPr>
              <w:t>负责调研、验证、标准起草</w:t>
            </w:r>
            <w:r w:rsidRPr="00A6172F">
              <w:rPr>
                <w:rFonts w:ascii="Times New Roman" w:cs="Times New Roman" w:hint="eastAsia"/>
                <w:kern w:val="2"/>
                <w:sz w:val="21"/>
              </w:rPr>
              <w:t>、</w:t>
            </w:r>
            <w:r w:rsidRPr="00A6172F">
              <w:rPr>
                <w:rFonts w:ascii="Times New Roman" w:cs="Times New Roman"/>
                <w:kern w:val="2"/>
                <w:sz w:val="21"/>
              </w:rPr>
              <w:t>预审、审定报批工作</w:t>
            </w:r>
          </w:p>
        </w:tc>
      </w:tr>
      <w:tr w:rsidR="00A6172F" w14:paraId="214E81C4" w14:textId="77777777" w:rsidTr="00A6172F">
        <w:trPr>
          <w:jc w:val="center"/>
        </w:trPr>
        <w:tc>
          <w:tcPr>
            <w:tcW w:w="2040" w:type="dxa"/>
            <w:vAlign w:val="center"/>
          </w:tcPr>
          <w:p w14:paraId="279DD0B2" w14:textId="0D75217D"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hint="eastAsia"/>
                <w:kern w:val="2"/>
                <w:sz w:val="21"/>
              </w:rPr>
              <w:t>杨秉政、岳明、付建龙、解萍、罗威、黄秀莲、朱晓婷</w:t>
            </w:r>
          </w:p>
        </w:tc>
        <w:tc>
          <w:tcPr>
            <w:tcW w:w="3683" w:type="dxa"/>
            <w:vAlign w:val="center"/>
          </w:tcPr>
          <w:p w14:paraId="3425DFAD" w14:textId="4927E32F"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hint="eastAsia"/>
                <w:kern w:val="2"/>
                <w:sz w:val="21"/>
              </w:rPr>
              <w:t>有研稀土高技术有限公司、北京工业大学、包头稀土研究院、中国北方稀土（集团）</w:t>
            </w:r>
            <w:r w:rsidRPr="00A6172F">
              <w:rPr>
                <w:rFonts w:ascii="Times New Roman" w:cs="Times New Roman" w:hint="eastAsia"/>
                <w:kern w:val="2"/>
                <w:sz w:val="21"/>
              </w:rPr>
              <w:t xml:space="preserve"> </w:t>
            </w:r>
            <w:r w:rsidRPr="00A6172F">
              <w:rPr>
                <w:rFonts w:ascii="Times New Roman" w:cs="Times New Roman" w:hint="eastAsia"/>
                <w:kern w:val="2"/>
                <w:sz w:val="21"/>
              </w:rPr>
              <w:t>高科技股份有限公司、</w:t>
            </w:r>
            <w:r w:rsidRPr="00A6172F">
              <w:rPr>
                <w:rFonts w:ascii="Times New Roman" w:cs="Times New Roman" w:hint="eastAsia"/>
                <w:kern w:val="2"/>
                <w:sz w:val="21"/>
              </w:rPr>
              <w:t xml:space="preserve"> </w:t>
            </w:r>
            <w:r w:rsidRPr="00A6172F">
              <w:rPr>
                <w:rFonts w:ascii="Times New Roman" w:cs="Times New Roman" w:hint="eastAsia"/>
                <w:kern w:val="2"/>
                <w:sz w:val="21"/>
              </w:rPr>
              <w:t>赣州湛海新材料有限公司、安徽大地熊新材料股份有限公司和赣州科明高技术有限公司</w:t>
            </w:r>
          </w:p>
        </w:tc>
        <w:tc>
          <w:tcPr>
            <w:tcW w:w="3963" w:type="dxa"/>
            <w:vAlign w:val="center"/>
          </w:tcPr>
          <w:p w14:paraId="6C5C0591" w14:textId="45BFD7A3" w:rsidR="00A6172F" w:rsidRPr="00A6172F"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rPr>
            </w:pPr>
            <w:r w:rsidRPr="00A6172F">
              <w:rPr>
                <w:rFonts w:ascii="Times New Roman" w:cs="Times New Roman"/>
                <w:kern w:val="2"/>
                <w:sz w:val="21"/>
              </w:rPr>
              <w:t>参与标准起草，提供</w:t>
            </w:r>
            <w:r w:rsidRPr="00A6172F">
              <w:rPr>
                <w:rFonts w:ascii="Times New Roman" w:cs="Times New Roman" w:hint="eastAsia"/>
                <w:kern w:val="2"/>
                <w:sz w:val="21"/>
              </w:rPr>
              <w:t>相关数据</w:t>
            </w:r>
          </w:p>
        </w:tc>
      </w:tr>
    </w:tbl>
    <w:p w14:paraId="27B38DA2" w14:textId="77777777" w:rsidR="009507EE" w:rsidRPr="00A6172F" w:rsidRDefault="00100E6F">
      <w:pPr>
        <w:pStyle w:val="afffff0"/>
        <w:tabs>
          <w:tab w:val="clear" w:pos="675"/>
        </w:tabs>
        <w:spacing w:before="312" w:afterLines="50" w:after="156" w:line="312" w:lineRule="auto"/>
        <w:ind w:left="0" w:firstLine="0"/>
        <w:rPr>
          <w:rFonts w:hAnsi="黑体"/>
        </w:rPr>
      </w:pPr>
      <w:r w:rsidRPr="00A6172F">
        <w:rPr>
          <w:rFonts w:hAnsi="黑体" w:hint="eastAsia"/>
        </w:rPr>
        <w:t>（三）主要工作过程</w:t>
      </w:r>
    </w:p>
    <w:p w14:paraId="2E4D5ABE"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1、起草阶段</w:t>
      </w:r>
    </w:p>
    <w:p w14:paraId="53D85079" w14:textId="77777777" w:rsidR="003A1523" w:rsidRDefault="003A1523" w:rsidP="003A1523">
      <w:pPr>
        <w:spacing w:line="312" w:lineRule="auto"/>
        <w:ind w:firstLine="420"/>
      </w:pPr>
      <w:r w:rsidRPr="003A1523">
        <w:rPr>
          <w:rFonts w:hint="eastAsia"/>
        </w:rPr>
        <w:t>20</w:t>
      </w:r>
      <w:r w:rsidRPr="003A1523">
        <w:t>20</w:t>
      </w:r>
      <w:r w:rsidRPr="003A1523">
        <w:rPr>
          <w:rFonts w:hint="eastAsia"/>
        </w:rPr>
        <w:t>年</w:t>
      </w:r>
      <w:r w:rsidRPr="003A1523">
        <w:t>9</w:t>
      </w:r>
      <w:r w:rsidRPr="003A1523">
        <w:rPr>
          <w:rFonts w:hint="eastAsia"/>
        </w:rPr>
        <w:t>月，全国稀土标准化技术委员在陕西省西安市召开了</w:t>
      </w:r>
      <w:r w:rsidRPr="003A1523">
        <w:rPr>
          <w:rFonts w:hint="eastAsia"/>
        </w:rPr>
        <w:t xml:space="preserve"> </w:t>
      </w:r>
      <w:r w:rsidRPr="003A1523">
        <w:rPr>
          <w:rFonts w:hint="eastAsia"/>
        </w:rPr>
        <w:t>“</w:t>
      </w:r>
      <w:r w:rsidRPr="003A1523">
        <w:rPr>
          <w:rFonts w:hint="eastAsia"/>
        </w:rPr>
        <w:t xml:space="preserve">2020 </w:t>
      </w:r>
      <w:r w:rsidRPr="003A1523">
        <w:rPr>
          <w:rFonts w:hint="eastAsia"/>
        </w:rPr>
        <w:t>年第五次稀土标准制修订工作会”，对本项目进行了任务落实。有研稀土新材料股份有线公司单位立即成立了标准编制工作组，对目标任务进行分解，明确成员的任务要求，制定工作计划和进度安排。</w:t>
      </w:r>
    </w:p>
    <w:p w14:paraId="1BAFBC92" w14:textId="77777777" w:rsidR="003A1523" w:rsidRPr="00C10228" w:rsidRDefault="003A1523" w:rsidP="003A1523">
      <w:pPr>
        <w:spacing w:line="360" w:lineRule="auto"/>
        <w:ind w:firstLineChars="200" w:firstLine="420"/>
        <w:rPr>
          <w:color w:val="000000"/>
          <w:szCs w:val="21"/>
        </w:rPr>
      </w:pPr>
      <w:r w:rsidRPr="00C10228">
        <w:rPr>
          <w:color w:val="000000"/>
          <w:szCs w:val="21"/>
        </w:rPr>
        <w:t>20</w:t>
      </w:r>
      <w:r w:rsidRPr="00C10228">
        <w:rPr>
          <w:rFonts w:hint="eastAsia"/>
          <w:color w:val="000000"/>
          <w:szCs w:val="21"/>
        </w:rPr>
        <w:t>20</w:t>
      </w:r>
      <w:r w:rsidRPr="00C10228">
        <w:rPr>
          <w:color w:val="000000"/>
          <w:szCs w:val="21"/>
        </w:rPr>
        <w:t>.1</w:t>
      </w:r>
      <w:r w:rsidRPr="00C10228">
        <w:rPr>
          <w:rFonts w:hint="eastAsia"/>
          <w:color w:val="000000"/>
          <w:szCs w:val="21"/>
        </w:rPr>
        <w:t>0</w:t>
      </w:r>
      <w:r w:rsidRPr="00C10228">
        <w:rPr>
          <w:color w:val="000000"/>
          <w:szCs w:val="21"/>
        </w:rPr>
        <w:t>~2020.</w:t>
      </w:r>
      <w:r w:rsidRPr="00C10228">
        <w:rPr>
          <w:rFonts w:hint="eastAsia"/>
          <w:color w:val="000000"/>
          <w:szCs w:val="21"/>
        </w:rPr>
        <w:t>1</w:t>
      </w:r>
      <w:r w:rsidRPr="00C10228">
        <w:rPr>
          <w:color w:val="000000"/>
          <w:szCs w:val="21"/>
        </w:rPr>
        <w:t>1</w:t>
      </w:r>
      <w:r w:rsidRPr="00C10228">
        <w:rPr>
          <w:color w:val="000000"/>
          <w:szCs w:val="21"/>
        </w:rPr>
        <w:t>：调研、查阅资料，了解国内关于</w:t>
      </w:r>
      <w:r w:rsidRPr="00C10228">
        <w:rPr>
          <w:rFonts w:hint="eastAsia"/>
          <w:color w:val="000000"/>
          <w:szCs w:val="21"/>
        </w:rPr>
        <w:t>烧结钕铁硼磁体晶界扩散用稀土氟化物产品</w:t>
      </w:r>
      <w:r w:rsidRPr="00C10228">
        <w:rPr>
          <w:color w:val="000000"/>
          <w:szCs w:val="21"/>
        </w:rPr>
        <w:t>的生产动态及</w:t>
      </w:r>
      <w:r w:rsidRPr="00C10228">
        <w:rPr>
          <w:rFonts w:hint="eastAsia"/>
          <w:color w:val="000000"/>
          <w:szCs w:val="21"/>
        </w:rPr>
        <w:t>市场</w:t>
      </w:r>
      <w:r w:rsidRPr="00C10228">
        <w:rPr>
          <w:color w:val="000000"/>
          <w:szCs w:val="21"/>
        </w:rPr>
        <w:t>应用</w:t>
      </w:r>
      <w:r w:rsidRPr="00C10228">
        <w:rPr>
          <w:rFonts w:hint="eastAsia"/>
          <w:color w:val="000000"/>
          <w:szCs w:val="21"/>
        </w:rPr>
        <w:t>情况</w:t>
      </w:r>
      <w:r w:rsidRPr="00C10228">
        <w:rPr>
          <w:color w:val="000000"/>
          <w:szCs w:val="21"/>
        </w:rPr>
        <w:t>，</w:t>
      </w:r>
      <w:r w:rsidRPr="00C10228">
        <w:rPr>
          <w:rFonts w:hint="eastAsia"/>
          <w:color w:val="000000"/>
          <w:szCs w:val="21"/>
        </w:rPr>
        <w:t>并对相关资料进行</w:t>
      </w:r>
      <w:r w:rsidRPr="00C10228">
        <w:rPr>
          <w:color w:val="000000"/>
          <w:szCs w:val="21"/>
        </w:rPr>
        <w:t>消化吸收，编</w:t>
      </w:r>
      <w:r w:rsidRPr="00C10228">
        <w:rPr>
          <w:rFonts w:hint="eastAsia"/>
          <w:color w:val="000000"/>
          <w:szCs w:val="21"/>
        </w:rPr>
        <w:t>制出</w:t>
      </w:r>
      <w:r w:rsidRPr="00C10228">
        <w:rPr>
          <w:color w:val="000000"/>
          <w:szCs w:val="21"/>
        </w:rPr>
        <w:t>《</w:t>
      </w:r>
      <w:r w:rsidRPr="00C10228">
        <w:rPr>
          <w:rFonts w:hint="eastAsia"/>
          <w:color w:val="000000"/>
          <w:szCs w:val="21"/>
        </w:rPr>
        <w:t>烧结钕铁硼磁体晶界扩散用稀土氟化物</w:t>
      </w:r>
      <w:r w:rsidRPr="00C10228">
        <w:rPr>
          <w:color w:val="000000"/>
          <w:szCs w:val="21"/>
        </w:rPr>
        <w:t>》标准初稿、编制说明</w:t>
      </w:r>
      <w:r w:rsidRPr="00C10228">
        <w:rPr>
          <w:rFonts w:hint="eastAsia"/>
          <w:color w:val="000000"/>
          <w:szCs w:val="21"/>
        </w:rPr>
        <w:t>等</w:t>
      </w:r>
      <w:r w:rsidRPr="00C10228">
        <w:rPr>
          <w:color w:val="000000"/>
          <w:szCs w:val="21"/>
        </w:rPr>
        <w:t>，组织相关人员进行讨论，对标准初稿进行完善；</w:t>
      </w:r>
      <w:r w:rsidRPr="00C10228">
        <w:rPr>
          <w:rFonts w:hint="eastAsia"/>
          <w:color w:val="000000"/>
          <w:szCs w:val="21"/>
        </w:rPr>
        <w:t>发出《烧结钕铁硼磁体晶界扩散用稀土氟化物》标准的征求意见稿。</w:t>
      </w:r>
    </w:p>
    <w:p w14:paraId="3FE1DB6C" w14:textId="77777777" w:rsidR="003A1523" w:rsidRPr="00C10228" w:rsidRDefault="003A1523" w:rsidP="003A1523">
      <w:pPr>
        <w:spacing w:line="360" w:lineRule="auto"/>
        <w:ind w:firstLineChars="200" w:firstLine="420"/>
        <w:rPr>
          <w:color w:val="000000"/>
          <w:szCs w:val="21"/>
        </w:rPr>
      </w:pPr>
      <w:r w:rsidRPr="00C10228">
        <w:rPr>
          <w:color w:val="000000"/>
          <w:szCs w:val="21"/>
        </w:rPr>
        <w:t>202</w:t>
      </w:r>
      <w:r w:rsidRPr="00C10228">
        <w:rPr>
          <w:rFonts w:hint="eastAsia"/>
          <w:color w:val="000000"/>
          <w:szCs w:val="21"/>
        </w:rPr>
        <w:t>0</w:t>
      </w:r>
      <w:r w:rsidRPr="00C10228">
        <w:rPr>
          <w:color w:val="000000"/>
          <w:szCs w:val="21"/>
        </w:rPr>
        <w:t>.</w:t>
      </w:r>
      <w:r w:rsidRPr="00C10228">
        <w:rPr>
          <w:rFonts w:hint="eastAsia"/>
          <w:color w:val="000000"/>
          <w:szCs w:val="21"/>
        </w:rPr>
        <w:t>1</w:t>
      </w:r>
      <w:r w:rsidRPr="00C10228">
        <w:rPr>
          <w:color w:val="000000"/>
          <w:szCs w:val="21"/>
        </w:rPr>
        <w:t>2~202</w:t>
      </w:r>
      <w:r w:rsidRPr="00C10228">
        <w:rPr>
          <w:rFonts w:hint="eastAsia"/>
          <w:color w:val="000000"/>
          <w:szCs w:val="21"/>
        </w:rPr>
        <w:t>1</w:t>
      </w:r>
      <w:r w:rsidRPr="00C10228">
        <w:rPr>
          <w:color w:val="000000"/>
          <w:szCs w:val="21"/>
        </w:rPr>
        <w:t>.03</w:t>
      </w:r>
      <w:r>
        <w:rPr>
          <w:rFonts w:hint="eastAsia"/>
          <w:color w:val="000000"/>
          <w:szCs w:val="21"/>
        </w:rPr>
        <w:t>：</w:t>
      </w:r>
      <w:r w:rsidRPr="00C10228">
        <w:rPr>
          <w:rFonts w:hint="eastAsia"/>
          <w:color w:val="000000"/>
          <w:szCs w:val="21"/>
        </w:rPr>
        <w:t>根据反馈回来的意见和建议，完善标准的征求意见稿，修订后形成预审稿，并将标准预审稿、</w:t>
      </w:r>
      <w:r w:rsidRPr="00C10228">
        <w:rPr>
          <w:rFonts w:hint="eastAsia"/>
          <w:color w:val="000000"/>
          <w:szCs w:val="21"/>
        </w:rPr>
        <w:t xml:space="preserve"> </w:t>
      </w:r>
      <w:r w:rsidRPr="00C10228">
        <w:rPr>
          <w:rFonts w:hint="eastAsia"/>
          <w:color w:val="000000"/>
          <w:szCs w:val="21"/>
        </w:rPr>
        <w:t>编制说明、</w:t>
      </w:r>
      <w:r w:rsidRPr="00C10228">
        <w:rPr>
          <w:rFonts w:hint="eastAsia"/>
          <w:color w:val="000000"/>
          <w:szCs w:val="21"/>
        </w:rPr>
        <w:t xml:space="preserve"> </w:t>
      </w:r>
      <w:r w:rsidRPr="00C10228">
        <w:rPr>
          <w:rFonts w:hint="eastAsia"/>
          <w:color w:val="000000"/>
          <w:szCs w:val="21"/>
        </w:rPr>
        <w:t>意见汇总等（电子版）发送至稀土标委会秘书处。</w:t>
      </w:r>
    </w:p>
    <w:p w14:paraId="56AB826B" w14:textId="77777777" w:rsidR="003A1523" w:rsidRPr="00C10228" w:rsidRDefault="003A1523" w:rsidP="003A1523">
      <w:pPr>
        <w:spacing w:line="360" w:lineRule="auto"/>
        <w:ind w:firstLineChars="200" w:firstLine="420"/>
        <w:rPr>
          <w:color w:val="000000"/>
          <w:szCs w:val="21"/>
        </w:rPr>
      </w:pPr>
      <w:r w:rsidRPr="00C10228">
        <w:rPr>
          <w:color w:val="000000"/>
          <w:szCs w:val="21"/>
        </w:rPr>
        <w:t>202</w:t>
      </w:r>
      <w:r>
        <w:rPr>
          <w:rFonts w:hint="eastAsia"/>
          <w:color w:val="000000"/>
          <w:szCs w:val="21"/>
        </w:rPr>
        <w:t>1</w:t>
      </w:r>
      <w:r w:rsidRPr="00C10228">
        <w:rPr>
          <w:color w:val="000000"/>
          <w:szCs w:val="21"/>
        </w:rPr>
        <w:t>.0</w:t>
      </w:r>
      <w:r w:rsidRPr="00C10228">
        <w:rPr>
          <w:rFonts w:hint="eastAsia"/>
          <w:color w:val="000000"/>
          <w:szCs w:val="21"/>
        </w:rPr>
        <w:t>3</w:t>
      </w:r>
      <w:r w:rsidRPr="00C10228">
        <w:rPr>
          <w:color w:val="000000"/>
          <w:szCs w:val="21"/>
        </w:rPr>
        <w:t>~202</w:t>
      </w:r>
      <w:r w:rsidRPr="00C10228">
        <w:rPr>
          <w:rFonts w:hint="eastAsia"/>
          <w:color w:val="000000"/>
          <w:szCs w:val="21"/>
        </w:rPr>
        <w:t>1</w:t>
      </w:r>
      <w:r w:rsidRPr="00C10228">
        <w:rPr>
          <w:color w:val="000000"/>
          <w:szCs w:val="21"/>
        </w:rPr>
        <w:t>.0</w:t>
      </w:r>
      <w:r w:rsidRPr="00C10228">
        <w:rPr>
          <w:rFonts w:hint="eastAsia"/>
          <w:color w:val="000000"/>
          <w:szCs w:val="21"/>
        </w:rPr>
        <w:t>4</w:t>
      </w:r>
      <w:r w:rsidRPr="00C10228">
        <w:rPr>
          <w:color w:val="000000"/>
          <w:szCs w:val="21"/>
        </w:rPr>
        <w:t>：</w:t>
      </w:r>
      <w:r w:rsidRPr="00C10228">
        <w:rPr>
          <w:rFonts w:hint="eastAsia"/>
          <w:color w:val="000000"/>
          <w:szCs w:val="21"/>
        </w:rPr>
        <w:t>稀土标委会将预审稿及编制说明挂网征求更广泛的意见，召开标准预审会。</w:t>
      </w:r>
    </w:p>
    <w:p w14:paraId="0CB727F4" w14:textId="77777777" w:rsidR="003A1523" w:rsidRPr="00C10228" w:rsidRDefault="003A1523" w:rsidP="003A1523">
      <w:pPr>
        <w:spacing w:line="360" w:lineRule="auto"/>
        <w:ind w:firstLineChars="200" w:firstLine="420"/>
        <w:rPr>
          <w:color w:val="000000"/>
          <w:szCs w:val="21"/>
        </w:rPr>
      </w:pPr>
      <w:r w:rsidRPr="00C10228">
        <w:rPr>
          <w:color w:val="000000"/>
          <w:szCs w:val="21"/>
        </w:rPr>
        <w:t>202</w:t>
      </w:r>
      <w:r>
        <w:rPr>
          <w:rFonts w:hint="eastAsia"/>
          <w:color w:val="000000"/>
          <w:szCs w:val="21"/>
        </w:rPr>
        <w:t>1</w:t>
      </w:r>
      <w:r w:rsidRPr="00C10228">
        <w:rPr>
          <w:color w:val="000000"/>
          <w:szCs w:val="21"/>
        </w:rPr>
        <w:t>.0</w:t>
      </w:r>
      <w:r w:rsidRPr="00C10228">
        <w:rPr>
          <w:rFonts w:hint="eastAsia"/>
          <w:color w:val="000000"/>
          <w:szCs w:val="21"/>
        </w:rPr>
        <w:t>5</w:t>
      </w:r>
      <w:r w:rsidRPr="00C10228">
        <w:rPr>
          <w:color w:val="000000"/>
          <w:szCs w:val="21"/>
        </w:rPr>
        <w:t>~202</w:t>
      </w:r>
      <w:r w:rsidRPr="00C10228">
        <w:rPr>
          <w:rFonts w:hint="eastAsia"/>
          <w:color w:val="000000"/>
          <w:szCs w:val="21"/>
        </w:rPr>
        <w:t>1</w:t>
      </w:r>
      <w:r w:rsidRPr="00C10228">
        <w:rPr>
          <w:color w:val="000000"/>
          <w:szCs w:val="21"/>
        </w:rPr>
        <w:t>.0</w:t>
      </w:r>
      <w:r w:rsidRPr="00C10228">
        <w:rPr>
          <w:rFonts w:hint="eastAsia"/>
          <w:color w:val="000000"/>
          <w:szCs w:val="21"/>
        </w:rPr>
        <w:t>7</w:t>
      </w:r>
      <w:r w:rsidRPr="00C10228">
        <w:rPr>
          <w:color w:val="000000"/>
          <w:szCs w:val="21"/>
        </w:rPr>
        <w:t>：</w:t>
      </w:r>
      <w:r w:rsidRPr="00C10228">
        <w:rPr>
          <w:rFonts w:hint="eastAsia"/>
          <w:color w:val="000000"/>
          <w:szCs w:val="21"/>
        </w:rPr>
        <w:t>在预审会的基础上，对预审稿、编制说明、意见汇总处理表进行修改、调整，标准编制小组达成一致意见后形成《烧结钕铁硼磁体晶界扩散用稀土氟化物》标准送审稿，并将相关资料（电子版）发送至稀土标委会秘书处。</w:t>
      </w:r>
    </w:p>
    <w:p w14:paraId="69847063" w14:textId="77777777" w:rsidR="003A1523" w:rsidRPr="001C59AB" w:rsidRDefault="003A1523" w:rsidP="003A1523">
      <w:pPr>
        <w:spacing w:line="360" w:lineRule="auto"/>
        <w:ind w:firstLineChars="200" w:firstLine="420"/>
        <w:rPr>
          <w:color w:val="000000"/>
          <w:szCs w:val="21"/>
        </w:rPr>
      </w:pPr>
      <w:r w:rsidRPr="00C10228">
        <w:rPr>
          <w:color w:val="000000"/>
          <w:szCs w:val="21"/>
        </w:rPr>
        <w:t>202</w:t>
      </w:r>
      <w:r w:rsidRPr="00C10228">
        <w:rPr>
          <w:rFonts w:hint="eastAsia"/>
          <w:color w:val="000000"/>
          <w:szCs w:val="21"/>
        </w:rPr>
        <w:t>1</w:t>
      </w:r>
      <w:r w:rsidRPr="00C10228">
        <w:rPr>
          <w:color w:val="000000"/>
          <w:szCs w:val="21"/>
        </w:rPr>
        <w:t>.0</w:t>
      </w:r>
      <w:r w:rsidRPr="00C10228">
        <w:rPr>
          <w:rFonts w:hint="eastAsia"/>
          <w:color w:val="000000"/>
          <w:szCs w:val="21"/>
        </w:rPr>
        <w:t>7</w:t>
      </w:r>
      <w:r w:rsidRPr="00C10228">
        <w:rPr>
          <w:color w:val="000000"/>
          <w:szCs w:val="21"/>
        </w:rPr>
        <w:t>~202</w:t>
      </w:r>
      <w:r w:rsidRPr="00C10228">
        <w:rPr>
          <w:rFonts w:hint="eastAsia"/>
          <w:color w:val="000000"/>
          <w:szCs w:val="21"/>
        </w:rPr>
        <w:t>1</w:t>
      </w:r>
      <w:r w:rsidRPr="00C10228">
        <w:rPr>
          <w:color w:val="000000"/>
          <w:szCs w:val="21"/>
        </w:rPr>
        <w:t>.</w:t>
      </w:r>
      <w:r w:rsidRPr="00C10228">
        <w:rPr>
          <w:rFonts w:hint="eastAsia"/>
          <w:color w:val="000000"/>
          <w:szCs w:val="21"/>
        </w:rPr>
        <w:t>08</w:t>
      </w:r>
      <w:r w:rsidRPr="00C10228">
        <w:rPr>
          <w:color w:val="000000"/>
          <w:szCs w:val="21"/>
        </w:rPr>
        <w:t>：</w:t>
      </w:r>
      <w:r w:rsidRPr="00C10228">
        <w:rPr>
          <w:rFonts w:hint="eastAsia"/>
          <w:color w:val="000000"/>
          <w:szCs w:val="21"/>
        </w:rPr>
        <w:t>稀土标委会将《烧结钕铁硼磁体晶界扩散用稀土氟化物》送审稿及编制说明挂网征求更广泛的意见，</w:t>
      </w:r>
      <w:r w:rsidRPr="00C10228">
        <w:rPr>
          <w:rFonts w:hint="eastAsia"/>
          <w:color w:val="000000"/>
          <w:szCs w:val="21"/>
        </w:rPr>
        <w:t xml:space="preserve"> </w:t>
      </w:r>
      <w:r w:rsidRPr="00C10228">
        <w:rPr>
          <w:rFonts w:hint="eastAsia"/>
          <w:color w:val="000000"/>
          <w:szCs w:val="21"/>
        </w:rPr>
        <w:t>召开标准审定会。</w:t>
      </w:r>
    </w:p>
    <w:p w14:paraId="1B1466A1" w14:textId="26CD3403" w:rsidR="003A1523" w:rsidRPr="003A1523" w:rsidRDefault="003A1523" w:rsidP="003A1523">
      <w:pPr>
        <w:spacing w:line="360" w:lineRule="auto"/>
        <w:ind w:firstLineChars="200" w:firstLine="420"/>
      </w:pPr>
      <w:r w:rsidRPr="00E07882">
        <w:rPr>
          <w:rFonts w:hint="eastAsia"/>
          <w:szCs w:val="18"/>
        </w:rPr>
        <w:t>有研稀土</w:t>
      </w:r>
      <w:r>
        <w:rPr>
          <w:rFonts w:hint="eastAsia"/>
          <w:szCs w:val="18"/>
        </w:rPr>
        <w:t>新材料股份有限公司</w:t>
      </w:r>
      <w:r w:rsidRPr="00E07882">
        <w:rPr>
          <w:rFonts w:hint="eastAsia"/>
          <w:szCs w:val="18"/>
        </w:rPr>
        <w:t>随后深入调研国内烧结钕铁硼磁体晶界扩散用稀土氟化物生产和应用等企业，深入了解烧结钕铁硼磁体晶界扩散用稀土氟化物产品生产、市场和应用情况，关注烧结钕铁硼磁体晶界扩散用稀土氟化物产品生产控制、产品质量等技术指标要求，</w:t>
      </w:r>
      <w:r w:rsidRPr="003A1523">
        <w:rPr>
          <w:rFonts w:hint="eastAsia"/>
        </w:rPr>
        <w:t>并对各类信息进行分析汇总，已于</w:t>
      </w:r>
      <w:r w:rsidRPr="003A1523">
        <w:rPr>
          <w:rFonts w:hint="eastAsia"/>
        </w:rPr>
        <w:t>202</w:t>
      </w:r>
      <w:r w:rsidRPr="003A1523">
        <w:t>1</w:t>
      </w:r>
      <w:r w:rsidRPr="003A1523">
        <w:rPr>
          <w:rFonts w:hint="eastAsia"/>
        </w:rPr>
        <w:t>年</w:t>
      </w:r>
      <w:r w:rsidRPr="003A1523">
        <w:t>1</w:t>
      </w:r>
      <w:r w:rsidRPr="003A1523">
        <w:rPr>
          <w:rFonts w:hint="eastAsia"/>
        </w:rPr>
        <w:t>月形成了标准的征求意见稿和编制说明。</w:t>
      </w:r>
    </w:p>
    <w:p w14:paraId="68876A35"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2、征求意见阶段</w:t>
      </w:r>
    </w:p>
    <w:p w14:paraId="363679F9" w14:textId="21703912" w:rsidR="009507EE" w:rsidRDefault="00BD7B69" w:rsidP="00BD7B69">
      <w:pPr>
        <w:spacing w:line="312" w:lineRule="auto"/>
        <w:ind w:firstLine="420"/>
        <w:rPr>
          <w:szCs w:val="21"/>
        </w:rPr>
      </w:pPr>
      <w:r>
        <w:rPr>
          <w:rFonts w:hint="eastAsia"/>
        </w:rPr>
        <w:lastRenderedPageBreak/>
        <w:t>2</w:t>
      </w:r>
      <w:r>
        <w:t>020</w:t>
      </w:r>
      <w:r>
        <w:rPr>
          <w:rFonts w:hint="eastAsia"/>
        </w:rPr>
        <w:t>年</w:t>
      </w:r>
      <w:r>
        <w:rPr>
          <w:rFonts w:hint="eastAsia"/>
        </w:rPr>
        <w:t>1</w:t>
      </w:r>
      <w:r>
        <w:t>1</w:t>
      </w:r>
      <w:r>
        <w:rPr>
          <w:rFonts w:hint="eastAsia"/>
        </w:rPr>
        <w:t>月，</w:t>
      </w:r>
      <w:r w:rsidR="00100E6F">
        <w:rPr>
          <w:rFonts w:hint="eastAsia"/>
        </w:rPr>
        <w:t>编制组通过发函形式对《</w:t>
      </w:r>
      <w:bookmarkStart w:id="2" w:name="_Hlk73453514"/>
      <w:r w:rsidRPr="00C10228">
        <w:rPr>
          <w:rFonts w:hint="eastAsia"/>
          <w:szCs w:val="18"/>
        </w:rPr>
        <w:t>烧结钕铁硼磁体晶界扩散用稀土</w:t>
      </w:r>
      <w:bookmarkEnd w:id="2"/>
      <w:r>
        <w:rPr>
          <w:rFonts w:hint="eastAsia"/>
          <w:szCs w:val="18"/>
        </w:rPr>
        <w:t>氟化铽、氟化镝</w:t>
      </w:r>
      <w:r w:rsidR="00100E6F">
        <w:rPr>
          <w:rFonts w:hint="eastAsia"/>
        </w:rPr>
        <w:t>）征询意见。</w:t>
      </w:r>
      <w:r>
        <w:rPr>
          <w:rFonts w:hint="eastAsia"/>
        </w:rPr>
        <w:t>本标准发送</w:t>
      </w:r>
      <w:r>
        <w:rPr>
          <w:rFonts w:ascii="宋体" w:hAnsi="宋体" w:hint="eastAsia"/>
        </w:rPr>
        <w:t>《征求意见稿》的单</w:t>
      </w:r>
      <w:r w:rsidRPr="00BD7B69">
        <w:rPr>
          <w:rFonts w:hint="eastAsia"/>
        </w:rPr>
        <w:t>位数</w:t>
      </w:r>
      <w:r w:rsidRPr="00BD7B69">
        <w:rPr>
          <w:rFonts w:hint="eastAsia"/>
        </w:rPr>
        <w:t>25</w:t>
      </w:r>
      <w:r w:rsidRPr="00BD7B69">
        <w:rPr>
          <w:rFonts w:hint="eastAsia"/>
        </w:rPr>
        <w:t>个，回函的单位数</w:t>
      </w:r>
      <w:r w:rsidRPr="00BD7B69">
        <w:rPr>
          <w:rFonts w:hint="eastAsia"/>
        </w:rPr>
        <w:t>16</w:t>
      </w:r>
      <w:r w:rsidRPr="00BD7B69">
        <w:rPr>
          <w:rFonts w:hint="eastAsia"/>
        </w:rPr>
        <w:t>个，函并有建议或意见的单位数</w:t>
      </w:r>
      <w:r w:rsidRPr="00BD7B69">
        <w:rPr>
          <w:rFonts w:hint="eastAsia"/>
        </w:rPr>
        <w:t>8</w:t>
      </w:r>
      <w:r w:rsidRPr="00BD7B69">
        <w:rPr>
          <w:rFonts w:hint="eastAsia"/>
        </w:rPr>
        <w:t>个</w:t>
      </w:r>
      <w:r>
        <w:rPr>
          <w:rFonts w:hint="eastAsia"/>
        </w:rPr>
        <w:t>。</w:t>
      </w:r>
      <w:r w:rsidR="00100E6F">
        <w:rPr>
          <w:rFonts w:hint="eastAsia"/>
          <w:szCs w:val="21"/>
        </w:rPr>
        <w:t>专家提出意见主要如下：</w:t>
      </w:r>
    </w:p>
    <w:p w14:paraId="694A3EE7" w14:textId="59B995AC" w:rsidR="00BD7B69" w:rsidRDefault="00BD7B69" w:rsidP="00BD7B69">
      <w:pPr>
        <w:spacing w:line="312" w:lineRule="auto"/>
        <w:ind w:firstLine="420"/>
        <w:rPr>
          <w:szCs w:val="21"/>
        </w:rPr>
      </w:pPr>
      <w:r>
        <w:rPr>
          <w:rFonts w:hint="eastAsia"/>
          <w:szCs w:val="21"/>
        </w:rPr>
        <w:t>（</w:t>
      </w:r>
      <w:r>
        <w:rPr>
          <w:rFonts w:hint="eastAsia"/>
          <w:szCs w:val="21"/>
        </w:rPr>
        <w:t>1</w:t>
      </w:r>
      <w:r>
        <w:rPr>
          <w:rFonts w:hint="eastAsia"/>
          <w:szCs w:val="21"/>
        </w:rPr>
        <w:t>）</w:t>
      </w:r>
      <w:r w:rsidRPr="00BD7B69">
        <w:rPr>
          <w:rFonts w:hint="eastAsia"/>
          <w:szCs w:val="21"/>
        </w:rPr>
        <w:t>“烧结钕铁硼磁体晶界扩散用稀土氟化物”建议改为“烧结钕铁硼磁体晶界扩散用氟化镝、氟化铽”</w:t>
      </w:r>
      <w:r>
        <w:rPr>
          <w:rFonts w:hint="eastAsia"/>
          <w:szCs w:val="21"/>
        </w:rPr>
        <w:t>；</w:t>
      </w:r>
    </w:p>
    <w:p w14:paraId="3FAFDC00" w14:textId="102B67CD" w:rsidR="00BD7B69" w:rsidRPr="00BD7B69" w:rsidRDefault="00BD7B69" w:rsidP="00BD7B69">
      <w:pPr>
        <w:spacing w:line="312" w:lineRule="auto"/>
        <w:ind w:firstLine="420"/>
        <w:rPr>
          <w:szCs w:val="21"/>
        </w:rPr>
      </w:pPr>
      <w:r>
        <w:rPr>
          <w:rFonts w:hint="eastAsia"/>
          <w:szCs w:val="21"/>
        </w:rPr>
        <w:t>（</w:t>
      </w:r>
      <w:r>
        <w:rPr>
          <w:rFonts w:hint="eastAsia"/>
          <w:szCs w:val="21"/>
        </w:rPr>
        <w:t>2</w:t>
      </w:r>
      <w:r>
        <w:rPr>
          <w:rFonts w:hint="eastAsia"/>
          <w:szCs w:val="21"/>
        </w:rPr>
        <w:t>）</w:t>
      </w:r>
      <w:r w:rsidRPr="00BD7B69">
        <w:rPr>
          <w:rFonts w:hint="eastAsia"/>
          <w:szCs w:val="21"/>
        </w:rPr>
        <w:t>术语和定义中建议定义“晶界扩散”；</w:t>
      </w:r>
    </w:p>
    <w:p w14:paraId="6C39CEC7" w14:textId="656158A9" w:rsidR="00BD7B69" w:rsidRPr="00BD7B69" w:rsidRDefault="00BD7B69" w:rsidP="00BD7B69">
      <w:pPr>
        <w:spacing w:line="312" w:lineRule="auto"/>
        <w:ind w:firstLine="420"/>
        <w:rPr>
          <w:szCs w:val="21"/>
        </w:rPr>
      </w:pPr>
      <w:r w:rsidRPr="00BD7B69">
        <w:rPr>
          <w:rFonts w:hint="eastAsia"/>
          <w:szCs w:val="21"/>
        </w:rPr>
        <w:t>（</w:t>
      </w:r>
      <w:r w:rsidRPr="00BD7B69">
        <w:rPr>
          <w:rFonts w:hint="eastAsia"/>
          <w:szCs w:val="21"/>
        </w:rPr>
        <w:t>3</w:t>
      </w:r>
      <w:r w:rsidRPr="00BD7B69">
        <w:rPr>
          <w:rFonts w:hint="eastAsia"/>
          <w:szCs w:val="21"/>
        </w:rPr>
        <w:t>）产品按功能类别和产品名称分类更为合适</w:t>
      </w:r>
    </w:p>
    <w:p w14:paraId="62932588" w14:textId="6AEE4957" w:rsidR="00BD7B69" w:rsidRPr="00BD7B69" w:rsidRDefault="00BD7B69" w:rsidP="00BD7B69">
      <w:pPr>
        <w:spacing w:line="312" w:lineRule="auto"/>
        <w:ind w:firstLine="420"/>
        <w:rPr>
          <w:szCs w:val="21"/>
        </w:rPr>
      </w:pPr>
      <w:r w:rsidRPr="00BD7B69">
        <w:rPr>
          <w:rFonts w:hint="eastAsia"/>
          <w:szCs w:val="21"/>
        </w:rPr>
        <w:t>（</w:t>
      </w:r>
      <w:r w:rsidRPr="00BD7B69">
        <w:rPr>
          <w:rFonts w:hint="eastAsia"/>
          <w:szCs w:val="21"/>
        </w:rPr>
        <w:t>4</w:t>
      </w:r>
      <w:r w:rsidRPr="00BD7B69">
        <w:rPr>
          <w:rFonts w:hint="eastAsia"/>
          <w:szCs w:val="21"/>
        </w:rPr>
        <w:t>）建议在粒度左侧增加一列“物理性能”；</w:t>
      </w:r>
    </w:p>
    <w:p w14:paraId="528086B7" w14:textId="39A3083A" w:rsidR="00BD7B69" w:rsidRPr="00BD7B69" w:rsidRDefault="00BD7B69" w:rsidP="00BD7B69">
      <w:pPr>
        <w:spacing w:line="312" w:lineRule="auto"/>
        <w:ind w:firstLine="420"/>
        <w:rPr>
          <w:szCs w:val="21"/>
        </w:rPr>
      </w:pPr>
      <w:r w:rsidRPr="00BD7B69">
        <w:rPr>
          <w:rFonts w:hint="eastAsia"/>
          <w:szCs w:val="21"/>
        </w:rPr>
        <w:t>（</w:t>
      </w:r>
      <w:r w:rsidRPr="00BD7B69">
        <w:rPr>
          <w:rFonts w:hint="eastAsia"/>
          <w:szCs w:val="21"/>
        </w:rPr>
        <w:t>5</w:t>
      </w:r>
      <w:r w:rsidRPr="00BD7B69">
        <w:rPr>
          <w:rFonts w:hint="eastAsia"/>
          <w:szCs w:val="21"/>
        </w:rPr>
        <w:t>）建议合并描述表中“稀土</w:t>
      </w:r>
      <w:r w:rsidRPr="00BD7B69">
        <w:rPr>
          <w:szCs w:val="21"/>
        </w:rPr>
        <w:t>杂质含量不大于</w:t>
      </w:r>
      <w:r w:rsidRPr="00BD7B69">
        <w:rPr>
          <w:rFonts w:hint="eastAsia"/>
          <w:szCs w:val="21"/>
        </w:rPr>
        <w:t>”与“非稀土</w:t>
      </w:r>
      <w:r w:rsidRPr="00BD7B69">
        <w:rPr>
          <w:szCs w:val="21"/>
        </w:rPr>
        <w:t>杂质含量不大于</w:t>
      </w:r>
      <w:r w:rsidRPr="00BD7B69">
        <w:rPr>
          <w:rFonts w:hint="eastAsia"/>
          <w:szCs w:val="21"/>
        </w:rPr>
        <w:t>”顺序；</w:t>
      </w:r>
    </w:p>
    <w:p w14:paraId="3E7F6247" w14:textId="4CA57354" w:rsidR="00BD7B69" w:rsidRDefault="00BD7B69" w:rsidP="00BD7B69">
      <w:pPr>
        <w:spacing w:line="312" w:lineRule="auto"/>
        <w:ind w:firstLine="420"/>
        <w:rPr>
          <w:szCs w:val="21"/>
        </w:rPr>
      </w:pPr>
      <w:r w:rsidRPr="00BD7B69">
        <w:rPr>
          <w:rFonts w:hint="eastAsia"/>
          <w:szCs w:val="21"/>
        </w:rPr>
        <w:t>（</w:t>
      </w:r>
      <w:r w:rsidRPr="00BD7B69">
        <w:rPr>
          <w:rFonts w:hint="eastAsia"/>
          <w:szCs w:val="21"/>
        </w:rPr>
        <w:t>6</w:t>
      </w:r>
      <w:r w:rsidRPr="00BD7B69">
        <w:rPr>
          <w:rFonts w:hint="eastAsia"/>
          <w:szCs w:val="21"/>
        </w:rPr>
        <w:t>）修改</w:t>
      </w:r>
      <w:r w:rsidRPr="00BD7B69">
        <w:rPr>
          <w:szCs w:val="21"/>
        </w:rPr>
        <w:t>稀土总量</w:t>
      </w:r>
      <w:r w:rsidRPr="00BD7B69">
        <w:rPr>
          <w:rFonts w:hint="eastAsia"/>
          <w:szCs w:val="21"/>
        </w:rPr>
        <w:t>、</w:t>
      </w:r>
      <w:r w:rsidRPr="00BD7B69">
        <w:rPr>
          <w:szCs w:val="21"/>
        </w:rPr>
        <w:t>氟含量</w:t>
      </w:r>
      <w:r w:rsidRPr="00BD7B69">
        <w:rPr>
          <w:rFonts w:hint="eastAsia"/>
          <w:szCs w:val="21"/>
        </w:rPr>
        <w:t>和非稀土杂质含量的分析方法</w:t>
      </w:r>
      <w:r>
        <w:rPr>
          <w:rFonts w:hint="eastAsia"/>
          <w:szCs w:val="21"/>
        </w:rPr>
        <w:t>。</w:t>
      </w:r>
    </w:p>
    <w:p w14:paraId="5C094B70" w14:textId="03FE1AEA" w:rsidR="009507EE" w:rsidRDefault="00100E6F">
      <w:pPr>
        <w:spacing w:line="312" w:lineRule="auto"/>
        <w:ind w:firstLine="420"/>
      </w:pPr>
      <w:r>
        <w:rPr>
          <w:rFonts w:hint="eastAsia"/>
        </w:rPr>
        <w:t>征求意见范围广泛且具代表性，编制组根据征求到</w:t>
      </w:r>
      <w:r>
        <w:t>的专家</w:t>
      </w:r>
      <w:r>
        <w:rPr>
          <w:rFonts w:hint="eastAsia"/>
        </w:rPr>
        <w:t>意见对《征求意见稿》进行修改完善，于</w:t>
      </w:r>
      <w:r>
        <w:rPr>
          <w:rFonts w:hint="eastAsia"/>
        </w:rPr>
        <w:t>20</w:t>
      </w:r>
      <w:r>
        <w:t>2</w:t>
      </w:r>
      <w:r w:rsidR="00F85004">
        <w:t>1</w:t>
      </w:r>
      <w:r>
        <w:rPr>
          <w:rFonts w:hint="eastAsia"/>
        </w:rPr>
        <w:t>年</w:t>
      </w:r>
      <w:r w:rsidR="00F85004">
        <w:t>3</w:t>
      </w:r>
      <w:r>
        <w:rPr>
          <w:rFonts w:hint="eastAsia"/>
        </w:rPr>
        <w:t>月形成了《</w:t>
      </w:r>
      <w:r w:rsidR="00F85004" w:rsidRPr="00C10228">
        <w:rPr>
          <w:rFonts w:hint="eastAsia"/>
          <w:szCs w:val="18"/>
        </w:rPr>
        <w:t>烧结钕铁硼磁体晶界扩散用稀土</w:t>
      </w:r>
      <w:r w:rsidR="00F85004">
        <w:rPr>
          <w:rFonts w:hint="eastAsia"/>
          <w:szCs w:val="18"/>
        </w:rPr>
        <w:t>氟化铽、氟化镝</w:t>
      </w:r>
      <w:r>
        <w:rPr>
          <w:rFonts w:hint="eastAsia"/>
        </w:rPr>
        <w:t>》（送审稿）。</w:t>
      </w:r>
    </w:p>
    <w:p w14:paraId="27FFB869"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二、标准编制原则</w:t>
      </w:r>
    </w:p>
    <w:p w14:paraId="2D778C8A" w14:textId="77777777" w:rsidR="009507EE" w:rsidRDefault="00100E6F">
      <w:pPr>
        <w:tabs>
          <w:tab w:val="center" w:pos="5086"/>
        </w:tabs>
        <w:spacing w:line="312" w:lineRule="auto"/>
        <w:ind w:firstLine="420"/>
      </w:pPr>
      <w:r>
        <w:rPr>
          <w:rFonts w:hint="eastAsia"/>
        </w:rPr>
        <w:t>本标准起草过程中遵循以下原则：</w:t>
      </w:r>
    </w:p>
    <w:p w14:paraId="5E57544F" w14:textId="77777777" w:rsidR="009507EE" w:rsidRDefault="00100E6F" w:rsidP="00FA2C47">
      <w:pPr>
        <w:tabs>
          <w:tab w:val="center" w:pos="5086"/>
        </w:tabs>
        <w:spacing w:line="312" w:lineRule="auto"/>
        <w:ind w:firstLine="420"/>
      </w:pPr>
      <w:r>
        <w:rPr>
          <w:rFonts w:hint="eastAsia"/>
        </w:rPr>
        <w:t>（一）规范性原则：</w:t>
      </w:r>
      <w:r>
        <w:t>本标准是根据</w:t>
      </w:r>
      <w:r>
        <w:t>GB/T</w:t>
      </w:r>
      <w:r>
        <w:rPr>
          <w:rFonts w:hint="eastAsia"/>
        </w:rPr>
        <w:t xml:space="preserve"> </w:t>
      </w:r>
      <w:r>
        <w:t>1.1-2020</w:t>
      </w:r>
      <w:r>
        <w:t>《标准化工作导则</w:t>
      </w:r>
      <w:r>
        <w:t xml:space="preserve"> </w:t>
      </w:r>
      <w:r>
        <w:t>第</w:t>
      </w:r>
      <w:r>
        <w:t>1</w:t>
      </w:r>
      <w:r>
        <w:t>部分</w:t>
      </w:r>
      <w:r>
        <w:t>:</w:t>
      </w:r>
      <w:r>
        <w:t>标准化文件的结构和起草规则》和</w:t>
      </w:r>
      <w:r>
        <w:t>GB/T</w:t>
      </w:r>
      <w:r>
        <w:rPr>
          <w:rFonts w:hint="eastAsia"/>
        </w:rPr>
        <w:t xml:space="preserve"> </w:t>
      </w:r>
      <w:r>
        <w:t>20001.4-20</w:t>
      </w:r>
      <w:r>
        <w:rPr>
          <w:rFonts w:hint="eastAsia"/>
        </w:rPr>
        <w:t>15</w:t>
      </w:r>
      <w:r>
        <w:t>《标准编写规则</w:t>
      </w:r>
      <w:r>
        <w:t xml:space="preserve"> </w:t>
      </w:r>
      <w:r>
        <w:t>第</w:t>
      </w:r>
      <w:r>
        <w:t>4</w:t>
      </w:r>
      <w:r>
        <w:t>部分：</w:t>
      </w:r>
      <w:r>
        <w:rPr>
          <w:rFonts w:hint="eastAsia"/>
        </w:rPr>
        <w:t>试验方法标准</w:t>
      </w:r>
      <w:r>
        <w:t>》的要求进行编写的</w:t>
      </w:r>
      <w:r>
        <w:rPr>
          <w:rFonts w:hint="eastAsia"/>
        </w:rPr>
        <w:t>；</w:t>
      </w:r>
    </w:p>
    <w:p w14:paraId="4D67542C" w14:textId="77777777" w:rsidR="00FA2C47" w:rsidRDefault="00100E6F" w:rsidP="00FA2C47">
      <w:pPr>
        <w:tabs>
          <w:tab w:val="center" w:pos="5086"/>
        </w:tabs>
        <w:spacing w:line="312" w:lineRule="auto"/>
        <w:ind w:firstLine="420"/>
      </w:pPr>
      <w:r>
        <w:rPr>
          <w:rFonts w:hint="eastAsia"/>
        </w:rPr>
        <w:t>（二）先进性：</w:t>
      </w:r>
      <w:r w:rsidR="00F85004" w:rsidRPr="00FA2C47">
        <w:rPr>
          <w:rFonts w:hint="eastAsia"/>
        </w:rPr>
        <w:t>根据目前烧结钕铁硼磁体晶界扩散用稀土氟化物生产及市场应用具体情况，并结合实际现状，力求做到标准的合理性、实用性</w:t>
      </w:r>
      <w:r>
        <w:t>，对国内</w:t>
      </w:r>
      <w:r>
        <w:rPr>
          <w:rFonts w:hint="eastAsia"/>
        </w:rPr>
        <w:t>稀土</w:t>
      </w:r>
      <w:r>
        <w:t>生产企业及相关行业的技术进步产生积极的促进作用。</w:t>
      </w:r>
    </w:p>
    <w:p w14:paraId="598B6D3A" w14:textId="0044E1FB" w:rsidR="009507EE" w:rsidRPr="00FA2C47" w:rsidRDefault="00100E6F" w:rsidP="00FA2C47">
      <w:pPr>
        <w:tabs>
          <w:tab w:val="center" w:pos="5086"/>
        </w:tabs>
        <w:spacing w:line="312" w:lineRule="auto"/>
        <w:ind w:firstLine="420"/>
      </w:pPr>
      <w:r>
        <w:rPr>
          <w:rFonts w:hint="eastAsia"/>
        </w:rPr>
        <w:t>（三）适用性：</w:t>
      </w:r>
      <w:r w:rsidR="00F85004" w:rsidRPr="00FA2C47">
        <w:rPr>
          <w:rFonts w:hint="eastAsia"/>
        </w:rPr>
        <w:t>为了使烧结钕铁硼磁体晶界扩散用稀土氟化物生产企业的生产得到规范，保证产品生产质量，</w:t>
      </w:r>
      <w:r w:rsidR="00FA2C47">
        <w:rPr>
          <w:rFonts w:hint="eastAsia"/>
        </w:rPr>
        <w:t>使</w:t>
      </w:r>
      <w:r w:rsidR="00F85004" w:rsidRPr="00FA2C47">
        <w:rPr>
          <w:rFonts w:hint="eastAsia"/>
        </w:rPr>
        <w:t>下游磁性材料企业对稀土氟化物技术指标有所借鉴，制订该项烧结钕铁硼磁体晶界扩散用稀土氟化物行业标准。本标准属于新制订行业标准，预期目标是研究制订出合理、实用、与时俱进的烧结钕铁硼磁体晶界扩散用稀土氟化物标准。本标准适用于</w:t>
      </w:r>
      <w:bookmarkStart w:id="3" w:name="_Hlk33190663"/>
      <w:r w:rsidR="00F85004" w:rsidRPr="00FA2C47">
        <w:rPr>
          <w:rFonts w:hint="eastAsia"/>
        </w:rPr>
        <w:t>采用氟化氢干法氟化制备的稀土氟化物主要应用</w:t>
      </w:r>
      <w:bookmarkEnd w:id="3"/>
      <w:r w:rsidR="00F85004" w:rsidRPr="00FA2C47">
        <w:rPr>
          <w:rFonts w:hint="eastAsia"/>
        </w:rPr>
        <w:t>烧结钕铁硼磁体晶界扩散，标准适应性强。</w:t>
      </w:r>
    </w:p>
    <w:p w14:paraId="54EA3D16" w14:textId="77777777" w:rsidR="009507EE" w:rsidRPr="00FA2C47" w:rsidRDefault="00100E6F" w:rsidP="00FA2C47">
      <w:pPr>
        <w:tabs>
          <w:tab w:val="center" w:pos="5086"/>
        </w:tabs>
        <w:spacing w:line="312" w:lineRule="auto"/>
        <w:ind w:firstLine="420"/>
      </w:pPr>
      <w:r>
        <w:rPr>
          <w:rFonts w:hint="eastAsia"/>
        </w:rPr>
        <w:t>（四）</w:t>
      </w:r>
      <w:r w:rsidRPr="00FA2C47">
        <w:t>充分考虑国家法律、安全、卫生、环保法规的要求。</w:t>
      </w:r>
    </w:p>
    <w:p w14:paraId="393647DD"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三、标准主要内容、确定依据及主要试验和验证情况分析</w:t>
      </w:r>
    </w:p>
    <w:p w14:paraId="726FBF13"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（一）标准的主要内容、确定的依据</w:t>
      </w:r>
    </w:p>
    <w:p w14:paraId="71BD9B1D" w14:textId="7304B500" w:rsidR="00D61C50" w:rsidRDefault="00D61C50" w:rsidP="00D61C50">
      <w:pPr>
        <w:spacing w:line="360" w:lineRule="auto"/>
        <w:ind w:firstLineChars="200" w:firstLine="420"/>
        <w:rPr>
          <w:szCs w:val="21"/>
        </w:rPr>
      </w:pPr>
      <w:r w:rsidRPr="004F5E10">
        <w:rPr>
          <w:rFonts w:hint="eastAsia"/>
          <w:szCs w:val="21"/>
        </w:rPr>
        <w:t>Tb/Dy</w:t>
      </w:r>
      <w:r w:rsidRPr="004F5E10">
        <w:rPr>
          <w:rFonts w:hint="eastAsia"/>
          <w:szCs w:val="21"/>
        </w:rPr>
        <w:t>等重稀土元素取代烧结钕铁硼主相晶粒内的</w:t>
      </w:r>
      <w:r w:rsidRPr="004F5E10">
        <w:rPr>
          <w:rFonts w:hint="eastAsia"/>
          <w:szCs w:val="21"/>
        </w:rPr>
        <w:t>Nd</w:t>
      </w:r>
      <w:r w:rsidRPr="004F5E10">
        <w:rPr>
          <w:rFonts w:hint="eastAsia"/>
          <w:szCs w:val="21"/>
        </w:rPr>
        <w:t>，将提高主相磁晶各向异性场，大幅增加磁体矫顽力。传统添加</w:t>
      </w:r>
      <w:r w:rsidRPr="004F5E10">
        <w:rPr>
          <w:rFonts w:hint="eastAsia"/>
          <w:szCs w:val="21"/>
        </w:rPr>
        <w:t>Dy/Tb</w:t>
      </w:r>
      <w:r w:rsidRPr="004F5E10">
        <w:rPr>
          <w:rFonts w:hint="eastAsia"/>
          <w:szCs w:val="21"/>
        </w:rPr>
        <w:t>的方法为在钕铁硼主相中加入，</w:t>
      </w:r>
      <w:r w:rsidRPr="004F5E10">
        <w:rPr>
          <w:rFonts w:hint="eastAsia"/>
          <w:szCs w:val="21"/>
        </w:rPr>
        <w:t>Dy/Tb</w:t>
      </w:r>
      <w:r>
        <w:rPr>
          <w:rFonts w:hint="eastAsia"/>
          <w:szCs w:val="21"/>
        </w:rPr>
        <w:t>元素</w:t>
      </w:r>
      <w:r w:rsidRPr="004F5E10">
        <w:rPr>
          <w:rFonts w:hint="eastAsia"/>
          <w:szCs w:val="21"/>
        </w:rPr>
        <w:t>添加量大且会造成剩磁及磁能积大幅下降。晶界扩散技术可以让重稀土只进入烧结磁体的晶界相，在保证剩磁不降低的情况下可大幅提高磁体矫顽力，同时在达到同样磁性能的情况下也有利于降低重稀土使用量。</w:t>
      </w:r>
      <w:r w:rsidR="004804B2">
        <w:rPr>
          <w:rFonts w:hint="eastAsia"/>
          <w:szCs w:val="21"/>
        </w:rPr>
        <w:t>稀土氟化物渗铽镝技术</w:t>
      </w:r>
      <w:r w:rsidRPr="004F5E10">
        <w:rPr>
          <w:rFonts w:hint="eastAsia"/>
          <w:szCs w:val="21"/>
        </w:rPr>
        <w:t>作为钕铁硼磁体晶界扩散的重要方法之一，重稀土氟化物表面涂覆法具有工艺简单</w:t>
      </w:r>
      <w:r>
        <w:rPr>
          <w:rFonts w:hint="eastAsia"/>
          <w:szCs w:val="21"/>
        </w:rPr>
        <w:t>、</w:t>
      </w:r>
      <w:r w:rsidRPr="004F5E10">
        <w:rPr>
          <w:rFonts w:hint="eastAsia"/>
          <w:szCs w:val="21"/>
        </w:rPr>
        <w:t>整体成本低等优势</w:t>
      </w:r>
      <w:r>
        <w:rPr>
          <w:rFonts w:hint="eastAsia"/>
          <w:szCs w:val="21"/>
        </w:rPr>
        <w:t>，成为</w:t>
      </w:r>
      <w:r w:rsidRPr="004F5E10">
        <w:rPr>
          <w:rFonts w:hint="eastAsia"/>
          <w:szCs w:val="21"/>
        </w:rPr>
        <w:t>近年来</w:t>
      </w:r>
      <w:r>
        <w:rPr>
          <w:rFonts w:hint="eastAsia"/>
          <w:szCs w:val="21"/>
        </w:rPr>
        <w:t>钕铁硼生产企业</w:t>
      </w:r>
      <w:r w:rsidRPr="004F5E10">
        <w:rPr>
          <w:rFonts w:hint="eastAsia"/>
          <w:szCs w:val="21"/>
        </w:rPr>
        <w:t>应用</w:t>
      </w:r>
      <w:r>
        <w:rPr>
          <w:rFonts w:hint="eastAsia"/>
          <w:szCs w:val="21"/>
        </w:rPr>
        <w:t>主流技术工艺。</w:t>
      </w:r>
    </w:p>
    <w:p w14:paraId="16A0BC09" w14:textId="2ADB1618" w:rsidR="006264DE" w:rsidRPr="006264DE" w:rsidRDefault="006264DE" w:rsidP="006264DE">
      <w:pPr>
        <w:spacing w:line="360" w:lineRule="auto"/>
        <w:ind w:firstLine="435"/>
        <w:rPr>
          <w:szCs w:val="21"/>
        </w:rPr>
      </w:pPr>
      <w:r>
        <w:rPr>
          <w:rFonts w:hint="eastAsia"/>
          <w:szCs w:val="21"/>
        </w:rPr>
        <w:lastRenderedPageBreak/>
        <w:t>随着国内外高性能钕铁硼永磁制产业化技术不断发展，对</w:t>
      </w:r>
      <w:r w:rsidRPr="008E0516">
        <w:rPr>
          <w:rFonts w:hint="eastAsia"/>
          <w:szCs w:val="21"/>
        </w:rPr>
        <w:t>晶界扩散用稀土</w:t>
      </w:r>
      <w:r>
        <w:rPr>
          <w:rFonts w:hint="eastAsia"/>
          <w:szCs w:val="21"/>
        </w:rPr>
        <w:t>氟化铽、氟化镝的要求也更加严苛。</w:t>
      </w:r>
      <w:r w:rsidRPr="004F5E10">
        <w:rPr>
          <w:rFonts w:hint="eastAsia"/>
          <w:szCs w:val="21"/>
        </w:rPr>
        <w:t>目前重稀土氟化物仅氟化镝具有行业标准，且现行氟化镝标准（</w:t>
      </w:r>
      <w:r w:rsidRPr="004F5E10">
        <w:rPr>
          <w:rFonts w:hint="eastAsia"/>
          <w:szCs w:val="21"/>
        </w:rPr>
        <w:t>XB/T 215-2015</w:t>
      </w:r>
      <w:r w:rsidRPr="004F5E10">
        <w:rPr>
          <w:rFonts w:hint="eastAsia"/>
          <w:szCs w:val="21"/>
        </w:rPr>
        <w:t>）仅适用于干法制得的用于制备金属镝、镝铁合金、冶金及特种钢等的氟化镝，产品指标主要针对冶炼行业制订，并未</w:t>
      </w:r>
      <w:r>
        <w:rPr>
          <w:rFonts w:hint="eastAsia"/>
          <w:szCs w:val="21"/>
        </w:rPr>
        <w:t>针对</w:t>
      </w:r>
      <w:r w:rsidRPr="008E0516">
        <w:rPr>
          <w:rFonts w:hint="eastAsia"/>
          <w:szCs w:val="21"/>
        </w:rPr>
        <w:t>晶界扩散用稀土</w:t>
      </w:r>
      <w:r>
        <w:rPr>
          <w:rFonts w:hint="eastAsia"/>
          <w:szCs w:val="21"/>
        </w:rPr>
        <w:t>氟化铽、氟化镝</w:t>
      </w:r>
      <w:r w:rsidRPr="004F5E10">
        <w:rPr>
          <w:rFonts w:hint="eastAsia"/>
          <w:szCs w:val="21"/>
        </w:rPr>
        <w:t>产品</w:t>
      </w:r>
      <w:r>
        <w:rPr>
          <w:rFonts w:hint="eastAsia"/>
          <w:szCs w:val="21"/>
        </w:rPr>
        <w:t>进行规定。通过调研</w:t>
      </w:r>
      <w:r w:rsidRPr="006264DE">
        <w:rPr>
          <w:rFonts w:hint="eastAsia"/>
          <w:szCs w:val="21"/>
        </w:rPr>
        <w:t>包头天和磁材</w:t>
      </w:r>
      <w:r>
        <w:rPr>
          <w:rFonts w:hint="eastAsia"/>
          <w:szCs w:val="21"/>
        </w:rPr>
        <w:t>、</w:t>
      </w:r>
      <w:r w:rsidRPr="006264DE">
        <w:rPr>
          <w:rFonts w:hint="eastAsia"/>
          <w:szCs w:val="21"/>
        </w:rPr>
        <w:t>中科三环</w:t>
      </w:r>
      <w:r>
        <w:rPr>
          <w:rFonts w:hint="eastAsia"/>
          <w:szCs w:val="21"/>
        </w:rPr>
        <w:t>、</w:t>
      </w:r>
      <w:r w:rsidRPr="006264DE">
        <w:rPr>
          <w:rFonts w:hint="eastAsia"/>
          <w:szCs w:val="21"/>
        </w:rPr>
        <w:t>宁波韵升</w:t>
      </w:r>
      <w:r>
        <w:rPr>
          <w:rFonts w:hint="eastAsia"/>
          <w:szCs w:val="21"/>
        </w:rPr>
        <w:t>等高性能钕铁硼生产企业，主要是对</w:t>
      </w:r>
      <w:r w:rsidRPr="008E0516">
        <w:rPr>
          <w:rFonts w:hint="eastAsia"/>
          <w:szCs w:val="21"/>
        </w:rPr>
        <w:t>晶界扩散用稀土</w:t>
      </w:r>
      <w:r>
        <w:rPr>
          <w:rFonts w:hint="eastAsia"/>
          <w:szCs w:val="21"/>
        </w:rPr>
        <w:t>氟化铽、氟化镝产品</w:t>
      </w:r>
      <w:r w:rsidRPr="004F5E10">
        <w:rPr>
          <w:rFonts w:hint="eastAsia"/>
          <w:szCs w:val="21"/>
        </w:rPr>
        <w:t>在粒度和对磁性能影响较大的杂质含量等方面的要求</w:t>
      </w:r>
      <w:r>
        <w:rPr>
          <w:rFonts w:hint="eastAsia"/>
          <w:szCs w:val="21"/>
        </w:rPr>
        <w:t>。</w:t>
      </w:r>
      <w:r w:rsidRPr="004F5E10">
        <w:rPr>
          <w:rFonts w:hint="eastAsia"/>
          <w:szCs w:val="21"/>
        </w:rPr>
        <w:t>烧结钕铁硼晶界扩散用重稀土氟化物要求粒度较小且均匀，以保证表面涂覆的均匀性，同时对敏感杂质元素有着更为严苛的要求。</w:t>
      </w:r>
    </w:p>
    <w:p w14:paraId="6C503469" w14:textId="20F85410" w:rsidR="00D61C50" w:rsidRPr="0044111D" w:rsidRDefault="00D61C50" w:rsidP="00D61C50">
      <w:pPr>
        <w:spacing w:line="360" w:lineRule="auto"/>
        <w:ind w:firstLineChars="200" w:firstLine="420"/>
        <w:rPr>
          <w:szCs w:val="21"/>
        </w:rPr>
      </w:pPr>
      <w:r w:rsidRPr="00C252BE">
        <w:rPr>
          <w:rFonts w:hint="eastAsia"/>
          <w:szCs w:val="21"/>
        </w:rPr>
        <w:t>本</w:t>
      </w:r>
      <w:r>
        <w:rPr>
          <w:rFonts w:hint="eastAsia"/>
          <w:szCs w:val="21"/>
        </w:rPr>
        <w:t>文件</w:t>
      </w:r>
      <w:r w:rsidRPr="00C252BE">
        <w:rPr>
          <w:rFonts w:hint="eastAsia"/>
          <w:szCs w:val="21"/>
        </w:rPr>
        <w:t>拟建立</w:t>
      </w:r>
      <w:r w:rsidRPr="008E0516">
        <w:rPr>
          <w:rFonts w:hint="eastAsia"/>
          <w:szCs w:val="21"/>
        </w:rPr>
        <w:t>烧结钕铁硼磁体晶界扩散用稀土</w:t>
      </w:r>
      <w:r>
        <w:rPr>
          <w:rFonts w:hint="eastAsia"/>
          <w:szCs w:val="21"/>
        </w:rPr>
        <w:t>氟化铽、氟化镝</w:t>
      </w:r>
      <w:r w:rsidRPr="00C252BE">
        <w:rPr>
          <w:rFonts w:hint="eastAsia"/>
          <w:szCs w:val="21"/>
        </w:rPr>
        <w:t>的</w:t>
      </w:r>
      <w:r>
        <w:rPr>
          <w:rFonts w:hint="eastAsia"/>
          <w:szCs w:val="21"/>
        </w:rPr>
        <w:t>行业</w:t>
      </w:r>
      <w:r w:rsidRPr="00C252BE">
        <w:rPr>
          <w:rFonts w:hint="eastAsia"/>
          <w:szCs w:val="21"/>
        </w:rPr>
        <w:t>标准，主要</w:t>
      </w:r>
      <w:r w:rsidRPr="008E0516">
        <w:rPr>
          <w:rFonts w:hint="eastAsia"/>
          <w:szCs w:val="21"/>
        </w:rPr>
        <w:t>规定了烧结钕铁硼磁体晶界扩散用稀土</w:t>
      </w:r>
      <w:r>
        <w:rPr>
          <w:rFonts w:hint="eastAsia"/>
          <w:szCs w:val="21"/>
        </w:rPr>
        <w:t>氟化物的化学成分、粒度等产品指标，</w:t>
      </w:r>
      <w:r w:rsidRPr="00C252BE">
        <w:rPr>
          <w:rFonts w:hint="eastAsia"/>
          <w:szCs w:val="21"/>
        </w:rPr>
        <w:t>另外还对</w:t>
      </w:r>
      <w:r w:rsidRPr="009D6828">
        <w:rPr>
          <w:rFonts w:hint="eastAsia"/>
          <w:szCs w:val="21"/>
        </w:rPr>
        <w:t>烧结钕铁硼磁体晶界扩散用稀土氟化物</w:t>
      </w:r>
      <w:r w:rsidRPr="00C252BE">
        <w:rPr>
          <w:rFonts w:hint="eastAsia"/>
          <w:szCs w:val="21"/>
        </w:rPr>
        <w:t>的</w:t>
      </w:r>
      <w:r w:rsidRPr="008E0516">
        <w:rPr>
          <w:rFonts w:hint="eastAsia"/>
          <w:szCs w:val="21"/>
        </w:rPr>
        <w:t>试验方法、检验规则、标志、包装、运输、贮存及质量证明书</w:t>
      </w:r>
      <w:r w:rsidRPr="00C252BE">
        <w:rPr>
          <w:rFonts w:hint="eastAsia"/>
          <w:szCs w:val="21"/>
        </w:rPr>
        <w:t>等方面进行规范</w:t>
      </w:r>
      <w:r w:rsidRPr="008E0516">
        <w:rPr>
          <w:rFonts w:hint="eastAsia"/>
          <w:szCs w:val="21"/>
        </w:rPr>
        <w:t>。</w:t>
      </w:r>
      <w:r>
        <w:rPr>
          <w:rFonts w:hint="eastAsia"/>
          <w:szCs w:val="21"/>
        </w:rPr>
        <w:t>本文件</w:t>
      </w:r>
      <w:r w:rsidRPr="007B1ED1">
        <w:rPr>
          <w:rFonts w:hint="eastAsia"/>
        </w:rPr>
        <w:t>适用于采用氟化氢干法氟化制备的烧结钕铁硼磁体晶界扩散用氟化铽、氟化镝</w:t>
      </w:r>
      <w:r>
        <w:rPr>
          <w:rFonts w:hint="eastAsia"/>
        </w:rPr>
        <w:t>。</w:t>
      </w:r>
    </w:p>
    <w:p w14:paraId="7CDBB6DA" w14:textId="0F76319D" w:rsidR="00D61C50" w:rsidRPr="00A6172F" w:rsidRDefault="006264DE">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（二）试验验证基础及调研基础</w:t>
      </w:r>
    </w:p>
    <w:p w14:paraId="479A1684" w14:textId="7CE3E3B7" w:rsidR="005B07F8" w:rsidRDefault="00FA2C47" w:rsidP="00FA2C47">
      <w:pPr>
        <w:spacing w:beforeLines="50" w:before="156" w:afterLines="50" w:after="156" w:line="312" w:lineRule="auto"/>
        <w:ind w:firstLineChars="200" w:firstLine="420"/>
      </w:pPr>
      <w:r w:rsidRPr="00FA2C47">
        <w:rPr>
          <w:rFonts w:hint="eastAsia"/>
          <w:szCs w:val="21"/>
        </w:rPr>
        <w:t>针对</w:t>
      </w:r>
      <w:r w:rsidRPr="004F5E10">
        <w:rPr>
          <w:rFonts w:hint="eastAsia"/>
          <w:szCs w:val="21"/>
        </w:rPr>
        <w:t>烧结钕铁硼晶界扩散用重稀土</w:t>
      </w:r>
      <w:r>
        <w:rPr>
          <w:rFonts w:hint="eastAsia"/>
          <w:szCs w:val="21"/>
        </w:rPr>
        <w:t>氟化镝、氟化铽对某些特定有害杂质元素、粒度等指标有具体的要求，标准制定牵头单位有研稀土新材料有限公司充分与</w:t>
      </w:r>
      <w:r w:rsidRPr="006264DE">
        <w:rPr>
          <w:rFonts w:hint="eastAsia"/>
          <w:szCs w:val="21"/>
        </w:rPr>
        <w:t>包头天和磁材</w:t>
      </w:r>
      <w:r>
        <w:rPr>
          <w:rFonts w:hint="eastAsia"/>
          <w:szCs w:val="21"/>
        </w:rPr>
        <w:t>、</w:t>
      </w:r>
      <w:r w:rsidRPr="006264DE">
        <w:rPr>
          <w:rFonts w:hint="eastAsia"/>
          <w:szCs w:val="21"/>
        </w:rPr>
        <w:t>中科三环</w:t>
      </w:r>
      <w:r>
        <w:rPr>
          <w:rFonts w:hint="eastAsia"/>
          <w:szCs w:val="21"/>
        </w:rPr>
        <w:t>、</w:t>
      </w:r>
      <w:r w:rsidRPr="006264DE">
        <w:rPr>
          <w:rFonts w:hint="eastAsia"/>
          <w:szCs w:val="21"/>
        </w:rPr>
        <w:t>宁波韵升</w:t>
      </w:r>
      <w:r>
        <w:rPr>
          <w:rFonts w:hint="eastAsia"/>
          <w:szCs w:val="21"/>
        </w:rPr>
        <w:t>等下游应用企业沟通，形成了</w:t>
      </w:r>
      <w:r w:rsidRPr="007B1ED1">
        <w:rPr>
          <w:rFonts w:hint="eastAsia"/>
        </w:rPr>
        <w:t>烧结钕铁硼磁体晶界扩散用氟化铽、氟化镝</w:t>
      </w:r>
      <w:r>
        <w:rPr>
          <w:rFonts w:hint="eastAsia"/>
        </w:rPr>
        <w:t>标准征求意见稿，并向涵盖</w:t>
      </w:r>
      <w:r w:rsidR="00550CA0" w:rsidRPr="00550CA0">
        <w:rPr>
          <w:rFonts w:hint="eastAsia"/>
        </w:rPr>
        <w:t>赣州晨光稀土新材料股份有限公司</w:t>
      </w:r>
      <w:r w:rsidR="00550CA0">
        <w:rPr>
          <w:rFonts w:hint="eastAsia"/>
        </w:rPr>
        <w:t>、</w:t>
      </w:r>
      <w:r w:rsidR="00550CA0" w:rsidRPr="00550CA0">
        <w:rPr>
          <w:rFonts w:hint="eastAsia"/>
        </w:rPr>
        <w:t>福建省长汀金龙稀土有限公司</w:t>
      </w:r>
      <w:r w:rsidR="00550CA0">
        <w:rPr>
          <w:rFonts w:hint="eastAsia"/>
        </w:rPr>
        <w:t>、</w:t>
      </w:r>
      <w:r w:rsidR="00550CA0" w:rsidRPr="00550CA0">
        <w:rPr>
          <w:rFonts w:hint="eastAsia"/>
        </w:rPr>
        <w:t>虔东稀土集团股份有限公司</w:t>
      </w:r>
      <w:r w:rsidR="00550CA0">
        <w:rPr>
          <w:rFonts w:hint="eastAsia"/>
        </w:rPr>
        <w:t>、</w:t>
      </w:r>
      <w:r w:rsidR="00550CA0" w:rsidRPr="00550CA0">
        <w:rPr>
          <w:rFonts w:hint="eastAsia"/>
        </w:rPr>
        <w:t>赣州科明高技术有限公司</w:t>
      </w:r>
      <w:r w:rsidR="00550CA0">
        <w:rPr>
          <w:rFonts w:hint="eastAsia"/>
        </w:rPr>
        <w:t>、</w:t>
      </w:r>
      <w:r w:rsidR="00550CA0" w:rsidRPr="00550CA0">
        <w:rPr>
          <w:rFonts w:hint="eastAsia"/>
        </w:rPr>
        <w:t>江西南方稀土高技术股份有限公司</w:t>
      </w:r>
      <w:r w:rsidR="00550CA0">
        <w:rPr>
          <w:rFonts w:hint="eastAsia"/>
        </w:rPr>
        <w:t>的生产企业和</w:t>
      </w:r>
      <w:r w:rsidR="00550CA0" w:rsidRPr="00550CA0">
        <w:rPr>
          <w:rFonts w:hint="eastAsia"/>
        </w:rPr>
        <w:t>宁波韵升股份有限公司</w:t>
      </w:r>
      <w:r w:rsidR="00550CA0">
        <w:rPr>
          <w:rFonts w:hint="eastAsia"/>
        </w:rPr>
        <w:t>、</w:t>
      </w:r>
      <w:r w:rsidR="00550CA0" w:rsidRPr="00550CA0">
        <w:rPr>
          <w:rFonts w:hint="eastAsia"/>
        </w:rPr>
        <w:t>钢铁研究总院</w:t>
      </w:r>
      <w:r w:rsidR="00550CA0">
        <w:rPr>
          <w:rFonts w:hint="eastAsia"/>
        </w:rPr>
        <w:t>、</w:t>
      </w:r>
      <w:r w:rsidR="00550CA0" w:rsidRPr="00550CA0">
        <w:rPr>
          <w:rFonts w:hint="eastAsia"/>
        </w:rPr>
        <w:t>包头天和磁材科技股份有限公司</w:t>
      </w:r>
      <w:r w:rsidR="00550CA0">
        <w:rPr>
          <w:rFonts w:hint="eastAsia"/>
        </w:rPr>
        <w:t>、</w:t>
      </w:r>
      <w:r w:rsidR="00550CA0" w:rsidRPr="00550CA0">
        <w:rPr>
          <w:rFonts w:hint="eastAsia"/>
        </w:rPr>
        <w:t>中科三环</w:t>
      </w:r>
      <w:r w:rsidR="00550CA0">
        <w:rPr>
          <w:rFonts w:hint="eastAsia"/>
        </w:rPr>
        <w:t>和</w:t>
      </w:r>
      <w:r w:rsidR="00550CA0" w:rsidRPr="00550CA0">
        <w:rPr>
          <w:rFonts w:hint="eastAsia"/>
        </w:rPr>
        <w:t>赣州富尔特</w:t>
      </w:r>
      <w:r w:rsidR="00550CA0">
        <w:rPr>
          <w:rFonts w:hint="eastAsia"/>
        </w:rPr>
        <w:t>等下游应用单位进行广泛征求意见，最终形成了如下技术指标：</w:t>
      </w:r>
    </w:p>
    <w:p w14:paraId="445A1BE4" w14:textId="7D5E9AD8" w:rsidR="00F85004" w:rsidRPr="00550CA0" w:rsidRDefault="00F85004" w:rsidP="00550CA0">
      <w:pPr>
        <w:spacing w:beforeLines="50" w:before="156" w:afterLines="50" w:after="156" w:line="312" w:lineRule="auto"/>
        <w:ind w:firstLineChars="200" w:firstLine="420"/>
        <w:rPr>
          <w:szCs w:val="21"/>
        </w:rPr>
      </w:pPr>
      <w:r w:rsidRPr="00550CA0">
        <w:rPr>
          <w:rFonts w:hint="eastAsia"/>
          <w:szCs w:val="21"/>
        </w:rPr>
        <w:t>1</w:t>
      </w:r>
      <w:r w:rsidRPr="00550CA0">
        <w:rPr>
          <w:rFonts w:hint="eastAsia"/>
          <w:szCs w:val="21"/>
        </w:rPr>
        <w:t>、理化性能</w:t>
      </w:r>
    </w:p>
    <w:p w14:paraId="2499037B" w14:textId="54473031" w:rsidR="00DD2E25" w:rsidRPr="00DD2E25" w:rsidRDefault="00FA1F8E" w:rsidP="00DD2E25">
      <w:pPr>
        <w:spacing w:line="360" w:lineRule="auto"/>
        <w:ind w:firstLine="435"/>
        <w:rPr>
          <w:szCs w:val="21"/>
        </w:rPr>
      </w:pPr>
      <w:r w:rsidRPr="00DD2E25">
        <w:rPr>
          <w:szCs w:val="21"/>
        </w:rPr>
        <w:t>烧结钕铁硼磁体晶界扩散用稀土氟化物主要为氟化镝、氟化铽。本标准对产品中</w:t>
      </w:r>
      <w:r w:rsidRPr="00DD2E25">
        <w:rPr>
          <w:szCs w:val="21"/>
        </w:rPr>
        <w:t>Fe</w:t>
      </w:r>
      <w:r w:rsidRPr="00DD2E25">
        <w:rPr>
          <w:szCs w:val="21"/>
        </w:rPr>
        <w:t>、</w:t>
      </w:r>
      <w:r w:rsidRPr="00DD2E25">
        <w:rPr>
          <w:szCs w:val="21"/>
        </w:rPr>
        <w:t>Si</w:t>
      </w:r>
      <w:r w:rsidRPr="00DD2E25">
        <w:rPr>
          <w:szCs w:val="21"/>
        </w:rPr>
        <w:t>、</w:t>
      </w:r>
      <w:r w:rsidRPr="00DD2E25">
        <w:rPr>
          <w:szCs w:val="21"/>
        </w:rPr>
        <w:t>Ca</w:t>
      </w:r>
      <w:r w:rsidRPr="00DD2E25">
        <w:rPr>
          <w:szCs w:val="21"/>
        </w:rPr>
        <w:t>、</w:t>
      </w:r>
      <w:r w:rsidRPr="00DD2E25">
        <w:rPr>
          <w:szCs w:val="21"/>
        </w:rPr>
        <w:t>Al</w:t>
      </w:r>
      <w:r w:rsidRPr="00DD2E25">
        <w:rPr>
          <w:szCs w:val="21"/>
        </w:rPr>
        <w:t>、</w:t>
      </w:r>
      <w:r w:rsidRPr="00DD2E25">
        <w:rPr>
          <w:szCs w:val="21"/>
        </w:rPr>
        <w:t>O</w:t>
      </w:r>
      <w:r w:rsidRPr="00DD2E25">
        <w:rPr>
          <w:szCs w:val="21"/>
        </w:rPr>
        <w:t>等非稀土杂质，</w:t>
      </w:r>
      <w:r w:rsidRPr="00DD2E25">
        <w:rPr>
          <w:szCs w:val="21"/>
        </w:rPr>
        <w:t>Gd</w:t>
      </w:r>
      <w:r w:rsidRPr="00DD2E25">
        <w:rPr>
          <w:szCs w:val="21"/>
        </w:rPr>
        <w:t>、</w:t>
      </w:r>
      <w:r w:rsidRPr="00DD2E25">
        <w:rPr>
          <w:szCs w:val="21"/>
        </w:rPr>
        <w:t>Ho</w:t>
      </w:r>
      <w:r w:rsidRPr="00DD2E25">
        <w:rPr>
          <w:szCs w:val="21"/>
        </w:rPr>
        <w:t>、</w:t>
      </w:r>
      <w:r w:rsidRPr="00DD2E25">
        <w:rPr>
          <w:szCs w:val="21"/>
        </w:rPr>
        <w:t>Er</w:t>
      </w:r>
      <w:r w:rsidRPr="00DD2E25">
        <w:rPr>
          <w:szCs w:val="21"/>
        </w:rPr>
        <w:t>、</w:t>
      </w:r>
      <w:r w:rsidRPr="00DD2E25">
        <w:rPr>
          <w:szCs w:val="21"/>
        </w:rPr>
        <w:t>Tm</w:t>
      </w:r>
      <w:r w:rsidRPr="00DD2E25">
        <w:rPr>
          <w:szCs w:val="21"/>
        </w:rPr>
        <w:t>、</w:t>
      </w:r>
      <w:r w:rsidRPr="00DD2E25">
        <w:rPr>
          <w:szCs w:val="21"/>
        </w:rPr>
        <w:t>Yb</w:t>
      </w:r>
      <w:r w:rsidRPr="00DD2E25">
        <w:rPr>
          <w:szCs w:val="21"/>
        </w:rPr>
        <w:t>、</w:t>
      </w:r>
      <w:r w:rsidRPr="00DD2E25">
        <w:rPr>
          <w:szCs w:val="21"/>
        </w:rPr>
        <w:t>Y</w:t>
      </w:r>
      <w:r w:rsidRPr="00DD2E25">
        <w:rPr>
          <w:szCs w:val="21"/>
        </w:rPr>
        <w:t>等稀土杂质，</w:t>
      </w:r>
      <w:r w:rsidRPr="00DD2E25">
        <w:rPr>
          <w:szCs w:val="21"/>
        </w:rPr>
        <w:t>F</w:t>
      </w:r>
      <w:r w:rsidRPr="00DD2E25">
        <w:rPr>
          <w:szCs w:val="21"/>
        </w:rPr>
        <w:t>含量和稀土总量进行了规定。</w:t>
      </w:r>
      <w:r w:rsidR="00DD2E25" w:rsidRPr="00DD2E25">
        <w:rPr>
          <w:szCs w:val="21"/>
        </w:rPr>
        <w:t>氟化物中稀土总量的测定按</w:t>
      </w:r>
      <w:r w:rsidR="00DD2E25" w:rsidRPr="00DD2E25">
        <w:rPr>
          <w:szCs w:val="21"/>
        </w:rPr>
        <w:t>GB/T 14635</w:t>
      </w:r>
      <w:r w:rsidR="00DD2E25" w:rsidRPr="00DD2E25">
        <w:rPr>
          <w:szCs w:val="21"/>
        </w:rPr>
        <w:t>的规定进行，</w:t>
      </w:r>
      <w:r w:rsidR="00DD2E25" w:rsidRPr="00DD2E25">
        <w:rPr>
          <w:szCs w:val="21"/>
        </w:rPr>
        <w:t xml:space="preserve"> </w:t>
      </w:r>
      <w:r w:rsidR="00DD2E25" w:rsidRPr="00DD2E25">
        <w:rPr>
          <w:szCs w:val="21"/>
        </w:rPr>
        <w:t>氟含量的测定按</w:t>
      </w:r>
      <w:r w:rsidR="00DD2E25" w:rsidRPr="00DD2E25">
        <w:rPr>
          <w:szCs w:val="21"/>
        </w:rPr>
        <w:t>XB/T 615</w:t>
      </w:r>
      <w:r w:rsidR="00DD2E25" w:rsidRPr="00DD2E25">
        <w:rPr>
          <w:szCs w:val="21"/>
        </w:rPr>
        <w:t>的规定进行，氟化铽、氟化镝中稀土杂质含量的测定除前处理部分外分别按</w:t>
      </w:r>
      <w:r w:rsidR="00DD2E25" w:rsidRPr="00DD2E25">
        <w:rPr>
          <w:szCs w:val="21"/>
        </w:rPr>
        <w:t>GB/T 18115.8</w:t>
      </w:r>
      <w:r w:rsidR="00DD2E25" w:rsidRPr="00DD2E25">
        <w:rPr>
          <w:szCs w:val="21"/>
        </w:rPr>
        <w:t>、</w:t>
      </w:r>
      <w:r w:rsidR="00DD2E25" w:rsidRPr="00DD2E25">
        <w:rPr>
          <w:szCs w:val="21"/>
        </w:rPr>
        <w:t>GB/T 18115.9</w:t>
      </w:r>
      <w:r w:rsidR="00DD2E25" w:rsidRPr="00DD2E25">
        <w:rPr>
          <w:szCs w:val="21"/>
        </w:rPr>
        <w:t>的规定进行，样品的前处理部分按附录</w:t>
      </w:r>
      <w:r w:rsidR="00DD2E25" w:rsidRPr="00DD2E25">
        <w:rPr>
          <w:szCs w:val="21"/>
        </w:rPr>
        <w:t>A</w:t>
      </w:r>
      <w:r w:rsidR="00DD2E25" w:rsidRPr="00DD2E25">
        <w:rPr>
          <w:szCs w:val="21"/>
        </w:rPr>
        <w:t>的规定进行，硅含量的测定按</w:t>
      </w:r>
      <w:r w:rsidR="00DD2E25" w:rsidRPr="00DD2E25">
        <w:rPr>
          <w:szCs w:val="21"/>
        </w:rPr>
        <w:t>GB/T 12690.7</w:t>
      </w:r>
      <w:r w:rsidR="00DD2E25" w:rsidRPr="00DD2E25">
        <w:rPr>
          <w:szCs w:val="21"/>
        </w:rPr>
        <w:t>的规定进行，铁、铝、镍含量的测定除前处理部分外按</w:t>
      </w:r>
      <w:r w:rsidR="00DD2E25" w:rsidRPr="00DD2E25">
        <w:rPr>
          <w:szCs w:val="21"/>
        </w:rPr>
        <w:t>GB/T 12690.5</w:t>
      </w:r>
      <w:r w:rsidR="00DD2E25" w:rsidRPr="00DD2E25">
        <w:rPr>
          <w:szCs w:val="21"/>
        </w:rPr>
        <w:t>的规定进行，样品的前处理部分按附录</w:t>
      </w:r>
      <w:r w:rsidR="00DD2E25" w:rsidRPr="00DD2E25">
        <w:rPr>
          <w:szCs w:val="21"/>
        </w:rPr>
        <w:t>B</w:t>
      </w:r>
      <w:r w:rsidR="00DD2E25" w:rsidRPr="00DD2E25">
        <w:rPr>
          <w:szCs w:val="21"/>
        </w:rPr>
        <w:t>的规定进行，钙含量的测定除前处理部分外按</w:t>
      </w:r>
      <w:r w:rsidR="00DD2E25" w:rsidRPr="00DD2E25">
        <w:rPr>
          <w:szCs w:val="21"/>
        </w:rPr>
        <w:t>GB/T 12690.15</w:t>
      </w:r>
      <w:r w:rsidR="00DD2E25" w:rsidRPr="00DD2E25">
        <w:rPr>
          <w:szCs w:val="21"/>
        </w:rPr>
        <w:t>的规定进行，样品的前处理部分按附录</w:t>
      </w:r>
      <w:r w:rsidR="00DD2E25" w:rsidRPr="00DD2E25">
        <w:rPr>
          <w:szCs w:val="21"/>
        </w:rPr>
        <w:t>C</w:t>
      </w:r>
      <w:r w:rsidR="00DD2E25" w:rsidRPr="00DD2E25">
        <w:rPr>
          <w:szCs w:val="21"/>
        </w:rPr>
        <w:t>的规定进行，水分量的测定按</w:t>
      </w:r>
      <w:r w:rsidR="00DD2E25" w:rsidRPr="00DD2E25">
        <w:rPr>
          <w:szCs w:val="21"/>
        </w:rPr>
        <w:t>GB/T 12690.3</w:t>
      </w:r>
      <w:r w:rsidR="00DD2E25" w:rsidRPr="00DD2E25">
        <w:rPr>
          <w:szCs w:val="21"/>
        </w:rPr>
        <w:t>的规定进行。</w:t>
      </w:r>
    </w:p>
    <w:p w14:paraId="4A109C2B" w14:textId="169E06DD" w:rsidR="00DD2E25" w:rsidRPr="00DD2E25" w:rsidRDefault="00DD2E25" w:rsidP="00DD2E25">
      <w:pPr>
        <w:spacing w:line="360" w:lineRule="auto"/>
        <w:ind w:firstLine="435"/>
        <w:rPr>
          <w:szCs w:val="21"/>
        </w:rPr>
      </w:pPr>
      <w:r w:rsidRPr="00DD2E25">
        <w:rPr>
          <w:szCs w:val="21"/>
        </w:rPr>
        <w:t>本标准对氟化铽、氟化镝产品粒度进行了规定，分析方法按</w:t>
      </w:r>
      <w:r w:rsidRPr="00DD2E25">
        <w:rPr>
          <w:szCs w:val="21"/>
        </w:rPr>
        <w:t xml:space="preserve">GB/T 20170.1 </w:t>
      </w:r>
      <w:r w:rsidRPr="00DD2E25">
        <w:rPr>
          <w:szCs w:val="21"/>
        </w:rPr>
        <w:t>的规定进行。其中，</w:t>
      </w:r>
      <w:r w:rsidRPr="00DD2E25">
        <w:rPr>
          <w:rFonts w:eastAsiaTheme="minorEastAsia"/>
          <w:szCs w:val="21"/>
        </w:rPr>
        <w:t>粒度</w:t>
      </w:r>
      <w:r w:rsidRPr="00DD2E25">
        <w:rPr>
          <w:rFonts w:eastAsiaTheme="minorEastAsia"/>
          <w:color w:val="000000"/>
          <w:szCs w:val="21"/>
        </w:rPr>
        <w:t>D50≤6</w:t>
      </w:r>
      <w:r w:rsidRPr="00DD2E25">
        <w:rPr>
          <w:rFonts w:eastAsiaTheme="minorEastAsia"/>
          <w:szCs w:val="21"/>
        </w:rPr>
        <w:t>μm</w:t>
      </w:r>
      <w:r w:rsidRPr="00DD2E25">
        <w:rPr>
          <w:rFonts w:eastAsiaTheme="minorEastAsia"/>
          <w:szCs w:val="21"/>
        </w:rPr>
        <w:t>、</w:t>
      </w:r>
      <w:r w:rsidRPr="00DD2E25">
        <w:rPr>
          <w:rFonts w:eastAsiaTheme="minorEastAsia"/>
          <w:color w:val="000000"/>
          <w:szCs w:val="21"/>
        </w:rPr>
        <w:t>D</w:t>
      </w:r>
      <w:r w:rsidRPr="00DD2E25">
        <w:rPr>
          <w:rFonts w:eastAsiaTheme="minorEastAsia"/>
          <w:color w:val="000000"/>
          <w:szCs w:val="21"/>
          <w:vertAlign w:val="subscript"/>
        </w:rPr>
        <w:t>90</w:t>
      </w:r>
      <w:r w:rsidRPr="00DD2E25">
        <w:rPr>
          <w:rFonts w:eastAsiaTheme="minorEastAsia"/>
          <w:color w:val="000000"/>
          <w:szCs w:val="21"/>
        </w:rPr>
        <w:t>≤12</w:t>
      </w:r>
      <w:r w:rsidRPr="00DD2E25">
        <w:rPr>
          <w:rFonts w:eastAsiaTheme="minorEastAsia"/>
          <w:szCs w:val="21"/>
        </w:rPr>
        <w:t>μm</w:t>
      </w:r>
      <w:r w:rsidRPr="00DD2E25">
        <w:rPr>
          <w:rFonts w:eastAsiaTheme="minorEastAsia"/>
          <w:szCs w:val="21"/>
        </w:rPr>
        <w:t>、</w:t>
      </w:r>
      <w:r w:rsidRPr="00DD2E25">
        <w:rPr>
          <w:rFonts w:eastAsiaTheme="minorEastAsia"/>
          <w:color w:val="000000"/>
          <w:szCs w:val="21"/>
        </w:rPr>
        <w:t>D</w:t>
      </w:r>
      <w:r w:rsidRPr="00DD2E25">
        <w:rPr>
          <w:rFonts w:eastAsiaTheme="minorEastAsia"/>
          <w:color w:val="000000"/>
          <w:szCs w:val="21"/>
          <w:vertAlign w:val="subscript"/>
        </w:rPr>
        <w:t>99</w:t>
      </w:r>
      <w:r w:rsidRPr="00DD2E25">
        <w:rPr>
          <w:rFonts w:eastAsiaTheme="minorEastAsia"/>
          <w:color w:val="000000"/>
          <w:szCs w:val="21"/>
        </w:rPr>
        <w:t>≤15</w:t>
      </w:r>
      <w:r w:rsidRPr="00DD2E25">
        <w:rPr>
          <w:rFonts w:eastAsiaTheme="minorEastAsia"/>
          <w:szCs w:val="21"/>
        </w:rPr>
        <w:t>μm</w:t>
      </w:r>
      <w:r w:rsidRPr="00DD2E25">
        <w:rPr>
          <w:rFonts w:eastAsiaTheme="minorEastAsia"/>
          <w:szCs w:val="21"/>
        </w:rPr>
        <w:t>、</w:t>
      </w:r>
      <w:r w:rsidRPr="00DD2E25">
        <w:rPr>
          <w:rFonts w:eastAsiaTheme="minorEastAsia"/>
          <w:color w:val="000000"/>
          <w:szCs w:val="21"/>
        </w:rPr>
        <w:t>D</w:t>
      </w:r>
      <w:r w:rsidRPr="00DD2E25">
        <w:rPr>
          <w:rFonts w:eastAsiaTheme="minorEastAsia"/>
          <w:color w:val="000000"/>
          <w:szCs w:val="21"/>
          <w:vertAlign w:val="subscript"/>
        </w:rPr>
        <w:t>max</w:t>
      </w:r>
      <w:r w:rsidRPr="00DD2E25">
        <w:rPr>
          <w:rFonts w:eastAsiaTheme="minorEastAsia"/>
          <w:color w:val="000000"/>
          <w:szCs w:val="21"/>
        </w:rPr>
        <w:t>≤30</w:t>
      </w:r>
      <w:r w:rsidRPr="00DD2E25">
        <w:rPr>
          <w:rFonts w:eastAsiaTheme="minorEastAsia"/>
          <w:szCs w:val="21"/>
        </w:rPr>
        <w:t>μm</w:t>
      </w:r>
      <w:r w:rsidRPr="00DD2E25">
        <w:rPr>
          <w:rFonts w:eastAsiaTheme="minorEastAsia"/>
          <w:szCs w:val="21"/>
        </w:rPr>
        <w:t>。</w:t>
      </w:r>
    </w:p>
    <w:p w14:paraId="4FF54A9D" w14:textId="77777777" w:rsidR="00A6172F" w:rsidRDefault="00A6172F" w:rsidP="00DD2E25">
      <w:pPr>
        <w:spacing w:line="360" w:lineRule="auto"/>
        <w:ind w:firstLine="435"/>
        <w:jc w:val="center"/>
      </w:pPr>
    </w:p>
    <w:p w14:paraId="4F84AFF2" w14:textId="77777777" w:rsidR="00A6172F" w:rsidRDefault="00A6172F" w:rsidP="00DD2E25">
      <w:pPr>
        <w:spacing w:line="360" w:lineRule="auto"/>
        <w:ind w:firstLine="435"/>
        <w:jc w:val="center"/>
      </w:pPr>
    </w:p>
    <w:p w14:paraId="31477C45" w14:textId="424AED76" w:rsidR="00F85004" w:rsidRPr="00550CA0" w:rsidRDefault="00F85004" w:rsidP="00DD2E25">
      <w:pPr>
        <w:spacing w:line="360" w:lineRule="auto"/>
        <w:ind w:firstLine="435"/>
        <w:jc w:val="center"/>
      </w:pPr>
      <w:r w:rsidRPr="00550CA0">
        <w:rPr>
          <w:rFonts w:hint="eastAsia"/>
        </w:rPr>
        <w:lastRenderedPageBreak/>
        <w:t>表</w:t>
      </w:r>
      <w:r w:rsidRPr="00550CA0">
        <w:t>1</w:t>
      </w:r>
      <w:r w:rsidRPr="00550CA0">
        <w:rPr>
          <w:rFonts w:hint="eastAsia"/>
        </w:rPr>
        <w:t xml:space="preserve"> </w:t>
      </w:r>
      <w:r w:rsidRPr="00550CA0">
        <w:rPr>
          <w:rFonts w:hint="eastAsia"/>
        </w:rPr>
        <w:t>产品的理化性能</w:t>
      </w:r>
    </w:p>
    <w:tbl>
      <w:tblPr>
        <w:tblW w:w="91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260"/>
        <w:gridCol w:w="1689"/>
        <w:gridCol w:w="2444"/>
        <w:gridCol w:w="1898"/>
        <w:gridCol w:w="1899"/>
      </w:tblGrid>
      <w:tr w:rsidR="00D12858" w:rsidRPr="00FE4F1E" w14:paraId="672D097E" w14:textId="77777777" w:rsidTr="00DD2E25">
        <w:trPr>
          <w:trHeight w:val="20"/>
          <w:jc w:val="center"/>
        </w:trPr>
        <w:tc>
          <w:tcPr>
            <w:tcW w:w="5393" w:type="dxa"/>
            <w:gridSpan w:val="3"/>
            <w:tcBorders>
              <w:top w:val="single" w:sz="12" w:space="0" w:color="auto"/>
              <w:left w:val="single" w:sz="12" w:space="0" w:color="auto"/>
              <w:bottom w:val="single" w:sz="12" w:space="0" w:color="auto"/>
              <w:right w:val="single" w:sz="4" w:space="0" w:color="auto"/>
            </w:tcBorders>
            <w:vAlign w:val="center"/>
          </w:tcPr>
          <w:p w14:paraId="10679869"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hint="eastAsia"/>
                <w:szCs w:val="21"/>
              </w:rPr>
              <w:t>产品牌号</w:t>
            </w:r>
          </w:p>
        </w:tc>
        <w:tc>
          <w:tcPr>
            <w:tcW w:w="1898" w:type="dxa"/>
            <w:tcBorders>
              <w:top w:val="single" w:sz="12" w:space="0" w:color="auto"/>
              <w:left w:val="single" w:sz="4" w:space="0" w:color="auto"/>
              <w:bottom w:val="single" w:sz="12" w:space="0" w:color="auto"/>
              <w:right w:val="single" w:sz="4" w:space="0" w:color="auto"/>
            </w:tcBorders>
            <w:vAlign w:val="center"/>
          </w:tcPr>
          <w:p w14:paraId="714EB435"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TbF</w:t>
            </w:r>
            <w:r w:rsidRPr="005B07F8">
              <w:rPr>
                <w:rFonts w:asciiTheme="minorEastAsia" w:eastAsiaTheme="minorEastAsia" w:hAnsiTheme="minorEastAsia"/>
                <w:szCs w:val="21"/>
                <w:vertAlign w:val="subscript"/>
              </w:rPr>
              <w:t>3</w:t>
            </w:r>
            <w:r w:rsidRPr="005B07F8">
              <w:rPr>
                <w:rFonts w:asciiTheme="minorEastAsia" w:eastAsiaTheme="minorEastAsia" w:hAnsiTheme="minorEastAsia"/>
                <w:szCs w:val="21"/>
              </w:rPr>
              <w:t xml:space="preserve"> - G</w:t>
            </w:r>
          </w:p>
        </w:tc>
        <w:tc>
          <w:tcPr>
            <w:tcW w:w="1898" w:type="dxa"/>
            <w:tcBorders>
              <w:top w:val="single" w:sz="12" w:space="0" w:color="auto"/>
              <w:left w:val="single" w:sz="4" w:space="0" w:color="auto"/>
              <w:bottom w:val="single" w:sz="12" w:space="0" w:color="auto"/>
              <w:right w:val="single" w:sz="12" w:space="0" w:color="auto"/>
            </w:tcBorders>
            <w:vAlign w:val="center"/>
          </w:tcPr>
          <w:p w14:paraId="73643AB4" w14:textId="77777777" w:rsidR="00D12858" w:rsidRPr="005B07F8" w:rsidRDefault="00D12858" w:rsidP="0044111D">
            <w:pPr>
              <w:spacing w:line="480" w:lineRule="auto"/>
              <w:ind w:leftChars="-41" w:left="-86"/>
              <w:jc w:val="center"/>
              <w:rPr>
                <w:rFonts w:asciiTheme="minorEastAsia" w:eastAsiaTheme="minorEastAsia" w:hAnsiTheme="minorEastAsia"/>
                <w:szCs w:val="21"/>
              </w:rPr>
            </w:pPr>
            <w:r w:rsidRPr="005B07F8">
              <w:rPr>
                <w:rFonts w:asciiTheme="minorEastAsia" w:eastAsiaTheme="minorEastAsia" w:hAnsiTheme="minorEastAsia"/>
                <w:szCs w:val="21"/>
              </w:rPr>
              <w:t>DyF</w:t>
            </w:r>
            <w:r w:rsidRPr="005B07F8">
              <w:rPr>
                <w:rFonts w:asciiTheme="minorEastAsia" w:eastAsiaTheme="minorEastAsia" w:hAnsiTheme="minorEastAsia"/>
                <w:szCs w:val="21"/>
                <w:vertAlign w:val="subscript"/>
              </w:rPr>
              <w:t xml:space="preserve">3 </w:t>
            </w:r>
            <w:r w:rsidRPr="005B07F8">
              <w:rPr>
                <w:rFonts w:asciiTheme="minorEastAsia" w:eastAsiaTheme="minorEastAsia" w:hAnsiTheme="minorEastAsia"/>
                <w:szCs w:val="21"/>
              </w:rPr>
              <w:t>- G</w:t>
            </w:r>
          </w:p>
        </w:tc>
      </w:tr>
      <w:tr w:rsidR="00D12858" w:rsidRPr="00FE4F1E" w14:paraId="0B54D6B7" w14:textId="77777777" w:rsidTr="00DD2E25">
        <w:trPr>
          <w:trHeight w:val="20"/>
          <w:jc w:val="center"/>
        </w:trPr>
        <w:tc>
          <w:tcPr>
            <w:tcW w:w="1260" w:type="dxa"/>
            <w:vMerge w:val="restart"/>
            <w:tcBorders>
              <w:top w:val="single" w:sz="12" w:space="0" w:color="auto"/>
              <w:left w:val="single" w:sz="12" w:space="0" w:color="auto"/>
              <w:right w:val="single" w:sz="4" w:space="0" w:color="auto"/>
            </w:tcBorders>
            <w:vAlign w:val="center"/>
          </w:tcPr>
          <w:p w14:paraId="45D21B96"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hint="eastAsia"/>
                <w:szCs w:val="21"/>
              </w:rPr>
              <w:t>物理性能</w:t>
            </w:r>
          </w:p>
        </w:tc>
        <w:tc>
          <w:tcPr>
            <w:tcW w:w="1689" w:type="dxa"/>
            <w:vMerge w:val="restart"/>
            <w:tcBorders>
              <w:top w:val="single" w:sz="12" w:space="0" w:color="auto"/>
              <w:left w:val="single" w:sz="4" w:space="0" w:color="auto"/>
            </w:tcBorders>
            <w:vAlign w:val="center"/>
          </w:tcPr>
          <w:p w14:paraId="28792A27"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hint="eastAsia"/>
                <w:szCs w:val="21"/>
              </w:rPr>
              <w:t>粒度分布</w:t>
            </w:r>
            <w:r w:rsidRPr="005B07F8">
              <w:rPr>
                <w:rFonts w:asciiTheme="minorEastAsia" w:eastAsiaTheme="minorEastAsia" w:hAnsiTheme="minorEastAsia"/>
                <w:szCs w:val="21"/>
              </w:rPr>
              <w:t>/</w:t>
            </w:r>
            <w:r w:rsidRPr="005B07F8">
              <w:rPr>
                <w:rFonts w:asciiTheme="minorEastAsia" w:eastAsiaTheme="minorEastAsia" w:hAnsiTheme="minorEastAsia" w:hint="eastAsia"/>
                <w:szCs w:val="21"/>
              </w:rPr>
              <w:t>μ</w:t>
            </w:r>
            <w:r w:rsidRPr="005B07F8">
              <w:rPr>
                <w:rFonts w:asciiTheme="minorEastAsia" w:eastAsiaTheme="minorEastAsia" w:hAnsiTheme="minorEastAsia"/>
                <w:szCs w:val="21"/>
              </w:rPr>
              <w:t>m</w:t>
            </w:r>
          </w:p>
        </w:tc>
        <w:tc>
          <w:tcPr>
            <w:tcW w:w="2443" w:type="dxa"/>
            <w:tcBorders>
              <w:top w:val="single" w:sz="12" w:space="0" w:color="auto"/>
            </w:tcBorders>
            <w:vAlign w:val="center"/>
          </w:tcPr>
          <w:p w14:paraId="4B52D9C8" w14:textId="77777777" w:rsidR="00D12858" w:rsidRPr="005B07F8" w:rsidRDefault="00D12858" w:rsidP="0044111D">
            <w:pPr>
              <w:jc w:val="center"/>
              <w:rPr>
                <w:rFonts w:asciiTheme="minorEastAsia" w:eastAsiaTheme="minorEastAsia" w:hAnsiTheme="minorEastAsia"/>
                <w:color w:val="000000"/>
                <w:szCs w:val="21"/>
              </w:rPr>
            </w:pPr>
            <w:r w:rsidRPr="005B07F8">
              <w:rPr>
                <w:rFonts w:asciiTheme="minorEastAsia" w:eastAsiaTheme="minorEastAsia" w:hAnsiTheme="minorEastAsia"/>
                <w:color w:val="000000"/>
                <w:szCs w:val="21"/>
              </w:rPr>
              <w:t>D50</w:t>
            </w:r>
            <w:r w:rsidRPr="005B07F8">
              <w:rPr>
                <w:rFonts w:asciiTheme="minorEastAsia" w:eastAsiaTheme="minorEastAsia" w:hAnsiTheme="minorEastAsia" w:hint="eastAsia"/>
                <w:color w:val="000000"/>
                <w:szCs w:val="21"/>
              </w:rPr>
              <w:t>，不大于</w:t>
            </w:r>
          </w:p>
        </w:tc>
        <w:tc>
          <w:tcPr>
            <w:tcW w:w="3797" w:type="dxa"/>
            <w:gridSpan w:val="2"/>
            <w:tcBorders>
              <w:top w:val="single" w:sz="12" w:space="0" w:color="auto"/>
              <w:right w:val="single" w:sz="12" w:space="0" w:color="auto"/>
            </w:tcBorders>
            <w:vAlign w:val="center"/>
          </w:tcPr>
          <w:p w14:paraId="4479AFAA" w14:textId="77777777" w:rsidR="00D12858" w:rsidRPr="005B07F8" w:rsidRDefault="00D12858" w:rsidP="0044111D">
            <w:pPr>
              <w:jc w:val="center"/>
              <w:rPr>
                <w:rFonts w:asciiTheme="minorEastAsia" w:eastAsiaTheme="minorEastAsia" w:hAnsiTheme="minorEastAsia"/>
                <w:color w:val="000000"/>
                <w:szCs w:val="21"/>
              </w:rPr>
            </w:pPr>
            <w:r w:rsidRPr="005B07F8">
              <w:rPr>
                <w:rFonts w:asciiTheme="minorEastAsia" w:eastAsiaTheme="minorEastAsia" w:hAnsiTheme="minorEastAsia"/>
                <w:color w:val="000000"/>
                <w:szCs w:val="21"/>
              </w:rPr>
              <w:t>6</w:t>
            </w:r>
          </w:p>
        </w:tc>
      </w:tr>
      <w:tr w:rsidR="00D12858" w:rsidRPr="00FE4F1E" w14:paraId="549C647C" w14:textId="77777777" w:rsidTr="00DD2E25">
        <w:trPr>
          <w:trHeight w:val="20"/>
          <w:jc w:val="center"/>
        </w:trPr>
        <w:tc>
          <w:tcPr>
            <w:tcW w:w="1260" w:type="dxa"/>
            <w:vMerge/>
            <w:tcBorders>
              <w:left w:val="single" w:sz="12" w:space="0" w:color="auto"/>
              <w:right w:val="single" w:sz="4" w:space="0" w:color="auto"/>
            </w:tcBorders>
          </w:tcPr>
          <w:p w14:paraId="50BDE8AC" w14:textId="77777777" w:rsidR="00D12858" w:rsidRPr="005B07F8" w:rsidRDefault="00D12858" w:rsidP="0044111D">
            <w:pPr>
              <w:jc w:val="center"/>
              <w:rPr>
                <w:rFonts w:asciiTheme="minorEastAsia" w:eastAsiaTheme="minorEastAsia" w:hAnsiTheme="minorEastAsia"/>
                <w:szCs w:val="21"/>
              </w:rPr>
            </w:pPr>
          </w:p>
        </w:tc>
        <w:tc>
          <w:tcPr>
            <w:tcW w:w="1689" w:type="dxa"/>
            <w:vMerge/>
            <w:tcBorders>
              <w:left w:val="single" w:sz="4" w:space="0" w:color="auto"/>
            </w:tcBorders>
            <w:vAlign w:val="center"/>
          </w:tcPr>
          <w:p w14:paraId="2093DF2F" w14:textId="77777777" w:rsidR="00D12858" w:rsidRPr="005B07F8" w:rsidRDefault="00D12858" w:rsidP="0044111D">
            <w:pPr>
              <w:jc w:val="center"/>
              <w:rPr>
                <w:rFonts w:asciiTheme="minorEastAsia" w:eastAsiaTheme="minorEastAsia" w:hAnsiTheme="minorEastAsia"/>
                <w:szCs w:val="21"/>
              </w:rPr>
            </w:pPr>
          </w:p>
        </w:tc>
        <w:tc>
          <w:tcPr>
            <w:tcW w:w="2443" w:type="dxa"/>
            <w:vAlign w:val="center"/>
          </w:tcPr>
          <w:p w14:paraId="63E5D99A" w14:textId="77777777" w:rsidR="00D12858" w:rsidRPr="005B07F8" w:rsidRDefault="00D12858" w:rsidP="0044111D">
            <w:pPr>
              <w:jc w:val="center"/>
              <w:rPr>
                <w:rFonts w:asciiTheme="minorEastAsia" w:eastAsiaTheme="minorEastAsia" w:hAnsiTheme="minorEastAsia"/>
                <w:color w:val="000000"/>
                <w:szCs w:val="21"/>
              </w:rPr>
            </w:pPr>
            <w:r w:rsidRPr="005B07F8">
              <w:rPr>
                <w:rFonts w:asciiTheme="minorEastAsia" w:eastAsiaTheme="minorEastAsia" w:hAnsiTheme="minorEastAsia"/>
                <w:color w:val="000000"/>
                <w:szCs w:val="21"/>
              </w:rPr>
              <w:t>D90</w:t>
            </w:r>
            <w:r w:rsidRPr="005B07F8">
              <w:rPr>
                <w:rFonts w:asciiTheme="minorEastAsia" w:eastAsiaTheme="minorEastAsia" w:hAnsiTheme="minorEastAsia" w:hint="eastAsia"/>
                <w:color w:val="000000"/>
                <w:szCs w:val="21"/>
              </w:rPr>
              <w:t>，不大于</w:t>
            </w:r>
          </w:p>
        </w:tc>
        <w:tc>
          <w:tcPr>
            <w:tcW w:w="3797" w:type="dxa"/>
            <w:gridSpan w:val="2"/>
            <w:tcBorders>
              <w:right w:val="single" w:sz="12" w:space="0" w:color="auto"/>
            </w:tcBorders>
            <w:vAlign w:val="center"/>
          </w:tcPr>
          <w:p w14:paraId="03D9C663" w14:textId="77777777" w:rsidR="00D12858" w:rsidRPr="005B07F8" w:rsidRDefault="00D12858" w:rsidP="0044111D">
            <w:pPr>
              <w:jc w:val="center"/>
              <w:rPr>
                <w:rFonts w:asciiTheme="minorEastAsia" w:eastAsiaTheme="minorEastAsia" w:hAnsiTheme="minorEastAsia"/>
                <w:color w:val="000000"/>
                <w:szCs w:val="21"/>
              </w:rPr>
            </w:pPr>
            <w:r w:rsidRPr="005B07F8">
              <w:rPr>
                <w:rFonts w:asciiTheme="minorEastAsia" w:eastAsiaTheme="minorEastAsia" w:hAnsiTheme="minorEastAsia"/>
                <w:color w:val="000000"/>
                <w:szCs w:val="21"/>
              </w:rPr>
              <w:t>12</w:t>
            </w:r>
          </w:p>
        </w:tc>
      </w:tr>
      <w:tr w:rsidR="00D12858" w:rsidRPr="00FE4F1E" w14:paraId="6CAB6549" w14:textId="77777777" w:rsidTr="00DD2E25">
        <w:trPr>
          <w:trHeight w:val="20"/>
          <w:jc w:val="center"/>
        </w:trPr>
        <w:tc>
          <w:tcPr>
            <w:tcW w:w="1260" w:type="dxa"/>
            <w:vMerge/>
            <w:tcBorders>
              <w:left w:val="single" w:sz="12" w:space="0" w:color="auto"/>
              <w:right w:val="single" w:sz="4" w:space="0" w:color="auto"/>
            </w:tcBorders>
          </w:tcPr>
          <w:p w14:paraId="0EC7BC72" w14:textId="77777777" w:rsidR="00D12858" w:rsidRPr="005B07F8" w:rsidRDefault="00D12858" w:rsidP="0044111D">
            <w:pPr>
              <w:jc w:val="center"/>
              <w:rPr>
                <w:rFonts w:asciiTheme="minorEastAsia" w:eastAsiaTheme="minorEastAsia" w:hAnsiTheme="minorEastAsia"/>
                <w:szCs w:val="21"/>
              </w:rPr>
            </w:pPr>
          </w:p>
        </w:tc>
        <w:tc>
          <w:tcPr>
            <w:tcW w:w="1689" w:type="dxa"/>
            <w:vMerge/>
            <w:tcBorders>
              <w:left w:val="single" w:sz="4" w:space="0" w:color="auto"/>
            </w:tcBorders>
            <w:vAlign w:val="center"/>
          </w:tcPr>
          <w:p w14:paraId="1F951B43" w14:textId="77777777" w:rsidR="00D12858" w:rsidRPr="005B07F8" w:rsidRDefault="00D12858" w:rsidP="0044111D">
            <w:pPr>
              <w:jc w:val="center"/>
              <w:rPr>
                <w:rFonts w:asciiTheme="minorEastAsia" w:eastAsiaTheme="minorEastAsia" w:hAnsiTheme="minorEastAsia"/>
                <w:szCs w:val="21"/>
              </w:rPr>
            </w:pPr>
          </w:p>
        </w:tc>
        <w:tc>
          <w:tcPr>
            <w:tcW w:w="2443" w:type="dxa"/>
            <w:vAlign w:val="center"/>
          </w:tcPr>
          <w:p w14:paraId="36439582" w14:textId="77777777" w:rsidR="00D12858" w:rsidRPr="005B07F8" w:rsidRDefault="00D12858" w:rsidP="0044111D">
            <w:pPr>
              <w:jc w:val="center"/>
              <w:rPr>
                <w:rFonts w:asciiTheme="minorEastAsia" w:eastAsiaTheme="minorEastAsia" w:hAnsiTheme="minorEastAsia"/>
                <w:color w:val="000000"/>
                <w:szCs w:val="21"/>
              </w:rPr>
            </w:pPr>
            <w:r w:rsidRPr="005B07F8">
              <w:rPr>
                <w:rFonts w:asciiTheme="minorEastAsia" w:eastAsiaTheme="minorEastAsia" w:hAnsiTheme="minorEastAsia"/>
                <w:color w:val="000000"/>
                <w:szCs w:val="21"/>
              </w:rPr>
              <w:t>D99</w:t>
            </w:r>
            <w:r w:rsidRPr="005B07F8">
              <w:rPr>
                <w:rFonts w:asciiTheme="minorEastAsia" w:eastAsiaTheme="minorEastAsia" w:hAnsiTheme="minorEastAsia" w:hint="eastAsia"/>
                <w:color w:val="000000"/>
                <w:szCs w:val="21"/>
              </w:rPr>
              <w:t>，不大于</w:t>
            </w:r>
          </w:p>
        </w:tc>
        <w:tc>
          <w:tcPr>
            <w:tcW w:w="3797" w:type="dxa"/>
            <w:gridSpan w:val="2"/>
            <w:tcBorders>
              <w:right w:val="single" w:sz="12" w:space="0" w:color="auto"/>
            </w:tcBorders>
            <w:vAlign w:val="center"/>
          </w:tcPr>
          <w:p w14:paraId="59CB7098" w14:textId="77777777" w:rsidR="00D12858" w:rsidRPr="005B07F8" w:rsidRDefault="00D12858" w:rsidP="0044111D">
            <w:pPr>
              <w:jc w:val="center"/>
              <w:rPr>
                <w:rFonts w:asciiTheme="minorEastAsia" w:eastAsiaTheme="minorEastAsia" w:hAnsiTheme="minorEastAsia"/>
                <w:color w:val="000000"/>
                <w:szCs w:val="21"/>
              </w:rPr>
            </w:pPr>
            <w:r w:rsidRPr="005B07F8">
              <w:rPr>
                <w:rFonts w:asciiTheme="minorEastAsia" w:eastAsiaTheme="minorEastAsia" w:hAnsiTheme="minorEastAsia"/>
                <w:color w:val="000000"/>
                <w:szCs w:val="21"/>
              </w:rPr>
              <w:t>15</w:t>
            </w:r>
          </w:p>
        </w:tc>
      </w:tr>
      <w:tr w:rsidR="00D12858" w:rsidRPr="00FE4F1E" w14:paraId="0A8994A2" w14:textId="77777777" w:rsidTr="00DD2E25">
        <w:trPr>
          <w:trHeight w:val="20"/>
          <w:jc w:val="center"/>
        </w:trPr>
        <w:tc>
          <w:tcPr>
            <w:tcW w:w="1260" w:type="dxa"/>
            <w:vMerge/>
            <w:tcBorders>
              <w:left w:val="single" w:sz="12" w:space="0" w:color="auto"/>
              <w:right w:val="single" w:sz="4" w:space="0" w:color="auto"/>
            </w:tcBorders>
          </w:tcPr>
          <w:p w14:paraId="06599B35" w14:textId="77777777" w:rsidR="00D12858" w:rsidRPr="005B07F8" w:rsidRDefault="00D12858" w:rsidP="0044111D">
            <w:pPr>
              <w:jc w:val="center"/>
              <w:rPr>
                <w:rFonts w:asciiTheme="minorEastAsia" w:eastAsiaTheme="minorEastAsia" w:hAnsiTheme="minorEastAsia"/>
                <w:szCs w:val="21"/>
              </w:rPr>
            </w:pPr>
          </w:p>
        </w:tc>
        <w:tc>
          <w:tcPr>
            <w:tcW w:w="1689" w:type="dxa"/>
            <w:vMerge/>
            <w:tcBorders>
              <w:left w:val="single" w:sz="4" w:space="0" w:color="auto"/>
            </w:tcBorders>
            <w:vAlign w:val="center"/>
          </w:tcPr>
          <w:p w14:paraId="36A3F322" w14:textId="77777777" w:rsidR="00D12858" w:rsidRPr="005B07F8" w:rsidRDefault="00D12858" w:rsidP="0044111D">
            <w:pPr>
              <w:jc w:val="center"/>
              <w:rPr>
                <w:rFonts w:asciiTheme="minorEastAsia" w:eastAsiaTheme="minorEastAsia" w:hAnsiTheme="minorEastAsia"/>
                <w:szCs w:val="21"/>
              </w:rPr>
            </w:pPr>
          </w:p>
        </w:tc>
        <w:tc>
          <w:tcPr>
            <w:tcW w:w="2443" w:type="dxa"/>
            <w:vAlign w:val="center"/>
          </w:tcPr>
          <w:p w14:paraId="4AB31FA4" w14:textId="77777777" w:rsidR="00D12858" w:rsidRPr="005B07F8" w:rsidRDefault="00D12858" w:rsidP="0044111D">
            <w:pPr>
              <w:jc w:val="center"/>
              <w:rPr>
                <w:rFonts w:asciiTheme="minorEastAsia" w:eastAsiaTheme="minorEastAsia" w:hAnsiTheme="minorEastAsia"/>
                <w:color w:val="000000"/>
                <w:szCs w:val="21"/>
              </w:rPr>
            </w:pPr>
            <w:r w:rsidRPr="005B07F8">
              <w:rPr>
                <w:rFonts w:asciiTheme="minorEastAsia" w:eastAsiaTheme="minorEastAsia" w:hAnsiTheme="minorEastAsia"/>
                <w:color w:val="000000"/>
                <w:szCs w:val="21"/>
              </w:rPr>
              <w:t>Dmax</w:t>
            </w:r>
            <w:r w:rsidRPr="005B07F8">
              <w:rPr>
                <w:rFonts w:asciiTheme="minorEastAsia" w:eastAsiaTheme="minorEastAsia" w:hAnsiTheme="minorEastAsia" w:hint="eastAsia"/>
                <w:color w:val="000000"/>
                <w:szCs w:val="21"/>
              </w:rPr>
              <w:t>，不大于</w:t>
            </w:r>
          </w:p>
        </w:tc>
        <w:tc>
          <w:tcPr>
            <w:tcW w:w="3797" w:type="dxa"/>
            <w:gridSpan w:val="2"/>
            <w:tcBorders>
              <w:right w:val="single" w:sz="12" w:space="0" w:color="auto"/>
            </w:tcBorders>
            <w:vAlign w:val="center"/>
          </w:tcPr>
          <w:p w14:paraId="54D1AA92" w14:textId="77777777" w:rsidR="00D12858" w:rsidRPr="005B07F8" w:rsidRDefault="00D12858" w:rsidP="0044111D">
            <w:pPr>
              <w:jc w:val="center"/>
              <w:rPr>
                <w:rFonts w:asciiTheme="minorEastAsia" w:eastAsiaTheme="minorEastAsia" w:hAnsiTheme="minorEastAsia"/>
                <w:color w:val="000000"/>
                <w:szCs w:val="21"/>
              </w:rPr>
            </w:pPr>
            <w:r w:rsidRPr="005B07F8">
              <w:rPr>
                <w:rFonts w:asciiTheme="minorEastAsia" w:eastAsiaTheme="minorEastAsia" w:hAnsiTheme="minorEastAsia"/>
                <w:color w:val="000000"/>
                <w:szCs w:val="21"/>
              </w:rPr>
              <w:t>30</w:t>
            </w:r>
          </w:p>
        </w:tc>
      </w:tr>
      <w:tr w:rsidR="00D12858" w:rsidRPr="00FE4F1E" w14:paraId="3EE8A6A6" w14:textId="77777777" w:rsidTr="00DD2E25">
        <w:trPr>
          <w:trHeight w:val="20"/>
          <w:jc w:val="center"/>
        </w:trPr>
        <w:tc>
          <w:tcPr>
            <w:tcW w:w="1260" w:type="dxa"/>
            <w:vMerge w:val="restart"/>
            <w:tcBorders>
              <w:left w:val="single" w:sz="12" w:space="0" w:color="auto"/>
              <w:right w:val="single" w:sz="4" w:space="0" w:color="auto"/>
            </w:tcBorders>
            <w:vAlign w:val="center"/>
          </w:tcPr>
          <w:p w14:paraId="5B17CC6A"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hint="eastAsia"/>
                <w:szCs w:val="21"/>
              </w:rPr>
              <w:t>化学成分（质量分数）</w:t>
            </w:r>
            <w:r w:rsidRPr="005B07F8">
              <w:rPr>
                <w:rFonts w:asciiTheme="minorEastAsia" w:eastAsiaTheme="minorEastAsia" w:hAnsiTheme="minorEastAsia"/>
                <w:szCs w:val="21"/>
              </w:rPr>
              <w:t>/%</w:t>
            </w:r>
          </w:p>
        </w:tc>
        <w:tc>
          <w:tcPr>
            <w:tcW w:w="4133" w:type="dxa"/>
            <w:gridSpan w:val="2"/>
            <w:tcBorders>
              <w:left w:val="single" w:sz="4" w:space="0" w:color="auto"/>
            </w:tcBorders>
            <w:vAlign w:val="center"/>
          </w:tcPr>
          <w:p w14:paraId="3B09D5E0"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color w:val="000000"/>
                <w:szCs w:val="21"/>
              </w:rPr>
              <w:t>REO</w:t>
            </w:r>
          </w:p>
        </w:tc>
        <w:tc>
          <w:tcPr>
            <w:tcW w:w="1898" w:type="dxa"/>
            <w:vAlign w:val="center"/>
          </w:tcPr>
          <w:p w14:paraId="035EC447"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85.5</w:t>
            </w:r>
            <w:r w:rsidRPr="005B07F8">
              <w:rPr>
                <w:rFonts w:asciiTheme="minorEastAsia" w:eastAsiaTheme="minorEastAsia" w:hAnsiTheme="minorEastAsia" w:hint="eastAsia"/>
                <w:szCs w:val="21"/>
              </w:rPr>
              <w:t>±</w:t>
            </w:r>
            <w:r w:rsidRPr="005B07F8">
              <w:rPr>
                <w:rFonts w:asciiTheme="minorEastAsia" w:eastAsiaTheme="minorEastAsia" w:hAnsiTheme="minorEastAsia"/>
                <w:szCs w:val="21"/>
              </w:rPr>
              <w:t>0.5</w:t>
            </w:r>
          </w:p>
        </w:tc>
        <w:tc>
          <w:tcPr>
            <w:tcW w:w="1898" w:type="dxa"/>
            <w:tcBorders>
              <w:right w:val="single" w:sz="12" w:space="0" w:color="auto"/>
            </w:tcBorders>
            <w:vAlign w:val="center"/>
          </w:tcPr>
          <w:p w14:paraId="659C795C"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84.5</w:t>
            </w:r>
            <w:r w:rsidRPr="005B07F8">
              <w:rPr>
                <w:rFonts w:asciiTheme="minorEastAsia" w:eastAsiaTheme="minorEastAsia" w:hAnsiTheme="minorEastAsia" w:hint="eastAsia"/>
                <w:szCs w:val="21"/>
              </w:rPr>
              <w:t>±</w:t>
            </w:r>
            <w:r w:rsidRPr="005B07F8">
              <w:rPr>
                <w:rFonts w:asciiTheme="minorEastAsia" w:eastAsiaTheme="minorEastAsia" w:hAnsiTheme="minorEastAsia"/>
                <w:szCs w:val="21"/>
              </w:rPr>
              <w:t>0.5</w:t>
            </w:r>
          </w:p>
        </w:tc>
      </w:tr>
      <w:tr w:rsidR="00D12858" w:rsidRPr="00FE4F1E" w14:paraId="7BFFF91D" w14:textId="77777777" w:rsidTr="00DD2E25">
        <w:trPr>
          <w:trHeight w:val="20"/>
          <w:jc w:val="center"/>
        </w:trPr>
        <w:tc>
          <w:tcPr>
            <w:tcW w:w="1260" w:type="dxa"/>
            <w:vMerge/>
            <w:tcBorders>
              <w:left w:val="single" w:sz="12" w:space="0" w:color="auto"/>
              <w:right w:val="single" w:sz="4" w:space="0" w:color="auto"/>
            </w:tcBorders>
            <w:vAlign w:val="center"/>
          </w:tcPr>
          <w:p w14:paraId="7E4DFB2D" w14:textId="77777777" w:rsidR="00D12858" w:rsidRPr="005B07F8" w:rsidRDefault="00D12858" w:rsidP="0044111D">
            <w:pPr>
              <w:jc w:val="center"/>
              <w:rPr>
                <w:rFonts w:asciiTheme="minorEastAsia" w:eastAsiaTheme="minorEastAsia" w:hAnsiTheme="minorEastAsia"/>
                <w:szCs w:val="21"/>
              </w:rPr>
            </w:pPr>
          </w:p>
        </w:tc>
        <w:tc>
          <w:tcPr>
            <w:tcW w:w="4133" w:type="dxa"/>
            <w:gridSpan w:val="2"/>
            <w:tcBorders>
              <w:left w:val="single" w:sz="4" w:space="0" w:color="auto"/>
            </w:tcBorders>
            <w:vAlign w:val="center"/>
          </w:tcPr>
          <w:p w14:paraId="10A9FB7D"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color w:val="000000"/>
                <w:szCs w:val="21"/>
              </w:rPr>
              <w:t>Dy</w:t>
            </w:r>
            <w:r w:rsidRPr="005B07F8">
              <w:rPr>
                <w:rFonts w:asciiTheme="minorEastAsia" w:eastAsiaTheme="minorEastAsia" w:hAnsiTheme="minorEastAsia"/>
                <w:color w:val="000000"/>
                <w:szCs w:val="21"/>
                <w:vertAlign w:val="subscript"/>
              </w:rPr>
              <w:t>2</w:t>
            </w:r>
            <w:r w:rsidRPr="005B07F8">
              <w:rPr>
                <w:rFonts w:asciiTheme="minorEastAsia" w:eastAsiaTheme="minorEastAsia" w:hAnsiTheme="minorEastAsia"/>
                <w:color w:val="000000"/>
                <w:szCs w:val="21"/>
              </w:rPr>
              <w:t>O</w:t>
            </w:r>
            <w:r w:rsidRPr="005B07F8">
              <w:rPr>
                <w:rFonts w:asciiTheme="minorEastAsia" w:eastAsiaTheme="minorEastAsia" w:hAnsiTheme="minorEastAsia"/>
                <w:color w:val="000000"/>
                <w:szCs w:val="21"/>
                <w:vertAlign w:val="subscript"/>
              </w:rPr>
              <w:t>3</w:t>
            </w:r>
            <w:r w:rsidRPr="005B07F8">
              <w:rPr>
                <w:rFonts w:asciiTheme="minorEastAsia" w:eastAsiaTheme="minorEastAsia" w:hAnsiTheme="minorEastAsia"/>
                <w:color w:val="000000"/>
                <w:szCs w:val="21"/>
              </w:rPr>
              <w:t>(Tb</w:t>
            </w:r>
            <w:r w:rsidRPr="005B07F8">
              <w:rPr>
                <w:rFonts w:asciiTheme="minorEastAsia" w:eastAsiaTheme="minorEastAsia" w:hAnsiTheme="minorEastAsia"/>
                <w:color w:val="000000"/>
                <w:szCs w:val="21"/>
                <w:vertAlign w:val="subscript"/>
              </w:rPr>
              <w:t>4</w:t>
            </w:r>
            <w:r w:rsidRPr="005B07F8">
              <w:rPr>
                <w:rFonts w:asciiTheme="minorEastAsia" w:eastAsiaTheme="minorEastAsia" w:hAnsiTheme="minorEastAsia"/>
                <w:color w:val="000000"/>
                <w:szCs w:val="21"/>
              </w:rPr>
              <w:t>O</w:t>
            </w:r>
            <w:r w:rsidRPr="005B07F8">
              <w:rPr>
                <w:rFonts w:asciiTheme="minorEastAsia" w:eastAsiaTheme="minorEastAsia" w:hAnsiTheme="minorEastAsia"/>
                <w:color w:val="000000"/>
                <w:szCs w:val="21"/>
                <w:vertAlign w:val="subscript"/>
              </w:rPr>
              <w:t>7</w:t>
            </w:r>
            <w:r w:rsidRPr="005B07F8">
              <w:rPr>
                <w:rFonts w:asciiTheme="minorEastAsia" w:eastAsiaTheme="minorEastAsia" w:hAnsiTheme="minorEastAsia"/>
                <w:color w:val="000000"/>
                <w:szCs w:val="21"/>
              </w:rPr>
              <w:t>)/REO</w:t>
            </w:r>
            <w:r w:rsidRPr="005B07F8">
              <w:rPr>
                <w:rFonts w:asciiTheme="minorEastAsia" w:eastAsiaTheme="minorEastAsia" w:hAnsiTheme="minorEastAsia" w:hint="eastAsia"/>
                <w:color w:val="000000"/>
                <w:szCs w:val="21"/>
              </w:rPr>
              <w:t>，不小于</w:t>
            </w:r>
          </w:p>
        </w:tc>
        <w:tc>
          <w:tcPr>
            <w:tcW w:w="3797" w:type="dxa"/>
            <w:gridSpan w:val="2"/>
            <w:tcBorders>
              <w:right w:val="single" w:sz="12" w:space="0" w:color="auto"/>
            </w:tcBorders>
            <w:vAlign w:val="center"/>
          </w:tcPr>
          <w:p w14:paraId="6421B3EA"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99.9</w:t>
            </w:r>
          </w:p>
        </w:tc>
      </w:tr>
      <w:tr w:rsidR="00D12858" w:rsidRPr="00FE4F1E" w14:paraId="0B73E11B" w14:textId="77777777" w:rsidTr="00DD2E25">
        <w:trPr>
          <w:trHeight w:val="20"/>
          <w:jc w:val="center"/>
        </w:trPr>
        <w:tc>
          <w:tcPr>
            <w:tcW w:w="1260" w:type="dxa"/>
            <w:vMerge/>
            <w:tcBorders>
              <w:left w:val="single" w:sz="12" w:space="0" w:color="auto"/>
              <w:right w:val="single" w:sz="4" w:space="0" w:color="auto"/>
            </w:tcBorders>
          </w:tcPr>
          <w:p w14:paraId="2604B6F6" w14:textId="77777777" w:rsidR="00D12858" w:rsidRPr="005B07F8" w:rsidRDefault="00D12858" w:rsidP="0044111D">
            <w:pPr>
              <w:ind w:firstLineChars="200" w:firstLine="420"/>
              <w:jc w:val="center"/>
              <w:rPr>
                <w:rFonts w:asciiTheme="minorEastAsia" w:eastAsiaTheme="minorEastAsia" w:hAnsiTheme="minorEastAsia"/>
                <w:szCs w:val="21"/>
                <w:lang w:val="pt-BR"/>
              </w:rPr>
            </w:pPr>
          </w:p>
        </w:tc>
        <w:tc>
          <w:tcPr>
            <w:tcW w:w="4133" w:type="dxa"/>
            <w:gridSpan w:val="2"/>
            <w:tcBorders>
              <w:left w:val="single" w:sz="4" w:space="0" w:color="auto"/>
            </w:tcBorders>
            <w:vAlign w:val="center"/>
          </w:tcPr>
          <w:p w14:paraId="1DEBC4B9" w14:textId="77777777" w:rsidR="00D12858" w:rsidRPr="005B07F8" w:rsidRDefault="00D12858" w:rsidP="0044111D">
            <w:pPr>
              <w:adjustRightInd w:val="0"/>
              <w:snapToGrid w:val="0"/>
              <w:jc w:val="center"/>
              <w:rPr>
                <w:rFonts w:asciiTheme="minorEastAsia" w:eastAsiaTheme="minorEastAsia" w:hAnsiTheme="minorEastAsia"/>
                <w:color w:val="000000"/>
                <w:szCs w:val="21"/>
              </w:rPr>
            </w:pPr>
            <w:r w:rsidRPr="005B07F8">
              <w:rPr>
                <w:rFonts w:asciiTheme="minorEastAsia" w:eastAsiaTheme="minorEastAsia" w:hAnsiTheme="minorEastAsia"/>
                <w:color w:val="000000"/>
                <w:szCs w:val="21"/>
              </w:rPr>
              <w:t xml:space="preserve">F </w:t>
            </w:r>
          </w:p>
        </w:tc>
        <w:tc>
          <w:tcPr>
            <w:tcW w:w="1898" w:type="dxa"/>
            <w:vAlign w:val="center"/>
          </w:tcPr>
          <w:p w14:paraId="78E6C060"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2</w:t>
            </w:r>
            <w:r w:rsidRPr="005B07F8">
              <w:rPr>
                <w:rFonts w:asciiTheme="minorEastAsia" w:eastAsiaTheme="minorEastAsia" w:hAnsiTheme="minorEastAsia" w:hint="eastAsia"/>
                <w:szCs w:val="21"/>
              </w:rPr>
              <w:t>5</w:t>
            </w:r>
            <w:r w:rsidRPr="005B07F8">
              <w:rPr>
                <w:rFonts w:asciiTheme="minorEastAsia" w:eastAsiaTheme="minorEastAsia" w:hAnsiTheme="minorEastAsia"/>
                <w:szCs w:val="21"/>
              </w:rPr>
              <w:t>.</w:t>
            </w:r>
            <w:r w:rsidRPr="005B07F8">
              <w:rPr>
                <w:rFonts w:asciiTheme="minorEastAsia" w:eastAsiaTheme="minorEastAsia" w:hAnsiTheme="minorEastAsia" w:hint="eastAsia"/>
                <w:szCs w:val="21"/>
              </w:rPr>
              <w:t>5±</w:t>
            </w:r>
            <w:r w:rsidRPr="005B07F8">
              <w:rPr>
                <w:rFonts w:asciiTheme="minorEastAsia" w:eastAsiaTheme="minorEastAsia" w:hAnsiTheme="minorEastAsia"/>
                <w:szCs w:val="21"/>
              </w:rPr>
              <w:t>1</w:t>
            </w:r>
          </w:p>
        </w:tc>
        <w:tc>
          <w:tcPr>
            <w:tcW w:w="1898" w:type="dxa"/>
            <w:tcBorders>
              <w:right w:val="single" w:sz="12" w:space="0" w:color="auto"/>
            </w:tcBorders>
            <w:vAlign w:val="center"/>
          </w:tcPr>
          <w:p w14:paraId="476F148B"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25</w:t>
            </w:r>
            <w:r w:rsidRPr="005B07F8">
              <w:rPr>
                <w:rFonts w:asciiTheme="minorEastAsia" w:eastAsiaTheme="minorEastAsia" w:hAnsiTheme="minorEastAsia" w:hint="eastAsia"/>
                <w:szCs w:val="21"/>
              </w:rPr>
              <w:t>.0±</w:t>
            </w:r>
            <w:r w:rsidRPr="005B07F8">
              <w:rPr>
                <w:rFonts w:asciiTheme="minorEastAsia" w:eastAsiaTheme="minorEastAsia" w:hAnsiTheme="minorEastAsia"/>
                <w:szCs w:val="21"/>
              </w:rPr>
              <w:t>1</w:t>
            </w:r>
          </w:p>
        </w:tc>
      </w:tr>
      <w:tr w:rsidR="00D12858" w:rsidRPr="00FE4F1E" w14:paraId="0C84C42F" w14:textId="77777777" w:rsidTr="00DD2E25">
        <w:trPr>
          <w:trHeight w:val="20"/>
          <w:jc w:val="center"/>
        </w:trPr>
        <w:tc>
          <w:tcPr>
            <w:tcW w:w="1260" w:type="dxa"/>
            <w:vMerge/>
            <w:tcBorders>
              <w:left w:val="single" w:sz="12" w:space="0" w:color="auto"/>
              <w:right w:val="single" w:sz="4" w:space="0" w:color="auto"/>
            </w:tcBorders>
          </w:tcPr>
          <w:p w14:paraId="778F7CA8"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val="restart"/>
            <w:tcBorders>
              <w:left w:val="single" w:sz="4" w:space="0" w:color="auto"/>
            </w:tcBorders>
            <w:vAlign w:val="center"/>
          </w:tcPr>
          <w:p w14:paraId="56AE2D8B"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hint="eastAsia"/>
                <w:szCs w:val="21"/>
              </w:rPr>
              <w:t>稀土杂质含量，不大于</w:t>
            </w:r>
          </w:p>
        </w:tc>
        <w:tc>
          <w:tcPr>
            <w:tcW w:w="2443" w:type="dxa"/>
            <w:vAlign w:val="center"/>
          </w:tcPr>
          <w:p w14:paraId="731618B7"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Gd</w:t>
            </w:r>
            <w:r w:rsidRPr="005B07F8">
              <w:rPr>
                <w:rFonts w:asciiTheme="minorEastAsia" w:eastAsiaTheme="minorEastAsia" w:hAnsiTheme="minorEastAsia"/>
                <w:szCs w:val="21"/>
                <w:vertAlign w:val="subscript"/>
              </w:rPr>
              <w:t>2</w:t>
            </w:r>
            <w:r w:rsidRPr="005B07F8">
              <w:rPr>
                <w:rFonts w:asciiTheme="minorEastAsia" w:eastAsiaTheme="minorEastAsia" w:hAnsiTheme="minorEastAsia"/>
                <w:szCs w:val="21"/>
              </w:rPr>
              <w:t>O</w:t>
            </w:r>
            <w:r w:rsidRPr="005B07F8">
              <w:rPr>
                <w:rFonts w:asciiTheme="minorEastAsia" w:eastAsiaTheme="minorEastAsia" w:hAnsiTheme="minorEastAsia"/>
                <w:szCs w:val="21"/>
                <w:vertAlign w:val="subscript"/>
              </w:rPr>
              <w:t>3</w:t>
            </w:r>
          </w:p>
        </w:tc>
        <w:tc>
          <w:tcPr>
            <w:tcW w:w="3797" w:type="dxa"/>
            <w:gridSpan w:val="2"/>
            <w:tcBorders>
              <w:right w:val="single" w:sz="12" w:space="0" w:color="auto"/>
            </w:tcBorders>
            <w:vAlign w:val="center"/>
          </w:tcPr>
          <w:p w14:paraId="31BF21E9"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0.01</w:t>
            </w:r>
            <w:r w:rsidRPr="005B07F8">
              <w:rPr>
                <w:rFonts w:asciiTheme="minorEastAsia" w:eastAsiaTheme="minorEastAsia" w:hAnsiTheme="minorEastAsia" w:hint="eastAsia"/>
                <w:szCs w:val="21"/>
              </w:rPr>
              <w:t>0</w:t>
            </w:r>
          </w:p>
        </w:tc>
      </w:tr>
      <w:tr w:rsidR="00D12858" w:rsidRPr="00FE4F1E" w14:paraId="6655B2EA" w14:textId="77777777" w:rsidTr="00DD2E25">
        <w:trPr>
          <w:trHeight w:val="20"/>
          <w:jc w:val="center"/>
        </w:trPr>
        <w:tc>
          <w:tcPr>
            <w:tcW w:w="1260" w:type="dxa"/>
            <w:vMerge/>
            <w:tcBorders>
              <w:left w:val="single" w:sz="12" w:space="0" w:color="auto"/>
              <w:right w:val="single" w:sz="4" w:space="0" w:color="auto"/>
            </w:tcBorders>
          </w:tcPr>
          <w:p w14:paraId="5C66FF10"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7653E74B"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0BDD2A53"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Tb</w:t>
            </w:r>
            <w:r w:rsidRPr="005B07F8">
              <w:rPr>
                <w:rFonts w:asciiTheme="minorEastAsia" w:eastAsiaTheme="minorEastAsia" w:hAnsiTheme="minorEastAsia"/>
                <w:szCs w:val="21"/>
                <w:vertAlign w:val="subscript"/>
              </w:rPr>
              <w:t>4</w:t>
            </w:r>
            <w:r w:rsidRPr="005B07F8">
              <w:rPr>
                <w:rFonts w:asciiTheme="minorEastAsia" w:eastAsiaTheme="minorEastAsia" w:hAnsiTheme="minorEastAsia"/>
                <w:szCs w:val="21"/>
              </w:rPr>
              <w:t>O</w:t>
            </w:r>
            <w:r w:rsidRPr="005B07F8">
              <w:rPr>
                <w:rFonts w:asciiTheme="minorEastAsia" w:eastAsiaTheme="minorEastAsia" w:hAnsiTheme="minorEastAsia"/>
                <w:szCs w:val="21"/>
                <w:vertAlign w:val="subscript"/>
              </w:rPr>
              <w:t>7</w:t>
            </w:r>
          </w:p>
        </w:tc>
        <w:tc>
          <w:tcPr>
            <w:tcW w:w="1898" w:type="dxa"/>
            <w:vAlign w:val="center"/>
          </w:tcPr>
          <w:p w14:paraId="3EAD7237"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hint="eastAsia"/>
                <w:szCs w:val="21"/>
              </w:rPr>
              <w:t>基体</w:t>
            </w:r>
          </w:p>
        </w:tc>
        <w:tc>
          <w:tcPr>
            <w:tcW w:w="1898" w:type="dxa"/>
            <w:tcBorders>
              <w:right w:val="single" w:sz="12" w:space="0" w:color="auto"/>
            </w:tcBorders>
            <w:vAlign w:val="center"/>
          </w:tcPr>
          <w:p w14:paraId="1F038D70"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0.015</w:t>
            </w:r>
          </w:p>
        </w:tc>
      </w:tr>
      <w:tr w:rsidR="00D12858" w:rsidRPr="00FE4F1E" w14:paraId="101AE257" w14:textId="77777777" w:rsidTr="00DD2E25">
        <w:trPr>
          <w:trHeight w:val="20"/>
          <w:jc w:val="center"/>
        </w:trPr>
        <w:tc>
          <w:tcPr>
            <w:tcW w:w="1260" w:type="dxa"/>
            <w:vMerge/>
            <w:tcBorders>
              <w:left w:val="single" w:sz="12" w:space="0" w:color="auto"/>
              <w:right w:val="single" w:sz="4" w:space="0" w:color="auto"/>
            </w:tcBorders>
          </w:tcPr>
          <w:p w14:paraId="00BDA1D0"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05F56422"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320F2F57"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Dy</w:t>
            </w:r>
            <w:r w:rsidRPr="005B07F8">
              <w:rPr>
                <w:rFonts w:asciiTheme="minorEastAsia" w:eastAsiaTheme="minorEastAsia" w:hAnsiTheme="minorEastAsia"/>
                <w:szCs w:val="21"/>
                <w:vertAlign w:val="subscript"/>
              </w:rPr>
              <w:t>2</w:t>
            </w:r>
            <w:r w:rsidRPr="005B07F8">
              <w:rPr>
                <w:rFonts w:asciiTheme="minorEastAsia" w:eastAsiaTheme="minorEastAsia" w:hAnsiTheme="minorEastAsia"/>
                <w:szCs w:val="21"/>
              </w:rPr>
              <w:t>O</w:t>
            </w:r>
            <w:r w:rsidRPr="005B07F8">
              <w:rPr>
                <w:rFonts w:asciiTheme="minorEastAsia" w:eastAsiaTheme="minorEastAsia" w:hAnsiTheme="minorEastAsia"/>
                <w:szCs w:val="21"/>
                <w:vertAlign w:val="subscript"/>
              </w:rPr>
              <w:t>3</w:t>
            </w:r>
          </w:p>
        </w:tc>
        <w:tc>
          <w:tcPr>
            <w:tcW w:w="1898" w:type="dxa"/>
            <w:vAlign w:val="center"/>
          </w:tcPr>
          <w:p w14:paraId="0B97EA6B"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0.015</w:t>
            </w:r>
          </w:p>
        </w:tc>
        <w:tc>
          <w:tcPr>
            <w:tcW w:w="1898" w:type="dxa"/>
            <w:tcBorders>
              <w:right w:val="single" w:sz="12" w:space="0" w:color="auto"/>
            </w:tcBorders>
            <w:vAlign w:val="center"/>
          </w:tcPr>
          <w:p w14:paraId="5E08BBD6"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hint="eastAsia"/>
                <w:szCs w:val="21"/>
              </w:rPr>
              <w:t>基体</w:t>
            </w:r>
          </w:p>
        </w:tc>
      </w:tr>
      <w:tr w:rsidR="00D12858" w:rsidRPr="00FE4F1E" w14:paraId="1BF29F57" w14:textId="77777777" w:rsidTr="00DD2E25">
        <w:trPr>
          <w:trHeight w:val="20"/>
          <w:jc w:val="center"/>
        </w:trPr>
        <w:tc>
          <w:tcPr>
            <w:tcW w:w="1260" w:type="dxa"/>
            <w:vMerge/>
            <w:tcBorders>
              <w:left w:val="single" w:sz="12" w:space="0" w:color="auto"/>
              <w:right w:val="single" w:sz="4" w:space="0" w:color="auto"/>
            </w:tcBorders>
          </w:tcPr>
          <w:p w14:paraId="7269DA73"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61EE6C7B"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12C48A85"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Ho</w:t>
            </w:r>
            <w:r w:rsidRPr="005B07F8">
              <w:rPr>
                <w:rFonts w:asciiTheme="minorEastAsia" w:eastAsiaTheme="minorEastAsia" w:hAnsiTheme="minorEastAsia"/>
                <w:szCs w:val="21"/>
                <w:vertAlign w:val="subscript"/>
              </w:rPr>
              <w:t>2</w:t>
            </w:r>
            <w:r w:rsidRPr="005B07F8">
              <w:rPr>
                <w:rFonts w:asciiTheme="minorEastAsia" w:eastAsiaTheme="minorEastAsia" w:hAnsiTheme="minorEastAsia"/>
                <w:szCs w:val="21"/>
              </w:rPr>
              <w:t>O</w:t>
            </w:r>
            <w:r w:rsidRPr="005B07F8">
              <w:rPr>
                <w:rFonts w:asciiTheme="minorEastAsia" w:eastAsiaTheme="minorEastAsia" w:hAnsiTheme="minorEastAsia"/>
                <w:szCs w:val="21"/>
                <w:vertAlign w:val="subscript"/>
              </w:rPr>
              <w:t>3</w:t>
            </w:r>
          </w:p>
        </w:tc>
        <w:tc>
          <w:tcPr>
            <w:tcW w:w="3797" w:type="dxa"/>
            <w:gridSpan w:val="2"/>
            <w:tcBorders>
              <w:right w:val="single" w:sz="12" w:space="0" w:color="auto"/>
            </w:tcBorders>
            <w:vAlign w:val="center"/>
          </w:tcPr>
          <w:p w14:paraId="1902D002"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0.015</w:t>
            </w:r>
          </w:p>
        </w:tc>
      </w:tr>
      <w:tr w:rsidR="00D12858" w:rsidRPr="00FE4F1E" w14:paraId="36E02FFD" w14:textId="77777777" w:rsidTr="00DD2E25">
        <w:trPr>
          <w:trHeight w:val="20"/>
          <w:jc w:val="center"/>
        </w:trPr>
        <w:tc>
          <w:tcPr>
            <w:tcW w:w="1260" w:type="dxa"/>
            <w:vMerge/>
            <w:tcBorders>
              <w:left w:val="single" w:sz="12" w:space="0" w:color="auto"/>
              <w:right w:val="single" w:sz="4" w:space="0" w:color="auto"/>
            </w:tcBorders>
          </w:tcPr>
          <w:p w14:paraId="45D79270"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7A19B79D"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47A5F593"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Er</w:t>
            </w:r>
            <w:r w:rsidRPr="005B07F8">
              <w:rPr>
                <w:rFonts w:asciiTheme="minorEastAsia" w:eastAsiaTheme="minorEastAsia" w:hAnsiTheme="minorEastAsia"/>
                <w:szCs w:val="21"/>
                <w:vertAlign w:val="subscript"/>
              </w:rPr>
              <w:t>2</w:t>
            </w:r>
            <w:r w:rsidRPr="005B07F8">
              <w:rPr>
                <w:rFonts w:asciiTheme="minorEastAsia" w:eastAsiaTheme="minorEastAsia" w:hAnsiTheme="minorEastAsia"/>
                <w:szCs w:val="21"/>
              </w:rPr>
              <w:t>O</w:t>
            </w:r>
            <w:r w:rsidRPr="005B07F8">
              <w:rPr>
                <w:rFonts w:asciiTheme="minorEastAsia" w:eastAsiaTheme="minorEastAsia" w:hAnsiTheme="minorEastAsia"/>
                <w:szCs w:val="21"/>
                <w:vertAlign w:val="subscript"/>
              </w:rPr>
              <w:t>3</w:t>
            </w:r>
          </w:p>
        </w:tc>
        <w:tc>
          <w:tcPr>
            <w:tcW w:w="3797" w:type="dxa"/>
            <w:gridSpan w:val="2"/>
            <w:tcBorders>
              <w:right w:val="single" w:sz="12" w:space="0" w:color="auto"/>
            </w:tcBorders>
            <w:vAlign w:val="center"/>
          </w:tcPr>
          <w:p w14:paraId="44CAE5D7"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0.005</w:t>
            </w:r>
          </w:p>
        </w:tc>
      </w:tr>
      <w:tr w:rsidR="00D12858" w:rsidRPr="00FE4F1E" w14:paraId="418F87B7" w14:textId="77777777" w:rsidTr="00DD2E25">
        <w:trPr>
          <w:trHeight w:val="20"/>
          <w:jc w:val="center"/>
        </w:trPr>
        <w:tc>
          <w:tcPr>
            <w:tcW w:w="1260" w:type="dxa"/>
            <w:vMerge/>
            <w:tcBorders>
              <w:left w:val="single" w:sz="12" w:space="0" w:color="auto"/>
              <w:right w:val="single" w:sz="4" w:space="0" w:color="auto"/>
            </w:tcBorders>
          </w:tcPr>
          <w:p w14:paraId="519DD04E"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2E4D208C"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5FE65706"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Tm</w:t>
            </w:r>
            <w:r w:rsidRPr="005B07F8">
              <w:rPr>
                <w:rFonts w:asciiTheme="minorEastAsia" w:eastAsiaTheme="minorEastAsia" w:hAnsiTheme="minorEastAsia"/>
                <w:szCs w:val="21"/>
                <w:vertAlign w:val="subscript"/>
              </w:rPr>
              <w:t>2</w:t>
            </w:r>
            <w:r w:rsidRPr="005B07F8">
              <w:rPr>
                <w:rFonts w:asciiTheme="minorEastAsia" w:eastAsiaTheme="minorEastAsia" w:hAnsiTheme="minorEastAsia"/>
                <w:szCs w:val="21"/>
              </w:rPr>
              <w:t>O</w:t>
            </w:r>
            <w:r w:rsidRPr="005B07F8">
              <w:rPr>
                <w:rFonts w:asciiTheme="minorEastAsia" w:eastAsiaTheme="minorEastAsia" w:hAnsiTheme="minorEastAsia"/>
                <w:szCs w:val="21"/>
                <w:vertAlign w:val="subscript"/>
              </w:rPr>
              <w:t>3</w:t>
            </w:r>
          </w:p>
        </w:tc>
        <w:tc>
          <w:tcPr>
            <w:tcW w:w="3797" w:type="dxa"/>
            <w:gridSpan w:val="2"/>
            <w:tcBorders>
              <w:right w:val="single" w:sz="12" w:space="0" w:color="auto"/>
            </w:tcBorders>
            <w:vAlign w:val="center"/>
          </w:tcPr>
          <w:p w14:paraId="22A57BEA"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0.005</w:t>
            </w:r>
          </w:p>
        </w:tc>
      </w:tr>
      <w:tr w:rsidR="00D12858" w:rsidRPr="00FE4F1E" w14:paraId="3E1B7F8A" w14:textId="77777777" w:rsidTr="00DD2E25">
        <w:trPr>
          <w:trHeight w:val="20"/>
          <w:jc w:val="center"/>
        </w:trPr>
        <w:tc>
          <w:tcPr>
            <w:tcW w:w="1260" w:type="dxa"/>
            <w:vMerge/>
            <w:tcBorders>
              <w:left w:val="single" w:sz="12" w:space="0" w:color="auto"/>
              <w:right w:val="single" w:sz="4" w:space="0" w:color="auto"/>
            </w:tcBorders>
          </w:tcPr>
          <w:p w14:paraId="3A564ACD"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1B8073B7"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29E3F3C5"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Yb</w:t>
            </w:r>
            <w:r w:rsidRPr="005B07F8">
              <w:rPr>
                <w:rFonts w:asciiTheme="minorEastAsia" w:eastAsiaTheme="minorEastAsia" w:hAnsiTheme="minorEastAsia"/>
                <w:szCs w:val="21"/>
                <w:vertAlign w:val="subscript"/>
              </w:rPr>
              <w:t>2</w:t>
            </w:r>
            <w:r w:rsidRPr="005B07F8">
              <w:rPr>
                <w:rFonts w:asciiTheme="minorEastAsia" w:eastAsiaTheme="minorEastAsia" w:hAnsiTheme="minorEastAsia"/>
                <w:szCs w:val="21"/>
              </w:rPr>
              <w:t>O</w:t>
            </w:r>
            <w:r w:rsidRPr="005B07F8">
              <w:rPr>
                <w:rFonts w:asciiTheme="minorEastAsia" w:eastAsiaTheme="minorEastAsia" w:hAnsiTheme="minorEastAsia"/>
                <w:szCs w:val="21"/>
                <w:vertAlign w:val="subscript"/>
              </w:rPr>
              <w:t>3</w:t>
            </w:r>
          </w:p>
        </w:tc>
        <w:tc>
          <w:tcPr>
            <w:tcW w:w="3797" w:type="dxa"/>
            <w:gridSpan w:val="2"/>
            <w:tcBorders>
              <w:right w:val="single" w:sz="12" w:space="0" w:color="auto"/>
            </w:tcBorders>
            <w:vAlign w:val="center"/>
          </w:tcPr>
          <w:p w14:paraId="290BA090"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0.010</w:t>
            </w:r>
          </w:p>
        </w:tc>
      </w:tr>
      <w:tr w:rsidR="00D12858" w:rsidRPr="00FE4F1E" w14:paraId="78E03C5A" w14:textId="77777777" w:rsidTr="00DD2E25">
        <w:trPr>
          <w:trHeight w:val="20"/>
          <w:jc w:val="center"/>
        </w:trPr>
        <w:tc>
          <w:tcPr>
            <w:tcW w:w="1260" w:type="dxa"/>
            <w:vMerge/>
            <w:tcBorders>
              <w:left w:val="single" w:sz="12" w:space="0" w:color="auto"/>
              <w:right w:val="single" w:sz="4" w:space="0" w:color="auto"/>
            </w:tcBorders>
          </w:tcPr>
          <w:p w14:paraId="3FF8B90F"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43E04BD1"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0EC962D3"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Y</w:t>
            </w:r>
            <w:r w:rsidRPr="005B07F8">
              <w:rPr>
                <w:rFonts w:asciiTheme="minorEastAsia" w:eastAsiaTheme="minorEastAsia" w:hAnsiTheme="minorEastAsia"/>
                <w:szCs w:val="21"/>
                <w:vertAlign w:val="subscript"/>
              </w:rPr>
              <w:t>2</w:t>
            </w:r>
            <w:r w:rsidRPr="005B07F8">
              <w:rPr>
                <w:rFonts w:asciiTheme="minorEastAsia" w:eastAsiaTheme="minorEastAsia" w:hAnsiTheme="minorEastAsia"/>
                <w:szCs w:val="21"/>
              </w:rPr>
              <w:t>O</w:t>
            </w:r>
            <w:r w:rsidRPr="005B07F8">
              <w:rPr>
                <w:rFonts w:asciiTheme="minorEastAsia" w:eastAsiaTheme="minorEastAsia" w:hAnsiTheme="minorEastAsia"/>
                <w:szCs w:val="21"/>
                <w:vertAlign w:val="subscript"/>
              </w:rPr>
              <w:t>3</w:t>
            </w:r>
          </w:p>
        </w:tc>
        <w:tc>
          <w:tcPr>
            <w:tcW w:w="3797" w:type="dxa"/>
            <w:gridSpan w:val="2"/>
            <w:tcBorders>
              <w:right w:val="single" w:sz="12" w:space="0" w:color="auto"/>
            </w:tcBorders>
            <w:vAlign w:val="center"/>
          </w:tcPr>
          <w:p w14:paraId="5EE10095"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0.010</w:t>
            </w:r>
          </w:p>
        </w:tc>
      </w:tr>
      <w:tr w:rsidR="00D12858" w:rsidRPr="00FE4F1E" w14:paraId="7083720A" w14:textId="77777777" w:rsidTr="00DD2E25">
        <w:trPr>
          <w:trHeight w:val="20"/>
          <w:jc w:val="center"/>
        </w:trPr>
        <w:tc>
          <w:tcPr>
            <w:tcW w:w="1260" w:type="dxa"/>
            <w:vMerge/>
            <w:tcBorders>
              <w:left w:val="single" w:sz="12" w:space="0" w:color="auto"/>
              <w:right w:val="single" w:sz="4" w:space="0" w:color="auto"/>
            </w:tcBorders>
          </w:tcPr>
          <w:p w14:paraId="4D783BEF"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18A027C1"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5321C81E"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hint="eastAsia"/>
                <w:szCs w:val="21"/>
              </w:rPr>
              <w:t>其他稀土杂质</w:t>
            </w:r>
          </w:p>
        </w:tc>
        <w:tc>
          <w:tcPr>
            <w:tcW w:w="3797" w:type="dxa"/>
            <w:gridSpan w:val="2"/>
            <w:tcBorders>
              <w:right w:val="single" w:sz="12" w:space="0" w:color="auto"/>
            </w:tcBorders>
            <w:vAlign w:val="center"/>
          </w:tcPr>
          <w:p w14:paraId="5206F8CB"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0.030</w:t>
            </w:r>
          </w:p>
        </w:tc>
      </w:tr>
      <w:tr w:rsidR="00D12858" w:rsidRPr="00FE4F1E" w14:paraId="5847EB6D" w14:textId="77777777" w:rsidTr="00DD2E25">
        <w:trPr>
          <w:trHeight w:val="20"/>
          <w:jc w:val="center"/>
        </w:trPr>
        <w:tc>
          <w:tcPr>
            <w:tcW w:w="1260" w:type="dxa"/>
            <w:vMerge/>
            <w:tcBorders>
              <w:left w:val="single" w:sz="12" w:space="0" w:color="auto"/>
              <w:right w:val="single" w:sz="4" w:space="0" w:color="auto"/>
            </w:tcBorders>
          </w:tcPr>
          <w:p w14:paraId="7DBAD1DB"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val="restart"/>
            <w:tcBorders>
              <w:left w:val="single" w:sz="4" w:space="0" w:color="auto"/>
            </w:tcBorders>
            <w:vAlign w:val="center"/>
          </w:tcPr>
          <w:p w14:paraId="0311B1E1"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hint="eastAsia"/>
                <w:szCs w:val="21"/>
              </w:rPr>
              <w:t>非稀土杂质含量，不大于</w:t>
            </w:r>
          </w:p>
        </w:tc>
        <w:tc>
          <w:tcPr>
            <w:tcW w:w="2443" w:type="dxa"/>
            <w:vAlign w:val="center"/>
          </w:tcPr>
          <w:p w14:paraId="58E1A6D4"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Fe</w:t>
            </w:r>
            <w:r w:rsidRPr="005B07F8">
              <w:rPr>
                <w:rFonts w:asciiTheme="minorEastAsia" w:eastAsiaTheme="minorEastAsia" w:hAnsiTheme="minorEastAsia"/>
                <w:szCs w:val="21"/>
                <w:vertAlign w:val="subscript"/>
              </w:rPr>
              <w:t>2</w:t>
            </w:r>
            <w:r w:rsidRPr="005B07F8">
              <w:rPr>
                <w:rFonts w:asciiTheme="minorEastAsia" w:eastAsiaTheme="minorEastAsia" w:hAnsiTheme="minorEastAsia"/>
                <w:szCs w:val="21"/>
              </w:rPr>
              <w:t>O</w:t>
            </w:r>
            <w:r w:rsidRPr="005B07F8">
              <w:rPr>
                <w:rFonts w:asciiTheme="minorEastAsia" w:eastAsiaTheme="minorEastAsia" w:hAnsiTheme="minorEastAsia"/>
                <w:szCs w:val="21"/>
                <w:vertAlign w:val="subscript"/>
              </w:rPr>
              <w:t>3</w:t>
            </w:r>
          </w:p>
        </w:tc>
        <w:tc>
          <w:tcPr>
            <w:tcW w:w="3797" w:type="dxa"/>
            <w:gridSpan w:val="2"/>
            <w:tcBorders>
              <w:right w:val="single" w:sz="12" w:space="0" w:color="auto"/>
            </w:tcBorders>
            <w:vAlign w:val="center"/>
          </w:tcPr>
          <w:p w14:paraId="63CA05A8"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0.035</w:t>
            </w:r>
          </w:p>
        </w:tc>
      </w:tr>
      <w:tr w:rsidR="00D12858" w:rsidRPr="00FE4F1E" w14:paraId="033AC90A" w14:textId="77777777" w:rsidTr="00DD2E25">
        <w:trPr>
          <w:trHeight w:val="20"/>
          <w:jc w:val="center"/>
        </w:trPr>
        <w:tc>
          <w:tcPr>
            <w:tcW w:w="1260" w:type="dxa"/>
            <w:vMerge/>
            <w:tcBorders>
              <w:left w:val="single" w:sz="12" w:space="0" w:color="auto"/>
              <w:right w:val="single" w:sz="4" w:space="0" w:color="auto"/>
            </w:tcBorders>
          </w:tcPr>
          <w:p w14:paraId="5A1F95EE"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08C7A36E"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6DD56FE0"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SiO</w:t>
            </w:r>
            <w:r w:rsidRPr="005B07F8">
              <w:rPr>
                <w:rFonts w:asciiTheme="minorEastAsia" w:eastAsiaTheme="minorEastAsia" w:hAnsiTheme="minorEastAsia"/>
                <w:szCs w:val="21"/>
                <w:vertAlign w:val="subscript"/>
              </w:rPr>
              <w:t>2</w:t>
            </w:r>
          </w:p>
        </w:tc>
        <w:tc>
          <w:tcPr>
            <w:tcW w:w="3797" w:type="dxa"/>
            <w:gridSpan w:val="2"/>
            <w:tcBorders>
              <w:right w:val="single" w:sz="12" w:space="0" w:color="auto"/>
            </w:tcBorders>
            <w:vAlign w:val="center"/>
          </w:tcPr>
          <w:p w14:paraId="3031D811"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0.020</w:t>
            </w:r>
          </w:p>
        </w:tc>
      </w:tr>
      <w:tr w:rsidR="00D12858" w:rsidRPr="00FE4F1E" w14:paraId="0699809C" w14:textId="77777777" w:rsidTr="00DD2E25">
        <w:trPr>
          <w:trHeight w:val="20"/>
          <w:jc w:val="center"/>
        </w:trPr>
        <w:tc>
          <w:tcPr>
            <w:tcW w:w="1260" w:type="dxa"/>
            <w:vMerge/>
            <w:tcBorders>
              <w:left w:val="single" w:sz="12" w:space="0" w:color="auto"/>
              <w:right w:val="single" w:sz="4" w:space="0" w:color="auto"/>
            </w:tcBorders>
          </w:tcPr>
          <w:p w14:paraId="013F3557"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70EE00A1"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759B0FE6"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CaO</w:t>
            </w:r>
          </w:p>
        </w:tc>
        <w:tc>
          <w:tcPr>
            <w:tcW w:w="3797" w:type="dxa"/>
            <w:gridSpan w:val="2"/>
            <w:tcBorders>
              <w:right w:val="single" w:sz="12" w:space="0" w:color="auto"/>
            </w:tcBorders>
            <w:vAlign w:val="center"/>
          </w:tcPr>
          <w:p w14:paraId="58BDDB78"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0.025</w:t>
            </w:r>
          </w:p>
        </w:tc>
      </w:tr>
      <w:tr w:rsidR="00D12858" w:rsidRPr="00FE4F1E" w14:paraId="67C3B896" w14:textId="77777777" w:rsidTr="00DD2E25">
        <w:trPr>
          <w:trHeight w:val="20"/>
          <w:jc w:val="center"/>
        </w:trPr>
        <w:tc>
          <w:tcPr>
            <w:tcW w:w="1260" w:type="dxa"/>
            <w:vMerge/>
            <w:tcBorders>
              <w:left w:val="single" w:sz="12" w:space="0" w:color="auto"/>
              <w:right w:val="single" w:sz="4" w:space="0" w:color="auto"/>
            </w:tcBorders>
          </w:tcPr>
          <w:p w14:paraId="49E7975F"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54A6E1EA"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2135B603"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NiO</w:t>
            </w:r>
          </w:p>
        </w:tc>
        <w:tc>
          <w:tcPr>
            <w:tcW w:w="3797" w:type="dxa"/>
            <w:gridSpan w:val="2"/>
            <w:tcBorders>
              <w:right w:val="single" w:sz="12" w:space="0" w:color="auto"/>
            </w:tcBorders>
            <w:vAlign w:val="center"/>
          </w:tcPr>
          <w:p w14:paraId="24944910"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0.05</w:t>
            </w:r>
            <w:r w:rsidRPr="005B07F8">
              <w:rPr>
                <w:rFonts w:asciiTheme="minorEastAsia" w:eastAsiaTheme="minorEastAsia" w:hAnsiTheme="minorEastAsia" w:hint="eastAsia"/>
                <w:szCs w:val="21"/>
              </w:rPr>
              <w:t>0</w:t>
            </w:r>
          </w:p>
        </w:tc>
      </w:tr>
      <w:tr w:rsidR="00D12858" w:rsidRPr="00FE4F1E" w14:paraId="3A38738B" w14:textId="77777777" w:rsidTr="00DD2E25">
        <w:trPr>
          <w:trHeight w:val="20"/>
          <w:jc w:val="center"/>
        </w:trPr>
        <w:tc>
          <w:tcPr>
            <w:tcW w:w="1260" w:type="dxa"/>
            <w:vMerge/>
            <w:tcBorders>
              <w:left w:val="single" w:sz="12" w:space="0" w:color="auto"/>
              <w:right w:val="single" w:sz="4" w:space="0" w:color="auto"/>
            </w:tcBorders>
          </w:tcPr>
          <w:p w14:paraId="5A8D4129"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7809A698"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25491A38"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Al</w:t>
            </w:r>
            <w:r w:rsidRPr="005B07F8">
              <w:rPr>
                <w:rFonts w:asciiTheme="minorEastAsia" w:eastAsiaTheme="minorEastAsia" w:hAnsiTheme="minorEastAsia"/>
                <w:szCs w:val="21"/>
                <w:vertAlign w:val="subscript"/>
              </w:rPr>
              <w:t>2</w:t>
            </w:r>
            <w:r w:rsidRPr="005B07F8">
              <w:rPr>
                <w:rFonts w:asciiTheme="minorEastAsia" w:eastAsiaTheme="minorEastAsia" w:hAnsiTheme="minorEastAsia"/>
                <w:szCs w:val="21"/>
              </w:rPr>
              <w:t>O</w:t>
            </w:r>
            <w:r w:rsidRPr="005B07F8">
              <w:rPr>
                <w:rFonts w:asciiTheme="minorEastAsia" w:eastAsiaTheme="minorEastAsia" w:hAnsiTheme="minorEastAsia"/>
                <w:szCs w:val="21"/>
                <w:vertAlign w:val="subscript"/>
              </w:rPr>
              <w:t>3</w:t>
            </w:r>
          </w:p>
        </w:tc>
        <w:tc>
          <w:tcPr>
            <w:tcW w:w="3797" w:type="dxa"/>
            <w:gridSpan w:val="2"/>
            <w:tcBorders>
              <w:right w:val="single" w:sz="12" w:space="0" w:color="auto"/>
            </w:tcBorders>
            <w:vAlign w:val="center"/>
          </w:tcPr>
          <w:p w14:paraId="007F99B5"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0.02</w:t>
            </w:r>
            <w:r w:rsidRPr="005B07F8">
              <w:rPr>
                <w:rFonts w:asciiTheme="minorEastAsia" w:eastAsiaTheme="minorEastAsia" w:hAnsiTheme="minorEastAsia" w:hint="eastAsia"/>
                <w:szCs w:val="21"/>
              </w:rPr>
              <w:t>0</w:t>
            </w:r>
          </w:p>
        </w:tc>
      </w:tr>
      <w:tr w:rsidR="00D12858" w:rsidRPr="00FE4F1E" w14:paraId="30272D86" w14:textId="77777777" w:rsidTr="00DD2E25">
        <w:trPr>
          <w:trHeight w:val="20"/>
          <w:jc w:val="center"/>
        </w:trPr>
        <w:tc>
          <w:tcPr>
            <w:tcW w:w="1260" w:type="dxa"/>
            <w:vMerge/>
            <w:tcBorders>
              <w:left w:val="single" w:sz="12" w:space="0" w:color="auto"/>
              <w:right w:val="single" w:sz="4" w:space="0" w:color="auto"/>
            </w:tcBorders>
          </w:tcPr>
          <w:p w14:paraId="22B57D95"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1689" w:type="dxa"/>
            <w:vMerge/>
            <w:tcBorders>
              <w:left w:val="single" w:sz="4" w:space="0" w:color="auto"/>
            </w:tcBorders>
            <w:vAlign w:val="center"/>
          </w:tcPr>
          <w:p w14:paraId="279F7327"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2443" w:type="dxa"/>
            <w:vAlign w:val="center"/>
          </w:tcPr>
          <w:p w14:paraId="2B117796"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O</w:t>
            </w:r>
          </w:p>
        </w:tc>
        <w:tc>
          <w:tcPr>
            <w:tcW w:w="3797" w:type="dxa"/>
            <w:gridSpan w:val="2"/>
            <w:tcBorders>
              <w:right w:val="single" w:sz="12" w:space="0" w:color="auto"/>
            </w:tcBorders>
            <w:vAlign w:val="center"/>
          </w:tcPr>
          <w:p w14:paraId="582575DB" w14:textId="77777777" w:rsidR="00D12858" w:rsidRPr="005B07F8" w:rsidRDefault="00D12858" w:rsidP="0044111D">
            <w:pPr>
              <w:jc w:val="center"/>
              <w:rPr>
                <w:rFonts w:asciiTheme="minorEastAsia" w:eastAsiaTheme="minorEastAsia" w:hAnsiTheme="minorEastAsia"/>
                <w:szCs w:val="21"/>
              </w:rPr>
            </w:pPr>
            <w:r w:rsidRPr="005B07F8">
              <w:rPr>
                <w:rFonts w:asciiTheme="minorEastAsia" w:eastAsiaTheme="minorEastAsia" w:hAnsiTheme="minorEastAsia"/>
                <w:szCs w:val="21"/>
              </w:rPr>
              <w:t>0.1</w:t>
            </w:r>
            <w:r w:rsidRPr="005B07F8">
              <w:rPr>
                <w:rFonts w:asciiTheme="minorEastAsia" w:eastAsiaTheme="minorEastAsia" w:hAnsiTheme="minorEastAsia" w:hint="eastAsia"/>
                <w:szCs w:val="21"/>
              </w:rPr>
              <w:t>0</w:t>
            </w:r>
          </w:p>
        </w:tc>
      </w:tr>
      <w:tr w:rsidR="00D12858" w:rsidRPr="00FE4F1E" w14:paraId="66593681" w14:textId="77777777" w:rsidTr="00DD2E25">
        <w:trPr>
          <w:trHeight w:val="20"/>
          <w:jc w:val="center"/>
        </w:trPr>
        <w:tc>
          <w:tcPr>
            <w:tcW w:w="1260" w:type="dxa"/>
            <w:vMerge/>
            <w:tcBorders>
              <w:left w:val="single" w:sz="12" w:space="0" w:color="auto"/>
              <w:bottom w:val="single" w:sz="12" w:space="0" w:color="auto"/>
              <w:right w:val="single" w:sz="4" w:space="0" w:color="auto"/>
            </w:tcBorders>
          </w:tcPr>
          <w:p w14:paraId="6A0A34C9" w14:textId="77777777" w:rsidR="00D12858" w:rsidRPr="005B07F8" w:rsidRDefault="00D12858" w:rsidP="0044111D">
            <w:pPr>
              <w:ind w:firstLineChars="200" w:firstLine="420"/>
              <w:jc w:val="center"/>
              <w:rPr>
                <w:rFonts w:asciiTheme="minorEastAsia" w:eastAsiaTheme="minorEastAsia" w:hAnsiTheme="minorEastAsia"/>
                <w:szCs w:val="21"/>
              </w:rPr>
            </w:pPr>
          </w:p>
        </w:tc>
        <w:tc>
          <w:tcPr>
            <w:tcW w:w="4133" w:type="dxa"/>
            <w:gridSpan w:val="2"/>
            <w:tcBorders>
              <w:left w:val="single" w:sz="4" w:space="0" w:color="auto"/>
              <w:bottom w:val="single" w:sz="12" w:space="0" w:color="auto"/>
            </w:tcBorders>
            <w:vAlign w:val="center"/>
          </w:tcPr>
          <w:p w14:paraId="2497EB52" w14:textId="77777777" w:rsidR="00D12858" w:rsidRPr="005B07F8" w:rsidRDefault="00D12858" w:rsidP="0044111D">
            <w:pPr>
              <w:jc w:val="center"/>
              <w:rPr>
                <w:rFonts w:asciiTheme="minorEastAsia" w:eastAsiaTheme="minorEastAsia" w:hAnsiTheme="minorEastAsia"/>
                <w:color w:val="000000" w:themeColor="text1"/>
                <w:szCs w:val="21"/>
              </w:rPr>
            </w:pPr>
            <w:r w:rsidRPr="005B07F8">
              <w:rPr>
                <w:rFonts w:asciiTheme="minorEastAsia" w:eastAsiaTheme="minorEastAsia" w:hAnsiTheme="minorEastAsia" w:cs="宋体"/>
                <w:color w:val="000000" w:themeColor="text1"/>
                <w:szCs w:val="21"/>
              </w:rPr>
              <w:t>W（H</w:t>
            </w:r>
            <w:r w:rsidRPr="005B07F8">
              <w:rPr>
                <w:rFonts w:asciiTheme="minorEastAsia" w:eastAsiaTheme="minorEastAsia" w:hAnsiTheme="minorEastAsia" w:cs="宋体"/>
                <w:color w:val="000000" w:themeColor="text1"/>
                <w:szCs w:val="21"/>
                <w:vertAlign w:val="subscript"/>
              </w:rPr>
              <w:t>2</w:t>
            </w:r>
            <w:r w:rsidRPr="005B07F8">
              <w:rPr>
                <w:rFonts w:asciiTheme="minorEastAsia" w:eastAsiaTheme="minorEastAsia" w:hAnsiTheme="minorEastAsia" w:cs="宋体"/>
                <w:color w:val="000000" w:themeColor="text1"/>
                <w:szCs w:val="21"/>
              </w:rPr>
              <w:t>O），不大于</w:t>
            </w:r>
          </w:p>
        </w:tc>
        <w:tc>
          <w:tcPr>
            <w:tcW w:w="3797" w:type="dxa"/>
            <w:gridSpan w:val="2"/>
            <w:tcBorders>
              <w:bottom w:val="single" w:sz="12" w:space="0" w:color="auto"/>
              <w:right w:val="single" w:sz="12" w:space="0" w:color="auto"/>
            </w:tcBorders>
            <w:vAlign w:val="center"/>
          </w:tcPr>
          <w:p w14:paraId="732B7CA2" w14:textId="77777777" w:rsidR="00D12858" w:rsidRPr="005B07F8" w:rsidRDefault="00D12858" w:rsidP="0044111D">
            <w:pPr>
              <w:jc w:val="center"/>
              <w:rPr>
                <w:rFonts w:asciiTheme="minorEastAsia" w:eastAsiaTheme="minorEastAsia" w:hAnsiTheme="minorEastAsia"/>
                <w:color w:val="000000" w:themeColor="text1"/>
                <w:szCs w:val="21"/>
              </w:rPr>
            </w:pPr>
            <w:r w:rsidRPr="005B07F8">
              <w:rPr>
                <w:rFonts w:asciiTheme="minorEastAsia" w:eastAsiaTheme="minorEastAsia" w:hAnsiTheme="minorEastAsia" w:cs="宋体"/>
                <w:color w:val="000000" w:themeColor="text1"/>
                <w:szCs w:val="21"/>
              </w:rPr>
              <w:t>0.5</w:t>
            </w:r>
          </w:p>
        </w:tc>
      </w:tr>
    </w:tbl>
    <w:p w14:paraId="0CA96F31" w14:textId="77777777" w:rsidR="00DD2E25" w:rsidRDefault="00DD2E25" w:rsidP="00DD2E25">
      <w:pPr>
        <w:spacing w:beforeLines="50" w:before="156" w:afterLines="50" w:after="156"/>
        <w:ind w:firstLineChars="200" w:firstLine="420"/>
        <w:rPr>
          <w:szCs w:val="21"/>
        </w:rPr>
      </w:pPr>
    </w:p>
    <w:p w14:paraId="31BCFD29" w14:textId="7639D660" w:rsidR="005B07F8" w:rsidRPr="00DD2E25" w:rsidRDefault="00A6172F" w:rsidP="00DD2E25">
      <w:pPr>
        <w:spacing w:beforeLines="50" w:before="156" w:afterLines="50" w:after="156" w:line="312" w:lineRule="auto"/>
        <w:ind w:firstLineChars="200" w:firstLine="420"/>
        <w:rPr>
          <w:szCs w:val="21"/>
        </w:rPr>
      </w:pPr>
      <w:r>
        <w:rPr>
          <w:szCs w:val="21"/>
        </w:rPr>
        <w:t>2</w:t>
      </w:r>
      <w:r w:rsidR="00DD2E25">
        <w:rPr>
          <w:rFonts w:hint="eastAsia"/>
          <w:szCs w:val="21"/>
        </w:rPr>
        <w:t>、</w:t>
      </w:r>
      <w:r w:rsidR="005B07F8" w:rsidRPr="00DD2E25">
        <w:rPr>
          <w:rFonts w:hint="eastAsia"/>
          <w:szCs w:val="21"/>
        </w:rPr>
        <w:t>其他内容规定</w:t>
      </w:r>
    </w:p>
    <w:p w14:paraId="332E405A" w14:textId="6166FC33" w:rsidR="00D12858" w:rsidRPr="00F85004" w:rsidRDefault="00DD2E25" w:rsidP="00DD2E25">
      <w:pPr>
        <w:spacing w:line="360" w:lineRule="auto"/>
        <w:ind w:firstLine="435"/>
        <w:rPr>
          <w:szCs w:val="21"/>
        </w:rPr>
      </w:pPr>
      <w:r w:rsidRPr="005B07F8">
        <w:rPr>
          <w:rFonts w:hint="eastAsia"/>
          <w:szCs w:val="21"/>
        </w:rPr>
        <w:t>产品为白色粉末，无目视可见的夹杂物。</w:t>
      </w:r>
      <w:r w:rsidR="005B07F8" w:rsidRPr="00C252BE">
        <w:rPr>
          <w:rFonts w:hint="eastAsia"/>
          <w:szCs w:val="21"/>
        </w:rPr>
        <w:t>本标准还规定了</w:t>
      </w:r>
      <w:r w:rsidR="005B07F8" w:rsidRPr="005B07F8">
        <w:rPr>
          <w:rFonts w:hint="eastAsia"/>
          <w:szCs w:val="21"/>
        </w:rPr>
        <w:t>、数值修约、检验规格以及标志、包装、运输、贮存及质量证明书。</w:t>
      </w:r>
    </w:p>
    <w:p w14:paraId="6C716803" w14:textId="2CBFB9D4" w:rsidR="009507EE" w:rsidRDefault="00100E6F">
      <w:pPr>
        <w:spacing w:beforeLines="50" w:before="156" w:afterLines="50" w:after="156" w:line="312" w:lineRule="auto"/>
        <w:rPr>
          <w:rFonts w:ascii="黑体" w:eastAsia="黑体" w:hAnsi="宋体"/>
          <w:bCs/>
          <w:sz w:val="24"/>
        </w:rPr>
      </w:pPr>
      <w:r>
        <w:rPr>
          <w:rFonts w:ascii="黑体" w:eastAsia="黑体" w:hAnsi="宋体" w:hint="eastAsia"/>
          <w:bCs/>
          <w:sz w:val="24"/>
        </w:rPr>
        <w:t>四</w:t>
      </w:r>
      <w:r>
        <w:rPr>
          <w:rFonts w:ascii="黑体" w:eastAsia="黑体" w:hAnsi="宋体"/>
          <w:bCs/>
          <w:sz w:val="24"/>
        </w:rPr>
        <w:t>、</w:t>
      </w:r>
      <w:r>
        <w:rPr>
          <w:rFonts w:ascii="黑体" w:eastAsia="黑体" w:hAnsi="宋体" w:hint="eastAsia"/>
          <w:bCs/>
          <w:sz w:val="24"/>
        </w:rPr>
        <w:t>标准中涉及专利的情况</w:t>
      </w:r>
    </w:p>
    <w:p w14:paraId="55B0215E" w14:textId="77777777" w:rsidR="009507EE" w:rsidRDefault="00100E6F">
      <w:pPr>
        <w:spacing w:beforeLines="50" w:before="156" w:afterLines="50" w:after="156" w:line="312" w:lineRule="auto"/>
        <w:ind w:firstLineChars="200" w:firstLine="420"/>
      </w:pPr>
      <w:r>
        <w:rPr>
          <w:rFonts w:hAnsi="宋体" w:hint="eastAsia"/>
        </w:rPr>
        <w:t>本标准不涉及专利和知识产权问题。</w:t>
      </w:r>
    </w:p>
    <w:p w14:paraId="60FCEABD"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五</w:t>
      </w:r>
      <w:r w:rsidRPr="00A6172F">
        <w:rPr>
          <w:rFonts w:ascii="黑体" w:eastAsia="黑体" w:hAnsi="宋体"/>
          <w:bCs/>
          <w:sz w:val="24"/>
        </w:rPr>
        <w:t>、</w:t>
      </w:r>
      <w:r w:rsidRPr="00A6172F">
        <w:rPr>
          <w:rFonts w:ascii="黑体" w:eastAsia="黑体" w:hAnsi="宋体" w:hint="eastAsia"/>
          <w:bCs/>
          <w:sz w:val="24"/>
        </w:rPr>
        <w:t>预期达到的社会效益</w:t>
      </w:r>
    </w:p>
    <w:p w14:paraId="61C63B76"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（一）项目的必要性简述</w:t>
      </w:r>
    </w:p>
    <w:p w14:paraId="2CAFDB44" w14:textId="252B064A" w:rsidR="007E7E5F" w:rsidRPr="004F5E10" w:rsidRDefault="007E7E5F" w:rsidP="007E7E5F">
      <w:pPr>
        <w:spacing w:line="360" w:lineRule="auto"/>
        <w:ind w:firstLineChars="200" w:firstLine="420"/>
        <w:rPr>
          <w:szCs w:val="21"/>
        </w:rPr>
      </w:pPr>
      <w:r w:rsidRPr="004F5E10">
        <w:rPr>
          <w:rFonts w:hint="eastAsia"/>
          <w:szCs w:val="21"/>
        </w:rPr>
        <w:t>烧结钕铁硼永磁材料由于其优异的磁性能广泛应用于电子、电力机械、医疗器械、玩具、包装、五金机械、航天航空等领域，是</w:t>
      </w:r>
      <w:r w:rsidR="00CE37BB">
        <w:rPr>
          <w:rFonts w:hint="eastAsia"/>
          <w:szCs w:val="21"/>
        </w:rPr>
        <w:t>2</w:t>
      </w:r>
      <w:r w:rsidR="00CE37BB">
        <w:rPr>
          <w:szCs w:val="21"/>
        </w:rPr>
        <w:t>1</w:t>
      </w:r>
      <w:r w:rsidRPr="004F5E10">
        <w:rPr>
          <w:rFonts w:hint="eastAsia"/>
          <w:szCs w:val="21"/>
        </w:rPr>
        <w:t>世纪清洁能源开发中必不可少也是迄今为止无法替代的永磁材料。</w:t>
      </w:r>
    </w:p>
    <w:p w14:paraId="717B87DB" w14:textId="77777777" w:rsidR="007E7E5F" w:rsidRPr="004F5E10" w:rsidRDefault="007E7E5F" w:rsidP="007E7E5F">
      <w:pPr>
        <w:spacing w:line="360" w:lineRule="auto"/>
        <w:ind w:firstLineChars="200" w:firstLine="420"/>
        <w:rPr>
          <w:szCs w:val="21"/>
        </w:rPr>
      </w:pPr>
      <w:r w:rsidRPr="004F5E10">
        <w:rPr>
          <w:rFonts w:hint="eastAsia"/>
          <w:szCs w:val="21"/>
        </w:rPr>
        <w:lastRenderedPageBreak/>
        <w:t>Tb/Dy</w:t>
      </w:r>
      <w:r w:rsidRPr="004F5E10">
        <w:rPr>
          <w:rFonts w:hint="eastAsia"/>
          <w:szCs w:val="21"/>
        </w:rPr>
        <w:t>等重稀土元素取代烧结钕铁硼主相晶粒内的</w:t>
      </w:r>
      <w:r w:rsidRPr="004F5E10">
        <w:rPr>
          <w:rFonts w:hint="eastAsia"/>
          <w:szCs w:val="21"/>
        </w:rPr>
        <w:t>Nd</w:t>
      </w:r>
      <w:r w:rsidRPr="004F5E10">
        <w:rPr>
          <w:rFonts w:hint="eastAsia"/>
          <w:szCs w:val="21"/>
        </w:rPr>
        <w:t>，将提高主相磁晶各向异性场，大幅增加磁体矫顽力。传统添加</w:t>
      </w:r>
      <w:r w:rsidRPr="004F5E10">
        <w:rPr>
          <w:rFonts w:hint="eastAsia"/>
          <w:szCs w:val="21"/>
        </w:rPr>
        <w:t>Dy/Tb</w:t>
      </w:r>
      <w:r w:rsidRPr="004F5E10">
        <w:rPr>
          <w:rFonts w:hint="eastAsia"/>
          <w:szCs w:val="21"/>
        </w:rPr>
        <w:t>的方法为在钕铁硼主相中加入，</w:t>
      </w:r>
      <w:r w:rsidRPr="004F5E10">
        <w:rPr>
          <w:rFonts w:hint="eastAsia"/>
          <w:szCs w:val="21"/>
        </w:rPr>
        <w:t>Dy/Tb</w:t>
      </w:r>
      <w:r>
        <w:rPr>
          <w:rFonts w:hint="eastAsia"/>
          <w:szCs w:val="21"/>
        </w:rPr>
        <w:t>元素</w:t>
      </w:r>
      <w:r w:rsidRPr="004F5E10">
        <w:rPr>
          <w:rFonts w:hint="eastAsia"/>
          <w:szCs w:val="21"/>
        </w:rPr>
        <w:t>添加量大且会造成剩磁及磁能积大幅下降。晶界扩散技术可以让重稀土只进入烧结磁体的晶界相，在保证剩磁不降低的情况下可大幅提高磁体矫顽力，同时在达到同样磁性能的情况下也有利于降低重稀土使用量。作为钕铁硼磁体晶界扩散的重要方法之一，重稀土氟化物表面涂覆法具有工艺简单</w:t>
      </w:r>
      <w:r>
        <w:rPr>
          <w:rFonts w:hint="eastAsia"/>
          <w:szCs w:val="21"/>
        </w:rPr>
        <w:t>、</w:t>
      </w:r>
      <w:r w:rsidRPr="004F5E10">
        <w:rPr>
          <w:rFonts w:hint="eastAsia"/>
          <w:szCs w:val="21"/>
        </w:rPr>
        <w:t>整体成本低等优势，近年来得到行业的普遍应用</w:t>
      </w:r>
      <w:r>
        <w:rPr>
          <w:rFonts w:hint="eastAsia"/>
          <w:szCs w:val="21"/>
        </w:rPr>
        <w:t>，</w:t>
      </w:r>
      <w:r w:rsidRPr="004F5E10">
        <w:rPr>
          <w:rFonts w:hint="eastAsia"/>
          <w:szCs w:val="21"/>
        </w:rPr>
        <w:t>我国晶界扩散用重稀土氟化物年需求量</w:t>
      </w:r>
      <w:r w:rsidRPr="004F5E10">
        <w:rPr>
          <w:rFonts w:hint="eastAsia"/>
          <w:szCs w:val="21"/>
        </w:rPr>
        <w:t>10</w:t>
      </w:r>
      <w:r w:rsidRPr="004F5E10">
        <w:rPr>
          <w:rFonts w:hint="eastAsia"/>
          <w:szCs w:val="21"/>
        </w:rPr>
        <w:t>吨以上，并呈现快速增长的趋势。目前</w:t>
      </w:r>
      <w:r>
        <w:rPr>
          <w:rFonts w:hint="eastAsia"/>
          <w:szCs w:val="21"/>
        </w:rPr>
        <w:t>我国</w:t>
      </w:r>
      <w:r w:rsidRPr="004F5E10">
        <w:rPr>
          <w:rFonts w:hint="eastAsia"/>
          <w:szCs w:val="21"/>
        </w:rPr>
        <w:t>还没有关于烧结钕铁硼晶界扩散用稀土氟化物产品的相关标准，极大影响了烧结钕铁硼晶界扩散用稀土氟化物的推广、生产、销售和应用</w:t>
      </w:r>
      <w:r>
        <w:rPr>
          <w:rFonts w:hint="eastAsia"/>
          <w:szCs w:val="21"/>
        </w:rPr>
        <w:t>，也不能有效促进我国稀土新材料创新发展</w:t>
      </w:r>
      <w:r w:rsidRPr="004F5E10">
        <w:rPr>
          <w:rFonts w:hint="eastAsia"/>
          <w:szCs w:val="21"/>
        </w:rPr>
        <w:t>。</w:t>
      </w:r>
    </w:p>
    <w:p w14:paraId="2B17D9B1" w14:textId="77777777" w:rsidR="007E7E5F" w:rsidRPr="004F5E10" w:rsidRDefault="007E7E5F" w:rsidP="007E7E5F">
      <w:pPr>
        <w:spacing w:line="360" w:lineRule="auto"/>
        <w:ind w:firstLineChars="200" w:firstLine="420"/>
        <w:rPr>
          <w:szCs w:val="21"/>
        </w:rPr>
      </w:pPr>
      <w:r w:rsidRPr="004F5E10">
        <w:rPr>
          <w:rFonts w:hint="eastAsia"/>
          <w:szCs w:val="21"/>
        </w:rPr>
        <w:t>稀土永磁材料作为</w:t>
      </w:r>
      <w:r w:rsidRPr="004F5E10">
        <w:rPr>
          <w:rFonts w:hint="eastAsia"/>
          <w:szCs w:val="21"/>
        </w:rPr>
        <w:t>21</w:t>
      </w:r>
      <w:r w:rsidRPr="004F5E10">
        <w:rPr>
          <w:rFonts w:hint="eastAsia"/>
          <w:szCs w:val="21"/>
        </w:rPr>
        <w:t>世纪新兴产业发展中必不可少的关键材料，也是美日欧等发达国家新材料产业中的战略材料。《中国制造</w:t>
      </w:r>
      <w:r w:rsidRPr="004F5E10">
        <w:rPr>
          <w:rFonts w:hint="eastAsia"/>
          <w:szCs w:val="21"/>
        </w:rPr>
        <w:t>2025</w:t>
      </w:r>
      <w:r w:rsidRPr="004F5E10">
        <w:rPr>
          <w:rFonts w:hint="eastAsia"/>
          <w:szCs w:val="21"/>
        </w:rPr>
        <w:t>》指出关键战略材料包括稀土功能材料是实现战略新兴产业创新驱动发展战略的重要物质基础。《新材料产业发展指南》将高性能永磁等稀土功能材料作为关键战略材料，对推动技术创新，支撑产业升级，建设制造强国具有重要战略意义。国务院印发的关于“十三五”国家科技创新规划的通知，部署启动新的重大科技项目，重点推进新材料的研发及应用，内容包括研制稀土新材料、军用新材料等，突破制备、评价、应用等核心关键技术。烧结钕铁硼磁体晶界扩散用稀土氟化物作为制备高性能稀土永磁材料的重要基础原料，建立相关标准有助于推动稀土永磁材料产业发展。</w:t>
      </w:r>
    </w:p>
    <w:p w14:paraId="4D071BF7" w14:textId="77777777" w:rsidR="007E7E5F" w:rsidRDefault="007E7E5F" w:rsidP="007E7E5F">
      <w:pPr>
        <w:spacing w:line="360" w:lineRule="auto"/>
        <w:ind w:firstLineChars="200" w:firstLine="420"/>
        <w:rPr>
          <w:szCs w:val="21"/>
        </w:rPr>
      </w:pPr>
      <w:r>
        <w:rPr>
          <w:rFonts w:hint="eastAsia"/>
          <w:szCs w:val="21"/>
        </w:rPr>
        <w:t>因此，</w:t>
      </w:r>
      <w:bookmarkStart w:id="4" w:name="_Hlk73433950"/>
      <w:r w:rsidRPr="004F5E10">
        <w:rPr>
          <w:rFonts w:hint="eastAsia"/>
          <w:szCs w:val="21"/>
        </w:rPr>
        <w:t>制定晶界扩散用稀土</w:t>
      </w:r>
      <w:r>
        <w:rPr>
          <w:rFonts w:hint="eastAsia"/>
          <w:szCs w:val="21"/>
        </w:rPr>
        <w:t>氟化铽、氟化镝</w:t>
      </w:r>
      <w:r w:rsidRPr="004F5E10">
        <w:rPr>
          <w:rFonts w:hint="eastAsia"/>
          <w:szCs w:val="21"/>
        </w:rPr>
        <w:t>行业标准有利于规范、引导和监督稀土氟化物产品市场，适应市场的变化，促进整个稀土行业健康发展；同时有利于推动重稀土氟化物表面涂覆工艺在稀土永磁行业内的推广应用，对保护和节约我国保贵的重稀土资源具有重要意义。</w:t>
      </w:r>
      <w:bookmarkEnd w:id="4"/>
    </w:p>
    <w:p w14:paraId="2172572E"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（二）项目的可行性简述</w:t>
      </w:r>
    </w:p>
    <w:p w14:paraId="3C825521" w14:textId="77777777" w:rsidR="000747A8" w:rsidRDefault="000747A8" w:rsidP="000747A8">
      <w:pPr>
        <w:spacing w:line="360" w:lineRule="auto"/>
        <w:ind w:firstLine="420"/>
        <w:rPr>
          <w:color w:val="000000"/>
          <w:kern w:val="0"/>
          <w:szCs w:val="21"/>
        </w:rPr>
      </w:pPr>
      <w:r w:rsidRPr="00407808">
        <w:rPr>
          <w:rFonts w:hint="eastAsia"/>
          <w:color w:val="000000"/>
          <w:kern w:val="0"/>
          <w:szCs w:val="21"/>
        </w:rPr>
        <w:t>有研稀土是我国最早从事稀土研究的单位之一</w:t>
      </w:r>
      <w:r>
        <w:rPr>
          <w:rFonts w:hint="eastAsia"/>
          <w:color w:val="000000"/>
          <w:kern w:val="0"/>
          <w:szCs w:val="21"/>
        </w:rPr>
        <w:t>，</w:t>
      </w:r>
      <w:r w:rsidRPr="00F91FBC">
        <w:rPr>
          <w:rFonts w:hint="eastAsia"/>
          <w:color w:val="000000"/>
          <w:kern w:val="0"/>
          <w:szCs w:val="21"/>
        </w:rPr>
        <w:t>是国内外著名的全方位从事稀土冶炼分离、提纯工艺技术和稀土磁、光、电、生物、催化等功能材料制备技术的研究、工程化和产业化技术开发的单位</w:t>
      </w:r>
      <w:r>
        <w:rPr>
          <w:rFonts w:hint="eastAsia"/>
          <w:color w:val="000000"/>
          <w:kern w:val="0"/>
          <w:szCs w:val="21"/>
        </w:rPr>
        <w:t>，</w:t>
      </w:r>
      <w:r w:rsidRPr="00407808">
        <w:rPr>
          <w:rFonts w:hint="eastAsia"/>
          <w:color w:val="000000"/>
          <w:kern w:val="0"/>
          <w:szCs w:val="21"/>
        </w:rPr>
        <w:t>承担过多项国家重点项目，是我国稀土</w:t>
      </w:r>
      <w:r>
        <w:rPr>
          <w:rFonts w:hint="eastAsia"/>
          <w:color w:val="000000"/>
          <w:kern w:val="0"/>
          <w:szCs w:val="21"/>
        </w:rPr>
        <w:t>材料</w:t>
      </w:r>
      <w:r w:rsidRPr="00407808">
        <w:rPr>
          <w:rFonts w:hint="eastAsia"/>
          <w:color w:val="000000"/>
          <w:kern w:val="0"/>
          <w:szCs w:val="21"/>
        </w:rPr>
        <w:t>领域领军企业。已建成</w:t>
      </w:r>
      <w:r>
        <w:rPr>
          <w:rFonts w:hint="eastAsia"/>
          <w:color w:val="000000"/>
          <w:kern w:val="0"/>
          <w:szCs w:val="21"/>
        </w:rPr>
        <w:t>年产能</w:t>
      </w:r>
      <w:r>
        <w:rPr>
          <w:rFonts w:hint="eastAsia"/>
          <w:color w:val="000000"/>
          <w:kern w:val="0"/>
          <w:szCs w:val="21"/>
        </w:rPr>
        <w:t>300</w:t>
      </w:r>
      <w:r>
        <w:rPr>
          <w:rFonts w:hint="eastAsia"/>
          <w:color w:val="000000"/>
          <w:kern w:val="0"/>
          <w:szCs w:val="21"/>
        </w:rPr>
        <w:t>吨中重稀土氟化物生产线，</w:t>
      </w:r>
      <w:r w:rsidRPr="008E0516">
        <w:rPr>
          <w:rFonts w:hint="eastAsia"/>
          <w:szCs w:val="21"/>
        </w:rPr>
        <w:t>烧结钕铁硼磁体晶界扩散用稀土氟化物</w:t>
      </w:r>
      <w:r>
        <w:rPr>
          <w:rFonts w:hint="eastAsia"/>
          <w:szCs w:val="21"/>
        </w:rPr>
        <w:t>产品在多家知名磁材企业推广并稳定应用。</w:t>
      </w:r>
    </w:p>
    <w:p w14:paraId="012359C2"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（三）标准的先进性、创新性、标准实施后预期产生的经济效益和社会效益</w:t>
      </w:r>
    </w:p>
    <w:p w14:paraId="58EF7CBD" w14:textId="7B1B1FD0" w:rsidR="007E7E5F" w:rsidRPr="007E7E5F" w:rsidRDefault="00C7010E" w:rsidP="007E7E5F">
      <w:pPr>
        <w:spacing w:line="312" w:lineRule="auto"/>
        <w:ind w:firstLineChars="200" w:firstLine="420"/>
      </w:pPr>
      <w:r w:rsidRPr="007E7E5F">
        <w:rPr>
          <w:rFonts w:hint="eastAsia"/>
        </w:rPr>
        <w:t>烧结钕铁硼磁体晶界扩散用稀土氟化物目前国内外无相关规范标准，因此该标准制订可填补相关空白。新制定本标准将对烧结钕铁硼磁体晶界扩散用稀土氟化物生产企业、下游应用企业起到良好的规范作用。本标准经过查阅大量国内外文献资料，并走访、调研国内主要稀土氟化物生产企业、下游应用企业等，并经过专家会议讨论、征求意见稿外送征求意见等环节，是综合了国内专家的意见后，进行完善、修改、制订的，产品技术指标达到国内领先水平，满足下游主流游钕铁硼</w:t>
      </w:r>
      <w:r w:rsidR="007E7E5F" w:rsidRPr="007E7E5F">
        <w:rPr>
          <w:rFonts w:hint="eastAsia"/>
        </w:rPr>
        <w:t>生产</w:t>
      </w:r>
      <w:r w:rsidRPr="007E7E5F">
        <w:rPr>
          <w:rFonts w:hint="eastAsia"/>
        </w:rPr>
        <w:t>企业应用</w:t>
      </w:r>
      <w:r w:rsidR="007E7E5F" w:rsidRPr="007E7E5F">
        <w:rPr>
          <w:rFonts w:hint="eastAsia"/>
        </w:rPr>
        <w:t>。因此，本标准引领烧结钕铁硼磁体晶界扩散用稀土氟化物产业发展发现，主要技术指标均达到国际先进水平。</w:t>
      </w:r>
    </w:p>
    <w:p w14:paraId="5AA06CD1" w14:textId="1948B76F" w:rsidR="007E7E5F" w:rsidRPr="007E7E5F" w:rsidRDefault="007E7E5F" w:rsidP="007E7E5F">
      <w:pPr>
        <w:spacing w:line="360" w:lineRule="auto"/>
        <w:ind w:firstLineChars="200" w:firstLine="420"/>
        <w:rPr>
          <w:szCs w:val="21"/>
        </w:rPr>
      </w:pPr>
      <w:r w:rsidRPr="007E7E5F">
        <w:rPr>
          <w:rFonts w:hint="eastAsia"/>
          <w:szCs w:val="21"/>
        </w:rPr>
        <w:lastRenderedPageBreak/>
        <w:t>近年来开发出的晶界扩散渗镝</w:t>
      </w:r>
      <w:r>
        <w:rPr>
          <w:rFonts w:hint="eastAsia"/>
          <w:szCs w:val="21"/>
        </w:rPr>
        <w:t>、</w:t>
      </w:r>
      <w:r w:rsidRPr="007E7E5F">
        <w:rPr>
          <w:rFonts w:hint="eastAsia"/>
          <w:szCs w:val="21"/>
        </w:rPr>
        <w:t>渗铽技术可以让重稀土只进入烧结磁体的晶界相，在保证剩磁不降低的情况下可大幅提高磁体矫顽力，同时在达到同样磁性能的情况下也有利于重稀土使用量的降低，大幅节约磁体成本。</w:t>
      </w:r>
      <w:r w:rsidRPr="007E7E5F">
        <w:rPr>
          <w:rFonts w:hint="eastAsia"/>
          <w:szCs w:val="21"/>
        </w:rPr>
        <w:t>2017</w:t>
      </w:r>
      <w:r w:rsidRPr="007E7E5F">
        <w:rPr>
          <w:rFonts w:hint="eastAsia"/>
          <w:szCs w:val="21"/>
        </w:rPr>
        <w:t>年全球钕铁硼永磁材料产量</w:t>
      </w:r>
      <w:r w:rsidRPr="007E7E5F">
        <w:rPr>
          <w:rFonts w:hint="eastAsia"/>
          <w:szCs w:val="21"/>
        </w:rPr>
        <w:t xml:space="preserve"> 13.28 </w:t>
      </w:r>
      <w:r w:rsidRPr="007E7E5F">
        <w:rPr>
          <w:rFonts w:hint="eastAsia"/>
          <w:szCs w:val="21"/>
        </w:rPr>
        <w:t>万吨，高性能钕铁硼产量</w:t>
      </w:r>
      <w:r w:rsidRPr="007E7E5F">
        <w:rPr>
          <w:rFonts w:hint="eastAsia"/>
          <w:szCs w:val="21"/>
        </w:rPr>
        <w:t>4.5</w:t>
      </w:r>
      <w:r w:rsidRPr="007E7E5F">
        <w:rPr>
          <w:rFonts w:hint="eastAsia"/>
          <w:szCs w:val="21"/>
        </w:rPr>
        <w:t>万吨，其中我国钕铁硼永磁材料产量为</w:t>
      </w:r>
      <w:r w:rsidRPr="007E7E5F">
        <w:rPr>
          <w:rFonts w:hint="eastAsia"/>
          <w:szCs w:val="21"/>
        </w:rPr>
        <w:t xml:space="preserve"> 11.23 </w:t>
      </w:r>
      <w:r w:rsidRPr="007E7E5F">
        <w:rPr>
          <w:rFonts w:hint="eastAsia"/>
          <w:szCs w:val="21"/>
        </w:rPr>
        <w:t>万吨，高性能钕铁硼产量</w:t>
      </w:r>
      <w:r w:rsidRPr="007E7E5F">
        <w:rPr>
          <w:rFonts w:hint="eastAsia"/>
          <w:szCs w:val="21"/>
        </w:rPr>
        <w:t>2.50</w:t>
      </w:r>
      <w:r w:rsidRPr="007E7E5F">
        <w:rPr>
          <w:rFonts w:hint="eastAsia"/>
          <w:szCs w:val="21"/>
        </w:rPr>
        <w:t>万吨，分别占比</w:t>
      </w:r>
      <w:r w:rsidRPr="007E7E5F">
        <w:rPr>
          <w:rFonts w:hint="eastAsia"/>
          <w:szCs w:val="21"/>
        </w:rPr>
        <w:t>84.94%</w:t>
      </w:r>
      <w:r w:rsidRPr="007E7E5F">
        <w:rPr>
          <w:rFonts w:hint="eastAsia"/>
          <w:szCs w:val="21"/>
        </w:rPr>
        <w:t>和</w:t>
      </w:r>
      <w:r w:rsidRPr="007E7E5F">
        <w:rPr>
          <w:rFonts w:hint="eastAsia"/>
          <w:szCs w:val="21"/>
        </w:rPr>
        <w:t>55.6%</w:t>
      </w:r>
      <w:r w:rsidRPr="007E7E5F">
        <w:rPr>
          <w:rFonts w:hint="eastAsia"/>
          <w:szCs w:val="21"/>
        </w:rPr>
        <w:t>。</w:t>
      </w:r>
      <w:r>
        <w:rPr>
          <w:rFonts w:hint="eastAsia"/>
          <w:szCs w:val="21"/>
        </w:rPr>
        <w:t>据公开数据整理，</w:t>
      </w:r>
      <w:r w:rsidRPr="007E7E5F">
        <w:rPr>
          <w:rFonts w:hint="eastAsia"/>
          <w:szCs w:val="21"/>
        </w:rPr>
        <w:t>2020</w:t>
      </w:r>
      <w:r w:rsidRPr="007E7E5F">
        <w:rPr>
          <w:rFonts w:hint="eastAsia"/>
          <w:szCs w:val="21"/>
        </w:rPr>
        <w:t>年全球稀土永磁材料产量将超过</w:t>
      </w:r>
      <w:r w:rsidRPr="007E7E5F">
        <w:rPr>
          <w:rFonts w:hint="eastAsia"/>
          <w:szCs w:val="21"/>
        </w:rPr>
        <w:t>18</w:t>
      </w:r>
      <w:r w:rsidRPr="007E7E5F">
        <w:rPr>
          <w:rFonts w:hint="eastAsia"/>
          <w:szCs w:val="21"/>
        </w:rPr>
        <w:t>万吨，其中，高性能钕铁硼产量可达</w:t>
      </w:r>
      <w:r w:rsidRPr="007E7E5F">
        <w:rPr>
          <w:rFonts w:hint="eastAsia"/>
          <w:szCs w:val="21"/>
        </w:rPr>
        <w:t>5</w:t>
      </w:r>
      <w:r w:rsidRPr="007E7E5F">
        <w:rPr>
          <w:rFonts w:hint="eastAsia"/>
          <w:szCs w:val="21"/>
        </w:rPr>
        <w:t>万吨以上，晶界扩散用重稀土氟化物作为高性能钕铁硼的重要原料，市场年需求量预计将达到百吨级以上。</w:t>
      </w:r>
      <w:r>
        <w:rPr>
          <w:rFonts w:hint="eastAsia"/>
          <w:szCs w:val="21"/>
        </w:rPr>
        <w:t>因此，</w:t>
      </w:r>
      <w:r w:rsidRPr="004F5E10">
        <w:rPr>
          <w:rFonts w:hint="eastAsia"/>
          <w:szCs w:val="21"/>
        </w:rPr>
        <w:t>制定晶界扩散用稀土</w:t>
      </w:r>
      <w:r>
        <w:rPr>
          <w:rFonts w:hint="eastAsia"/>
          <w:szCs w:val="21"/>
        </w:rPr>
        <w:t>氟化铽、氟化镝</w:t>
      </w:r>
      <w:r w:rsidRPr="004F5E10">
        <w:rPr>
          <w:rFonts w:hint="eastAsia"/>
          <w:szCs w:val="21"/>
        </w:rPr>
        <w:t>行业标准有利于规范、引导和监督稀土氟化物产品市场，适应市场的变化，促进整个稀土行业健康发展；同时有利于推动重稀土氟化物表面涂覆工艺在稀土永磁行业内的推广应用，对保护和节约我国保贵的重稀土资源具有重要意义。</w:t>
      </w:r>
    </w:p>
    <w:p w14:paraId="2BEAC57B" w14:textId="76914682" w:rsidR="009507EE" w:rsidRPr="00A6172F" w:rsidRDefault="00100E6F" w:rsidP="00A6172F">
      <w:pPr>
        <w:spacing w:line="312" w:lineRule="auto"/>
        <w:rPr>
          <w:rFonts w:ascii="黑体" w:eastAsia="黑体" w:hAnsi="宋体"/>
          <w:bCs/>
          <w:sz w:val="24"/>
        </w:rPr>
      </w:pPr>
      <w:r w:rsidRPr="00A6172F">
        <w:rPr>
          <w:rFonts w:ascii="黑体" w:eastAsia="黑体" w:hAnsi="宋体" w:hint="eastAsia"/>
          <w:bCs/>
          <w:sz w:val="24"/>
        </w:rPr>
        <w:t>六</w:t>
      </w:r>
      <w:r w:rsidRPr="00A6172F">
        <w:rPr>
          <w:rFonts w:ascii="黑体" w:eastAsia="黑体" w:hAnsi="宋体"/>
          <w:bCs/>
          <w:sz w:val="24"/>
        </w:rPr>
        <w:t>、</w:t>
      </w:r>
      <w:r w:rsidRPr="00A6172F">
        <w:rPr>
          <w:rFonts w:ascii="黑体" w:eastAsia="黑体" w:hAnsi="宋体" w:hint="eastAsia"/>
          <w:bCs/>
          <w:sz w:val="24"/>
        </w:rPr>
        <w:t>采用国际标准和国外先进标准的情况</w:t>
      </w:r>
    </w:p>
    <w:p w14:paraId="68A6C630" w14:textId="1AFF84CD" w:rsidR="009507EE" w:rsidRPr="00C7010E" w:rsidRDefault="00100E6F">
      <w:pPr>
        <w:spacing w:beforeLines="50" w:before="156" w:afterLines="50" w:after="156" w:line="312" w:lineRule="auto"/>
        <w:ind w:firstLineChars="200" w:firstLine="420"/>
        <w:rPr>
          <w:rFonts w:hAnsi="宋体"/>
        </w:rPr>
      </w:pPr>
      <w:r>
        <w:rPr>
          <w:rFonts w:hAnsi="宋体" w:hint="eastAsia"/>
        </w:rPr>
        <w:t>经查</w:t>
      </w:r>
      <w:r>
        <w:rPr>
          <w:rFonts w:hAnsi="宋体"/>
        </w:rPr>
        <w:t>，</w:t>
      </w:r>
      <w:r w:rsidR="00C7010E" w:rsidRPr="00C7010E">
        <w:rPr>
          <w:rFonts w:hAnsi="宋体" w:hint="eastAsia"/>
        </w:rPr>
        <w:t>本标准的制订与现有的标准及制订中的标准协调配套，无重复交叉现象。</w:t>
      </w:r>
    </w:p>
    <w:p w14:paraId="610E1CB7"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七、与现行法律、法规、强制性国家标准及相关标准的关系</w:t>
      </w:r>
    </w:p>
    <w:p w14:paraId="75708D4A" w14:textId="25010B4E" w:rsidR="009507EE" w:rsidRDefault="00100E6F">
      <w:pPr>
        <w:spacing w:beforeLines="50" w:before="156" w:afterLines="50" w:after="156" w:line="312" w:lineRule="auto"/>
        <w:ind w:firstLineChars="200" w:firstLine="420"/>
        <w:rPr>
          <w:rFonts w:hAnsi="宋体"/>
        </w:rPr>
      </w:pPr>
      <w:r>
        <w:rPr>
          <w:rFonts w:hAnsi="宋体" w:hint="eastAsia"/>
        </w:rPr>
        <w:t>本标准与现行法律、法规和相关标准相协调、无冲突。</w:t>
      </w:r>
    </w:p>
    <w:p w14:paraId="79E956E7"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八、重大分歧意见的处理和依据</w:t>
      </w:r>
    </w:p>
    <w:p w14:paraId="07B7C20D" w14:textId="77777777" w:rsidR="009507EE" w:rsidRDefault="00100E6F">
      <w:pPr>
        <w:spacing w:beforeLines="50" w:before="156" w:afterLines="50" w:after="156" w:line="312" w:lineRule="auto"/>
        <w:ind w:firstLineChars="200" w:firstLine="420"/>
        <w:rPr>
          <w:rFonts w:hAnsi="宋体"/>
        </w:rPr>
      </w:pPr>
      <w:r>
        <w:rPr>
          <w:rFonts w:hAnsi="宋体" w:hint="eastAsia"/>
        </w:rPr>
        <w:t>无重大分歧。</w:t>
      </w:r>
    </w:p>
    <w:p w14:paraId="2F9C1004"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九、标准作为强制性或推荐性国家（或行业）标准的建议</w:t>
      </w:r>
    </w:p>
    <w:p w14:paraId="111F3223" w14:textId="4B0BF69F" w:rsidR="009507EE" w:rsidRDefault="00100E6F">
      <w:pPr>
        <w:pStyle w:val="afffff1"/>
        <w:tabs>
          <w:tab w:val="center" w:pos="4201"/>
          <w:tab w:val="right" w:leader="dot" w:pos="9298"/>
        </w:tabs>
        <w:spacing w:line="312" w:lineRule="auto"/>
        <w:ind w:firstLine="420"/>
      </w:pPr>
      <w:r>
        <w:rPr>
          <w:rFonts w:hint="eastAsia"/>
        </w:rPr>
        <w:t>建议该标准为</w:t>
      </w:r>
      <w:r>
        <w:t>推荐</w:t>
      </w:r>
      <w:r>
        <w:rPr>
          <w:rFonts w:hint="eastAsia"/>
        </w:rPr>
        <w:t>性</w:t>
      </w:r>
      <w:r w:rsidR="00C7010E">
        <w:rPr>
          <w:rFonts w:hint="eastAsia"/>
        </w:rPr>
        <w:t>行业</w:t>
      </w:r>
      <w:r>
        <w:t>标准</w:t>
      </w:r>
      <w:r>
        <w:rPr>
          <w:rFonts w:hint="eastAsia"/>
        </w:rPr>
        <w:t>。</w:t>
      </w:r>
    </w:p>
    <w:p w14:paraId="74D32388"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十、贯彻标准的要求和措施建议</w:t>
      </w:r>
    </w:p>
    <w:p w14:paraId="630708CC" w14:textId="1EDA487E" w:rsidR="009507EE" w:rsidRPr="00C7010E" w:rsidRDefault="00C7010E" w:rsidP="00C7010E">
      <w:pPr>
        <w:spacing w:line="360" w:lineRule="auto"/>
        <w:ind w:firstLineChars="200" w:firstLine="480"/>
        <w:rPr>
          <w:sz w:val="24"/>
        </w:rPr>
      </w:pPr>
      <w:r>
        <w:rPr>
          <w:rFonts w:hint="eastAsia"/>
          <w:sz w:val="24"/>
        </w:rPr>
        <w:t>本标准发布后</w:t>
      </w:r>
      <w:r>
        <w:rPr>
          <w:sz w:val="24"/>
        </w:rPr>
        <w:t>3</w:t>
      </w:r>
      <w:r>
        <w:rPr>
          <w:rFonts w:hint="eastAsia"/>
          <w:sz w:val="24"/>
        </w:rPr>
        <w:t>个月实施</w:t>
      </w:r>
      <w:r w:rsidR="00100E6F">
        <w:rPr>
          <w:rFonts w:ascii="宋体" w:hAnsi="宋体" w:hint="eastAsia"/>
          <w:kern w:val="0"/>
          <w:szCs w:val="20"/>
        </w:rPr>
        <w:t>。</w:t>
      </w:r>
    </w:p>
    <w:p w14:paraId="1FE965A2"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十一、废止现行有关标准的建议</w:t>
      </w:r>
    </w:p>
    <w:p w14:paraId="5A6768FA" w14:textId="77777777" w:rsidR="00A31303" w:rsidRDefault="00A31303" w:rsidP="00A31303">
      <w:pPr>
        <w:spacing w:line="312" w:lineRule="auto"/>
        <w:ind w:firstLineChars="200" w:firstLine="480"/>
        <w:rPr>
          <w:rFonts w:ascii="黑体" w:eastAsia="黑体"/>
          <w:sz w:val="24"/>
        </w:rPr>
      </w:pPr>
      <w:r>
        <w:rPr>
          <w:rFonts w:ascii="黑体" w:eastAsia="黑体" w:hint="eastAsia"/>
          <w:sz w:val="24"/>
        </w:rPr>
        <w:t>无。</w:t>
      </w:r>
    </w:p>
    <w:p w14:paraId="31387BDD"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十二、其它应予说明的事项</w:t>
      </w:r>
    </w:p>
    <w:p w14:paraId="256D8517" w14:textId="003ED77C" w:rsidR="009507EE" w:rsidRDefault="00100E6F" w:rsidP="00A6172F">
      <w:pPr>
        <w:spacing w:line="312" w:lineRule="auto"/>
        <w:ind w:firstLineChars="200" w:firstLine="480"/>
        <w:rPr>
          <w:rFonts w:ascii="黑体" w:eastAsia="黑体"/>
          <w:sz w:val="24"/>
        </w:rPr>
      </w:pPr>
      <w:r>
        <w:rPr>
          <w:rFonts w:ascii="黑体" w:eastAsia="黑体" w:hint="eastAsia"/>
          <w:sz w:val="24"/>
        </w:rPr>
        <w:t>无。</w:t>
      </w:r>
    </w:p>
    <w:p w14:paraId="75978F8E" w14:textId="77777777" w:rsidR="009507EE" w:rsidRDefault="009507EE">
      <w:pPr>
        <w:spacing w:line="312" w:lineRule="auto"/>
        <w:ind w:firstLineChars="200" w:firstLine="480"/>
        <w:rPr>
          <w:rFonts w:ascii="黑体" w:eastAsia="黑体"/>
          <w:sz w:val="24"/>
        </w:rPr>
      </w:pPr>
    </w:p>
    <w:p w14:paraId="526B305F" w14:textId="77777777" w:rsidR="009507EE" w:rsidRDefault="009507EE" w:rsidP="00A6172F">
      <w:pPr>
        <w:spacing w:line="312" w:lineRule="auto"/>
        <w:rPr>
          <w:rFonts w:ascii="黑体" w:eastAsia="黑体"/>
          <w:sz w:val="24"/>
        </w:rPr>
      </w:pPr>
    </w:p>
    <w:p w14:paraId="24E758AD" w14:textId="66D555BB" w:rsidR="009507EE" w:rsidRDefault="00100E6F">
      <w:pPr>
        <w:pStyle w:val="affffe"/>
        <w:spacing w:before="0" w:line="312" w:lineRule="auto"/>
        <w:ind w:leftChars="2500" w:left="5250" w:firstLineChars="300" w:firstLine="900"/>
        <w:jc w:val="both"/>
        <w:rPr>
          <w:sz w:val="21"/>
          <w:szCs w:val="21"/>
        </w:rPr>
      </w:pPr>
      <w:r>
        <w:rPr>
          <w:rFonts w:ascii="黑体" w:eastAsia="黑体" w:hAnsi="黑体" w:hint="eastAsia"/>
          <w:sz w:val="30"/>
          <w:szCs w:val="30"/>
        </w:rPr>
        <w:t xml:space="preserve"> </w:t>
      </w:r>
      <w:r>
        <w:rPr>
          <w:rFonts w:ascii="黑体" w:eastAsia="黑体" w:hAnsi="黑体"/>
          <w:sz w:val="30"/>
          <w:szCs w:val="30"/>
        </w:rPr>
        <w:t xml:space="preserve">  </w:t>
      </w:r>
      <w:r>
        <w:rPr>
          <w:rFonts w:ascii="宋体" w:hAnsi="宋体" w:cs="宋体"/>
          <w:sz w:val="21"/>
          <w:szCs w:val="21"/>
        </w:rPr>
        <w:t xml:space="preserve"> </w:t>
      </w:r>
      <w:r w:rsidR="00A6172F">
        <w:rPr>
          <w:rFonts w:ascii="宋体" w:hAnsi="宋体" w:cs="宋体" w:hint="eastAsia"/>
          <w:sz w:val="21"/>
          <w:szCs w:val="21"/>
        </w:rPr>
        <w:t>有研稀土新材料股份有限公司</w:t>
      </w:r>
    </w:p>
    <w:p w14:paraId="2A511705" w14:textId="5D9057AC" w:rsidR="009507EE" w:rsidRDefault="00100E6F" w:rsidP="00A6172F">
      <w:pPr>
        <w:pStyle w:val="affffe"/>
        <w:spacing w:before="0" w:line="312" w:lineRule="auto"/>
        <w:ind w:leftChars="2500" w:left="5250" w:firstLineChars="800" w:firstLine="1680"/>
        <w:jc w:val="both"/>
        <w:rPr>
          <w:szCs w:val="21"/>
        </w:rPr>
      </w:pPr>
      <w:r>
        <w:rPr>
          <w:sz w:val="21"/>
          <w:szCs w:val="21"/>
        </w:rPr>
        <w:t>202</w:t>
      </w:r>
      <w:r w:rsidR="00FE32DA">
        <w:rPr>
          <w:sz w:val="21"/>
          <w:szCs w:val="21"/>
        </w:rPr>
        <w:t>1</w:t>
      </w:r>
      <w:r>
        <w:rPr>
          <w:sz w:val="21"/>
          <w:szCs w:val="21"/>
        </w:rPr>
        <w:t>年</w:t>
      </w:r>
      <w:r w:rsidR="00FE32DA">
        <w:rPr>
          <w:sz w:val="21"/>
          <w:szCs w:val="21"/>
        </w:rPr>
        <w:t>6</w:t>
      </w:r>
      <w:r>
        <w:rPr>
          <w:sz w:val="21"/>
          <w:szCs w:val="21"/>
        </w:rPr>
        <w:t>月</w:t>
      </w:r>
      <w:r w:rsidR="00A6172F">
        <w:rPr>
          <w:rFonts w:hint="eastAsia"/>
          <w:sz w:val="21"/>
          <w:szCs w:val="21"/>
        </w:rPr>
        <w:t>1</w:t>
      </w:r>
      <w:r w:rsidR="00A6172F">
        <w:rPr>
          <w:rFonts w:hint="eastAsia"/>
          <w:sz w:val="21"/>
          <w:szCs w:val="21"/>
        </w:rPr>
        <w:t>日</w:t>
      </w:r>
    </w:p>
    <w:sectPr w:rsidR="009507EE">
      <w:footerReference w:type="default" r:id="rId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49E8" w14:textId="77777777" w:rsidR="00C35A0F" w:rsidRDefault="00C35A0F">
      <w:r>
        <w:separator/>
      </w:r>
    </w:p>
  </w:endnote>
  <w:endnote w:type="continuationSeparator" w:id="0">
    <w:p w14:paraId="765D5A7A" w14:textId="77777777" w:rsidR="00C35A0F" w:rsidRDefault="00C3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503" w14:textId="77777777" w:rsidR="009507EE" w:rsidRDefault="00100E6F">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2A55" w14:textId="77777777" w:rsidR="00C35A0F" w:rsidRDefault="00C35A0F">
      <w:r>
        <w:separator/>
      </w:r>
    </w:p>
  </w:footnote>
  <w:footnote w:type="continuationSeparator" w:id="0">
    <w:p w14:paraId="763DE3B3" w14:textId="77777777" w:rsidR="00C35A0F" w:rsidRDefault="00C3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2096F"/>
    <w:rsid w:val="00022FF0"/>
    <w:rsid w:val="00024B42"/>
    <w:rsid w:val="00026D78"/>
    <w:rsid w:val="00032195"/>
    <w:rsid w:val="000332A6"/>
    <w:rsid w:val="00033691"/>
    <w:rsid w:val="00035035"/>
    <w:rsid w:val="00036C57"/>
    <w:rsid w:val="00046620"/>
    <w:rsid w:val="00047D95"/>
    <w:rsid w:val="00050085"/>
    <w:rsid w:val="0005146E"/>
    <w:rsid w:val="0005350B"/>
    <w:rsid w:val="00061D34"/>
    <w:rsid w:val="00061D46"/>
    <w:rsid w:val="00062070"/>
    <w:rsid w:val="0006432D"/>
    <w:rsid w:val="0006477B"/>
    <w:rsid w:val="00072756"/>
    <w:rsid w:val="00073C3A"/>
    <w:rsid w:val="000747A8"/>
    <w:rsid w:val="00081A9E"/>
    <w:rsid w:val="00083A57"/>
    <w:rsid w:val="000842C3"/>
    <w:rsid w:val="00085404"/>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D6334"/>
    <w:rsid w:val="000D7360"/>
    <w:rsid w:val="000E068C"/>
    <w:rsid w:val="000E3741"/>
    <w:rsid w:val="000E37CA"/>
    <w:rsid w:val="000E5B60"/>
    <w:rsid w:val="000E6E9C"/>
    <w:rsid w:val="000E7ED5"/>
    <w:rsid w:val="000E7EDF"/>
    <w:rsid w:val="000F1FD1"/>
    <w:rsid w:val="000F224C"/>
    <w:rsid w:val="000F3489"/>
    <w:rsid w:val="0010034F"/>
    <w:rsid w:val="00100D28"/>
    <w:rsid w:val="00100E6F"/>
    <w:rsid w:val="001074F0"/>
    <w:rsid w:val="00110508"/>
    <w:rsid w:val="001115A6"/>
    <w:rsid w:val="00112CBC"/>
    <w:rsid w:val="0011570F"/>
    <w:rsid w:val="00116D8F"/>
    <w:rsid w:val="00122903"/>
    <w:rsid w:val="001241A8"/>
    <w:rsid w:val="0012792A"/>
    <w:rsid w:val="001345DA"/>
    <w:rsid w:val="00134E2D"/>
    <w:rsid w:val="00135E64"/>
    <w:rsid w:val="00136064"/>
    <w:rsid w:val="00137D4C"/>
    <w:rsid w:val="001424D5"/>
    <w:rsid w:val="001438F6"/>
    <w:rsid w:val="0015171C"/>
    <w:rsid w:val="00151F1C"/>
    <w:rsid w:val="00152747"/>
    <w:rsid w:val="00154608"/>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287E"/>
    <w:rsid w:val="001A78A3"/>
    <w:rsid w:val="001B3592"/>
    <w:rsid w:val="001B5781"/>
    <w:rsid w:val="001C35AF"/>
    <w:rsid w:val="001C4AB5"/>
    <w:rsid w:val="001C5722"/>
    <w:rsid w:val="001C5E29"/>
    <w:rsid w:val="001C6263"/>
    <w:rsid w:val="001D18F0"/>
    <w:rsid w:val="001D1A3E"/>
    <w:rsid w:val="001D200A"/>
    <w:rsid w:val="001D24F0"/>
    <w:rsid w:val="001D57BC"/>
    <w:rsid w:val="001D6080"/>
    <w:rsid w:val="001D783C"/>
    <w:rsid w:val="001D7A87"/>
    <w:rsid w:val="001E7268"/>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608B"/>
    <w:rsid w:val="00331DA0"/>
    <w:rsid w:val="003320EC"/>
    <w:rsid w:val="003336E8"/>
    <w:rsid w:val="00333F1C"/>
    <w:rsid w:val="00336817"/>
    <w:rsid w:val="003371FA"/>
    <w:rsid w:val="00340092"/>
    <w:rsid w:val="003402ED"/>
    <w:rsid w:val="003406E3"/>
    <w:rsid w:val="003430B3"/>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1523"/>
    <w:rsid w:val="003A4DF7"/>
    <w:rsid w:val="003B3203"/>
    <w:rsid w:val="003B4C78"/>
    <w:rsid w:val="003B65F5"/>
    <w:rsid w:val="003B789C"/>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7121"/>
    <w:rsid w:val="003F03FD"/>
    <w:rsid w:val="003F34E7"/>
    <w:rsid w:val="003F5178"/>
    <w:rsid w:val="003F67B0"/>
    <w:rsid w:val="0040009E"/>
    <w:rsid w:val="00400ED1"/>
    <w:rsid w:val="00402FE6"/>
    <w:rsid w:val="00404E31"/>
    <w:rsid w:val="00405AFC"/>
    <w:rsid w:val="00411827"/>
    <w:rsid w:val="00415749"/>
    <w:rsid w:val="004169D7"/>
    <w:rsid w:val="00424F60"/>
    <w:rsid w:val="004306FA"/>
    <w:rsid w:val="0043072C"/>
    <w:rsid w:val="00433247"/>
    <w:rsid w:val="00437F04"/>
    <w:rsid w:val="004425AD"/>
    <w:rsid w:val="0044631C"/>
    <w:rsid w:val="004468D7"/>
    <w:rsid w:val="0044747A"/>
    <w:rsid w:val="00451D1D"/>
    <w:rsid w:val="0045247E"/>
    <w:rsid w:val="00457F66"/>
    <w:rsid w:val="00462904"/>
    <w:rsid w:val="00465D91"/>
    <w:rsid w:val="00471A2D"/>
    <w:rsid w:val="004804B2"/>
    <w:rsid w:val="00480F24"/>
    <w:rsid w:val="004814CC"/>
    <w:rsid w:val="00483671"/>
    <w:rsid w:val="004837ED"/>
    <w:rsid w:val="0048575A"/>
    <w:rsid w:val="00493E0A"/>
    <w:rsid w:val="0049424A"/>
    <w:rsid w:val="004961DA"/>
    <w:rsid w:val="004A28AA"/>
    <w:rsid w:val="004A2C5B"/>
    <w:rsid w:val="004A3A2A"/>
    <w:rsid w:val="004A513C"/>
    <w:rsid w:val="004B415A"/>
    <w:rsid w:val="004B41B0"/>
    <w:rsid w:val="004B5F05"/>
    <w:rsid w:val="004C0C60"/>
    <w:rsid w:val="004C144D"/>
    <w:rsid w:val="004C63B3"/>
    <w:rsid w:val="004C6DE0"/>
    <w:rsid w:val="004D1285"/>
    <w:rsid w:val="004E282E"/>
    <w:rsid w:val="004E7AD9"/>
    <w:rsid w:val="004F0AC8"/>
    <w:rsid w:val="004F59CD"/>
    <w:rsid w:val="00503416"/>
    <w:rsid w:val="00503CC1"/>
    <w:rsid w:val="005041BD"/>
    <w:rsid w:val="00505AB2"/>
    <w:rsid w:val="0050616B"/>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0CA0"/>
    <w:rsid w:val="00551151"/>
    <w:rsid w:val="0055122C"/>
    <w:rsid w:val="00554A02"/>
    <w:rsid w:val="00561BAB"/>
    <w:rsid w:val="0056535D"/>
    <w:rsid w:val="005671B8"/>
    <w:rsid w:val="00570BC3"/>
    <w:rsid w:val="005731B4"/>
    <w:rsid w:val="00573F64"/>
    <w:rsid w:val="005812BF"/>
    <w:rsid w:val="0058298B"/>
    <w:rsid w:val="00584051"/>
    <w:rsid w:val="00584DCF"/>
    <w:rsid w:val="00587778"/>
    <w:rsid w:val="0059018B"/>
    <w:rsid w:val="00590DF2"/>
    <w:rsid w:val="00591B99"/>
    <w:rsid w:val="00592A0B"/>
    <w:rsid w:val="0059441F"/>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F7971"/>
    <w:rsid w:val="00600224"/>
    <w:rsid w:val="00607C62"/>
    <w:rsid w:val="00607F6D"/>
    <w:rsid w:val="00610273"/>
    <w:rsid w:val="006102D3"/>
    <w:rsid w:val="00613007"/>
    <w:rsid w:val="006237B0"/>
    <w:rsid w:val="006264DE"/>
    <w:rsid w:val="0063380C"/>
    <w:rsid w:val="0063508A"/>
    <w:rsid w:val="00636BDB"/>
    <w:rsid w:val="00636F2E"/>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4446"/>
    <w:rsid w:val="00766258"/>
    <w:rsid w:val="00771198"/>
    <w:rsid w:val="0077459D"/>
    <w:rsid w:val="0078372D"/>
    <w:rsid w:val="00790EBF"/>
    <w:rsid w:val="007967ED"/>
    <w:rsid w:val="00796FFE"/>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E7E5F"/>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5D21"/>
    <w:rsid w:val="008260E1"/>
    <w:rsid w:val="0082615F"/>
    <w:rsid w:val="00826C6B"/>
    <w:rsid w:val="0083190B"/>
    <w:rsid w:val="00832B3D"/>
    <w:rsid w:val="00835BDA"/>
    <w:rsid w:val="00842D20"/>
    <w:rsid w:val="008459EE"/>
    <w:rsid w:val="0084647D"/>
    <w:rsid w:val="00854C07"/>
    <w:rsid w:val="0086177D"/>
    <w:rsid w:val="00862280"/>
    <w:rsid w:val="00872C9E"/>
    <w:rsid w:val="00873AC3"/>
    <w:rsid w:val="00880BF7"/>
    <w:rsid w:val="00880F82"/>
    <w:rsid w:val="00881B81"/>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A92"/>
    <w:rsid w:val="009118E6"/>
    <w:rsid w:val="0091772E"/>
    <w:rsid w:val="00920149"/>
    <w:rsid w:val="0092194B"/>
    <w:rsid w:val="009227CD"/>
    <w:rsid w:val="009254EF"/>
    <w:rsid w:val="009256A5"/>
    <w:rsid w:val="00927C5A"/>
    <w:rsid w:val="009322D7"/>
    <w:rsid w:val="009324A6"/>
    <w:rsid w:val="00937C2A"/>
    <w:rsid w:val="00945C50"/>
    <w:rsid w:val="009507EE"/>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7980"/>
    <w:rsid w:val="00A248DD"/>
    <w:rsid w:val="00A25709"/>
    <w:rsid w:val="00A267A6"/>
    <w:rsid w:val="00A27A5C"/>
    <w:rsid w:val="00A31303"/>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172F"/>
    <w:rsid w:val="00A62258"/>
    <w:rsid w:val="00A66175"/>
    <w:rsid w:val="00A72A11"/>
    <w:rsid w:val="00A73569"/>
    <w:rsid w:val="00A76449"/>
    <w:rsid w:val="00A77438"/>
    <w:rsid w:val="00A7773A"/>
    <w:rsid w:val="00A77C1A"/>
    <w:rsid w:val="00A8120B"/>
    <w:rsid w:val="00A82F63"/>
    <w:rsid w:val="00A834B6"/>
    <w:rsid w:val="00A847A8"/>
    <w:rsid w:val="00A84C6B"/>
    <w:rsid w:val="00A8711B"/>
    <w:rsid w:val="00A976FA"/>
    <w:rsid w:val="00A97C9F"/>
    <w:rsid w:val="00AA2645"/>
    <w:rsid w:val="00AA265A"/>
    <w:rsid w:val="00AA540B"/>
    <w:rsid w:val="00AB10A7"/>
    <w:rsid w:val="00AB171A"/>
    <w:rsid w:val="00AB640E"/>
    <w:rsid w:val="00AC1627"/>
    <w:rsid w:val="00AC20AF"/>
    <w:rsid w:val="00AC475D"/>
    <w:rsid w:val="00AC5F01"/>
    <w:rsid w:val="00AD0DDB"/>
    <w:rsid w:val="00AD2E9B"/>
    <w:rsid w:val="00AD7DDD"/>
    <w:rsid w:val="00AE1106"/>
    <w:rsid w:val="00AE24F5"/>
    <w:rsid w:val="00AE3993"/>
    <w:rsid w:val="00AE7126"/>
    <w:rsid w:val="00AE723E"/>
    <w:rsid w:val="00AE728B"/>
    <w:rsid w:val="00AE752B"/>
    <w:rsid w:val="00AF4851"/>
    <w:rsid w:val="00B01873"/>
    <w:rsid w:val="00B01E95"/>
    <w:rsid w:val="00B02AD7"/>
    <w:rsid w:val="00B072E8"/>
    <w:rsid w:val="00B13F4A"/>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6830"/>
    <w:rsid w:val="00BB7322"/>
    <w:rsid w:val="00BC1EBE"/>
    <w:rsid w:val="00BC677B"/>
    <w:rsid w:val="00BC7247"/>
    <w:rsid w:val="00BD1292"/>
    <w:rsid w:val="00BD3E12"/>
    <w:rsid w:val="00BD7B69"/>
    <w:rsid w:val="00BE07C9"/>
    <w:rsid w:val="00BE7122"/>
    <w:rsid w:val="00BF013A"/>
    <w:rsid w:val="00BF1244"/>
    <w:rsid w:val="00BF592D"/>
    <w:rsid w:val="00BF6444"/>
    <w:rsid w:val="00C02390"/>
    <w:rsid w:val="00C027EA"/>
    <w:rsid w:val="00C1097A"/>
    <w:rsid w:val="00C15AC4"/>
    <w:rsid w:val="00C16FCF"/>
    <w:rsid w:val="00C17DCE"/>
    <w:rsid w:val="00C22C6B"/>
    <w:rsid w:val="00C24CA2"/>
    <w:rsid w:val="00C27544"/>
    <w:rsid w:val="00C2763A"/>
    <w:rsid w:val="00C317D1"/>
    <w:rsid w:val="00C32990"/>
    <w:rsid w:val="00C33B55"/>
    <w:rsid w:val="00C35A0F"/>
    <w:rsid w:val="00C35D4C"/>
    <w:rsid w:val="00C40DAE"/>
    <w:rsid w:val="00C417FC"/>
    <w:rsid w:val="00C5372F"/>
    <w:rsid w:val="00C57F39"/>
    <w:rsid w:val="00C62684"/>
    <w:rsid w:val="00C63201"/>
    <w:rsid w:val="00C659BF"/>
    <w:rsid w:val="00C65B29"/>
    <w:rsid w:val="00C66710"/>
    <w:rsid w:val="00C7010E"/>
    <w:rsid w:val="00C76442"/>
    <w:rsid w:val="00C76B98"/>
    <w:rsid w:val="00C831AB"/>
    <w:rsid w:val="00C85A32"/>
    <w:rsid w:val="00C915A4"/>
    <w:rsid w:val="00C92209"/>
    <w:rsid w:val="00C96A7D"/>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B3A"/>
    <w:rsid w:val="00D23C7C"/>
    <w:rsid w:val="00D2514B"/>
    <w:rsid w:val="00D3251C"/>
    <w:rsid w:val="00D3293E"/>
    <w:rsid w:val="00D358A0"/>
    <w:rsid w:val="00D364E8"/>
    <w:rsid w:val="00D37E79"/>
    <w:rsid w:val="00D40031"/>
    <w:rsid w:val="00D45373"/>
    <w:rsid w:val="00D46973"/>
    <w:rsid w:val="00D5684E"/>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B70"/>
    <w:rsid w:val="00D9464C"/>
    <w:rsid w:val="00D979B0"/>
    <w:rsid w:val="00DA0918"/>
    <w:rsid w:val="00DA2967"/>
    <w:rsid w:val="00DA43A9"/>
    <w:rsid w:val="00DA4676"/>
    <w:rsid w:val="00DA582E"/>
    <w:rsid w:val="00DC60EE"/>
    <w:rsid w:val="00DD2E25"/>
    <w:rsid w:val="00DD33FA"/>
    <w:rsid w:val="00DD3BAF"/>
    <w:rsid w:val="00DD6D4E"/>
    <w:rsid w:val="00DD70C1"/>
    <w:rsid w:val="00DE2AFA"/>
    <w:rsid w:val="00DE4206"/>
    <w:rsid w:val="00DE68A7"/>
    <w:rsid w:val="00DE6BD9"/>
    <w:rsid w:val="00DF4E97"/>
    <w:rsid w:val="00E01E44"/>
    <w:rsid w:val="00E02A78"/>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5521"/>
    <w:rsid w:val="00E50610"/>
    <w:rsid w:val="00E50944"/>
    <w:rsid w:val="00E51658"/>
    <w:rsid w:val="00E51966"/>
    <w:rsid w:val="00E52C95"/>
    <w:rsid w:val="00E55128"/>
    <w:rsid w:val="00E5542E"/>
    <w:rsid w:val="00E60000"/>
    <w:rsid w:val="00E73FAC"/>
    <w:rsid w:val="00E75019"/>
    <w:rsid w:val="00E76EF5"/>
    <w:rsid w:val="00E861EA"/>
    <w:rsid w:val="00E966A3"/>
    <w:rsid w:val="00E97A93"/>
    <w:rsid w:val="00EA3F4A"/>
    <w:rsid w:val="00EA4584"/>
    <w:rsid w:val="00EA545B"/>
    <w:rsid w:val="00EA5E1E"/>
    <w:rsid w:val="00EA7123"/>
    <w:rsid w:val="00EB4EEB"/>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351E"/>
    <w:rsid w:val="00F1444E"/>
    <w:rsid w:val="00F147BD"/>
    <w:rsid w:val="00F16864"/>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5882"/>
    <w:rsid w:val="00FB7CDE"/>
    <w:rsid w:val="00FC1558"/>
    <w:rsid w:val="00FC4C72"/>
    <w:rsid w:val="00FD01B2"/>
    <w:rsid w:val="00FD1EA7"/>
    <w:rsid w:val="00FD27A1"/>
    <w:rsid w:val="00FD684E"/>
    <w:rsid w:val="00FE32DA"/>
    <w:rsid w:val="00FE33BB"/>
    <w:rsid w:val="00FE3922"/>
    <w:rsid w:val="00FE6B87"/>
    <w:rsid w:val="00FE7DF6"/>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98E0E"/>
  <w15:docId w15:val="{EDD63E82-647E-4637-8C6E-4E10CF07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rsid w:val="00F85004"/>
    <w:pPr>
      <w:widowControl/>
      <w:ind w:firstLine="42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1049</Words>
  <Characters>5982</Characters>
  <Application>Microsoft Office Word</Application>
  <DocSecurity>0</DocSecurity>
  <Lines>49</Lines>
  <Paragraphs>14</Paragraphs>
  <ScaleCrop>false</ScaleCrop>
  <Company>www.xunchi.com</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权霞 胡</cp:lastModifiedBy>
  <cp:revision>31</cp:revision>
  <cp:lastPrinted>2018-08-20T12:57:00Z</cp:lastPrinted>
  <dcterms:created xsi:type="dcterms:W3CDTF">2020-11-30T07:58:00Z</dcterms:created>
  <dcterms:modified xsi:type="dcterms:W3CDTF">2021-06-02T00:58:00Z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