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pPr>
      <w:bookmarkStart w:id="71" w:name="_GoBack"/>
      <w:bookmarkEnd w:id="71"/>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77.040</w:t>
      </w:r>
      <w:r>
        <w:fldChar w:fldCharType="end"/>
      </w:r>
      <w:bookmarkEnd w:id="0"/>
    </w:p>
    <w:p>
      <w:pPr>
        <w:pStyle w:val="123"/>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 xml:space="preserve">H </w:t>
      </w:r>
      <w:r>
        <w:t>17</w:t>
      </w:r>
      <w:r>
        <w:fldChar w:fldCharType="end"/>
      </w:r>
      <w:bookmarkEnd w:id="1"/>
    </w:p>
    <w:p>
      <w:pPr>
        <w:pStyle w:val="66"/>
        <w:framePr w:wrap="around"/>
      </w:pPr>
      <w:r>
        <w:drawing>
          <wp:inline distT="0" distB="0" distL="0" distR="0">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Program Files\SystemRoom\TCS 2009\GB.bmp"/>
                    <pic:cNvPicPr>
                      <a:picLocks noChangeAspect="1" noChangeArrowheads="1"/>
                    </pic:cNvPicPr>
                  </pic:nvPicPr>
                  <pic:blipFill>
                    <a:blip r:embed="rId6"/>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7"/>
        <w:framePr w:wrap="around"/>
      </w:pPr>
      <w:r>
        <w:rPr>
          <w:rFonts w:hint="eastAsia"/>
        </w:rPr>
        <w:t>中华人民共和国国家标准</w:t>
      </w:r>
    </w:p>
    <w:p>
      <w:pPr>
        <w:pStyle w:val="47"/>
        <w:framePr w:wrap="around"/>
      </w:pPr>
      <w:r>
        <w:rPr>
          <w:rFonts w:ascii="Times New Roman"/>
        </w:rPr>
        <w:t>GB/T</w:t>
      </w:r>
      <w:bookmarkStart w:id="2"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32280</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framePr w:wrap="around"/>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rPr>
                <w:rFonts w:hint="eastAsia"/>
              </w:rPr>
              <w:t>代替</w:t>
            </w:r>
            <w:r>
              <w:t xml:space="preserve"> GB/T </w:t>
            </w:r>
            <w:r>
              <w:rPr>
                <w:rFonts w:hint="eastAsia"/>
              </w:rPr>
              <w:t>32280</w:t>
            </w:r>
            <w:r>
              <w:t>-20</w:t>
            </w:r>
            <w:r>
              <w:rPr>
                <w:rFonts w:hint="eastAsia"/>
              </w:rPr>
              <w:t>15</w:t>
            </w:r>
            <w:r>
              <w:fldChar w:fldCharType="end"/>
            </w:r>
            <w:bookmarkEnd w:id="4"/>
          </w:p>
        </w:tc>
      </w:tr>
    </w:tbl>
    <w:p>
      <w:pPr>
        <w:pStyle w:val="47"/>
        <w:framePr w:wrap="around"/>
      </w:pPr>
    </w:p>
    <w:p>
      <w:pPr>
        <w:pStyle w:val="47"/>
        <w:framePr w:wrap="around"/>
      </w:pPr>
    </w:p>
    <w:p>
      <w:pPr>
        <w:pStyle w:val="78"/>
        <w:framePr w:wrap="around"/>
      </w:pPr>
      <w:bookmarkStart w:id="5"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硅片翘曲度和弯曲度的测试 自动非接触扫描法</w:t>
      </w:r>
      <w:r>
        <w:fldChar w:fldCharType="end"/>
      </w:r>
      <w:bookmarkEnd w:id="5"/>
    </w:p>
    <w:p>
      <w:pPr>
        <w:pStyle w:val="79"/>
        <w:framePr w:wrap="around"/>
      </w:pPr>
      <w:bookmarkStart w:id="6"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Test method for warp</w:t>
      </w:r>
      <w:r>
        <w:rPr>
          <w:rFonts w:hint="eastAsia"/>
        </w:rPr>
        <w:t xml:space="preserve"> and bow</w:t>
      </w:r>
      <w:r>
        <w:t xml:space="preserve"> of silicon wafers by automated non-contact scanning method</w:t>
      </w:r>
      <w:r>
        <w:fldChar w:fldCharType="end"/>
      </w:r>
      <w:bookmarkEnd w:id="6"/>
    </w:p>
    <w:p>
      <w:pPr>
        <w:pStyle w:val="80"/>
        <w:framePr w:wrap="around"/>
      </w:pPr>
      <w:bookmarkStart w:id="7"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1"/>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pPr>
            <w:r>
              <w:rPr>
                <w:rFonts w:hint="eastAsia"/>
              </w:rPr>
              <w:t>送审稿</w:t>
            </w:r>
          </w:p>
        </w:tc>
      </w:tr>
    </w:tbl>
    <w:p>
      <w:pPr>
        <w:pStyle w:val="130"/>
        <w:framePr w:w="3793" w:wrap="around" w:hAnchor="page" w:x="1345" w:y="14077"/>
      </w:pPr>
      <w:bookmarkStart w:id="9" w:name="SY"/>
      <w:r>
        <w:rPr>
          <w:rFonts w:ascii="黑体"/>
        </w:rPr>
        <w:fldChar w:fldCharType="begin">
          <w:ffData>
            <w:name w:val="FY"/>
            <w:enabled/>
            <w:calcOnExit w:val="0"/>
            <w:textInput>
              <w:default w:val="XXXX"/>
              <w:maxLength w:val="4"/>
            </w:textInput>
          </w:ffData>
        </w:fldChar>
      </w:r>
      <w:bookmarkStart w:id="10"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11"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2"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yBXcbkAQAArAMAAA4AAABkcnMvZTJvRG9jLnhtbK1TwW4T&#10;MRC9I/EPlu9kk1StYJVND4nKpUCklg9wvN6she2xPE528xP8ABI3OHHkzt9QPoOxNwmlvfTQPVge&#10;z8ybeW9mZ5e9NWynAmpwFZ+MxpwpJ6HWblPxj7dXr15zhlG4WhhwquJ7hfxy/vLFrPOlmkILplaB&#10;EYjDsvMVb2P0ZVGgbJUVOAKvHDkbCFZEMsOmqIPoCN2aYjoeXxQdhNoHkAqRXpeDkx8Qw1MAoWm0&#10;VEuQW6tcHFCDMiISJWy1Rz7P3TaNkvFD06CKzFScmMZ8UhG6r9NZzGei3AThWy0PLYintPCAkxXa&#10;UdET1FJEwbZBP4KyWgZAaOJIgi0GIlkRYjEZP9DmphVeZS4kNfqT6Ph8sPL9bhWYrmkTzjhzwtLE&#10;7778/P35259fX+m8+/GdkYdk6jyWFL1wq5CIyt7d+GuQn5A5WLTCbVRu93bvCWKSMor/UpKBnoqt&#10;u3dQU4zYRsia9U2wCZLUYH0ezf40GtVHJunxYkL6nNHU5NFXiPKY6APGtwosS5eKG+2SaqIUu2uM&#10;qRFRHkPSs4MrbUyevHGsq/ib8+l5TkAwuk7OFIZhs16YwHYi7U7+Mivy3A8LsHX1UMS4A+nEc1Bs&#10;DfV+FY5i0BBzN4eFS1ty387Z/36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3IFdxuQB&#10;AACsAwAADgAAAAAAAAABACAAAAAlAQAAZHJzL2Uyb0RvYy54bWxQSwUGAAAAAAYABgBZAQAAewUA&#10;AAAA&#10;">
                <v:fill on="f" focussize="0,0"/>
                <v:stroke color="#000000" joinstyle="round"/>
                <v:imagedata o:title=""/>
                <o:lock v:ext="edit" aspectratio="f"/>
                <w10:anchorlock/>
              </v:line>
            </w:pict>
          </mc:Fallback>
        </mc:AlternateContent>
      </w:r>
    </w:p>
    <w:p>
      <w:pPr>
        <w:pStyle w:val="131"/>
        <w:framePr w:w="2265" w:wrap="around"/>
        <w:ind w:left="-1" w:leftChars="-607" w:hanging="1274" w:hangingChars="455"/>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bookmarkStart w:id="1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bookmarkStart w:id="1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74"/>
        <w:framePr w:wrap="around"/>
        <w:adjustRightInd w:val="0"/>
        <w:snapToGrid w:val="0"/>
        <w:ind w:right="760" w:firstLine="465" w:firstLineChars="111"/>
        <w:jc w:val="both"/>
      </w:pPr>
      <w:r>
        <w:t xml:space="preserve">  </w:t>
      </w:r>
      <w:r>
        <w:drawing>
          <wp:inline distT="0" distB="0" distL="0" distR="0">
            <wp:extent cx="3473450" cy="720090"/>
            <wp:effectExtent l="133350" t="95250" r="146050" b="1562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473450" cy="72009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pStyle w:val="74"/>
        <w:framePr w:wrap="around"/>
        <w:ind w:firstLine="1408" w:firstLineChars="336"/>
      </w:pPr>
    </w:p>
    <w:p>
      <w:pPr>
        <w:pStyle w:val="23"/>
        <w:ind w:firstLine="0" w:firstLineChars="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0k/7OyAEAAKADAAAOAAAAZHJzL2Uyb0RvYy54bWytU02P&#10;2yAQvVfqf0DcG8dpd9VacfaQaHtJ20i7/QEEsI0KDGJI7Pz7DuSj3e1lD/UBMV9v5r3By4fJWXbU&#10;EQ34ltezOWfaS1DG9y3/+fz44TNnmIRXwoLXLT9p5A+r9++WY2j0AgawSkdGIB6bMbR8SCk0VYVy&#10;0E7gDIL2FOwgOpHIjH2lohgJ3dlqMZ/fVyNEFSJIjUjezTnIL4jxLYDQdUbqDciD0z6dUaO2IhEl&#10;HExAvirTdp2W6UfXoU7MtpyYpnJSE7rv81mtlqLpowiDkZcRxFtGeMXJCeOp6Q1qI5Jgh2j+gXJG&#10;RkDo0kyCq85EiiLEop6/0uZpEEEXLiQ1hpvo+P9g5ffjLjKjWv6JMy8cLXxrvGZ1naUZAzaUsfa7&#10;mMnJyT+FLchfyDysB+F7XUZ8PgWqKxXVi5JsYKAG+/EbKMoRhwRFp6mLLkOSAmwq6zjd1qGnxCQ5&#10;72vS5CNtSl5jlWiuhSFi+qrBsXxpuaWhC7A4bjHR6JR6Tcl9PDwaa8u2rWdjy7/cLe5KAYI1Kgdz&#10;GsZ+v7aRHUV+L+XLOhDYi7QIB6/OfuspfOV5VmwP6rS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9JP+zsgBAACgAwAADgAAAAAAAAABACAAAAAmAQAAZHJz&#10;L2Uyb0RvYy54bWxQSwUGAAAAAAYABgBZAQAAYAUAAAAA&#10;">
                <v:fill on="f" focussize="0,0"/>
                <v:stroke color="#000000" joinstyle="round"/>
                <v:imagedata o:title=""/>
                <o:lock v:ext="edit" aspectratio="f"/>
              </v:line>
            </w:pict>
          </mc:Fallback>
        </mc:AlternateContent>
      </w:r>
    </w:p>
    <w:p>
      <w:pPr>
        <w:pStyle w:val="112"/>
        <w:jc w:val="both"/>
      </w:pPr>
      <w:bookmarkStart w:id="15" w:name="_Toc503281259"/>
      <w:r>
        <w:rPr>
          <w:rFonts w:hint="eastAsia"/>
        </w:rPr>
        <w:t>前</w:t>
      </w:r>
      <w:bookmarkStart w:id="16" w:name="BKQY"/>
      <w:r>
        <w:rPr>
          <w:rFonts w:ascii="Cambria Math" w:hAnsi="Cambria Math" w:cs="Cambria Math"/>
        </w:rPr>
        <w:t>  </w:t>
      </w:r>
      <w:r>
        <w:rPr>
          <w:rFonts w:hint="eastAsia"/>
        </w:rPr>
        <w:t>言</w:t>
      </w:r>
      <w:bookmarkEnd w:id="15"/>
      <w:bookmarkEnd w:id="16"/>
    </w:p>
    <w:p>
      <w:pPr>
        <w:pStyle w:val="23"/>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 xml:space="preserve">《标准化工作导则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第1部分：标准化文件的结构和起草规则》的规定起草。</w:t>
      </w:r>
    </w:p>
    <w:p>
      <w:pPr>
        <w:pStyle w:val="23"/>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文件代替GB/T 32280-2015《</w:t>
      </w:r>
      <w:r>
        <w:rPr>
          <w:rFonts w:hAnsi="宋体"/>
          <w:color w:val="000000" w:themeColor="text1"/>
          <w:szCs w:val="21"/>
          <w14:textFill>
            <w14:solidFill>
              <w14:schemeClr w14:val="tx1"/>
            </w14:solidFill>
          </w14:textFill>
        </w:rPr>
        <w:t>硅</w:t>
      </w:r>
      <w:r>
        <w:rPr>
          <w:rFonts w:hint="eastAsia" w:hAnsi="宋体"/>
          <w:color w:val="000000" w:themeColor="text1"/>
          <w:szCs w:val="21"/>
          <w14:textFill>
            <w14:solidFill>
              <w14:schemeClr w14:val="tx1"/>
            </w14:solidFill>
          </w14:textFill>
        </w:rPr>
        <w:t>片翘曲度测试 自动非接触扫描法》，与</w:t>
      </w:r>
      <w:r>
        <w:rPr>
          <w:rFonts w:hAnsi="宋体"/>
          <w:color w:val="000000" w:themeColor="text1"/>
          <w:szCs w:val="21"/>
          <w14:textFill>
            <w14:solidFill>
              <w14:schemeClr w14:val="tx1"/>
            </w14:solidFill>
          </w14:textFill>
        </w:rPr>
        <w:t>GB/T</w:t>
      </w:r>
      <w:r>
        <w:rPr>
          <w:rFonts w:hint="eastAsia" w:hAnsi="宋体"/>
          <w:color w:val="000000" w:themeColor="text1"/>
          <w:szCs w:val="21"/>
          <w14:textFill>
            <w14:solidFill>
              <w14:schemeClr w14:val="tx1"/>
            </w14:solidFill>
          </w14:textFill>
        </w:rPr>
        <w:t>32280-2015 相比，除结构调整和编辑性改动外，主要技术变化如下：</w:t>
      </w:r>
    </w:p>
    <w:p>
      <w:pPr>
        <w:pStyle w:val="48"/>
        <w:numPr>
          <w:ilvl w:val="0"/>
          <w:numId w:val="0"/>
        </w:numPr>
        <w:ind w:left="425"/>
        <w:rPr>
          <w:rFonts w:hAnsi="宋体"/>
        </w:rPr>
      </w:pPr>
      <w:r>
        <w:rPr>
          <w:rFonts w:hint="eastAsia" w:hAnsi="宋体"/>
        </w:rPr>
        <w:t>a)标准名称修改为《</w:t>
      </w:r>
      <w:r>
        <w:rPr>
          <w:rFonts w:hint="eastAsia" w:hAnsi="宋体"/>
          <w:lang w:val="de-DE"/>
        </w:rPr>
        <w:t>硅片翘曲度和弯曲度测试 自动非接触扫描法</w:t>
      </w:r>
      <w:r>
        <w:rPr>
          <w:rFonts w:hint="eastAsia" w:hAnsi="宋体"/>
        </w:rPr>
        <w:t>》；</w:t>
      </w:r>
    </w:p>
    <w:p>
      <w:pPr>
        <w:pStyle w:val="125"/>
        <w:numPr>
          <w:ilvl w:val="0"/>
          <w:numId w:val="0"/>
        </w:numPr>
        <w:ind w:left="284" w:firstLine="105" w:firstLineChars="50"/>
      </w:pPr>
      <w:r>
        <w:rPr>
          <w:rFonts w:hint="eastAsia" w:hAnsi="宋体"/>
        </w:rPr>
        <w:t>b)全本中增加了“弯曲度”的文字和公式。</w:t>
      </w:r>
      <w:r>
        <w:rPr>
          <w:rFonts w:hint="eastAsia"/>
        </w:rPr>
        <w:t>（见第1章，第4章、2015版第1章）；</w:t>
      </w:r>
    </w:p>
    <w:p>
      <w:pPr>
        <w:pStyle w:val="125"/>
        <w:numPr>
          <w:ilvl w:val="0"/>
          <w:numId w:val="0"/>
        </w:numPr>
        <w:ind w:left="284" w:firstLine="105" w:firstLineChars="50"/>
      </w:pPr>
      <w:r>
        <w:rPr>
          <w:rFonts w:hint="eastAsia" w:hAnsi="宋体"/>
        </w:rPr>
        <w:t>c）删除了</w:t>
      </w:r>
      <w:r>
        <w:rPr>
          <w:rFonts w:hAnsi="宋体"/>
          <w:color w:val="000000" w:themeColor="text1"/>
          <w14:textFill>
            <w14:solidFill>
              <w14:schemeClr w14:val="tx1"/>
            </w14:solidFill>
          </w14:textFill>
        </w:rPr>
        <w:t>GB/T</w:t>
      </w:r>
      <w:r>
        <w:rPr>
          <w:rFonts w:hint="eastAsia" w:hAnsi="宋体"/>
          <w:color w:val="000000" w:themeColor="text1"/>
          <w14:textFill>
            <w14:solidFill>
              <w14:schemeClr w14:val="tx1"/>
            </w14:solidFill>
          </w14:textFill>
        </w:rPr>
        <w:t>32280-2015 范围中“</w:t>
      </w:r>
      <w:r>
        <w:rPr>
          <w:rFonts w:hint="eastAsia"/>
        </w:rPr>
        <w:t>本方法可用于监控因热效应和（或）机械效应引起的硅片翘曲”内容。在也可用于</w:t>
      </w:r>
      <w:r>
        <w:t>……</w:t>
      </w:r>
      <w:r>
        <w:rPr>
          <w:rFonts w:hint="eastAsia"/>
        </w:rPr>
        <w:t>等其他半导体晶片的翘曲度和弯曲度测试的举例中增加了“碳化硅”，（见第1章，2015版第1章）；</w:t>
      </w:r>
    </w:p>
    <w:p>
      <w:pPr>
        <w:pStyle w:val="125"/>
        <w:numPr>
          <w:ilvl w:val="0"/>
          <w:numId w:val="0"/>
        </w:numPr>
        <w:ind w:left="284" w:firstLine="105" w:firstLineChars="50"/>
      </w:pPr>
      <w:r>
        <w:rPr>
          <w:rFonts w:hint="eastAsia" w:hAnsi="宋体"/>
        </w:rPr>
        <w:t>d）规范性应用文件中增加了</w:t>
      </w:r>
      <w:r>
        <w:rPr>
          <w:rFonts w:hint="eastAsia"/>
        </w:rPr>
        <w:t>GB/T 6619（（见第2章和5.8；2015版第2章和5.8）；GB/T 16596（见第2章和9.13，2015版第1章）；</w:t>
      </w:r>
    </w:p>
    <w:p>
      <w:pPr>
        <w:pStyle w:val="125"/>
        <w:numPr>
          <w:ilvl w:val="0"/>
          <w:numId w:val="0"/>
        </w:numPr>
        <w:ind w:left="284" w:firstLine="105" w:firstLineChars="50"/>
      </w:pPr>
      <w:r>
        <w:rPr>
          <w:rFonts w:hint="eastAsia"/>
        </w:rPr>
        <w:t>e）将</w:t>
      </w:r>
      <w:r>
        <w:rPr>
          <w:rFonts w:hint="eastAsia" w:hAnsi="宋体"/>
        </w:rPr>
        <w:t>规范性应用文件中</w:t>
      </w:r>
      <w:r>
        <w:rPr>
          <w:rFonts w:hint="eastAsia"/>
        </w:rPr>
        <w:t>GB/T 50073-2013洁净厂房涉及规范改为GB/T 25915.1洁净室及相关受控环境 第1部分：空气洁净度等级，（见第2章和7.3，2015版第2章和7.3）；</w:t>
      </w:r>
    </w:p>
    <w:p>
      <w:pPr>
        <w:pStyle w:val="125"/>
        <w:numPr>
          <w:ilvl w:val="0"/>
          <w:numId w:val="0"/>
        </w:numPr>
        <w:ind w:left="284" w:firstLine="105" w:firstLineChars="50"/>
      </w:pPr>
      <w:r>
        <w:rPr>
          <w:rFonts w:hint="eastAsia"/>
        </w:rPr>
        <w:t>f）</w:t>
      </w:r>
      <w:r>
        <w:rPr>
          <w:rFonts w:hint="eastAsia" w:hAnsi="宋体"/>
        </w:rPr>
        <w:t>术语、定义中增加了“参考片”的内容，</w:t>
      </w:r>
      <w:r>
        <w:rPr>
          <w:rFonts w:hint="eastAsia"/>
        </w:rPr>
        <w:t>（见第3章，2015版第3章）；</w:t>
      </w:r>
    </w:p>
    <w:p>
      <w:pPr>
        <w:pStyle w:val="145"/>
        <w:ind w:left="840" w:hanging="420" w:firstLineChars="0"/>
      </w:pPr>
      <w:r>
        <w:rPr>
          <w:rFonts w:hint="eastAsia" w:ascii="宋体" w:hAnsi="宋体"/>
        </w:rPr>
        <w:t>g）增加了校准用参考片弯曲度不大于10μm的规定，</w:t>
      </w:r>
      <w:r>
        <w:rPr>
          <w:rFonts w:hint="eastAsia"/>
        </w:rPr>
        <w:t>（见8.2， 2015版8.2.1）</w:t>
      </w:r>
    </w:p>
    <w:p>
      <w:pPr>
        <w:pStyle w:val="145"/>
        <w:ind w:left="840" w:hanging="420" w:firstLineChars="0"/>
      </w:pPr>
      <w:r>
        <w:rPr>
          <w:rFonts w:hint="eastAsia"/>
        </w:rPr>
        <w:t>h）增加了</w:t>
      </w:r>
      <w:r>
        <w:rPr>
          <w:rFonts w:asciiTheme="minorEastAsia" w:hAnsiTheme="minorEastAsia" w:eastAsiaTheme="minorEastAsia"/>
        </w:rPr>
        <w:t>确定</w:t>
      </w:r>
      <w:r>
        <w:rPr>
          <w:rFonts w:hint="eastAsia" w:asciiTheme="minorEastAsia" w:hAnsiTheme="minorEastAsia" w:eastAsiaTheme="minorEastAsia"/>
        </w:rPr>
        <w:t>以</w:t>
      </w:r>
      <w:r>
        <w:rPr>
          <w:rFonts w:asciiTheme="minorEastAsia" w:hAnsiTheme="minorEastAsia" w:eastAsiaTheme="minorEastAsia"/>
        </w:rPr>
        <w:t>三点</w:t>
      </w:r>
      <w:r>
        <w:rPr>
          <w:rFonts w:hint="eastAsia" w:asciiTheme="minorEastAsia" w:hAnsiTheme="minorEastAsia" w:eastAsiaTheme="minorEastAsia"/>
        </w:rPr>
        <w:t>位置作为</w:t>
      </w:r>
      <w:r>
        <w:rPr>
          <w:rFonts w:asciiTheme="minorEastAsia" w:hAnsiTheme="minorEastAsia" w:eastAsiaTheme="minorEastAsia"/>
        </w:rPr>
        <w:t>基准面</w:t>
      </w:r>
      <w:r>
        <w:rPr>
          <w:rFonts w:hint="eastAsia" w:asciiTheme="minorEastAsia" w:hAnsiTheme="minorEastAsia" w:eastAsiaTheme="minorEastAsia"/>
        </w:rPr>
        <w:t>计算弯曲度时，三点的位置及计算公式的内容，</w:t>
      </w:r>
      <w:r>
        <w:rPr>
          <w:rFonts w:hint="eastAsia"/>
        </w:rPr>
        <w:t>（见9.13和公式12）；</w:t>
      </w:r>
    </w:p>
    <w:p>
      <w:pPr>
        <w:pStyle w:val="145"/>
        <w:ind w:left="840" w:hanging="420" w:firstLineChars="0"/>
      </w:pPr>
      <w:r>
        <w:rPr>
          <w:rFonts w:hint="eastAsia"/>
        </w:rPr>
        <w:t>i）2015版中9.13和9.14相应变更章节号，（见9.14和9.15，2015版9.13和9.14）；</w:t>
      </w:r>
    </w:p>
    <w:p>
      <w:pPr>
        <w:pStyle w:val="145"/>
        <w:ind w:left="840" w:hanging="420" w:firstLineChars="0"/>
        <w:rPr>
          <w:rFonts w:ascii="宋体" w:hAnsi="宋体"/>
        </w:rPr>
      </w:pPr>
      <w:r>
        <w:rPr>
          <w:rFonts w:hint="eastAsia"/>
        </w:rPr>
        <w:t>j）增加了精密度中弯曲度的内容，（见第10章，2015版第10章）。</w:t>
      </w:r>
    </w:p>
    <w:p>
      <w:pPr>
        <w:autoSpaceDE w:val="0"/>
        <w:autoSpaceDN w:val="0"/>
        <w:adjustRightInd w:val="0"/>
        <w:ind w:firstLine="420"/>
        <w:jc w:val="left"/>
        <w:rPr>
          <w:rFonts w:ascii="宋体" w:hAnsi="宋体"/>
        </w:rPr>
      </w:pPr>
      <w:r>
        <w:rPr>
          <w:rFonts w:hint="eastAsia" w:ascii="宋体" w:hAnsi="宋体"/>
        </w:rPr>
        <w:t>本标准由全国半导体设备和材料标准化技术委员会(</w:t>
      </w:r>
      <w:r>
        <w:rPr>
          <w:rFonts w:ascii="宋体" w:hAnsi="宋体"/>
        </w:rPr>
        <w:t>SAC/TC203)</w:t>
      </w:r>
      <w:r>
        <w:rPr>
          <w:rFonts w:hint="eastAsia" w:ascii="宋体" w:hAnsi="宋体"/>
        </w:rPr>
        <w:t>与全国半导体设备和材料标准化技术委员会材料分会(</w:t>
      </w:r>
      <w:r>
        <w:rPr>
          <w:rFonts w:ascii="宋体" w:hAnsi="宋体"/>
        </w:rPr>
        <w:t>SAC/TC203/SC2)</w:t>
      </w:r>
      <w:r>
        <w:rPr>
          <w:rFonts w:hint="eastAsia" w:ascii="宋体" w:hAnsi="宋体"/>
        </w:rPr>
        <w:t>共同提出并归口。</w:t>
      </w:r>
    </w:p>
    <w:p>
      <w:pPr>
        <w:adjustRightInd w:val="0"/>
        <w:jc w:val="left"/>
        <w:rPr>
          <w:rFonts w:hAnsi="宋体"/>
        </w:rPr>
      </w:pPr>
      <w:r>
        <w:rPr>
          <w:rFonts w:hint="eastAsia" w:ascii="宋体" w:hAnsi="宋体"/>
        </w:rPr>
        <w:t>本标准起草单位：</w:t>
      </w:r>
      <w:r>
        <w:rPr>
          <w:rFonts w:hint="eastAsia" w:hAnsi="宋体"/>
        </w:rPr>
        <w:t>有研半导体材料有限公司、</w:t>
      </w:r>
      <w:bookmarkStart w:id="17" w:name="OLE_LINK69"/>
      <w:bookmarkStart w:id="18" w:name="OLE_LINK70"/>
      <w:r>
        <w:rPr>
          <w:rFonts w:hint="eastAsia" w:hAnsi="宋体"/>
        </w:rPr>
        <w:t>山东有研半导体材料有限公司、上海合晶硅材料股份有限公司、浙江金瑞泓科技股份有限公司</w:t>
      </w:r>
      <w:bookmarkEnd w:id="17"/>
      <w:bookmarkEnd w:id="18"/>
      <w:r>
        <w:rPr>
          <w:rFonts w:hint="eastAsia" w:hAnsi="宋体"/>
        </w:rPr>
        <w:t>、杭州海纳半导体有限公司、浙江省硅材料质量检验中心、天津中环领先材料技术有限公司。</w:t>
      </w:r>
    </w:p>
    <w:p>
      <w:pPr>
        <w:autoSpaceDE w:val="0"/>
        <w:autoSpaceDN w:val="0"/>
        <w:adjustRightInd w:val="0"/>
        <w:ind w:firstLine="420"/>
        <w:jc w:val="left"/>
        <w:rPr>
          <w:rFonts w:ascii="宋体" w:hAnsi="宋体"/>
        </w:rPr>
      </w:pPr>
      <w:r>
        <w:rPr>
          <w:rFonts w:hint="eastAsia" w:ascii="宋体" w:hAnsi="宋体"/>
        </w:rPr>
        <w:t>本标准主要起草人：孙燕、蔡丽艳、韩建超、张海英、潘金平、楼春兰、张雪囡</w:t>
      </w:r>
    </w:p>
    <w:p>
      <w:pPr>
        <w:pStyle w:val="23"/>
        <w:ind w:left="420" w:firstLine="0" w:firstLineChars="0"/>
      </w:pPr>
      <w:r>
        <w:rPr>
          <w:rFonts w:hint="eastAsia"/>
        </w:rPr>
        <w:t>本标准所替代的历次版本发布情况为：</w:t>
      </w:r>
    </w:p>
    <w:p>
      <w:pPr>
        <w:pStyle w:val="23"/>
        <w:ind w:left="420" w:firstLine="0" w:firstLineChars="0"/>
      </w:pPr>
      <w:r>
        <w:rPr>
          <w:rFonts w:hint="eastAsia" w:hAnsi="宋体"/>
        </w:rPr>
        <w:t>——GB/T 32280-2015。</w:t>
      </w:r>
    </w:p>
    <w:p>
      <w:pPr>
        <w:autoSpaceDE w:val="0"/>
        <w:autoSpaceDN w:val="0"/>
        <w:adjustRightInd w:val="0"/>
        <w:ind w:firstLine="420"/>
        <w:jc w:val="left"/>
        <w:rPr>
          <w:rFonts w:ascii="宋体" w:hAnsi="宋体"/>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0"/>
      </w:pPr>
      <w:r>
        <w:rPr>
          <w:rFonts w:hint="eastAsia"/>
        </w:rPr>
        <w:t>硅片翘曲度和弯曲度测试 自动非接触扫描法</w:t>
      </w:r>
    </w:p>
    <w:p>
      <w:pPr>
        <w:pStyle w:val="45"/>
        <w:spacing w:before="312" w:after="312"/>
      </w:pPr>
      <w:bookmarkStart w:id="19" w:name="_Toc503281260"/>
      <w:bookmarkStart w:id="20" w:name="_Toc503278726"/>
      <w:r>
        <w:rPr>
          <w:rFonts w:hint="eastAsia"/>
        </w:rPr>
        <w:t>范围</w:t>
      </w:r>
      <w:bookmarkEnd w:id="19"/>
      <w:bookmarkEnd w:id="20"/>
    </w:p>
    <w:p>
      <w:pPr>
        <w:pStyle w:val="125"/>
        <w:numPr>
          <w:ilvl w:val="0"/>
          <w:numId w:val="0"/>
        </w:numPr>
        <w:ind w:left="284"/>
      </w:pPr>
      <w:r>
        <w:rPr>
          <w:rFonts w:hint="eastAsia"/>
        </w:rPr>
        <w:t>本文件规定了利用两个探头在硅片表面自动扫描的电容方法，测试硅片的翘曲度和弯曲度。</w:t>
      </w:r>
    </w:p>
    <w:p>
      <w:pPr>
        <w:pStyle w:val="125"/>
        <w:numPr>
          <w:ilvl w:val="0"/>
          <w:numId w:val="0"/>
        </w:numPr>
        <w:ind w:left="284"/>
      </w:pPr>
      <w:r>
        <w:rPr>
          <w:rFonts w:hint="eastAsia"/>
        </w:rPr>
        <w:t>本文件适用于直径不小于50mm，厚度不小于100μm的洁净、干燥的硅片。包括切割、研磨、腐蚀、抛光外延、刻蚀或其他表面状态硅片，也可用于砷化镓、碳化硅、蓝宝石等其他半导体晶片的翘曲度和弯曲度测试。</w:t>
      </w:r>
    </w:p>
    <w:p>
      <w:pPr>
        <w:pStyle w:val="45"/>
        <w:spacing w:before="312" w:after="312"/>
      </w:pPr>
      <w:bookmarkStart w:id="21" w:name="_Toc503278727"/>
      <w:bookmarkStart w:id="22" w:name="_Toc503281261"/>
      <w:r>
        <w:rPr>
          <w:rFonts w:hint="eastAsia"/>
        </w:rPr>
        <w:t>规范性引用文件</w:t>
      </w:r>
      <w:bookmarkEnd w:id="21"/>
      <w:bookmarkEnd w:id="22"/>
    </w:p>
    <w:p>
      <w:pPr>
        <w:pStyle w:val="23"/>
      </w:pPr>
      <w:r>
        <w:rPr>
          <w:rFonts w:hint="eastAsia"/>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szCs w:val="21"/>
        </w:rPr>
      </w:pPr>
      <w:r>
        <w:rPr>
          <w:rFonts w:hint="eastAsia"/>
          <w:szCs w:val="21"/>
        </w:rPr>
        <w:t>GB/T 6619  硅片弯曲度测试方法</w:t>
      </w:r>
    </w:p>
    <w:p>
      <w:pPr>
        <w:ind w:firstLine="420" w:firstLineChars="200"/>
        <w:rPr>
          <w:szCs w:val="21"/>
        </w:rPr>
      </w:pPr>
      <w:r>
        <w:rPr>
          <w:szCs w:val="21"/>
        </w:rPr>
        <w:t xml:space="preserve">GB/T 6620  </w:t>
      </w:r>
      <w:r>
        <w:rPr>
          <w:rFonts w:hint="eastAsia"/>
          <w:szCs w:val="21"/>
        </w:rPr>
        <w:t>硅片翘曲度非接触式测试方法</w:t>
      </w:r>
    </w:p>
    <w:p>
      <w:pPr>
        <w:ind w:firstLine="420" w:firstLineChars="200"/>
        <w:rPr>
          <w:szCs w:val="21"/>
        </w:rPr>
      </w:pPr>
      <w:r>
        <w:rPr>
          <w:rFonts w:hint="eastAsia"/>
          <w:szCs w:val="21"/>
        </w:rPr>
        <w:t>GB/T 14264  半导体材料术语</w:t>
      </w:r>
    </w:p>
    <w:p>
      <w:pPr>
        <w:ind w:firstLine="420" w:firstLineChars="200"/>
        <w:rPr>
          <w:szCs w:val="21"/>
        </w:rPr>
      </w:pPr>
      <w:r>
        <w:rPr>
          <w:rFonts w:hint="eastAsia"/>
          <w:szCs w:val="21"/>
        </w:rPr>
        <w:t>GB/T 16596 确定晶片坐标系规范</w:t>
      </w:r>
    </w:p>
    <w:p>
      <w:pPr>
        <w:ind w:firstLine="420" w:firstLineChars="200"/>
        <w:rPr>
          <w:szCs w:val="21"/>
        </w:rPr>
      </w:pPr>
      <w:r>
        <w:rPr>
          <w:rFonts w:hint="eastAsia"/>
          <w:szCs w:val="21"/>
        </w:rPr>
        <w:t>GB/T 25915.1洁净室及相关受控环境 第1部分：空气洁净度等级</w:t>
      </w:r>
    </w:p>
    <w:p>
      <w:pPr>
        <w:ind w:firstLine="420" w:firstLineChars="200"/>
        <w:rPr>
          <w:szCs w:val="21"/>
        </w:rPr>
      </w:pPr>
      <w:r>
        <w:rPr>
          <w:rFonts w:hint="eastAsia"/>
          <w:szCs w:val="21"/>
        </w:rPr>
        <w:t xml:space="preserve">GB/T 29507  </w:t>
      </w:r>
      <w:bookmarkStart w:id="23" w:name="OLE_LINK7"/>
      <w:bookmarkStart w:id="24" w:name="OLE_LINK6"/>
      <w:r>
        <w:rPr>
          <w:rFonts w:hint="eastAsia"/>
          <w:szCs w:val="21"/>
        </w:rPr>
        <w:t>硅片平整度、厚度及总厚度变化测试 自动非接触扫描法</w:t>
      </w:r>
      <w:bookmarkEnd w:id="23"/>
      <w:bookmarkEnd w:id="24"/>
    </w:p>
    <w:p>
      <w:pPr>
        <w:pStyle w:val="45"/>
        <w:spacing w:before="312" w:after="312"/>
      </w:pPr>
      <w:bookmarkStart w:id="25" w:name="_Toc503278728"/>
      <w:bookmarkEnd w:id="25"/>
      <w:bookmarkStart w:id="26" w:name="_Toc503281262"/>
      <w:r>
        <w:rPr>
          <w:rFonts w:hint="eastAsia"/>
        </w:rPr>
        <w:t>术语、定义和缩略语</w:t>
      </w:r>
      <w:bookmarkEnd w:id="26"/>
    </w:p>
    <w:p>
      <w:pPr>
        <w:pStyle w:val="42"/>
        <w:spacing w:before="156" w:after="156"/>
        <w:ind w:left="0"/>
      </w:pPr>
      <w:r>
        <w:rPr>
          <w:rFonts w:hint="eastAsia"/>
        </w:rPr>
        <w:t>术语和定义</w:t>
      </w:r>
    </w:p>
    <w:p>
      <w:pPr>
        <w:spacing w:line="360" w:lineRule="auto"/>
        <w:ind w:firstLine="420" w:firstLineChars="200"/>
        <w:rPr>
          <w:rFonts w:hAnsi="宋体"/>
          <w:szCs w:val="21"/>
        </w:rPr>
      </w:pPr>
      <w:r>
        <w:rPr>
          <w:rFonts w:hint="eastAsia"/>
          <w:szCs w:val="21"/>
        </w:rPr>
        <w:t>GB/T14264界定的下列术语和定义适用于本文件</w:t>
      </w:r>
      <w:r>
        <w:rPr>
          <w:rFonts w:hAnsi="宋体"/>
          <w:szCs w:val="21"/>
        </w:rPr>
        <w:t>。</w:t>
      </w:r>
    </w:p>
    <w:p>
      <w:pPr>
        <w:pStyle w:val="46"/>
        <w:spacing w:before="156" w:after="156"/>
        <w:ind w:left="0"/>
      </w:pPr>
      <w:r>
        <w:rPr>
          <w:rFonts w:hint="eastAsia"/>
        </w:rPr>
        <w:t>典型片</w:t>
      </w:r>
      <w:r>
        <w:t xml:space="preserve"> </w:t>
      </w:r>
      <w:r>
        <w:rPr>
          <w:rFonts w:hint="eastAsia"/>
        </w:rPr>
        <w:t>r</w:t>
      </w:r>
      <w:r>
        <w:t xml:space="preserve">epresentative </w:t>
      </w:r>
      <w:r>
        <w:rPr>
          <w:rFonts w:hint="eastAsia"/>
        </w:rPr>
        <w:t>w</w:t>
      </w:r>
      <w:r>
        <w:t>afer</w:t>
      </w:r>
    </w:p>
    <w:p>
      <w:pPr>
        <w:pStyle w:val="23"/>
        <w:rPr>
          <w:szCs w:val="21"/>
        </w:rPr>
      </w:pPr>
      <w:r>
        <w:rPr>
          <w:rFonts w:hint="eastAsia"/>
          <w:szCs w:val="21"/>
        </w:rPr>
        <w:t>利用翻转的方法进行重力校正的代表性晶片。典型片应与被测晶片具有相同的标称直径、标称厚度、基准结构和结晶取向。</w:t>
      </w:r>
    </w:p>
    <w:p>
      <w:pPr>
        <w:pStyle w:val="46"/>
        <w:spacing w:before="156" w:after="156"/>
        <w:ind w:left="0"/>
      </w:pPr>
      <w:r>
        <w:rPr>
          <w:rFonts w:hint="eastAsia"/>
        </w:rPr>
        <w:t>参考片 reference wafer</w:t>
      </w:r>
    </w:p>
    <w:p>
      <w:pPr>
        <w:pStyle w:val="23"/>
        <w:rPr>
          <w:szCs w:val="21"/>
        </w:rPr>
      </w:pPr>
      <w:r>
        <w:rPr>
          <w:rFonts w:hint="eastAsia"/>
          <w:szCs w:val="21"/>
        </w:rPr>
        <w:t>自身标有翘曲度和弯曲度参数的数据，该</w:t>
      </w:r>
      <w:r>
        <w:rPr>
          <w:szCs w:val="21"/>
        </w:rPr>
        <w:t>参数值是</w:t>
      </w:r>
      <w:r>
        <w:rPr>
          <w:rFonts w:hint="eastAsia"/>
          <w:szCs w:val="21"/>
        </w:rPr>
        <w:t>使用测试设备通过大量重复测试获得的</w:t>
      </w:r>
      <w:r>
        <w:rPr>
          <w:szCs w:val="21"/>
        </w:rPr>
        <w:t>平均</w:t>
      </w:r>
      <w:r>
        <w:rPr>
          <w:rFonts w:hint="eastAsia"/>
          <w:szCs w:val="21"/>
        </w:rPr>
        <w:t>值，或者是基于设备重复性研究的统计值，用以</w:t>
      </w:r>
      <w:bookmarkStart w:id="27" w:name="OLE_LINK131"/>
      <w:bookmarkStart w:id="28" w:name="OLE_LINK132"/>
      <w:r>
        <w:rPr>
          <w:rFonts w:hint="eastAsia"/>
          <w:szCs w:val="21"/>
        </w:rPr>
        <w:t>确定是否符合该设备操作说明中的可重复性要求。</w:t>
      </w:r>
      <w:bookmarkEnd w:id="27"/>
      <w:bookmarkEnd w:id="28"/>
    </w:p>
    <w:p>
      <w:pPr>
        <w:pStyle w:val="45"/>
        <w:spacing w:before="312" w:after="312"/>
      </w:pPr>
      <w:bookmarkStart w:id="29" w:name="_Toc503281263"/>
      <w:r>
        <w:rPr>
          <w:rFonts w:hint="eastAsia"/>
        </w:rPr>
        <w:t>方法原理</w:t>
      </w:r>
      <w:bookmarkEnd w:id="29"/>
    </w:p>
    <w:p>
      <w:pPr>
        <w:pStyle w:val="23"/>
      </w:pPr>
      <w:r>
        <w:rPr>
          <w:rFonts w:hint="eastAsia"/>
          <w:szCs w:val="21"/>
        </w:rPr>
        <w:t>将被测晶片放置在平坦、洁净的吸盘上，吸盘带动晶片沿规定的图形在两个相对的探头之间运动，两个探头同时对晶片的上下表面进行扫描，获得一组晶片上下表面分别到最近的探头间的距离数据。对应扫描的每一点，得到一对X和Y坐标都相同的距离数值；成对的位移数值用于构造一个中位面，而在中位面上的重力效应的校正是通过从一个典型片测量值，或理论值减去一个重力校正值得到的，也可以通过翻转晶片重复扫描进行校正。从合适的中位面构造一个最小二乘法基准面，计算每对测量点上的基准面偏离（RPD）。翘曲度即为最大的正数（RPD）和最小的负数（RPD）间的代数差。弯曲度即为中心位置</w:t>
      </w:r>
      <w:r>
        <w:rPr>
          <w:rFonts w:hint="eastAsia"/>
        </w:rPr>
        <w:t>的中位面与晶片三点构成的基准面的</w:t>
      </w:r>
      <w:r>
        <w:t>代数差</w:t>
      </w:r>
      <w:r>
        <w:rPr>
          <w:rFonts w:hint="eastAsia"/>
        </w:rPr>
        <w:t>。</w:t>
      </w:r>
    </w:p>
    <w:p>
      <w:pPr>
        <w:pStyle w:val="23"/>
        <w:rPr>
          <w:szCs w:val="21"/>
        </w:rPr>
      </w:pPr>
    </w:p>
    <w:p>
      <w:pPr>
        <w:pStyle w:val="23"/>
        <w:ind w:firstLine="360"/>
        <w:rPr>
          <w:sz w:val="18"/>
          <w:szCs w:val="18"/>
        </w:rPr>
      </w:pPr>
      <w:r>
        <w:rPr>
          <w:rFonts w:hint="eastAsia"/>
          <w:sz w:val="18"/>
          <w:szCs w:val="18"/>
        </w:rPr>
        <w:t>注：晶片的翘曲可能是由于晶片的上下表面不相同的应力造成的，所以它不可能通过测量其中一个面确定。中位面包含了向上、向下或两者都有的曲度，在某些情况下，中位面是平的，因此，翘曲度为零或正数值，弯曲度则是一个带正号或负号的数值。</w:t>
      </w:r>
    </w:p>
    <w:p>
      <w:pPr>
        <w:pStyle w:val="45"/>
        <w:spacing w:before="312" w:after="312"/>
      </w:pPr>
      <w:bookmarkStart w:id="30" w:name="_Toc503281264"/>
      <w:r>
        <w:rPr>
          <w:rFonts w:hint="eastAsia"/>
        </w:rPr>
        <w:t>干扰因素</w:t>
      </w:r>
      <w:bookmarkEnd w:id="30"/>
    </w:p>
    <w:p>
      <w:pPr>
        <w:pStyle w:val="125"/>
        <w:ind w:left="0"/>
      </w:pPr>
      <w:r>
        <w:rPr>
          <w:rFonts w:hint="eastAsia"/>
        </w:rPr>
        <w:t>在扫描测试期间，任何探头间或探头沿测试轴的相对运动都会产生横向位置等效测试数据误差。晶片相对于探头测试轴的振动也会引入误差。为了使上述误差降低到最小，系统提供了特征分析及校正程序。设备内部的监控系统也可以用来校正重复和非重复的系统机械误差，如未能提供这样的校正可能会导致误差。</w:t>
      </w:r>
    </w:p>
    <w:p>
      <w:pPr>
        <w:pStyle w:val="125"/>
        <w:ind w:left="0"/>
      </w:pPr>
      <w:r>
        <w:rPr>
          <w:rFonts w:hint="eastAsia"/>
        </w:rPr>
        <w:t>系统晶片夹持装置的差异可能引入测试差异。本测试方法允许使用不同的晶片夹持装置（见</w:t>
      </w:r>
      <w:r>
        <w:t>6.1</w:t>
      </w:r>
      <w:r>
        <w:rPr>
          <w:rFonts w:hint="eastAsia"/>
        </w:rPr>
        <w:t>），相同的晶片在不同的晶片夹持装置中会得到不同的几何形状结果。</w:t>
      </w:r>
    </w:p>
    <w:p>
      <w:pPr>
        <w:pStyle w:val="42"/>
        <w:spacing w:beforeLines="0" w:afterLines="0"/>
        <w:ind w:left="0"/>
        <w:rPr>
          <w:rFonts w:ascii="宋体" w:hAnsi="宋体" w:eastAsia="宋体"/>
        </w:rPr>
      </w:pPr>
      <w:r>
        <w:rPr>
          <w:rFonts w:hint="eastAsia" w:ascii="宋体" w:hAnsi="宋体" w:eastAsia="宋体"/>
        </w:rPr>
        <w:t>数据点的数量及其间距不同可能影响测试结果。</w:t>
      </w:r>
    </w:p>
    <w:p>
      <w:pPr>
        <w:pStyle w:val="23"/>
        <w:ind w:firstLine="0" w:firstLineChars="0"/>
      </w:pPr>
      <w:r>
        <w:rPr>
          <w:rFonts w:hint="eastAsia" w:ascii="黑体" w:hAnsi="黑体" w:eastAsia="黑体"/>
        </w:rPr>
        <w:t>5.4</w:t>
      </w:r>
      <w:r>
        <w:rPr>
          <w:rFonts w:hint="eastAsia"/>
        </w:rPr>
        <w:t>　本方法不受晶片厚度及表面加工状态的影响。因设备具有一定的厚度测试（结合翘曲度和弯曲度）范围，无需调整即可满足要求。如果校准或被测晶片厚度超出测试范围，可能产生错误的结果。操作者可通过设备的超量程信号得知。</w:t>
      </w:r>
    </w:p>
    <w:p>
      <w:pPr>
        <w:pStyle w:val="23"/>
        <w:ind w:firstLine="0" w:firstLineChars="0"/>
      </w:pPr>
      <w:r>
        <w:rPr>
          <w:rFonts w:hint="eastAsia"/>
        </w:rPr>
        <w:t>5.5　使用重力补偿时，被测晶片与用于重力补偿的晶片在直径、厚度、表面状态、晶向等各种方面的差别都可能引起重力补偿结果的差异。对于不同直径和厚度引起的重力补偿错误的预计见附录A。如果被测晶片的晶体取向与用于重力补偿晶片的晶体取向不同，重力补偿引入的测量值与实际值偏差达15%。</w:t>
      </w:r>
    </w:p>
    <w:p>
      <w:pPr>
        <w:pStyle w:val="23"/>
        <w:ind w:firstLine="0" w:firstLineChars="0"/>
      </w:pPr>
      <w:r>
        <w:rPr>
          <w:rFonts w:hint="eastAsia" w:ascii="黑体" w:hAnsi="黑体" w:eastAsia="黑体"/>
        </w:rPr>
        <w:t>5.6</w:t>
      </w:r>
      <w:r>
        <w:rPr>
          <w:rFonts w:hint="eastAsia"/>
        </w:rPr>
        <w:t>　重力可以改变晶片形状，本标准包含了几种消除重力影响的方法，包括典型片翻转的方法。实行重力补偿，不同的方法和不同的实施水平可能会得到不同的测试结果。</w:t>
      </w:r>
    </w:p>
    <w:p>
      <w:pPr>
        <w:pStyle w:val="23"/>
        <w:ind w:firstLine="0" w:firstLineChars="0"/>
      </w:pPr>
      <w:r>
        <w:rPr>
          <w:rFonts w:hint="eastAsia" w:ascii="黑体" w:hAnsi="黑体" w:eastAsia="黑体"/>
        </w:rPr>
        <w:t>5.7</w:t>
      </w:r>
      <w:r>
        <w:rPr>
          <w:rFonts w:hint="eastAsia"/>
        </w:rPr>
        <w:t>　当使用典型片翻转的方法进行重力补偿时，典型片的翘曲度和弯曲度过大可能给测试结果带来影响。建议按照设备商推荐的要求进行。</w:t>
      </w:r>
    </w:p>
    <w:p>
      <w:pPr>
        <w:pStyle w:val="23"/>
        <w:ind w:firstLine="0" w:firstLineChars="0"/>
      </w:pPr>
      <w:r>
        <w:rPr>
          <w:rFonts w:hint="eastAsia" w:ascii="黑体" w:hAnsi="黑体" w:eastAsia="黑体"/>
        </w:rPr>
        <w:t>5.8</w:t>
      </w:r>
      <w:r>
        <w:rPr>
          <w:rFonts w:hint="eastAsia"/>
        </w:rPr>
        <w:t>　选择基准面不同，得到的翘曲度和弯曲度的值可能不同。GB/T 6620 和GB/T 6619 是使用背表面3点作为基准面测量翘曲度和弯曲度，而背表面基准面的翘曲度和弯曲度的结果中包含了厚度差异。本方法使用中位面做基准面消除了这一影响，使用最小二乘法平面拟合参照平面降低了三点平面计算参考点位置时选择不同点带来的差异。使用特殊的校准或补偿技术，可最大限度地减少重力造成的晶片畸变的影响。</w:t>
      </w:r>
    </w:p>
    <w:p>
      <w:pPr>
        <w:pStyle w:val="45"/>
        <w:spacing w:before="312" w:after="312"/>
      </w:pPr>
      <w:bookmarkStart w:id="31" w:name="_Toc503281266"/>
      <w:r>
        <w:rPr>
          <w:rFonts w:hint="eastAsia"/>
        </w:rPr>
        <w:t>仪器和设备</w:t>
      </w:r>
      <w:bookmarkEnd w:id="31"/>
    </w:p>
    <w:p>
      <w:pPr>
        <w:pStyle w:val="125"/>
        <w:numPr>
          <w:ilvl w:val="0"/>
          <w:numId w:val="0"/>
        </w:numPr>
      </w:pPr>
      <w:r>
        <w:rPr>
          <w:rFonts w:hint="eastAsia" w:ascii="黑体" w:hAnsi="黑体" w:eastAsia="黑体"/>
        </w:rPr>
        <w:t>6.1</w:t>
      </w:r>
      <w:r>
        <w:rPr>
          <w:rFonts w:hint="eastAsia"/>
        </w:rPr>
        <w:t>晶片夹持装置：采用吸盘或晶片边缘夹持装置，该装置的类型和尺寸</w:t>
      </w:r>
      <w:bookmarkStart w:id="32" w:name="OLE_LINK5"/>
      <w:r>
        <w:rPr>
          <w:rFonts w:hint="eastAsia"/>
        </w:rPr>
        <w:t>可由测试双方协商确定</w:t>
      </w:r>
      <w:bookmarkEnd w:id="32"/>
      <w:r>
        <w:rPr>
          <w:rFonts w:hint="eastAsia"/>
        </w:rPr>
        <w:t>。</w:t>
      </w:r>
    </w:p>
    <w:p>
      <w:pPr>
        <w:pStyle w:val="125"/>
        <w:numPr>
          <w:ilvl w:val="0"/>
          <w:numId w:val="0"/>
        </w:numPr>
      </w:pPr>
      <w:r>
        <w:rPr>
          <w:rFonts w:hint="eastAsia" w:ascii="黑体" w:hAnsi="黑体" w:eastAsia="黑体"/>
        </w:rPr>
        <w:t>6.2</w:t>
      </w:r>
      <w:r>
        <w:rPr>
          <w:rFonts w:hint="eastAsia"/>
        </w:rPr>
        <w:t>多轴传输系统，提供晶片夹持装置或探头在垂直于测试轴的几个方向的可控移动方式。该移动应允许在合格质量区域内以指定的扫描方式收集数据，且可设定采样数据点的间距。</w:t>
      </w:r>
    </w:p>
    <w:p>
      <w:pPr>
        <w:pStyle w:val="125"/>
        <w:numPr>
          <w:ilvl w:val="0"/>
          <w:numId w:val="0"/>
        </w:numPr>
      </w:pPr>
      <w:r>
        <w:rPr>
          <w:rFonts w:hint="eastAsia" w:ascii="黑体" w:hAnsi="黑体" w:eastAsia="黑体"/>
        </w:rPr>
        <w:t>6.3</w:t>
      </w:r>
      <w:r>
        <w:rPr>
          <w:rFonts w:hint="eastAsia"/>
        </w:rPr>
        <w:t>探头部件带有一对非接触位移传感探头，探头支持装置和指示单元，如图1所示，且应满足下列要求：</w:t>
      </w:r>
    </w:p>
    <w:p>
      <w:pPr>
        <w:pStyle w:val="125"/>
        <w:numPr>
          <w:ilvl w:val="0"/>
          <w:numId w:val="0"/>
        </w:numPr>
        <w:ind w:firstLine="707" w:firstLineChars="337"/>
      </w:pPr>
      <w:r>
        <w:rPr>
          <w:rFonts w:hint="eastAsia"/>
        </w:rPr>
        <w:t>a）探头应能独立探测晶片的两个表面到距之最近探头的距离a和b；</w:t>
      </w:r>
    </w:p>
    <w:p>
      <w:pPr>
        <w:pStyle w:val="125"/>
        <w:numPr>
          <w:ilvl w:val="0"/>
          <w:numId w:val="0"/>
        </w:numPr>
        <w:ind w:firstLine="707" w:firstLineChars="337"/>
      </w:pPr>
      <w:r>
        <w:rPr>
          <w:rFonts w:hint="eastAsia"/>
        </w:rPr>
        <w:t>b）将探头分别安装在晶片两面，并使两探头相对；</w:t>
      </w:r>
    </w:p>
    <w:p>
      <w:pPr>
        <w:pStyle w:val="125"/>
        <w:numPr>
          <w:ilvl w:val="0"/>
          <w:numId w:val="0"/>
        </w:numPr>
        <w:ind w:firstLine="707" w:firstLineChars="337"/>
      </w:pPr>
      <w:r>
        <w:rPr>
          <w:rFonts w:hint="eastAsia"/>
        </w:rPr>
        <w:t>c）两探头同轴，且其共同轴为测试轴；</w:t>
      </w:r>
    </w:p>
    <w:p>
      <w:pPr>
        <w:pStyle w:val="125"/>
        <w:numPr>
          <w:ilvl w:val="0"/>
          <w:numId w:val="0"/>
        </w:numPr>
        <w:ind w:firstLine="707" w:firstLineChars="337"/>
      </w:pPr>
      <w:r>
        <w:rPr>
          <w:rFonts w:hint="eastAsia"/>
        </w:rPr>
        <w:t>d）校准和测试时探头距离D应保持不变；</w:t>
      </w:r>
    </w:p>
    <w:p>
      <w:pPr>
        <w:pStyle w:val="125"/>
        <w:numPr>
          <w:ilvl w:val="0"/>
          <w:numId w:val="0"/>
        </w:numPr>
        <w:ind w:firstLine="707" w:firstLineChars="337"/>
      </w:pPr>
      <w:r>
        <w:rPr>
          <w:rFonts w:hint="eastAsia"/>
        </w:rPr>
        <w:t>e）位移分辨率应不大于100nm；</w:t>
      </w:r>
    </w:p>
    <w:p>
      <w:pPr>
        <w:pStyle w:val="125"/>
        <w:numPr>
          <w:ilvl w:val="0"/>
          <w:numId w:val="0"/>
        </w:numPr>
        <w:ind w:firstLine="707" w:firstLineChars="337"/>
      </w:pPr>
      <w:r>
        <w:rPr>
          <w:rFonts w:hint="eastAsia"/>
        </w:rPr>
        <w:t>f）典型的</w:t>
      </w:r>
      <w:bookmarkStart w:id="33" w:name="OLE_LINK9"/>
      <w:bookmarkStart w:id="34" w:name="OLE_LINK10"/>
      <w:r>
        <w:rPr>
          <w:rFonts w:hint="eastAsia"/>
        </w:rPr>
        <w:t>探头传感器尺寸为</w:t>
      </w:r>
      <w:bookmarkStart w:id="35" w:name="OLE_LINK1"/>
      <w:bookmarkStart w:id="36" w:name="OLE_LINK8"/>
      <w:r>
        <w:rPr>
          <w:rFonts w:hint="eastAsia"/>
        </w:rPr>
        <w:t>4mm×4mm</w:t>
      </w:r>
      <w:bookmarkEnd w:id="33"/>
      <w:bookmarkEnd w:id="34"/>
      <w:bookmarkEnd w:id="35"/>
      <w:bookmarkEnd w:id="36"/>
      <w:r>
        <w:rPr>
          <w:rFonts w:hint="eastAsia"/>
        </w:rPr>
        <w:t>或2mm×2mm，也可由测试双方确定；</w:t>
      </w:r>
    </w:p>
    <w:p>
      <w:pPr>
        <w:pStyle w:val="125"/>
        <w:numPr>
          <w:ilvl w:val="0"/>
          <w:numId w:val="0"/>
        </w:numPr>
        <w:ind w:firstLine="707" w:firstLineChars="337"/>
      </w:pPr>
      <w:r>
        <w:rPr>
          <w:rFonts w:hint="eastAsia"/>
        </w:rPr>
        <w:t>g）数据指示分辨率应不大于100 nm。</w:t>
      </w:r>
    </w:p>
    <w:p>
      <w:pPr>
        <w:pStyle w:val="125"/>
        <w:numPr>
          <w:ilvl w:val="0"/>
          <w:numId w:val="0"/>
        </w:numPr>
      </w:pPr>
      <w:r>
        <w:rPr>
          <w:rFonts w:hint="eastAsia" w:ascii="黑体" w:hAnsi="黑体" w:eastAsia="黑体"/>
        </w:rPr>
        <w:t>6.4</w:t>
      </w:r>
      <w:r>
        <w:rPr>
          <w:rFonts w:hint="eastAsia"/>
        </w:rPr>
        <w:t>采用典型片翻转或晶片翻转的重力补偿方法，测试应在同一位置进行，因此测试设备应在每个方向提供精确的定位。</w:t>
      </w:r>
    </w:p>
    <w:p>
      <w:pPr>
        <w:pStyle w:val="125"/>
        <w:numPr>
          <w:ilvl w:val="0"/>
          <w:numId w:val="0"/>
        </w:numPr>
      </w:pPr>
      <w:r>
        <w:rPr>
          <w:rFonts w:hint="eastAsia" w:ascii="黑体" w:hAnsi="黑体" w:eastAsia="黑体"/>
        </w:rPr>
        <w:t>6.5</w:t>
      </w:r>
      <w:r>
        <w:rPr>
          <w:rFonts w:hint="eastAsia"/>
        </w:rPr>
        <w:t>控制系统，包括数据处理器及合适的软件。测试设备应具有程序输入及选择清单的功能，可以按照操作者设定的条件自动进行测试、数据处理，并根据操作者的设置数值对晶片分类。必要的计算应在设备系统内部自动完成，并可直接显示测试结果。</w:t>
      </w:r>
    </w:p>
    <w:p>
      <w:pPr>
        <w:pStyle w:val="125"/>
        <w:numPr>
          <w:ilvl w:val="0"/>
          <w:numId w:val="0"/>
        </w:numPr>
      </w:pPr>
      <w:r>
        <w:rPr>
          <w:rFonts w:hint="eastAsia" w:ascii="黑体" w:hAnsi="黑体" w:eastAsia="黑体"/>
        </w:rPr>
        <w:t>6.6</w:t>
      </w:r>
      <w:r>
        <w:rPr>
          <w:rFonts w:hint="eastAsia"/>
        </w:rPr>
        <w:t>晶片传输系统，包括晶片的自动装载和分类功能。</w:t>
      </w:r>
    </w:p>
    <w:p>
      <w:pPr>
        <w:pStyle w:val="125"/>
        <w:numPr>
          <w:ilvl w:val="0"/>
          <w:numId w:val="0"/>
        </w:numPr>
      </w:pPr>
      <w:r>
        <w:drawing>
          <wp:inline distT="0" distB="0" distL="0" distR="0">
            <wp:extent cx="4628515" cy="27806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28515" cy="2780665"/>
                    </a:xfrm>
                    <a:prstGeom prst="rect">
                      <a:avLst/>
                    </a:prstGeom>
                    <a:noFill/>
                  </pic:spPr>
                </pic:pic>
              </a:graphicData>
            </a:graphic>
          </wp:inline>
        </w:drawing>
      </w:r>
    </w:p>
    <w:p>
      <w:pPr>
        <w:pStyle w:val="125"/>
        <w:numPr>
          <w:ilvl w:val="0"/>
          <w:numId w:val="0"/>
        </w:numPr>
        <w:ind w:left="993" w:firstLine="1575" w:firstLineChars="750"/>
      </w:pPr>
      <w:r>
        <w:rPr>
          <w:rFonts w:hint="eastAsia"/>
        </w:rPr>
        <w:t>图1  探头部件示意图</w:t>
      </w:r>
    </w:p>
    <w:p>
      <w:pPr>
        <w:pStyle w:val="125"/>
        <w:numPr>
          <w:ilvl w:val="0"/>
          <w:numId w:val="0"/>
        </w:numPr>
        <w:ind w:left="993"/>
      </w:pPr>
    </w:p>
    <w:p>
      <w:pPr>
        <w:pStyle w:val="125"/>
        <w:numPr>
          <w:ilvl w:val="0"/>
          <w:numId w:val="0"/>
        </w:numPr>
      </w:pPr>
      <w:r>
        <w:rPr>
          <w:rFonts w:hint="eastAsia"/>
        </w:rPr>
        <w:t>图中：</w:t>
      </w:r>
    </w:p>
    <w:p>
      <w:pPr>
        <w:pStyle w:val="125"/>
        <w:numPr>
          <w:ilvl w:val="0"/>
          <w:numId w:val="0"/>
        </w:numPr>
        <w:ind w:left="284"/>
      </w:pPr>
      <w:r>
        <w:rPr>
          <w:rFonts w:hint="eastAsia"/>
          <w:i/>
        </w:rPr>
        <w:t>D</w:t>
      </w:r>
      <w:r>
        <w:rPr>
          <w:rFonts w:hint="eastAsia"/>
        </w:rPr>
        <w:t>——探头A和B间的距离；</w:t>
      </w:r>
    </w:p>
    <w:p>
      <w:pPr>
        <w:pStyle w:val="125"/>
        <w:numPr>
          <w:ilvl w:val="0"/>
          <w:numId w:val="0"/>
        </w:numPr>
        <w:ind w:left="284"/>
      </w:pPr>
      <w:r>
        <w:rPr>
          <w:rFonts w:hint="eastAsia"/>
          <w:i/>
        </w:rPr>
        <w:t>a</w:t>
      </w:r>
      <w:r>
        <w:rPr>
          <w:rFonts w:hint="eastAsia"/>
        </w:rPr>
        <w:t>——探头A与最近的晶片表面（晶片上表面）的距离；</w:t>
      </w:r>
    </w:p>
    <w:p>
      <w:pPr>
        <w:pStyle w:val="125"/>
        <w:numPr>
          <w:ilvl w:val="0"/>
          <w:numId w:val="0"/>
        </w:numPr>
        <w:ind w:left="284"/>
      </w:pPr>
      <w:r>
        <w:rPr>
          <w:rFonts w:hint="eastAsia"/>
          <w:i/>
        </w:rPr>
        <w:t>b</w:t>
      </w:r>
      <w:r>
        <w:rPr>
          <w:rFonts w:hint="eastAsia"/>
        </w:rPr>
        <w:t>——探头B与最近的晶片表面（晶片下表面）的距离；</w:t>
      </w:r>
    </w:p>
    <w:p>
      <w:pPr>
        <w:pStyle w:val="125"/>
        <w:numPr>
          <w:ilvl w:val="0"/>
          <w:numId w:val="0"/>
        </w:numPr>
        <w:ind w:left="284"/>
      </w:pPr>
      <w:r>
        <w:rPr>
          <w:rFonts w:hint="eastAsia"/>
          <w:i/>
        </w:rPr>
        <w:t>t</w:t>
      </w:r>
      <w:r>
        <w:rPr>
          <w:rFonts w:hint="eastAsia"/>
        </w:rPr>
        <w:t>——晶片厚度。</w:t>
      </w:r>
    </w:p>
    <w:p>
      <w:pPr>
        <w:pStyle w:val="45"/>
        <w:spacing w:before="312" w:after="312"/>
      </w:pPr>
      <w:r>
        <w:rPr>
          <w:rFonts w:hint="eastAsia"/>
        </w:rPr>
        <w:t>测试环境</w:t>
      </w:r>
    </w:p>
    <w:p>
      <w:pPr>
        <w:pStyle w:val="23"/>
      </w:pPr>
      <w:r>
        <w:rPr>
          <w:rFonts w:hint="eastAsia"/>
        </w:rPr>
        <w:t>除另有规定外，应在下列环境中进行测试：</w:t>
      </w:r>
    </w:p>
    <w:p>
      <w:pPr>
        <w:pStyle w:val="23"/>
        <w:tabs>
          <w:tab w:val="clear" w:pos="4201"/>
        </w:tabs>
        <w:ind w:firstLineChars="0"/>
        <w:jc w:val="left"/>
      </w:pPr>
      <w:bookmarkStart w:id="37" w:name="OLE_LINK26"/>
      <w:bookmarkStart w:id="38" w:name="OLE_LINK27"/>
      <w:r>
        <w:rPr>
          <w:rFonts w:hint="eastAsia" w:ascii="黑体" w:hAnsi="黑体" w:eastAsia="黑体"/>
        </w:rPr>
        <w:t xml:space="preserve">7.1 </w:t>
      </w:r>
      <w:r>
        <w:rPr>
          <w:rFonts w:hint="eastAsia"/>
        </w:rPr>
        <w:t>温度：23℃±5℃；</w:t>
      </w:r>
    </w:p>
    <w:p>
      <w:pPr>
        <w:pStyle w:val="23"/>
        <w:ind w:firstLineChars="0"/>
        <w:jc w:val="left"/>
      </w:pPr>
      <w:r>
        <w:rPr>
          <w:rFonts w:hint="eastAsia" w:ascii="黑体" w:hAnsi="黑体" w:eastAsia="黑体"/>
        </w:rPr>
        <w:t>7.2</w:t>
      </w:r>
      <w:r>
        <w:rPr>
          <w:rFonts w:hint="eastAsia"/>
        </w:rPr>
        <w:t xml:space="preserve"> 湿度：不大于65%；</w:t>
      </w:r>
    </w:p>
    <w:p>
      <w:pPr>
        <w:pStyle w:val="23"/>
        <w:ind w:firstLineChars="0"/>
        <w:jc w:val="left"/>
      </w:pPr>
      <w:r>
        <w:rPr>
          <w:rFonts w:hint="eastAsia" w:ascii="黑体" w:hAnsi="黑体" w:eastAsia="黑体"/>
        </w:rPr>
        <w:t>7.3</w:t>
      </w:r>
      <w:r>
        <w:rPr>
          <w:rFonts w:hint="eastAsia"/>
        </w:rPr>
        <w:t xml:space="preserve"> 空气洁净度：根据使用要求选择，建议使用不低于GB/T 25915.1中6级洁净间；</w:t>
      </w:r>
    </w:p>
    <w:p>
      <w:pPr>
        <w:pStyle w:val="23"/>
        <w:ind w:firstLineChars="0"/>
        <w:jc w:val="left"/>
      </w:pPr>
      <w:r>
        <w:rPr>
          <w:rFonts w:hint="eastAsia" w:ascii="黑体" w:hAnsi="黑体" w:eastAsia="黑体"/>
        </w:rPr>
        <w:t>7.4</w:t>
      </w:r>
      <w:r>
        <w:rPr>
          <w:rFonts w:hint="eastAsia"/>
        </w:rPr>
        <w:t xml:space="preserve"> 防止震动及电磁干扰。</w:t>
      </w:r>
    </w:p>
    <w:bookmarkEnd w:id="37"/>
    <w:bookmarkEnd w:id="38"/>
    <w:p>
      <w:pPr>
        <w:pStyle w:val="45"/>
        <w:spacing w:before="312" w:after="312"/>
      </w:pPr>
      <w:bookmarkStart w:id="39" w:name="_Toc503281268"/>
      <w:r>
        <w:rPr>
          <w:rFonts w:hint="eastAsia"/>
        </w:rPr>
        <w:t>试验步骤</w:t>
      </w:r>
      <w:bookmarkEnd w:id="39"/>
    </w:p>
    <w:p>
      <w:pPr>
        <w:pStyle w:val="42"/>
        <w:spacing w:before="156" w:after="156"/>
        <w:ind w:left="0"/>
      </w:pPr>
      <w:r>
        <w:rPr>
          <w:rFonts w:hint="eastAsia"/>
        </w:rPr>
        <w:t>参数设置</w:t>
      </w:r>
    </w:p>
    <w:p>
      <w:pPr>
        <w:pStyle w:val="63"/>
      </w:pPr>
      <w:r>
        <w:rPr>
          <w:rFonts w:hint="eastAsia"/>
        </w:rPr>
        <w:t>根据需要选择测试晶片的参数，例如：直径、晶片厚度、数据显示和输出方式等。</w:t>
      </w:r>
    </w:p>
    <w:p>
      <w:pPr>
        <w:pStyle w:val="63"/>
      </w:pPr>
      <w:r>
        <w:rPr>
          <w:rFonts w:hint="eastAsia"/>
        </w:rPr>
        <w:t>选择下列重力校正方法中的一种：</w:t>
      </w:r>
    </w:p>
    <w:p>
      <w:pPr>
        <w:pStyle w:val="63"/>
        <w:numPr>
          <w:ilvl w:val="0"/>
          <w:numId w:val="4"/>
        </w:numPr>
      </w:pPr>
      <w:r>
        <w:rPr>
          <w:rFonts w:hint="eastAsia"/>
        </w:rPr>
        <w:t>翻转典型片的方法；</w:t>
      </w:r>
    </w:p>
    <w:p>
      <w:pPr>
        <w:pStyle w:val="59"/>
      </w:pPr>
      <w:r>
        <w:rPr>
          <w:rFonts w:hint="eastAsia"/>
        </w:rPr>
        <w:t>翻转晶片的方法；</w:t>
      </w:r>
    </w:p>
    <w:p>
      <w:pPr>
        <w:pStyle w:val="59"/>
      </w:pPr>
      <w:r>
        <w:rPr>
          <w:rFonts w:hint="eastAsia"/>
        </w:rPr>
        <w:t>理论模型的方法</w:t>
      </w:r>
    </w:p>
    <w:p>
      <w:pPr>
        <w:pStyle w:val="63"/>
      </w:pPr>
      <w:r>
        <w:rPr>
          <w:rFonts w:hint="eastAsia"/>
        </w:rPr>
        <w:t>对自动测试设备，可进行基准面的选择，构成基准面的点应位于合格质量区内：</w:t>
      </w:r>
    </w:p>
    <w:p>
      <w:pPr>
        <w:pStyle w:val="63"/>
        <w:numPr>
          <w:ilvl w:val="0"/>
          <w:numId w:val="0"/>
        </w:numPr>
        <w:ind w:firstLine="420" w:firstLineChars="200"/>
      </w:pPr>
      <w:r>
        <w:rPr>
          <w:rFonts w:hint="eastAsia"/>
        </w:rPr>
        <w:t>a)最小二乘法拟合的基准面（bf）；</w:t>
      </w:r>
    </w:p>
    <w:p>
      <w:pPr>
        <w:pStyle w:val="63"/>
        <w:numPr>
          <w:ilvl w:val="0"/>
          <w:numId w:val="0"/>
        </w:numPr>
        <w:ind w:firstLine="420" w:firstLineChars="200"/>
      </w:pPr>
      <w:r>
        <w:rPr>
          <w:rFonts w:hint="eastAsia"/>
        </w:rPr>
        <w:t>b)背表面3点拟合的基准面（3p）。</w:t>
      </w:r>
    </w:p>
    <w:p>
      <w:pPr>
        <w:pStyle w:val="63"/>
      </w:pPr>
      <w:r>
        <w:rPr>
          <w:rFonts w:hint="eastAsia"/>
        </w:rPr>
        <w:t>通过规定边缘去除（EE）尺寸选择合格质量区(FQA)。</w:t>
      </w:r>
    </w:p>
    <w:p>
      <w:pPr>
        <w:pStyle w:val="42"/>
        <w:spacing w:before="156" w:after="156"/>
        <w:ind w:left="0"/>
        <w:rPr>
          <w:rFonts w:hAnsi="黑体"/>
        </w:rPr>
      </w:pPr>
      <w:r>
        <w:rPr>
          <w:rFonts w:hint="eastAsia" w:hAnsi="黑体"/>
        </w:rPr>
        <w:t>校准及校准用参考片</w:t>
      </w:r>
    </w:p>
    <w:p>
      <w:pPr>
        <w:pStyle w:val="63"/>
      </w:pPr>
      <w:bookmarkStart w:id="40" w:name="OLE_LINK54"/>
      <w:bookmarkStart w:id="41" w:name="OLE_LINK55"/>
      <w:r>
        <w:rPr>
          <w:rFonts w:hint="eastAsia"/>
        </w:rPr>
        <w:t>用</w:t>
      </w:r>
      <w:bookmarkStart w:id="42" w:name="OLE_LINK21"/>
      <w:r>
        <w:rPr>
          <w:rFonts w:hint="eastAsia"/>
        </w:rPr>
        <w:t>翘曲度值不大于20µm</w:t>
      </w:r>
      <w:bookmarkEnd w:id="42"/>
      <w:r>
        <w:rPr>
          <w:rFonts w:hint="eastAsia"/>
        </w:rPr>
        <w:t>且弯曲度不大于10µm的参考片确定由测试设备测得的翘曲度值与参考片翘曲度值间的一致程度，二者之间的偏差</w:t>
      </w:r>
      <w:r>
        <w:rPr>
          <w:rFonts w:hint="eastAsia"/>
          <w:i/>
        </w:rPr>
        <w:t>Δ</w:t>
      </w:r>
      <w:r>
        <w:rPr>
          <w:rFonts w:hint="eastAsia"/>
        </w:rPr>
        <w:t>warp的可接受水平由供需双方协商确定。Δwarp按公式（1）计算：</w:t>
      </w:r>
    </w:p>
    <w:p>
      <w:pPr>
        <w:pStyle w:val="63"/>
        <w:numPr>
          <w:ilvl w:val="0"/>
          <w:numId w:val="0"/>
        </w:numPr>
        <w:ind w:left="2269"/>
      </w:pPr>
      <w:r>
        <w:rPr>
          <w:rFonts w:hint="eastAsia"/>
        </w:rPr>
        <w:t xml:space="preserve"> </w:t>
      </w:r>
      <w:r>
        <w:object>
          <v:shape id="_x0000_i1025" o:spt="75" type="#_x0000_t75" style="height:18pt;width:13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t>…………………………………………</w:t>
      </w:r>
      <w:r>
        <w:rPr>
          <w:rFonts w:hint="eastAsia"/>
        </w:rPr>
        <w:t>(1)</w:t>
      </w:r>
    </w:p>
    <w:bookmarkEnd w:id="40"/>
    <w:bookmarkEnd w:id="41"/>
    <w:p>
      <w:pPr>
        <w:pStyle w:val="63"/>
        <w:numPr>
          <w:ilvl w:val="0"/>
          <w:numId w:val="0"/>
        </w:numPr>
        <w:rPr>
          <w:sz w:val="18"/>
          <w:szCs w:val="18"/>
        </w:rPr>
      </w:pPr>
      <w:r>
        <w:rPr>
          <w:rFonts w:hint="eastAsia"/>
          <w:sz w:val="18"/>
          <w:szCs w:val="18"/>
        </w:rPr>
        <w:t>注：如果测试设备也用来测试其他参数，如除翘曲度外还测量平整度和厚度变化，参考片的翘曲度值可以被列入由GB/T 29507指定的参考片的系列数据中。</w:t>
      </w:r>
    </w:p>
    <w:p>
      <w:pPr>
        <w:pStyle w:val="63"/>
        <w:numPr>
          <w:ilvl w:val="0"/>
          <w:numId w:val="0"/>
        </w:numPr>
        <w:rPr>
          <w:rFonts w:ascii="黑体" w:hAnsi="黑体" w:eastAsia="黑体"/>
        </w:rPr>
      </w:pPr>
      <w:r>
        <w:rPr>
          <w:rFonts w:hint="eastAsia" w:ascii="黑体" w:hAnsi="黑体" w:eastAsia="黑体"/>
        </w:rPr>
        <w:t>8.2.2</w:t>
      </w:r>
      <w:r>
        <w:rPr>
          <w:rFonts w:hint="eastAsia" w:asciiTheme="minorEastAsia" w:hAnsiTheme="minorEastAsia" w:eastAsiaTheme="minorEastAsia"/>
        </w:rPr>
        <w:t xml:space="preserve"> 校准，执行一个校准设备的测量因子和其他常数的程序设置。如果使用典型片翻转方法校正重力，校准过程也确定了设备的机械信号和晶片上的重力效果，建议使用设备商推荐的校准方法对设备进行校准。</w:t>
      </w:r>
    </w:p>
    <w:p>
      <w:pPr>
        <w:pStyle w:val="42"/>
        <w:spacing w:before="156" w:after="156"/>
        <w:ind w:left="0"/>
      </w:pPr>
      <w:r>
        <w:rPr>
          <w:rFonts w:hint="eastAsia"/>
        </w:rPr>
        <w:t>测试</w:t>
      </w:r>
    </w:p>
    <w:p>
      <w:pPr>
        <w:pStyle w:val="23"/>
      </w:pPr>
      <w:r>
        <w:rPr>
          <w:rFonts w:hint="eastAsia"/>
        </w:rPr>
        <w:t>将被测晶片正面朝上放入测试设备，通过测试确定和记录每个测试位置两探头间的距离及每个探头到最近的晶片表面的距离a和b。根据事先确定的方法翻转晶片或者典型片，得到对由于重力带来的晶片变形影响的修正。</w:t>
      </w:r>
    </w:p>
    <w:p>
      <w:pPr>
        <w:pStyle w:val="45"/>
        <w:spacing w:before="312" w:after="312"/>
      </w:pPr>
      <w:bookmarkStart w:id="43" w:name="_Toc503281269"/>
      <w:r>
        <w:rPr>
          <w:rFonts w:hint="eastAsia"/>
        </w:rPr>
        <w:t>测试结果的计算</w:t>
      </w:r>
      <w:bookmarkEnd w:id="43"/>
    </w:p>
    <w:p>
      <w:pPr>
        <w:pStyle w:val="63"/>
        <w:numPr>
          <w:ilvl w:val="0"/>
          <w:numId w:val="0"/>
        </w:numPr>
        <w:jc w:val="both"/>
        <w:outlineLvl w:val="2"/>
      </w:pPr>
      <w:r>
        <w:rPr>
          <w:rFonts w:hint="eastAsia" w:ascii="黑体" w:hAnsi="黑体" w:eastAsia="黑体"/>
        </w:rPr>
        <w:t>9.1</w:t>
      </w:r>
      <w:r>
        <w:rPr>
          <w:rFonts w:hint="eastAsia"/>
        </w:rPr>
        <w:t>测试结果的计算通常由设备内部自动完成，以下提供的离线计算是为显示完整的程序。</w:t>
      </w:r>
    </w:p>
    <w:p>
      <w:pPr>
        <w:pStyle w:val="63"/>
        <w:numPr>
          <w:ilvl w:val="0"/>
          <w:numId w:val="0"/>
        </w:numPr>
        <w:jc w:val="both"/>
        <w:outlineLvl w:val="2"/>
        <w:rPr>
          <w:rStyle w:val="144"/>
          <w:rFonts w:hAnsi="宋体"/>
        </w:rPr>
      </w:pPr>
      <w:r>
        <w:rPr>
          <w:rFonts w:hint="eastAsia" w:ascii="黑体" w:hAnsi="黑体" w:eastAsia="黑体"/>
        </w:rPr>
        <w:t>9.2</w:t>
      </w:r>
      <w:r>
        <w:rPr>
          <w:rFonts w:hint="eastAsia"/>
        </w:rPr>
        <w:t>沿扫描路径间距测量两个探头间和每个探头到最近的晶片表面的一对距离数据。</w:t>
      </w:r>
      <w:r>
        <w:rPr>
          <w:rStyle w:val="144"/>
          <w:rFonts w:hAnsi="宋体"/>
        </w:rPr>
        <w:t xml:space="preserve"> </w:t>
      </w:r>
    </w:p>
    <w:p>
      <w:pPr>
        <w:pStyle w:val="63"/>
        <w:numPr>
          <w:ilvl w:val="0"/>
          <w:numId w:val="0"/>
        </w:numPr>
        <w:jc w:val="both"/>
        <w:outlineLvl w:val="2"/>
      </w:pPr>
      <w:r>
        <w:rPr>
          <w:rFonts w:hint="eastAsia" w:ascii="黑体" w:hAnsi="黑体" w:eastAsia="黑体"/>
        </w:rPr>
        <w:t>9.3</w:t>
      </w:r>
      <w:r>
        <w:rPr>
          <w:rFonts w:hint="eastAsia"/>
        </w:rPr>
        <w:t>设定Z轴原点在两个探头A和B的中点。</w:t>
      </w:r>
    </w:p>
    <w:p>
      <w:pPr>
        <w:pStyle w:val="63"/>
        <w:numPr>
          <w:ilvl w:val="0"/>
          <w:numId w:val="0"/>
        </w:numPr>
        <w:jc w:val="both"/>
        <w:outlineLvl w:val="2"/>
        <w:rPr>
          <w:i/>
        </w:rPr>
      </w:pPr>
      <w:r>
        <w:rPr>
          <w:rFonts w:hint="eastAsia" w:ascii="黑体" w:hAnsi="黑体" w:eastAsia="黑体"/>
        </w:rPr>
        <w:t>9.4</w:t>
      </w:r>
      <w:r>
        <w:rPr>
          <w:rFonts w:hint="eastAsia"/>
        </w:rPr>
        <w:t>找出晶片每一点上Z轴的中位面距离</w:t>
      </w:r>
      <w:r>
        <w:rPr>
          <w:i/>
        </w:rPr>
        <w:t>z</w:t>
      </w:r>
      <w:r>
        <w:rPr>
          <w:i/>
          <w:vertAlign w:val="subscript"/>
        </w:rPr>
        <w:t>m</w:t>
      </w:r>
      <w:r>
        <w:rPr>
          <w:rFonts w:hint="eastAsia"/>
        </w:rPr>
        <w:t>，</w:t>
      </w:r>
      <w:r>
        <w:rPr>
          <w:i/>
        </w:rPr>
        <w:t>z</w:t>
      </w:r>
      <w:r>
        <w:rPr>
          <w:i/>
          <w:vertAlign w:val="subscript"/>
        </w:rPr>
        <w:t>m</w:t>
      </w:r>
      <w:r>
        <w:rPr>
          <w:rFonts w:hint="eastAsia"/>
        </w:rPr>
        <w:t>按公式（2）或公式（3）计算：</w:t>
      </w:r>
    </w:p>
    <w:p>
      <w:pPr>
        <w:spacing w:line="360" w:lineRule="auto"/>
        <w:ind w:firstLine="2205" w:firstLineChars="1050"/>
        <w:rPr>
          <w:rFonts w:ascii="宋体" w:hAnsi="宋体"/>
          <w:szCs w:val="21"/>
        </w:rPr>
      </w:pPr>
      <w:r>
        <w:rPr>
          <w:rFonts w:ascii="宋体" w:hAnsi="宋体"/>
          <w:szCs w:val="21"/>
        </w:rPr>
        <w:object>
          <v:shape id="_x0000_i1026" o:spt="75" type="#_x0000_t75" style="height:29.25pt;width:71.2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宋体" w:hAnsi="宋体"/>
          <w:szCs w:val="21"/>
        </w:rPr>
        <w:t>……………………………………………………………</w:t>
      </w:r>
      <w:r>
        <w:rPr>
          <w:rFonts w:hint="eastAsia" w:ascii="宋体" w:hAnsi="宋体"/>
          <w:szCs w:val="21"/>
        </w:rPr>
        <w:t>(2)</w:t>
      </w:r>
    </w:p>
    <w:p>
      <w:pPr>
        <w:spacing w:line="360" w:lineRule="auto"/>
        <w:ind w:firstLine="1995" w:firstLineChars="950"/>
        <w:rPr>
          <w:rFonts w:ascii="宋体" w:hAnsi="宋体"/>
          <w:szCs w:val="21"/>
        </w:rPr>
      </w:pPr>
      <w:r>
        <w:rPr>
          <w:rFonts w:hint="eastAsia" w:ascii="宋体" w:hAnsi="宋体"/>
          <w:szCs w:val="21"/>
        </w:rPr>
        <w:t xml:space="preserve"> 和</w:t>
      </w:r>
      <w:r>
        <w:rPr>
          <w:rFonts w:ascii="宋体" w:hAnsi="宋体"/>
          <w:position w:val="-24"/>
          <w:szCs w:val="21"/>
        </w:rPr>
        <w:object>
          <v:shape id="_x0000_i1027" o:spt="75" type="#_x0000_t75" style="height:32.25pt;width:102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ascii="宋体" w:hAnsi="宋体"/>
          <w:szCs w:val="21"/>
        </w:rPr>
        <w:t>………………………………………………………</w:t>
      </w:r>
      <w:r>
        <w:rPr>
          <w:rFonts w:hint="eastAsia" w:ascii="宋体" w:hAnsi="宋体"/>
          <w:szCs w:val="21"/>
        </w:rPr>
        <w:t>(3)</w:t>
      </w:r>
    </w:p>
    <w:p>
      <w:pPr>
        <w:spacing w:line="360" w:lineRule="auto"/>
        <w:rPr>
          <w:rFonts w:ascii="宋体" w:hAnsi="宋体"/>
          <w:szCs w:val="21"/>
        </w:rPr>
      </w:pPr>
      <w:r>
        <w:rPr>
          <w:rFonts w:hint="eastAsia" w:ascii="宋体" w:hAnsi="宋体"/>
          <w:szCs w:val="21"/>
        </w:rPr>
        <w:t>公式(2)与(3)相加，得到公式（4）、（5）：</w:t>
      </w:r>
    </w:p>
    <w:p>
      <w:pPr>
        <w:spacing w:line="360" w:lineRule="auto"/>
        <w:ind w:firstLine="420" w:firstLineChars="200"/>
        <w:rPr>
          <w:rFonts w:ascii="宋体" w:hAnsi="宋体"/>
          <w:szCs w:val="21"/>
        </w:rPr>
      </w:pPr>
      <w:r>
        <w:rPr>
          <w:rFonts w:hint="eastAsia" w:ascii="宋体" w:hAnsi="宋体"/>
          <w:szCs w:val="21"/>
        </w:rPr>
        <w:t xml:space="preserve">               </w:t>
      </w:r>
      <w:r>
        <w:rPr>
          <w:rFonts w:ascii="宋体" w:hAnsi="宋体"/>
          <w:szCs w:val="21"/>
        </w:rPr>
        <w:object>
          <v:shape id="_x0000_i1028" o:spt="75" type="#_x0000_t75" style="height:30.75pt;width:139.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ascii="宋体" w:hAnsi="宋体"/>
          <w:szCs w:val="21"/>
        </w:rPr>
        <w:t>…………………………………………………</w:t>
      </w:r>
      <w:r>
        <w:rPr>
          <w:rFonts w:hint="eastAsia" w:ascii="宋体" w:hAnsi="宋体"/>
          <w:szCs w:val="21"/>
        </w:rPr>
        <w:t>(4)</w:t>
      </w:r>
    </w:p>
    <w:p>
      <w:pPr>
        <w:spacing w:line="360" w:lineRule="auto"/>
        <w:ind w:firstLine="420" w:firstLineChars="200"/>
        <w:rPr>
          <w:rFonts w:ascii="宋体" w:hAnsi="宋体"/>
          <w:szCs w:val="21"/>
        </w:rPr>
      </w:pPr>
      <w:r>
        <w:rPr>
          <w:rFonts w:hint="eastAsia" w:ascii="宋体" w:hAnsi="宋体"/>
          <w:szCs w:val="21"/>
        </w:rPr>
        <w:t>即</w:t>
      </w:r>
      <w:r>
        <w:rPr>
          <w:rFonts w:ascii="宋体" w:hAnsi="宋体"/>
          <w:szCs w:val="21"/>
        </w:rPr>
        <w:object>
          <v:shape id="_x0000_i1029" o:spt="75" type="#_x0000_t75" style="height:30.75pt;width:53.2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ascii="宋体" w:hAnsi="宋体"/>
          <w:szCs w:val="21"/>
        </w:rPr>
        <w:t>………………………………………………………………</w:t>
      </w:r>
      <w:r>
        <w:rPr>
          <w:rFonts w:hint="eastAsia" w:ascii="宋体" w:hAnsi="宋体"/>
          <w:szCs w:val="21"/>
        </w:rPr>
        <w:t>(5)</w:t>
      </w:r>
    </w:p>
    <w:p>
      <w:pPr>
        <w:spacing w:line="360" w:lineRule="auto"/>
        <w:ind w:firstLine="420" w:firstLineChars="200"/>
        <w:rPr>
          <w:rFonts w:ascii="宋体" w:hAnsi="宋体"/>
          <w:szCs w:val="21"/>
        </w:rPr>
      </w:pPr>
      <w:r>
        <w:rPr>
          <w:rFonts w:hint="eastAsia" w:ascii="宋体" w:hAnsi="宋体"/>
          <w:szCs w:val="21"/>
        </w:rPr>
        <w:t>式中：</w:t>
      </w:r>
    </w:p>
    <w:p>
      <w:pPr>
        <w:spacing w:line="360" w:lineRule="auto"/>
        <w:ind w:firstLine="420" w:firstLineChars="200"/>
        <w:rPr>
          <w:rFonts w:ascii="宋体" w:hAnsi="宋体"/>
          <w:szCs w:val="21"/>
        </w:rPr>
      </w:pPr>
      <w:bookmarkStart w:id="44" w:name="OLE_LINK19"/>
      <w:bookmarkStart w:id="45" w:name="OLE_LINK20"/>
      <w:r>
        <w:rPr>
          <w:rFonts w:ascii="宋体" w:hAnsi="宋体"/>
          <w:i/>
          <w:szCs w:val="21"/>
        </w:rPr>
        <w:t>D</w:t>
      </w:r>
      <w:r>
        <w:rPr>
          <w:rFonts w:ascii="宋体" w:hAnsi="宋体"/>
          <w:szCs w:val="21"/>
        </w:rPr>
        <w:t>——</w:t>
      </w:r>
      <w:r>
        <w:rPr>
          <w:rFonts w:hint="eastAsia" w:ascii="宋体" w:hAnsi="宋体"/>
          <w:szCs w:val="21"/>
        </w:rPr>
        <w:t>探头</w:t>
      </w:r>
      <w:r>
        <w:rPr>
          <w:rFonts w:ascii="宋体" w:hAnsi="宋体"/>
          <w:szCs w:val="21"/>
        </w:rPr>
        <w:t>A</w:t>
      </w:r>
      <w:r>
        <w:rPr>
          <w:rFonts w:hint="eastAsia" w:ascii="宋体" w:hAnsi="宋体"/>
          <w:szCs w:val="21"/>
        </w:rPr>
        <w:t>和</w:t>
      </w:r>
      <w:r>
        <w:rPr>
          <w:rFonts w:ascii="宋体" w:hAnsi="宋体"/>
          <w:szCs w:val="21"/>
        </w:rPr>
        <w:t>B</w:t>
      </w:r>
      <w:r>
        <w:rPr>
          <w:rFonts w:hint="eastAsia" w:ascii="宋体" w:hAnsi="宋体"/>
          <w:szCs w:val="21"/>
        </w:rPr>
        <w:t>间的距离；</w:t>
      </w:r>
    </w:p>
    <w:p>
      <w:pPr>
        <w:spacing w:line="360" w:lineRule="auto"/>
        <w:ind w:firstLine="420" w:firstLineChars="200"/>
        <w:rPr>
          <w:rFonts w:ascii="宋体" w:hAnsi="宋体"/>
          <w:szCs w:val="21"/>
        </w:rPr>
      </w:pPr>
      <w:r>
        <w:rPr>
          <w:rFonts w:hint="eastAsia" w:ascii="宋体" w:hAnsi="宋体"/>
          <w:i/>
          <w:szCs w:val="21"/>
        </w:rPr>
        <w:t>a</w:t>
      </w:r>
      <w:r>
        <w:rPr>
          <w:rFonts w:ascii="宋体" w:hAnsi="宋体"/>
          <w:szCs w:val="21"/>
        </w:rPr>
        <w:t>——</w:t>
      </w:r>
      <w:r>
        <w:rPr>
          <w:rFonts w:hint="eastAsia" w:ascii="宋体" w:hAnsi="宋体"/>
          <w:szCs w:val="21"/>
        </w:rPr>
        <w:t>探头</w:t>
      </w:r>
      <w:r>
        <w:rPr>
          <w:rFonts w:ascii="宋体" w:hAnsi="宋体"/>
          <w:szCs w:val="21"/>
        </w:rPr>
        <w:t>A</w:t>
      </w:r>
      <w:r>
        <w:rPr>
          <w:rFonts w:hint="eastAsia" w:ascii="宋体" w:hAnsi="宋体"/>
          <w:szCs w:val="21"/>
        </w:rPr>
        <w:t>与最近的晶片表面（晶片上表面）的距离；</w:t>
      </w:r>
    </w:p>
    <w:p>
      <w:pPr>
        <w:spacing w:line="360" w:lineRule="auto"/>
        <w:ind w:firstLine="420" w:firstLineChars="200"/>
        <w:rPr>
          <w:rFonts w:ascii="宋体" w:hAnsi="宋体"/>
          <w:szCs w:val="21"/>
        </w:rPr>
      </w:pPr>
      <w:r>
        <w:rPr>
          <w:rFonts w:hint="eastAsia" w:ascii="宋体" w:hAnsi="宋体"/>
          <w:i/>
          <w:szCs w:val="21"/>
        </w:rPr>
        <w:t>b</w:t>
      </w:r>
      <w:r>
        <w:rPr>
          <w:rFonts w:ascii="宋体" w:hAnsi="宋体"/>
          <w:szCs w:val="21"/>
        </w:rPr>
        <w:t>——</w:t>
      </w:r>
      <w:r>
        <w:rPr>
          <w:rFonts w:hint="eastAsia" w:ascii="宋体" w:hAnsi="宋体"/>
          <w:szCs w:val="21"/>
        </w:rPr>
        <w:t>探头B与最近的晶片表面（晶片下表面）的距离；</w:t>
      </w:r>
    </w:p>
    <w:p>
      <w:pPr>
        <w:spacing w:line="360" w:lineRule="auto"/>
        <w:ind w:firstLine="420" w:firstLineChars="200"/>
        <w:rPr>
          <w:rFonts w:ascii="宋体" w:hAnsi="宋体"/>
          <w:szCs w:val="21"/>
        </w:rPr>
      </w:pPr>
      <w:r>
        <w:rPr>
          <w:rFonts w:hint="eastAsia" w:ascii="宋体" w:hAnsi="宋体"/>
          <w:i/>
          <w:szCs w:val="21"/>
        </w:rPr>
        <w:t>t</w:t>
      </w:r>
      <w:r>
        <w:rPr>
          <w:rFonts w:ascii="宋体" w:hAnsi="宋体"/>
          <w:szCs w:val="21"/>
        </w:rPr>
        <w:t>——</w:t>
      </w:r>
      <w:r>
        <w:rPr>
          <w:rFonts w:hint="eastAsia" w:ascii="宋体" w:hAnsi="宋体"/>
          <w:szCs w:val="21"/>
        </w:rPr>
        <w:t>晶片厚度。</w:t>
      </w:r>
    </w:p>
    <w:p>
      <w:pPr>
        <w:spacing w:line="360" w:lineRule="auto"/>
        <w:rPr>
          <w:rFonts w:hAnsi="宋体"/>
        </w:rPr>
      </w:pPr>
      <w:r>
        <w:rPr>
          <w:rFonts w:hint="eastAsia" w:ascii="黑体" w:hAnsi="黑体" w:eastAsia="黑体"/>
          <w:szCs w:val="21"/>
        </w:rPr>
        <w:t>9.5</w:t>
      </w:r>
      <w:r>
        <w:rPr>
          <w:rFonts w:hint="eastAsia" w:hAnsi="宋体"/>
        </w:rPr>
        <w:t>晶片正面朝上时的测量值称为中位点</w:t>
      </w:r>
      <w:r>
        <w:rPr>
          <w:rFonts w:hAnsi="宋体"/>
          <w:i/>
        </w:rPr>
        <w:t>z</w:t>
      </w:r>
      <w:r>
        <w:rPr>
          <w:rFonts w:hAnsi="宋体"/>
          <w:i/>
          <w:vertAlign w:val="subscript"/>
        </w:rPr>
        <w:t>nor</w:t>
      </w:r>
      <w:r>
        <w:rPr>
          <w:rFonts w:hint="eastAsia" w:hAnsi="宋体"/>
        </w:rPr>
        <w:t>。</w:t>
      </w:r>
    </w:p>
    <w:p>
      <w:pPr>
        <w:spacing w:line="360" w:lineRule="auto"/>
        <w:rPr>
          <w:rFonts w:ascii="宋体" w:hAnsi="宋体"/>
          <w:szCs w:val="21"/>
          <w:vertAlign w:val="subscript"/>
        </w:rPr>
      </w:pPr>
      <w:r>
        <w:rPr>
          <w:rFonts w:hint="eastAsia" w:ascii="黑体" w:hAnsi="黑体" w:eastAsia="黑体"/>
          <w:szCs w:val="21"/>
        </w:rPr>
        <w:t>9.6</w:t>
      </w:r>
      <w:r>
        <w:rPr>
          <w:rFonts w:hint="eastAsia" w:ascii="宋体" w:hAnsi="宋体"/>
          <w:szCs w:val="21"/>
        </w:rPr>
        <w:t>翻转晶片，即晶片背面朝上时的测量值称为中位点</w:t>
      </w:r>
      <w:r>
        <w:rPr>
          <w:rFonts w:ascii="宋体" w:hAnsi="宋体"/>
          <w:i/>
          <w:szCs w:val="21"/>
        </w:rPr>
        <w:t>z</w:t>
      </w:r>
      <w:r>
        <w:rPr>
          <w:rFonts w:ascii="宋体" w:hAnsi="宋体"/>
          <w:i/>
          <w:szCs w:val="21"/>
          <w:vertAlign w:val="subscript"/>
        </w:rPr>
        <w:t>inv</w:t>
      </w:r>
      <w:r>
        <w:rPr>
          <w:rFonts w:hint="eastAsia" w:ascii="宋体" w:hAnsi="宋体"/>
          <w:szCs w:val="21"/>
        </w:rPr>
        <w:t>。</w:t>
      </w:r>
    </w:p>
    <w:p>
      <w:pPr>
        <w:spacing w:line="360" w:lineRule="auto"/>
        <w:rPr>
          <w:rFonts w:ascii="宋体" w:hAnsi="宋体"/>
          <w:szCs w:val="21"/>
        </w:rPr>
      </w:pPr>
      <w:r>
        <w:rPr>
          <w:rFonts w:hint="eastAsia" w:ascii="黑体" w:hAnsi="黑体" w:eastAsia="黑体"/>
          <w:szCs w:val="21"/>
        </w:rPr>
        <w:t>9.7</w:t>
      </w:r>
      <w:r>
        <w:rPr>
          <w:rFonts w:hint="eastAsia" w:ascii="宋体" w:hAnsi="宋体"/>
          <w:szCs w:val="21"/>
        </w:rPr>
        <w:t>对使用典型片或晶片翻转方法，对中位面进行重力校正，可得</w:t>
      </w:r>
      <w:r>
        <w:rPr>
          <w:rFonts w:ascii="宋体" w:hAnsi="宋体"/>
          <w:i/>
          <w:szCs w:val="21"/>
        </w:rPr>
        <w:t>z</w:t>
      </w:r>
      <w:r>
        <w:rPr>
          <w:rFonts w:ascii="宋体" w:hAnsi="宋体"/>
          <w:i/>
          <w:szCs w:val="21"/>
          <w:vertAlign w:val="subscript"/>
        </w:rPr>
        <w:t>gravity</w:t>
      </w:r>
      <w:r>
        <w:rPr>
          <w:rFonts w:hint="eastAsia" w:ascii="宋体" w:hAnsi="宋体"/>
          <w:szCs w:val="21"/>
        </w:rPr>
        <w:t>按公式（6）计算：</w:t>
      </w:r>
    </w:p>
    <w:p>
      <w:pPr>
        <w:spacing w:line="360" w:lineRule="auto"/>
        <w:ind w:firstLine="1680" w:firstLineChars="800"/>
        <w:rPr>
          <w:rFonts w:ascii="宋体" w:hAnsi="宋体"/>
          <w:szCs w:val="21"/>
        </w:rPr>
      </w:pPr>
      <w:r>
        <w:rPr>
          <w:rFonts w:ascii="宋体" w:hAnsi="宋体"/>
          <w:szCs w:val="21"/>
        </w:rPr>
        <w:object>
          <v:shape id="_x0000_i1030" o:spt="75" type="#_x0000_t75" style="height:30.75pt;width:90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ascii="宋体" w:hAnsi="宋体"/>
          <w:szCs w:val="21"/>
        </w:rPr>
        <w:t>………………………………………………………</w:t>
      </w:r>
      <w:r>
        <w:rPr>
          <w:rFonts w:hint="eastAsia" w:ascii="宋体" w:hAnsi="宋体"/>
          <w:szCs w:val="21"/>
        </w:rPr>
        <w:t>(6)</w:t>
      </w:r>
    </w:p>
    <w:p>
      <w:pPr>
        <w:spacing w:line="360" w:lineRule="auto"/>
        <w:rPr>
          <w:rFonts w:ascii="宋体" w:hAnsi="宋体"/>
          <w:szCs w:val="21"/>
        </w:rPr>
      </w:pPr>
      <w:r>
        <w:rPr>
          <w:rFonts w:hint="eastAsia" w:ascii="宋体" w:hAnsi="宋体"/>
          <w:szCs w:val="21"/>
        </w:rPr>
        <w:t>式中：</w:t>
      </w:r>
    </w:p>
    <w:p>
      <w:pPr>
        <w:spacing w:line="360" w:lineRule="auto"/>
        <w:rPr>
          <w:rFonts w:ascii="宋体" w:hAnsi="宋体"/>
          <w:sz w:val="18"/>
          <w:szCs w:val="18"/>
        </w:rPr>
      </w:pPr>
      <w:r>
        <w:rPr>
          <w:rFonts w:hint="eastAsia" w:ascii="宋体" w:hAnsi="宋体"/>
          <w:sz w:val="18"/>
          <w:szCs w:val="18"/>
        </w:rPr>
        <w:t>注：</w:t>
      </w:r>
      <w:r>
        <w:rPr>
          <w:rFonts w:hint="eastAsia" w:ascii="宋体" w:hAnsi="宋体"/>
          <w:i/>
          <w:sz w:val="18"/>
          <w:szCs w:val="18"/>
        </w:rPr>
        <w:t>z</w:t>
      </w:r>
      <w:r>
        <w:rPr>
          <w:rFonts w:hint="eastAsia" w:ascii="宋体" w:hAnsi="宋体"/>
          <w:i/>
          <w:sz w:val="18"/>
          <w:szCs w:val="18"/>
          <w:vertAlign w:val="subscript"/>
        </w:rPr>
        <w:t>gravity</w:t>
      </w:r>
      <w:r>
        <w:rPr>
          <w:rFonts w:hint="eastAsia" w:ascii="宋体" w:hAnsi="宋体"/>
          <w:sz w:val="18"/>
          <w:szCs w:val="18"/>
        </w:rPr>
        <w:t>——典型片的形状效果记忆抵消了重力的影响，因此它是重力校正后的测量值。</w:t>
      </w:r>
    </w:p>
    <w:p>
      <w:pPr>
        <w:spacing w:line="360" w:lineRule="auto"/>
        <w:rPr>
          <w:rFonts w:ascii="宋体" w:hAnsi="宋体"/>
          <w:szCs w:val="21"/>
        </w:rPr>
      </w:pPr>
      <w:r>
        <w:rPr>
          <w:rFonts w:hint="eastAsia" w:ascii="黑体" w:hAnsi="黑体" w:eastAsia="黑体"/>
          <w:szCs w:val="21"/>
        </w:rPr>
        <w:t>9.8</w:t>
      </w:r>
      <w:r>
        <w:rPr>
          <w:rFonts w:hint="eastAsia" w:ascii="宋体" w:hAnsi="宋体"/>
          <w:szCs w:val="21"/>
        </w:rPr>
        <w:t>确定中位面的重力补偿方法如下：</w:t>
      </w:r>
    </w:p>
    <w:p>
      <w:pPr>
        <w:numPr>
          <w:ilvl w:val="0"/>
          <w:numId w:val="11"/>
        </w:numPr>
        <w:tabs>
          <w:tab w:val="left" w:pos="840"/>
        </w:tabs>
        <w:spacing w:line="360" w:lineRule="auto"/>
        <w:rPr>
          <w:rFonts w:ascii="宋体" w:hAnsi="宋体"/>
          <w:szCs w:val="21"/>
        </w:rPr>
      </w:pPr>
      <w:r>
        <w:rPr>
          <w:rFonts w:hint="eastAsia" w:ascii="宋体" w:hAnsi="宋体"/>
          <w:szCs w:val="21"/>
        </w:rPr>
        <w:t>翻转典型片方法-从每个测量点的</w:t>
      </w:r>
      <w:r>
        <w:rPr>
          <w:rFonts w:ascii="宋体" w:hAnsi="宋体"/>
          <w:i/>
          <w:szCs w:val="21"/>
        </w:rPr>
        <w:t>z</w:t>
      </w:r>
      <w:r>
        <w:rPr>
          <w:rFonts w:ascii="宋体" w:hAnsi="宋体"/>
          <w:i/>
          <w:szCs w:val="21"/>
          <w:vertAlign w:val="subscript"/>
        </w:rPr>
        <w:t>nor</w:t>
      </w:r>
      <w:r>
        <w:rPr>
          <w:rFonts w:hint="eastAsia" w:ascii="宋体" w:hAnsi="宋体"/>
          <w:szCs w:val="21"/>
        </w:rPr>
        <w:t>值减去重力抵消后的</w:t>
      </w:r>
      <w:r>
        <w:rPr>
          <w:rFonts w:ascii="宋体" w:hAnsi="宋体"/>
          <w:i/>
          <w:szCs w:val="21"/>
        </w:rPr>
        <w:t>z</w:t>
      </w:r>
      <w:r>
        <w:rPr>
          <w:rFonts w:ascii="宋体" w:hAnsi="宋体"/>
          <w:i/>
          <w:szCs w:val="21"/>
          <w:vertAlign w:val="subscript"/>
        </w:rPr>
        <w:t>gravity</w:t>
      </w:r>
      <w:r>
        <w:rPr>
          <w:rFonts w:hint="eastAsia" w:ascii="宋体" w:hAnsi="宋体"/>
          <w:szCs w:val="21"/>
        </w:rPr>
        <w:t>，得到测试晶片的</w:t>
      </w:r>
      <w:r>
        <w:rPr>
          <w:rFonts w:ascii="宋体" w:hAnsi="宋体"/>
          <w:i/>
          <w:szCs w:val="21"/>
        </w:rPr>
        <w:t>z</w:t>
      </w:r>
      <w:r>
        <w:rPr>
          <w:rFonts w:ascii="宋体" w:hAnsi="宋体"/>
          <w:i/>
          <w:szCs w:val="21"/>
          <w:vertAlign w:val="subscript"/>
        </w:rPr>
        <w:t>com</w:t>
      </w:r>
      <w:r>
        <w:rPr>
          <w:rFonts w:hint="eastAsia" w:ascii="宋体" w:hAnsi="宋体"/>
          <w:szCs w:val="21"/>
        </w:rPr>
        <w:t>。这个公式是由典型片翻转前后每一点的测量差值得到的；</w:t>
      </w:r>
    </w:p>
    <w:p>
      <w:pPr>
        <w:spacing w:line="360" w:lineRule="auto"/>
        <w:rPr>
          <w:rFonts w:ascii="宋体" w:hAnsi="宋体"/>
          <w:sz w:val="18"/>
          <w:szCs w:val="18"/>
        </w:rPr>
      </w:pPr>
      <w:r>
        <w:rPr>
          <w:rFonts w:hint="eastAsia" w:ascii="宋体" w:hAnsi="宋体"/>
          <w:sz w:val="18"/>
          <w:szCs w:val="18"/>
        </w:rPr>
        <w:t>注：翻转典型片方法不仅与一阶重力影响有关，也与其他影响因素有关，如晶片边缘轮廓、形貌及机械参数特性等，这些可能影响测量值。</w:t>
      </w:r>
    </w:p>
    <w:p>
      <w:pPr>
        <w:spacing w:line="360" w:lineRule="auto"/>
        <w:ind w:firstLine="1680" w:firstLineChars="800"/>
        <w:rPr>
          <w:rFonts w:ascii="宋体" w:hAnsi="宋体"/>
          <w:szCs w:val="21"/>
        </w:rPr>
      </w:pPr>
      <w:r>
        <w:rPr>
          <w:rFonts w:ascii="宋体" w:hAnsi="宋体"/>
          <w:szCs w:val="21"/>
        </w:rPr>
        <w:object>
          <v:shape id="_x0000_i1031" o:spt="75" type="#_x0000_t75" style="height:30.75pt;width:234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ascii="宋体" w:hAnsi="宋体"/>
          <w:szCs w:val="21"/>
        </w:rPr>
        <w:t>………………………</w:t>
      </w:r>
      <w:r>
        <w:rPr>
          <w:rFonts w:hint="eastAsia" w:ascii="宋体" w:hAnsi="宋体"/>
          <w:szCs w:val="21"/>
        </w:rPr>
        <w:t>(7)</w:t>
      </w:r>
    </w:p>
    <w:p>
      <w:pPr>
        <w:spacing w:line="360" w:lineRule="auto"/>
        <w:rPr>
          <w:rFonts w:ascii="宋体" w:hAnsi="宋体"/>
          <w:szCs w:val="21"/>
          <w:vertAlign w:val="subscript"/>
        </w:rPr>
      </w:pPr>
      <w:r>
        <w:rPr>
          <w:rFonts w:hint="eastAsia" w:ascii="宋体" w:hAnsi="宋体"/>
          <w:szCs w:val="21"/>
        </w:rPr>
        <w:t xml:space="preserve">  式中：</w:t>
      </w:r>
      <w:r>
        <w:rPr>
          <w:rFonts w:hint="eastAsia" w:ascii="宋体" w:hAnsi="宋体"/>
          <w:i/>
          <w:szCs w:val="21"/>
        </w:rPr>
        <w:t>Z</w:t>
      </w:r>
      <w:r>
        <w:rPr>
          <w:rFonts w:hint="eastAsia" w:ascii="宋体" w:hAnsi="宋体"/>
          <w:i/>
          <w:szCs w:val="21"/>
          <w:vertAlign w:val="subscript"/>
        </w:rPr>
        <w:t>com</w:t>
      </w:r>
      <w:r>
        <w:rPr>
          <w:rFonts w:hint="eastAsia" w:ascii="宋体" w:hAnsi="宋体"/>
          <w:szCs w:val="21"/>
        </w:rPr>
        <w:t>是利用典型片翻转的方法抵消重力影响后被测晶片的测量值。</w:t>
      </w:r>
    </w:p>
    <w:p>
      <w:pPr>
        <w:numPr>
          <w:ilvl w:val="0"/>
          <w:numId w:val="12"/>
        </w:numPr>
        <w:spacing w:line="360" w:lineRule="auto"/>
        <w:rPr>
          <w:rFonts w:ascii="宋体" w:hAnsi="宋体"/>
          <w:szCs w:val="21"/>
        </w:rPr>
      </w:pPr>
      <w:r>
        <w:rPr>
          <w:rFonts w:hint="eastAsia" w:ascii="宋体" w:hAnsi="宋体"/>
          <w:szCs w:val="21"/>
        </w:rPr>
        <w:t>翻转晶片方法-从每个测量点的</w:t>
      </w:r>
      <w:r>
        <w:rPr>
          <w:rFonts w:ascii="宋体" w:hAnsi="宋体"/>
          <w:i/>
          <w:szCs w:val="21"/>
        </w:rPr>
        <w:t>z</w:t>
      </w:r>
      <w:r>
        <w:rPr>
          <w:rFonts w:ascii="宋体" w:hAnsi="宋体"/>
          <w:i/>
          <w:szCs w:val="21"/>
          <w:vertAlign w:val="subscript"/>
        </w:rPr>
        <w:t>nor</w:t>
      </w:r>
      <w:r>
        <w:rPr>
          <w:rFonts w:hint="eastAsia" w:ascii="宋体" w:hAnsi="宋体"/>
          <w:szCs w:val="21"/>
        </w:rPr>
        <w:t>值减去重力</w:t>
      </w:r>
      <w:r>
        <w:rPr>
          <w:rFonts w:ascii="宋体" w:hAnsi="宋体"/>
          <w:i/>
          <w:szCs w:val="21"/>
        </w:rPr>
        <w:t>z</w:t>
      </w:r>
      <w:r>
        <w:rPr>
          <w:rFonts w:ascii="宋体" w:hAnsi="宋体"/>
          <w:i/>
          <w:szCs w:val="21"/>
          <w:vertAlign w:val="subscript"/>
        </w:rPr>
        <w:t>gravity</w:t>
      </w:r>
      <w:r>
        <w:rPr>
          <w:rFonts w:hint="eastAsia" w:ascii="宋体" w:hAnsi="宋体"/>
          <w:szCs w:val="21"/>
        </w:rPr>
        <w:t>。注意这相当于将翻转前后每点的测量值取差值；</w:t>
      </w:r>
    </w:p>
    <w:p>
      <w:pPr>
        <w:pStyle w:val="145"/>
        <w:numPr>
          <w:ilvl w:val="0"/>
          <w:numId w:val="13"/>
        </w:numPr>
        <w:spacing w:line="360" w:lineRule="auto"/>
        <w:ind w:firstLineChars="0"/>
        <w:rPr>
          <w:rFonts w:ascii="宋体" w:hAnsi="宋体"/>
          <w:szCs w:val="21"/>
        </w:rPr>
      </w:pPr>
      <w:r>
        <w:rPr>
          <w:rFonts w:hint="eastAsia" w:ascii="宋体" w:hAnsi="宋体"/>
          <w:szCs w:val="21"/>
        </w:rPr>
        <w:t>理论模型方法-应用理论模型得到重力校正。虽然严格的模型并不知道，近似的校正可计算出来（见附录A）。</w:t>
      </w:r>
    </w:p>
    <w:p>
      <w:pPr>
        <w:pStyle w:val="63"/>
        <w:numPr>
          <w:ilvl w:val="0"/>
          <w:numId w:val="0"/>
        </w:numPr>
        <w:spacing w:before="156" w:after="156"/>
        <w:jc w:val="both"/>
        <w:outlineLvl w:val="1"/>
      </w:pPr>
      <w:r>
        <w:rPr>
          <w:rFonts w:hint="eastAsia" w:ascii="黑体" w:hAnsi="黑体" w:eastAsia="黑体"/>
        </w:rPr>
        <w:t>9.9</w:t>
      </w:r>
      <w:r>
        <w:rPr>
          <w:rFonts w:hint="eastAsia" w:hAnsi="宋体"/>
        </w:rPr>
        <w:t>使</w:t>
      </w:r>
      <w:r>
        <w:rPr>
          <w:rFonts w:hint="eastAsia"/>
        </w:rPr>
        <w:t>用最小二乘法对扫描的所有测量点数据拟合构建一个重力补偿的中位面作为基准面</w:t>
      </w:r>
      <w:r>
        <w:t>,基准面</w:t>
      </w:r>
      <w:r>
        <w:rPr>
          <w:i/>
        </w:rPr>
        <w:t>z</w:t>
      </w:r>
      <w:r>
        <w:rPr>
          <w:i/>
          <w:vertAlign w:val="subscript"/>
        </w:rPr>
        <w:t>ref</w:t>
      </w:r>
      <w:r>
        <w:t>的形式</w:t>
      </w:r>
      <w:r>
        <w:rPr>
          <w:rFonts w:hint="eastAsia"/>
        </w:rPr>
        <w:t>见公式（8）</w:t>
      </w:r>
      <w:r>
        <w:t>：</w:t>
      </w:r>
    </w:p>
    <w:p>
      <w:pPr>
        <w:autoSpaceDE w:val="0"/>
        <w:autoSpaceDN w:val="0"/>
        <w:adjustRightInd w:val="0"/>
        <w:jc w:val="right"/>
        <w:rPr>
          <w:rFonts w:ascii="宋体" w:hAnsi="宋体"/>
          <w:color w:val="000000"/>
          <w:kern w:val="0"/>
          <w:szCs w:val="21"/>
        </w:rPr>
      </w:pPr>
      <w:r>
        <w:rPr>
          <w:rFonts w:ascii="宋体" w:hAnsi="宋体"/>
          <w:color w:val="000000"/>
          <w:kern w:val="0"/>
          <w:position w:val="-10"/>
          <w:szCs w:val="21"/>
        </w:rPr>
        <w:object>
          <v:shape id="_x0000_i1032" o:spt="75" type="#_x0000_t75" style="height:17.25pt;width:9.7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rPr>
          <w:rFonts w:ascii="宋体" w:hAnsi="宋体"/>
          <w:color w:val="000000"/>
          <w:kern w:val="0"/>
          <w:position w:val="-14"/>
          <w:szCs w:val="21"/>
        </w:rPr>
        <w:object>
          <v:shape id="_x0000_i1033" o:spt="75" type="#_x0000_t75" style="height:18.75pt;width:100.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ascii="宋体" w:hAnsi="宋体"/>
          <w:color w:val="000000"/>
          <w:kern w:val="0"/>
          <w:szCs w:val="21"/>
        </w:rPr>
        <w:t>……………………………………………………………</w:t>
      </w:r>
      <w:r>
        <w:rPr>
          <w:rFonts w:hint="eastAsia" w:ascii="宋体" w:hAnsi="宋体"/>
          <w:color w:val="000000"/>
          <w:kern w:val="0"/>
          <w:szCs w:val="21"/>
        </w:rPr>
        <w:t>(8)</w:t>
      </w:r>
    </w:p>
    <w:p>
      <w:pPr>
        <w:autoSpaceDE w:val="0"/>
        <w:autoSpaceDN w:val="0"/>
        <w:adjustRightInd w:val="0"/>
        <w:jc w:val="left"/>
        <w:rPr>
          <w:rFonts w:ascii="宋体" w:hAnsi="宋体"/>
          <w:color w:val="000000"/>
          <w:kern w:val="0"/>
          <w:szCs w:val="21"/>
        </w:rPr>
      </w:pPr>
      <w:r>
        <w:rPr>
          <w:rFonts w:hint="eastAsia" w:ascii="宋体" w:hAnsi="宋体"/>
          <w:color w:val="000000"/>
          <w:kern w:val="0"/>
          <w:szCs w:val="21"/>
        </w:rPr>
        <w:t>选择a</w:t>
      </w:r>
      <w:r>
        <w:rPr>
          <w:rFonts w:hint="eastAsia" w:ascii="宋体" w:hAnsi="宋体"/>
          <w:color w:val="000000"/>
          <w:kern w:val="0"/>
          <w:szCs w:val="21"/>
          <w:vertAlign w:val="subscript"/>
        </w:rPr>
        <w:t xml:space="preserve">R </w:t>
      </w:r>
      <w:r>
        <w:rPr>
          <w:rFonts w:hint="eastAsia" w:ascii="宋体" w:hAnsi="宋体"/>
          <w:color w:val="000000"/>
          <w:kern w:val="0"/>
          <w:szCs w:val="21"/>
        </w:rPr>
        <w:t>、b</w:t>
      </w:r>
      <w:r>
        <w:rPr>
          <w:rFonts w:hint="eastAsia" w:ascii="宋体" w:hAnsi="宋体"/>
          <w:color w:val="000000"/>
          <w:kern w:val="0"/>
          <w:szCs w:val="21"/>
          <w:vertAlign w:val="subscript"/>
        </w:rPr>
        <w:t>R、</w:t>
      </w:r>
      <w:r>
        <w:rPr>
          <w:rFonts w:hint="eastAsia" w:ascii="宋体" w:hAnsi="宋体"/>
          <w:color w:val="000000"/>
          <w:kern w:val="0"/>
          <w:szCs w:val="21"/>
        </w:rPr>
        <w:t>c</w:t>
      </w:r>
      <w:r>
        <w:rPr>
          <w:rFonts w:hint="eastAsia" w:ascii="宋体" w:hAnsi="宋体"/>
          <w:color w:val="000000"/>
          <w:kern w:val="0"/>
          <w:szCs w:val="21"/>
          <w:vertAlign w:val="subscript"/>
        </w:rPr>
        <w:t xml:space="preserve">R </w:t>
      </w:r>
      <w:r>
        <w:rPr>
          <w:rFonts w:hint="eastAsia" w:ascii="宋体" w:hAnsi="宋体"/>
          <w:color w:val="000000"/>
          <w:kern w:val="0"/>
          <w:szCs w:val="21"/>
        </w:rPr>
        <w:t>常数值，使公式（9）的数值最小：</w:t>
      </w:r>
    </w:p>
    <w:p>
      <w:pPr>
        <w:autoSpaceDE w:val="0"/>
        <w:autoSpaceDN w:val="0"/>
        <w:adjustRightInd w:val="0"/>
        <w:jc w:val="left"/>
        <w:rPr>
          <w:rFonts w:ascii="宋体" w:hAnsi="宋体"/>
          <w:color w:val="000000"/>
          <w:kern w:val="0"/>
          <w:szCs w:val="21"/>
        </w:rPr>
      </w:pPr>
    </w:p>
    <w:p>
      <w:pPr>
        <w:autoSpaceDE w:val="0"/>
        <w:autoSpaceDN w:val="0"/>
        <w:adjustRightInd w:val="0"/>
        <w:ind w:firstLine="315" w:firstLineChars="150"/>
        <w:jc w:val="right"/>
        <w:rPr>
          <w:rFonts w:ascii="宋体" w:hAnsi="宋体"/>
          <w:color w:val="000000"/>
          <w:kern w:val="0"/>
          <w:szCs w:val="21"/>
        </w:rPr>
      </w:pPr>
      <w:r>
        <w:rPr>
          <w:rFonts w:ascii="宋体" w:hAnsi="宋体"/>
          <w:color w:val="000000"/>
          <w:kern w:val="0"/>
          <w:position w:val="-30"/>
          <w:szCs w:val="21"/>
        </w:rPr>
        <w:object>
          <v:shape id="_x0000_i1034" o:spt="75" type="#_x0000_t75" style="height:30pt;width:161.25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ascii="宋体" w:hAnsi="宋体"/>
          <w:color w:val="000000"/>
          <w:kern w:val="0"/>
          <w:szCs w:val="21"/>
        </w:rPr>
        <w:t>……………………………………………</w:t>
      </w:r>
      <w:r>
        <w:rPr>
          <w:rFonts w:hint="eastAsia" w:ascii="宋体" w:hAnsi="宋体"/>
          <w:color w:val="000000"/>
          <w:kern w:val="0"/>
          <w:szCs w:val="21"/>
        </w:rPr>
        <w:t>(9)</w:t>
      </w:r>
    </w:p>
    <w:p>
      <w:pPr>
        <w:pStyle w:val="63"/>
        <w:numPr>
          <w:ilvl w:val="0"/>
          <w:numId w:val="0"/>
        </w:numPr>
        <w:spacing w:before="156" w:after="156"/>
        <w:jc w:val="both"/>
        <w:outlineLvl w:val="2"/>
      </w:pPr>
      <w:r>
        <w:rPr>
          <w:rFonts w:hint="eastAsia" w:ascii="黑体" w:hAnsi="黑体" w:eastAsia="黑体"/>
        </w:rPr>
        <w:t>9.10</w:t>
      </w:r>
      <w:r>
        <w:rPr>
          <w:rFonts w:hint="eastAsia"/>
        </w:rPr>
        <w:t>从补偿值</w:t>
      </w:r>
      <w:r>
        <w:rPr>
          <w:i/>
        </w:rPr>
        <w:t>z</w:t>
      </w:r>
      <w:r>
        <w:rPr>
          <w:rFonts w:hint="eastAsia"/>
          <w:i/>
          <w:vertAlign w:val="subscript"/>
        </w:rPr>
        <w:t>com</w:t>
      </w:r>
      <w:r>
        <w:rPr>
          <w:rFonts w:hint="eastAsia"/>
        </w:rPr>
        <w:t>值减去基准面的</w:t>
      </w:r>
      <w:r>
        <w:rPr>
          <w:i/>
        </w:rPr>
        <w:t>z</w:t>
      </w:r>
      <w:r>
        <w:rPr>
          <w:i/>
          <w:vertAlign w:val="subscript"/>
        </w:rPr>
        <w:t>ref</w:t>
      </w:r>
      <w:r>
        <w:rPr>
          <w:rFonts w:hint="eastAsia"/>
        </w:rPr>
        <w:t>。得到扫描路径中所有点的</w:t>
      </w:r>
      <w:r>
        <w:rPr>
          <w:i/>
        </w:rPr>
        <w:t>z</w:t>
      </w:r>
      <w:r>
        <w:rPr>
          <w:i/>
          <w:vertAlign w:val="subscript"/>
        </w:rPr>
        <w:t>com</w:t>
      </w:r>
      <w:r>
        <w:rPr>
          <w:rFonts w:hint="eastAsia"/>
        </w:rPr>
        <w:t>基准面偏差RPD按公式：</w:t>
      </w:r>
    </w:p>
    <w:p>
      <w:pPr>
        <w:autoSpaceDE w:val="0"/>
        <w:autoSpaceDN w:val="0"/>
        <w:adjustRightInd w:val="0"/>
        <w:ind w:firstLine="420" w:firstLineChars="200"/>
        <w:jc w:val="right"/>
        <w:rPr>
          <w:rFonts w:ascii="宋体" w:hAnsi="宋体"/>
          <w:color w:val="000000"/>
          <w:kern w:val="0"/>
          <w:szCs w:val="21"/>
        </w:rPr>
      </w:pPr>
      <w:bookmarkStart w:id="46" w:name="OLE_LINK22"/>
      <w:bookmarkStart w:id="47" w:name="OLE_LINK23"/>
      <w:r>
        <w:rPr>
          <w:rFonts w:ascii="宋体" w:hAnsi="宋体"/>
          <w:color w:val="000000"/>
          <w:kern w:val="0"/>
          <w:position w:val="-10"/>
          <w:szCs w:val="21"/>
        </w:rPr>
        <w:object>
          <v:shape id="_x0000_i1035" o:spt="75" type="#_x0000_t75" style="height:18pt;width:90.7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bookmarkEnd w:id="46"/>
      <w:bookmarkEnd w:id="47"/>
      <w:r>
        <w:rPr>
          <w:rFonts w:ascii="宋体" w:hAnsi="宋体"/>
          <w:color w:val="000000"/>
          <w:kern w:val="0"/>
          <w:szCs w:val="21"/>
        </w:rPr>
        <w:t>………………………………………………………………</w:t>
      </w:r>
      <w:r>
        <w:rPr>
          <w:rFonts w:hint="eastAsia" w:ascii="宋体" w:hAnsi="宋体"/>
          <w:color w:val="000000"/>
          <w:kern w:val="0"/>
          <w:szCs w:val="21"/>
        </w:rPr>
        <w:t>(10)</w:t>
      </w:r>
    </w:p>
    <w:p>
      <w:pPr>
        <w:pStyle w:val="63"/>
        <w:numPr>
          <w:ilvl w:val="0"/>
          <w:numId w:val="0"/>
        </w:numPr>
        <w:spacing w:before="156" w:after="156"/>
        <w:jc w:val="both"/>
        <w:outlineLvl w:val="2"/>
      </w:pPr>
      <w:r>
        <w:rPr>
          <w:rFonts w:hint="eastAsia" w:ascii="黑体" w:hAnsi="黑体" w:eastAsia="黑体"/>
        </w:rPr>
        <w:t>9.11</w:t>
      </w:r>
      <w:r>
        <w:rPr>
          <w:rFonts w:hint="eastAsia"/>
        </w:rPr>
        <w:t>用最大值（最正）与最小值（最负）RPD，按公式（11）计算晶片翘曲度：</w:t>
      </w:r>
    </w:p>
    <w:p>
      <w:pPr>
        <w:autoSpaceDE w:val="0"/>
        <w:autoSpaceDN w:val="0"/>
        <w:adjustRightInd w:val="0"/>
        <w:ind w:firstLine="315" w:firstLineChars="150"/>
        <w:jc w:val="right"/>
        <w:rPr>
          <w:rFonts w:ascii="宋体" w:hAnsi="宋体"/>
          <w:color w:val="000000"/>
          <w:kern w:val="0"/>
          <w:szCs w:val="21"/>
        </w:rPr>
      </w:pPr>
      <w:r>
        <w:rPr>
          <w:rFonts w:ascii="宋体" w:hAnsi="宋体"/>
          <w:color w:val="000000"/>
          <w:kern w:val="0"/>
          <w:position w:val="-10"/>
          <w:szCs w:val="21"/>
        </w:rPr>
        <w:object>
          <v:shape id="_x0000_i1036" o:spt="75" type="#_x0000_t75" style="height:16.5pt;width:114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ascii="宋体" w:hAnsi="宋体"/>
          <w:color w:val="000000"/>
          <w:kern w:val="0"/>
          <w:szCs w:val="21"/>
        </w:rPr>
        <w:t>………………………………………………………</w:t>
      </w:r>
      <w:r>
        <w:rPr>
          <w:rFonts w:hint="eastAsia" w:ascii="宋体" w:hAnsi="宋体"/>
          <w:color w:val="000000"/>
          <w:kern w:val="0"/>
          <w:szCs w:val="21"/>
        </w:rPr>
        <w:t>(11)</w:t>
      </w:r>
    </w:p>
    <w:p>
      <w:pPr>
        <w:pStyle w:val="63"/>
        <w:numPr>
          <w:ilvl w:val="0"/>
          <w:numId w:val="0"/>
        </w:numPr>
        <w:spacing w:before="156" w:after="156"/>
        <w:jc w:val="both"/>
        <w:outlineLvl w:val="2"/>
      </w:pPr>
      <w:r>
        <w:rPr>
          <w:rFonts w:hint="eastAsia" w:ascii="黑体" w:hAnsi="黑体" w:eastAsia="黑体"/>
        </w:rPr>
        <w:t>9.12</w:t>
      </w:r>
      <w:bookmarkStart w:id="48" w:name="OLE_LINK4"/>
      <w:r>
        <w:rPr>
          <w:rFonts w:hint="eastAsia"/>
        </w:rPr>
        <w:t>记录计算的翘曲度值</w:t>
      </w:r>
      <w:bookmarkEnd w:id="48"/>
      <w:r>
        <w:rPr>
          <w:rFonts w:hint="eastAsia"/>
        </w:rPr>
        <w:t>。</w:t>
      </w:r>
    </w:p>
    <w:p>
      <w:pPr>
        <w:pStyle w:val="63"/>
        <w:numPr>
          <w:ilvl w:val="0"/>
          <w:numId w:val="0"/>
        </w:numPr>
        <w:spacing w:before="156" w:after="156"/>
        <w:jc w:val="both"/>
        <w:outlineLvl w:val="2"/>
        <w:rPr>
          <w:rFonts w:asciiTheme="minorEastAsia" w:hAnsiTheme="minorEastAsia" w:eastAsiaTheme="minorEastAsia"/>
        </w:rPr>
      </w:pPr>
      <w:r>
        <w:rPr>
          <w:rFonts w:hint="eastAsia" w:ascii="黑体" w:hAnsi="黑体" w:eastAsia="黑体"/>
        </w:rPr>
        <w:t>9.13</w:t>
      </w:r>
      <w:r>
        <w:rPr>
          <w:rFonts w:asciiTheme="minorEastAsia" w:hAnsiTheme="minorEastAsia" w:eastAsiaTheme="minorEastAsia"/>
        </w:rPr>
        <w:t>确定</w:t>
      </w:r>
      <w:r>
        <w:rPr>
          <w:rFonts w:hint="eastAsia" w:asciiTheme="minorEastAsia" w:hAnsiTheme="minorEastAsia" w:eastAsiaTheme="minorEastAsia"/>
        </w:rPr>
        <w:t>以</w:t>
      </w:r>
      <w:r>
        <w:rPr>
          <w:rFonts w:asciiTheme="minorEastAsia" w:hAnsiTheme="minorEastAsia" w:eastAsiaTheme="minorEastAsia"/>
        </w:rPr>
        <w:t>三点</w:t>
      </w:r>
      <w:r>
        <w:rPr>
          <w:rFonts w:hint="eastAsia" w:asciiTheme="minorEastAsia" w:hAnsiTheme="minorEastAsia" w:eastAsiaTheme="minorEastAsia"/>
        </w:rPr>
        <w:t>位置作为</w:t>
      </w:r>
      <w:r>
        <w:rPr>
          <w:rFonts w:asciiTheme="minorEastAsia" w:hAnsiTheme="minorEastAsia" w:eastAsiaTheme="minorEastAsia"/>
        </w:rPr>
        <w:t>基准面</w:t>
      </w:r>
      <w:r>
        <w:rPr>
          <w:rFonts w:hint="eastAsia" w:asciiTheme="minorEastAsia" w:hAnsiTheme="minorEastAsia" w:eastAsiaTheme="minorEastAsia"/>
        </w:rPr>
        <w:t>时弯曲度的</w:t>
      </w:r>
      <w:r>
        <w:rPr>
          <w:rFonts w:asciiTheme="minorEastAsia" w:hAnsiTheme="minorEastAsia" w:eastAsiaTheme="minorEastAsia"/>
        </w:rPr>
        <w:t>计算</w:t>
      </w:r>
      <w:r>
        <w:rPr>
          <w:rFonts w:hint="eastAsia" w:asciiTheme="minorEastAsia" w:hAnsiTheme="minorEastAsia" w:eastAsiaTheme="minorEastAsia"/>
        </w:rPr>
        <w:t>时，这三点位于在GB/T 16596</w:t>
      </w:r>
      <w:r>
        <w:rPr>
          <w:rFonts w:asciiTheme="minorEastAsia" w:hAnsiTheme="minorEastAsia" w:eastAsiaTheme="minorEastAsia"/>
        </w:rPr>
        <w:t>坐标系</w:t>
      </w:r>
      <w:r>
        <w:rPr>
          <w:rFonts w:hint="eastAsia" w:asciiTheme="minorEastAsia" w:hAnsiTheme="minorEastAsia" w:eastAsiaTheme="minorEastAsia"/>
        </w:rPr>
        <w:t>中的</w:t>
      </w:r>
      <w:r>
        <w:rPr>
          <w:rFonts w:asciiTheme="minorEastAsia" w:hAnsiTheme="minorEastAsia" w:eastAsiaTheme="minorEastAsia"/>
        </w:rPr>
        <w:t>90</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210°</w:t>
      </w:r>
      <w:r>
        <w:rPr>
          <w:rFonts w:asciiTheme="minorEastAsia" w:hAnsiTheme="minorEastAsia" w:eastAsiaTheme="minorEastAsia"/>
        </w:rPr>
        <w:t>和330</w:t>
      </w:r>
      <w:r>
        <w:rPr>
          <w:rFonts w:hint="eastAsia" w:asciiTheme="minorEastAsia" w:hAnsiTheme="minorEastAsia" w:eastAsiaTheme="minorEastAsia"/>
        </w:rPr>
        <w:t>°，而在GB/T 16596确定的</w:t>
      </w:r>
      <w:r>
        <w:rPr>
          <w:rFonts w:asciiTheme="minorEastAsia" w:hAnsiTheme="minorEastAsia" w:eastAsiaTheme="minorEastAsia"/>
        </w:rPr>
        <w:t>坐标系</w:t>
      </w:r>
      <w:r>
        <w:rPr>
          <w:rFonts w:hint="eastAsia" w:asciiTheme="minorEastAsia" w:hAnsiTheme="minorEastAsia" w:eastAsiaTheme="minorEastAsia"/>
        </w:rPr>
        <w:t>中</w:t>
      </w:r>
      <w:r>
        <w:rPr>
          <w:rFonts w:asciiTheme="minorEastAsia" w:hAnsiTheme="minorEastAsia" w:eastAsiaTheme="minorEastAsia"/>
        </w:rPr>
        <w:t>,晶片的主基准</w:t>
      </w:r>
      <w:r>
        <w:rPr>
          <w:rFonts w:hint="eastAsia" w:asciiTheme="minorEastAsia" w:hAnsiTheme="minorEastAsia" w:eastAsiaTheme="minorEastAsia"/>
        </w:rPr>
        <w:t>面</w:t>
      </w:r>
      <w:r>
        <w:rPr>
          <w:rFonts w:asciiTheme="minorEastAsia" w:hAnsiTheme="minorEastAsia" w:eastAsiaTheme="minorEastAsia"/>
        </w:rPr>
        <w:t>是在270</w:t>
      </w:r>
      <w:r>
        <w:rPr>
          <w:rFonts w:hint="eastAsia" w:asciiTheme="minorEastAsia" w:hAnsiTheme="minorEastAsia" w:eastAsiaTheme="minorEastAsia"/>
        </w:rPr>
        <w:t>°</w:t>
      </w:r>
      <w:r>
        <w:rPr>
          <w:rFonts w:asciiTheme="minorEastAsia" w:hAnsiTheme="minorEastAsia" w:eastAsiaTheme="minorEastAsia"/>
        </w:rPr>
        <w:t>(见图2)。</w:t>
      </w:r>
      <w:r>
        <w:rPr>
          <w:rFonts w:hint="eastAsia" w:asciiTheme="minorEastAsia" w:hAnsiTheme="minorEastAsia" w:eastAsiaTheme="minorEastAsia"/>
        </w:rPr>
        <w:t>这些点是在</w:t>
      </w:r>
      <w:r>
        <w:rPr>
          <w:rFonts w:hint="eastAsia"/>
        </w:rPr>
        <w:t>同一</w:t>
      </w:r>
      <w:r>
        <w:rPr>
          <w:rFonts w:asciiTheme="minorEastAsia" w:hAnsiTheme="minorEastAsia" w:eastAsiaTheme="minorEastAsia"/>
        </w:rPr>
        <w:t>半径:</w:t>
      </w:r>
    </w:p>
    <w:p>
      <w:pPr>
        <w:pStyle w:val="63"/>
        <w:numPr>
          <w:ilvl w:val="0"/>
          <w:numId w:val="0"/>
        </w:numPr>
        <w:spacing w:before="156" w:after="156"/>
        <w:jc w:val="both"/>
        <w:outlineLvl w:val="2"/>
        <w:rPr>
          <w:rFonts w:ascii="黑体" w:hAnsi="黑体" w:eastAsia="黑体"/>
        </w:rPr>
      </w:pPr>
      <w:r>
        <w:rPr>
          <w:rFonts w:hint="eastAsia"/>
        </w:rPr>
        <w:t xml:space="preserve">               </w:t>
      </w:r>
      <w:r>
        <w:br w:type="textWrapping"/>
      </w:r>
      <w:r>
        <w:rPr>
          <w:rFonts w:hint="eastAsia" w:ascii="黑体" w:hAnsi="黑体" w:eastAsia="黑体"/>
        </w:rPr>
        <w:t xml:space="preserve">                        </w:t>
      </w:r>
      <w:r>
        <w:rPr>
          <w:rFonts w:hint="eastAsia" w:ascii="黑体" w:hAnsi="黑体" w:eastAsia="黑体"/>
          <w:i/>
        </w:rPr>
        <w:t xml:space="preserve"> r</w:t>
      </w:r>
      <w:r>
        <w:rPr>
          <w:rFonts w:hint="eastAsia" w:ascii="黑体" w:hAnsi="黑体" w:eastAsia="黑体"/>
          <w:i/>
          <w:vertAlign w:val="subscript"/>
        </w:rPr>
        <w:t>3p</w:t>
      </w:r>
      <w:r>
        <w:rPr>
          <w:rFonts w:hint="eastAsia" w:ascii="黑体" w:hAnsi="黑体" w:eastAsia="黑体"/>
          <w:i/>
        </w:rPr>
        <w:t>=</w:t>
      </w:r>
      <w:bookmarkStart w:id="49" w:name="OLE_LINK3"/>
      <w:bookmarkStart w:id="50" w:name="OLE_LINK2"/>
      <w:r>
        <w:rPr>
          <w:rFonts w:hint="eastAsia" w:ascii="黑体" w:hAnsi="黑体" w:eastAsia="黑体"/>
          <w:i/>
        </w:rPr>
        <w:t>r</w:t>
      </w:r>
      <w:r>
        <w:rPr>
          <w:rFonts w:hint="eastAsia" w:ascii="黑体" w:hAnsi="黑体" w:eastAsia="黑体"/>
          <w:i/>
          <w:vertAlign w:val="subscript"/>
        </w:rPr>
        <w:t>nom</w:t>
      </w:r>
      <w:bookmarkEnd w:id="49"/>
      <w:bookmarkEnd w:id="50"/>
      <w:r>
        <w:rPr>
          <w:rFonts w:hint="eastAsia" w:ascii="黑体" w:hAnsi="黑体" w:eastAsia="黑体"/>
          <w:i/>
        </w:rPr>
        <w:t>-d</w:t>
      </w:r>
      <w:r>
        <w:rPr>
          <w:rFonts w:hint="eastAsia" w:ascii="黑体" w:hAnsi="黑体" w:eastAsia="黑体"/>
          <w:i/>
          <w:vertAlign w:val="subscript"/>
        </w:rPr>
        <w:t>n</w:t>
      </w:r>
      <w:r>
        <w:rPr>
          <w:rFonts w:hint="eastAsia" w:ascii="黑体" w:hAnsi="黑体" w:eastAsia="黑体"/>
        </w:rPr>
        <w:t xml:space="preserve">   </w:t>
      </w:r>
      <w:r>
        <w:rPr>
          <w:rFonts w:ascii="黑体" w:hAnsi="黑体" w:eastAsia="黑体"/>
        </w:rPr>
        <w:t>………………………………………………………</w:t>
      </w:r>
      <w:r>
        <w:rPr>
          <w:rFonts w:hint="eastAsia" w:ascii="黑体" w:hAnsi="黑体" w:eastAsia="黑体"/>
        </w:rPr>
        <w:t>(</w:t>
      </w:r>
      <w:r>
        <w:rPr>
          <w:rFonts w:hint="eastAsia" w:asciiTheme="minorEastAsia" w:hAnsiTheme="minorEastAsia" w:eastAsiaTheme="minorEastAsia"/>
        </w:rPr>
        <w:t>12</w:t>
      </w:r>
      <w:r>
        <w:rPr>
          <w:rFonts w:hint="eastAsia" w:ascii="黑体" w:hAnsi="黑体" w:eastAsia="黑体"/>
        </w:rPr>
        <w:t>)</w:t>
      </w:r>
    </w:p>
    <w:p>
      <w:pPr>
        <w:pStyle w:val="63"/>
        <w:numPr>
          <w:ilvl w:val="0"/>
          <w:numId w:val="0"/>
        </w:numPr>
        <w:spacing w:before="156" w:after="156"/>
        <w:jc w:val="both"/>
        <w:outlineLvl w:val="2"/>
        <w:rPr>
          <w:rFonts w:ascii="黑体" w:hAnsi="黑体" w:eastAsia="黑体"/>
        </w:rPr>
      </w:pPr>
      <w:r>
        <w:rPr>
          <w:rFonts w:hint="eastAsia" w:asciiTheme="minorEastAsia" w:hAnsiTheme="minorEastAsia" w:eastAsiaTheme="minorEastAsia"/>
        </w:rPr>
        <w:t>式中</w:t>
      </w:r>
      <w:r>
        <w:rPr>
          <w:rFonts w:hint="eastAsia" w:ascii="黑体" w:hAnsi="黑体" w:eastAsia="黑体"/>
        </w:rPr>
        <w:t>：</w:t>
      </w:r>
    </w:p>
    <w:p>
      <w:pPr>
        <w:pStyle w:val="63"/>
        <w:numPr>
          <w:ilvl w:val="0"/>
          <w:numId w:val="0"/>
        </w:numPr>
        <w:spacing w:before="156" w:after="156"/>
        <w:jc w:val="both"/>
        <w:outlineLvl w:val="2"/>
        <w:rPr>
          <w:rFonts w:ascii="黑体" w:hAnsi="黑体" w:eastAsia="黑体"/>
        </w:rPr>
      </w:pPr>
      <w:r>
        <w:rPr>
          <w:rFonts w:hint="eastAsia" w:ascii="黑体" w:hAnsi="黑体" w:eastAsia="黑体"/>
        </w:rPr>
        <w:t>r</w:t>
      </w:r>
      <w:r>
        <w:rPr>
          <w:rFonts w:hint="eastAsia" w:ascii="黑体" w:hAnsi="黑体" w:eastAsia="黑体"/>
          <w:i/>
          <w:vertAlign w:val="subscript"/>
        </w:rPr>
        <w:t>3p</w:t>
      </w:r>
      <w:r>
        <w:rPr>
          <w:rFonts w:hint="eastAsia" w:ascii="黑体" w:hAnsi="黑体" w:eastAsia="黑体"/>
          <w:vertAlign w:val="subscript"/>
        </w:rPr>
        <w:t xml:space="preserve"> ———</w:t>
      </w:r>
      <w:r>
        <w:rPr>
          <w:rFonts w:hint="eastAsia" w:asciiTheme="minorEastAsia" w:hAnsiTheme="minorEastAsia" w:eastAsiaTheme="minorEastAsia"/>
        </w:rPr>
        <w:t>以三点做基准面时，点的半径值，单位：mm</w:t>
      </w:r>
    </w:p>
    <w:p>
      <w:pPr>
        <w:pStyle w:val="63"/>
        <w:numPr>
          <w:ilvl w:val="0"/>
          <w:numId w:val="0"/>
        </w:numPr>
        <w:spacing w:before="156" w:after="156"/>
        <w:jc w:val="both"/>
        <w:outlineLvl w:val="2"/>
        <w:rPr>
          <w:rFonts w:ascii="黑体" w:hAnsi="黑体" w:eastAsia="黑体"/>
        </w:rPr>
      </w:pPr>
      <w:r>
        <w:rPr>
          <w:rFonts w:hint="eastAsia" w:ascii="黑体" w:hAnsi="黑体" w:eastAsia="黑体"/>
        </w:rPr>
        <w:t>r</w:t>
      </w:r>
      <w:r>
        <w:rPr>
          <w:rFonts w:hint="eastAsia" w:ascii="黑体" w:hAnsi="黑体" w:eastAsia="黑体"/>
          <w:i/>
          <w:vertAlign w:val="subscript"/>
        </w:rPr>
        <w:t>nom</w:t>
      </w:r>
      <w:r>
        <w:rPr>
          <w:rFonts w:hint="eastAsia" w:ascii="黑体" w:hAnsi="黑体" w:eastAsia="黑体"/>
        </w:rPr>
        <w:t xml:space="preserve"> ——</w:t>
      </w:r>
      <w:r>
        <w:rPr>
          <w:rFonts w:hint="eastAsia" w:asciiTheme="minorEastAsia" w:hAnsiTheme="minorEastAsia" w:eastAsiaTheme="minorEastAsia"/>
        </w:rPr>
        <w:t>晶片的标称半径值，单位：mm</w:t>
      </w:r>
    </w:p>
    <w:p>
      <w:pPr>
        <w:pStyle w:val="63"/>
        <w:numPr>
          <w:ilvl w:val="0"/>
          <w:numId w:val="0"/>
        </w:numPr>
        <w:spacing w:before="156" w:after="156"/>
        <w:jc w:val="both"/>
        <w:outlineLvl w:val="2"/>
        <w:rPr>
          <w:rFonts w:asciiTheme="minorEastAsia" w:hAnsiTheme="minorEastAsia" w:eastAsiaTheme="minorEastAsia"/>
        </w:rPr>
      </w:pPr>
      <w:r>
        <w:rPr>
          <w:rFonts w:hint="eastAsia" w:asciiTheme="minorEastAsia" w:hAnsiTheme="minorEastAsia" w:eastAsiaTheme="minorEastAsia"/>
          <w:i/>
        </w:rPr>
        <w:t>d</w:t>
      </w:r>
      <w:r>
        <w:rPr>
          <w:rFonts w:hint="eastAsia" w:asciiTheme="minorEastAsia" w:hAnsiTheme="minorEastAsia" w:eastAsiaTheme="minorEastAsia"/>
          <w:i/>
          <w:vertAlign w:val="subscript"/>
        </w:rPr>
        <w:t>n</w:t>
      </w:r>
      <w:r>
        <w:rPr>
          <w:rFonts w:hint="eastAsia" w:asciiTheme="minorEastAsia" w:hAnsiTheme="minorEastAsia" w:eastAsiaTheme="minorEastAsia"/>
          <w:vertAlign w:val="subscript"/>
        </w:rPr>
        <w:t xml:space="preserve">  </w:t>
      </w:r>
      <w:r>
        <w:rPr>
          <w:rFonts w:hint="eastAsia" w:asciiTheme="minorEastAsia" w:hAnsiTheme="minorEastAsia" w:eastAsiaTheme="minorEastAsia"/>
        </w:rPr>
        <w:t>——</w:t>
      </w:r>
      <w:r>
        <w:rPr>
          <w:rFonts w:hint="eastAsia" w:asciiTheme="minorEastAsia" w:hAnsiTheme="minorEastAsia" w:eastAsiaTheme="minorEastAsia"/>
          <w:vertAlign w:val="subscript"/>
        </w:rPr>
        <w:t xml:space="preserve"> </w:t>
      </w:r>
      <w:r>
        <w:rPr>
          <w:rFonts w:hint="eastAsia" w:asciiTheme="minorEastAsia" w:hAnsiTheme="minorEastAsia" w:eastAsiaTheme="minorEastAsia"/>
        </w:rPr>
        <w:t>晶片半径上距离边缘的距离，单位：mm</w:t>
      </w:r>
    </w:p>
    <w:p>
      <w:pPr>
        <w:pStyle w:val="63"/>
        <w:numPr>
          <w:ilvl w:val="0"/>
          <w:numId w:val="0"/>
        </w:numPr>
        <w:spacing w:before="156" w:after="156"/>
        <w:jc w:val="both"/>
        <w:outlineLvl w:val="2"/>
        <w:rPr>
          <w:rFonts w:ascii="黑体" w:hAnsi="黑体" w:eastAsia="黑体"/>
          <w:sz w:val="18"/>
          <w:szCs w:val="18"/>
        </w:rPr>
      </w:pPr>
      <w:r>
        <w:rPr>
          <w:rFonts w:hint="eastAsia" w:hAnsi="宋体"/>
          <w:kern w:val="2"/>
          <w:sz w:val="18"/>
          <w:szCs w:val="18"/>
        </w:rPr>
        <w:t>注：d</w:t>
      </w:r>
      <w:r>
        <w:rPr>
          <w:rFonts w:hint="eastAsia" w:hAnsi="宋体"/>
          <w:i/>
          <w:kern w:val="2"/>
          <w:sz w:val="18"/>
          <w:szCs w:val="18"/>
        </w:rPr>
        <w:t>n</w:t>
      </w:r>
      <w:r>
        <w:rPr>
          <w:rFonts w:hint="eastAsia" w:hAnsi="宋体"/>
          <w:kern w:val="2"/>
          <w:sz w:val="18"/>
          <w:szCs w:val="18"/>
        </w:rPr>
        <w:t>通常选用6mm</w:t>
      </w:r>
      <w:r>
        <w:rPr>
          <w:rFonts w:hint="eastAsia" w:asciiTheme="minorEastAsia" w:hAnsiTheme="minorEastAsia" w:eastAsiaTheme="minorEastAsia"/>
          <w:sz w:val="18"/>
          <w:szCs w:val="18"/>
        </w:rPr>
        <w:t>。</w:t>
      </w:r>
    </w:p>
    <w:p>
      <w:pPr>
        <w:pStyle w:val="63"/>
        <w:numPr>
          <w:ilvl w:val="0"/>
          <w:numId w:val="0"/>
        </w:numPr>
        <w:spacing w:before="156" w:after="156"/>
        <w:jc w:val="both"/>
        <w:outlineLvl w:val="2"/>
        <w:rPr>
          <w:rFonts w:asciiTheme="minorEastAsia" w:hAnsiTheme="minorEastAsia" w:eastAsiaTheme="minorEastAsia"/>
        </w:rPr>
      </w:pPr>
    </w:p>
    <w:p>
      <w:pPr>
        <w:pStyle w:val="63"/>
        <w:numPr>
          <w:ilvl w:val="0"/>
          <w:numId w:val="0"/>
        </w:numPr>
        <w:spacing w:before="156" w:after="156"/>
        <w:ind w:firstLine="2268" w:firstLineChars="1080"/>
        <w:outlineLvl w:val="2"/>
        <w:rPr>
          <w:rFonts w:ascii="黑体" w:hAnsi="黑体" w:eastAsia="黑体"/>
        </w:rPr>
      </w:pPr>
      <w:r>
        <w:drawing>
          <wp:inline distT="0" distB="0" distL="0" distR="0">
            <wp:extent cx="2861945" cy="25679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3"/>
                    <a:stretch>
                      <a:fillRect/>
                    </a:stretch>
                  </pic:blipFill>
                  <pic:spPr>
                    <a:xfrm>
                      <a:off x="0" y="0"/>
                      <a:ext cx="2862541" cy="2567940"/>
                    </a:xfrm>
                    <a:prstGeom prst="rect">
                      <a:avLst/>
                    </a:prstGeom>
                  </pic:spPr>
                </pic:pic>
              </a:graphicData>
            </a:graphic>
          </wp:inline>
        </w:drawing>
      </w:r>
    </w:p>
    <w:p>
      <w:pPr>
        <w:pStyle w:val="63"/>
        <w:numPr>
          <w:ilvl w:val="0"/>
          <w:numId w:val="0"/>
        </w:numPr>
        <w:spacing w:before="156" w:after="156"/>
        <w:outlineLvl w:val="2"/>
        <w:rPr>
          <w:rFonts w:ascii="黑体" w:hAnsi="黑体" w:eastAsia="黑体"/>
        </w:rPr>
      </w:pPr>
      <w:r>
        <w:rPr>
          <w:rFonts w:hint="eastAsia" w:ascii="黑体" w:hAnsi="黑体" w:eastAsia="黑体"/>
        </w:rPr>
        <w:t xml:space="preserve">                                    图2 构成基准面三点的角度</w:t>
      </w:r>
    </w:p>
    <w:p>
      <w:pPr>
        <w:pStyle w:val="63"/>
        <w:numPr>
          <w:ilvl w:val="0"/>
          <w:numId w:val="0"/>
        </w:numPr>
        <w:spacing w:before="156" w:after="156"/>
        <w:outlineLvl w:val="2"/>
        <w:rPr>
          <w:rFonts w:asciiTheme="minorEastAsia" w:hAnsiTheme="minorEastAsia" w:eastAsiaTheme="minorEastAsia"/>
        </w:rPr>
      </w:pPr>
      <w:r>
        <w:rPr>
          <w:rFonts w:hint="eastAsia" w:ascii="黑体" w:hAnsi="黑体" w:eastAsia="黑体"/>
        </w:rPr>
        <w:t>9.14</w:t>
      </w:r>
      <w:r>
        <w:rPr>
          <w:rFonts w:hint="eastAsia" w:asciiTheme="minorEastAsia" w:hAnsiTheme="minorEastAsia" w:eastAsiaTheme="minorEastAsia"/>
        </w:rPr>
        <w:t>,通过在扫描模式中最接近三点的重力补偿中位面数据，建立一个三点基准面:</w:t>
      </w:r>
    </w:p>
    <w:p>
      <w:pPr>
        <w:pStyle w:val="63"/>
        <w:numPr>
          <w:ilvl w:val="0"/>
          <w:numId w:val="0"/>
        </w:numPr>
        <w:spacing w:before="156" w:after="156"/>
        <w:ind w:firstLine="2520" w:firstLineChars="1200"/>
        <w:outlineLvl w:val="2"/>
        <w:rPr>
          <w:rFonts w:ascii="黑体" w:hAnsi="黑体" w:eastAsia="黑体"/>
        </w:rPr>
      </w:pPr>
      <m:oMath>
        <m:r>
          <m:rPr/>
          <w:rPr>
            <w:rFonts w:ascii="Cambria Math" w:hAnsi="Cambria Math" w:eastAsia="黑体"/>
          </w:rPr>
          <m:t xml:space="preserve"> </m:t>
        </m:r>
        <m:sSub>
          <m:sSubPr>
            <m:ctrlPr>
              <w:rPr>
                <w:rFonts w:ascii="Cambria Math" w:hAnsi="Cambria Math" w:eastAsia="黑体"/>
              </w:rPr>
            </m:ctrlPr>
          </m:sSubPr>
          <m:e>
            <m:r>
              <m:rPr/>
              <w:rPr>
                <w:rFonts w:ascii="Cambria Math" w:hAnsi="Cambria Math" w:eastAsia="黑体"/>
              </w:rPr>
              <m:t>z</m:t>
            </m:r>
            <m:ctrlPr>
              <w:rPr>
                <w:rFonts w:ascii="Cambria Math" w:hAnsi="Cambria Math" w:eastAsia="黑体"/>
                <w:i/>
              </w:rPr>
            </m:ctrlPr>
          </m:e>
          <m:sub>
            <m:r>
              <m:rPr/>
              <w:rPr>
                <w:rFonts w:ascii="Cambria Math" w:hAnsi="Cambria Math" w:eastAsia="黑体"/>
              </w:rPr>
              <m:t>ref3</m:t>
            </m:r>
            <m:ctrlPr>
              <w:rPr>
                <w:rFonts w:ascii="Cambria Math" w:hAnsi="Cambria Math" w:eastAsia="黑体"/>
              </w:rPr>
            </m:ctrlPr>
          </m:sub>
        </m:sSub>
        <m:r>
          <m:rPr/>
          <w:rPr>
            <w:rFonts w:ascii="Cambria Math" w:hAnsi="Cambria Math" w:eastAsia="黑体"/>
          </w:rPr>
          <m:t>=</m:t>
        </m:r>
        <m:sSub>
          <m:sSubPr>
            <m:ctrlPr>
              <w:rPr>
                <w:rFonts w:ascii="Cambria Math" w:hAnsi="Cambria Math" w:eastAsia="黑体"/>
                <w:i/>
              </w:rPr>
            </m:ctrlPr>
          </m:sSubPr>
          <m:e>
            <m:r>
              <m:rPr/>
              <w:rPr>
                <w:rFonts w:ascii="Cambria Math" w:hAnsi="Cambria Math" w:eastAsia="黑体"/>
              </w:rPr>
              <m:t>a</m:t>
            </m:r>
            <m:ctrlPr>
              <w:rPr>
                <w:rFonts w:ascii="Cambria Math" w:hAnsi="Cambria Math" w:eastAsia="黑体"/>
                <w:i/>
              </w:rPr>
            </m:ctrlPr>
          </m:e>
          <m:sub>
            <m:r>
              <m:rPr/>
              <w:rPr>
                <w:rFonts w:ascii="Cambria Math" w:hAnsi="Cambria Math" w:eastAsia="黑体"/>
              </w:rPr>
              <m:t>R3</m:t>
            </m:r>
            <m:ctrlPr>
              <w:rPr>
                <w:rFonts w:ascii="Cambria Math" w:hAnsi="Cambria Math" w:eastAsia="黑体"/>
                <w:i/>
              </w:rPr>
            </m:ctrlPr>
          </m:sub>
        </m:sSub>
        <m:r>
          <m:rPr/>
          <w:rPr>
            <w:rFonts w:ascii="Cambria Math" w:hAnsi="Cambria Math" w:eastAsia="黑体"/>
          </w:rPr>
          <m:t>x+</m:t>
        </m:r>
        <m:sSub>
          <m:sSubPr>
            <m:ctrlPr>
              <w:rPr>
                <w:rFonts w:ascii="Cambria Math" w:hAnsi="Cambria Math" w:eastAsia="黑体"/>
                <w:i/>
              </w:rPr>
            </m:ctrlPr>
          </m:sSubPr>
          <m:e>
            <m:r>
              <m:rPr/>
              <w:rPr>
                <w:rFonts w:ascii="Cambria Math" w:hAnsi="Cambria Math" w:eastAsia="黑体"/>
              </w:rPr>
              <m:t>b</m:t>
            </m:r>
            <m:ctrlPr>
              <w:rPr>
                <w:rFonts w:ascii="Cambria Math" w:hAnsi="Cambria Math" w:eastAsia="黑体"/>
                <w:i/>
              </w:rPr>
            </m:ctrlPr>
          </m:e>
          <m:sub>
            <m:r>
              <m:rPr/>
              <w:rPr>
                <w:rFonts w:ascii="Cambria Math" w:hAnsi="Cambria Math" w:eastAsia="黑体"/>
              </w:rPr>
              <m:t>R3</m:t>
            </m:r>
            <m:ctrlPr>
              <w:rPr>
                <w:rFonts w:ascii="Cambria Math" w:hAnsi="Cambria Math" w:eastAsia="黑体"/>
                <w:i/>
              </w:rPr>
            </m:ctrlPr>
          </m:sub>
        </m:sSub>
        <m:r>
          <m:rPr/>
          <w:rPr>
            <w:rFonts w:ascii="Cambria Math" w:hAnsi="Cambria Math" w:eastAsia="黑体"/>
          </w:rPr>
          <m:t xml:space="preserve"> y+</m:t>
        </m:r>
        <m:sSub>
          <m:sSubPr>
            <m:ctrlPr>
              <w:rPr>
                <w:rFonts w:ascii="Cambria Math" w:hAnsi="Cambria Math" w:eastAsia="黑体"/>
                <w:i/>
              </w:rPr>
            </m:ctrlPr>
          </m:sSubPr>
          <m:e>
            <m:r>
              <m:rPr/>
              <w:rPr>
                <w:rFonts w:ascii="Cambria Math" w:hAnsi="Cambria Math" w:eastAsia="黑体"/>
              </w:rPr>
              <m:t>c</m:t>
            </m:r>
            <m:ctrlPr>
              <w:rPr>
                <w:rFonts w:ascii="Cambria Math" w:hAnsi="Cambria Math" w:eastAsia="黑体"/>
                <w:i/>
              </w:rPr>
            </m:ctrlPr>
          </m:e>
          <m:sub>
            <m:r>
              <m:rPr/>
              <w:rPr>
                <w:rFonts w:ascii="Cambria Math" w:hAnsi="Cambria Math" w:eastAsia="黑体"/>
              </w:rPr>
              <m:t>R3</m:t>
            </m:r>
            <m:ctrlPr>
              <w:rPr>
                <w:rFonts w:ascii="Cambria Math" w:hAnsi="Cambria Math" w:eastAsia="黑体"/>
                <w:i/>
              </w:rPr>
            </m:ctrlPr>
          </m:sub>
        </m:sSub>
      </m:oMath>
      <w:r>
        <w:rPr>
          <w:rFonts w:ascii="黑体" w:hAnsi="黑体" w:eastAsia="黑体"/>
        </w:rPr>
        <w:t xml:space="preserve"> …………………………</w:t>
      </w:r>
      <w:r>
        <w:rPr>
          <w:rFonts w:hint="eastAsia" w:ascii="黑体" w:hAnsi="黑体" w:eastAsia="黑体"/>
        </w:rPr>
        <w:t>(</w:t>
      </w:r>
      <w:r>
        <w:rPr>
          <w:rFonts w:hint="eastAsia" w:asciiTheme="minorEastAsia" w:hAnsiTheme="minorEastAsia" w:eastAsiaTheme="minorEastAsia"/>
        </w:rPr>
        <w:t>13</w:t>
      </w:r>
      <w:r>
        <w:rPr>
          <w:rFonts w:hint="eastAsia" w:ascii="黑体" w:hAnsi="黑体" w:eastAsia="黑体"/>
        </w:rPr>
        <w:t>)</w:t>
      </w:r>
    </w:p>
    <w:p>
      <w:pPr>
        <w:pStyle w:val="63"/>
        <w:numPr>
          <w:ilvl w:val="0"/>
          <w:numId w:val="0"/>
        </w:numPr>
        <w:spacing w:before="156" w:after="156"/>
        <w:outlineLvl w:val="2"/>
        <w:rPr>
          <w:rFonts w:asciiTheme="minorEastAsia" w:hAnsiTheme="minorEastAsia" w:eastAsiaTheme="minorEastAsia"/>
        </w:rPr>
      </w:pPr>
      <w:r>
        <w:rPr>
          <w:rFonts w:hint="eastAsia" w:asciiTheme="minorEastAsia" w:hAnsiTheme="minorEastAsia" w:eastAsiaTheme="minorEastAsia"/>
        </w:rPr>
        <w:t>式中：</w:t>
      </w:r>
    </w:p>
    <w:p>
      <w:pPr>
        <w:pStyle w:val="63"/>
        <w:numPr>
          <w:ilvl w:val="0"/>
          <w:numId w:val="0"/>
        </w:numPr>
        <w:spacing w:before="156" w:after="156"/>
        <w:outlineLvl w:val="2"/>
        <w:rPr>
          <w:rFonts w:asciiTheme="minorEastAsia" w:hAnsiTheme="minorEastAsia" w:eastAsiaTheme="minorEastAsia"/>
        </w:rPr>
      </w:pPr>
      <w:r>
        <w:rPr>
          <w:rFonts w:hint="eastAsia" w:ascii="黑体" w:hAnsi="黑体" w:eastAsia="黑体"/>
        </w:rPr>
        <w:t>Z</w:t>
      </w:r>
      <w:r>
        <w:rPr>
          <w:rFonts w:hint="eastAsia" w:ascii="黑体" w:hAnsi="黑体" w:eastAsia="黑体"/>
          <w:vertAlign w:val="subscript"/>
        </w:rPr>
        <w:t xml:space="preserve">ref3 </w:t>
      </w:r>
      <w:r>
        <w:rPr>
          <w:rFonts w:hint="eastAsia" w:asciiTheme="minorEastAsia" w:hAnsiTheme="minorEastAsia" w:eastAsiaTheme="minorEastAsia"/>
        </w:rPr>
        <w:t>——三点作基准面的坐标；</w:t>
      </w:r>
    </w:p>
    <w:p>
      <w:pPr>
        <w:pStyle w:val="63"/>
        <w:numPr>
          <w:ilvl w:val="0"/>
          <w:numId w:val="0"/>
        </w:numPr>
        <w:spacing w:before="156" w:after="156"/>
        <w:outlineLvl w:val="2"/>
        <w:rPr>
          <w:rFonts w:asciiTheme="minorEastAsia" w:hAnsiTheme="minorEastAsia" w:eastAsiaTheme="minorEastAsia"/>
        </w:rPr>
      </w:pPr>
      <w:r>
        <w:rPr>
          <w:rFonts w:hint="eastAsia" w:asciiTheme="minorEastAsia" w:hAnsiTheme="minorEastAsia" w:eastAsiaTheme="minorEastAsia"/>
        </w:rPr>
        <w:t>a</w:t>
      </w:r>
      <w:r>
        <w:rPr>
          <w:rFonts w:hint="eastAsia" w:asciiTheme="minorEastAsia" w:hAnsiTheme="minorEastAsia" w:eastAsiaTheme="minorEastAsia"/>
          <w:vertAlign w:val="subscript"/>
        </w:rPr>
        <w:t xml:space="preserve">R3 </w:t>
      </w:r>
      <w:r>
        <w:rPr>
          <w:rFonts w:hint="eastAsia" w:asciiTheme="minorEastAsia" w:hAnsiTheme="minorEastAsia" w:eastAsiaTheme="minorEastAsia"/>
        </w:rPr>
        <w:t>、b</w:t>
      </w:r>
      <w:r>
        <w:rPr>
          <w:rFonts w:hint="eastAsia" w:asciiTheme="minorEastAsia" w:hAnsiTheme="minorEastAsia" w:eastAsiaTheme="minorEastAsia"/>
          <w:vertAlign w:val="subscript"/>
        </w:rPr>
        <w:t>R3、</w:t>
      </w:r>
      <w:r>
        <w:rPr>
          <w:rFonts w:hint="eastAsia" w:asciiTheme="minorEastAsia" w:hAnsiTheme="minorEastAsia" w:eastAsiaTheme="minorEastAsia"/>
        </w:rPr>
        <w:t>c</w:t>
      </w:r>
      <w:r>
        <w:rPr>
          <w:rFonts w:hint="eastAsia" w:asciiTheme="minorEastAsia" w:hAnsiTheme="minorEastAsia" w:eastAsiaTheme="minorEastAsia"/>
          <w:vertAlign w:val="subscript"/>
        </w:rPr>
        <w:t xml:space="preserve">R3 </w:t>
      </w:r>
      <w:r>
        <w:rPr>
          <w:rFonts w:hint="eastAsia" w:asciiTheme="minorEastAsia" w:hAnsiTheme="minorEastAsia" w:eastAsiaTheme="minorEastAsia"/>
        </w:rPr>
        <w:t>——常数值。</w:t>
      </w:r>
    </w:p>
    <w:p>
      <w:pPr>
        <w:pStyle w:val="63"/>
        <w:numPr>
          <w:ilvl w:val="0"/>
          <w:numId w:val="0"/>
        </w:numPr>
        <w:spacing w:before="156" w:after="156"/>
        <w:outlineLvl w:val="2"/>
        <w:rPr>
          <w:rFonts w:asciiTheme="minorEastAsia" w:hAnsiTheme="minorEastAsia" w:eastAsiaTheme="minorEastAsia"/>
        </w:rPr>
      </w:pPr>
      <w:r>
        <w:rPr>
          <w:rFonts w:hint="eastAsia" w:ascii="黑体" w:hAnsi="黑体" w:eastAsia="黑体"/>
        </w:rPr>
        <w:t xml:space="preserve">9.15 </w:t>
      </w:r>
      <w:r>
        <w:rPr>
          <w:rFonts w:hint="eastAsia" w:asciiTheme="minorEastAsia" w:hAnsiTheme="minorEastAsia" w:eastAsiaTheme="minorEastAsia"/>
        </w:rPr>
        <w:t>计算晶片的弯曲度，</w:t>
      </w:r>
      <w:bookmarkStart w:id="51" w:name="OLE_LINK12"/>
      <w:bookmarkStart w:id="52" w:name="OLE_LINK13"/>
      <w:r>
        <w:rPr>
          <w:rFonts w:hint="eastAsia" w:asciiTheme="minorEastAsia" w:hAnsiTheme="minorEastAsia" w:eastAsiaTheme="minorEastAsia"/>
        </w:rPr>
        <w:t>为晶片中心的中位面与修正后晶片三点基准面的</w:t>
      </w:r>
      <w:r>
        <w:rPr>
          <w:rFonts w:asciiTheme="minorEastAsia" w:hAnsiTheme="minorEastAsia" w:eastAsiaTheme="minorEastAsia"/>
        </w:rPr>
        <w:t>代数差</w:t>
      </w:r>
      <w:r>
        <w:rPr>
          <w:rFonts w:hint="eastAsia" w:asciiTheme="minorEastAsia" w:hAnsiTheme="minorEastAsia" w:eastAsiaTheme="minorEastAsia"/>
        </w:rPr>
        <w:t>。</w:t>
      </w:r>
    </w:p>
    <w:bookmarkEnd w:id="51"/>
    <w:bookmarkEnd w:id="52"/>
    <w:p>
      <w:pPr>
        <w:pStyle w:val="63"/>
        <w:numPr>
          <w:ilvl w:val="0"/>
          <w:numId w:val="0"/>
        </w:numPr>
        <w:spacing w:before="156" w:after="156"/>
        <w:ind w:firstLine="2520" w:firstLineChars="1200"/>
        <w:outlineLvl w:val="2"/>
        <w:rPr>
          <w:rFonts w:asciiTheme="minorEastAsia" w:hAnsiTheme="minorEastAsia" w:eastAsiaTheme="minorEastAsia"/>
        </w:rPr>
      </w:pPr>
      <m:oMath>
        <m:r>
          <m:rPr/>
          <w:rPr>
            <w:rFonts w:ascii="Cambria Math" w:hAnsi="Cambria Math" w:eastAsiaTheme="minorEastAsia"/>
          </w:rPr>
          <m:t>bow</m:t>
        </m:r>
        <m:r>
          <m:rPr>
            <m:sty m:val="p"/>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z</m:t>
            </m:r>
            <m:ctrlPr>
              <w:rPr>
                <w:rFonts w:ascii="Cambria Math" w:hAnsi="Cambria Math" w:eastAsiaTheme="minorEastAsia"/>
                <w:i/>
              </w:rPr>
            </m:ctrlPr>
          </m:e>
          <m:sub>
            <m:r>
              <m:rPr/>
              <w:rPr>
                <w:rFonts w:ascii="Cambria Math" w:hAnsi="Cambria Math" w:eastAsiaTheme="minorEastAsia"/>
              </w:rPr>
              <m:t xml:space="preserve">com  </m:t>
            </m:r>
            <m:ctrlPr>
              <w:rPr>
                <w:rFonts w:ascii="Cambria Math" w:hAnsi="Cambria Math" w:eastAsiaTheme="minorEastAsia"/>
                <w:i/>
              </w:rPr>
            </m:ctrlPr>
          </m:sub>
        </m:sSub>
        <m:d>
          <m:dPr>
            <m:ctrlPr>
              <w:rPr>
                <w:rFonts w:ascii="Cambria Math" w:hAnsi="Cambria Math" w:eastAsiaTheme="minorEastAsia"/>
                <w:i/>
              </w:rPr>
            </m:ctrlPr>
          </m:dPr>
          <m:e>
            <m:r>
              <m:rPr/>
              <w:rPr>
                <w:rFonts w:ascii="Cambria Math" w:hAnsi="Cambria Math" w:eastAsiaTheme="minorEastAsia"/>
              </w:rPr>
              <m:t>0</m:t>
            </m:r>
            <m:r>
              <m:rPr>
                <m:sty m:val="p"/>
              </m:rPr>
              <w:rPr>
                <w:rFonts w:ascii="Cambria Math" w:hAnsi="Cambria Math" w:eastAsiaTheme="minorEastAsia"/>
              </w:rPr>
              <m:t>,0</m:t>
            </m:r>
            <m:ctrlPr>
              <w:rPr>
                <w:rFonts w:ascii="Cambria Math" w:hAnsi="Cambria Math" w:eastAsiaTheme="minorEastAsia"/>
                <w:i/>
              </w:rPr>
            </m:ctrlPr>
          </m:e>
        </m:d>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z</m:t>
            </m:r>
            <m:ctrlPr>
              <w:rPr>
                <w:rFonts w:ascii="Cambria Math" w:hAnsi="Cambria Math" w:eastAsiaTheme="minorEastAsia"/>
                <w:i/>
              </w:rPr>
            </m:ctrlPr>
          </m:e>
          <m:sub>
            <m:r>
              <m:rPr/>
              <w:rPr>
                <w:rFonts w:ascii="Cambria Math" w:hAnsi="Cambria Math" w:eastAsiaTheme="minorEastAsia"/>
              </w:rPr>
              <m:t xml:space="preserve">ref3 </m:t>
            </m:r>
            <m:ctrlPr>
              <w:rPr>
                <w:rFonts w:ascii="Cambria Math" w:hAnsi="Cambria Math" w:eastAsiaTheme="minorEastAsia"/>
                <w:i/>
              </w:rPr>
            </m:ctrlPr>
          </m:sub>
        </m:sSub>
        <m:d>
          <m:dPr>
            <m:ctrlPr>
              <w:rPr>
                <w:rFonts w:ascii="Cambria Math" w:hAnsi="Cambria Math" w:eastAsiaTheme="minorEastAsia"/>
                <w:i/>
              </w:rPr>
            </m:ctrlPr>
          </m:dPr>
          <m:e>
            <m:r>
              <m:rPr/>
              <w:rPr>
                <w:rFonts w:ascii="Cambria Math" w:hAnsi="Cambria Math" w:eastAsiaTheme="minorEastAsia"/>
              </w:rPr>
              <m:t>0</m:t>
            </m:r>
            <m:r>
              <m:rPr>
                <m:sty m:val="p"/>
              </m:rPr>
              <w:rPr>
                <w:rFonts w:ascii="Cambria Math" w:hAnsi="Cambria Math" w:eastAsiaTheme="minorEastAsia"/>
              </w:rPr>
              <m:t>,0</m:t>
            </m:r>
            <m:ctrlPr>
              <w:rPr>
                <w:rFonts w:ascii="Cambria Math" w:hAnsi="Cambria Math" w:eastAsiaTheme="minorEastAsia"/>
                <w:i/>
              </w:rPr>
            </m:ctrlPr>
          </m:e>
        </m:d>
      </m:oMath>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（14）</w:t>
      </w:r>
    </w:p>
    <w:p>
      <w:pPr>
        <w:pStyle w:val="63"/>
        <w:numPr>
          <w:ilvl w:val="0"/>
          <w:numId w:val="0"/>
        </w:numPr>
        <w:spacing w:before="156" w:after="156"/>
        <w:outlineLvl w:val="2"/>
        <w:rPr>
          <w:rFonts w:asciiTheme="minorEastAsia" w:hAnsiTheme="minorEastAsia" w:eastAsiaTheme="minorEastAsia"/>
          <w:i/>
        </w:rPr>
      </w:pPr>
      <w:r>
        <w:rPr>
          <w:rFonts w:hint="eastAsia" w:asciiTheme="minorEastAsia" w:hAnsiTheme="minorEastAsia" w:eastAsiaTheme="minorEastAsia"/>
        </w:rPr>
        <w:t>式中</w:t>
      </w:r>
      <w:r>
        <w:rPr>
          <w:rFonts w:hint="eastAsia" w:asciiTheme="minorEastAsia" w:hAnsiTheme="minorEastAsia" w:eastAsiaTheme="minorEastAsia"/>
          <w:i/>
        </w:rPr>
        <w:t>：</w:t>
      </w:r>
    </w:p>
    <w:p>
      <w:pPr>
        <w:pStyle w:val="63"/>
        <w:numPr>
          <w:ilvl w:val="0"/>
          <w:numId w:val="0"/>
        </w:numPr>
        <w:spacing w:before="156" w:after="156"/>
        <w:outlineLvl w:val="2"/>
        <w:rPr>
          <w:rFonts w:asciiTheme="minorEastAsia" w:hAnsiTheme="minorEastAsia" w:eastAsiaTheme="minorEastAsia"/>
        </w:rPr>
      </w:pPr>
      <w:r>
        <w:rPr>
          <w:rFonts w:hint="eastAsia" w:asciiTheme="minorEastAsia" w:hAnsiTheme="minorEastAsia" w:eastAsiaTheme="minorEastAsia"/>
          <w:i/>
        </w:rPr>
        <w:t>Z</w:t>
      </w:r>
      <w:r>
        <w:rPr>
          <w:rFonts w:hint="eastAsia" w:asciiTheme="minorEastAsia" w:hAnsiTheme="minorEastAsia" w:eastAsiaTheme="minorEastAsia"/>
          <w:i/>
          <w:vertAlign w:val="subscript"/>
        </w:rPr>
        <w:t>com</w:t>
      </w:r>
      <w:r>
        <w:rPr>
          <w:rFonts w:hint="eastAsia" w:asciiTheme="minorEastAsia" w:hAnsiTheme="minorEastAsia" w:eastAsiaTheme="minorEastAsia"/>
        </w:rPr>
        <w:t>（0,0）——晶片中心点的中位面坐标；</w:t>
      </w:r>
    </w:p>
    <w:p>
      <w:pPr>
        <w:pStyle w:val="63"/>
        <w:numPr>
          <w:ilvl w:val="0"/>
          <w:numId w:val="0"/>
        </w:numPr>
        <w:spacing w:before="156" w:after="156"/>
        <w:outlineLvl w:val="2"/>
        <w:rPr>
          <w:rFonts w:asciiTheme="minorEastAsia" w:hAnsiTheme="minorEastAsia" w:eastAsiaTheme="minorEastAsia"/>
          <w:i/>
        </w:rPr>
      </w:pPr>
      <w:r>
        <w:rPr>
          <w:rFonts w:hint="eastAsia" w:asciiTheme="minorEastAsia" w:hAnsiTheme="minorEastAsia" w:eastAsiaTheme="minorEastAsia"/>
          <w:i/>
        </w:rPr>
        <w:t>Z</w:t>
      </w:r>
      <w:r>
        <w:rPr>
          <w:rFonts w:hint="eastAsia" w:asciiTheme="minorEastAsia" w:hAnsiTheme="minorEastAsia" w:eastAsiaTheme="minorEastAsia"/>
          <w:i/>
          <w:vertAlign w:val="subscript"/>
        </w:rPr>
        <w:t>ref3</w:t>
      </w:r>
      <w:r>
        <w:rPr>
          <w:rFonts w:hint="eastAsia" w:asciiTheme="minorEastAsia" w:hAnsiTheme="minorEastAsia" w:eastAsiaTheme="minorEastAsia"/>
        </w:rPr>
        <w:t>（0,0）——修正后晶片中心点基准面的指标</w:t>
      </w:r>
    </w:p>
    <w:p>
      <w:pPr>
        <w:pStyle w:val="63"/>
        <w:numPr>
          <w:ilvl w:val="0"/>
          <w:numId w:val="0"/>
        </w:numPr>
        <w:spacing w:before="156" w:after="156"/>
        <w:outlineLvl w:val="2"/>
        <w:rPr>
          <w:rFonts w:ascii="黑体" w:hAnsi="黑体" w:eastAsia="黑体"/>
        </w:rPr>
      </w:pPr>
      <w:r>
        <w:rPr>
          <w:rFonts w:hint="eastAsia" w:ascii="黑体" w:hAnsi="黑体" w:eastAsia="黑体"/>
        </w:rPr>
        <w:t>9.16</w:t>
      </w:r>
      <w:r>
        <w:rPr>
          <w:rFonts w:hint="eastAsia" w:asciiTheme="minorEastAsia" w:hAnsiTheme="minorEastAsia" w:eastAsiaTheme="minorEastAsia"/>
        </w:rPr>
        <w:t>记录计算的弯曲度值。</w:t>
      </w:r>
    </w:p>
    <w:p>
      <w:pPr>
        <w:pStyle w:val="63"/>
        <w:numPr>
          <w:ilvl w:val="0"/>
          <w:numId w:val="0"/>
        </w:numPr>
        <w:spacing w:before="156" w:after="156"/>
        <w:jc w:val="both"/>
        <w:outlineLvl w:val="2"/>
      </w:pPr>
      <w:r>
        <w:rPr>
          <w:rFonts w:hint="eastAsia" w:ascii="黑体" w:hAnsi="黑体" w:eastAsia="黑体"/>
        </w:rPr>
        <w:t>9.17</w:t>
      </w:r>
      <w:r>
        <w:rPr>
          <w:rFonts w:hint="eastAsia"/>
        </w:rPr>
        <w:t>对仲裁或其他测量，晶片被测量次数大于一次时，计算被测晶片在所有测量范围的最大值、最小值、标准偏差、平均值。</w:t>
      </w:r>
    </w:p>
    <w:p>
      <w:pPr>
        <w:pStyle w:val="63"/>
        <w:numPr>
          <w:ilvl w:val="0"/>
          <w:numId w:val="0"/>
        </w:numPr>
        <w:spacing w:before="156" w:after="156"/>
        <w:jc w:val="both"/>
        <w:outlineLvl w:val="2"/>
      </w:pPr>
      <w:r>
        <w:rPr>
          <w:rFonts w:hint="eastAsia" w:ascii="黑体" w:hAnsi="黑体" w:eastAsia="黑体"/>
        </w:rPr>
        <w:t>9.18</w:t>
      </w:r>
      <w:r>
        <w:rPr>
          <w:rFonts w:hint="eastAsia"/>
        </w:rPr>
        <w:t>记录晶片测量标准偏差和其他测试双方约定的测量数据。</w:t>
      </w:r>
    </w:p>
    <w:bookmarkEnd w:id="44"/>
    <w:bookmarkEnd w:id="45"/>
    <w:p>
      <w:pPr>
        <w:pStyle w:val="45"/>
        <w:spacing w:before="312" w:after="312"/>
      </w:pPr>
      <w:bookmarkStart w:id="53" w:name="_Toc503281270"/>
      <w:r>
        <w:rPr>
          <w:rFonts w:hint="eastAsia"/>
        </w:rPr>
        <w:t>精密度</w:t>
      </w:r>
      <w:bookmarkEnd w:id="53"/>
      <w:r>
        <w:rPr>
          <w:rFonts w:hint="eastAsia"/>
        </w:rPr>
        <w:t xml:space="preserve">  </w:t>
      </w:r>
    </w:p>
    <w:p>
      <w:pPr>
        <w:spacing w:before="156"/>
        <w:rPr>
          <w:rFonts w:asciiTheme="minorEastAsia" w:hAnsiTheme="minorEastAsia" w:eastAsiaTheme="minorEastAsia"/>
          <w:kern w:val="0"/>
          <w:szCs w:val="20"/>
        </w:rPr>
      </w:pPr>
      <w:r>
        <w:rPr>
          <w:rFonts w:hint="eastAsia" w:asciiTheme="minorEastAsia" w:hAnsiTheme="minorEastAsia" w:eastAsiaTheme="minorEastAsia"/>
        </w:rPr>
        <w:t xml:space="preserve">    </w:t>
      </w:r>
      <w:r>
        <w:rPr>
          <w:rFonts w:asciiTheme="minorEastAsia" w:hAnsiTheme="minorEastAsia" w:eastAsiaTheme="minorEastAsia"/>
          <w:kern w:val="0"/>
          <w:szCs w:val="21"/>
        </w:rPr>
        <w:t>单个实验室使用</w:t>
      </w:r>
      <w:r>
        <w:rPr>
          <w:rFonts w:hint="eastAsia" w:asciiTheme="minorEastAsia" w:hAnsiTheme="minorEastAsia" w:eastAsiaTheme="minorEastAsia"/>
          <w:kern w:val="0"/>
          <w:szCs w:val="21"/>
        </w:rPr>
        <w:t>四</w:t>
      </w:r>
      <w:r>
        <w:rPr>
          <w:rFonts w:asciiTheme="minorEastAsia" w:hAnsiTheme="minorEastAsia" w:eastAsiaTheme="minorEastAsia"/>
          <w:kern w:val="0"/>
          <w:szCs w:val="21"/>
        </w:rPr>
        <w:t>台</w:t>
      </w:r>
      <w:r>
        <w:rPr>
          <w:rFonts w:hint="eastAsia" w:asciiTheme="minorEastAsia" w:hAnsiTheme="minorEastAsia" w:eastAsiaTheme="minorEastAsia"/>
          <w:kern w:val="0"/>
          <w:szCs w:val="21"/>
        </w:rPr>
        <w:t>不同型号的</w:t>
      </w:r>
      <w:r>
        <w:rPr>
          <w:rFonts w:asciiTheme="minorEastAsia" w:hAnsiTheme="minorEastAsia" w:eastAsiaTheme="minorEastAsia"/>
          <w:kern w:val="0"/>
          <w:szCs w:val="21"/>
        </w:rPr>
        <w:t>非接触全自动扫描设备</w:t>
      </w:r>
      <w:r>
        <w:rPr>
          <w:rFonts w:hint="eastAsia" w:asciiTheme="minorEastAsia" w:hAnsiTheme="minorEastAsia" w:eastAsiaTheme="minorEastAsia"/>
          <w:kern w:val="0"/>
          <w:szCs w:val="21"/>
        </w:rPr>
        <w:t>，（包含了不同探头尺寸、选择不同参考面以及不同的取样间距和不同的设备精度</w:t>
      </w:r>
      <w:r>
        <w:rPr>
          <w:rFonts w:asciiTheme="minorEastAsia" w:hAnsiTheme="minorEastAsia" w:eastAsiaTheme="minorEastAsia"/>
          <w:kern w:val="0"/>
          <w:szCs w:val="21"/>
        </w:rPr>
        <w:t>），对直径200mm，翘曲度分布在1</w:t>
      </w:r>
      <w:r>
        <w:rPr>
          <w:rFonts w:hint="eastAsia" w:asciiTheme="minorEastAsia" w:hAnsiTheme="minorEastAsia" w:eastAsiaTheme="minorEastAsia"/>
          <w:kern w:val="0"/>
          <w:szCs w:val="21"/>
        </w:rPr>
        <w:t>2</w:t>
      </w:r>
      <w:r>
        <w:rPr>
          <w:rFonts w:asciiTheme="minorEastAsia" w:hAnsiTheme="minorEastAsia" w:eastAsiaTheme="minorEastAsia"/>
          <w:kern w:val="0"/>
          <w:szCs w:val="21"/>
        </w:rPr>
        <w:t>μm -</w:t>
      </w:r>
      <w:r>
        <w:rPr>
          <w:rFonts w:hint="eastAsia" w:asciiTheme="minorEastAsia" w:hAnsiTheme="minorEastAsia" w:eastAsiaTheme="minorEastAsia"/>
          <w:kern w:val="0"/>
          <w:szCs w:val="21"/>
        </w:rPr>
        <w:t>72</w:t>
      </w:r>
      <w:r>
        <w:rPr>
          <w:rFonts w:asciiTheme="minorEastAsia" w:hAnsiTheme="minorEastAsia" w:eastAsiaTheme="minorEastAsia"/>
          <w:kern w:val="0"/>
          <w:szCs w:val="21"/>
        </w:rPr>
        <w:t>μm</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片硅片进行了每片3次的重复性测试，同一片在同一基准面的测试标准偏差</w:t>
      </w:r>
      <w:r>
        <w:rPr>
          <w:rFonts w:asciiTheme="minorEastAsia" w:hAnsiTheme="minorEastAsia" w:eastAsiaTheme="minorEastAsia"/>
          <w:kern w:val="0"/>
          <w:szCs w:val="21"/>
        </w:rPr>
        <w:t>&lt;1.5</w:t>
      </w:r>
      <w:r>
        <w:rPr>
          <w:rFonts w:hint="eastAsia" w:asciiTheme="minorEastAsia" w:hAnsiTheme="minorEastAsia" w:eastAsiaTheme="minorEastAsia"/>
          <w:kern w:val="0"/>
          <w:szCs w:val="21"/>
        </w:rPr>
        <w:t>μm。</w:t>
      </w:r>
      <w:r>
        <w:rPr>
          <w:rFonts w:asciiTheme="minorEastAsia" w:hAnsiTheme="minorEastAsia" w:eastAsiaTheme="minorEastAsia"/>
          <w:kern w:val="0"/>
          <w:szCs w:val="21"/>
        </w:rPr>
        <w:t>使用</w:t>
      </w:r>
      <w:r>
        <w:rPr>
          <w:rFonts w:hint="eastAsia" w:asciiTheme="minorEastAsia" w:hAnsiTheme="minorEastAsia" w:eastAsiaTheme="minorEastAsia"/>
          <w:kern w:val="0"/>
          <w:szCs w:val="21"/>
        </w:rPr>
        <w:t>八</w:t>
      </w:r>
      <w:r>
        <w:rPr>
          <w:rFonts w:asciiTheme="minorEastAsia" w:hAnsiTheme="minorEastAsia" w:eastAsiaTheme="minorEastAsia"/>
          <w:kern w:val="0"/>
          <w:szCs w:val="21"/>
        </w:rPr>
        <w:t>台</w:t>
      </w:r>
      <w:r>
        <w:rPr>
          <w:rFonts w:hint="eastAsia" w:asciiTheme="minorEastAsia" w:hAnsiTheme="minorEastAsia" w:eastAsiaTheme="minorEastAsia"/>
          <w:kern w:val="0"/>
          <w:szCs w:val="21"/>
        </w:rPr>
        <w:t>不同型号的</w:t>
      </w:r>
      <w:r>
        <w:rPr>
          <w:rFonts w:asciiTheme="minorEastAsia" w:hAnsiTheme="minorEastAsia" w:eastAsiaTheme="minorEastAsia"/>
          <w:kern w:val="0"/>
          <w:szCs w:val="21"/>
        </w:rPr>
        <w:t>非</w:t>
      </w:r>
      <w:r>
        <w:rPr>
          <w:rFonts w:asciiTheme="minorEastAsia" w:hAnsiTheme="minorEastAsia" w:eastAsiaTheme="minorEastAsia"/>
          <w:kern w:val="0"/>
          <w:szCs w:val="20"/>
        </w:rPr>
        <w:t>接触全自动扫描设备</w:t>
      </w:r>
      <w:r>
        <w:rPr>
          <w:rFonts w:hint="eastAsia" w:asciiTheme="minorEastAsia" w:hAnsiTheme="minorEastAsia" w:eastAsiaTheme="minorEastAsia"/>
          <w:kern w:val="0"/>
          <w:szCs w:val="20"/>
        </w:rPr>
        <w:t>（包含了不同探头尺寸、选择不同参考面以及不同的取样间距和不同的设备精度）</w:t>
      </w:r>
      <w:r>
        <w:rPr>
          <w:rFonts w:asciiTheme="minorEastAsia" w:hAnsiTheme="minorEastAsia" w:eastAsiaTheme="minorEastAsia"/>
          <w:kern w:val="0"/>
          <w:szCs w:val="20"/>
        </w:rPr>
        <w:t>，对直径</w:t>
      </w:r>
      <w:r>
        <w:rPr>
          <w:rFonts w:hint="eastAsia" w:asciiTheme="minorEastAsia" w:hAnsiTheme="minorEastAsia" w:eastAsiaTheme="minorEastAsia"/>
          <w:kern w:val="0"/>
          <w:szCs w:val="20"/>
        </w:rPr>
        <w:t>15</w:t>
      </w:r>
      <w:r>
        <w:rPr>
          <w:rFonts w:asciiTheme="minorEastAsia" w:hAnsiTheme="minorEastAsia" w:eastAsiaTheme="minorEastAsia"/>
          <w:kern w:val="0"/>
          <w:szCs w:val="20"/>
        </w:rPr>
        <w:t>0mm</w:t>
      </w:r>
      <w:r>
        <w:rPr>
          <w:rFonts w:hint="eastAsia" w:asciiTheme="minorEastAsia" w:hAnsiTheme="minorEastAsia" w:eastAsiaTheme="minorEastAsia"/>
          <w:kern w:val="0"/>
          <w:szCs w:val="20"/>
        </w:rPr>
        <w:t>翘曲度</w:t>
      </w:r>
      <w:r>
        <w:rPr>
          <w:rFonts w:asciiTheme="minorEastAsia" w:hAnsiTheme="minorEastAsia" w:eastAsiaTheme="minorEastAsia"/>
          <w:kern w:val="0"/>
          <w:szCs w:val="20"/>
        </w:rPr>
        <w:t>在</w:t>
      </w:r>
      <w:r>
        <w:rPr>
          <w:rFonts w:hint="eastAsia" w:asciiTheme="minorEastAsia" w:hAnsiTheme="minorEastAsia" w:eastAsiaTheme="minorEastAsia"/>
          <w:kern w:val="0"/>
          <w:szCs w:val="20"/>
        </w:rPr>
        <w:t>3</w:t>
      </w:r>
      <w:r>
        <w:rPr>
          <w:rFonts w:asciiTheme="minorEastAsia" w:hAnsiTheme="minorEastAsia" w:eastAsiaTheme="minorEastAsia"/>
          <w:kern w:val="0"/>
          <w:szCs w:val="20"/>
        </w:rPr>
        <w:t xml:space="preserve">μm </w:t>
      </w:r>
      <w:r>
        <w:rPr>
          <w:rFonts w:hint="eastAsia" w:asciiTheme="minorEastAsia" w:hAnsiTheme="minorEastAsia" w:eastAsiaTheme="minorEastAsia"/>
          <w:kern w:val="0"/>
          <w:szCs w:val="20"/>
        </w:rPr>
        <w:t>至14</w:t>
      </w:r>
      <w:r>
        <w:rPr>
          <w:rFonts w:asciiTheme="minorEastAsia" w:hAnsiTheme="minorEastAsia" w:eastAsiaTheme="minorEastAsia"/>
          <w:kern w:val="0"/>
          <w:szCs w:val="20"/>
        </w:rPr>
        <w:t>μm</w:t>
      </w:r>
      <w:r>
        <w:rPr>
          <w:rFonts w:hint="eastAsia" w:asciiTheme="minorEastAsia" w:hAnsiTheme="minorEastAsia" w:eastAsiaTheme="minorEastAsia"/>
          <w:kern w:val="0"/>
          <w:szCs w:val="20"/>
        </w:rPr>
        <w:t>，弯曲度在-7</w:t>
      </w:r>
      <w:r>
        <w:rPr>
          <w:rFonts w:asciiTheme="minorEastAsia" w:hAnsiTheme="minorEastAsia" w:eastAsiaTheme="minorEastAsia"/>
          <w:kern w:val="0"/>
          <w:szCs w:val="20"/>
        </w:rPr>
        <w:t xml:space="preserve">μm </w:t>
      </w:r>
      <w:r>
        <w:rPr>
          <w:rFonts w:hint="eastAsia" w:asciiTheme="minorEastAsia" w:hAnsiTheme="minorEastAsia" w:eastAsiaTheme="minorEastAsia"/>
          <w:kern w:val="0"/>
          <w:szCs w:val="20"/>
        </w:rPr>
        <w:t>至7</w:t>
      </w:r>
      <w:r>
        <w:rPr>
          <w:rFonts w:asciiTheme="minorEastAsia" w:hAnsiTheme="minorEastAsia" w:eastAsiaTheme="minorEastAsia"/>
          <w:kern w:val="0"/>
          <w:szCs w:val="20"/>
        </w:rPr>
        <w:t>μm</w:t>
      </w:r>
      <w:r>
        <w:rPr>
          <w:rFonts w:hint="eastAsia" w:asciiTheme="minorEastAsia" w:hAnsiTheme="minorEastAsia" w:eastAsiaTheme="minorEastAsia"/>
          <w:kern w:val="0"/>
          <w:szCs w:val="20"/>
        </w:rPr>
        <w:t>范围的10个硅片进行了每片10次的重复性测试, 同一片在同一基准面的测试标准偏差</w:t>
      </w:r>
      <w:r>
        <w:rPr>
          <w:rFonts w:asciiTheme="minorEastAsia" w:hAnsiTheme="minorEastAsia" w:eastAsiaTheme="minorEastAsia"/>
          <w:kern w:val="0"/>
          <w:szCs w:val="20"/>
        </w:rPr>
        <w:t>&lt;1.</w:t>
      </w:r>
      <w:r>
        <w:rPr>
          <w:rFonts w:hint="eastAsia" w:asciiTheme="minorEastAsia" w:hAnsiTheme="minorEastAsia" w:eastAsiaTheme="minorEastAsia"/>
          <w:kern w:val="0"/>
          <w:szCs w:val="20"/>
        </w:rPr>
        <w:t>4μm；对同一硅片在同一基准面下测量的翘曲度最大差值</w:t>
      </w:r>
      <w:r>
        <w:rPr>
          <w:rFonts w:asciiTheme="minorEastAsia" w:hAnsiTheme="minorEastAsia" w:eastAsiaTheme="minorEastAsia"/>
          <w:kern w:val="0"/>
          <w:szCs w:val="20"/>
        </w:rPr>
        <w:t>&lt;</w:t>
      </w:r>
      <w:r>
        <w:rPr>
          <w:rFonts w:hint="eastAsia" w:asciiTheme="minorEastAsia" w:hAnsiTheme="minorEastAsia" w:eastAsiaTheme="minorEastAsia"/>
          <w:kern w:val="0"/>
          <w:szCs w:val="20"/>
        </w:rPr>
        <w:t>6μm；测量的翘曲度最大差值</w:t>
      </w:r>
      <w:r>
        <w:rPr>
          <w:rFonts w:asciiTheme="minorEastAsia" w:hAnsiTheme="minorEastAsia" w:eastAsiaTheme="minorEastAsia"/>
          <w:kern w:val="0"/>
          <w:szCs w:val="20"/>
        </w:rPr>
        <w:t>&lt;</w:t>
      </w:r>
      <w:r>
        <w:rPr>
          <w:rFonts w:hint="eastAsia" w:asciiTheme="minorEastAsia" w:hAnsiTheme="minorEastAsia" w:eastAsiaTheme="minorEastAsia"/>
          <w:kern w:val="0"/>
          <w:szCs w:val="20"/>
        </w:rPr>
        <w:t>6μm。</w:t>
      </w:r>
    </w:p>
    <w:p>
      <w:r>
        <w:rPr>
          <w:rFonts w:hint="eastAsia" w:ascii="Calibri" w:hAnsi="Calibri"/>
          <w:szCs w:val="22"/>
        </w:rPr>
        <w:t xml:space="preserve">    使用14片抛光片，在四个企业进行巡回测试，测量时使用不同的典型片和参考片进行校准和修正。翘曲度</w:t>
      </w:r>
      <w:r>
        <w:rPr>
          <w:rFonts w:hint="eastAsia"/>
        </w:rPr>
        <w:t>从5</w:t>
      </w:r>
      <w:r>
        <w:rPr>
          <w:rFonts w:hint="eastAsia" w:ascii="宋体" w:hAnsi="宋体"/>
        </w:rPr>
        <w:t>μ</w:t>
      </w:r>
      <w:r>
        <w:rPr>
          <w:rFonts w:hint="eastAsia"/>
        </w:rPr>
        <w:t>m到47</w:t>
      </w:r>
      <w:r>
        <w:rPr>
          <w:rFonts w:hint="eastAsia" w:ascii="宋体" w:hAnsi="宋体"/>
        </w:rPr>
        <w:t>μ</w:t>
      </w:r>
      <w:r>
        <w:rPr>
          <w:rFonts w:hint="eastAsia"/>
        </w:rPr>
        <w:t>m的14个片子，对同一片测量的标准偏差</w:t>
      </w:r>
      <w:r>
        <w:t>&lt;</w:t>
      </w:r>
      <w:r>
        <w:rPr>
          <w:rFonts w:hint="eastAsia"/>
        </w:rPr>
        <w:t>1.8μm，最大差值</w:t>
      </w:r>
      <w:r>
        <w:t>&lt;</w:t>
      </w:r>
      <w:r>
        <w:rPr>
          <w:rFonts w:hint="eastAsia"/>
        </w:rPr>
        <w:t>4μm。</w:t>
      </w:r>
    </w:p>
    <w:p>
      <w:pPr>
        <w:rPr>
          <w:rFonts w:ascii="Calibri" w:hAnsi="Calibri" w:cs="黑体"/>
          <w:szCs w:val="22"/>
        </w:rPr>
      </w:pPr>
      <w:r>
        <w:rPr>
          <w:rFonts w:hint="eastAsia" w:ascii="Calibri" w:hAnsi="Calibri" w:cs="黑体"/>
          <w:szCs w:val="22"/>
        </w:rPr>
        <w:t xml:space="preserve">    使用14片抛光片，</w:t>
      </w:r>
      <w:r>
        <w:rPr>
          <w:rFonts w:hint="eastAsia" w:ascii="Calibri" w:hAnsi="Calibri"/>
          <w:szCs w:val="22"/>
        </w:rPr>
        <w:t>在三个企业进行巡回测试，测量时使用不同的典型片和参考片进行校准和修正。弯曲度</w:t>
      </w:r>
      <w:r>
        <w:rPr>
          <w:rFonts w:hint="eastAsia" w:ascii="Calibri" w:hAnsi="Calibri" w:cs="黑体"/>
          <w:szCs w:val="22"/>
        </w:rPr>
        <w:t>从1μm到14μm的14个片子，同一片测量的标准偏差</w:t>
      </w:r>
      <w:r>
        <w:rPr>
          <w:rFonts w:ascii="Calibri" w:hAnsi="Calibri" w:cs="黑体"/>
          <w:szCs w:val="22"/>
        </w:rPr>
        <w:t>&lt;</w:t>
      </w:r>
      <w:r>
        <w:rPr>
          <w:rFonts w:hint="eastAsia" w:ascii="Calibri" w:hAnsi="Calibri" w:cs="黑体"/>
          <w:szCs w:val="22"/>
        </w:rPr>
        <w:t>0.</w:t>
      </w:r>
      <w:r>
        <w:rPr>
          <w:rFonts w:ascii="Calibri" w:hAnsi="Calibri" w:cs="黑体"/>
          <w:szCs w:val="22"/>
        </w:rPr>
        <w:t>3</w:t>
      </w:r>
      <w:r>
        <w:rPr>
          <w:rFonts w:hint="eastAsia" w:ascii="Calibri" w:hAnsi="Calibri" w:cs="黑体"/>
          <w:szCs w:val="22"/>
        </w:rPr>
        <w:t>μm，最大差值</w:t>
      </w:r>
      <w:r>
        <w:rPr>
          <w:rFonts w:ascii="Calibri" w:hAnsi="Calibri" w:cs="黑体"/>
          <w:szCs w:val="22"/>
        </w:rPr>
        <w:t>&lt;</w:t>
      </w:r>
      <w:r>
        <w:rPr>
          <w:rFonts w:hint="eastAsia" w:ascii="Calibri" w:hAnsi="Calibri" w:cs="黑体"/>
          <w:szCs w:val="22"/>
        </w:rPr>
        <w:t>0.5μm。</w:t>
      </w:r>
    </w:p>
    <w:p>
      <w:pPr>
        <w:rPr>
          <w:rFonts w:ascii="Calibri" w:hAnsi="Calibri"/>
          <w:szCs w:val="22"/>
        </w:rPr>
      </w:pPr>
      <w:r>
        <w:rPr>
          <w:rFonts w:hint="eastAsia" w:ascii="Calibri" w:hAnsi="Calibri" w:cs="黑体"/>
          <w:szCs w:val="22"/>
        </w:rPr>
        <w:t xml:space="preserve">    </w:t>
      </w:r>
      <w:r>
        <w:rPr>
          <w:rFonts w:hint="eastAsia" w:ascii="Calibri" w:hAnsi="Calibri"/>
          <w:szCs w:val="22"/>
        </w:rPr>
        <w:t>附录B中给出了SEMI MF 1390-0707中的精密度。</w:t>
      </w:r>
    </w:p>
    <w:p>
      <w:pPr>
        <w:pStyle w:val="45"/>
        <w:spacing w:before="312" w:after="312"/>
      </w:pPr>
      <w:bookmarkStart w:id="54" w:name="_Toc503281271"/>
      <w:r>
        <w:rPr>
          <w:rFonts w:hint="eastAsia"/>
        </w:rPr>
        <w:t>报告</w:t>
      </w:r>
      <w:bookmarkEnd w:id="54"/>
    </w:p>
    <w:p>
      <w:pPr>
        <w:rPr>
          <w:rFonts w:ascii="宋体" w:hAnsi="宋体"/>
          <w:szCs w:val="21"/>
        </w:rPr>
      </w:pPr>
      <w:r>
        <w:rPr>
          <w:rFonts w:hint="eastAsia" w:ascii="宋体" w:hAnsi="宋体"/>
          <w:szCs w:val="21"/>
        </w:rPr>
        <w:t>试验报告应包含以下内容：</w:t>
      </w:r>
    </w:p>
    <w:p>
      <w:pPr>
        <w:rPr>
          <w:rFonts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测试日期、时间；</w:t>
      </w:r>
    </w:p>
    <w:p>
      <w:pPr>
        <w:rPr>
          <w:rFonts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测试环境；</w:t>
      </w:r>
    </w:p>
    <w:p>
      <w:pPr>
        <w:rPr>
          <w:rFonts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操作者；</w:t>
      </w:r>
    </w:p>
    <w:p>
      <w:pPr>
        <w:rPr>
          <w:rFonts w:ascii="宋体" w:hAnsi="宋体"/>
          <w:szCs w:val="21"/>
        </w:rPr>
      </w:pPr>
      <w:r>
        <w:rPr>
          <w:rFonts w:hint="eastAsia" w:ascii="宋体" w:hAnsi="宋体"/>
          <w:szCs w:val="21"/>
        </w:rPr>
        <w:t>d)</w:t>
      </w:r>
      <w:r>
        <w:rPr>
          <w:rFonts w:hint="eastAsia" w:ascii="宋体" w:hAnsi="宋体"/>
          <w:szCs w:val="21"/>
        </w:rPr>
        <w:tab/>
      </w:r>
      <w:r>
        <w:rPr>
          <w:rFonts w:hint="eastAsia" w:ascii="宋体" w:hAnsi="宋体"/>
          <w:szCs w:val="21"/>
        </w:rPr>
        <w:t>测试实验室；</w:t>
      </w:r>
    </w:p>
    <w:p>
      <w:pPr>
        <w:rPr>
          <w:rFonts w:ascii="宋体" w:hAnsi="宋体"/>
          <w:szCs w:val="21"/>
        </w:rPr>
      </w:pPr>
      <w:r>
        <w:rPr>
          <w:rFonts w:hint="eastAsia" w:ascii="宋体" w:hAnsi="宋体"/>
          <w:szCs w:val="21"/>
        </w:rPr>
        <w:t>e)</w:t>
      </w:r>
      <w:r>
        <w:rPr>
          <w:rFonts w:hint="eastAsia" w:ascii="宋体" w:hAnsi="宋体"/>
          <w:szCs w:val="21"/>
        </w:rPr>
        <w:tab/>
      </w:r>
      <w:r>
        <w:rPr>
          <w:rFonts w:hint="eastAsia" w:ascii="宋体" w:hAnsi="宋体"/>
          <w:szCs w:val="21"/>
        </w:rPr>
        <w:t>测试设备，包括晶片夹持装置的直径、数据点间距、传感器尺寸、重力修正方法；</w:t>
      </w:r>
    </w:p>
    <w:p>
      <w:pPr>
        <w:rPr>
          <w:rFonts w:ascii="宋体" w:hAnsi="宋体"/>
          <w:szCs w:val="21"/>
        </w:rPr>
      </w:pPr>
      <w:r>
        <w:rPr>
          <w:rFonts w:hint="eastAsia" w:ascii="宋体" w:hAnsi="宋体"/>
          <w:szCs w:val="21"/>
        </w:rPr>
        <w:t>f)</w:t>
      </w:r>
      <w:r>
        <w:rPr>
          <w:rFonts w:hint="eastAsia" w:ascii="宋体" w:hAnsi="宋体"/>
          <w:szCs w:val="21"/>
        </w:rPr>
        <w:tab/>
      </w:r>
      <w:r>
        <w:rPr>
          <w:rFonts w:hint="eastAsia" w:ascii="宋体" w:hAnsi="宋体"/>
          <w:szCs w:val="21"/>
        </w:rPr>
        <w:t>测试晶片信息：包括晶片编号、直径、标称厚度、规定的边缘去除区域 EE；</w:t>
      </w:r>
    </w:p>
    <w:p>
      <w:pPr>
        <w:rPr>
          <w:rFonts w:ascii="宋体" w:hAnsi="宋体"/>
          <w:szCs w:val="21"/>
        </w:rPr>
      </w:pPr>
      <w:r>
        <w:rPr>
          <w:rFonts w:hint="eastAsia" w:ascii="宋体" w:hAnsi="宋体"/>
          <w:szCs w:val="21"/>
        </w:rPr>
        <w:t>g)</w:t>
      </w:r>
      <w:r>
        <w:rPr>
          <w:rFonts w:hint="eastAsia" w:ascii="宋体" w:hAnsi="宋体"/>
          <w:szCs w:val="21"/>
        </w:rPr>
        <w:tab/>
      </w:r>
      <w:r>
        <w:rPr>
          <w:rFonts w:hint="eastAsia" w:ascii="宋体" w:hAnsi="宋体"/>
          <w:szCs w:val="21"/>
        </w:rPr>
        <w:t>翘曲度和弯曲度测试结果；</w:t>
      </w:r>
    </w:p>
    <w:p>
      <w:pPr>
        <w:rPr>
          <w:rFonts w:ascii="宋体" w:hAnsi="宋体"/>
          <w:szCs w:val="21"/>
        </w:rPr>
      </w:pPr>
      <w:r>
        <w:rPr>
          <w:rFonts w:hint="eastAsia" w:ascii="宋体" w:hAnsi="宋体"/>
          <w:szCs w:val="21"/>
        </w:rPr>
        <w:t>h)</w:t>
      </w:r>
      <w:r>
        <w:rPr>
          <w:rFonts w:hint="eastAsia" w:ascii="宋体" w:hAnsi="宋体"/>
          <w:szCs w:val="21"/>
        </w:rPr>
        <w:tab/>
      </w:r>
      <w:r>
        <w:rPr>
          <w:rFonts w:hint="eastAsia" w:ascii="宋体" w:hAnsi="宋体"/>
          <w:szCs w:val="21"/>
        </w:rPr>
        <w:t xml:space="preserve">如作为仲裁测试，试验报告应包含测试晶片的标准偏差、测量统计信息以及测试双方约定的内容； </w:t>
      </w:r>
    </w:p>
    <w:p>
      <w:pPr>
        <w:rPr>
          <w:rFonts w:ascii="宋体" w:hAnsi="宋体"/>
          <w:szCs w:val="21"/>
        </w:rPr>
      </w:pPr>
      <w:r>
        <w:rPr>
          <w:rFonts w:hint="eastAsia" w:ascii="宋体" w:hAnsi="宋体"/>
          <w:szCs w:val="21"/>
        </w:rPr>
        <w:t>i)</w:t>
      </w:r>
      <w:r>
        <w:rPr>
          <w:rFonts w:hint="eastAsia" w:ascii="宋体" w:hAnsi="宋体"/>
          <w:szCs w:val="21"/>
        </w:rPr>
        <w:tab/>
      </w:r>
      <w:r>
        <w:rPr>
          <w:rFonts w:hint="eastAsia" w:ascii="宋体" w:hAnsi="宋体"/>
          <w:szCs w:val="21"/>
        </w:rPr>
        <w:t>本标准编号。</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84"/>
      </w:pPr>
      <w:r>
        <w:br w:type="textWrapping"/>
      </w:r>
      <w:r>
        <w:rPr>
          <w:rFonts w:hint="eastAsia"/>
        </w:rPr>
        <w:t>（资料性附录）</w:t>
      </w:r>
      <w:r>
        <w:br w:type="textWrapping"/>
      </w:r>
      <w:r>
        <w:rPr>
          <w:rFonts w:hint="eastAsia"/>
        </w:rPr>
        <w:t>典型片和被测晶片间由于直径和厚度的差异带来的测量误差</w:t>
      </w:r>
    </w:p>
    <w:p>
      <w:pPr>
        <w:pStyle w:val="102"/>
        <w:spacing w:before="312" w:after="312"/>
        <w:rPr>
          <w:rFonts w:ascii="宋体" w:hAnsi="宋体" w:eastAsia="宋体"/>
          <w:kern w:val="0"/>
        </w:rPr>
      </w:pPr>
      <w:r>
        <w:rPr>
          <w:rFonts w:hint="eastAsia" w:ascii="宋体" w:hAnsi="宋体" w:eastAsia="宋体"/>
          <w:kern w:val="0"/>
        </w:rPr>
        <w:t>支撑硅片的中心，边缘由于重力下垂或倾斜引起的偏差按公式A.1计算：</w:t>
      </w:r>
    </w:p>
    <w:p>
      <w:pPr>
        <w:autoSpaceDE w:val="0"/>
        <w:autoSpaceDN w:val="0"/>
        <w:adjustRightInd w:val="0"/>
        <w:jc w:val="right"/>
        <w:rPr>
          <w:rFonts w:ascii="宋体" w:hAnsi="宋体"/>
          <w:iCs/>
          <w:color w:val="000000"/>
          <w:kern w:val="0"/>
          <w:szCs w:val="21"/>
        </w:rPr>
      </w:pPr>
      <w:r>
        <w:rPr>
          <w:rFonts w:ascii="宋体" w:hAnsi="宋体"/>
          <w:iCs/>
          <w:color w:val="000000"/>
          <w:kern w:val="0"/>
          <w:position w:val="-26"/>
          <w:szCs w:val="21"/>
        </w:rPr>
        <w:object>
          <v:shape id="_x0000_i1037" o:spt="75" type="#_x0000_t75" style="height:34.5pt;width:145.5pt;" o:ole="t"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r>
        <w:rPr>
          <w:rFonts w:ascii="宋体" w:hAnsi="宋体"/>
          <w:iCs/>
          <w:color w:val="000000"/>
          <w:kern w:val="0"/>
          <w:szCs w:val="21"/>
        </w:rPr>
        <w:t>……………………………………………</w:t>
      </w:r>
      <w:r>
        <w:rPr>
          <w:rFonts w:hint="eastAsia" w:ascii="宋体" w:hAnsi="宋体"/>
          <w:iCs/>
          <w:color w:val="000000"/>
          <w:kern w:val="0"/>
          <w:szCs w:val="21"/>
        </w:rPr>
        <w:t>(A.1)</w:t>
      </w:r>
    </w:p>
    <w:p>
      <w:pPr>
        <w:pStyle w:val="23"/>
        <w:rPr>
          <w:iCs/>
        </w:rPr>
      </w:pPr>
      <w:r>
        <w:rPr>
          <w:rFonts w:hint="eastAsia"/>
          <w:iCs/>
        </w:rPr>
        <w:t>式中：</w:t>
      </w:r>
    </w:p>
    <w:p>
      <w:pPr>
        <w:pStyle w:val="23"/>
      </w:pPr>
      <w:bookmarkStart w:id="55" w:name="OLE_LINK32"/>
      <w:r>
        <w:rPr>
          <w:i/>
          <w:iCs/>
        </w:rPr>
        <w:t>s</w:t>
      </w:r>
      <w:r>
        <w:rPr>
          <w:rFonts w:hint="eastAsia"/>
        </w:rPr>
        <w:t xml:space="preserve">——偏差 </w:t>
      </w:r>
      <w:bookmarkStart w:id="56" w:name="OLE_LINK58"/>
      <w:bookmarkStart w:id="57" w:name="OLE_LINK59"/>
      <w:r>
        <w:rPr>
          <w:rFonts w:hint="eastAsia"/>
        </w:rPr>
        <w:t>，单位为微米（µm）；</w:t>
      </w:r>
      <w:bookmarkEnd w:id="56"/>
      <w:bookmarkEnd w:id="57"/>
    </w:p>
    <w:p>
      <w:pPr>
        <w:pStyle w:val="23"/>
      </w:pPr>
      <w:r>
        <w:rPr>
          <w:iCs/>
        </w:rPr>
        <w:t>k</w:t>
      </w:r>
      <w:r>
        <w:rPr>
          <w:rFonts w:hint="eastAsia"/>
        </w:rPr>
        <w:t>——几何常数，</w:t>
      </w:r>
      <w:r>
        <w:t>0.5854</w:t>
      </w:r>
      <w:r>
        <w:rPr>
          <w:rFonts w:hint="eastAsia"/>
        </w:rPr>
        <w:t>；</w:t>
      </w:r>
    </w:p>
    <w:p>
      <w:pPr>
        <w:pStyle w:val="23"/>
      </w:pPr>
      <w:r>
        <w:rPr>
          <w:iCs/>
        </w:rPr>
        <w:t>g</w:t>
      </w:r>
      <w:r>
        <w:rPr>
          <w:rFonts w:hint="eastAsia"/>
        </w:rPr>
        <w:t>——重力加速度</w:t>
      </w:r>
      <w:r>
        <w:t>(980 cm/s</w:t>
      </w:r>
      <w:r>
        <w:rPr>
          <w:vertAlign w:val="superscript"/>
        </w:rPr>
        <w:t>2</w:t>
      </w:r>
      <w:r>
        <w:t>)</w:t>
      </w:r>
      <w:r>
        <w:rPr>
          <w:rFonts w:hint="eastAsia"/>
        </w:rPr>
        <w:t>；</w:t>
      </w:r>
    </w:p>
    <w:p>
      <w:pPr>
        <w:pStyle w:val="23"/>
        <w:ind w:firstLine="0" w:firstLineChars="0"/>
      </w:pPr>
      <w:r>
        <w:rPr>
          <w:iCs/>
        </w:rPr>
        <w:t>d</w:t>
      </w:r>
      <w:r>
        <w:rPr>
          <w:rFonts w:hint="eastAsia"/>
        </w:rPr>
        <w:t>——硅片密度</w:t>
      </w:r>
      <w:r>
        <w:t>(2.329 g/cm</w:t>
      </w:r>
      <w:r>
        <w:rPr>
          <w:vertAlign w:val="superscript"/>
        </w:rPr>
        <w:t>3</w:t>
      </w:r>
      <w:r>
        <w:t>)</w:t>
      </w:r>
      <w:r>
        <w:rPr>
          <w:rFonts w:hint="eastAsia"/>
        </w:rPr>
        <w:t>；</w:t>
      </w:r>
    </w:p>
    <w:p>
      <w:pPr>
        <w:pStyle w:val="23"/>
      </w:pPr>
      <w:r>
        <w:rPr>
          <w:iCs/>
        </w:rPr>
        <w:t>E</w:t>
      </w:r>
      <w:r>
        <w:rPr>
          <w:rFonts w:hint="eastAsia"/>
        </w:rPr>
        <w:t>——杨氏模量，</w:t>
      </w:r>
      <w:r>
        <w:t>1.6</w:t>
      </w:r>
      <w:r>
        <w:rPr>
          <w:rFonts w:hint="eastAsia" w:cs="SymbolMT"/>
        </w:rPr>
        <w:t>×</w:t>
      </w:r>
      <w:r>
        <w:t>10</w:t>
      </w:r>
      <w:r>
        <w:rPr>
          <w:vertAlign w:val="superscript"/>
        </w:rPr>
        <w:t>12</w:t>
      </w:r>
      <w:r>
        <w:t xml:space="preserve"> </w:t>
      </w:r>
      <w:r>
        <w:rPr>
          <w:rFonts w:hint="eastAsia"/>
        </w:rPr>
        <w:t>达因</w:t>
      </w:r>
      <w:r>
        <w:t>/cm</w:t>
      </w:r>
      <w:r>
        <w:rPr>
          <w:vertAlign w:val="superscript"/>
        </w:rPr>
        <w:t>2</w:t>
      </w:r>
      <w:r>
        <w:rPr>
          <w:rFonts w:hint="eastAsia"/>
        </w:rPr>
        <w:t>；</w:t>
      </w:r>
    </w:p>
    <w:p>
      <w:pPr>
        <w:pStyle w:val="23"/>
      </w:pPr>
      <w:r>
        <w:rPr>
          <w:iCs/>
        </w:rPr>
        <w:t>D</w:t>
      </w:r>
      <w:r>
        <w:rPr>
          <w:rFonts w:hint="eastAsia"/>
        </w:rPr>
        <w:t>——硅片标称直径，单位为毫米（mm）；</w:t>
      </w:r>
    </w:p>
    <w:p>
      <w:pPr>
        <w:pStyle w:val="23"/>
      </w:pPr>
      <w:r>
        <w:rPr>
          <w:i/>
          <w:iCs/>
        </w:rPr>
        <w:t>t</w:t>
      </w:r>
      <w:r>
        <w:rPr>
          <w:rFonts w:hint="eastAsia"/>
        </w:rPr>
        <w:t>——硅片标称厚度，单位为微米（µm）；</w:t>
      </w:r>
    </w:p>
    <w:p>
      <w:pPr>
        <w:pStyle w:val="23"/>
      </w:pPr>
      <w:r>
        <w:rPr>
          <w:iCs/>
        </w:rPr>
        <w:t>K</w:t>
      </w:r>
      <w:r>
        <w:rPr>
          <w:rFonts w:hint="eastAsia"/>
        </w:rPr>
        <w:t>——比例常数，</w:t>
      </w:r>
      <w:r>
        <w:t xml:space="preserve">7.83 </w:t>
      </w:r>
      <w:r>
        <w:rPr>
          <w:rFonts w:hint="eastAsia" w:cs="SymbolMT"/>
        </w:rPr>
        <w:t>×</w:t>
      </w:r>
      <w:r>
        <w:rPr>
          <w:rFonts w:cs="SymbolMT"/>
        </w:rPr>
        <w:t xml:space="preserve"> </w:t>
      </w:r>
      <w:r>
        <w:t>10</w:t>
      </w:r>
      <w:r>
        <w:rPr>
          <w:rFonts w:hint="eastAsia" w:eastAsia="SymbolMT" w:cs="SymbolMT"/>
          <w:vertAlign w:val="superscript"/>
        </w:rPr>
        <w:t>−</w:t>
      </w:r>
      <w:r>
        <w:rPr>
          <w:vertAlign w:val="superscript"/>
        </w:rPr>
        <w:t>3</w:t>
      </w:r>
      <w:r>
        <w:t xml:space="preserve"> </w:t>
      </w:r>
      <w:r>
        <w:rPr>
          <w:rFonts w:hint="eastAsia" w:cs="SymbolMT"/>
        </w:rPr>
        <w:t>μ</w:t>
      </w:r>
      <w:r>
        <w:t>m</w:t>
      </w:r>
      <w:r>
        <w:rPr>
          <w:vertAlign w:val="superscript"/>
        </w:rPr>
        <w:t>3</w:t>
      </w:r>
      <w:r>
        <w:t>/mm</w:t>
      </w:r>
      <w:r>
        <w:rPr>
          <w:vertAlign w:val="superscript"/>
        </w:rPr>
        <w:t>4</w:t>
      </w:r>
      <w:r>
        <w:rPr>
          <w:rFonts w:hint="eastAsia"/>
        </w:rPr>
        <w:t>。</w:t>
      </w:r>
    </w:p>
    <w:bookmarkEnd w:id="55"/>
    <w:p>
      <w:pPr>
        <w:pStyle w:val="102"/>
        <w:spacing w:beforeLines="0" w:afterLines="0"/>
        <w:rPr>
          <w:rFonts w:hAnsi="宋体"/>
        </w:rPr>
      </w:pPr>
      <w:r>
        <w:rPr>
          <w:rFonts w:hint="eastAsia" w:ascii="宋体" w:hAnsi="宋体" w:eastAsia="宋体"/>
        </w:rPr>
        <w:t>表A.1给出了</w:t>
      </w:r>
      <w:r>
        <w:rPr>
          <w:rFonts w:ascii="宋体" w:hAnsi="宋体" w:eastAsia="宋体"/>
        </w:rPr>
        <w:t>SEMI M1-0812</w:t>
      </w:r>
      <w:r>
        <w:rPr>
          <w:rFonts w:hint="eastAsia" w:ascii="宋体" w:hAnsi="宋体" w:eastAsia="宋体"/>
        </w:rPr>
        <w:t>给出的100mm至300mm的标称直径和厚度硅片由于地球引力引入的下垂的估计值。</w:t>
      </w:r>
    </w:p>
    <w:p>
      <w:pPr>
        <w:pStyle w:val="87"/>
        <w:spacing w:before="156" w:after="156"/>
        <w:rPr>
          <w:kern w:val="0"/>
        </w:rPr>
      </w:pPr>
      <w:r>
        <w:rPr>
          <w:rFonts w:hint="eastAsia"/>
          <w:kern w:val="0"/>
        </w:rPr>
        <w:t>100mm～300mm标称直径和厚度硅片的下垂估计值</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011"/>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w:t>
            </w:r>
            <w:r>
              <w:rPr>
                <w:rFonts w:ascii="宋体" w:hAnsi="宋体" w:cs="Arial"/>
                <w:bCs/>
                <w:color w:val="000000"/>
                <w:kern w:val="0"/>
                <w:sz w:val="18"/>
                <w:szCs w:val="18"/>
              </w:rPr>
              <w:t>mm</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bookmarkStart w:id="58" w:name="OLE_LINK60"/>
            <w:bookmarkStart w:id="59" w:name="OLE_LINK63"/>
            <w:bookmarkStart w:id="60" w:name="OLE_LINK61"/>
            <w:bookmarkStart w:id="61" w:name="OLE_LINK62"/>
            <w:r>
              <w:rPr>
                <w:rFonts w:hint="eastAsia" w:ascii="宋体" w:hAnsi="宋体" w:cs="Arial"/>
                <w:bCs/>
                <w:color w:val="000000"/>
                <w:kern w:val="0"/>
                <w:sz w:val="18"/>
                <w:szCs w:val="18"/>
              </w:rPr>
              <w:t>，µ</w:t>
            </w:r>
            <w:r>
              <w:rPr>
                <w:rFonts w:ascii="宋体" w:hAnsi="宋体" w:cs="Arial"/>
                <w:bCs/>
                <w:color w:val="000000"/>
                <w:kern w:val="0"/>
                <w:sz w:val="18"/>
                <w:szCs w:val="18"/>
              </w:rPr>
              <w:t>m</w:t>
            </w:r>
            <w:bookmarkEnd w:id="58"/>
            <w:bookmarkEnd w:id="59"/>
            <w:bookmarkEnd w:id="60"/>
            <w:bookmarkEnd w:id="61"/>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估计下垂值，µ</w:t>
            </w:r>
            <w:r>
              <w:rPr>
                <w:rFonts w:ascii="宋体" w:hAnsi="宋体" w:cs="Arial"/>
                <w:bCs/>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300</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775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200</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725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150</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675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150</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625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125</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625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100</w:t>
            </w:r>
          </w:p>
        </w:tc>
        <w:tc>
          <w:tcPr>
            <w:tcW w:w="1573"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525</w:t>
            </w:r>
          </w:p>
        </w:tc>
        <w:tc>
          <w:tcPr>
            <w:tcW w:w="1892" w:type="pct"/>
            <w:vAlign w:val="center"/>
          </w:tcPr>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2.8</w:t>
            </w:r>
          </w:p>
        </w:tc>
      </w:tr>
    </w:tbl>
    <w:p>
      <w:pPr>
        <w:autoSpaceDE w:val="0"/>
        <w:autoSpaceDN w:val="0"/>
        <w:adjustRightInd w:val="0"/>
        <w:jc w:val="left"/>
        <w:rPr>
          <w:rFonts w:ascii="宋体" w:hAnsi="宋体"/>
          <w:color w:val="000000"/>
          <w:kern w:val="0"/>
          <w:szCs w:val="21"/>
        </w:rPr>
      </w:pPr>
    </w:p>
    <w:p>
      <w:pPr>
        <w:autoSpaceDE w:val="0"/>
        <w:autoSpaceDN w:val="0"/>
        <w:adjustRightInd w:val="0"/>
        <w:ind w:left="708" w:leftChars="67" w:hanging="567" w:hangingChars="270"/>
        <w:jc w:val="left"/>
        <w:rPr>
          <w:rFonts w:ascii="宋体" w:hAnsi="宋体"/>
          <w:color w:val="000000"/>
          <w:kern w:val="0"/>
          <w:szCs w:val="21"/>
        </w:rPr>
      </w:pPr>
      <w:r>
        <w:rPr>
          <w:rFonts w:hint="eastAsia" w:ascii="宋体" w:hAnsi="宋体"/>
        </w:rPr>
        <w:t>表</w:t>
      </w:r>
      <w:r>
        <w:rPr>
          <w:rFonts w:ascii="宋体" w:hAnsi="宋体"/>
        </w:rPr>
        <w:t>A.2</w:t>
      </w:r>
      <w:r>
        <w:rPr>
          <w:rFonts w:hint="eastAsia" w:ascii="宋体" w:hAnsi="宋体"/>
        </w:rPr>
        <w:t>给出了重力影响下直径和厚度的标称值的微小相对变化。从公式A.2可以得到重力引起的直径的变化</w:t>
      </w:r>
      <w:bookmarkStart w:id="62" w:name="OLE_LINK29"/>
      <w:bookmarkStart w:id="63" w:name="OLE_LINK28"/>
      <w:r>
        <w:rPr>
          <w:rFonts w:hint="eastAsia" w:ascii="宋体" w:hAnsi="宋体"/>
        </w:rPr>
        <w:t>。从公式A.3可以得到重力引起的厚度的相对变化。</w:t>
      </w:r>
      <w:r>
        <w:rPr>
          <w:rFonts w:ascii="宋体" w:hAnsi="宋体"/>
        </w:rPr>
        <w:t xml:space="preserve"> </w:t>
      </w:r>
      <w:r>
        <w:rPr>
          <w:rFonts w:hint="eastAsia" w:ascii="宋体" w:hAnsi="宋体"/>
        </w:rPr>
        <w:t xml:space="preserve">    </w:t>
      </w:r>
      <w:bookmarkEnd w:id="62"/>
      <w:bookmarkEnd w:id="63"/>
      <w:bookmarkStart w:id="64" w:name="OLE_LINK30"/>
      <w:bookmarkStart w:id="65" w:name="OLE_LINK31"/>
      <w:bookmarkStart w:id="66" w:name="OLE_LINK25"/>
      <w:bookmarkStart w:id="67" w:name="OLE_LINK24"/>
      <w:r>
        <w:rPr>
          <w:rFonts w:hint="eastAsia" w:ascii="宋体" w:hAnsi="宋体"/>
        </w:rPr>
        <w:t xml:space="preserve">       </w:t>
      </w:r>
      <w:r>
        <w:rPr>
          <w:rFonts w:ascii="宋体" w:hAnsi="宋体"/>
          <w:color w:val="000000"/>
          <w:kern w:val="0"/>
          <w:position w:val="-26"/>
          <w:szCs w:val="21"/>
        </w:rPr>
        <w:object>
          <v:shape id="_x0000_i1038" o:spt="75" type="#_x0000_t75" style="height:33pt;width:68.25pt;" o:ole="t" filled="f" o:preferrelative="t" stroked="f" coordsize="21600,21600">
            <v:path/>
            <v:fill on="f" focussize="0,0"/>
            <v:stroke on="f" joinstyle="miter"/>
            <v:imagedata r:id="rId37" o:title=""/>
            <o:lock v:ext="edit" aspectratio="t"/>
            <w10:wrap type="none"/>
            <w10:anchorlock/>
          </v:shape>
          <o:OLEObject Type="Embed" ProgID="Equation.3" ShapeID="_x0000_i1038" DrawAspect="Content" ObjectID="_1468075738" r:id="rId36">
            <o:LockedField>false</o:LockedField>
          </o:OLEObject>
        </w:object>
      </w:r>
      <w:bookmarkEnd w:id="64"/>
      <w:bookmarkEnd w:id="65"/>
      <w:r>
        <w:rPr>
          <w:rFonts w:ascii="宋体" w:hAnsi="宋体"/>
          <w:color w:val="000000"/>
          <w:kern w:val="0"/>
          <w:szCs w:val="21"/>
        </w:rPr>
        <w:t>……………………………………………………</w:t>
      </w:r>
      <w:r>
        <w:rPr>
          <w:rFonts w:hint="eastAsia" w:ascii="宋体" w:hAnsi="宋体"/>
          <w:color w:val="000000"/>
          <w:kern w:val="0"/>
          <w:szCs w:val="21"/>
        </w:rPr>
        <w:t>(A.2)</w:t>
      </w:r>
    </w:p>
    <w:p>
      <w:pPr>
        <w:autoSpaceDE w:val="0"/>
        <w:autoSpaceDN w:val="0"/>
        <w:adjustRightInd w:val="0"/>
        <w:ind w:right="210" w:firstLine="735" w:firstLineChars="350"/>
        <w:jc w:val="left"/>
        <w:rPr>
          <w:rFonts w:ascii="宋体" w:hAnsi="宋体"/>
          <w:color w:val="000000"/>
          <w:kern w:val="0"/>
          <w:szCs w:val="21"/>
        </w:rPr>
      </w:pPr>
      <w:r>
        <w:rPr>
          <w:rFonts w:ascii="宋体" w:hAnsi="宋体"/>
          <w:color w:val="000000"/>
          <w:kern w:val="0"/>
          <w:position w:val="-24"/>
          <w:szCs w:val="21"/>
        </w:rPr>
        <w:object>
          <v:shape id="_x0000_i1039" o:spt="75" type="#_x0000_t75" style="height:32.25pt;width:72.75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ascii="宋体" w:hAnsi="宋体"/>
          <w:color w:val="000000"/>
          <w:kern w:val="0"/>
          <w:szCs w:val="21"/>
        </w:rPr>
        <w:t>……………………………………………………</w:t>
      </w:r>
      <w:r>
        <w:rPr>
          <w:rFonts w:hint="eastAsia" w:ascii="宋体" w:hAnsi="宋体"/>
          <w:color w:val="000000"/>
          <w:kern w:val="0"/>
          <w:szCs w:val="21"/>
        </w:rPr>
        <w:t>(A.3)</w:t>
      </w:r>
    </w:p>
    <w:bookmarkEnd w:id="66"/>
    <w:bookmarkEnd w:id="67"/>
    <w:p>
      <w:pPr>
        <w:autoSpaceDE w:val="0"/>
        <w:autoSpaceDN w:val="0"/>
        <w:adjustRightInd w:val="0"/>
        <w:ind w:right="210" w:firstLine="735" w:firstLineChars="350"/>
        <w:jc w:val="right"/>
        <w:rPr>
          <w:rFonts w:ascii="宋体" w:hAnsi="宋体"/>
          <w:color w:val="000000"/>
          <w:kern w:val="0"/>
          <w:szCs w:val="21"/>
        </w:rPr>
      </w:pPr>
    </w:p>
    <w:p>
      <w:pPr>
        <w:autoSpaceDE w:val="0"/>
        <w:autoSpaceDN w:val="0"/>
        <w:adjustRightInd w:val="0"/>
        <w:ind w:firstLine="315" w:firstLineChars="150"/>
        <w:jc w:val="left"/>
        <w:rPr>
          <w:rFonts w:ascii="宋体" w:hAnsi="宋体"/>
          <w:color w:val="000000"/>
          <w:kern w:val="0"/>
          <w:szCs w:val="21"/>
        </w:rPr>
      </w:pPr>
      <w:r>
        <w:rPr>
          <w:rFonts w:hint="eastAsia" w:ascii="宋体" w:hAnsi="宋体"/>
          <w:color w:val="000000"/>
          <w:kern w:val="0"/>
          <w:szCs w:val="21"/>
        </w:rPr>
        <w:t>从公式A.4得到：重力效应的相对变化是直径相对变化的4倍，从公式A.5得到重力效应的相对变化是厚度相对变化的2倍。</w:t>
      </w:r>
    </w:p>
    <w:p>
      <w:pPr>
        <w:autoSpaceDE w:val="0"/>
        <w:autoSpaceDN w:val="0"/>
        <w:adjustRightInd w:val="0"/>
        <w:ind w:firstLine="630" w:firstLineChars="300"/>
        <w:jc w:val="left"/>
        <w:rPr>
          <w:rFonts w:ascii="宋体" w:hAnsi="宋体"/>
          <w:color w:val="000000"/>
          <w:kern w:val="0"/>
          <w:szCs w:val="21"/>
        </w:rPr>
      </w:pPr>
      <w:r>
        <w:rPr>
          <w:rFonts w:ascii="宋体" w:hAnsi="宋体"/>
          <w:color w:val="000000"/>
          <w:kern w:val="0"/>
          <w:position w:val="-24"/>
          <w:szCs w:val="21"/>
        </w:rPr>
        <w:object>
          <v:shape id="_x0000_i1040" o:spt="75" type="#_x0000_t75" style="height:31.5pt;width:60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r>
        <w:rPr>
          <w:rFonts w:ascii="宋体" w:hAnsi="宋体"/>
          <w:color w:val="000000"/>
          <w:kern w:val="0"/>
          <w:szCs w:val="21"/>
        </w:rPr>
        <w:t>……………………………………………………</w:t>
      </w:r>
      <w:r>
        <w:rPr>
          <w:rFonts w:hint="eastAsia" w:ascii="宋体" w:hAnsi="宋体"/>
          <w:color w:val="000000"/>
          <w:kern w:val="0"/>
          <w:szCs w:val="21"/>
        </w:rPr>
        <w:t>(A.4)</w:t>
      </w:r>
    </w:p>
    <w:p>
      <w:pPr>
        <w:autoSpaceDE w:val="0"/>
        <w:autoSpaceDN w:val="0"/>
        <w:adjustRightInd w:val="0"/>
        <w:ind w:firstLine="630" w:firstLineChars="300"/>
        <w:jc w:val="left"/>
        <w:rPr>
          <w:rFonts w:ascii="宋体" w:hAnsi="宋体"/>
          <w:color w:val="000000"/>
          <w:kern w:val="0"/>
          <w:szCs w:val="21"/>
        </w:rPr>
      </w:pPr>
      <w:r>
        <w:rPr>
          <w:rFonts w:ascii="宋体" w:hAnsi="宋体"/>
          <w:color w:val="000000"/>
          <w:kern w:val="0"/>
          <w:position w:val="-24"/>
          <w:szCs w:val="21"/>
        </w:rPr>
        <w:object>
          <v:shape id="_x0000_i1041" o:spt="75" type="#_x0000_t75" style="height:31.5pt;width:66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rPr>
          <w:rFonts w:ascii="宋体" w:hAnsi="宋体"/>
          <w:color w:val="000000"/>
          <w:kern w:val="0"/>
          <w:szCs w:val="21"/>
        </w:rPr>
        <w:t>……………………………………………………</w:t>
      </w:r>
      <w:r>
        <w:rPr>
          <w:rFonts w:hint="eastAsia" w:ascii="宋体" w:hAnsi="宋体"/>
          <w:color w:val="000000"/>
          <w:kern w:val="0"/>
          <w:szCs w:val="21"/>
        </w:rPr>
        <w:t>(A.5)</w:t>
      </w:r>
    </w:p>
    <w:p>
      <w:pPr>
        <w:autoSpaceDE w:val="0"/>
        <w:autoSpaceDN w:val="0"/>
        <w:adjustRightInd w:val="0"/>
        <w:ind w:firstLine="735" w:firstLineChars="350"/>
        <w:jc w:val="left"/>
        <w:rPr>
          <w:rFonts w:ascii="宋体" w:hAnsi="宋体"/>
          <w:color w:val="000000"/>
          <w:kern w:val="0"/>
          <w:szCs w:val="21"/>
        </w:rPr>
      </w:pPr>
    </w:p>
    <w:p>
      <w:pPr>
        <w:pStyle w:val="23"/>
        <w:ind w:firstLine="315" w:firstLineChars="150"/>
      </w:pPr>
      <w:r>
        <w:rPr>
          <w:rFonts w:hint="eastAsia"/>
        </w:rPr>
        <w:t>表A.2 给出了最坏情况下，100mm～300mm标称直径硅片的直径和厚度的允许偏差范围内重力效应的误差。</w:t>
      </w:r>
    </w:p>
    <w:p>
      <w:pPr>
        <w:pStyle w:val="87"/>
        <w:spacing w:before="156" w:after="156"/>
        <w:rPr>
          <w:kern w:val="0"/>
        </w:rPr>
      </w:pPr>
      <w:r>
        <w:rPr>
          <w:rFonts w:hint="eastAsia"/>
          <w:kern w:val="0"/>
        </w:rPr>
        <w:t>重力影响的误差示例</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96"/>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300mm直径硅片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直径，mm</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299.8</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300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p>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755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3.90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5.67</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775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-1.68</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795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-6.84</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-5.25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200mm直径硅片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直径，mm</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199.8</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200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p>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705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0.77</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1.37</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725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-0.57</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745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-0.52</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-1.26</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150mm直径硅片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直径，mm</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149.8</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655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0.49</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0.54</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675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vAlign w:val="center"/>
          </w:tcPr>
          <w:p>
            <w:pPr>
              <w:autoSpaceDE w:val="0"/>
              <w:autoSpaceDN w:val="0"/>
              <w:adjustRightInd w:val="0"/>
              <w:jc w:val="center"/>
              <w:rPr>
                <w:rFonts w:ascii="宋体" w:hAnsi="宋体" w:cs="Arial"/>
                <w:bCs/>
                <w:color w:val="000000"/>
                <w:kern w:val="0"/>
                <w:sz w:val="18"/>
                <w:szCs w:val="18"/>
              </w:rPr>
            </w:pPr>
          </w:p>
        </w:tc>
        <w:tc>
          <w:tcPr>
            <w:tcW w:w="625"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695</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-0.54</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-0.49</w:t>
            </w:r>
          </w:p>
        </w:tc>
        <w:tc>
          <w:tcPr>
            <w:tcW w:w="1250" w:type="pct"/>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 mm</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149.8</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610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0.51</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625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640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-0.52</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-0.47</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125mm直径硅片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直径，mm</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124.5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125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p>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605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0.33</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625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-0.08</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645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-0.37</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-0.30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100mm直径硅片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直径，mm</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99.5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100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重力引入误差，µm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厚度</w:t>
            </w:r>
          </w:p>
          <w:p>
            <w:pPr>
              <w:autoSpaceDE w:val="0"/>
              <w:autoSpaceDN w:val="0"/>
              <w:adjustRightInd w:val="0"/>
              <w:jc w:val="center"/>
              <w:rPr>
                <w:rFonts w:ascii="宋体" w:hAnsi="宋体" w:cs="Arial"/>
                <w:bCs/>
                <w:color w:val="000000"/>
                <w:kern w:val="0"/>
                <w:sz w:val="18"/>
                <w:szCs w:val="18"/>
              </w:rPr>
            </w:pPr>
            <w:r>
              <w:rPr>
                <w:rFonts w:ascii="宋体" w:hAnsi="宋体" w:cs="Arial"/>
                <w:bCs/>
                <w:color w:val="000000"/>
                <w:kern w:val="0"/>
                <w:sz w:val="18"/>
                <w:szCs w:val="18"/>
              </w:rPr>
              <w:t>µ</w:t>
            </w:r>
            <w:r>
              <w:rPr>
                <w:rFonts w:hint="eastAsia" w:ascii="宋体" w:hAnsi="宋体" w:cs="Arial"/>
                <w:bCs/>
                <w:color w:val="000000"/>
                <w:kern w:val="0"/>
                <w:sz w:val="18"/>
                <w:szCs w:val="18"/>
              </w:rPr>
              <w:t>m</w:t>
            </w: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505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0.17</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0.23</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525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-0.06</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Cs/>
                <w:color w:val="000000"/>
                <w:kern w:val="0"/>
                <w:sz w:val="18"/>
                <w:szCs w:val="18"/>
              </w:rPr>
            </w:pPr>
          </w:p>
        </w:tc>
        <w:tc>
          <w:tcPr>
            <w:tcW w:w="6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545</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-0.26</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-0.20</w:t>
            </w:r>
          </w:p>
        </w:tc>
        <w:tc>
          <w:tcPr>
            <w:tcW w:w="12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Cs/>
                <w:color w:val="000000"/>
                <w:kern w:val="0"/>
                <w:sz w:val="18"/>
                <w:szCs w:val="18"/>
              </w:rPr>
            </w:pPr>
            <w:r>
              <w:rPr>
                <w:rFonts w:hint="eastAsia" w:ascii="宋体" w:hAnsi="宋体" w:cs="Arial"/>
                <w:bCs/>
                <w:color w:val="000000"/>
                <w:kern w:val="0"/>
                <w:sz w:val="18"/>
                <w:szCs w:val="18"/>
              </w:rPr>
              <w:t>-0.15</w:t>
            </w:r>
          </w:p>
        </w:tc>
      </w:tr>
    </w:tbl>
    <w:p>
      <w:pPr>
        <w:pStyle w:val="23"/>
        <w:ind w:firstLine="422"/>
        <w:rPr>
          <w:b/>
        </w:rPr>
      </w:pPr>
    </w:p>
    <w:p>
      <w:pPr>
        <w:pStyle w:val="98"/>
      </w:pPr>
    </w:p>
    <w:p>
      <w:pPr>
        <w:pStyle w:val="86"/>
      </w:pPr>
    </w:p>
    <w:p>
      <w:pPr>
        <w:pStyle w:val="84"/>
      </w:pPr>
      <w:r>
        <w:br w:type="textWrapping"/>
      </w:r>
      <w:r>
        <w:rPr>
          <w:rFonts w:hint="eastAsia"/>
        </w:rPr>
        <w:t>（资料性附录）</w:t>
      </w:r>
      <w:r>
        <w:br w:type="textWrapping"/>
      </w:r>
      <w:r>
        <w:rPr>
          <w:rFonts w:hint="eastAsia"/>
        </w:rPr>
        <w:t>SEMI MF1390-0707给出的精密度</w:t>
      </w:r>
    </w:p>
    <w:p>
      <w:pPr>
        <w:pStyle w:val="102"/>
        <w:spacing w:beforeLines="0" w:afterLines="0"/>
        <w:rPr>
          <w:rFonts w:ascii="宋体" w:hAnsi="宋体" w:eastAsia="宋体"/>
        </w:rPr>
      </w:pPr>
      <w:r>
        <w:rPr>
          <w:rFonts w:hint="eastAsia" w:ascii="宋体" w:hAnsi="宋体" w:eastAsia="宋体"/>
          <w:kern w:val="0"/>
        </w:rPr>
        <w:t>试验中23个</w:t>
      </w:r>
      <w:r>
        <w:rPr>
          <w:rFonts w:ascii="宋体" w:hAnsi="宋体" w:eastAsia="宋体"/>
          <w:kern w:val="0"/>
        </w:rPr>
        <w:t>200mm</w:t>
      </w:r>
      <w:r>
        <w:rPr>
          <w:rFonts w:hint="eastAsia" w:ascii="宋体" w:hAnsi="宋体" w:eastAsia="宋体"/>
          <w:kern w:val="0"/>
        </w:rPr>
        <w:t>直径的圆形抛光片，是</w:t>
      </w:r>
      <w:r>
        <w:rPr>
          <w:rFonts w:hint="eastAsia" w:ascii="宋体" w:hAnsi="宋体" w:eastAsia="宋体"/>
        </w:rPr>
        <w:t>采用三个不同的工艺过程进行加工的，且所有硅片正表面都是裸片，其中两个工艺过程加工的硅片背表面也是裸片，另一个背表面有氧化层。</w:t>
      </w:r>
    </w:p>
    <w:p>
      <w:pPr>
        <w:pStyle w:val="102"/>
        <w:spacing w:beforeLines="0" w:afterLines="0"/>
        <w:jc w:val="left"/>
        <w:rPr>
          <w:rFonts w:ascii="宋体" w:hAnsi="宋体" w:eastAsia="宋体"/>
        </w:rPr>
      </w:pPr>
      <w:r>
        <w:rPr>
          <w:rFonts w:hint="eastAsia" w:ascii="宋体" w:hAnsi="宋体" w:eastAsia="宋体"/>
        </w:rPr>
        <w:t>上述23个硅片在</w:t>
      </w:r>
      <w:r>
        <w:rPr>
          <w:rFonts w:ascii="宋体" w:hAnsi="宋体" w:eastAsia="宋体"/>
        </w:rPr>
        <w:t>8</w:t>
      </w:r>
      <w:r>
        <w:rPr>
          <w:rFonts w:hint="eastAsia" w:ascii="宋体" w:hAnsi="宋体" w:eastAsia="宋体"/>
        </w:rPr>
        <w:t>个实验室完成</w:t>
      </w:r>
      <w:r>
        <w:rPr>
          <w:rFonts w:ascii="宋体" w:hAnsi="宋体" w:eastAsia="宋体"/>
        </w:rPr>
        <w:t>翘曲度</w:t>
      </w:r>
      <w:r>
        <w:rPr>
          <w:rFonts w:hint="eastAsia" w:ascii="宋体" w:hAnsi="宋体" w:eastAsia="宋体"/>
        </w:rPr>
        <w:t>的测量，硅片的</w:t>
      </w:r>
      <w:r>
        <w:rPr>
          <w:rFonts w:ascii="宋体" w:hAnsi="宋体" w:eastAsia="宋体"/>
        </w:rPr>
        <w:t>翘曲度</w:t>
      </w:r>
      <w:r>
        <w:rPr>
          <w:rFonts w:hint="eastAsia" w:ascii="宋体" w:hAnsi="宋体" w:eastAsia="宋体"/>
        </w:rPr>
        <w:t>测量值范围见表B.</w:t>
      </w:r>
      <w:r>
        <w:rPr>
          <w:rFonts w:ascii="宋体" w:hAnsi="宋体" w:eastAsia="宋体"/>
        </w:rPr>
        <w:t>1</w:t>
      </w:r>
      <w:r>
        <w:rPr>
          <w:rFonts w:hint="eastAsia" w:ascii="宋体" w:hAnsi="宋体" w:eastAsia="宋体"/>
        </w:rPr>
        <w:t>。这</w:t>
      </w:r>
      <w:r>
        <w:rPr>
          <w:rFonts w:ascii="宋体" w:hAnsi="宋体" w:eastAsia="宋体"/>
        </w:rPr>
        <w:t>23</w:t>
      </w:r>
      <w:r>
        <w:rPr>
          <w:rFonts w:hint="eastAsia" w:ascii="宋体" w:hAnsi="宋体" w:eastAsia="宋体"/>
        </w:rPr>
        <w:t>个硅片，每片都在同一天在自动测量系统上使用本方法连续测量了</w:t>
      </w:r>
      <w:r>
        <w:rPr>
          <w:rFonts w:ascii="宋体" w:hAnsi="宋体" w:eastAsia="宋体"/>
        </w:rPr>
        <w:t>3</w:t>
      </w:r>
      <w:r>
        <w:rPr>
          <w:rFonts w:hint="eastAsia" w:ascii="宋体" w:hAnsi="宋体" w:eastAsia="宋体"/>
        </w:rPr>
        <w:t>次（盒对盒</w:t>
      </w:r>
      <w:r>
        <w:rPr>
          <w:rFonts w:ascii="宋体" w:hAnsi="宋体" w:eastAsia="宋体"/>
        </w:rPr>
        <w:t>3</w:t>
      </w:r>
      <w:r>
        <w:rPr>
          <w:rFonts w:hint="eastAsia" w:ascii="宋体" w:hAnsi="宋体" w:eastAsia="宋体"/>
        </w:rPr>
        <w:t>次）。</w:t>
      </w:r>
    </w:p>
    <w:p>
      <w:pPr>
        <w:pStyle w:val="102"/>
        <w:spacing w:beforeLines="0" w:afterLines="0"/>
        <w:rPr>
          <w:rFonts w:ascii="宋体" w:hAnsi="宋体" w:eastAsia="宋体"/>
        </w:rPr>
      </w:pPr>
      <w:r>
        <w:rPr>
          <w:rFonts w:hint="eastAsia" w:ascii="宋体" w:hAnsi="宋体" w:eastAsia="宋体"/>
        </w:rPr>
        <w:t>所有测量数据都是在边缘去除</w:t>
      </w:r>
      <w:r>
        <w:rPr>
          <w:rFonts w:ascii="宋体" w:hAnsi="宋体" w:eastAsia="宋体"/>
        </w:rPr>
        <w:t>3mm</w:t>
      </w:r>
      <w:r>
        <w:rPr>
          <w:rFonts w:hint="eastAsia" w:ascii="宋体" w:hAnsi="宋体" w:eastAsia="宋体"/>
        </w:rPr>
        <w:t>的要求下获得的。</w:t>
      </w:r>
    </w:p>
    <w:p>
      <w:pPr>
        <w:pStyle w:val="102"/>
        <w:spacing w:beforeLines="0" w:afterLines="0"/>
        <w:rPr>
          <w:rFonts w:ascii="宋体" w:hAnsi="宋体" w:eastAsia="宋体"/>
        </w:rPr>
      </w:pPr>
      <w:r>
        <w:rPr>
          <w:rFonts w:hint="eastAsia" w:ascii="宋体" w:hAnsi="宋体" w:eastAsia="宋体"/>
        </w:rPr>
        <w:t>SEMI MF1390-0707中确定精密度的实验室和样品的最小数目按</w:t>
      </w:r>
      <w:r>
        <w:rPr>
          <w:rFonts w:ascii="宋体" w:hAnsi="宋体" w:eastAsia="宋体"/>
        </w:rPr>
        <w:t>ASTM E 691</w:t>
      </w:r>
      <w:r>
        <w:rPr>
          <w:rFonts w:hint="eastAsia" w:ascii="宋体" w:hAnsi="宋体" w:eastAsia="宋体"/>
        </w:rPr>
        <w:t>的规定进行。</w:t>
      </w:r>
    </w:p>
    <w:p>
      <w:pPr>
        <w:pStyle w:val="102"/>
        <w:spacing w:beforeLines="0" w:afterLines="0"/>
        <w:rPr>
          <w:rFonts w:ascii="宋体" w:hAnsi="宋体" w:eastAsia="宋体"/>
        </w:rPr>
      </w:pPr>
      <w:r>
        <w:rPr>
          <w:rFonts w:hint="eastAsia" w:ascii="宋体" w:hAnsi="宋体" w:eastAsia="宋体"/>
        </w:rPr>
        <w:t>统计是在</w:t>
      </w:r>
      <w:r>
        <w:rPr>
          <w:rFonts w:ascii="宋体" w:hAnsi="宋体" w:eastAsia="宋体"/>
        </w:rPr>
        <w:t>95%</w:t>
      </w:r>
      <w:r>
        <w:rPr>
          <w:rFonts w:hint="eastAsia" w:ascii="宋体" w:hAnsi="宋体" w:eastAsia="宋体"/>
        </w:rPr>
        <w:t>包含区间范围对同一样品进行两次测量做出的，实验室内部的重复性和实验室之间的再现性见表B.</w:t>
      </w:r>
      <w:r>
        <w:rPr>
          <w:rFonts w:ascii="宋体" w:hAnsi="宋体" w:eastAsia="宋体"/>
        </w:rPr>
        <w:t>1</w:t>
      </w:r>
      <w:r>
        <w:rPr>
          <w:rFonts w:hint="eastAsia" w:ascii="宋体" w:hAnsi="宋体" w:eastAsia="宋体"/>
        </w:rPr>
        <w:t>。</w:t>
      </w:r>
    </w:p>
    <w:p>
      <w:pPr>
        <w:pStyle w:val="102"/>
        <w:spacing w:beforeLines="0" w:afterLines="0"/>
        <w:rPr>
          <w:rFonts w:ascii="宋体" w:hAnsi="宋体" w:eastAsia="宋体"/>
        </w:rPr>
      </w:pPr>
      <w:r>
        <w:rPr>
          <w:rFonts w:hint="eastAsia" w:ascii="宋体" w:hAnsi="宋体" w:eastAsia="宋体"/>
        </w:rPr>
        <w:t>图B.1包含了相对</w:t>
      </w:r>
      <w:r>
        <w:rPr>
          <w:rFonts w:ascii="宋体" w:hAnsi="宋体" w:eastAsia="宋体"/>
        </w:rPr>
        <w:t>翘曲度</w:t>
      </w:r>
      <w:r>
        <w:rPr>
          <w:rFonts w:hint="eastAsia" w:ascii="宋体" w:hAnsi="宋体" w:eastAsia="宋体"/>
        </w:rPr>
        <w:t>平均值的实验室内部重复性（</w:t>
      </w:r>
      <w:r>
        <w:rPr>
          <w:rFonts w:ascii="宋体" w:hAnsi="宋体" w:eastAsia="宋体"/>
        </w:rPr>
        <w:t>r</w:t>
      </w:r>
      <w:r>
        <w:rPr>
          <w:rFonts w:hint="eastAsia" w:ascii="宋体" w:hAnsi="宋体" w:eastAsia="宋体"/>
        </w:rPr>
        <w:t>）和实验室间再现性（</w:t>
      </w:r>
      <w:r>
        <w:rPr>
          <w:rFonts w:ascii="宋体" w:hAnsi="宋体" w:eastAsia="宋体"/>
        </w:rPr>
        <w:t>R</w:t>
      </w:r>
      <w:r>
        <w:rPr>
          <w:rFonts w:hint="eastAsia" w:ascii="宋体" w:hAnsi="宋体" w:eastAsia="宋体"/>
        </w:rPr>
        <w:t>）的</w:t>
      </w:r>
      <w:r>
        <w:rPr>
          <w:rFonts w:ascii="宋体" w:hAnsi="宋体" w:eastAsia="宋体"/>
        </w:rPr>
        <w:t>95%</w:t>
      </w:r>
      <w:r>
        <w:rPr>
          <w:rFonts w:hint="eastAsia" w:ascii="宋体" w:hAnsi="宋体" w:eastAsia="宋体"/>
        </w:rPr>
        <w:t>包含区间。</w:t>
      </w:r>
    </w:p>
    <w:p>
      <w:pPr>
        <w:pStyle w:val="87"/>
        <w:spacing w:before="156" w:after="156"/>
        <w:rPr>
          <w:kern w:val="0"/>
        </w:rPr>
      </w:pPr>
      <w:r>
        <w:rPr>
          <w:rFonts w:hint="eastAsia"/>
          <w:kern w:val="0"/>
        </w:rPr>
        <w:t>翘曲度测量值范围</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314"/>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2"/>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参数</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翘曲度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vMerge w:val="restart"/>
            <w:vAlign w:val="center"/>
          </w:tcPr>
          <w:p>
            <w:pPr>
              <w:autoSpaceDE w:val="0"/>
              <w:autoSpaceDN w:val="0"/>
              <w:adjustRightInd w:val="0"/>
              <w:jc w:val="center"/>
              <w:rPr>
                <w:rFonts w:ascii="宋体" w:hAnsi="宋体"/>
                <w:color w:val="000000"/>
                <w:kern w:val="0"/>
                <w:sz w:val="18"/>
                <w:szCs w:val="18"/>
              </w:rPr>
            </w:pPr>
            <w:bookmarkStart w:id="68" w:name="_Hlk360380871"/>
            <w:r>
              <w:rPr>
                <w:rFonts w:hint="eastAsia" w:ascii="宋体" w:hAnsi="宋体"/>
                <w:color w:val="000000"/>
                <w:kern w:val="0"/>
                <w:sz w:val="18"/>
                <w:szCs w:val="18"/>
              </w:rPr>
              <w:t>平均，µm</w:t>
            </w:r>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最小值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0" w:type="dxa"/>
            <w:vMerge w:val="continue"/>
            <w:vAlign w:val="center"/>
          </w:tcPr>
          <w:p>
            <w:pPr>
              <w:autoSpaceDE w:val="0"/>
              <w:autoSpaceDN w:val="0"/>
              <w:adjustRightInd w:val="0"/>
              <w:jc w:val="center"/>
              <w:rPr>
                <w:rFonts w:ascii="宋体" w:hAnsi="宋体"/>
                <w:color w:val="000000"/>
                <w:kern w:val="0"/>
                <w:sz w:val="18"/>
                <w:szCs w:val="18"/>
              </w:rPr>
            </w:pPr>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最大值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31.25</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vMerge w:val="restart"/>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重复性（r）</w:t>
            </w:r>
            <w:bookmarkStart w:id="69" w:name="OLE_LINK18"/>
            <w:bookmarkStart w:id="70" w:name="OLE_LINK17"/>
            <w:r>
              <w:rPr>
                <w:rFonts w:hint="eastAsia" w:ascii="宋体" w:hAnsi="宋体"/>
                <w:color w:val="000000"/>
                <w:kern w:val="0"/>
                <w:sz w:val="18"/>
                <w:szCs w:val="18"/>
              </w:rPr>
              <w:t>，µm</w:t>
            </w:r>
            <w:bookmarkEnd w:id="69"/>
            <w:bookmarkEnd w:id="70"/>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最小值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0" w:type="dxa"/>
            <w:vMerge w:val="continue"/>
            <w:vAlign w:val="center"/>
          </w:tcPr>
          <w:p>
            <w:pPr>
              <w:autoSpaceDE w:val="0"/>
              <w:autoSpaceDN w:val="0"/>
              <w:adjustRightInd w:val="0"/>
              <w:jc w:val="center"/>
              <w:rPr>
                <w:rFonts w:ascii="宋体" w:hAnsi="宋体"/>
                <w:color w:val="000000"/>
                <w:kern w:val="0"/>
                <w:sz w:val="18"/>
                <w:szCs w:val="18"/>
              </w:rPr>
            </w:pPr>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最大值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vMerge w:val="restart"/>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再现性（R），µm</w:t>
            </w:r>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最小值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0" w:type="dxa"/>
            <w:vMerge w:val="continue"/>
            <w:vAlign w:val="center"/>
          </w:tcPr>
          <w:p>
            <w:pPr>
              <w:autoSpaceDE w:val="0"/>
              <w:autoSpaceDN w:val="0"/>
              <w:adjustRightInd w:val="0"/>
              <w:jc w:val="center"/>
              <w:rPr>
                <w:rFonts w:ascii="宋体" w:hAnsi="宋体"/>
                <w:color w:val="000000"/>
                <w:kern w:val="0"/>
                <w:sz w:val="18"/>
                <w:szCs w:val="18"/>
              </w:rPr>
            </w:pPr>
          </w:p>
        </w:tc>
        <w:tc>
          <w:tcPr>
            <w:tcW w:w="1314"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最大值</w:t>
            </w:r>
          </w:p>
        </w:tc>
        <w:tc>
          <w:tcPr>
            <w:tcW w:w="4960" w:type="dxa"/>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2.097</w:t>
            </w:r>
          </w:p>
        </w:tc>
      </w:tr>
    </w:tbl>
    <w:p>
      <w:pPr>
        <w:spacing w:before="240" w:after="240"/>
        <w:jc w:val="center"/>
        <w:outlineLvl w:val="2"/>
        <w:rPr>
          <w:rFonts w:ascii="宋体" w:hAnsi="宋体"/>
        </w:rPr>
      </w:pPr>
      <w:r>
        <w:rPr>
          <w:rFonts w:ascii="宋体" w:hAnsi="宋体"/>
        </w:rPr>
        <w:drawing>
          <wp:inline distT="0" distB="0" distL="0" distR="0">
            <wp:extent cx="5316855" cy="2548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316855" cy="2548255"/>
                    </a:xfrm>
                    <a:prstGeom prst="rect">
                      <a:avLst/>
                    </a:prstGeom>
                    <a:noFill/>
                    <a:ln>
                      <a:noFill/>
                    </a:ln>
                  </pic:spPr>
                </pic:pic>
              </a:graphicData>
            </a:graphic>
          </wp:inline>
        </w:drawing>
      </w:r>
    </w:p>
    <w:p>
      <w:pPr>
        <w:jc w:val="center"/>
        <w:rPr>
          <w:rFonts w:ascii="宋体" w:hAnsi="宋体"/>
          <w:szCs w:val="21"/>
        </w:rPr>
      </w:pPr>
      <w:r>
        <w:rPr>
          <w:rFonts w:hint="eastAsia" w:hAnsi="黑体"/>
        </w:rPr>
        <w:t>图B.1 翘曲度平均值的重复性、再现性区间</w:t>
      </w:r>
    </w:p>
    <w:p>
      <w:pPr>
        <w:pStyle w:val="129"/>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Symbol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pStyle w:val="138"/>
      <w:suff w:val="nothing"/>
      <w:lvlText w:val="%1%2.%3.%4　"/>
      <w:lvlJc w:val="left"/>
      <w:pPr>
        <w:ind w:left="0" w:firstLine="0"/>
      </w:pPr>
      <w:rPr>
        <w:rFonts w:hint="eastAsia" w:ascii="黑体" w:hAnsi="Times New Roman" w:eastAsia="黑体"/>
        <w:b w:val="0"/>
        <w:i w:val="0"/>
        <w:sz w:val="21"/>
      </w:rPr>
    </w:lvl>
    <w:lvl w:ilvl="4" w:tentative="0">
      <w:start w:val="1"/>
      <w:numFmt w:val="decimal"/>
      <w:pStyle w:val="139"/>
      <w:suff w:val="nothing"/>
      <w:lvlText w:val="%1%2.%3.%4.%5　"/>
      <w:lvlJc w:val="left"/>
      <w:pPr>
        <w:ind w:left="0" w:firstLine="0"/>
      </w:pPr>
      <w:rPr>
        <w:rFonts w:hint="eastAsia" w:ascii="黑体" w:hAnsi="Times New Roman" w:eastAsia="黑体"/>
        <w:b w:val="0"/>
        <w:i w:val="0"/>
        <w:sz w:val="21"/>
      </w:rPr>
    </w:lvl>
    <w:lvl w:ilvl="5" w:tentative="0">
      <w:start w:val="1"/>
      <w:numFmt w:val="decimal"/>
      <w:pStyle w:val="140"/>
      <w:suff w:val="nothing"/>
      <w:lvlText w:val="%1%2.%3.%4.%5.%6　"/>
      <w:lvlJc w:val="left"/>
      <w:pPr>
        <w:ind w:left="0" w:firstLine="0"/>
      </w:pPr>
      <w:rPr>
        <w:rFonts w:hint="eastAsia" w:ascii="黑体" w:hAnsi="Times New Roman" w:eastAsia="黑体"/>
        <w:b w:val="0"/>
        <w:i w:val="0"/>
        <w:sz w:val="21"/>
      </w:rPr>
    </w:lvl>
    <w:lvl w:ilvl="6" w:tentative="0">
      <w:start w:val="1"/>
      <w:numFmt w:val="decimal"/>
      <w:pStyle w:val="14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426"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18C7FDF"/>
    <w:multiLevelType w:val="multilevel"/>
    <w:tmpl w:val="318C7FDF"/>
    <w:lvl w:ilvl="0" w:tentative="0">
      <w:start w:val="3"/>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1">
    <w:nsid w:val="78924677"/>
    <w:multiLevelType w:val="multilevel"/>
    <w:tmpl w:val="7892467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6"/>
  </w:num>
  <w:num w:numId="2">
    <w:abstractNumId w:val="2"/>
  </w:num>
  <w:num w:numId="3">
    <w:abstractNumId w:val="4"/>
  </w:num>
  <w:num w:numId="4">
    <w:abstractNumId w:val="7"/>
  </w:num>
  <w:num w:numId="5">
    <w:abstractNumId w:val="1"/>
  </w:num>
  <w:num w:numId="6">
    <w:abstractNumId w:val="9"/>
  </w:num>
  <w:num w:numId="7">
    <w:abstractNumId w:val="8"/>
  </w:num>
  <w:num w:numId="8">
    <w:abstractNumId w:val="10"/>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5A15"/>
    <w:rsid w:val="00006E5C"/>
    <w:rsid w:val="00013D86"/>
    <w:rsid w:val="00013E02"/>
    <w:rsid w:val="0002143C"/>
    <w:rsid w:val="00025A65"/>
    <w:rsid w:val="00026034"/>
    <w:rsid w:val="00026C31"/>
    <w:rsid w:val="00027280"/>
    <w:rsid w:val="000320A7"/>
    <w:rsid w:val="00035925"/>
    <w:rsid w:val="00036B73"/>
    <w:rsid w:val="000511C3"/>
    <w:rsid w:val="0005303A"/>
    <w:rsid w:val="00053ADB"/>
    <w:rsid w:val="00063138"/>
    <w:rsid w:val="00063E97"/>
    <w:rsid w:val="00064121"/>
    <w:rsid w:val="00067CDF"/>
    <w:rsid w:val="000700EE"/>
    <w:rsid w:val="000716E1"/>
    <w:rsid w:val="0007336C"/>
    <w:rsid w:val="00074FBE"/>
    <w:rsid w:val="00083A09"/>
    <w:rsid w:val="000841EE"/>
    <w:rsid w:val="0009005E"/>
    <w:rsid w:val="00092857"/>
    <w:rsid w:val="000A20A9"/>
    <w:rsid w:val="000A48B1"/>
    <w:rsid w:val="000B3143"/>
    <w:rsid w:val="000C51FC"/>
    <w:rsid w:val="000C6B05"/>
    <w:rsid w:val="000C6DD6"/>
    <w:rsid w:val="000C73D4"/>
    <w:rsid w:val="000C7BB4"/>
    <w:rsid w:val="000D3D4C"/>
    <w:rsid w:val="000D4F51"/>
    <w:rsid w:val="000D718B"/>
    <w:rsid w:val="000E0C46"/>
    <w:rsid w:val="000E398F"/>
    <w:rsid w:val="000E6074"/>
    <w:rsid w:val="000E7F53"/>
    <w:rsid w:val="000F030C"/>
    <w:rsid w:val="000F129C"/>
    <w:rsid w:val="001056DE"/>
    <w:rsid w:val="001124C0"/>
    <w:rsid w:val="00120EDF"/>
    <w:rsid w:val="00122897"/>
    <w:rsid w:val="0013175F"/>
    <w:rsid w:val="001512B4"/>
    <w:rsid w:val="001519D8"/>
    <w:rsid w:val="00157ED8"/>
    <w:rsid w:val="001620A5"/>
    <w:rsid w:val="00164E53"/>
    <w:rsid w:val="0016699D"/>
    <w:rsid w:val="00173224"/>
    <w:rsid w:val="00175159"/>
    <w:rsid w:val="00176208"/>
    <w:rsid w:val="001804B1"/>
    <w:rsid w:val="0018211B"/>
    <w:rsid w:val="001837AE"/>
    <w:rsid w:val="001840D3"/>
    <w:rsid w:val="001900F8"/>
    <w:rsid w:val="00191258"/>
    <w:rsid w:val="00192680"/>
    <w:rsid w:val="00193037"/>
    <w:rsid w:val="00193A2C"/>
    <w:rsid w:val="001A288E"/>
    <w:rsid w:val="001A7661"/>
    <w:rsid w:val="001B6BE0"/>
    <w:rsid w:val="001B6DC2"/>
    <w:rsid w:val="001C149C"/>
    <w:rsid w:val="001C1CE7"/>
    <w:rsid w:val="001C21AC"/>
    <w:rsid w:val="001C47BA"/>
    <w:rsid w:val="001C59EA"/>
    <w:rsid w:val="001D406C"/>
    <w:rsid w:val="001D41EE"/>
    <w:rsid w:val="001E0380"/>
    <w:rsid w:val="001E13B1"/>
    <w:rsid w:val="001F0221"/>
    <w:rsid w:val="001F3A19"/>
    <w:rsid w:val="00215920"/>
    <w:rsid w:val="002177B7"/>
    <w:rsid w:val="00217C9E"/>
    <w:rsid w:val="00221A69"/>
    <w:rsid w:val="002331C2"/>
    <w:rsid w:val="00234467"/>
    <w:rsid w:val="00235BFF"/>
    <w:rsid w:val="00237D8D"/>
    <w:rsid w:val="00241DA2"/>
    <w:rsid w:val="00247FEE"/>
    <w:rsid w:val="00250E7D"/>
    <w:rsid w:val="002565D5"/>
    <w:rsid w:val="002622C0"/>
    <w:rsid w:val="002778AE"/>
    <w:rsid w:val="00280B20"/>
    <w:rsid w:val="0028269A"/>
    <w:rsid w:val="00283590"/>
    <w:rsid w:val="00284AFB"/>
    <w:rsid w:val="00286973"/>
    <w:rsid w:val="00287920"/>
    <w:rsid w:val="00294C17"/>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D5E9B"/>
    <w:rsid w:val="002E0DDF"/>
    <w:rsid w:val="002E2906"/>
    <w:rsid w:val="002E5635"/>
    <w:rsid w:val="002E64C3"/>
    <w:rsid w:val="002E6A2C"/>
    <w:rsid w:val="002E6B9D"/>
    <w:rsid w:val="002E7180"/>
    <w:rsid w:val="002F07F2"/>
    <w:rsid w:val="002F1D8C"/>
    <w:rsid w:val="002F21DA"/>
    <w:rsid w:val="002F39D9"/>
    <w:rsid w:val="00300567"/>
    <w:rsid w:val="00301F39"/>
    <w:rsid w:val="00302C4F"/>
    <w:rsid w:val="003058E4"/>
    <w:rsid w:val="00325926"/>
    <w:rsid w:val="0032768C"/>
    <w:rsid w:val="00327A8A"/>
    <w:rsid w:val="00336610"/>
    <w:rsid w:val="00336D4C"/>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5B13"/>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10282"/>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9715A"/>
    <w:rsid w:val="004A2D81"/>
    <w:rsid w:val="004A35F9"/>
    <w:rsid w:val="004A797E"/>
    <w:rsid w:val="004B2159"/>
    <w:rsid w:val="004B24C1"/>
    <w:rsid w:val="004C292F"/>
    <w:rsid w:val="004C52D9"/>
    <w:rsid w:val="004D1B05"/>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54446"/>
    <w:rsid w:val="0056691F"/>
    <w:rsid w:val="00566E43"/>
    <w:rsid w:val="005703DE"/>
    <w:rsid w:val="00574213"/>
    <w:rsid w:val="005751DA"/>
    <w:rsid w:val="0058464E"/>
    <w:rsid w:val="0058751E"/>
    <w:rsid w:val="00592076"/>
    <w:rsid w:val="00593005"/>
    <w:rsid w:val="005A01CB"/>
    <w:rsid w:val="005A1C9F"/>
    <w:rsid w:val="005A58FF"/>
    <w:rsid w:val="005A5EAF"/>
    <w:rsid w:val="005A64C0"/>
    <w:rsid w:val="005B3C11"/>
    <w:rsid w:val="005C1A74"/>
    <w:rsid w:val="005C1C28"/>
    <w:rsid w:val="005C6DB5"/>
    <w:rsid w:val="005E19E7"/>
    <w:rsid w:val="005F18CF"/>
    <w:rsid w:val="0061716C"/>
    <w:rsid w:val="00623573"/>
    <w:rsid w:val="006243A1"/>
    <w:rsid w:val="00624D43"/>
    <w:rsid w:val="00632E56"/>
    <w:rsid w:val="00635CBA"/>
    <w:rsid w:val="006373D2"/>
    <w:rsid w:val="006427E6"/>
    <w:rsid w:val="0064338B"/>
    <w:rsid w:val="00646542"/>
    <w:rsid w:val="006504F4"/>
    <w:rsid w:val="00654BC9"/>
    <w:rsid w:val="006552FD"/>
    <w:rsid w:val="00661B08"/>
    <w:rsid w:val="006632AF"/>
    <w:rsid w:val="00663AF3"/>
    <w:rsid w:val="00666B6C"/>
    <w:rsid w:val="00682682"/>
    <w:rsid w:val="00682702"/>
    <w:rsid w:val="00692368"/>
    <w:rsid w:val="006A2EBC"/>
    <w:rsid w:val="006A5EA0"/>
    <w:rsid w:val="006A783B"/>
    <w:rsid w:val="006A7B33"/>
    <w:rsid w:val="006B4618"/>
    <w:rsid w:val="006B4E13"/>
    <w:rsid w:val="006B75DD"/>
    <w:rsid w:val="006C452F"/>
    <w:rsid w:val="006C67E0"/>
    <w:rsid w:val="006C7ABA"/>
    <w:rsid w:val="006D0D60"/>
    <w:rsid w:val="006D1122"/>
    <w:rsid w:val="006D3C00"/>
    <w:rsid w:val="006E072B"/>
    <w:rsid w:val="006E3675"/>
    <w:rsid w:val="006E4A7F"/>
    <w:rsid w:val="006E7EFC"/>
    <w:rsid w:val="006F29A4"/>
    <w:rsid w:val="006F412A"/>
    <w:rsid w:val="006F6BA3"/>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3EA5"/>
    <w:rsid w:val="007C6205"/>
    <w:rsid w:val="007C686A"/>
    <w:rsid w:val="007C728E"/>
    <w:rsid w:val="007D2C53"/>
    <w:rsid w:val="007D3D60"/>
    <w:rsid w:val="007D55E9"/>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C1B58"/>
    <w:rsid w:val="008C39AE"/>
    <w:rsid w:val="008C3BB5"/>
    <w:rsid w:val="008C3BCA"/>
    <w:rsid w:val="008C590D"/>
    <w:rsid w:val="008E031B"/>
    <w:rsid w:val="008E30E9"/>
    <w:rsid w:val="008E7029"/>
    <w:rsid w:val="008E7EF6"/>
    <w:rsid w:val="008F1F98"/>
    <w:rsid w:val="008F6758"/>
    <w:rsid w:val="00902A43"/>
    <w:rsid w:val="009040DD"/>
    <w:rsid w:val="00905B47"/>
    <w:rsid w:val="0091331C"/>
    <w:rsid w:val="009279DE"/>
    <w:rsid w:val="00927E30"/>
    <w:rsid w:val="00930116"/>
    <w:rsid w:val="0094212C"/>
    <w:rsid w:val="00950798"/>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975DC"/>
    <w:rsid w:val="009A054C"/>
    <w:rsid w:val="009A3A7C"/>
    <w:rsid w:val="009B2ADB"/>
    <w:rsid w:val="009B3126"/>
    <w:rsid w:val="009B603A"/>
    <w:rsid w:val="009B79F3"/>
    <w:rsid w:val="009C2D0E"/>
    <w:rsid w:val="009C3ABB"/>
    <w:rsid w:val="009C3DAC"/>
    <w:rsid w:val="009C42E0"/>
    <w:rsid w:val="009D5362"/>
    <w:rsid w:val="009E0569"/>
    <w:rsid w:val="009E1415"/>
    <w:rsid w:val="009E6116"/>
    <w:rsid w:val="009F2FF2"/>
    <w:rsid w:val="00A02E43"/>
    <w:rsid w:val="00A065F9"/>
    <w:rsid w:val="00A07F34"/>
    <w:rsid w:val="00A22154"/>
    <w:rsid w:val="00A242E3"/>
    <w:rsid w:val="00A25C38"/>
    <w:rsid w:val="00A273C8"/>
    <w:rsid w:val="00A33FC4"/>
    <w:rsid w:val="00A36BBE"/>
    <w:rsid w:val="00A4307A"/>
    <w:rsid w:val="00A43A02"/>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B69CA"/>
    <w:rsid w:val="00AC05B1"/>
    <w:rsid w:val="00AC7C86"/>
    <w:rsid w:val="00AD356C"/>
    <w:rsid w:val="00AE2914"/>
    <w:rsid w:val="00AE3778"/>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75D6D"/>
    <w:rsid w:val="00B805AF"/>
    <w:rsid w:val="00B850FC"/>
    <w:rsid w:val="00B859A6"/>
    <w:rsid w:val="00B869EC"/>
    <w:rsid w:val="00B9397A"/>
    <w:rsid w:val="00B9633D"/>
    <w:rsid w:val="00BA2EBE"/>
    <w:rsid w:val="00BA34B4"/>
    <w:rsid w:val="00BB0F28"/>
    <w:rsid w:val="00BB2C87"/>
    <w:rsid w:val="00BB458A"/>
    <w:rsid w:val="00BB7717"/>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4397"/>
    <w:rsid w:val="00C377A1"/>
    <w:rsid w:val="00C4095D"/>
    <w:rsid w:val="00C42003"/>
    <w:rsid w:val="00C54FCC"/>
    <w:rsid w:val="00C601D2"/>
    <w:rsid w:val="00C65BCC"/>
    <w:rsid w:val="00C66970"/>
    <w:rsid w:val="00C675AF"/>
    <w:rsid w:val="00C8691C"/>
    <w:rsid w:val="00CA168A"/>
    <w:rsid w:val="00CA357E"/>
    <w:rsid w:val="00CA44F9"/>
    <w:rsid w:val="00CA4A69"/>
    <w:rsid w:val="00CA4F58"/>
    <w:rsid w:val="00CB773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E71D6"/>
    <w:rsid w:val="00DF21E9"/>
    <w:rsid w:val="00DF4387"/>
    <w:rsid w:val="00DF649D"/>
    <w:rsid w:val="00E00F14"/>
    <w:rsid w:val="00E06386"/>
    <w:rsid w:val="00E24EB4"/>
    <w:rsid w:val="00E27BE7"/>
    <w:rsid w:val="00E320ED"/>
    <w:rsid w:val="00E33AFB"/>
    <w:rsid w:val="00E34218"/>
    <w:rsid w:val="00E35F00"/>
    <w:rsid w:val="00E447EB"/>
    <w:rsid w:val="00E46282"/>
    <w:rsid w:val="00E5216E"/>
    <w:rsid w:val="00E55250"/>
    <w:rsid w:val="00E55C4C"/>
    <w:rsid w:val="00E62EBC"/>
    <w:rsid w:val="00E715C4"/>
    <w:rsid w:val="00E82344"/>
    <w:rsid w:val="00E83C06"/>
    <w:rsid w:val="00E84C82"/>
    <w:rsid w:val="00E84D64"/>
    <w:rsid w:val="00E87408"/>
    <w:rsid w:val="00E914C4"/>
    <w:rsid w:val="00E91FF1"/>
    <w:rsid w:val="00E934F5"/>
    <w:rsid w:val="00E96881"/>
    <w:rsid w:val="00E96961"/>
    <w:rsid w:val="00EA42C5"/>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17CF7"/>
    <w:rsid w:val="00F272D2"/>
    <w:rsid w:val="00F27A5C"/>
    <w:rsid w:val="00F325EE"/>
    <w:rsid w:val="00F34B99"/>
    <w:rsid w:val="00F37D15"/>
    <w:rsid w:val="00F45F77"/>
    <w:rsid w:val="00F52DAB"/>
    <w:rsid w:val="00F53429"/>
    <w:rsid w:val="00F543F0"/>
    <w:rsid w:val="00F66E58"/>
    <w:rsid w:val="00F81D29"/>
    <w:rsid w:val="00F838AB"/>
    <w:rsid w:val="00F91C4D"/>
    <w:rsid w:val="00F929DC"/>
    <w:rsid w:val="00F92FD9"/>
    <w:rsid w:val="00F942B5"/>
    <w:rsid w:val="00FA3440"/>
    <w:rsid w:val="00FA6684"/>
    <w:rsid w:val="00FA71AC"/>
    <w:rsid w:val="00FA731E"/>
    <w:rsid w:val="00FB2B38"/>
    <w:rsid w:val="00FB4945"/>
    <w:rsid w:val="00FC439B"/>
    <w:rsid w:val="00FC6358"/>
    <w:rsid w:val="00FD0B6C"/>
    <w:rsid w:val="00FD320D"/>
    <w:rsid w:val="00FE071F"/>
    <w:rsid w:val="00FE23DE"/>
    <w:rsid w:val="00FF64B6"/>
    <w:rsid w:val="5DED2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43"/>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w:basedOn w:val="1"/>
    <w:link w:val="147"/>
    <w:semiHidden/>
    <w:unhideWhenUsed/>
    <w:uiPriority w:val="0"/>
    <w:pPr>
      <w:spacing w:after="120"/>
    </w:p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2"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Balloon Text"/>
    <w:basedOn w:val="1"/>
    <w:link w:val="137"/>
    <w:uiPriority w:val="0"/>
    <w:rPr>
      <w:sz w:val="18"/>
      <w:szCs w:val="18"/>
    </w:rPr>
  </w:style>
  <w:style w:type="paragraph" w:styleId="17">
    <w:name w:val="footer"/>
    <w:basedOn w:val="1"/>
    <w:uiPriority w:val="0"/>
    <w:pPr>
      <w:snapToGrid w:val="0"/>
      <w:ind w:right="210" w:rightChars="100"/>
      <w:jc w:val="right"/>
    </w:pPr>
    <w:rPr>
      <w:sz w:val="18"/>
      <w:szCs w:val="18"/>
    </w:rPr>
  </w:style>
  <w:style w:type="paragraph" w:styleId="18">
    <w:name w:val="header"/>
    <w:basedOn w:val="1"/>
    <w:uiPriority w:val="0"/>
    <w:pPr>
      <w:snapToGrid w:val="0"/>
      <w:jc w:val="left"/>
    </w:pPr>
    <w:rPr>
      <w:sz w:val="18"/>
      <w:szCs w:val="18"/>
    </w:rPr>
  </w:style>
  <w:style w:type="paragraph" w:styleId="19">
    <w:name w:val="toc 1"/>
    <w:basedOn w:val="1"/>
    <w:next w:val="1"/>
    <w:uiPriority w:val="39"/>
    <w:pPr>
      <w:tabs>
        <w:tab w:val="right" w:leader="dot" w:pos="9241"/>
      </w:tabs>
      <w:spacing w:beforeLines="25" w:afterLines="25"/>
      <w:jc w:val="left"/>
    </w:pPr>
    <w:rPr>
      <w:rFonts w:ascii="宋体"/>
      <w:szCs w:val="21"/>
    </w:rPr>
  </w:style>
  <w:style w:type="paragraph" w:styleId="20">
    <w:name w:val="toc 4"/>
    <w:basedOn w:val="1"/>
    <w:next w:val="1"/>
    <w:semiHidden/>
    <w:uiPriority w:val="0"/>
    <w:pPr>
      <w:tabs>
        <w:tab w:val="right" w:leader="dot" w:pos="9241"/>
      </w:tabs>
      <w:ind w:firstLine="198" w:firstLineChars="200"/>
      <w:jc w:val="left"/>
    </w:pPr>
    <w:rPr>
      <w:rFonts w:ascii="宋体"/>
      <w:szCs w:val="21"/>
    </w:rPr>
  </w:style>
  <w:style w:type="paragraph" w:styleId="21">
    <w:name w:val="index heading"/>
    <w:basedOn w:val="1"/>
    <w:next w:val="22"/>
    <w:uiPriority w:val="0"/>
    <w:pPr>
      <w:spacing w:before="120" w:after="120"/>
      <w:jc w:val="center"/>
    </w:pPr>
    <w:rPr>
      <w:rFonts w:ascii="Calibri" w:hAnsi="Calibri"/>
      <w:b/>
      <w:bCs/>
      <w:iCs/>
      <w:szCs w:val="20"/>
    </w:rPr>
  </w:style>
  <w:style w:type="paragraph" w:styleId="22">
    <w:name w:val="index 1"/>
    <w:basedOn w:val="1"/>
    <w:next w:val="23"/>
    <w:uiPriority w:val="0"/>
    <w:pPr>
      <w:tabs>
        <w:tab w:val="right" w:leader="dot" w:pos="9299"/>
      </w:tabs>
      <w:jc w:val="left"/>
    </w:pPr>
    <w:rPr>
      <w:rFonts w:ascii="宋体"/>
      <w:szCs w:val="21"/>
    </w:rPr>
  </w:style>
  <w:style w:type="paragraph" w:customStyle="1" w:styleId="23">
    <w:name w:val="段"/>
    <w:link w:val="4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uiPriority w:val="0"/>
    <w:pPr>
      <w:tabs>
        <w:tab w:val="right" w:leader="dot" w:pos="9241"/>
      </w:tabs>
      <w:ind w:firstLine="403" w:firstLineChars="400"/>
      <w:jc w:val="left"/>
    </w:pPr>
    <w:rPr>
      <w:rFonts w:ascii="宋体"/>
      <w:szCs w:val="21"/>
    </w:rPr>
  </w:style>
  <w:style w:type="paragraph" w:styleId="26">
    <w:name w:val="index 7"/>
    <w:basedOn w:val="1"/>
    <w:next w:val="1"/>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semiHidden/>
    <w:uiPriority w:val="0"/>
    <w:pPr>
      <w:tabs>
        <w:tab w:val="right" w:leader="dot" w:pos="9241"/>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index 2"/>
    <w:basedOn w:val="1"/>
    <w:next w:val="1"/>
    <w:uiPriority w:val="0"/>
    <w:pPr>
      <w:ind w:left="420" w:hanging="210"/>
      <w:jc w:val="left"/>
    </w:pPr>
    <w:rPr>
      <w:rFonts w:ascii="Calibri" w:hAnsi="Calibri"/>
      <w:sz w:val="20"/>
      <w:szCs w:val="20"/>
    </w:rPr>
  </w:style>
  <w:style w:type="paragraph" w:styleId="31">
    <w:name w:val="Body Text First Indent"/>
    <w:basedOn w:val="9"/>
    <w:link w:val="148"/>
    <w:semiHidden/>
    <w:unhideWhenUsed/>
    <w:uiPriority w:val="0"/>
    <w:pPr>
      <w:spacing w:after="0"/>
      <w:ind w:firstLine="360"/>
    </w:p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uiPriority w:val="0"/>
    <w:rPr>
      <w:vertAlign w:val="superscript"/>
    </w:rPr>
  </w:style>
  <w:style w:type="character" w:styleId="36">
    <w:name w:val="page number"/>
    <w:basedOn w:val="34"/>
    <w:uiPriority w:val="0"/>
    <w:rPr>
      <w:rFonts w:ascii="Times New Roman" w:hAnsi="Times New Roman" w:eastAsia="宋体"/>
      <w:sz w:val="18"/>
    </w:rPr>
  </w:style>
  <w:style w:type="character" w:styleId="37">
    <w:name w:val="FollowedHyperlink"/>
    <w:basedOn w:val="34"/>
    <w:uiPriority w:val="0"/>
    <w:rPr>
      <w:color w:val="800080"/>
      <w:u w:val="single"/>
    </w:rPr>
  </w:style>
  <w:style w:type="character" w:styleId="38">
    <w:name w:val="Hyperlink"/>
    <w:basedOn w:val="34"/>
    <w:uiPriority w:val="99"/>
    <w:rPr>
      <w:color w:val="0000FF"/>
      <w:spacing w:val="0"/>
      <w:w w:val="100"/>
      <w:szCs w:val="21"/>
      <w:u w:val="single"/>
    </w:rPr>
  </w:style>
  <w:style w:type="character" w:styleId="39">
    <w:name w:val="annotation reference"/>
    <w:uiPriority w:val="0"/>
    <w:rPr>
      <w:sz w:val="21"/>
      <w:szCs w:val="21"/>
    </w:rPr>
  </w:style>
  <w:style w:type="character" w:styleId="40">
    <w:name w:val="footnote reference"/>
    <w:basedOn w:val="34"/>
    <w:semiHidden/>
    <w:uiPriority w:val="0"/>
    <w:rPr>
      <w:vertAlign w:val="superscript"/>
    </w:rPr>
  </w:style>
  <w:style w:type="character" w:customStyle="1" w:styleId="41">
    <w:name w:val="段 Char"/>
    <w:basedOn w:val="34"/>
    <w:link w:val="23"/>
    <w:uiPriority w:val="0"/>
    <w:rPr>
      <w:rFonts w:ascii="宋体"/>
      <w:sz w:val="21"/>
      <w:lang w:val="en-US" w:eastAsia="zh-CN" w:bidi="ar-SA"/>
    </w:rPr>
  </w:style>
  <w:style w:type="paragraph" w:customStyle="1" w:styleId="42">
    <w:name w:val="一级条标题"/>
    <w:next w:val="23"/>
    <w:uiPriority w:val="0"/>
    <w:pPr>
      <w:numPr>
        <w:ilvl w:val="1"/>
        <w:numId w:val="2"/>
      </w:numPr>
      <w:spacing w:beforeLines="50" w:afterLines="50"/>
      <w:ind w:left="710"/>
      <w:outlineLvl w:val="2"/>
    </w:pPr>
    <w:rPr>
      <w:rFonts w:ascii="黑体" w:hAnsi="Times New Roman" w:eastAsia="黑体" w:cs="Times New Roman"/>
      <w:sz w:val="21"/>
      <w:szCs w:val="21"/>
      <w:lang w:val="en-US" w:eastAsia="zh-CN" w:bidi="ar-SA"/>
    </w:rPr>
  </w:style>
  <w:style w:type="paragraph" w:customStyle="1" w:styleId="4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ind w:left="1277"/>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uiPriority w:val="0"/>
    <w:pPr>
      <w:numPr>
        <w:ilvl w:val="3"/>
      </w:numPr>
      <w:outlineLvl w:val="4"/>
    </w:pPr>
  </w:style>
  <w:style w:type="paragraph" w:customStyle="1" w:styleId="52">
    <w:name w:val="示例"/>
    <w:next w:val="53"/>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5">
    <w:name w:val="四级条标题"/>
    <w:basedOn w:val="51"/>
    <w:next w:val="23"/>
    <w:uiPriority w:val="0"/>
    <w:pPr>
      <w:numPr>
        <w:ilvl w:val="4"/>
      </w:numPr>
      <w:outlineLvl w:val="5"/>
    </w:pPr>
  </w:style>
  <w:style w:type="paragraph" w:customStyle="1" w:styleId="56">
    <w:name w:val="五级条标题"/>
    <w:basedOn w:val="55"/>
    <w:next w:val="23"/>
    <w:uiPriority w:val="0"/>
    <w:pPr>
      <w:numPr>
        <w:ilvl w:val="5"/>
      </w:numPr>
      <w:outlineLvl w:val="6"/>
    </w:pPr>
  </w:style>
  <w:style w:type="paragraph" w:customStyle="1" w:styleId="57">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8">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9">
    <w:name w:val="字母编号列项（一级）"/>
    <w:uiPriority w:val="0"/>
    <w:pPr>
      <w:numPr>
        <w:ilvl w:val="0"/>
        <w:numId w:val="4"/>
      </w:numPr>
      <w:jc w:val="both"/>
    </w:pPr>
    <w:rPr>
      <w:rFonts w:ascii="宋体" w:hAnsi="Times New Roman" w:eastAsia="宋体" w:cs="Times New Roman"/>
      <w:sz w:val="21"/>
      <w:lang w:val="en-US" w:eastAsia="zh-CN" w:bidi="ar-SA"/>
    </w:rPr>
  </w:style>
  <w:style w:type="paragraph" w:customStyle="1" w:styleId="60">
    <w:name w:val="列项◆（三级）"/>
    <w:basedOn w:val="1"/>
    <w:uiPriority w:val="0"/>
    <w:pPr>
      <w:numPr>
        <w:ilvl w:val="2"/>
        <w:numId w:val="3"/>
      </w:numPr>
    </w:pPr>
    <w:rPr>
      <w:rFonts w:ascii="宋体"/>
      <w:szCs w:val="21"/>
    </w:rPr>
  </w:style>
  <w:style w:type="paragraph" w:customStyle="1" w:styleId="61">
    <w:name w:val="编号列项（三级）"/>
    <w:uiPriority w:val="0"/>
    <w:pPr>
      <w:numPr>
        <w:ilvl w:val="2"/>
        <w:numId w:val="4"/>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0"/>
      </w:numPr>
      <w:spacing w:beforeLines="0" w:afterLines="0"/>
      <w:ind w:firstLine="363"/>
      <w:outlineLvl w:val="9"/>
    </w:pPr>
    <w:rPr>
      <w:rFonts w:ascii="宋体" w:eastAsia="宋体"/>
      <w:sz w:val="18"/>
      <w:szCs w:val="18"/>
    </w:rPr>
  </w:style>
  <w:style w:type="paragraph" w:customStyle="1" w:styleId="63">
    <w:name w:val="二级无"/>
    <w:basedOn w:val="46"/>
    <w:uiPriority w:val="0"/>
    <w:pPr>
      <w:spacing w:beforeLines="0" w:afterLines="0"/>
      <w:ind w:left="0"/>
    </w:pPr>
    <w:rPr>
      <w:rFonts w:ascii="宋体" w:eastAsia="宋体"/>
    </w:rPr>
  </w:style>
  <w:style w:type="paragraph" w:customStyle="1" w:styleId="64">
    <w:name w:val="注：（正文）"/>
    <w:basedOn w:val="57"/>
    <w:next w:val="23"/>
    <w:uiPriority w:val="0"/>
  </w:style>
  <w:style w:type="paragraph" w:customStyle="1" w:styleId="65">
    <w:name w:val="注×：（正文）"/>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4"/>
    <w:uiPriority w:val="0"/>
    <w:rPr>
      <w:rFonts w:ascii="黑体" w:eastAsia="黑体"/>
      <w:spacing w:val="85"/>
      <w:w w:val="100"/>
      <w:position w:val="3"/>
      <w:sz w:val="28"/>
      <w:szCs w:val="28"/>
    </w:rPr>
  </w:style>
  <w:style w:type="paragraph" w:customStyle="1" w:styleId="74">
    <w:name w:val="发布部门"/>
    <w:next w:val="2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uiPriority w:val="0"/>
    <w:pPr>
      <w:framePr w:wrap="around"/>
      <w:spacing w:before="370" w:line="400" w:lineRule="exact"/>
    </w:pPr>
    <w:rPr>
      <w:rFonts w:ascii="Times New Roman"/>
      <w:sz w:val="28"/>
      <w:szCs w:val="28"/>
    </w:rPr>
  </w:style>
  <w:style w:type="paragraph" w:customStyle="1" w:styleId="80">
    <w:name w:val="封面一致性程度标识"/>
    <w:basedOn w:val="79"/>
    <w:uiPriority w:val="0"/>
    <w:pPr>
      <w:framePr w:wrap="around"/>
      <w:spacing w:before="440"/>
    </w:pPr>
    <w:rPr>
      <w:rFonts w:ascii="宋体" w:eastAsia="宋体"/>
    </w:rPr>
  </w:style>
  <w:style w:type="paragraph" w:customStyle="1" w:styleId="81">
    <w:name w:val="封面标准文稿类别"/>
    <w:basedOn w:val="80"/>
    <w:uiPriority w:val="0"/>
    <w:pPr>
      <w:framePr w:wrap="around"/>
      <w:spacing w:after="160" w:line="240" w:lineRule="auto"/>
    </w:pPr>
    <w:rPr>
      <w:sz w:val="24"/>
    </w:rPr>
  </w:style>
  <w:style w:type="paragraph" w:customStyle="1" w:styleId="82">
    <w:name w:val="封面标准文稿编辑信息"/>
    <w:basedOn w:val="81"/>
    <w:uiPriority w:val="0"/>
    <w:pPr>
      <w:framePr w:wrap="around"/>
      <w:spacing w:before="180" w:line="180" w:lineRule="exact"/>
    </w:pPr>
    <w:rPr>
      <w:sz w:val="21"/>
    </w:rPr>
  </w:style>
  <w:style w:type="paragraph" w:customStyle="1" w:styleId="83">
    <w:name w:val="封面正文"/>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uiPriority w:val="0"/>
    <w:pPr>
      <w:ind w:firstLine="0" w:firstLineChars="0"/>
      <w:jc w:val="center"/>
    </w:pPr>
    <w:rPr>
      <w:rFonts w:ascii="黑体" w:eastAsia="黑体"/>
    </w:rPr>
  </w:style>
  <w:style w:type="paragraph" w:customStyle="1" w:styleId="86">
    <w:name w:val="附录表标号"/>
    <w:basedOn w:val="1"/>
    <w:next w:val="23"/>
    <w:uiPriority w:val="0"/>
    <w:pPr>
      <w:numPr>
        <w:ilvl w:val="0"/>
        <w:numId w:val="7"/>
      </w:numPr>
      <w:tabs>
        <w:tab w:val="clear" w:pos="0"/>
      </w:tabs>
      <w:spacing w:line="14" w:lineRule="exact"/>
      <w:ind w:left="811" w:hanging="448"/>
      <w:jc w:val="center"/>
      <w:outlineLvl w:val="0"/>
    </w:pPr>
    <w:rPr>
      <w:color w:val="FFFFFF"/>
    </w:rPr>
  </w:style>
  <w:style w:type="paragraph" w:customStyle="1" w:styleId="87">
    <w:name w:val="附录表标题"/>
    <w:basedOn w:val="1"/>
    <w:next w:val="23"/>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uiPriority w:val="0"/>
    <w:pPr>
      <w:numPr>
        <w:ilvl w:val="4"/>
      </w:numPr>
      <w:outlineLvl w:val="4"/>
    </w:pPr>
  </w:style>
  <w:style w:type="paragraph" w:customStyle="1" w:styleId="94">
    <w:name w:val="附录三级无"/>
    <w:basedOn w:val="93"/>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6">
    <w:name w:val="附录四级条标题"/>
    <w:basedOn w:val="93"/>
    <w:next w:val="23"/>
    <w:uiPriority w:val="0"/>
    <w:pPr>
      <w:numPr>
        <w:ilvl w:val="5"/>
      </w:numPr>
      <w:outlineLvl w:val="5"/>
    </w:pPr>
  </w:style>
  <w:style w:type="paragraph" w:customStyle="1" w:styleId="97">
    <w:name w:val="附录四级无"/>
    <w:basedOn w:val="96"/>
    <w:uiPriority w:val="0"/>
    <w:pPr>
      <w:tabs>
        <w:tab w:val="clear" w:pos="360"/>
      </w:tabs>
      <w:spacing w:beforeLines="0" w:afterLines="0"/>
    </w:pPr>
    <w:rPr>
      <w:rFonts w:ascii="宋体" w:eastAsia="宋体"/>
      <w:szCs w:val="21"/>
    </w:rPr>
  </w:style>
  <w:style w:type="paragraph" w:customStyle="1" w:styleId="98">
    <w:name w:val="附录图标号"/>
    <w:basedOn w:val="1"/>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9">
    <w:name w:val="附录图标题"/>
    <w:basedOn w:val="1"/>
    <w:next w:val="23"/>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uiPriority w:val="0"/>
    <w:pPr>
      <w:numPr>
        <w:ilvl w:val="6"/>
      </w:numPr>
      <w:outlineLvl w:val="6"/>
    </w:pPr>
  </w:style>
  <w:style w:type="paragraph" w:customStyle="1" w:styleId="101">
    <w:name w:val="附录五级无"/>
    <w:basedOn w:val="100"/>
    <w:uiPriority w:val="0"/>
    <w:pPr>
      <w:tabs>
        <w:tab w:val="clear" w:pos="360"/>
      </w:tabs>
      <w:spacing w:beforeLines="0" w:afterLines="0"/>
    </w:pPr>
    <w:rPr>
      <w:rFonts w:ascii="宋体" w:eastAsia="宋体"/>
      <w:szCs w:val="21"/>
    </w:rPr>
  </w:style>
  <w:style w:type="paragraph" w:customStyle="1" w:styleId="102">
    <w:name w:val="附录章标题"/>
    <w:next w:val="23"/>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uiPriority w:val="0"/>
    <w:pPr>
      <w:numPr>
        <w:ilvl w:val="2"/>
      </w:numPr>
      <w:autoSpaceDN w:val="0"/>
      <w:spacing w:beforeLines="50" w:afterLines="50"/>
      <w:outlineLvl w:val="2"/>
    </w:pPr>
  </w:style>
  <w:style w:type="paragraph" w:customStyle="1" w:styleId="104">
    <w:name w:val="附录一级无"/>
    <w:basedOn w:val="103"/>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uiPriority w:val="0"/>
    <w:pPr>
      <w:framePr w:w="6101" w:wrap="around" w:vAnchor="page" w:hAnchor="page" w:x="4673" w:y="942"/>
    </w:pPr>
    <w:rPr>
      <w:w w:val="130"/>
    </w:rPr>
  </w:style>
  <w:style w:type="paragraph" w:customStyle="1" w:styleId="110">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uiPriority w:val="0"/>
    <w:pPr>
      <w:framePr w:wrap="around" w:y="15310"/>
      <w:spacing w:line="0" w:lineRule="atLeast"/>
    </w:pPr>
    <w:rPr>
      <w:rFonts w:ascii="黑体" w:eastAsia="黑体"/>
      <w:b w:val="0"/>
    </w:rPr>
  </w:style>
  <w:style w:type="paragraph" w:customStyle="1" w:styleId="112">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uiPriority w:val="0"/>
    <w:pPr>
      <w:spacing w:beforeLines="0" w:afterLines="0"/>
    </w:pPr>
    <w:rPr>
      <w:rFonts w:ascii="宋体" w:eastAsia="宋体"/>
    </w:rPr>
  </w:style>
  <w:style w:type="paragraph" w:customStyle="1" w:styleId="114">
    <w:name w:val="实施日期"/>
    <w:basedOn w:val="75"/>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tabs>
        <w:tab w:val="left" w:pos="360"/>
      </w:tabs>
    </w:pPr>
    <w:rPr>
      <w:rFonts w:ascii="宋体" w:hAnsi="宋体" w:eastAsia="宋体" w:cs="Times New Roman"/>
      <w:kern w:val="2"/>
      <w:sz w:val="18"/>
      <w:szCs w:val="18"/>
      <w:lang w:val="en-US" w:eastAsia="zh-CN" w:bidi="ar-SA"/>
    </w:rPr>
  </w:style>
  <w:style w:type="character" w:customStyle="1" w:styleId="117">
    <w:name w:val="首示例 Char"/>
    <w:basedOn w:val="34"/>
    <w:link w:val="116"/>
    <w:uiPriority w:val="0"/>
    <w:rPr>
      <w:rFonts w:ascii="宋体" w:hAnsi="宋体"/>
      <w:kern w:val="2"/>
      <w:sz w:val="18"/>
      <w:szCs w:val="18"/>
    </w:rPr>
  </w:style>
  <w:style w:type="paragraph" w:customStyle="1" w:styleId="118">
    <w:name w:val="四级无"/>
    <w:basedOn w:val="55"/>
    <w:uiPriority w:val="0"/>
    <w:pPr>
      <w:spacing w:beforeLines="0" w:afterLines="0"/>
    </w:pPr>
    <w:rPr>
      <w:rFonts w:ascii="宋体" w:eastAsia="宋体"/>
    </w:rPr>
  </w:style>
  <w:style w:type="paragraph" w:customStyle="1" w:styleId="119">
    <w:name w:val="条文脚注"/>
    <w:basedOn w:val="24"/>
    <w:uiPriority w:val="0"/>
    <w:pPr>
      <w:numPr>
        <w:numId w:val="0"/>
      </w:numPr>
      <w:jc w:val="both"/>
    </w:pPr>
  </w:style>
  <w:style w:type="paragraph" w:customStyle="1" w:styleId="120">
    <w:name w:val="图标脚注说明"/>
    <w:basedOn w:val="23"/>
    <w:uiPriority w:val="0"/>
    <w:pPr>
      <w:ind w:left="840" w:hanging="420" w:firstLineChars="0"/>
    </w:pPr>
    <w:rPr>
      <w:sz w:val="18"/>
      <w:szCs w:val="18"/>
    </w:rPr>
  </w:style>
  <w:style w:type="paragraph" w:customStyle="1" w:styleId="121">
    <w:name w:val="图表脚注说明"/>
    <w:basedOn w:val="1"/>
    <w:uiPriority w:val="0"/>
    <w:pPr>
      <w:ind w:left="544" w:hanging="181"/>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uiPriority w:val="0"/>
    <w:pPr>
      <w:spacing w:beforeLines="0" w:afterLines="0"/>
    </w:pPr>
    <w:rPr>
      <w:rFonts w:ascii="宋体" w:eastAsia="宋体"/>
    </w:rPr>
  </w:style>
  <w:style w:type="paragraph" w:customStyle="1" w:styleId="125">
    <w:name w:val="一级无"/>
    <w:basedOn w:val="42"/>
    <w:uiPriority w:val="0"/>
    <w:pPr>
      <w:spacing w:beforeLines="0" w:afterLines="0"/>
      <w:ind w:left="993"/>
    </w:pPr>
    <w:rPr>
      <w:rFonts w:ascii="宋体" w:eastAsia="宋体"/>
    </w:rPr>
  </w:style>
  <w:style w:type="paragraph" w:customStyle="1" w:styleId="126">
    <w:name w:val="正文表标题"/>
    <w:next w:val="23"/>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75"/>
    <w:uiPriority w:val="0"/>
    <w:pPr>
      <w:framePr w:wrap="around" w:vAnchor="page" w:hAnchor="text" w:x="1419"/>
    </w:pPr>
  </w:style>
  <w:style w:type="paragraph" w:customStyle="1" w:styleId="131">
    <w:name w:val="其他实施日期"/>
    <w:basedOn w:val="114"/>
    <w:uiPriority w:val="0"/>
    <w:pPr>
      <w:framePr w:wrap="around"/>
    </w:pPr>
  </w:style>
  <w:style w:type="paragraph" w:customStyle="1" w:styleId="132">
    <w:name w:val="封面标准名称2"/>
    <w:basedOn w:val="78"/>
    <w:uiPriority w:val="0"/>
    <w:pPr>
      <w:framePr w:wrap="around" w:y="4469"/>
      <w:spacing w:beforeLines="630"/>
    </w:pPr>
  </w:style>
  <w:style w:type="paragraph" w:customStyle="1" w:styleId="133">
    <w:name w:val="封面标准英文名称2"/>
    <w:basedOn w:val="79"/>
    <w:uiPriority w:val="0"/>
    <w:pPr>
      <w:framePr w:wrap="around" w:y="4469"/>
    </w:pPr>
  </w:style>
  <w:style w:type="paragraph" w:customStyle="1" w:styleId="134">
    <w:name w:val="封面一致性程度标识2"/>
    <w:basedOn w:val="80"/>
    <w:uiPriority w:val="0"/>
    <w:pPr>
      <w:framePr w:wrap="around" w:y="4469"/>
    </w:pPr>
  </w:style>
  <w:style w:type="paragraph" w:customStyle="1" w:styleId="135">
    <w:name w:val="封面标准文稿类别2"/>
    <w:basedOn w:val="81"/>
    <w:uiPriority w:val="0"/>
    <w:pPr>
      <w:framePr w:wrap="around" w:y="4469"/>
    </w:pPr>
  </w:style>
  <w:style w:type="paragraph" w:customStyle="1" w:styleId="136">
    <w:name w:val="封面标准文稿编辑信息2"/>
    <w:basedOn w:val="82"/>
    <w:uiPriority w:val="0"/>
    <w:pPr>
      <w:framePr w:wrap="around" w:y="4469"/>
    </w:pPr>
  </w:style>
  <w:style w:type="character" w:customStyle="1" w:styleId="137">
    <w:name w:val="批注框文本 字符"/>
    <w:basedOn w:val="34"/>
    <w:link w:val="16"/>
    <w:uiPriority w:val="0"/>
    <w:rPr>
      <w:kern w:val="2"/>
      <w:sz w:val="18"/>
      <w:szCs w:val="18"/>
    </w:rPr>
  </w:style>
  <w:style w:type="paragraph" w:customStyle="1" w:styleId="138">
    <w:name w:val="二级无标题条"/>
    <w:basedOn w:val="1"/>
    <w:uiPriority w:val="0"/>
    <w:pPr>
      <w:numPr>
        <w:ilvl w:val="3"/>
        <w:numId w:val="10"/>
      </w:numPr>
    </w:pPr>
  </w:style>
  <w:style w:type="paragraph" w:customStyle="1" w:styleId="139">
    <w:name w:val="三级无标题条"/>
    <w:basedOn w:val="1"/>
    <w:uiPriority w:val="0"/>
    <w:pPr>
      <w:numPr>
        <w:ilvl w:val="4"/>
        <w:numId w:val="10"/>
      </w:numPr>
    </w:pPr>
  </w:style>
  <w:style w:type="paragraph" w:customStyle="1" w:styleId="140">
    <w:name w:val="四级无标题条"/>
    <w:basedOn w:val="1"/>
    <w:uiPriority w:val="0"/>
    <w:pPr>
      <w:numPr>
        <w:ilvl w:val="5"/>
        <w:numId w:val="10"/>
      </w:numPr>
    </w:pPr>
  </w:style>
  <w:style w:type="paragraph" w:customStyle="1" w:styleId="141">
    <w:name w:val="五级无标题条"/>
    <w:basedOn w:val="1"/>
    <w:uiPriority w:val="0"/>
    <w:pPr>
      <w:numPr>
        <w:ilvl w:val="6"/>
        <w:numId w:val="10"/>
      </w:numPr>
    </w:pPr>
  </w:style>
  <w:style w:type="paragraph" w:customStyle="1" w:styleId="142">
    <w:name w:val="一级无标题条"/>
    <w:basedOn w:val="1"/>
    <w:uiPriority w:val="0"/>
    <w:pPr>
      <w:numPr>
        <w:ilvl w:val="2"/>
        <w:numId w:val="10"/>
      </w:numPr>
    </w:pPr>
  </w:style>
  <w:style w:type="character" w:customStyle="1" w:styleId="143">
    <w:name w:val="批注文字 字符"/>
    <w:basedOn w:val="34"/>
    <w:link w:val="7"/>
    <w:uiPriority w:val="0"/>
    <w:rPr>
      <w:kern w:val="2"/>
      <w:sz w:val="21"/>
      <w:szCs w:val="24"/>
    </w:rPr>
  </w:style>
  <w:style w:type="character" w:customStyle="1" w:styleId="144">
    <w:name w:val="medium_text1"/>
    <w:uiPriority w:val="0"/>
    <w:rPr>
      <w:sz w:val="24"/>
      <w:szCs w:val="24"/>
    </w:rPr>
  </w:style>
  <w:style w:type="paragraph" w:styleId="145">
    <w:name w:val="List Paragraph"/>
    <w:basedOn w:val="1"/>
    <w:qFormat/>
    <w:uiPriority w:val="34"/>
    <w:pPr>
      <w:ind w:firstLine="420" w:firstLineChars="200"/>
    </w:pPr>
  </w:style>
  <w:style w:type="character" w:styleId="146">
    <w:name w:val="Placeholder Text"/>
    <w:basedOn w:val="34"/>
    <w:semiHidden/>
    <w:uiPriority w:val="99"/>
    <w:rPr>
      <w:color w:val="808080"/>
    </w:rPr>
  </w:style>
  <w:style w:type="character" w:customStyle="1" w:styleId="147">
    <w:name w:val="正文文本 字符"/>
    <w:basedOn w:val="34"/>
    <w:link w:val="9"/>
    <w:semiHidden/>
    <w:uiPriority w:val="0"/>
    <w:rPr>
      <w:kern w:val="2"/>
      <w:sz w:val="21"/>
      <w:szCs w:val="24"/>
    </w:rPr>
  </w:style>
  <w:style w:type="character" w:customStyle="1" w:styleId="148">
    <w:name w:val="正文文本首行缩进 字符"/>
    <w:basedOn w:val="147"/>
    <w:link w:val="31"/>
    <w:semiHidden/>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9" Type="http://schemas.openxmlformats.org/officeDocument/2006/relationships/fontTable" Target="fontTable.xml"/><Relationship Id="rId48" Type="http://schemas.microsoft.com/office/2006/relationships/keyMapCustomizations" Target="customizations.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2.png"/><Relationship Id="rId43" Type="http://schemas.openxmlformats.org/officeDocument/2006/relationships/image" Target="media/image21.wmf"/><Relationship Id="rId42" Type="http://schemas.openxmlformats.org/officeDocument/2006/relationships/oleObject" Target="embeddings/oleObject17.bin"/><Relationship Id="rId41" Type="http://schemas.openxmlformats.org/officeDocument/2006/relationships/image" Target="media/image20.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9.wmf"/><Relationship Id="rId38" Type="http://schemas.openxmlformats.org/officeDocument/2006/relationships/oleObject" Target="embeddings/oleObject15.bin"/><Relationship Id="rId37" Type="http://schemas.openxmlformats.org/officeDocument/2006/relationships/image" Target="media/image18.wmf"/><Relationship Id="rId36" Type="http://schemas.openxmlformats.org/officeDocument/2006/relationships/oleObject" Target="embeddings/oleObject14.bin"/><Relationship Id="rId35" Type="http://schemas.openxmlformats.org/officeDocument/2006/relationships/image" Target="media/image17.wmf"/><Relationship Id="rId34" Type="http://schemas.openxmlformats.org/officeDocument/2006/relationships/oleObject" Target="embeddings/oleObject13.bin"/><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16DF6-ABF9-4749-A877-78A533659864}">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14</Pages>
  <Words>1455</Words>
  <Characters>8298</Characters>
  <Lines>69</Lines>
  <Paragraphs>19</Paragraphs>
  <TotalTime>4</TotalTime>
  <ScaleCrop>false</ScaleCrop>
  <LinksUpToDate>false</LinksUpToDate>
  <CharactersWithSpaces>9734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2021-05-23T02:25:00Z</dcterms:created>
  <dc:creator>CNIS</dc:creator>
  <cp:lastModifiedBy>CathayMok</cp:lastModifiedBy>
  <cp:lastPrinted>2021-03-21T07:58:00Z</cp:lastPrinted>
  <dcterms:modified xsi:type="dcterms:W3CDTF">2021-05-31T16:07:57Z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0D43BA0498624FC0ABB0EA3CC21E5D63</vt:lpwstr>
  </property>
</Properties>
</file>