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left="-160" w:leftChars="-76" w:firstLine="140" w:firstLineChars="5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附件</w:t>
      </w:r>
      <w:r>
        <w:rPr>
          <w:rFonts w:hint="eastAsia" w:ascii="黑体" w:hAnsi="黑体" w:eastAsia="黑体" w:cs="Times New Roman"/>
          <w:sz w:val="28"/>
          <w:szCs w:val="28"/>
        </w:rPr>
        <w:t>1</w:t>
      </w:r>
      <w:r>
        <w:rPr>
          <w:rFonts w:ascii="黑体" w:hAnsi="黑体" w:eastAsia="黑体" w:cs="Times New Roman"/>
          <w:sz w:val="28"/>
          <w:szCs w:val="28"/>
        </w:rPr>
        <w:t>：</w:t>
      </w:r>
      <w:r>
        <w:rPr>
          <w:rFonts w:hint="eastAsia" w:ascii="黑体" w:hAnsi="黑体" w:eastAsia="黑体" w:cs="Times New Roman"/>
          <w:sz w:val="28"/>
          <w:szCs w:val="28"/>
        </w:rPr>
        <w:t xml:space="preserve">                  </w:t>
      </w:r>
      <w:r>
        <w:rPr>
          <w:rFonts w:ascii="黑体" w:hAnsi="黑体" w:eastAsia="黑体" w:cs="Times New Roman"/>
          <w:sz w:val="28"/>
          <w:szCs w:val="28"/>
        </w:rPr>
        <w:t>稀有金属分标委会</w:t>
      </w:r>
      <w:r>
        <w:rPr>
          <w:rFonts w:hint="eastAsia" w:ascii="黑体" w:hAnsi="黑体" w:eastAsia="黑体" w:cs="Times New Roman"/>
          <w:sz w:val="28"/>
          <w:szCs w:val="28"/>
        </w:rPr>
        <w:t>审定、预审、</w:t>
      </w:r>
      <w:r>
        <w:rPr>
          <w:rFonts w:ascii="黑体" w:hAnsi="黑体" w:eastAsia="黑体" w:cs="Times New Roman"/>
          <w:sz w:val="28"/>
          <w:szCs w:val="28"/>
        </w:rPr>
        <w:t>讨论</w:t>
      </w:r>
      <w:r>
        <w:rPr>
          <w:rFonts w:hint="eastAsia" w:ascii="黑体" w:hAnsi="黑体" w:eastAsia="黑体" w:cs="Times New Roman"/>
          <w:sz w:val="28"/>
          <w:szCs w:val="28"/>
        </w:rPr>
        <w:t>和任务落实</w:t>
      </w:r>
      <w:r>
        <w:rPr>
          <w:rFonts w:ascii="黑体" w:hAnsi="黑体" w:eastAsia="黑体" w:cs="Times New Roman"/>
          <w:sz w:val="28"/>
          <w:szCs w:val="28"/>
        </w:rPr>
        <w:t>的标准项目</w:t>
      </w:r>
    </w:p>
    <w:tbl>
      <w:tblPr>
        <w:tblStyle w:val="3"/>
        <w:tblW w:w="1402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976"/>
        <w:gridCol w:w="2835"/>
        <w:gridCol w:w="6804"/>
        <w:gridCol w:w="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71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29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83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680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</w:t>
            </w:r>
            <w:r>
              <w:rPr>
                <w:rFonts w:hint="eastAsia" w:asciiTheme="minorEastAsia" w:hAnsiTheme="minorEastAsia"/>
                <w:b/>
                <w:szCs w:val="21"/>
              </w:rPr>
              <w:t>及相关</w:t>
            </w:r>
            <w:r>
              <w:rPr>
                <w:rFonts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70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钛及钛合金板材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国标委发〔2020〕6号</w:t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20200746-T-610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宝钛集团有限公司、宝鸡钛业股份有限公司等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钛及钛合金丝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国标委发〔2020〕6号</w:t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20200737-T-610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宝钛集团有限公司、宝鸡钛业股份有限公司等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液态金属物理性能测定方法  第2部分：电导率的测定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国标委发〔2019〕29号</w:t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20193120-T-610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云南科威液态金属谷研发有限公司、云南省科学技术院等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钨铜合金板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工信厅科函〔2019〕276号  2019-1748T-YS</w:t>
            </w:r>
          </w:p>
        </w:tc>
        <w:tc>
          <w:tcPr>
            <w:tcW w:w="680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安泰天龙（天津）钨钼科技有限公司等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钛及钛合金方形和矩形管材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国标委发〔2019〕29号</w:t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20193121-T-610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宝钛集团有限公司、宝鸡钛业股份有限公司等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紧固件用钛及钛合金棒材和丝材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国标委发〔2020〕37号20202822-T-610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宝钛集团有限公司、宝鸡钛业股份有限公司等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电子封装用钼铜层状复合材料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工信厅科函〔2020〕263号</w:t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2020-1200T-YS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安泰天龙钨钼科技有限公司、安泰科技股份有限公司等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锻造钛合金无缝管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工信厅科函〔2020〕263号</w:t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2020-1201T-YS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宝鸡拓普达钛业有限公司、西北机电工程研究所、江南工业集团有限公司等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电解钛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工信厅科函〔2020〕263号</w:t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2020-1502T-YS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宁波创润新材料有限公司、宁波诺丁汉大学、有研工程技术研究院有限公司等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纯三氧化钼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工信厅科函〔2020〕263号</w:t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2020-1554T-YS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金堆城钼业股份有限公司、安庆月铜化工有限公司、成都虹波钼业有限公司、锦州新华龙大有钼业股份有限公司等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热电偶用钼管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工信厅科函〔2020〕263号</w:t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color w:val="000000"/>
                <w:sz w:val="22"/>
              </w:rPr>
              <w:t>2020-1555T-YS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金堆城钼业股份有限公司、国核宝钛锆业股份有限公司、洛阳科威钨钼有限公司等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电解钛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工信厅科函〔2020〕263号</w:t>
            </w:r>
            <w:r>
              <w:rPr>
                <w:rFonts w:hint="eastAsia" w:ascii="宋体" w:hAnsi="宋体"/>
                <w:color w:val="00000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2"/>
              </w:rPr>
              <w:t>2020-1502T-YS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宁波创润新材料有限公司、宁波诺丁汉大学、有研工程技术研究院有限公司等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fldChar w:fldCharType="begin"/>
            </w:r>
            <w:r>
              <w:instrText xml:space="preserve"> HYPERLINK "http://zxd.sacinfo.org.cn/gb/gbdetail/loadview?projectId=129681" \t "_blank"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 w:val="22"/>
              </w:rPr>
              <w:t>增材制造用钛及钛合金丝材</w:t>
            </w:r>
            <w:r>
              <w:rPr>
                <w:rFonts w:hint="eastAsia" w:ascii="宋体" w:hAnsi="宋体"/>
                <w:color w:val="000000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国标委发〔2021〕12号</w:t>
            </w:r>
            <w:r>
              <w:rPr>
                <w:rFonts w:hint="eastAsia" w:ascii="宋体" w:hAnsi="宋体"/>
                <w:color w:val="000000"/>
                <w:sz w:val="22"/>
              </w:rPr>
              <w:t>20210821-T-610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宝钛集团有限公司、宝鸡钛业股份有限公司、西部超导材料股份有限公司等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fldChar w:fldCharType="begin"/>
            </w:r>
            <w:r>
              <w:instrText xml:space="preserve"> HYPERLINK "http://zxd.sacinfo.org.cn/gb/gbdetail/loadview?projectId=129683" \t "_blank"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 w:val="22"/>
              </w:rPr>
              <w:t>钛及钛合金带、箔材</w:t>
            </w:r>
            <w:r>
              <w:rPr>
                <w:rFonts w:hint="eastAsia" w:ascii="宋体" w:hAnsi="宋体"/>
                <w:color w:val="000000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国标委发〔2021〕12号</w:t>
            </w:r>
            <w:r>
              <w:rPr>
                <w:rFonts w:hint="eastAsia" w:ascii="宋体" w:hAnsi="宋体"/>
                <w:color w:val="000000"/>
                <w:sz w:val="22"/>
              </w:rPr>
              <w:t>20210820-T-610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宝钛集团有限公司、宝鸡钛业股份有限公司、湖南湘投金天新材料有限公司等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fldChar w:fldCharType="begin"/>
            </w:r>
            <w:r>
              <w:instrText xml:space="preserve"> HYPERLINK "http://zxd.sacinfo.org.cn/gb/gbdetail/loadview?projectId=129686" \t "_blank"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 w:val="22"/>
              </w:rPr>
              <w:t>钼及钼合金管靶</w:t>
            </w:r>
            <w:r>
              <w:rPr>
                <w:rFonts w:hint="eastAsia" w:ascii="宋体" w:hAnsi="宋体"/>
                <w:color w:val="000000"/>
                <w:sz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国标委发〔2021〕12号</w:t>
            </w:r>
            <w:r>
              <w:rPr>
                <w:rFonts w:hint="eastAsia" w:ascii="宋体" w:hAnsi="宋体"/>
                <w:color w:val="000000"/>
                <w:sz w:val="22"/>
              </w:rPr>
              <w:t>20210819-T-610</w:t>
            </w:r>
          </w:p>
        </w:tc>
        <w:tc>
          <w:tcPr>
            <w:tcW w:w="6804" w:type="dxa"/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金堆城钼业股份有限公司、株洲硬质合金有限公司，安泰天龙钨钼科技有限公司、洛阳科威钨钼有限公司等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任务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落实</w:t>
            </w:r>
          </w:p>
        </w:tc>
      </w:tr>
    </w:tbl>
    <w:p>
      <w:pPr>
        <w:spacing w:after="156" w:afterLines="50" w:line="400" w:lineRule="exact"/>
        <w:ind w:left="-160" w:leftChars="-76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·</w:t>
      </w:r>
    </w:p>
    <w:p>
      <w:pPr>
        <w:widowControl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br w:type="page"/>
      </w:r>
    </w:p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95698"/>
    <w:rsid w:val="11D9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2021-05-26T11:21:00Z</dcterms:created>
  <dc:creator>CathayMok</dc:creator>
  <cp:lastModifiedBy>CathayMok</cp:lastModifiedBy>
  <dcterms:modified xsi:type="dcterms:W3CDTF">2021-05-26T11:21:25Z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