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DC" w:rsidRDefault="00DB52DC">
      <w:pPr>
        <w:pStyle w:val="af1"/>
        <w:spacing w:line="240" w:lineRule="auto"/>
        <w:rPr>
          <w:rFonts w:ascii="Times New Roman"/>
          <w:b/>
          <w:bCs/>
          <w:sz w:val="28"/>
          <w:szCs w:val="28"/>
        </w:rPr>
      </w:pPr>
    </w:p>
    <w:p w:rsidR="00DB52DC" w:rsidRDefault="00DB52DC">
      <w:pPr>
        <w:pStyle w:val="af1"/>
        <w:spacing w:line="240" w:lineRule="auto"/>
        <w:rPr>
          <w:rFonts w:ascii="Times New Roman"/>
          <w:b/>
          <w:bCs/>
          <w:sz w:val="28"/>
          <w:szCs w:val="28"/>
        </w:rPr>
      </w:pPr>
    </w:p>
    <w:p w:rsidR="00DB52DC" w:rsidRDefault="00DB52DC">
      <w:pPr>
        <w:pStyle w:val="af1"/>
        <w:spacing w:line="240" w:lineRule="auto"/>
        <w:jc w:val="both"/>
        <w:rPr>
          <w:rFonts w:ascii="Times New Roman"/>
          <w:b/>
          <w:bCs/>
          <w:sz w:val="28"/>
          <w:szCs w:val="28"/>
        </w:rPr>
      </w:pPr>
    </w:p>
    <w:p w:rsidR="00DB52DC" w:rsidRDefault="003D1DE8">
      <w:pPr>
        <w:snapToGrid w:val="0"/>
        <w:spacing w:line="360" w:lineRule="auto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eastAsia="黑体"/>
          <w:bCs/>
          <w:color w:val="000000"/>
          <w:sz w:val="44"/>
          <w:szCs w:val="44"/>
        </w:rPr>
        <w:t>有色金属行业标准</w:t>
      </w:r>
    </w:p>
    <w:p w:rsidR="00DB52DC" w:rsidRDefault="003D1DE8">
      <w:pPr>
        <w:spacing w:line="360" w:lineRule="auto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 w:hint="eastAsia"/>
          <w:bCs/>
          <w:color w:val="000000"/>
          <w:sz w:val="36"/>
          <w:szCs w:val="36"/>
        </w:rPr>
        <w:t>镍精矿</w:t>
      </w:r>
      <w:r>
        <w:rPr>
          <w:rFonts w:eastAsia="黑体"/>
          <w:bCs/>
          <w:color w:val="000000"/>
          <w:sz w:val="36"/>
          <w:szCs w:val="36"/>
        </w:rPr>
        <w:t>化学分析方法</w:t>
      </w:r>
    </w:p>
    <w:p w:rsidR="00DB52DC" w:rsidRDefault="00A30A29">
      <w:pPr>
        <w:spacing w:line="360" w:lineRule="auto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第</w:t>
      </w:r>
      <w:r>
        <w:rPr>
          <w:rFonts w:eastAsia="黑体"/>
          <w:bCs/>
          <w:color w:val="000000"/>
          <w:sz w:val="36"/>
          <w:szCs w:val="36"/>
        </w:rPr>
        <w:t>7</w:t>
      </w:r>
      <w:r>
        <w:rPr>
          <w:rFonts w:eastAsia="黑体"/>
          <w:bCs/>
          <w:color w:val="000000"/>
          <w:sz w:val="36"/>
          <w:szCs w:val="36"/>
        </w:rPr>
        <w:t>部分</w:t>
      </w:r>
      <w:r w:rsidR="003D1DE8">
        <w:rPr>
          <w:rFonts w:eastAsia="黑体"/>
          <w:bCs/>
          <w:color w:val="000000"/>
          <w:sz w:val="36"/>
          <w:szCs w:val="36"/>
        </w:rPr>
        <w:t>：</w:t>
      </w:r>
      <w:r>
        <w:rPr>
          <w:rFonts w:eastAsia="黑体"/>
          <w:bCs/>
          <w:color w:val="000000"/>
          <w:sz w:val="36"/>
          <w:szCs w:val="36"/>
        </w:rPr>
        <w:t>银含量的测定</w:t>
      </w:r>
    </w:p>
    <w:p w:rsidR="00DB52DC" w:rsidRDefault="00A30A29">
      <w:pPr>
        <w:spacing w:line="360" w:lineRule="auto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火焰原子吸收法</w:t>
      </w:r>
    </w:p>
    <w:p w:rsidR="00DB52DC" w:rsidRDefault="00DB52DC">
      <w:pPr>
        <w:spacing w:line="360" w:lineRule="auto"/>
        <w:jc w:val="center"/>
        <w:rPr>
          <w:rFonts w:eastAsia="黑体"/>
          <w:bCs/>
          <w:color w:val="000000"/>
          <w:sz w:val="36"/>
          <w:szCs w:val="36"/>
        </w:rPr>
      </w:pPr>
    </w:p>
    <w:p w:rsidR="00DB52DC" w:rsidRDefault="003D1DE8">
      <w:pPr>
        <w:spacing w:line="360" w:lineRule="auto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编制说明</w:t>
      </w:r>
    </w:p>
    <w:p w:rsidR="00DB52DC" w:rsidRDefault="00DB52DC">
      <w:pPr>
        <w:pStyle w:val="af1"/>
        <w:spacing w:line="240" w:lineRule="auto"/>
        <w:rPr>
          <w:rFonts w:ascii="Times New Roman"/>
          <w:bCs/>
          <w:sz w:val="28"/>
          <w:szCs w:val="28"/>
        </w:rPr>
      </w:pPr>
    </w:p>
    <w:p w:rsidR="00DB52DC" w:rsidRDefault="00DB52DC">
      <w:pPr>
        <w:pStyle w:val="af1"/>
        <w:spacing w:line="240" w:lineRule="auto"/>
        <w:rPr>
          <w:rFonts w:ascii="Times New Roman"/>
          <w:b/>
          <w:bCs/>
          <w:sz w:val="28"/>
          <w:szCs w:val="28"/>
        </w:rPr>
      </w:pPr>
    </w:p>
    <w:p w:rsidR="00DB52DC" w:rsidRDefault="00DB52DC">
      <w:pPr>
        <w:pStyle w:val="af1"/>
        <w:spacing w:line="240" w:lineRule="auto"/>
        <w:rPr>
          <w:rFonts w:ascii="Times New Roman"/>
          <w:b/>
          <w:bCs/>
          <w:sz w:val="28"/>
          <w:szCs w:val="28"/>
        </w:rPr>
      </w:pPr>
    </w:p>
    <w:p w:rsidR="00DB52DC" w:rsidRDefault="00DB52DC">
      <w:pPr>
        <w:pStyle w:val="af1"/>
        <w:spacing w:line="240" w:lineRule="auto"/>
        <w:rPr>
          <w:rFonts w:ascii="Times New Roman"/>
          <w:b/>
          <w:bCs/>
          <w:sz w:val="28"/>
          <w:szCs w:val="28"/>
        </w:rPr>
      </w:pPr>
    </w:p>
    <w:p w:rsidR="00DB52DC" w:rsidRDefault="00DB52DC">
      <w:pPr>
        <w:pStyle w:val="af1"/>
        <w:spacing w:line="240" w:lineRule="auto"/>
        <w:rPr>
          <w:rFonts w:ascii="Times New Roman"/>
          <w:b/>
          <w:bCs/>
          <w:sz w:val="28"/>
          <w:szCs w:val="28"/>
        </w:rPr>
      </w:pPr>
    </w:p>
    <w:p w:rsidR="00DB52DC" w:rsidRDefault="00DB52DC">
      <w:pPr>
        <w:pStyle w:val="af1"/>
        <w:spacing w:line="240" w:lineRule="auto"/>
        <w:rPr>
          <w:rFonts w:ascii="Times New Roman"/>
          <w:b/>
          <w:bCs/>
          <w:sz w:val="28"/>
          <w:szCs w:val="28"/>
        </w:rPr>
      </w:pPr>
    </w:p>
    <w:p w:rsidR="00DB52DC" w:rsidRDefault="00DB52DC">
      <w:pPr>
        <w:pStyle w:val="af1"/>
        <w:spacing w:line="240" w:lineRule="auto"/>
        <w:rPr>
          <w:rFonts w:ascii="Times New Roman"/>
          <w:b/>
          <w:bCs/>
          <w:sz w:val="28"/>
          <w:szCs w:val="28"/>
        </w:rPr>
      </w:pPr>
    </w:p>
    <w:p w:rsidR="00DB52DC" w:rsidRPr="00CF06B9" w:rsidRDefault="003D1DE8"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 w:rsidRPr="00CF06B9">
        <w:rPr>
          <w:rFonts w:ascii="黑体" w:eastAsia="黑体" w:hint="eastAsia"/>
          <w:bCs/>
          <w:color w:val="000000"/>
          <w:sz w:val="32"/>
          <w:szCs w:val="32"/>
        </w:rPr>
        <w:t>金川集团股份有限公司</w:t>
      </w:r>
    </w:p>
    <w:p w:rsidR="00DB52DC" w:rsidRDefault="00DB52DC">
      <w:pPr>
        <w:pStyle w:val="af1"/>
        <w:spacing w:line="240" w:lineRule="auto"/>
        <w:jc w:val="both"/>
        <w:rPr>
          <w:rFonts w:ascii="Times New Roman"/>
          <w:b/>
          <w:bCs/>
          <w:sz w:val="28"/>
          <w:szCs w:val="28"/>
        </w:rPr>
      </w:pPr>
    </w:p>
    <w:p w:rsidR="00CF06B9" w:rsidRPr="00CF06B9" w:rsidRDefault="00CF06B9">
      <w:pPr>
        <w:pStyle w:val="af1"/>
        <w:spacing w:line="240" w:lineRule="auto"/>
        <w:jc w:val="both"/>
        <w:rPr>
          <w:rFonts w:ascii="Times New Roman"/>
          <w:b/>
          <w:bCs/>
          <w:sz w:val="28"/>
          <w:szCs w:val="28"/>
        </w:rPr>
      </w:pPr>
    </w:p>
    <w:p w:rsidR="00CF06B9" w:rsidRPr="008533E0" w:rsidRDefault="003D1DE8" w:rsidP="00CF06B9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b/>
          <w:bCs/>
          <w:color w:val="FF0000"/>
          <w:sz w:val="28"/>
          <w:szCs w:val="28"/>
        </w:rPr>
        <w:br w:type="page"/>
      </w:r>
      <w:r w:rsidR="00CF06B9" w:rsidRPr="008533E0">
        <w:rPr>
          <w:rFonts w:ascii="黑体" w:eastAsia="黑体" w:hint="eastAsia"/>
          <w:sz w:val="32"/>
          <w:szCs w:val="32"/>
        </w:rPr>
        <w:lastRenderedPageBreak/>
        <w:t>镍精矿化学分析方法</w:t>
      </w:r>
    </w:p>
    <w:p w:rsidR="00CF06B9" w:rsidRPr="008533E0" w:rsidRDefault="00A30A29" w:rsidP="00CF06B9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第7部分</w:t>
      </w:r>
      <w:r w:rsidR="00CF06B9" w:rsidRPr="008533E0"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</w:rPr>
        <w:t>银含量的测定</w:t>
      </w:r>
    </w:p>
    <w:p w:rsidR="00CF06B9" w:rsidRPr="008533E0" w:rsidRDefault="00A30A29" w:rsidP="00CF06B9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火焰原子吸收法</w:t>
      </w:r>
    </w:p>
    <w:p w:rsidR="00CF06B9" w:rsidRPr="008533E0" w:rsidRDefault="00CF06B9" w:rsidP="00A356BB">
      <w:pPr>
        <w:pStyle w:val="ListParagraph1"/>
        <w:spacing w:beforeLines="50" w:line="360" w:lineRule="auto"/>
        <w:ind w:firstLineChars="0" w:firstLine="0"/>
        <w:jc w:val="center"/>
        <w:rPr>
          <w:rFonts w:ascii="黑体" w:eastAsia="黑体"/>
          <w:sz w:val="32"/>
          <w:szCs w:val="32"/>
        </w:rPr>
      </w:pPr>
      <w:r w:rsidRPr="008533E0">
        <w:rPr>
          <w:rFonts w:ascii="黑体" w:eastAsia="黑体" w:hint="eastAsia"/>
          <w:sz w:val="32"/>
          <w:szCs w:val="32"/>
        </w:rPr>
        <w:t>编制说明</w:t>
      </w:r>
    </w:p>
    <w:p w:rsidR="00DB52DC" w:rsidRPr="00187593" w:rsidRDefault="003D1DE8" w:rsidP="00B068EA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187593">
        <w:rPr>
          <w:rFonts w:ascii="黑体" w:eastAsia="黑体" w:hAnsi="黑体" w:hint="eastAsia"/>
          <w:color w:val="000000"/>
          <w:szCs w:val="21"/>
        </w:rPr>
        <w:t>一、工作简况</w:t>
      </w:r>
    </w:p>
    <w:p w:rsidR="00A92555" w:rsidRDefault="00A92555" w:rsidP="00A356BB">
      <w:pPr>
        <w:pStyle w:val="ListParagraph1"/>
        <w:spacing w:beforeLines="50"/>
        <w:ind w:firstLineChars="0" w:firstLine="0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（一）任务来源</w:t>
      </w:r>
    </w:p>
    <w:p w:rsidR="00486AEB" w:rsidRDefault="00A92555" w:rsidP="00A9255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根据</w:t>
      </w:r>
      <w:r w:rsidR="00486AEB" w:rsidRPr="002508CB">
        <w:rPr>
          <w:rFonts w:hint="eastAsia"/>
          <w:szCs w:val="21"/>
        </w:rPr>
        <w:t>工业和信息化部</w:t>
      </w:r>
      <w:r w:rsidR="00486AEB">
        <w:rPr>
          <w:rFonts w:hint="eastAsia"/>
          <w:szCs w:val="21"/>
        </w:rPr>
        <w:t>（</w:t>
      </w:r>
      <w:r w:rsidR="00486AEB">
        <w:rPr>
          <w:rFonts w:hint="eastAsia"/>
          <w:color w:val="000000"/>
          <w:szCs w:val="21"/>
        </w:rPr>
        <w:t>工</w:t>
      </w:r>
      <w:proofErr w:type="gramStart"/>
      <w:r w:rsidR="00486AEB">
        <w:rPr>
          <w:rFonts w:hint="eastAsia"/>
          <w:color w:val="000000"/>
          <w:szCs w:val="21"/>
        </w:rPr>
        <w:t>信厅科函</w:t>
      </w:r>
      <w:proofErr w:type="gramEnd"/>
      <w:r w:rsidR="00486AEB">
        <w:rPr>
          <w:rFonts w:hint="eastAsia"/>
          <w:color w:val="000000"/>
          <w:szCs w:val="21"/>
        </w:rPr>
        <w:t>[2019] 126</w:t>
      </w:r>
      <w:r w:rsidR="00486AEB">
        <w:rPr>
          <w:rFonts w:hint="eastAsia"/>
          <w:color w:val="000000"/>
          <w:szCs w:val="21"/>
        </w:rPr>
        <w:t>号</w:t>
      </w:r>
      <w:r w:rsidR="00486AEB">
        <w:rPr>
          <w:rFonts w:hint="eastAsia"/>
          <w:szCs w:val="21"/>
        </w:rPr>
        <w:t>）</w:t>
      </w:r>
      <w:r w:rsidR="00486AEB">
        <w:rPr>
          <w:rFonts w:hint="eastAsia"/>
          <w:color w:val="000000"/>
          <w:szCs w:val="21"/>
        </w:rPr>
        <w:t>下达的</w:t>
      </w:r>
      <w:r w:rsidR="00486AEB">
        <w:rPr>
          <w:szCs w:val="21"/>
          <w:lang w:val="zh-CN"/>
        </w:rPr>
        <w:t>有色行业标准项目计划</w:t>
      </w:r>
      <w:r w:rsidR="00486AEB" w:rsidRPr="002508CB">
        <w:rPr>
          <w:rFonts w:hint="eastAsia"/>
          <w:szCs w:val="21"/>
        </w:rPr>
        <w:t>的要求，</w:t>
      </w:r>
      <w:r w:rsidR="00486AEB">
        <w:rPr>
          <w:rFonts w:hint="eastAsia"/>
          <w:color w:val="000000"/>
          <w:szCs w:val="21"/>
        </w:rPr>
        <w:t>全国有色金属标准化技术委员会“关于印发《铅精矿化学分析方法》等</w:t>
      </w:r>
      <w:r w:rsidR="00486AEB">
        <w:rPr>
          <w:rFonts w:hint="eastAsia"/>
          <w:color w:val="000000"/>
          <w:szCs w:val="21"/>
        </w:rPr>
        <w:t>11</w:t>
      </w:r>
      <w:r w:rsidR="00486AEB">
        <w:rPr>
          <w:rFonts w:hint="eastAsia"/>
          <w:color w:val="000000"/>
          <w:szCs w:val="21"/>
        </w:rPr>
        <w:t>项标准任务落实会会议纪要的通知”（有色标秘</w:t>
      </w:r>
      <w:r w:rsidR="00486AEB">
        <w:rPr>
          <w:rFonts w:hint="eastAsia"/>
          <w:color w:val="000000"/>
          <w:szCs w:val="21"/>
        </w:rPr>
        <w:t>[2019] 115</w:t>
      </w:r>
      <w:r w:rsidR="00486AEB">
        <w:rPr>
          <w:rFonts w:hint="eastAsia"/>
          <w:color w:val="000000"/>
          <w:szCs w:val="21"/>
        </w:rPr>
        <w:t>号的文件精神</w:t>
      </w:r>
      <w:r w:rsidR="00486AEB">
        <w:rPr>
          <w:color w:val="000000"/>
          <w:szCs w:val="21"/>
        </w:rPr>
        <w:t>，确定《</w:t>
      </w:r>
      <w:r w:rsidR="00486AEB">
        <w:rPr>
          <w:rFonts w:hint="eastAsia"/>
          <w:color w:val="000000"/>
          <w:szCs w:val="21"/>
        </w:rPr>
        <w:t>镍精矿</w:t>
      </w:r>
      <w:r w:rsidR="00486AEB">
        <w:rPr>
          <w:color w:val="000000"/>
          <w:szCs w:val="21"/>
        </w:rPr>
        <w:t>化学分析方法</w:t>
      </w:r>
      <w:r w:rsidR="00486AEB">
        <w:rPr>
          <w:rFonts w:hint="eastAsia"/>
          <w:color w:val="000000"/>
          <w:szCs w:val="21"/>
        </w:rPr>
        <w:t xml:space="preserve"> </w:t>
      </w:r>
      <w:r w:rsidR="00A30A29">
        <w:rPr>
          <w:color w:val="000000"/>
          <w:szCs w:val="21"/>
        </w:rPr>
        <w:t>第</w:t>
      </w:r>
      <w:r w:rsidR="00A30A29">
        <w:rPr>
          <w:color w:val="000000"/>
          <w:szCs w:val="21"/>
        </w:rPr>
        <w:t>7</w:t>
      </w:r>
      <w:r w:rsidR="00A30A29">
        <w:rPr>
          <w:color w:val="000000"/>
          <w:szCs w:val="21"/>
        </w:rPr>
        <w:t>部分</w:t>
      </w:r>
      <w:r w:rsidR="00486AEB">
        <w:rPr>
          <w:color w:val="000000"/>
          <w:szCs w:val="21"/>
        </w:rPr>
        <w:t>：</w:t>
      </w:r>
      <w:r w:rsidR="00A30A29">
        <w:rPr>
          <w:rFonts w:hint="eastAsia"/>
          <w:color w:val="000000"/>
          <w:szCs w:val="21"/>
        </w:rPr>
        <w:t>银含量的测定</w:t>
      </w:r>
      <w:r w:rsidR="00486AEB">
        <w:rPr>
          <w:rFonts w:hint="eastAsia"/>
          <w:color w:val="000000"/>
          <w:szCs w:val="21"/>
        </w:rPr>
        <w:t xml:space="preserve"> </w:t>
      </w:r>
      <w:r w:rsidR="00A30A29">
        <w:rPr>
          <w:bCs/>
          <w:szCs w:val="21"/>
        </w:rPr>
        <w:t>火焰原子吸收法</w:t>
      </w:r>
      <w:r w:rsidR="00486AEB">
        <w:rPr>
          <w:color w:val="000000"/>
          <w:szCs w:val="21"/>
        </w:rPr>
        <w:t>》由</w:t>
      </w:r>
      <w:r w:rsidR="00486AEB">
        <w:rPr>
          <w:rFonts w:hint="eastAsia"/>
          <w:color w:val="000000"/>
          <w:szCs w:val="21"/>
        </w:rPr>
        <w:t>金川集团股份有限公司</w:t>
      </w:r>
      <w:r w:rsidR="00486AEB">
        <w:rPr>
          <w:color w:val="000000"/>
          <w:szCs w:val="21"/>
        </w:rPr>
        <w:t>负责起草</w:t>
      </w:r>
      <w:r w:rsidR="00486AEB">
        <w:rPr>
          <w:rFonts w:hint="eastAsia"/>
          <w:color w:val="000000"/>
          <w:szCs w:val="21"/>
        </w:rPr>
        <w:t>。项目计划编号为工</w:t>
      </w:r>
      <w:proofErr w:type="gramStart"/>
      <w:r w:rsidR="00486AEB">
        <w:rPr>
          <w:rFonts w:hint="eastAsia"/>
          <w:color w:val="000000"/>
          <w:szCs w:val="21"/>
        </w:rPr>
        <w:t>信厅科函</w:t>
      </w:r>
      <w:proofErr w:type="gramEnd"/>
      <w:r w:rsidR="00486AEB">
        <w:rPr>
          <w:rFonts w:hint="eastAsia"/>
          <w:color w:val="000000"/>
          <w:szCs w:val="21"/>
        </w:rPr>
        <w:t>[2019] 126</w:t>
      </w:r>
      <w:r w:rsidR="00486AEB">
        <w:rPr>
          <w:rFonts w:hint="eastAsia"/>
          <w:color w:val="000000"/>
          <w:szCs w:val="21"/>
        </w:rPr>
        <w:t>号</w:t>
      </w:r>
      <w:r w:rsidR="00486AEB">
        <w:rPr>
          <w:color w:val="000000"/>
          <w:szCs w:val="21"/>
        </w:rPr>
        <w:t>201</w:t>
      </w:r>
      <w:r w:rsidR="00486AEB">
        <w:rPr>
          <w:rFonts w:hint="eastAsia"/>
          <w:color w:val="000000"/>
          <w:szCs w:val="21"/>
        </w:rPr>
        <w:t>9-04</w:t>
      </w:r>
      <w:r w:rsidR="00A30A29">
        <w:rPr>
          <w:rFonts w:hint="eastAsia"/>
          <w:color w:val="000000"/>
          <w:szCs w:val="21"/>
        </w:rPr>
        <w:t>10</w:t>
      </w:r>
      <w:r w:rsidR="00486AEB">
        <w:rPr>
          <w:color w:val="000000"/>
          <w:szCs w:val="21"/>
        </w:rPr>
        <w:t>T-</w:t>
      </w:r>
      <w:r w:rsidR="00486AEB">
        <w:rPr>
          <w:rFonts w:hint="eastAsia"/>
          <w:color w:val="000000"/>
          <w:szCs w:val="21"/>
        </w:rPr>
        <w:t>YS</w:t>
      </w:r>
      <w:r w:rsidR="00486AEB">
        <w:rPr>
          <w:rFonts w:hint="eastAsia"/>
          <w:color w:val="000000"/>
          <w:szCs w:val="21"/>
        </w:rPr>
        <w:t>，</w:t>
      </w:r>
      <w:r w:rsidR="00486AEB">
        <w:rPr>
          <w:color w:val="000000"/>
          <w:szCs w:val="21"/>
        </w:rPr>
        <w:t>项目计划完成时间为</w:t>
      </w:r>
      <w:r w:rsidR="00486AEB">
        <w:rPr>
          <w:color w:val="000000"/>
          <w:szCs w:val="21"/>
        </w:rPr>
        <w:t>20</w:t>
      </w:r>
      <w:r w:rsidR="00486AEB">
        <w:rPr>
          <w:rFonts w:hint="eastAsia"/>
          <w:color w:val="000000"/>
          <w:szCs w:val="21"/>
        </w:rPr>
        <w:t>21</w:t>
      </w:r>
      <w:r w:rsidR="00486AEB">
        <w:rPr>
          <w:color w:val="000000"/>
          <w:szCs w:val="21"/>
        </w:rPr>
        <w:t>年。</w:t>
      </w:r>
    </w:p>
    <w:p w:rsidR="00A92555" w:rsidRDefault="00A92555" w:rsidP="00F63993">
      <w:pPr>
        <w:autoSpaceDE w:val="0"/>
        <w:autoSpaceDN w:val="0"/>
        <w:adjustRightInd w:val="0"/>
        <w:ind w:right="326"/>
        <w:jc w:val="left"/>
        <w:rPr>
          <w:szCs w:val="21"/>
        </w:rPr>
      </w:pPr>
      <w:r>
        <w:rPr>
          <w:rFonts w:hint="eastAsia"/>
          <w:szCs w:val="21"/>
        </w:rPr>
        <w:t>协</w:t>
      </w:r>
      <w:r w:rsidR="00486AEB">
        <w:rPr>
          <w:rFonts w:hint="eastAsia"/>
          <w:szCs w:val="21"/>
        </w:rPr>
        <w:t>助</w:t>
      </w:r>
      <w:r>
        <w:rPr>
          <w:rFonts w:hint="eastAsia"/>
          <w:szCs w:val="21"/>
        </w:rPr>
        <w:t>起草单位有</w:t>
      </w:r>
      <w:r w:rsidR="00A30A29" w:rsidRPr="00C37D90">
        <w:rPr>
          <w:rFonts w:hint="eastAsia"/>
          <w:color w:val="000000"/>
          <w:szCs w:val="21"/>
        </w:rPr>
        <w:t>北矿检测技术有限公司、广东省工业分析检测中心、南通海关综合技术中心、兰州海关技术中心、连云港海关综合技术中心、深圳市中金岭南有色金属股份有限公司凡口铅锌矿、浙江华友钴业股份有限公司、中国检验认证集团广西有限公司、</w:t>
      </w:r>
      <w:r w:rsidR="00F63993" w:rsidRPr="00F63993">
        <w:rPr>
          <w:rFonts w:hint="eastAsia"/>
          <w:color w:val="000000"/>
          <w:szCs w:val="21"/>
        </w:rPr>
        <w:t>紫金矿业集团股份有限公司</w:t>
      </w:r>
      <w:r w:rsidR="00A30A29" w:rsidRPr="00C37D90">
        <w:rPr>
          <w:rFonts w:hint="eastAsia"/>
          <w:color w:val="000000"/>
          <w:szCs w:val="21"/>
        </w:rPr>
        <w:t>、贵州省分析测试研究院、国标（北京）检验认证有限公司、山东恒邦冶炼股份有限公司、长沙矿冶研究院有限责任公司、中国有色桂林矿产地质研究院有限公司、白银有色集团股份有限公司。</w:t>
      </w:r>
      <w:r w:rsidR="00486AEB">
        <w:rPr>
          <w:rFonts w:cs="宋体" w:hint="eastAsia"/>
          <w:szCs w:val="21"/>
        </w:rPr>
        <w:t>技术归口单位为</w:t>
      </w:r>
      <w:r w:rsidR="00486AEB" w:rsidRPr="00791F14">
        <w:rPr>
          <w:rFonts w:cs="宋体" w:hint="eastAsia"/>
          <w:szCs w:val="21"/>
        </w:rPr>
        <w:t>全国有色金属标准化技术委员会（</w:t>
      </w:r>
      <w:r w:rsidR="00486AEB" w:rsidRPr="00791F14">
        <w:rPr>
          <w:rFonts w:cs="宋体" w:hint="eastAsia"/>
          <w:szCs w:val="21"/>
        </w:rPr>
        <w:t>SAC/TC243</w:t>
      </w:r>
      <w:r w:rsidR="00486AEB" w:rsidRPr="00791F14">
        <w:rPr>
          <w:rFonts w:cs="宋体" w:hint="eastAsia"/>
          <w:szCs w:val="21"/>
        </w:rPr>
        <w:t>）</w:t>
      </w:r>
      <w:r w:rsidR="00486AEB">
        <w:rPr>
          <w:rFonts w:cs="宋体" w:hint="eastAsia"/>
          <w:szCs w:val="21"/>
        </w:rPr>
        <w:t>。</w:t>
      </w:r>
    </w:p>
    <w:p w:rsidR="00A92555" w:rsidRDefault="00A92555" w:rsidP="00A356BB">
      <w:pPr>
        <w:pStyle w:val="ListParagraph1"/>
        <w:spacing w:beforeLines="50" w:afterLines="50"/>
        <w:ind w:firstLineChars="0" w:firstLine="0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（二）主要参加单位和工作组成员及其所做的工作</w:t>
      </w:r>
    </w:p>
    <w:p w:rsidR="00EB00DD" w:rsidRPr="0051555A" w:rsidRDefault="00EB00DD" w:rsidP="006F5F5C">
      <w:pPr>
        <w:outlineLvl w:val="2"/>
        <w:rPr>
          <w:rFonts w:ascii="黑体" w:eastAsia="黑体" w:hAnsi="黑体"/>
          <w:color w:val="000000"/>
          <w:szCs w:val="21"/>
        </w:rPr>
      </w:pPr>
      <w:r w:rsidRPr="0051555A">
        <w:rPr>
          <w:rFonts w:ascii="黑体" w:eastAsia="黑体" w:hAnsi="黑体" w:hint="eastAsia"/>
          <w:color w:val="000000"/>
          <w:szCs w:val="21"/>
        </w:rPr>
        <w:t>2.1</w:t>
      </w:r>
      <w:r w:rsidRPr="0051555A">
        <w:rPr>
          <w:rFonts w:ascii="黑体" w:eastAsia="黑体" w:hAnsi="黑体"/>
          <w:color w:val="000000"/>
          <w:szCs w:val="21"/>
        </w:rPr>
        <w:t xml:space="preserve"> </w:t>
      </w:r>
      <w:r w:rsidRPr="0051555A">
        <w:rPr>
          <w:rFonts w:ascii="黑体" w:eastAsia="黑体" w:hAnsi="黑体" w:hint="eastAsia"/>
          <w:color w:val="000000"/>
          <w:szCs w:val="21"/>
        </w:rPr>
        <w:t>主要参加单位情况</w:t>
      </w:r>
    </w:p>
    <w:p w:rsidR="00EB00DD" w:rsidRPr="00CA2B76" w:rsidRDefault="00A92555" w:rsidP="00CA2B76">
      <w:pPr>
        <w:ind w:firstLineChars="200" w:firstLine="420"/>
        <w:rPr>
          <w:szCs w:val="21"/>
        </w:rPr>
      </w:pPr>
      <w:r w:rsidRPr="00CA2B76">
        <w:rPr>
          <w:szCs w:val="21"/>
        </w:rPr>
        <w:t>标准</w:t>
      </w:r>
      <w:r w:rsidR="00EB00DD" w:rsidRPr="00CA2B76">
        <w:rPr>
          <w:rFonts w:hint="eastAsia"/>
          <w:szCs w:val="21"/>
        </w:rPr>
        <w:t>主编单位</w:t>
      </w:r>
      <w:r w:rsidRPr="00CA2B76">
        <w:rPr>
          <w:szCs w:val="21"/>
        </w:rPr>
        <w:t>金川集团股份有限公司</w:t>
      </w:r>
      <w:r w:rsidR="00EB00DD" w:rsidRPr="00CA2B76">
        <w:rPr>
          <w:rFonts w:hint="eastAsia"/>
          <w:szCs w:val="21"/>
        </w:rPr>
        <w:t>在标准的编制过程中，积极收集相关的国内外标准和文献，根据日常积累的经验和实际试验，确立了试验方案，</w:t>
      </w:r>
      <w:r w:rsidR="00ED097B" w:rsidRPr="00CA2B76">
        <w:rPr>
          <w:rFonts w:hint="eastAsia"/>
          <w:szCs w:val="21"/>
        </w:rPr>
        <w:t>收集了来自金川集团、湛江北方工业、诺里尔斯克、</w:t>
      </w:r>
      <w:proofErr w:type="gramStart"/>
      <w:r w:rsidR="00ED097B" w:rsidRPr="00CA2B76">
        <w:rPr>
          <w:szCs w:val="21"/>
        </w:rPr>
        <w:t>郝吉</w:t>
      </w:r>
      <w:r w:rsidR="00ED097B" w:rsidRPr="00CA2B76">
        <w:rPr>
          <w:rFonts w:hint="eastAsia"/>
          <w:szCs w:val="21"/>
        </w:rPr>
        <w:t>等镍精矿</w:t>
      </w:r>
      <w:proofErr w:type="gramEnd"/>
      <w:r w:rsidR="00ED097B" w:rsidRPr="00CA2B76">
        <w:rPr>
          <w:rFonts w:hint="eastAsia"/>
          <w:szCs w:val="21"/>
        </w:rPr>
        <w:t>生产和贸易企业的代表性样品，开展试验工作，</w:t>
      </w:r>
      <w:r w:rsidR="00EB00DD" w:rsidRPr="00CA2B76">
        <w:rPr>
          <w:rFonts w:hint="eastAsia"/>
          <w:szCs w:val="21"/>
        </w:rPr>
        <w:t>编制了试验报告和标准文本，并发给参与标准起草的单位进行验证，并提出相关的修改意见。根据各单位反馈情况，确定了最终试验报告和方法文本。</w:t>
      </w:r>
    </w:p>
    <w:p w:rsidR="00CA2B76" w:rsidRDefault="00A30A29" w:rsidP="00A92555">
      <w:pPr>
        <w:ind w:firstLineChars="200" w:firstLine="420"/>
        <w:rPr>
          <w:szCs w:val="21"/>
        </w:rPr>
      </w:pPr>
      <w:r w:rsidRPr="00C37D90">
        <w:rPr>
          <w:rFonts w:hint="eastAsia"/>
          <w:color w:val="000000"/>
          <w:szCs w:val="21"/>
        </w:rPr>
        <w:t>北矿检测技术有限公司、广东省工业分析检测中心、南通海关综合技术中心、兰州海关技术中心</w:t>
      </w:r>
      <w:r w:rsidRPr="00965B79">
        <w:rPr>
          <w:rFonts w:hint="eastAsia"/>
          <w:szCs w:val="21"/>
          <w:lang w:val="zh-CN"/>
        </w:rPr>
        <w:t>为</w:t>
      </w:r>
      <w:r w:rsidRPr="00965B79">
        <w:rPr>
          <w:szCs w:val="21"/>
        </w:rPr>
        <w:t>一验单位</w:t>
      </w:r>
      <w:r w:rsidR="00CA2B76">
        <w:rPr>
          <w:rFonts w:hint="eastAsia"/>
          <w:szCs w:val="21"/>
        </w:rPr>
        <w:t>。</w:t>
      </w:r>
    </w:p>
    <w:p w:rsidR="00EB00DD" w:rsidRPr="00EB00DD" w:rsidRDefault="008335C8" w:rsidP="00A92555">
      <w:pPr>
        <w:ind w:firstLineChars="200" w:firstLine="420"/>
        <w:rPr>
          <w:szCs w:val="21"/>
        </w:rPr>
      </w:pPr>
      <w:r w:rsidRPr="00C37D90">
        <w:rPr>
          <w:rFonts w:hint="eastAsia"/>
          <w:color w:val="000000"/>
          <w:szCs w:val="21"/>
        </w:rPr>
        <w:t>国标（北京）检验认证有限公司、深圳市中金岭南有色金属股份有限公司凡口铅锌矿、中国有色桂林矿产地质研究院有限公司、山东恒邦冶炼股份有限公司、连云港海关综合技术中心、浙江华友钴业股份有限公司、中国检验认证集团广西有限公司、</w:t>
      </w:r>
      <w:r w:rsidR="00F63993" w:rsidRPr="00F63993">
        <w:rPr>
          <w:rFonts w:hint="eastAsia"/>
          <w:color w:val="000000"/>
          <w:szCs w:val="21"/>
        </w:rPr>
        <w:t>紫金矿业集团股份有限公司</w:t>
      </w:r>
      <w:r w:rsidRPr="00C37D90">
        <w:rPr>
          <w:rFonts w:hint="eastAsia"/>
          <w:color w:val="000000"/>
          <w:szCs w:val="21"/>
        </w:rPr>
        <w:t>、贵州省分析测试研究院、长沙矿冶研究院有限责任公司、白银有色集团股份有限公司</w:t>
      </w:r>
      <w:proofErr w:type="gramStart"/>
      <w:r w:rsidR="00A30A29" w:rsidRPr="00965B79">
        <w:rPr>
          <w:szCs w:val="21"/>
        </w:rPr>
        <w:t>为二验单位</w:t>
      </w:r>
      <w:proofErr w:type="gramEnd"/>
      <w:r w:rsidR="00A30A29" w:rsidRPr="00C37D90">
        <w:rPr>
          <w:rFonts w:hint="eastAsia"/>
          <w:color w:val="000000"/>
          <w:szCs w:val="21"/>
        </w:rPr>
        <w:t>。</w:t>
      </w:r>
    </w:p>
    <w:p w:rsidR="00C5622A" w:rsidRPr="00C9677A" w:rsidRDefault="00C5622A" w:rsidP="006F5F5C">
      <w:pPr>
        <w:outlineLvl w:val="2"/>
        <w:rPr>
          <w:rFonts w:ascii="黑体" w:eastAsia="黑体" w:hAnsi="黑体"/>
          <w:color w:val="000000"/>
          <w:szCs w:val="21"/>
        </w:rPr>
      </w:pPr>
      <w:r w:rsidRPr="00C9677A">
        <w:rPr>
          <w:rFonts w:ascii="黑体" w:eastAsia="黑体" w:hAnsi="黑体" w:hint="eastAsia"/>
          <w:color w:val="000000"/>
          <w:szCs w:val="21"/>
        </w:rPr>
        <w:t>2.2</w:t>
      </w:r>
      <w:r w:rsidRPr="00C9677A">
        <w:rPr>
          <w:rFonts w:ascii="黑体" w:eastAsia="黑体" w:hAnsi="黑体"/>
          <w:color w:val="000000"/>
          <w:szCs w:val="21"/>
        </w:rPr>
        <w:t xml:space="preserve"> </w:t>
      </w:r>
      <w:r w:rsidRPr="00C9677A">
        <w:rPr>
          <w:rFonts w:ascii="黑体" w:eastAsia="黑体" w:hAnsi="黑体" w:hint="eastAsia"/>
          <w:color w:val="000000"/>
          <w:szCs w:val="21"/>
        </w:rPr>
        <w:t>主要工作成员所负责的工作情况</w:t>
      </w:r>
    </w:p>
    <w:p w:rsidR="00C5622A" w:rsidRPr="008A426D" w:rsidRDefault="00C5622A" w:rsidP="008A426D">
      <w:pPr>
        <w:ind w:firstLineChars="200" w:firstLine="420"/>
        <w:rPr>
          <w:szCs w:val="21"/>
        </w:rPr>
      </w:pPr>
      <w:r w:rsidRPr="008A426D">
        <w:rPr>
          <w:rFonts w:hint="eastAsia"/>
          <w:szCs w:val="21"/>
        </w:rPr>
        <w:t>本标准主要起草人及工作职责见表</w:t>
      </w:r>
      <w:r w:rsidRPr="008A426D">
        <w:rPr>
          <w:rFonts w:hint="eastAsia"/>
          <w:szCs w:val="21"/>
        </w:rPr>
        <w:t>1</w:t>
      </w:r>
      <w:r w:rsidR="008A426D">
        <w:rPr>
          <w:rFonts w:hint="eastAsia"/>
          <w:szCs w:val="21"/>
        </w:rPr>
        <w:t>。</w:t>
      </w:r>
    </w:p>
    <w:p w:rsidR="00C5622A" w:rsidRPr="00AC1510" w:rsidRDefault="00C5622A" w:rsidP="008A426D">
      <w:pPr>
        <w:spacing w:line="360" w:lineRule="auto"/>
        <w:jc w:val="center"/>
        <w:rPr>
          <w:rFonts w:ascii="黑体" w:eastAsia="黑体" w:hAnsi="宋体"/>
          <w:color w:val="000000"/>
          <w:szCs w:val="21"/>
        </w:rPr>
      </w:pPr>
      <w:r w:rsidRPr="00AC1510">
        <w:rPr>
          <w:rFonts w:ascii="黑体" w:eastAsia="黑体" w:hAnsi="宋体" w:hint="eastAsia"/>
          <w:color w:val="000000"/>
          <w:szCs w:val="21"/>
        </w:rPr>
        <w:t>表1  本标准</w:t>
      </w:r>
      <w:r w:rsidRPr="00AC1510">
        <w:rPr>
          <w:rFonts w:ascii="黑体" w:eastAsia="黑体" w:hAnsi="宋体" w:hint="eastAsia"/>
          <w:szCs w:val="21"/>
        </w:rPr>
        <w:t>主要起草人及工作职责</w:t>
      </w:r>
    </w:p>
    <w:tbl>
      <w:tblPr>
        <w:tblStyle w:val="2"/>
        <w:tblW w:w="5000" w:type="pct"/>
        <w:jc w:val="center"/>
        <w:tblLook w:val="04A0"/>
      </w:tblPr>
      <w:tblGrid>
        <w:gridCol w:w="4786"/>
        <w:gridCol w:w="4614"/>
      </w:tblGrid>
      <w:tr w:rsidR="00C5622A" w:rsidRPr="00C9677A" w:rsidTr="004017D8">
        <w:trPr>
          <w:trHeight w:val="299"/>
          <w:jc w:val="center"/>
        </w:trPr>
        <w:tc>
          <w:tcPr>
            <w:tcW w:w="2546" w:type="pct"/>
            <w:vAlign w:val="center"/>
          </w:tcPr>
          <w:p w:rsidR="00C5622A" w:rsidRPr="00C9677A" w:rsidRDefault="00C5622A" w:rsidP="00802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9677A">
              <w:rPr>
                <w:rFonts w:ascii="宋体" w:hAnsi="宋体" w:hint="eastAsia"/>
                <w:color w:val="000000"/>
                <w:szCs w:val="21"/>
              </w:rPr>
              <w:t>起草人</w:t>
            </w:r>
          </w:p>
        </w:tc>
        <w:tc>
          <w:tcPr>
            <w:tcW w:w="2454" w:type="pct"/>
            <w:vAlign w:val="center"/>
          </w:tcPr>
          <w:p w:rsidR="00C5622A" w:rsidRPr="00C9677A" w:rsidRDefault="00C5622A" w:rsidP="00802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9677A">
              <w:rPr>
                <w:rFonts w:ascii="宋体" w:hAnsi="宋体" w:hint="eastAsia"/>
                <w:color w:val="000000"/>
                <w:szCs w:val="21"/>
              </w:rPr>
              <w:t>工作职责</w:t>
            </w:r>
          </w:p>
        </w:tc>
      </w:tr>
      <w:tr w:rsidR="00C5622A" w:rsidRPr="00C9677A" w:rsidTr="004017D8">
        <w:trPr>
          <w:jc w:val="center"/>
        </w:trPr>
        <w:tc>
          <w:tcPr>
            <w:tcW w:w="2546" w:type="pct"/>
            <w:vAlign w:val="center"/>
          </w:tcPr>
          <w:p w:rsidR="00C5622A" w:rsidRPr="00C9677A" w:rsidRDefault="00C5622A" w:rsidP="008023A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喻生洁、杨红玉</w:t>
            </w:r>
            <w:r w:rsidR="00901EFF">
              <w:rPr>
                <w:rFonts w:ascii="Calibri" w:hAnsi="Calibri" w:hint="eastAsia"/>
                <w:color w:val="000000"/>
                <w:szCs w:val="21"/>
              </w:rPr>
              <w:t>、</w:t>
            </w:r>
            <w:r w:rsidR="00035692" w:rsidRPr="00035692">
              <w:rPr>
                <w:rFonts w:ascii="Calibri" w:hAnsi="Calibri" w:hint="eastAsia"/>
                <w:color w:val="FF0000"/>
                <w:szCs w:val="21"/>
              </w:rPr>
              <w:t>赵志虎</w:t>
            </w:r>
          </w:p>
        </w:tc>
        <w:tc>
          <w:tcPr>
            <w:tcW w:w="2454" w:type="pct"/>
            <w:vAlign w:val="center"/>
          </w:tcPr>
          <w:p w:rsidR="00C5622A" w:rsidRPr="00C9677A" w:rsidRDefault="00C5622A" w:rsidP="008023A0">
            <w:pPr>
              <w:rPr>
                <w:rFonts w:ascii="宋体" w:hAnsi="宋体"/>
                <w:color w:val="000000"/>
                <w:szCs w:val="21"/>
              </w:rPr>
            </w:pPr>
            <w:r w:rsidRPr="00C9677A">
              <w:rPr>
                <w:rFonts w:ascii="宋体" w:hAnsi="宋体" w:hint="eastAsia"/>
                <w:color w:val="000000"/>
                <w:szCs w:val="21"/>
              </w:rPr>
              <w:t>负责标准起草的组织协调、试验方案的确定</w:t>
            </w:r>
            <w:r w:rsidR="00BD49A0" w:rsidRPr="00C9677A">
              <w:rPr>
                <w:rFonts w:ascii="宋体" w:hAnsi="宋体" w:hint="eastAsia"/>
                <w:color w:val="000000"/>
                <w:szCs w:val="21"/>
              </w:rPr>
              <w:t>和</w:t>
            </w:r>
            <w:r w:rsidR="00BD49A0">
              <w:rPr>
                <w:rFonts w:ascii="宋体" w:hAnsi="宋体" w:hint="eastAsia"/>
                <w:color w:val="000000"/>
                <w:szCs w:val="21"/>
              </w:rPr>
              <w:t>开展试验，以及</w:t>
            </w:r>
            <w:r w:rsidRPr="00C9677A">
              <w:rPr>
                <w:rFonts w:ascii="宋体" w:hAnsi="宋体" w:hint="eastAsia"/>
                <w:color w:val="000000"/>
                <w:szCs w:val="21"/>
              </w:rPr>
              <w:t>各类报告、文本、材料的撰写工作</w:t>
            </w:r>
            <w:r w:rsidR="00BD49A0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C5622A" w:rsidRPr="00C9677A" w:rsidTr="004017D8">
        <w:trPr>
          <w:jc w:val="center"/>
        </w:trPr>
        <w:tc>
          <w:tcPr>
            <w:tcW w:w="2546" w:type="pct"/>
            <w:vAlign w:val="center"/>
          </w:tcPr>
          <w:p w:rsidR="00C5622A" w:rsidRPr="000A680E" w:rsidRDefault="008335C8" w:rsidP="008023A0">
            <w:pPr>
              <w:rPr>
                <w:rFonts w:ascii="宋体" w:hAnsi="宋体"/>
                <w:szCs w:val="21"/>
              </w:rPr>
            </w:pPr>
            <w:r w:rsidRPr="000A680E">
              <w:t>罗海霞</w:t>
            </w:r>
            <w:r w:rsidRPr="000A680E">
              <w:rPr>
                <w:rFonts w:hint="eastAsia"/>
              </w:rPr>
              <w:t>、李小玲、李</w:t>
            </w:r>
            <w:r w:rsidRPr="000A680E">
              <w:t>肖瑶</w:t>
            </w:r>
            <w:r w:rsidRPr="000A680E">
              <w:rPr>
                <w:rFonts w:hint="eastAsia"/>
              </w:rPr>
              <w:t>、施锦辉</w:t>
            </w:r>
            <w:r w:rsidRPr="000A680E">
              <w:rPr>
                <w:rFonts w:ascii="宋体" w:hAnsi="宋体" w:hint="eastAsia"/>
              </w:rPr>
              <w:t>、</w:t>
            </w:r>
            <w:r w:rsidRPr="000A680E">
              <w:rPr>
                <w:rFonts w:hint="eastAsia"/>
              </w:rPr>
              <w:t>马鑫、吕锦弟</w:t>
            </w:r>
          </w:p>
        </w:tc>
        <w:tc>
          <w:tcPr>
            <w:tcW w:w="2454" w:type="pct"/>
            <w:vAlign w:val="center"/>
          </w:tcPr>
          <w:p w:rsidR="00C5622A" w:rsidRPr="00C9677A" w:rsidRDefault="00C5622A" w:rsidP="008023A0">
            <w:pPr>
              <w:rPr>
                <w:rFonts w:ascii="宋体" w:hAnsi="宋体"/>
                <w:color w:val="000000"/>
                <w:szCs w:val="21"/>
              </w:rPr>
            </w:pPr>
            <w:r w:rsidRPr="00C9677A">
              <w:rPr>
                <w:rFonts w:ascii="宋体" w:hAnsi="宋体" w:hint="eastAsia"/>
                <w:color w:val="000000"/>
                <w:szCs w:val="21"/>
              </w:rPr>
              <w:t>参与标准试验一验</w:t>
            </w:r>
            <w:r w:rsidR="00901EFF">
              <w:rPr>
                <w:rFonts w:ascii="宋体" w:hAnsi="宋体" w:hint="eastAsia"/>
                <w:color w:val="000000"/>
                <w:szCs w:val="21"/>
              </w:rPr>
              <w:t>的</w:t>
            </w:r>
            <w:r w:rsidR="00901EFF" w:rsidRPr="00C9677A">
              <w:rPr>
                <w:rFonts w:ascii="宋体" w:hAnsi="宋体" w:hint="eastAsia"/>
                <w:color w:val="000000"/>
                <w:szCs w:val="21"/>
              </w:rPr>
              <w:t>验证</w:t>
            </w:r>
            <w:r w:rsidRPr="00C9677A"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</w:tc>
      </w:tr>
      <w:tr w:rsidR="00C5622A" w:rsidRPr="00C9677A" w:rsidTr="004017D8">
        <w:trPr>
          <w:jc w:val="center"/>
        </w:trPr>
        <w:tc>
          <w:tcPr>
            <w:tcW w:w="2546" w:type="pct"/>
            <w:vAlign w:val="center"/>
          </w:tcPr>
          <w:p w:rsidR="00C5622A" w:rsidRPr="00A30A29" w:rsidRDefault="008335C8" w:rsidP="008023A0">
            <w:pPr>
              <w:rPr>
                <w:rFonts w:ascii="宋体" w:hAnsi="宋体"/>
                <w:color w:val="FF0000"/>
                <w:szCs w:val="21"/>
              </w:rPr>
            </w:pPr>
            <w:r w:rsidRPr="000A680E">
              <w:rPr>
                <w:rFonts w:hint="eastAsia"/>
              </w:rPr>
              <w:lastRenderedPageBreak/>
              <w:t>孙海峰，陈雄飞，田佳、唐萍、梁俊生、苟光芬、唐荣盛、潘玉喜、孙丽宁、徐师（连云港）、谢柏华、范娟惠、叶玲玲、吴雪英、魏雅娟、</w:t>
            </w:r>
            <w:r w:rsidRPr="00DB4274">
              <w:rPr>
                <w:rFonts w:hint="eastAsia"/>
                <w:color w:val="FF0000"/>
              </w:rPr>
              <w:t>？？（紫金）</w:t>
            </w:r>
            <w:r>
              <w:rPr>
                <w:rFonts w:hint="eastAsia"/>
              </w:rPr>
              <w:t>、</w:t>
            </w:r>
            <w:r>
              <w:t>周元</w:t>
            </w:r>
            <w:r w:rsidRPr="000A680E">
              <w:t>敬</w:t>
            </w:r>
            <w:r w:rsidRPr="000A680E">
              <w:rPr>
                <w:rFonts w:hint="eastAsia"/>
              </w:rPr>
              <w:t>、谢喜、傅饶、马</w:t>
            </w:r>
            <w:r>
              <w:rPr>
                <w:rFonts w:hint="eastAsia"/>
              </w:rPr>
              <w:t>得莉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寇明升</w:t>
            </w:r>
          </w:p>
        </w:tc>
        <w:tc>
          <w:tcPr>
            <w:tcW w:w="2454" w:type="pct"/>
            <w:vAlign w:val="center"/>
          </w:tcPr>
          <w:p w:rsidR="00C5622A" w:rsidRPr="00C9677A" w:rsidRDefault="00C5622A" w:rsidP="008023A0">
            <w:pPr>
              <w:rPr>
                <w:rFonts w:ascii="宋体" w:hAnsi="宋体"/>
                <w:color w:val="000000"/>
                <w:szCs w:val="21"/>
              </w:rPr>
            </w:pPr>
            <w:r w:rsidRPr="00C9677A">
              <w:rPr>
                <w:rFonts w:ascii="宋体" w:hAnsi="宋体" w:hint="eastAsia"/>
                <w:color w:val="000000"/>
                <w:szCs w:val="21"/>
              </w:rPr>
              <w:t>参与标准</w:t>
            </w:r>
            <w:proofErr w:type="gramStart"/>
            <w:r w:rsidRPr="00C9677A">
              <w:rPr>
                <w:rFonts w:ascii="宋体" w:hAnsi="宋体" w:hint="eastAsia"/>
                <w:color w:val="000000"/>
                <w:szCs w:val="21"/>
              </w:rPr>
              <w:t>试验二验</w:t>
            </w:r>
            <w:r w:rsidR="00901EFF">
              <w:rPr>
                <w:rFonts w:ascii="宋体" w:hAnsi="宋体" w:hint="eastAsia"/>
                <w:color w:val="000000"/>
                <w:szCs w:val="21"/>
              </w:rPr>
              <w:t>的</w:t>
            </w:r>
            <w:proofErr w:type="gramEnd"/>
            <w:r w:rsidR="00901EFF" w:rsidRPr="00C9677A">
              <w:rPr>
                <w:rFonts w:ascii="宋体" w:hAnsi="宋体" w:hint="eastAsia"/>
                <w:color w:val="000000"/>
                <w:szCs w:val="21"/>
              </w:rPr>
              <w:t>验证</w:t>
            </w:r>
            <w:r w:rsidRPr="00C9677A"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</w:tc>
      </w:tr>
    </w:tbl>
    <w:p w:rsidR="00440BCD" w:rsidRPr="00012E2E" w:rsidRDefault="00440BCD" w:rsidP="006516FC">
      <w:pPr>
        <w:spacing w:line="360" w:lineRule="auto"/>
        <w:outlineLvl w:val="1"/>
        <w:rPr>
          <w:b/>
          <w:szCs w:val="21"/>
        </w:rPr>
      </w:pPr>
      <w:r w:rsidRPr="00012E2E">
        <w:rPr>
          <w:rFonts w:hint="eastAsia"/>
          <w:b/>
          <w:szCs w:val="21"/>
        </w:rPr>
        <w:t>（三）主要工作过程</w:t>
      </w:r>
    </w:p>
    <w:p w:rsidR="00440BCD" w:rsidRPr="00012E2E" w:rsidRDefault="00440BCD" w:rsidP="006F5F5C">
      <w:pPr>
        <w:outlineLvl w:val="2"/>
        <w:rPr>
          <w:rFonts w:ascii="黑体" w:eastAsia="黑体" w:hAnsi="黑体"/>
          <w:color w:val="000000"/>
          <w:szCs w:val="21"/>
        </w:rPr>
      </w:pPr>
      <w:r w:rsidRPr="00012E2E">
        <w:rPr>
          <w:rFonts w:ascii="黑体" w:eastAsia="黑体" w:hAnsi="黑体"/>
          <w:color w:val="000000"/>
          <w:szCs w:val="21"/>
        </w:rPr>
        <w:t>3.</w:t>
      </w:r>
      <w:r w:rsidRPr="00012E2E">
        <w:rPr>
          <w:rFonts w:ascii="黑体" w:eastAsia="黑体" w:hAnsi="黑体" w:hint="eastAsia"/>
          <w:color w:val="000000"/>
          <w:szCs w:val="21"/>
        </w:rPr>
        <w:t>1</w:t>
      </w:r>
      <w:r w:rsidRPr="00012E2E">
        <w:rPr>
          <w:rFonts w:ascii="黑体" w:eastAsia="黑体" w:hAnsi="黑体"/>
          <w:color w:val="000000"/>
          <w:szCs w:val="21"/>
        </w:rPr>
        <w:t xml:space="preserve"> </w:t>
      </w:r>
      <w:r w:rsidRPr="00012E2E">
        <w:rPr>
          <w:rFonts w:ascii="黑体" w:eastAsia="黑体" w:hAnsi="黑体" w:hint="eastAsia"/>
          <w:color w:val="000000"/>
          <w:szCs w:val="21"/>
        </w:rPr>
        <w:t>预研阶段</w:t>
      </w:r>
    </w:p>
    <w:p w:rsidR="00D50EC4" w:rsidRPr="007D2504" w:rsidRDefault="00440BCD" w:rsidP="00D50EC4">
      <w:pPr>
        <w:ind w:firstLineChars="200" w:firstLine="420"/>
        <w:rPr>
          <w:szCs w:val="21"/>
        </w:rPr>
      </w:pPr>
      <w:r w:rsidRPr="001828EC">
        <w:rPr>
          <w:rFonts w:hint="eastAsia"/>
          <w:szCs w:val="21"/>
        </w:rPr>
        <w:t>2</w:t>
      </w:r>
      <w:r w:rsidRPr="001828EC">
        <w:rPr>
          <w:szCs w:val="21"/>
        </w:rPr>
        <w:t>01</w:t>
      </w:r>
      <w:r>
        <w:rPr>
          <w:rFonts w:hint="eastAsia"/>
          <w:szCs w:val="21"/>
        </w:rPr>
        <w:t>9</w:t>
      </w:r>
      <w:r w:rsidRPr="001828EC">
        <w:rPr>
          <w:rFonts w:hint="eastAsia"/>
          <w:szCs w:val="21"/>
        </w:rPr>
        <w:t>年开始，</w:t>
      </w:r>
      <w:r w:rsidR="00D50EC4">
        <w:rPr>
          <w:rFonts w:hint="eastAsia"/>
          <w:szCs w:val="21"/>
        </w:rPr>
        <w:t>对国内外不同产地的镍精矿中</w:t>
      </w:r>
      <w:r w:rsidR="00A30A29">
        <w:rPr>
          <w:rFonts w:hint="eastAsia"/>
          <w:szCs w:val="21"/>
        </w:rPr>
        <w:t>银</w:t>
      </w:r>
      <w:r w:rsidR="00D50EC4">
        <w:rPr>
          <w:rFonts w:hint="eastAsia"/>
          <w:szCs w:val="21"/>
        </w:rPr>
        <w:t>含量调研后，</w:t>
      </w:r>
      <w:r w:rsidR="00D50EC4" w:rsidRPr="001828EC">
        <w:rPr>
          <w:rFonts w:hint="eastAsia"/>
          <w:szCs w:val="21"/>
        </w:rPr>
        <w:t>确定</w:t>
      </w:r>
      <w:r w:rsidR="00A30A29">
        <w:rPr>
          <w:rFonts w:hint="eastAsia"/>
          <w:szCs w:val="21"/>
        </w:rPr>
        <w:t>测定</w:t>
      </w:r>
      <w:r w:rsidR="00A30A29" w:rsidRPr="00E85CF1">
        <w:rPr>
          <w:szCs w:val="21"/>
        </w:rPr>
        <w:t>上限</w:t>
      </w:r>
      <w:r w:rsidR="00A30A29" w:rsidRPr="00E85CF1">
        <w:rPr>
          <w:rFonts w:hint="eastAsia"/>
          <w:szCs w:val="21"/>
        </w:rPr>
        <w:t>为</w:t>
      </w:r>
      <w:r w:rsidR="00A30A29" w:rsidRPr="00E85CF1">
        <w:rPr>
          <w:rFonts w:hint="eastAsia"/>
          <w:szCs w:val="21"/>
        </w:rPr>
        <w:t>150 g/t</w:t>
      </w:r>
      <w:r w:rsidR="00A30A29" w:rsidRPr="00E85CF1">
        <w:rPr>
          <w:rFonts w:hint="eastAsia"/>
          <w:szCs w:val="21"/>
        </w:rPr>
        <w:t>，</w:t>
      </w:r>
      <w:r w:rsidR="00A30A29" w:rsidRPr="00E85CF1">
        <w:rPr>
          <w:szCs w:val="21"/>
        </w:rPr>
        <w:t>以贸易结算的最低含量</w:t>
      </w:r>
      <w:r w:rsidR="00A30A29" w:rsidRPr="00E85CF1">
        <w:rPr>
          <w:rFonts w:hint="eastAsia"/>
          <w:szCs w:val="21"/>
        </w:rPr>
        <w:t xml:space="preserve">20 </w:t>
      </w:r>
      <w:r w:rsidR="00A30A29" w:rsidRPr="00E85CF1">
        <w:rPr>
          <w:szCs w:val="21"/>
        </w:rPr>
        <w:t>g/t</w:t>
      </w:r>
      <w:r w:rsidR="00A30A29" w:rsidRPr="00E85CF1">
        <w:rPr>
          <w:rFonts w:hint="eastAsia"/>
          <w:szCs w:val="21"/>
        </w:rPr>
        <w:t>的一半，即</w:t>
      </w:r>
      <w:r w:rsidR="00A30A29" w:rsidRPr="00E85CF1">
        <w:rPr>
          <w:rFonts w:hint="eastAsia"/>
          <w:szCs w:val="21"/>
        </w:rPr>
        <w:t>10 g/t</w:t>
      </w:r>
      <w:r w:rsidR="00A30A29" w:rsidRPr="00E85CF1">
        <w:rPr>
          <w:szCs w:val="21"/>
        </w:rPr>
        <w:t>为测定下限</w:t>
      </w:r>
      <w:r w:rsidR="00A30A29" w:rsidRPr="00E85CF1">
        <w:rPr>
          <w:rFonts w:hint="eastAsia"/>
          <w:szCs w:val="21"/>
        </w:rPr>
        <w:t>，方法为火焰原子吸收光谱法。</w:t>
      </w:r>
    </w:p>
    <w:p w:rsidR="00A30A29" w:rsidRDefault="00440BCD" w:rsidP="00440BCD">
      <w:pPr>
        <w:ind w:firstLineChars="200" w:firstLine="420"/>
        <w:rPr>
          <w:szCs w:val="21"/>
        </w:rPr>
      </w:pPr>
      <w:r w:rsidRPr="001828EC">
        <w:rPr>
          <w:rFonts w:hint="eastAsia"/>
          <w:szCs w:val="21"/>
        </w:rPr>
        <w:t>对</w:t>
      </w:r>
      <w:r>
        <w:rPr>
          <w:rFonts w:hint="eastAsia"/>
          <w:szCs w:val="21"/>
        </w:rPr>
        <w:t>镍精矿中</w:t>
      </w:r>
      <w:r w:rsidR="00A30A29">
        <w:rPr>
          <w:rFonts w:hint="eastAsia"/>
          <w:szCs w:val="21"/>
        </w:rPr>
        <w:t>银</w:t>
      </w:r>
      <w:r w:rsidRPr="001828EC">
        <w:rPr>
          <w:rFonts w:hint="eastAsia"/>
          <w:szCs w:val="21"/>
        </w:rPr>
        <w:t>的化学分析方法进行调研和文献检索，</w:t>
      </w:r>
      <w:r w:rsidR="00A30A29" w:rsidRPr="00E85CF1">
        <w:rPr>
          <w:rFonts w:hint="eastAsia"/>
          <w:szCs w:val="21"/>
        </w:rPr>
        <w:t>由于火焰原子吸收光谱法分析技术成熟，具有分析速度快、检出限低、稳定性好的特点，国内外对银含量的分析，基本采用火焰原子吸收光谱进行测定。因此，制定镍精矿中银量的分析标准方法，</w:t>
      </w:r>
      <w:r w:rsidR="00A30A29">
        <w:rPr>
          <w:rFonts w:hint="eastAsia"/>
          <w:szCs w:val="21"/>
        </w:rPr>
        <w:t>确定</w:t>
      </w:r>
      <w:r w:rsidR="00A30A29" w:rsidRPr="00E85CF1">
        <w:rPr>
          <w:rFonts w:hint="eastAsia"/>
          <w:szCs w:val="21"/>
        </w:rPr>
        <w:t>采用火焰原子吸收光谱法测定镍精矿中银的含量。</w:t>
      </w:r>
    </w:p>
    <w:p w:rsidR="00012E2E" w:rsidRPr="00012E2E" w:rsidRDefault="00012E2E" w:rsidP="006F5F5C">
      <w:pPr>
        <w:outlineLvl w:val="2"/>
        <w:rPr>
          <w:rFonts w:ascii="黑体" w:eastAsia="黑体" w:hAnsi="黑体"/>
          <w:color w:val="000000"/>
          <w:szCs w:val="21"/>
        </w:rPr>
      </w:pPr>
      <w:r w:rsidRPr="00012E2E">
        <w:rPr>
          <w:rFonts w:ascii="黑体" w:eastAsia="黑体" w:hAnsi="黑体"/>
          <w:color w:val="000000"/>
          <w:szCs w:val="21"/>
        </w:rPr>
        <w:t>3.</w:t>
      </w:r>
      <w:r w:rsidRPr="00012E2E">
        <w:rPr>
          <w:rFonts w:ascii="黑体" w:eastAsia="黑体" w:hAnsi="黑体" w:hint="eastAsia"/>
          <w:color w:val="000000"/>
          <w:szCs w:val="21"/>
        </w:rPr>
        <w:t>2</w:t>
      </w:r>
      <w:r w:rsidRPr="00012E2E">
        <w:rPr>
          <w:rFonts w:ascii="黑体" w:eastAsia="黑体" w:hAnsi="黑体"/>
          <w:color w:val="000000"/>
          <w:szCs w:val="21"/>
        </w:rPr>
        <w:t xml:space="preserve"> </w:t>
      </w:r>
      <w:r w:rsidRPr="00012E2E">
        <w:rPr>
          <w:rFonts w:ascii="黑体" w:eastAsia="黑体" w:hAnsi="黑体" w:hint="eastAsia"/>
          <w:color w:val="000000"/>
          <w:szCs w:val="21"/>
        </w:rPr>
        <w:t>立项阶段</w:t>
      </w:r>
    </w:p>
    <w:p w:rsidR="00012E2E" w:rsidRPr="001828EC" w:rsidRDefault="00012E2E" w:rsidP="00012E2E">
      <w:pPr>
        <w:ind w:firstLineChars="200" w:firstLine="420"/>
        <w:rPr>
          <w:szCs w:val="21"/>
        </w:rPr>
      </w:pPr>
      <w:r w:rsidRPr="001828EC">
        <w:rPr>
          <w:szCs w:val="21"/>
        </w:rPr>
        <w:t>201</w:t>
      </w:r>
      <w:r>
        <w:rPr>
          <w:rFonts w:hint="eastAsia"/>
          <w:szCs w:val="21"/>
        </w:rPr>
        <w:t>9</w:t>
      </w:r>
      <w:r w:rsidRPr="001828EC">
        <w:rPr>
          <w:szCs w:val="21"/>
        </w:rPr>
        <w:t>年</w:t>
      </w:r>
      <w:r>
        <w:rPr>
          <w:rFonts w:hint="eastAsia"/>
          <w:szCs w:val="21"/>
        </w:rPr>
        <w:t>10</w:t>
      </w:r>
      <w:r w:rsidRPr="001828EC">
        <w:rPr>
          <w:szCs w:val="21"/>
        </w:rPr>
        <w:t>月在接到标准制定任务后，成立了标准编制工作组，确定了各成员的工作职能和任务，制订了工作计划和进度安排。</w:t>
      </w:r>
    </w:p>
    <w:p w:rsidR="00EB00DD" w:rsidRDefault="00012E2E" w:rsidP="00A92555">
      <w:pPr>
        <w:ind w:firstLineChars="200" w:firstLine="420"/>
        <w:rPr>
          <w:szCs w:val="21"/>
        </w:rPr>
      </w:pPr>
      <w:r w:rsidRPr="001828EC">
        <w:rPr>
          <w:szCs w:val="21"/>
        </w:rPr>
        <w:t>全国有色金属标准化技术委员会</w:t>
      </w:r>
      <w:r w:rsidRPr="002508CB">
        <w:rPr>
          <w:rFonts w:hint="eastAsia"/>
          <w:szCs w:val="21"/>
        </w:rPr>
        <w:t>“关于印发</w:t>
      </w:r>
      <w:r w:rsidRPr="0051555A">
        <w:rPr>
          <w:rFonts w:hint="eastAsia"/>
          <w:szCs w:val="21"/>
        </w:rPr>
        <w:t>对《</w:t>
      </w:r>
      <w:r>
        <w:rPr>
          <w:rFonts w:hint="eastAsia"/>
          <w:szCs w:val="21"/>
        </w:rPr>
        <w:t>铅精矿化学分析方法</w:t>
      </w:r>
      <w:r w:rsidRPr="0051555A">
        <w:rPr>
          <w:rFonts w:hint="eastAsia"/>
          <w:szCs w:val="21"/>
        </w:rPr>
        <w:t>》等</w:t>
      </w:r>
      <w:r>
        <w:rPr>
          <w:rFonts w:hint="eastAsia"/>
          <w:szCs w:val="21"/>
        </w:rPr>
        <w:t>11</w:t>
      </w:r>
      <w:r w:rsidRPr="0051555A">
        <w:rPr>
          <w:rFonts w:hint="eastAsia"/>
          <w:szCs w:val="21"/>
        </w:rPr>
        <w:t>项</w:t>
      </w:r>
      <w:r>
        <w:rPr>
          <w:rFonts w:hint="eastAsia"/>
          <w:szCs w:val="21"/>
        </w:rPr>
        <w:t>国家标准及</w:t>
      </w:r>
      <w:r w:rsidRPr="0051555A">
        <w:rPr>
          <w:rFonts w:hint="eastAsia"/>
          <w:szCs w:val="21"/>
        </w:rPr>
        <w:t>行业标准</w:t>
      </w:r>
      <w:r>
        <w:rPr>
          <w:rFonts w:hint="eastAsia"/>
          <w:szCs w:val="21"/>
        </w:rPr>
        <w:t>任务落实会议纪要的通知</w:t>
      </w:r>
      <w:r w:rsidRPr="002508CB">
        <w:rPr>
          <w:rFonts w:hint="eastAsia"/>
          <w:szCs w:val="21"/>
        </w:rPr>
        <w:t>”（有色标委</w:t>
      </w:r>
      <w:r w:rsidRPr="002508CB">
        <w:rPr>
          <w:rFonts w:hint="eastAsia"/>
          <w:szCs w:val="21"/>
        </w:rPr>
        <w:t>[201</w:t>
      </w:r>
      <w:r>
        <w:rPr>
          <w:rFonts w:hint="eastAsia"/>
          <w:szCs w:val="21"/>
        </w:rPr>
        <w:t>9</w:t>
      </w:r>
      <w:r w:rsidRPr="002508CB">
        <w:rPr>
          <w:rFonts w:hint="eastAsia"/>
          <w:szCs w:val="21"/>
        </w:rPr>
        <w:t>]</w:t>
      </w:r>
      <w:r>
        <w:rPr>
          <w:rFonts w:hint="eastAsia"/>
          <w:szCs w:val="21"/>
        </w:rPr>
        <w:t>115</w:t>
      </w:r>
      <w:r w:rsidRPr="002508CB">
        <w:rPr>
          <w:rFonts w:hint="eastAsia"/>
          <w:szCs w:val="21"/>
        </w:rPr>
        <w:t>号）及相关会议纪要的文件精神</w:t>
      </w:r>
      <w:r w:rsidRPr="002508CB">
        <w:rPr>
          <w:szCs w:val="21"/>
        </w:rPr>
        <w:t>，确定</w:t>
      </w:r>
      <w:r>
        <w:rPr>
          <w:rFonts w:hint="eastAsia"/>
          <w:szCs w:val="21"/>
        </w:rPr>
        <w:t>了</w:t>
      </w:r>
      <w:r w:rsidRPr="002508CB">
        <w:rPr>
          <w:szCs w:val="21"/>
        </w:rPr>
        <w:t>《</w:t>
      </w:r>
      <w:r w:rsidR="003E7595">
        <w:rPr>
          <w:rFonts w:hint="eastAsia"/>
          <w:szCs w:val="21"/>
        </w:rPr>
        <w:t>镍精矿</w:t>
      </w:r>
      <w:r w:rsidRPr="002508CB">
        <w:rPr>
          <w:rFonts w:hint="eastAsia"/>
          <w:szCs w:val="21"/>
        </w:rPr>
        <w:t>化学分析方法</w:t>
      </w:r>
      <w:r w:rsidRPr="002508CB">
        <w:rPr>
          <w:rFonts w:hint="eastAsia"/>
          <w:szCs w:val="21"/>
        </w:rPr>
        <w:t xml:space="preserve"> </w:t>
      </w:r>
      <w:r w:rsidR="00A30A29">
        <w:rPr>
          <w:szCs w:val="21"/>
        </w:rPr>
        <w:t>第</w:t>
      </w:r>
      <w:r w:rsidR="00A30A29">
        <w:rPr>
          <w:szCs w:val="21"/>
        </w:rPr>
        <w:t>7</w:t>
      </w:r>
      <w:r w:rsidR="00A30A29">
        <w:rPr>
          <w:szCs w:val="21"/>
        </w:rPr>
        <w:t>部分</w:t>
      </w:r>
      <w:r w:rsidRPr="002508CB">
        <w:rPr>
          <w:szCs w:val="21"/>
        </w:rPr>
        <w:t>：</w:t>
      </w:r>
      <w:r w:rsidR="00A30A29">
        <w:rPr>
          <w:rFonts w:hint="eastAsia"/>
          <w:szCs w:val="21"/>
        </w:rPr>
        <w:t>银</w:t>
      </w:r>
      <w:r w:rsidRPr="00C94779">
        <w:rPr>
          <w:rFonts w:hint="eastAsia"/>
          <w:szCs w:val="21"/>
        </w:rPr>
        <w:t>含</w:t>
      </w:r>
      <w:r w:rsidRPr="00C94779">
        <w:rPr>
          <w:szCs w:val="21"/>
        </w:rPr>
        <w:t>量的测定</w:t>
      </w:r>
      <w:r w:rsidRPr="00C94779">
        <w:rPr>
          <w:szCs w:val="21"/>
        </w:rPr>
        <w:t xml:space="preserve"> </w:t>
      </w:r>
      <w:r w:rsidR="00A30A29">
        <w:rPr>
          <w:rFonts w:hint="eastAsia"/>
          <w:szCs w:val="21"/>
        </w:rPr>
        <w:t>火焰原子吸收法</w:t>
      </w:r>
      <w:r w:rsidRPr="002508CB">
        <w:rPr>
          <w:szCs w:val="21"/>
        </w:rPr>
        <w:t>》</w:t>
      </w:r>
      <w:r w:rsidRPr="00B20BFB">
        <w:rPr>
          <w:szCs w:val="21"/>
        </w:rPr>
        <w:t>项目计划编号为</w:t>
      </w:r>
      <w:r>
        <w:rPr>
          <w:rFonts w:hint="eastAsia"/>
          <w:szCs w:val="21"/>
        </w:rPr>
        <w:t>工</w:t>
      </w:r>
      <w:proofErr w:type="gramStart"/>
      <w:r>
        <w:rPr>
          <w:rFonts w:hint="eastAsia"/>
          <w:szCs w:val="21"/>
        </w:rPr>
        <w:t>信厅科函</w:t>
      </w:r>
      <w:proofErr w:type="gramEnd"/>
      <w:r>
        <w:rPr>
          <w:rFonts w:hint="eastAsia"/>
          <w:szCs w:val="21"/>
        </w:rPr>
        <w:t>[2019]126</w:t>
      </w:r>
      <w:r>
        <w:rPr>
          <w:rFonts w:hint="eastAsia"/>
          <w:szCs w:val="21"/>
        </w:rPr>
        <w:t>号</w:t>
      </w:r>
      <w:r w:rsidR="003E7595">
        <w:rPr>
          <w:color w:val="000000"/>
          <w:szCs w:val="21"/>
        </w:rPr>
        <w:t>201</w:t>
      </w:r>
      <w:r w:rsidR="003E7595">
        <w:rPr>
          <w:rFonts w:hint="eastAsia"/>
          <w:color w:val="000000"/>
          <w:szCs w:val="21"/>
        </w:rPr>
        <w:t>9-04</w:t>
      </w:r>
      <w:r w:rsidR="00A30A29">
        <w:rPr>
          <w:rFonts w:hint="eastAsia"/>
          <w:color w:val="000000"/>
          <w:szCs w:val="21"/>
        </w:rPr>
        <w:t>10</w:t>
      </w:r>
      <w:r w:rsidR="003E7595">
        <w:rPr>
          <w:color w:val="000000"/>
          <w:szCs w:val="21"/>
        </w:rPr>
        <w:t>T-</w:t>
      </w:r>
      <w:r w:rsidR="003E7595">
        <w:rPr>
          <w:rFonts w:hint="eastAsia"/>
          <w:color w:val="000000"/>
          <w:szCs w:val="21"/>
        </w:rPr>
        <w:t>YS</w:t>
      </w:r>
      <w:r w:rsidR="003E7595">
        <w:rPr>
          <w:rFonts w:hint="eastAsia"/>
          <w:color w:val="000000"/>
          <w:szCs w:val="21"/>
        </w:rPr>
        <w:t>，</w:t>
      </w:r>
      <w:r w:rsidRPr="00B20BFB">
        <w:rPr>
          <w:szCs w:val="21"/>
        </w:rPr>
        <w:t>完成</w:t>
      </w:r>
      <w:r>
        <w:rPr>
          <w:rFonts w:hint="eastAsia"/>
          <w:szCs w:val="21"/>
        </w:rPr>
        <w:t>年限</w:t>
      </w:r>
      <w:r w:rsidRPr="00B20BFB">
        <w:rPr>
          <w:szCs w:val="21"/>
        </w:rPr>
        <w:t>为</w:t>
      </w:r>
      <w:r w:rsidRPr="00B20BFB">
        <w:rPr>
          <w:szCs w:val="21"/>
        </w:rPr>
        <w:t>202</w:t>
      </w:r>
      <w:r>
        <w:rPr>
          <w:rFonts w:hint="eastAsia"/>
          <w:szCs w:val="21"/>
        </w:rPr>
        <w:t>1</w:t>
      </w:r>
      <w:r w:rsidRPr="00B20BFB">
        <w:rPr>
          <w:szCs w:val="21"/>
        </w:rPr>
        <w:t>年</w:t>
      </w:r>
      <w:r>
        <w:rPr>
          <w:rFonts w:hint="eastAsia"/>
          <w:szCs w:val="21"/>
        </w:rPr>
        <w:t>。</w:t>
      </w:r>
    </w:p>
    <w:p w:rsidR="007D2504" w:rsidRPr="007D2504" w:rsidRDefault="007D2504" w:rsidP="006F5F5C">
      <w:pPr>
        <w:outlineLvl w:val="2"/>
        <w:rPr>
          <w:rFonts w:ascii="黑体" w:eastAsia="黑体" w:hAnsi="黑体"/>
          <w:color w:val="000000"/>
          <w:szCs w:val="21"/>
        </w:rPr>
      </w:pPr>
      <w:r w:rsidRPr="007D2504">
        <w:rPr>
          <w:rFonts w:ascii="黑体" w:eastAsia="黑体" w:hAnsi="黑体"/>
          <w:color w:val="000000"/>
          <w:szCs w:val="21"/>
        </w:rPr>
        <w:t>3.</w:t>
      </w:r>
      <w:r w:rsidRPr="007D2504">
        <w:rPr>
          <w:rFonts w:ascii="黑体" w:eastAsia="黑体" w:hAnsi="黑体" w:hint="eastAsia"/>
          <w:color w:val="000000"/>
          <w:szCs w:val="21"/>
        </w:rPr>
        <w:t>3</w:t>
      </w:r>
      <w:r w:rsidRPr="007D2504">
        <w:rPr>
          <w:rFonts w:ascii="黑体" w:eastAsia="黑体" w:hAnsi="黑体"/>
          <w:color w:val="000000"/>
          <w:szCs w:val="21"/>
        </w:rPr>
        <w:t xml:space="preserve"> </w:t>
      </w:r>
      <w:r w:rsidRPr="007D2504">
        <w:rPr>
          <w:rFonts w:ascii="黑体" w:eastAsia="黑体" w:hAnsi="黑体" w:hint="eastAsia"/>
          <w:color w:val="000000"/>
          <w:szCs w:val="21"/>
        </w:rPr>
        <w:t>起草阶段</w:t>
      </w:r>
    </w:p>
    <w:p w:rsidR="007D2504" w:rsidRPr="001828EC" w:rsidRDefault="007D2504" w:rsidP="007D2504">
      <w:pPr>
        <w:ind w:firstLineChars="200" w:firstLine="420"/>
        <w:rPr>
          <w:szCs w:val="21"/>
        </w:rPr>
      </w:pPr>
      <w:r w:rsidRPr="001828EC">
        <w:rPr>
          <w:szCs w:val="21"/>
        </w:rPr>
        <w:t>201</w:t>
      </w:r>
      <w:r>
        <w:rPr>
          <w:rFonts w:hint="eastAsia"/>
          <w:szCs w:val="21"/>
        </w:rPr>
        <w:t>9</w:t>
      </w:r>
      <w:r w:rsidRPr="001828EC">
        <w:rPr>
          <w:szCs w:val="21"/>
        </w:rPr>
        <w:t>年</w:t>
      </w:r>
      <w:r>
        <w:rPr>
          <w:rFonts w:hint="eastAsia"/>
          <w:szCs w:val="21"/>
        </w:rPr>
        <w:t>10</w:t>
      </w:r>
      <w:r w:rsidRPr="001828EC">
        <w:rPr>
          <w:szCs w:val="21"/>
        </w:rPr>
        <w:t>月</w:t>
      </w:r>
      <w:r>
        <w:rPr>
          <w:rFonts w:hint="eastAsia"/>
          <w:szCs w:val="21"/>
        </w:rPr>
        <w:t>29</w:t>
      </w:r>
      <w:r w:rsidRPr="001828EC">
        <w:rPr>
          <w:szCs w:val="21"/>
        </w:rPr>
        <w:t>～</w:t>
      </w:r>
      <w:r>
        <w:rPr>
          <w:rFonts w:hint="eastAsia"/>
          <w:szCs w:val="21"/>
        </w:rPr>
        <w:t>31</w:t>
      </w:r>
      <w:r w:rsidRPr="001828EC">
        <w:rPr>
          <w:szCs w:val="21"/>
        </w:rPr>
        <w:t>日，在</w:t>
      </w:r>
      <w:r>
        <w:rPr>
          <w:rFonts w:hint="eastAsia"/>
          <w:szCs w:val="21"/>
        </w:rPr>
        <w:t>山东省泰安市</w:t>
      </w:r>
      <w:r w:rsidRPr="001828EC">
        <w:rPr>
          <w:szCs w:val="21"/>
        </w:rPr>
        <w:t>召开全国有色标准会议进行任务</w:t>
      </w:r>
      <w:r w:rsidR="00D12735" w:rsidRPr="001828EC">
        <w:rPr>
          <w:szCs w:val="21"/>
        </w:rPr>
        <w:t>落实</w:t>
      </w:r>
      <w:r w:rsidRPr="001828EC">
        <w:rPr>
          <w:szCs w:val="21"/>
        </w:rPr>
        <w:t>。</w:t>
      </w:r>
      <w:r w:rsidRPr="001828EC">
        <w:rPr>
          <w:rFonts w:hint="eastAsia"/>
          <w:szCs w:val="21"/>
        </w:rPr>
        <w:t>会议上来自国内</w:t>
      </w:r>
      <w:proofErr w:type="gramStart"/>
      <w:r>
        <w:rPr>
          <w:rFonts w:hint="eastAsia"/>
          <w:szCs w:val="21"/>
        </w:rPr>
        <w:t>51</w:t>
      </w:r>
      <w:r w:rsidRPr="001828EC">
        <w:rPr>
          <w:rFonts w:hint="eastAsia"/>
          <w:szCs w:val="21"/>
        </w:rPr>
        <w:t>余家</w:t>
      </w:r>
      <w:proofErr w:type="gramEnd"/>
      <w:r w:rsidRPr="001828EC">
        <w:rPr>
          <w:rFonts w:hint="eastAsia"/>
          <w:szCs w:val="21"/>
        </w:rPr>
        <w:t>单位积极参与标准制定，会议确定了一验单位</w:t>
      </w:r>
      <w:proofErr w:type="gramStart"/>
      <w:r w:rsidRPr="001828EC">
        <w:rPr>
          <w:rFonts w:hint="eastAsia"/>
          <w:szCs w:val="21"/>
        </w:rPr>
        <w:t>和二验单位</w:t>
      </w:r>
      <w:proofErr w:type="gramEnd"/>
      <w:r w:rsidRPr="001828EC">
        <w:rPr>
          <w:rFonts w:hint="eastAsia"/>
          <w:szCs w:val="21"/>
        </w:rPr>
        <w:t>。</w:t>
      </w:r>
    </w:p>
    <w:p w:rsidR="007D2504" w:rsidRDefault="007D2504" w:rsidP="007D2504">
      <w:pPr>
        <w:ind w:firstLineChars="200" w:firstLine="420"/>
        <w:rPr>
          <w:szCs w:val="21"/>
        </w:rPr>
      </w:pPr>
      <w:r w:rsidRPr="001828EC">
        <w:rPr>
          <w:rFonts w:hint="eastAsia"/>
          <w:szCs w:val="21"/>
        </w:rPr>
        <w:t>接到标准制定任务后，</w:t>
      </w:r>
      <w:r w:rsidR="00D3691D">
        <w:rPr>
          <w:rFonts w:hint="eastAsia"/>
          <w:szCs w:val="21"/>
        </w:rPr>
        <w:t>金川集团股份</w:t>
      </w:r>
      <w:r w:rsidRPr="001828EC">
        <w:rPr>
          <w:rFonts w:hint="eastAsia"/>
          <w:szCs w:val="21"/>
        </w:rPr>
        <w:t>有限公司组织成立了有色金属行业标准起草小组。</w:t>
      </w:r>
      <w:r w:rsidR="00D3691D" w:rsidRPr="001828EC">
        <w:rPr>
          <w:rFonts w:hint="eastAsia"/>
          <w:szCs w:val="21"/>
        </w:rPr>
        <w:t>根据全国有色金属标准化技术委员会</w:t>
      </w:r>
      <w:r w:rsidR="00D3691D" w:rsidRPr="001828EC">
        <w:rPr>
          <w:szCs w:val="21"/>
        </w:rPr>
        <w:t>有色标秘</w:t>
      </w:r>
      <w:r w:rsidR="00D3691D" w:rsidRPr="001828EC">
        <w:rPr>
          <w:szCs w:val="21"/>
        </w:rPr>
        <w:t>[201</w:t>
      </w:r>
      <w:r w:rsidR="00D3691D">
        <w:rPr>
          <w:rFonts w:hint="eastAsia"/>
          <w:szCs w:val="21"/>
        </w:rPr>
        <w:t>9</w:t>
      </w:r>
      <w:r w:rsidR="00D3691D" w:rsidRPr="001828EC">
        <w:rPr>
          <w:szCs w:val="21"/>
        </w:rPr>
        <w:t>]</w:t>
      </w:r>
      <w:r w:rsidR="00D3691D">
        <w:rPr>
          <w:rFonts w:hint="eastAsia"/>
          <w:szCs w:val="21"/>
        </w:rPr>
        <w:t>115</w:t>
      </w:r>
      <w:r w:rsidR="00D3691D" w:rsidRPr="001828EC">
        <w:rPr>
          <w:rFonts w:hint="eastAsia"/>
          <w:szCs w:val="21"/>
        </w:rPr>
        <w:t>号文的要求，</w:t>
      </w:r>
      <w:r w:rsidRPr="001828EC">
        <w:rPr>
          <w:rFonts w:hint="eastAsia"/>
          <w:szCs w:val="21"/>
        </w:rPr>
        <w:t>明确了标准的进度安排、任务分工、确定了编制标准的工作计划及技术路线。</w:t>
      </w:r>
    </w:p>
    <w:p w:rsidR="00D3691D" w:rsidRPr="000A680E" w:rsidRDefault="00D3691D" w:rsidP="00D3691D">
      <w:pPr>
        <w:pStyle w:val="af6"/>
        <w:rPr>
          <w:rFonts w:ascii="Times New Roman"/>
          <w:kern w:val="2"/>
          <w:sz w:val="21"/>
          <w:szCs w:val="21"/>
        </w:rPr>
      </w:pPr>
      <w:r w:rsidRPr="00F661B4">
        <w:rPr>
          <w:rFonts w:ascii="Times New Roman"/>
          <w:kern w:val="2"/>
          <w:sz w:val="21"/>
          <w:szCs w:val="21"/>
        </w:rPr>
        <w:t>1</w:t>
      </w:r>
      <w:r>
        <w:rPr>
          <w:rFonts w:ascii="Times New Roman" w:hint="eastAsia"/>
          <w:kern w:val="2"/>
          <w:sz w:val="21"/>
          <w:szCs w:val="21"/>
        </w:rPr>
        <w:t>）</w:t>
      </w:r>
      <w:r>
        <w:rPr>
          <w:sz w:val="21"/>
          <w:szCs w:val="21"/>
        </w:rPr>
        <w:t>依据近几年以来镍精矿中</w:t>
      </w:r>
      <w:r w:rsidR="00A30A29">
        <w:rPr>
          <w:sz w:val="21"/>
          <w:szCs w:val="21"/>
        </w:rPr>
        <w:t>银</w:t>
      </w:r>
      <w:r>
        <w:rPr>
          <w:sz w:val="21"/>
          <w:szCs w:val="21"/>
        </w:rPr>
        <w:t>的含量情况，确定待测元素上限略高于最高含量，以贸易结算的</w:t>
      </w:r>
      <w:r w:rsidRPr="000A680E">
        <w:rPr>
          <w:sz w:val="21"/>
          <w:szCs w:val="21"/>
        </w:rPr>
        <w:t>最低含</w:t>
      </w:r>
      <w:r w:rsidRPr="000A680E">
        <w:rPr>
          <w:rFonts w:ascii="Times New Roman"/>
          <w:kern w:val="2"/>
          <w:sz w:val="21"/>
          <w:szCs w:val="21"/>
        </w:rPr>
        <w:t>量</w:t>
      </w:r>
      <w:r w:rsidR="00606FF8" w:rsidRPr="000A680E">
        <w:rPr>
          <w:rFonts w:ascii="Times New Roman" w:hint="eastAsia"/>
          <w:kern w:val="2"/>
          <w:sz w:val="21"/>
          <w:szCs w:val="21"/>
        </w:rPr>
        <w:t>20</w:t>
      </w:r>
      <w:r w:rsidR="000B68EF" w:rsidRPr="000A680E">
        <w:rPr>
          <w:rFonts w:ascii="Times New Roman" w:hint="eastAsia"/>
          <w:kern w:val="2"/>
          <w:sz w:val="21"/>
          <w:szCs w:val="21"/>
        </w:rPr>
        <w:t xml:space="preserve"> </w:t>
      </w:r>
      <w:r w:rsidRPr="000A680E">
        <w:rPr>
          <w:rFonts w:ascii="Times New Roman"/>
          <w:kern w:val="2"/>
          <w:sz w:val="21"/>
          <w:szCs w:val="21"/>
        </w:rPr>
        <w:t>g/t</w:t>
      </w:r>
      <w:r w:rsidR="000B68EF" w:rsidRPr="000A680E">
        <w:rPr>
          <w:rFonts w:ascii="Times New Roman" w:hint="eastAsia"/>
          <w:kern w:val="2"/>
          <w:sz w:val="21"/>
          <w:szCs w:val="21"/>
        </w:rPr>
        <w:t>的一半</w:t>
      </w:r>
      <w:r w:rsidRPr="000A680E">
        <w:rPr>
          <w:rFonts w:ascii="Times New Roman"/>
          <w:kern w:val="2"/>
          <w:sz w:val="21"/>
          <w:szCs w:val="21"/>
        </w:rPr>
        <w:t>为测定下限，确定镍精矿中</w:t>
      </w:r>
      <w:r w:rsidR="005A797B" w:rsidRPr="000A680E">
        <w:rPr>
          <w:rFonts w:ascii="Times New Roman" w:hint="eastAsia"/>
          <w:kern w:val="2"/>
          <w:sz w:val="21"/>
          <w:szCs w:val="21"/>
        </w:rPr>
        <w:t>银含量</w:t>
      </w:r>
      <w:r w:rsidRPr="000A680E">
        <w:rPr>
          <w:rFonts w:ascii="Times New Roman"/>
          <w:kern w:val="2"/>
          <w:sz w:val="21"/>
          <w:szCs w:val="21"/>
        </w:rPr>
        <w:t>的测定范围为</w:t>
      </w:r>
      <w:r w:rsidR="005A797B" w:rsidRPr="000A680E">
        <w:t>10</w:t>
      </w:r>
      <w:r w:rsidR="00606FF8" w:rsidRPr="000A680E">
        <w:rPr>
          <w:rFonts w:hint="eastAsia"/>
        </w:rPr>
        <w:t xml:space="preserve"> </w:t>
      </w:r>
      <w:r w:rsidR="005A797B" w:rsidRPr="000A680E">
        <w:t>g/t</w:t>
      </w:r>
      <w:r w:rsidR="005A797B" w:rsidRPr="000A680E">
        <w:rPr>
          <w:rFonts w:hAnsi="宋体"/>
        </w:rPr>
        <w:t>～</w:t>
      </w:r>
      <w:r w:rsidR="005A797B" w:rsidRPr="000A680E">
        <w:t>150</w:t>
      </w:r>
      <w:r w:rsidR="00606FF8" w:rsidRPr="000A680E">
        <w:rPr>
          <w:rFonts w:hint="eastAsia"/>
        </w:rPr>
        <w:t xml:space="preserve"> </w:t>
      </w:r>
      <w:r w:rsidR="005A797B" w:rsidRPr="000A680E">
        <w:t>g/t</w:t>
      </w:r>
      <w:r w:rsidRPr="000A680E">
        <w:rPr>
          <w:rFonts w:ascii="Times New Roman"/>
          <w:kern w:val="2"/>
          <w:sz w:val="21"/>
          <w:szCs w:val="21"/>
        </w:rPr>
        <w:t>。</w:t>
      </w:r>
    </w:p>
    <w:p w:rsidR="000B68EF" w:rsidRDefault="00CE48E3" w:rsidP="00D3691D">
      <w:pPr>
        <w:pStyle w:val="af6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2</w:t>
      </w:r>
      <w:r>
        <w:rPr>
          <w:rFonts w:ascii="Times New Roman" w:hint="eastAsia"/>
          <w:sz w:val="21"/>
          <w:szCs w:val="21"/>
        </w:rPr>
        <w:t>）</w:t>
      </w:r>
      <w:r w:rsidR="000B68EF">
        <w:rPr>
          <w:rFonts w:ascii="Times New Roman" w:hint="eastAsia"/>
          <w:sz w:val="21"/>
          <w:szCs w:val="21"/>
        </w:rPr>
        <w:t>收集国内外十几家有自产或进行贸易的镍精矿样品，对</w:t>
      </w:r>
      <w:r w:rsidR="00A30A29">
        <w:rPr>
          <w:rFonts w:ascii="Times New Roman" w:hint="eastAsia"/>
          <w:sz w:val="21"/>
          <w:szCs w:val="21"/>
        </w:rPr>
        <w:t>银</w:t>
      </w:r>
      <w:r w:rsidR="000B68EF">
        <w:rPr>
          <w:rFonts w:ascii="Times New Roman" w:hint="eastAsia"/>
          <w:sz w:val="21"/>
          <w:szCs w:val="21"/>
        </w:rPr>
        <w:t>含量进行摸底分析，选出</w:t>
      </w:r>
      <w:r w:rsidR="005A797B">
        <w:rPr>
          <w:rFonts w:ascii="Times New Roman" w:hint="eastAsia"/>
          <w:sz w:val="21"/>
          <w:szCs w:val="21"/>
        </w:rPr>
        <w:t>4</w:t>
      </w:r>
      <w:r w:rsidR="000B68EF">
        <w:rPr>
          <w:rFonts w:ascii="Times New Roman" w:hint="eastAsia"/>
          <w:sz w:val="21"/>
          <w:szCs w:val="21"/>
        </w:rPr>
        <w:t>个</w:t>
      </w:r>
      <w:r w:rsidR="00A30A29">
        <w:rPr>
          <w:rFonts w:ascii="Times New Roman" w:hint="eastAsia"/>
          <w:sz w:val="21"/>
          <w:szCs w:val="21"/>
        </w:rPr>
        <w:t>银</w:t>
      </w:r>
      <w:r w:rsidR="000B68EF">
        <w:rPr>
          <w:rFonts w:ascii="Times New Roman" w:hint="eastAsia"/>
          <w:sz w:val="21"/>
          <w:szCs w:val="21"/>
        </w:rPr>
        <w:t>含量有代表性的镍精矿作为验证样品。</w:t>
      </w:r>
    </w:p>
    <w:p w:rsidR="00CE48E3" w:rsidRDefault="000B68EF" w:rsidP="000B68EF">
      <w:pPr>
        <w:pStyle w:val="af6"/>
        <w:ind w:firstLine="400"/>
        <w:rPr>
          <w:szCs w:val="21"/>
        </w:rPr>
      </w:pPr>
      <w:r>
        <w:rPr>
          <w:rFonts w:hint="eastAsia"/>
          <w:szCs w:val="21"/>
        </w:rPr>
        <w:t>3）</w:t>
      </w:r>
      <w:r w:rsidR="00CE48E3">
        <w:rPr>
          <w:szCs w:val="21"/>
        </w:rPr>
        <w:t>起草单位</w:t>
      </w:r>
      <w:r w:rsidR="00CE48E3">
        <w:rPr>
          <w:rFonts w:hAnsi="宋体"/>
          <w:bCs/>
          <w:color w:val="000000"/>
          <w:szCs w:val="21"/>
        </w:rPr>
        <w:t>金川集团股份有限公司</w:t>
      </w:r>
      <w:r w:rsidR="00CE48E3">
        <w:rPr>
          <w:szCs w:val="21"/>
        </w:rPr>
        <w:t>展开了所负责方法的研究工作，包括文献查询、实验方案的确定，根据实验方案，开展</w:t>
      </w:r>
      <w:r w:rsidR="005A797B">
        <w:rPr>
          <w:rFonts w:hint="eastAsia"/>
          <w:szCs w:val="21"/>
        </w:rPr>
        <w:t>镍精矿试样</w:t>
      </w:r>
      <w:r w:rsidR="00CE48E3">
        <w:rPr>
          <w:szCs w:val="21"/>
        </w:rPr>
        <w:t>溶解方法</w:t>
      </w:r>
      <w:r w:rsidR="005A797B">
        <w:rPr>
          <w:rFonts w:hint="eastAsia"/>
          <w:szCs w:val="21"/>
        </w:rPr>
        <w:t>的选择和优化</w:t>
      </w:r>
      <w:r w:rsidR="00CE48E3">
        <w:rPr>
          <w:szCs w:val="21"/>
        </w:rPr>
        <w:t>、待测试液介质</w:t>
      </w:r>
      <w:r w:rsidR="006D3E1F">
        <w:rPr>
          <w:rFonts w:hint="eastAsia"/>
          <w:szCs w:val="21"/>
        </w:rPr>
        <w:t>的选择</w:t>
      </w:r>
      <w:r w:rsidR="00D12735">
        <w:rPr>
          <w:rFonts w:hint="eastAsia"/>
          <w:szCs w:val="21"/>
        </w:rPr>
        <w:t>、</w:t>
      </w:r>
      <w:r w:rsidR="006D3E1F">
        <w:rPr>
          <w:rFonts w:hint="eastAsia"/>
          <w:szCs w:val="21"/>
        </w:rPr>
        <w:t>火焰原子吸收</w:t>
      </w:r>
      <w:r w:rsidR="00CE48E3">
        <w:rPr>
          <w:szCs w:val="21"/>
        </w:rPr>
        <w:t>测定</w:t>
      </w:r>
      <w:r w:rsidR="00A30A29">
        <w:rPr>
          <w:szCs w:val="21"/>
        </w:rPr>
        <w:t>银</w:t>
      </w:r>
      <w:r w:rsidR="00CE48E3">
        <w:rPr>
          <w:szCs w:val="21"/>
        </w:rPr>
        <w:t>的仪器条件优化、检出限、共存元素干扰等试验，并对验证样品按拟定的方法考察了分析结果的准确度和精密度。</w:t>
      </w:r>
    </w:p>
    <w:p w:rsidR="00CE48E3" w:rsidRPr="000B68EF" w:rsidRDefault="000B68EF" w:rsidP="00CE48E3">
      <w:pPr>
        <w:pStyle w:val="af6"/>
        <w:ind w:firstLine="400"/>
        <w:rPr>
          <w:rFonts w:ascii="Times New Roman"/>
          <w:bCs/>
          <w:color w:val="000000"/>
          <w:szCs w:val="21"/>
        </w:rPr>
      </w:pPr>
      <w:r w:rsidRPr="000B68EF">
        <w:rPr>
          <w:rFonts w:ascii="Times New Roman"/>
          <w:bCs/>
          <w:color w:val="000000"/>
          <w:szCs w:val="21"/>
        </w:rPr>
        <w:t>4</w:t>
      </w:r>
      <w:r w:rsidRPr="000B68EF">
        <w:rPr>
          <w:rFonts w:ascii="Times New Roman" w:hAnsi="宋体"/>
          <w:bCs/>
          <w:color w:val="000000"/>
          <w:szCs w:val="21"/>
        </w:rPr>
        <w:t>）</w:t>
      </w:r>
      <w:r w:rsidR="00CE48E3" w:rsidRPr="000B68EF">
        <w:rPr>
          <w:rFonts w:ascii="Times New Roman"/>
          <w:szCs w:val="21"/>
        </w:rPr>
        <w:t>各项试验内容完成后，于</w:t>
      </w:r>
      <w:r w:rsidR="00CE48E3" w:rsidRPr="000B68EF">
        <w:rPr>
          <w:rFonts w:ascii="Times New Roman"/>
          <w:szCs w:val="21"/>
        </w:rPr>
        <w:t>2020</w:t>
      </w:r>
      <w:r w:rsidR="00CE48E3" w:rsidRPr="000B68EF">
        <w:rPr>
          <w:rFonts w:ascii="Times New Roman"/>
          <w:szCs w:val="21"/>
        </w:rPr>
        <w:t>年</w:t>
      </w:r>
      <w:r w:rsidR="00CE48E3" w:rsidRPr="000B68EF">
        <w:rPr>
          <w:rFonts w:ascii="Times New Roman"/>
          <w:szCs w:val="21"/>
        </w:rPr>
        <w:t>2</w:t>
      </w:r>
      <w:r w:rsidR="00CE48E3" w:rsidRPr="000B68EF">
        <w:rPr>
          <w:rFonts w:ascii="Times New Roman"/>
          <w:szCs w:val="21"/>
        </w:rPr>
        <w:t>月底形成实验报告和标准文本，随即将验证样品、实验报告和标准</w:t>
      </w:r>
      <w:proofErr w:type="gramStart"/>
      <w:r w:rsidR="00CE48E3" w:rsidRPr="000B68EF">
        <w:rPr>
          <w:rFonts w:ascii="Times New Roman"/>
          <w:szCs w:val="21"/>
        </w:rPr>
        <w:t>讨论稿交与</w:t>
      </w:r>
      <w:proofErr w:type="gramEnd"/>
      <w:r w:rsidR="00CE48E3" w:rsidRPr="000B68EF">
        <w:rPr>
          <w:rFonts w:ascii="Times New Roman"/>
          <w:szCs w:val="21"/>
        </w:rPr>
        <w:t>各</w:t>
      </w:r>
      <w:r w:rsidR="00CE48E3" w:rsidRPr="000B68EF">
        <w:rPr>
          <w:rFonts w:ascii="Times New Roman" w:hAnsi="宋体"/>
          <w:bCs/>
          <w:color w:val="000000"/>
          <w:szCs w:val="21"/>
        </w:rPr>
        <w:t>参加起草单位开展验证工作。</w:t>
      </w:r>
    </w:p>
    <w:p w:rsidR="00CE48E3" w:rsidRPr="000B68EF" w:rsidRDefault="000B68EF" w:rsidP="00CE48E3">
      <w:pPr>
        <w:pStyle w:val="af6"/>
        <w:ind w:firstLine="400"/>
        <w:rPr>
          <w:rFonts w:ascii="Times New Roman"/>
          <w:sz w:val="21"/>
          <w:szCs w:val="21"/>
        </w:rPr>
      </w:pPr>
      <w:r w:rsidRPr="000B68EF">
        <w:rPr>
          <w:rFonts w:ascii="Times New Roman"/>
          <w:bCs/>
          <w:color w:val="000000"/>
          <w:szCs w:val="21"/>
        </w:rPr>
        <w:t>5</w:t>
      </w:r>
      <w:r w:rsidRPr="000B68EF">
        <w:rPr>
          <w:rFonts w:ascii="Times New Roman" w:hAnsi="宋体"/>
          <w:bCs/>
          <w:color w:val="000000"/>
          <w:szCs w:val="21"/>
        </w:rPr>
        <w:t>）</w:t>
      </w:r>
      <w:r w:rsidR="00CE48E3" w:rsidRPr="000B68EF">
        <w:rPr>
          <w:rFonts w:ascii="Times New Roman" w:hAnsi="宋体"/>
          <w:bCs/>
          <w:color w:val="000000"/>
          <w:szCs w:val="21"/>
        </w:rPr>
        <w:t>各</w:t>
      </w:r>
      <w:r>
        <w:rPr>
          <w:rFonts w:ascii="Times New Roman" w:hAnsi="宋体" w:hint="eastAsia"/>
          <w:bCs/>
          <w:color w:val="000000"/>
          <w:szCs w:val="21"/>
        </w:rPr>
        <w:t>验证单位</w:t>
      </w:r>
      <w:r w:rsidR="00CE48E3" w:rsidRPr="000B68EF">
        <w:rPr>
          <w:rFonts w:ascii="Times New Roman" w:hAnsi="宋体"/>
          <w:bCs/>
          <w:color w:val="000000"/>
          <w:szCs w:val="21"/>
        </w:rPr>
        <w:t>于</w:t>
      </w:r>
      <w:r w:rsidR="00CE48E3" w:rsidRPr="000B68EF">
        <w:rPr>
          <w:rFonts w:ascii="Times New Roman"/>
          <w:bCs/>
          <w:color w:val="000000"/>
          <w:szCs w:val="21"/>
        </w:rPr>
        <w:t>2020</w:t>
      </w:r>
      <w:r w:rsidR="00CE48E3" w:rsidRPr="000B68EF">
        <w:rPr>
          <w:rFonts w:ascii="Times New Roman" w:hAnsi="宋体"/>
          <w:bCs/>
          <w:color w:val="000000"/>
          <w:szCs w:val="21"/>
        </w:rPr>
        <w:t>年</w:t>
      </w:r>
      <w:r w:rsidR="00CE48E3" w:rsidRPr="000B68EF">
        <w:rPr>
          <w:rFonts w:ascii="Times New Roman"/>
          <w:bCs/>
          <w:color w:val="000000"/>
          <w:szCs w:val="21"/>
        </w:rPr>
        <w:t>5</w:t>
      </w:r>
      <w:r w:rsidR="00CE48E3" w:rsidRPr="000B68EF">
        <w:rPr>
          <w:rFonts w:ascii="Times New Roman" w:hAnsi="宋体"/>
          <w:bCs/>
          <w:color w:val="000000"/>
          <w:szCs w:val="21"/>
        </w:rPr>
        <w:t>月底全部完成验证工作，</w:t>
      </w:r>
      <w:r>
        <w:rPr>
          <w:rFonts w:ascii="Times New Roman" w:hAnsi="宋体" w:hint="eastAsia"/>
          <w:bCs/>
          <w:color w:val="000000"/>
          <w:szCs w:val="21"/>
        </w:rPr>
        <w:t>提交了验证报告。</w:t>
      </w:r>
    </w:p>
    <w:p w:rsidR="00D3691D" w:rsidRPr="00741BB4" w:rsidRDefault="000B68EF" w:rsidP="00741BB4">
      <w:pPr>
        <w:pStyle w:val="af6"/>
        <w:ind w:firstLine="400"/>
        <w:rPr>
          <w:rFonts w:ascii="Times New Roman"/>
          <w:bCs/>
          <w:color w:val="000000"/>
          <w:szCs w:val="21"/>
        </w:rPr>
      </w:pPr>
      <w:r w:rsidRPr="00741BB4">
        <w:rPr>
          <w:rFonts w:ascii="Times New Roman"/>
          <w:bCs/>
          <w:color w:val="000000"/>
          <w:szCs w:val="21"/>
        </w:rPr>
        <w:t>6</w:t>
      </w:r>
      <w:r w:rsidRPr="00741BB4">
        <w:rPr>
          <w:rFonts w:ascii="Times New Roman"/>
          <w:bCs/>
          <w:color w:val="000000"/>
          <w:szCs w:val="21"/>
        </w:rPr>
        <w:t>）</w:t>
      </w:r>
      <w:r w:rsidRPr="00741BB4">
        <w:rPr>
          <w:rFonts w:ascii="Times New Roman"/>
          <w:bCs/>
          <w:color w:val="000000"/>
          <w:szCs w:val="21"/>
        </w:rPr>
        <w:t>2020</w:t>
      </w:r>
      <w:r w:rsidRPr="00741BB4">
        <w:rPr>
          <w:rFonts w:ascii="Times New Roman"/>
          <w:bCs/>
          <w:color w:val="000000"/>
          <w:szCs w:val="21"/>
        </w:rPr>
        <w:t>年</w:t>
      </w:r>
      <w:r w:rsidRPr="00741BB4">
        <w:rPr>
          <w:rFonts w:ascii="Times New Roman" w:hint="eastAsia"/>
          <w:bCs/>
          <w:color w:val="000000"/>
          <w:szCs w:val="21"/>
        </w:rPr>
        <w:t>6</w:t>
      </w:r>
      <w:r w:rsidRPr="00741BB4">
        <w:rPr>
          <w:rFonts w:ascii="Times New Roman"/>
          <w:bCs/>
          <w:color w:val="000000"/>
          <w:szCs w:val="21"/>
        </w:rPr>
        <w:t>月</w:t>
      </w:r>
      <w:r w:rsidRPr="00741BB4">
        <w:rPr>
          <w:rFonts w:ascii="Times New Roman" w:hint="eastAsia"/>
          <w:bCs/>
          <w:color w:val="000000"/>
          <w:szCs w:val="21"/>
        </w:rPr>
        <w:t>~8</w:t>
      </w:r>
      <w:r w:rsidRPr="00741BB4">
        <w:rPr>
          <w:rFonts w:ascii="Times New Roman" w:hint="eastAsia"/>
          <w:bCs/>
          <w:color w:val="000000"/>
          <w:szCs w:val="21"/>
        </w:rPr>
        <w:t>月，</w:t>
      </w:r>
      <w:r w:rsidRPr="00741BB4">
        <w:rPr>
          <w:rFonts w:ascii="Times New Roman"/>
          <w:bCs/>
          <w:color w:val="000000"/>
          <w:szCs w:val="21"/>
        </w:rPr>
        <w:t>负责起草单位金川集团股份有限公司对验证数据开展统计整理</w:t>
      </w:r>
      <w:r w:rsidR="009F3F37" w:rsidRPr="00741BB4">
        <w:rPr>
          <w:rFonts w:ascii="Times New Roman" w:hint="eastAsia"/>
          <w:bCs/>
          <w:color w:val="000000"/>
          <w:szCs w:val="21"/>
        </w:rPr>
        <w:t>，</w:t>
      </w:r>
    </w:p>
    <w:p w:rsidR="00D3691D" w:rsidRPr="00741BB4" w:rsidRDefault="009862C0" w:rsidP="00741BB4">
      <w:pPr>
        <w:pStyle w:val="af6"/>
        <w:ind w:firstLine="400"/>
        <w:rPr>
          <w:rFonts w:ascii="Times New Roman"/>
          <w:bCs/>
          <w:color w:val="000000"/>
          <w:szCs w:val="21"/>
        </w:rPr>
      </w:pPr>
      <w:r w:rsidRPr="00741BB4">
        <w:rPr>
          <w:rFonts w:ascii="Times New Roman" w:hint="eastAsia"/>
          <w:bCs/>
          <w:color w:val="000000"/>
          <w:szCs w:val="21"/>
        </w:rPr>
        <w:t>7</w:t>
      </w:r>
      <w:r w:rsidRPr="00741BB4">
        <w:rPr>
          <w:rFonts w:ascii="Times New Roman" w:hint="eastAsia"/>
          <w:bCs/>
          <w:color w:val="000000"/>
          <w:szCs w:val="21"/>
        </w:rPr>
        <w:t>）</w:t>
      </w:r>
      <w:r w:rsidRPr="00741BB4">
        <w:rPr>
          <w:rFonts w:ascii="Times New Roman"/>
          <w:bCs/>
          <w:color w:val="000000"/>
          <w:szCs w:val="21"/>
        </w:rPr>
        <w:t>2020</w:t>
      </w:r>
      <w:r w:rsidRPr="00741BB4">
        <w:rPr>
          <w:rFonts w:ascii="Times New Roman"/>
          <w:bCs/>
          <w:color w:val="000000"/>
          <w:szCs w:val="21"/>
        </w:rPr>
        <w:t>年</w:t>
      </w:r>
      <w:r w:rsidRPr="00741BB4">
        <w:rPr>
          <w:rFonts w:ascii="Times New Roman" w:hint="eastAsia"/>
          <w:bCs/>
          <w:color w:val="000000"/>
          <w:szCs w:val="21"/>
        </w:rPr>
        <w:t>9</w:t>
      </w:r>
      <w:r w:rsidRPr="00741BB4">
        <w:rPr>
          <w:rFonts w:ascii="Times New Roman" w:hint="eastAsia"/>
          <w:bCs/>
          <w:color w:val="000000"/>
          <w:szCs w:val="21"/>
        </w:rPr>
        <w:t>月初，形成了《镍</w:t>
      </w:r>
      <w:r w:rsidR="00A356BB">
        <w:rPr>
          <w:rFonts w:ascii="Times New Roman" w:hint="eastAsia"/>
          <w:bCs/>
          <w:color w:val="000000"/>
          <w:szCs w:val="21"/>
        </w:rPr>
        <w:t>精矿</w:t>
      </w:r>
      <w:r w:rsidRPr="00741BB4">
        <w:rPr>
          <w:rFonts w:ascii="Times New Roman" w:hint="eastAsia"/>
          <w:bCs/>
          <w:color w:val="000000"/>
          <w:szCs w:val="21"/>
        </w:rPr>
        <w:t>化学分析方法</w:t>
      </w:r>
      <w:r w:rsidRPr="00741BB4">
        <w:rPr>
          <w:rFonts w:ascii="Times New Roman" w:hint="eastAsia"/>
          <w:bCs/>
          <w:color w:val="000000"/>
          <w:szCs w:val="21"/>
        </w:rPr>
        <w:t xml:space="preserve"> </w:t>
      </w:r>
      <w:r w:rsidR="00A30A29">
        <w:rPr>
          <w:rFonts w:ascii="Times New Roman"/>
          <w:bCs/>
          <w:color w:val="000000"/>
          <w:szCs w:val="21"/>
        </w:rPr>
        <w:t>第</w:t>
      </w:r>
      <w:r w:rsidR="00A30A29">
        <w:rPr>
          <w:rFonts w:ascii="Times New Roman"/>
          <w:bCs/>
          <w:color w:val="000000"/>
          <w:szCs w:val="21"/>
        </w:rPr>
        <w:t>7</w:t>
      </w:r>
      <w:r w:rsidR="00A30A29">
        <w:rPr>
          <w:rFonts w:ascii="Times New Roman"/>
          <w:bCs/>
          <w:color w:val="000000"/>
          <w:szCs w:val="21"/>
        </w:rPr>
        <w:t>部分</w:t>
      </w:r>
      <w:r w:rsidRPr="00741BB4">
        <w:rPr>
          <w:rFonts w:ascii="Times New Roman"/>
          <w:bCs/>
          <w:color w:val="000000"/>
          <w:szCs w:val="21"/>
        </w:rPr>
        <w:t>：</w:t>
      </w:r>
      <w:r w:rsidR="00A30A29">
        <w:rPr>
          <w:rFonts w:ascii="Times New Roman" w:hint="eastAsia"/>
          <w:bCs/>
          <w:color w:val="000000"/>
          <w:szCs w:val="21"/>
        </w:rPr>
        <w:t>银含量的测定</w:t>
      </w:r>
      <w:r w:rsidRPr="00741BB4">
        <w:rPr>
          <w:rFonts w:ascii="Times New Roman"/>
          <w:bCs/>
          <w:color w:val="000000"/>
          <w:szCs w:val="21"/>
        </w:rPr>
        <w:t xml:space="preserve"> </w:t>
      </w:r>
      <w:r w:rsidR="00A30A29">
        <w:rPr>
          <w:rFonts w:ascii="Times New Roman" w:hint="eastAsia"/>
          <w:bCs/>
          <w:color w:val="000000"/>
          <w:szCs w:val="21"/>
        </w:rPr>
        <w:t>火焰原子吸收法</w:t>
      </w:r>
      <w:r w:rsidRPr="00741BB4">
        <w:rPr>
          <w:rFonts w:ascii="Times New Roman" w:hint="eastAsia"/>
          <w:bCs/>
          <w:color w:val="000000"/>
          <w:szCs w:val="21"/>
        </w:rPr>
        <w:t>》预审稿。</w:t>
      </w:r>
    </w:p>
    <w:p w:rsidR="009862C0" w:rsidRPr="009862C0" w:rsidRDefault="009862C0" w:rsidP="006F5F5C">
      <w:pPr>
        <w:outlineLvl w:val="2"/>
        <w:rPr>
          <w:rFonts w:ascii="黑体" w:eastAsia="黑体" w:hAnsi="黑体"/>
          <w:color w:val="000000"/>
          <w:szCs w:val="21"/>
        </w:rPr>
      </w:pPr>
      <w:r w:rsidRPr="009862C0">
        <w:rPr>
          <w:rFonts w:ascii="黑体" w:eastAsia="黑体" w:hAnsi="黑体"/>
          <w:color w:val="000000"/>
          <w:szCs w:val="21"/>
        </w:rPr>
        <w:t>3.</w:t>
      </w:r>
      <w:r w:rsidRPr="009862C0">
        <w:rPr>
          <w:rFonts w:ascii="黑体" w:eastAsia="黑体" w:hAnsi="黑体" w:hint="eastAsia"/>
          <w:color w:val="000000"/>
          <w:szCs w:val="21"/>
        </w:rPr>
        <w:t>4</w:t>
      </w:r>
      <w:r w:rsidRPr="009862C0">
        <w:rPr>
          <w:rFonts w:ascii="黑体" w:eastAsia="黑体" w:hAnsi="黑体"/>
          <w:color w:val="000000"/>
          <w:szCs w:val="21"/>
        </w:rPr>
        <w:t xml:space="preserve"> </w:t>
      </w:r>
      <w:r w:rsidRPr="009862C0">
        <w:rPr>
          <w:rFonts w:ascii="黑体" w:eastAsia="黑体" w:hAnsi="黑体" w:hint="eastAsia"/>
          <w:color w:val="000000"/>
          <w:szCs w:val="21"/>
        </w:rPr>
        <w:t>征求意见阶段</w:t>
      </w:r>
    </w:p>
    <w:p w:rsidR="003C768E" w:rsidRPr="003A7897" w:rsidRDefault="00AD4B71" w:rsidP="003A7897">
      <w:pPr>
        <w:widowControl/>
        <w:jc w:val="left"/>
        <w:outlineLvl w:val="3"/>
        <w:rPr>
          <w:rFonts w:ascii="Calibri" w:hAnsi="Calibri"/>
          <w:b/>
          <w:szCs w:val="21"/>
        </w:rPr>
      </w:pPr>
      <w:r w:rsidRPr="003A7897">
        <w:rPr>
          <w:rFonts w:hint="eastAsia"/>
          <w:b/>
          <w:bCs/>
          <w:szCs w:val="21"/>
        </w:rPr>
        <w:t>（</w:t>
      </w:r>
      <w:r w:rsidRPr="003A7897">
        <w:rPr>
          <w:rFonts w:hint="eastAsia"/>
          <w:b/>
          <w:bCs/>
          <w:szCs w:val="21"/>
        </w:rPr>
        <w:t>1</w:t>
      </w:r>
      <w:r w:rsidRPr="003A7897">
        <w:rPr>
          <w:rFonts w:hint="eastAsia"/>
          <w:b/>
          <w:bCs/>
          <w:szCs w:val="21"/>
        </w:rPr>
        <w:t>）</w:t>
      </w:r>
      <w:r w:rsidR="003C768E" w:rsidRPr="003A7897">
        <w:rPr>
          <w:rFonts w:ascii="Calibri" w:hAnsi="Calibri" w:hint="eastAsia"/>
          <w:b/>
          <w:szCs w:val="21"/>
        </w:rPr>
        <w:t>各验证单位提出修改意见</w:t>
      </w:r>
      <w:r w:rsidR="00741BB4" w:rsidRPr="003A7897">
        <w:rPr>
          <w:rFonts w:ascii="Calibri" w:hAnsi="Calibri" w:hint="eastAsia"/>
          <w:b/>
          <w:szCs w:val="21"/>
        </w:rPr>
        <w:t>和建议</w:t>
      </w:r>
    </w:p>
    <w:p w:rsidR="006D3E1F" w:rsidRPr="001369C0" w:rsidRDefault="006D3E1F" w:rsidP="001639A5">
      <w:pPr>
        <w:ind w:firstLineChars="200" w:firstLine="420"/>
        <w:rPr>
          <w:rFonts w:hAnsi="宋体"/>
          <w:szCs w:val="21"/>
        </w:rPr>
      </w:pPr>
      <w:r w:rsidRPr="001369C0">
        <w:rPr>
          <w:rFonts w:hAnsi="宋体" w:hint="eastAsia"/>
          <w:szCs w:val="21"/>
        </w:rPr>
        <w:t>1</w:t>
      </w:r>
      <w:r w:rsidRPr="001369C0">
        <w:rPr>
          <w:rFonts w:hAnsi="宋体" w:hint="eastAsia"/>
          <w:szCs w:val="21"/>
        </w:rPr>
        <w:t>）</w:t>
      </w:r>
      <w:r w:rsidRPr="001369C0">
        <w:rPr>
          <w:rFonts w:ascii="宋体" w:hAnsi="宋体" w:cs="宋体" w:hint="eastAsia"/>
          <w:szCs w:val="21"/>
        </w:rPr>
        <w:t>深圳市中金岭南有色金属股份有限公司凡口铅锌矿</w:t>
      </w:r>
    </w:p>
    <w:p w:rsidR="006D3E1F" w:rsidRPr="001369C0" w:rsidRDefault="006D3E1F" w:rsidP="006D3E1F">
      <w:pPr>
        <w:ind w:firstLineChars="200" w:firstLine="420"/>
        <w:rPr>
          <w:b/>
          <w:szCs w:val="21"/>
        </w:rPr>
      </w:pPr>
      <w:r w:rsidRPr="001369C0">
        <w:rPr>
          <w:rFonts w:hAnsi="宋体" w:hint="eastAsia"/>
          <w:szCs w:val="21"/>
        </w:rPr>
        <w:t>①</w:t>
      </w:r>
      <w:r w:rsidRPr="001369C0">
        <w:rPr>
          <w:rFonts w:hAnsi="宋体" w:hint="eastAsia"/>
          <w:szCs w:val="21"/>
        </w:rPr>
        <w:t xml:space="preserve"> </w:t>
      </w:r>
      <w:r w:rsidRPr="001369C0">
        <w:rPr>
          <w:rFonts w:ascii="宋体" w:hAnsi="宋体" w:cs="宋体" w:hint="eastAsia"/>
          <w:szCs w:val="21"/>
        </w:rPr>
        <w:t>静置澄清的溶液仍然存在悬浮或漂浮的颗粒，易造成仪器毛细管或雾化器堵塞。建议延长静置时</w:t>
      </w:r>
      <w:proofErr w:type="gramStart"/>
      <w:r w:rsidRPr="001369C0">
        <w:rPr>
          <w:rFonts w:ascii="宋体" w:hAnsi="宋体" w:cs="宋体" w:hint="eastAsia"/>
          <w:szCs w:val="21"/>
        </w:rPr>
        <w:t>间或干</w:t>
      </w:r>
      <w:proofErr w:type="gramEnd"/>
      <w:r w:rsidRPr="001369C0">
        <w:rPr>
          <w:rFonts w:ascii="宋体" w:hAnsi="宋体" w:cs="宋体" w:hint="eastAsia"/>
          <w:szCs w:val="21"/>
        </w:rPr>
        <w:t>过滤。</w:t>
      </w:r>
      <w:r w:rsidRPr="001369C0">
        <w:rPr>
          <w:rFonts w:asciiTheme="minorEastAsia" w:eastAsiaTheme="minorEastAsia" w:hAnsiTheme="minorEastAsia"/>
          <w:szCs w:val="21"/>
        </w:rPr>
        <w:t>——</w:t>
      </w:r>
      <w:r w:rsidRPr="001369C0">
        <w:rPr>
          <w:rFonts w:ascii="宋体" w:hAnsi="宋体" w:cs="宋体" w:hint="eastAsia"/>
          <w:szCs w:val="21"/>
        </w:rPr>
        <w:t>不采纳。</w:t>
      </w:r>
      <w:r w:rsidRPr="001369C0">
        <w:rPr>
          <w:rFonts w:ascii="宋体" w:hAnsi="宋体" w:cs="宋体" w:hint="eastAsia"/>
        </w:rPr>
        <w:t>已要求静置溶液至澄清或干过滤</w:t>
      </w:r>
    </w:p>
    <w:p w:rsidR="006D3E1F" w:rsidRPr="001369C0" w:rsidRDefault="006D3E1F" w:rsidP="006D3E1F">
      <w:pPr>
        <w:ind w:firstLineChars="200" w:firstLine="420"/>
        <w:rPr>
          <w:rFonts w:ascii="宋体" w:hAnsi="宋体" w:cs="宋体"/>
        </w:rPr>
      </w:pPr>
      <w:r w:rsidRPr="001369C0">
        <w:rPr>
          <w:rFonts w:hAnsi="宋体" w:hint="eastAsia"/>
          <w:szCs w:val="21"/>
        </w:rPr>
        <w:t>②</w:t>
      </w:r>
      <w:r w:rsidRPr="001369C0">
        <w:rPr>
          <w:rFonts w:hAnsi="宋体" w:hint="eastAsia"/>
          <w:szCs w:val="21"/>
        </w:rPr>
        <w:t xml:space="preserve"> </w:t>
      </w:r>
      <w:r w:rsidRPr="001369C0">
        <w:rPr>
          <w:rFonts w:ascii="宋体" w:hAnsi="宋体" w:cs="宋体" w:hint="eastAsia"/>
          <w:szCs w:val="21"/>
        </w:rPr>
        <w:t>测量过程中在燃烧器上有较多盐类析出，导致燃烧器狭缝堵塞；溶解体系中有高氯酸盐、硝</w:t>
      </w:r>
      <w:r w:rsidRPr="001369C0">
        <w:rPr>
          <w:rFonts w:ascii="宋体" w:hAnsi="宋体" w:cs="宋体" w:hint="eastAsia"/>
          <w:szCs w:val="21"/>
        </w:rPr>
        <w:lastRenderedPageBreak/>
        <w:t>酸盐及其它盐类，测定过程中最好以5%硝酸清洗，防止堵塞燃烧器。</w:t>
      </w:r>
      <w:r w:rsidRPr="001369C0">
        <w:rPr>
          <w:rFonts w:asciiTheme="minorEastAsia" w:eastAsiaTheme="minorEastAsia" w:hAnsiTheme="minorEastAsia"/>
          <w:szCs w:val="21"/>
        </w:rPr>
        <w:t>——</w:t>
      </w:r>
      <w:r w:rsidRPr="001369C0">
        <w:rPr>
          <w:rFonts w:ascii="宋体" w:hAnsi="宋体" w:cs="宋体" w:hint="eastAsia"/>
          <w:szCs w:val="21"/>
        </w:rPr>
        <w:t>不采纳。</w:t>
      </w:r>
      <w:r w:rsidRPr="001369C0">
        <w:rPr>
          <w:rFonts w:ascii="宋体" w:hAnsi="宋体" w:cs="宋体" w:hint="eastAsia"/>
        </w:rPr>
        <w:t>该操作属于仪器使用与维护的基本要求。</w:t>
      </w:r>
    </w:p>
    <w:p w:rsidR="006D3E1F" w:rsidRPr="001369C0" w:rsidRDefault="006D3E1F" w:rsidP="001639A5">
      <w:pPr>
        <w:ind w:firstLineChars="200" w:firstLine="420"/>
        <w:rPr>
          <w:rFonts w:hAnsi="宋体"/>
          <w:szCs w:val="21"/>
        </w:rPr>
      </w:pPr>
      <w:r w:rsidRPr="001369C0">
        <w:rPr>
          <w:rFonts w:hAnsi="宋体" w:hint="eastAsia"/>
          <w:szCs w:val="21"/>
        </w:rPr>
        <w:t>2</w:t>
      </w:r>
      <w:r w:rsidRPr="001369C0">
        <w:rPr>
          <w:rFonts w:hAnsi="宋体" w:hint="eastAsia"/>
          <w:szCs w:val="21"/>
        </w:rPr>
        <w:t>）国标（北京）检验认证有限公司</w:t>
      </w:r>
    </w:p>
    <w:p w:rsidR="006D3E1F" w:rsidRPr="001369C0" w:rsidRDefault="006D3E1F" w:rsidP="006D3E1F">
      <w:pPr>
        <w:ind w:firstLineChars="200" w:firstLine="420"/>
        <w:rPr>
          <w:rFonts w:ascii="宋体" w:hAnsi="宋体" w:cs="宋体"/>
          <w:szCs w:val="21"/>
        </w:rPr>
      </w:pPr>
      <w:r w:rsidRPr="001369C0">
        <w:rPr>
          <w:rFonts w:ascii="宋体" w:hAnsi="宋体" w:cs="宋体" w:hint="eastAsia"/>
          <w:szCs w:val="21"/>
        </w:rPr>
        <w:t>标准讨论稿中“3.10”试剂编号写错，应为“3.9”。</w:t>
      </w:r>
      <w:r w:rsidRPr="001369C0">
        <w:rPr>
          <w:rFonts w:asciiTheme="minorEastAsia" w:eastAsiaTheme="minorEastAsia" w:hAnsiTheme="minorEastAsia" w:hint="eastAsia"/>
          <w:szCs w:val="21"/>
        </w:rPr>
        <w:t>——</w:t>
      </w:r>
      <w:r w:rsidRPr="001369C0">
        <w:rPr>
          <w:rFonts w:ascii="宋体" w:hAnsi="宋体" w:cs="宋体" w:hint="eastAsia"/>
          <w:szCs w:val="21"/>
        </w:rPr>
        <w:t>采纳。</w:t>
      </w:r>
    </w:p>
    <w:p w:rsidR="006D3E1F" w:rsidRPr="001369C0" w:rsidRDefault="006D3E1F" w:rsidP="001639A5">
      <w:pPr>
        <w:ind w:firstLineChars="200" w:firstLine="420"/>
        <w:rPr>
          <w:rFonts w:hAnsi="宋体"/>
          <w:szCs w:val="21"/>
        </w:rPr>
      </w:pPr>
      <w:r w:rsidRPr="001369C0">
        <w:rPr>
          <w:rFonts w:hAnsi="宋体" w:hint="eastAsia"/>
          <w:szCs w:val="21"/>
        </w:rPr>
        <w:t>3</w:t>
      </w:r>
      <w:r w:rsidRPr="001369C0">
        <w:rPr>
          <w:rFonts w:hAnsi="宋体" w:hint="eastAsia"/>
          <w:szCs w:val="21"/>
        </w:rPr>
        <w:t>）北矿检测技术有限公司</w:t>
      </w:r>
    </w:p>
    <w:p w:rsidR="006D3E1F" w:rsidRPr="001369C0" w:rsidRDefault="006D3E1F" w:rsidP="006D3E1F">
      <w:pPr>
        <w:ind w:firstLineChars="200" w:firstLine="420"/>
        <w:rPr>
          <w:szCs w:val="21"/>
        </w:rPr>
      </w:pPr>
      <w:r w:rsidRPr="001369C0">
        <w:rPr>
          <w:szCs w:val="21"/>
        </w:rPr>
        <w:t>“</w:t>
      </w:r>
      <w:r w:rsidRPr="001369C0">
        <w:rPr>
          <w:rFonts w:hAnsi="宋体"/>
          <w:szCs w:val="21"/>
        </w:rPr>
        <w:t>加热溶解至体积约</w:t>
      </w:r>
      <w:r w:rsidRPr="001369C0">
        <w:rPr>
          <w:szCs w:val="21"/>
        </w:rPr>
        <w:t xml:space="preserve">3 mL~5 </w:t>
      </w:r>
      <w:proofErr w:type="spellStart"/>
      <w:r w:rsidRPr="001369C0">
        <w:rPr>
          <w:szCs w:val="21"/>
        </w:rPr>
        <w:t>mL</w:t>
      </w:r>
      <w:proofErr w:type="spellEnd"/>
      <w:r w:rsidRPr="001369C0">
        <w:rPr>
          <w:rFonts w:hAnsi="宋体"/>
          <w:szCs w:val="21"/>
        </w:rPr>
        <w:t>，加入</w:t>
      </w:r>
      <w:r w:rsidRPr="001369C0">
        <w:rPr>
          <w:szCs w:val="21"/>
        </w:rPr>
        <w:t xml:space="preserve">10 </w:t>
      </w:r>
      <w:proofErr w:type="spellStart"/>
      <w:r w:rsidRPr="001369C0">
        <w:rPr>
          <w:szCs w:val="21"/>
        </w:rPr>
        <w:t>mL</w:t>
      </w:r>
      <w:proofErr w:type="spellEnd"/>
      <w:r w:rsidRPr="001369C0">
        <w:rPr>
          <w:rFonts w:hAnsi="宋体"/>
          <w:szCs w:val="21"/>
        </w:rPr>
        <w:t>混合酸（</w:t>
      </w:r>
      <w:r w:rsidRPr="001369C0">
        <w:rPr>
          <w:szCs w:val="21"/>
        </w:rPr>
        <w:t>2.1.6</w:t>
      </w:r>
      <w:r w:rsidRPr="001369C0">
        <w:rPr>
          <w:rFonts w:hAnsi="宋体"/>
          <w:szCs w:val="21"/>
        </w:rPr>
        <w:t>），继续加热蒸至湿盐状，取下冷却。改为</w:t>
      </w:r>
      <w:r w:rsidRPr="001369C0">
        <w:rPr>
          <w:szCs w:val="21"/>
        </w:rPr>
        <w:t>“</w:t>
      </w:r>
      <w:r w:rsidRPr="001369C0">
        <w:rPr>
          <w:rFonts w:hAnsi="宋体"/>
          <w:szCs w:val="21"/>
        </w:rPr>
        <w:t>继续加热冒高氯酸烟至湿盐状，取下冷却。</w:t>
      </w:r>
      <w:r w:rsidRPr="001369C0">
        <w:rPr>
          <w:szCs w:val="21"/>
        </w:rPr>
        <w:t>”——</w:t>
      </w:r>
      <w:r w:rsidRPr="001369C0">
        <w:rPr>
          <w:rFonts w:hAnsi="宋体"/>
          <w:szCs w:val="21"/>
        </w:rPr>
        <w:t>采纳</w:t>
      </w:r>
      <w:r w:rsidRPr="001369C0">
        <w:rPr>
          <w:rFonts w:hAnsi="宋体" w:hint="eastAsia"/>
          <w:szCs w:val="21"/>
        </w:rPr>
        <w:t>。</w:t>
      </w:r>
    </w:p>
    <w:p w:rsidR="006D3E1F" w:rsidRPr="001369C0" w:rsidRDefault="006D3E1F" w:rsidP="001639A5">
      <w:pPr>
        <w:ind w:firstLineChars="200" w:firstLine="420"/>
        <w:rPr>
          <w:rFonts w:hAnsi="宋体"/>
          <w:szCs w:val="21"/>
        </w:rPr>
      </w:pPr>
      <w:r w:rsidRPr="001369C0">
        <w:rPr>
          <w:rFonts w:hAnsi="宋体" w:hint="eastAsia"/>
          <w:szCs w:val="21"/>
        </w:rPr>
        <w:t>4</w:t>
      </w:r>
      <w:r w:rsidRPr="001369C0">
        <w:rPr>
          <w:rFonts w:hAnsi="宋体" w:hint="eastAsia"/>
          <w:szCs w:val="21"/>
        </w:rPr>
        <w:t>）广东省工业分析检测中心</w:t>
      </w:r>
    </w:p>
    <w:p w:rsidR="006D3E1F" w:rsidRPr="001369C0" w:rsidRDefault="006D3E1F" w:rsidP="006D3E1F">
      <w:pPr>
        <w:ind w:firstLineChars="200" w:firstLine="420"/>
        <w:rPr>
          <w:rFonts w:ascii="宋体" w:hAnsi="宋体" w:cs="宋体"/>
          <w:szCs w:val="21"/>
        </w:rPr>
      </w:pPr>
      <w:r w:rsidRPr="001369C0">
        <w:rPr>
          <w:rFonts w:ascii="宋体" w:hAnsi="宋体" w:cs="宋体" w:hint="eastAsia"/>
          <w:szCs w:val="21"/>
        </w:rPr>
        <w:t>测定样品选择扣背景吸收——不采纳。</w:t>
      </w:r>
      <w:r w:rsidRPr="001369C0">
        <w:rPr>
          <w:rFonts w:ascii="宋体" w:hAnsi="宋体" w:cs="宋体" w:hint="eastAsia"/>
        </w:rPr>
        <w:t>实验报告和验证报告</w:t>
      </w:r>
      <w:r w:rsidRPr="001369C0">
        <w:rPr>
          <w:rFonts w:ascii="宋体" w:hAnsi="宋体" w:cs="宋体" w:hint="eastAsia"/>
          <w:szCs w:val="21"/>
        </w:rPr>
        <w:t>都证明加入共存元素最大量时，对银的测定无影响。</w:t>
      </w:r>
    </w:p>
    <w:p w:rsidR="006D3E1F" w:rsidRPr="001369C0" w:rsidRDefault="006D3E1F" w:rsidP="001639A5">
      <w:pPr>
        <w:ind w:firstLineChars="200" w:firstLine="420"/>
        <w:rPr>
          <w:rFonts w:hAnsi="宋体"/>
          <w:szCs w:val="21"/>
        </w:rPr>
      </w:pPr>
      <w:r w:rsidRPr="001369C0">
        <w:rPr>
          <w:rFonts w:hAnsi="宋体" w:hint="eastAsia"/>
          <w:szCs w:val="21"/>
        </w:rPr>
        <w:t>5</w:t>
      </w:r>
      <w:r w:rsidRPr="001369C0">
        <w:rPr>
          <w:rFonts w:hAnsi="宋体" w:hint="eastAsia"/>
          <w:szCs w:val="21"/>
        </w:rPr>
        <w:t>）白银有色集团股份有限公司</w:t>
      </w:r>
    </w:p>
    <w:p w:rsidR="006D3E1F" w:rsidRPr="001369C0" w:rsidRDefault="006D3E1F" w:rsidP="006D3E1F">
      <w:pPr>
        <w:ind w:firstLineChars="200" w:firstLine="420"/>
        <w:rPr>
          <w:rFonts w:ascii="宋体" w:hAnsi="宋体" w:cs="宋体"/>
          <w:szCs w:val="21"/>
        </w:rPr>
      </w:pPr>
      <w:r w:rsidRPr="001369C0">
        <w:rPr>
          <w:rFonts w:hAnsi="宋体" w:hint="eastAsia"/>
          <w:szCs w:val="21"/>
        </w:rPr>
        <w:t>①</w:t>
      </w:r>
      <w:r w:rsidRPr="001369C0">
        <w:rPr>
          <w:rFonts w:hAnsi="宋体" w:hint="eastAsia"/>
          <w:szCs w:val="21"/>
        </w:rPr>
        <w:t xml:space="preserve"> </w:t>
      </w:r>
      <w:r w:rsidRPr="001369C0">
        <w:rPr>
          <w:rFonts w:ascii="宋体" w:hAnsi="宋体" w:cs="宋体" w:hint="eastAsia"/>
          <w:szCs w:val="21"/>
        </w:rPr>
        <w:t>加入氟化氢铵，可不盖表</w:t>
      </w:r>
      <w:proofErr w:type="gramStart"/>
      <w:r w:rsidRPr="001369C0">
        <w:rPr>
          <w:rFonts w:ascii="宋体" w:hAnsi="宋体" w:cs="宋体" w:hint="eastAsia"/>
          <w:szCs w:val="21"/>
        </w:rPr>
        <w:t>皿</w:t>
      </w:r>
      <w:proofErr w:type="gramEnd"/>
      <w:r w:rsidRPr="001369C0">
        <w:rPr>
          <w:rFonts w:ascii="宋体" w:hAnsi="宋体" w:cs="宋体"/>
          <w:szCs w:val="21"/>
        </w:rPr>
        <w:t>，</w:t>
      </w:r>
      <w:r w:rsidRPr="001369C0">
        <w:rPr>
          <w:rFonts w:ascii="宋体" w:hAnsi="宋体" w:cs="宋体" w:hint="eastAsia"/>
          <w:szCs w:val="21"/>
        </w:rPr>
        <w:t>敞口</w:t>
      </w:r>
      <w:proofErr w:type="gramStart"/>
      <w:r w:rsidRPr="001369C0">
        <w:rPr>
          <w:rFonts w:ascii="宋体" w:hAnsi="宋体" w:cs="宋体" w:hint="eastAsia"/>
          <w:szCs w:val="21"/>
        </w:rPr>
        <w:t>消除硅对银</w:t>
      </w:r>
      <w:proofErr w:type="gramEnd"/>
      <w:r w:rsidRPr="001369C0">
        <w:rPr>
          <w:rFonts w:ascii="宋体" w:hAnsi="宋体" w:cs="宋体" w:hint="eastAsia"/>
          <w:szCs w:val="21"/>
        </w:rPr>
        <w:t>含量无损失</w:t>
      </w:r>
      <w:r w:rsidRPr="001369C0">
        <w:rPr>
          <w:rFonts w:ascii="宋体" w:hAnsi="宋体" w:cs="宋体"/>
          <w:szCs w:val="21"/>
        </w:rPr>
        <w:t>。</w:t>
      </w:r>
      <w:r w:rsidRPr="001369C0">
        <w:rPr>
          <w:rFonts w:ascii="宋体" w:hAnsi="宋体" w:cs="宋体" w:hint="eastAsia"/>
          <w:szCs w:val="21"/>
        </w:rPr>
        <w:t>——不采纳。</w:t>
      </w:r>
      <w:r w:rsidRPr="001369C0">
        <w:rPr>
          <w:rFonts w:ascii="宋体" w:hAnsi="宋体" w:cs="宋体" w:hint="eastAsia"/>
        </w:rPr>
        <w:t>盖表</w:t>
      </w:r>
      <w:proofErr w:type="gramStart"/>
      <w:r w:rsidRPr="001369C0">
        <w:rPr>
          <w:rFonts w:ascii="宋体" w:hAnsi="宋体" w:cs="宋体" w:hint="eastAsia"/>
        </w:rPr>
        <w:t>皿</w:t>
      </w:r>
      <w:proofErr w:type="gramEnd"/>
      <w:r w:rsidRPr="001369C0">
        <w:rPr>
          <w:rFonts w:ascii="宋体" w:hAnsi="宋体" w:cs="宋体" w:hint="eastAsia"/>
        </w:rPr>
        <w:t>能防止</w:t>
      </w:r>
      <w:r w:rsidRPr="001369C0">
        <w:rPr>
          <w:rFonts w:ascii="宋体" w:hAnsi="宋体" w:cs="宋体"/>
          <w:szCs w:val="21"/>
        </w:rPr>
        <w:t>加热时溶液</w:t>
      </w:r>
      <w:r w:rsidRPr="001369C0">
        <w:rPr>
          <w:rFonts w:ascii="宋体" w:hAnsi="宋体" w:cs="宋体" w:hint="eastAsia"/>
        </w:rPr>
        <w:t>的</w:t>
      </w:r>
      <w:r w:rsidRPr="001369C0">
        <w:rPr>
          <w:rFonts w:ascii="宋体" w:hAnsi="宋体" w:cs="宋体"/>
          <w:szCs w:val="21"/>
        </w:rPr>
        <w:t>迸溅</w:t>
      </w:r>
      <w:r w:rsidRPr="001369C0">
        <w:rPr>
          <w:rFonts w:ascii="宋体" w:hAnsi="宋体" w:cs="宋体" w:hint="eastAsia"/>
        </w:rPr>
        <w:t>，而且对溶解样品中产生的挥发性</w:t>
      </w:r>
      <w:r w:rsidRPr="001369C0">
        <w:rPr>
          <w:rFonts w:ascii="宋体" w:hAnsi="宋体" w:cs="宋体"/>
          <w:szCs w:val="21"/>
        </w:rPr>
        <w:t>气体逸出</w:t>
      </w:r>
      <w:r w:rsidRPr="001369C0">
        <w:rPr>
          <w:rFonts w:ascii="宋体" w:hAnsi="宋体" w:cs="宋体" w:hint="eastAsia"/>
        </w:rPr>
        <w:t>影响不大</w:t>
      </w:r>
      <w:r w:rsidRPr="001369C0">
        <w:rPr>
          <w:rFonts w:ascii="宋体" w:hAnsi="宋体" w:cs="宋体" w:hint="eastAsia"/>
          <w:szCs w:val="21"/>
        </w:rPr>
        <w:t>。</w:t>
      </w:r>
    </w:p>
    <w:p w:rsidR="006D3E1F" w:rsidRPr="001369C0" w:rsidRDefault="006D3E1F" w:rsidP="006D3E1F">
      <w:pPr>
        <w:ind w:firstLineChars="200" w:firstLine="420"/>
        <w:rPr>
          <w:rFonts w:ascii="宋体" w:hAnsi="宋体" w:cs="宋体"/>
          <w:szCs w:val="21"/>
        </w:rPr>
      </w:pPr>
      <w:r w:rsidRPr="001369C0">
        <w:rPr>
          <w:rFonts w:hAnsi="宋体" w:hint="eastAsia"/>
          <w:szCs w:val="21"/>
        </w:rPr>
        <w:t>②</w:t>
      </w:r>
      <w:r w:rsidRPr="001369C0">
        <w:rPr>
          <w:rFonts w:hAnsi="宋体" w:hint="eastAsia"/>
          <w:szCs w:val="21"/>
        </w:rPr>
        <w:t xml:space="preserve"> </w:t>
      </w:r>
      <w:r w:rsidRPr="001369C0">
        <w:rPr>
          <w:rFonts w:ascii="宋体" w:hAnsi="宋体" w:cs="宋体" w:hint="eastAsia"/>
        </w:rPr>
        <w:t>为了保证高含量银络合完完全，可将稀释酸度调整为20%。</w:t>
      </w:r>
      <w:r w:rsidRPr="001369C0">
        <w:rPr>
          <w:rFonts w:ascii="宋体" w:hAnsi="宋体" w:cs="宋体" w:hint="eastAsia"/>
          <w:szCs w:val="21"/>
        </w:rPr>
        <w:t>——不采纳。</w:t>
      </w:r>
      <w:r w:rsidRPr="001369C0">
        <w:rPr>
          <w:rFonts w:ascii="宋体" w:hAnsi="宋体" w:cs="宋体" w:hint="eastAsia"/>
        </w:rPr>
        <w:t>本方法中银的</w:t>
      </w:r>
      <w:r w:rsidRPr="001369C0">
        <w:rPr>
          <w:rFonts w:ascii="宋体" w:hAnsi="宋体" w:cs="宋体"/>
        </w:rPr>
        <w:t>测定</w:t>
      </w:r>
      <w:r w:rsidRPr="001369C0">
        <w:rPr>
          <w:rFonts w:ascii="宋体" w:hAnsi="宋体" w:cs="宋体" w:hint="eastAsia"/>
        </w:rPr>
        <w:t>上限为150g/t</w:t>
      </w:r>
      <w:r w:rsidRPr="001369C0">
        <w:rPr>
          <w:rFonts w:ascii="宋体" w:hAnsi="宋体" w:cs="宋体"/>
        </w:rPr>
        <w:t>，10%盐酸能够保证银</w:t>
      </w:r>
      <w:r w:rsidRPr="001369C0">
        <w:rPr>
          <w:rFonts w:ascii="宋体" w:hAnsi="宋体" w:cs="宋体" w:hint="eastAsia"/>
        </w:rPr>
        <w:t>被</w:t>
      </w:r>
      <w:r w:rsidRPr="001369C0">
        <w:rPr>
          <w:rFonts w:ascii="宋体" w:hAnsi="宋体" w:cs="宋体"/>
        </w:rPr>
        <w:t>完全络合，酸度过高对仪器的腐蚀性也增大。</w:t>
      </w:r>
    </w:p>
    <w:p w:rsidR="00AD4B71" w:rsidRPr="003A7897" w:rsidRDefault="003C768E" w:rsidP="00816C6E">
      <w:pPr>
        <w:widowControl/>
        <w:jc w:val="left"/>
        <w:outlineLvl w:val="3"/>
        <w:rPr>
          <w:b/>
          <w:bCs/>
          <w:szCs w:val="21"/>
        </w:rPr>
      </w:pPr>
      <w:r w:rsidRPr="003A7897">
        <w:rPr>
          <w:rFonts w:hint="eastAsia"/>
          <w:b/>
          <w:bCs/>
          <w:szCs w:val="21"/>
        </w:rPr>
        <w:t>（</w:t>
      </w:r>
      <w:r w:rsidRPr="003A7897">
        <w:rPr>
          <w:rFonts w:hint="eastAsia"/>
          <w:b/>
          <w:bCs/>
          <w:szCs w:val="21"/>
        </w:rPr>
        <w:t>2</w:t>
      </w:r>
      <w:r w:rsidRPr="003A7897">
        <w:rPr>
          <w:rFonts w:hint="eastAsia"/>
          <w:b/>
          <w:bCs/>
          <w:szCs w:val="21"/>
        </w:rPr>
        <w:t>）</w:t>
      </w:r>
      <w:r w:rsidR="00AD4B71" w:rsidRPr="003A7897">
        <w:rPr>
          <w:rFonts w:hint="eastAsia"/>
          <w:b/>
          <w:bCs/>
          <w:szCs w:val="21"/>
        </w:rPr>
        <w:t>标准征求意见会议</w:t>
      </w:r>
    </w:p>
    <w:p w:rsidR="00AD4B71" w:rsidRDefault="00AD4B71" w:rsidP="00816C6E">
      <w:pPr>
        <w:widowControl/>
        <w:ind w:firstLineChars="200" w:firstLine="420"/>
        <w:jc w:val="left"/>
        <w:rPr>
          <w:bCs/>
          <w:szCs w:val="21"/>
        </w:rPr>
      </w:pPr>
      <w:r w:rsidRPr="00727ACB"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21</w:t>
      </w:r>
      <w:r w:rsidRPr="00727ACB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3</w:t>
      </w:r>
      <w:r w:rsidRPr="00727ACB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16</w:t>
      </w:r>
      <w:r w:rsidRPr="00727ACB">
        <w:rPr>
          <w:rFonts w:hint="eastAsia"/>
          <w:bCs/>
          <w:szCs w:val="21"/>
        </w:rPr>
        <w:t>日</w:t>
      </w:r>
      <w:r w:rsidRPr="00727ACB">
        <w:rPr>
          <w:rFonts w:hint="eastAsia"/>
          <w:bCs/>
          <w:szCs w:val="21"/>
        </w:rPr>
        <w:t>-</w:t>
      </w:r>
      <w:r>
        <w:rPr>
          <w:rFonts w:hint="eastAsia"/>
          <w:bCs/>
          <w:szCs w:val="21"/>
        </w:rPr>
        <w:t>18</w:t>
      </w:r>
      <w:r w:rsidRPr="00727ACB">
        <w:rPr>
          <w:rFonts w:hint="eastAsia"/>
          <w:bCs/>
          <w:szCs w:val="21"/>
        </w:rPr>
        <w:t>日，全国有色金属标准化技术委员会在</w:t>
      </w:r>
      <w:r>
        <w:rPr>
          <w:rFonts w:hint="eastAsia"/>
          <w:bCs/>
          <w:szCs w:val="21"/>
        </w:rPr>
        <w:t>海南省琼海市</w:t>
      </w:r>
      <w:r w:rsidRPr="00727ACB">
        <w:rPr>
          <w:rFonts w:hint="eastAsia"/>
          <w:bCs/>
          <w:szCs w:val="21"/>
        </w:rPr>
        <w:t>召开有色金属标准工作会议，会上对行业标准《</w:t>
      </w:r>
      <w:r>
        <w:rPr>
          <w:rFonts w:hint="eastAsia"/>
          <w:bCs/>
          <w:szCs w:val="21"/>
        </w:rPr>
        <w:t>镍精矿</w:t>
      </w:r>
      <w:r w:rsidRPr="00727ACB">
        <w:rPr>
          <w:rFonts w:hint="eastAsia"/>
          <w:bCs/>
          <w:szCs w:val="21"/>
        </w:rPr>
        <w:t>化学分析方法</w:t>
      </w:r>
      <w:r w:rsidR="00D12735">
        <w:rPr>
          <w:rFonts w:hint="eastAsia"/>
          <w:bCs/>
          <w:szCs w:val="21"/>
        </w:rPr>
        <w:t xml:space="preserve"> </w:t>
      </w:r>
      <w:r w:rsidR="00A30A29">
        <w:rPr>
          <w:szCs w:val="21"/>
        </w:rPr>
        <w:t>第</w:t>
      </w:r>
      <w:r w:rsidR="00A30A29">
        <w:rPr>
          <w:szCs w:val="21"/>
        </w:rPr>
        <w:t>7</w:t>
      </w:r>
      <w:r w:rsidR="00A30A29">
        <w:rPr>
          <w:szCs w:val="21"/>
        </w:rPr>
        <w:t>部分</w:t>
      </w:r>
      <w:r w:rsidRPr="002508CB">
        <w:rPr>
          <w:szCs w:val="21"/>
        </w:rPr>
        <w:t>：</w:t>
      </w:r>
      <w:r w:rsidR="00A30A29">
        <w:rPr>
          <w:rFonts w:hint="eastAsia"/>
          <w:szCs w:val="21"/>
        </w:rPr>
        <w:t>银含量的测定</w:t>
      </w:r>
      <w:r w:rsidRPr="00C94779">
        <w:rPr>
          <w:szCs w:val="21"/>
        </w:rPr>
        <w:t xml:space="preserve"> </w:t>
      </w:r>
      <w:r w:rsidR="00A30A29">
        <w:rPr>
          <w:rFonts w:hint="eastAsia"/>
          <w:szCs w:val="21"/>
        </w:rPr>
        <w:t>火焰原子吸收法</w:t>
      </w:r>
      <w:r w:rsidRPr="00727ACB">
        <w:rPr>
          <w:rFonts w:hint="eastAsia"/>
          <w:bCs/>
          <w:szCs w:val="21"/>
        </w:rPr>
        <w:t>》进行了预审。</w:t>
      </w:r>
      <w:r w:rsidRPr="00727ACB">
        <w:rPr>
          <w:bCs/>
          <w:szCs w:val="21"/>
        </w:rPr>
        <w:t>参会专家对标准中的文字表述、部分操作细节等提出宝贵建议</w:t>
      </w:r>
      <w:r w:rsidR="00472819">
        <w:rPr>
          <w:rFonts w:hint="eastAsia"/>
          <w:bCs/>
          <w:szCs w:val="21"/>
        </w:rPr>
        <w:t>，具体内容如下</w:t>
      </w:r>
      <w:r w:rsidRPr="00727ACB">
        <w:rPr>
          <w:bCs/>
          <w:szCs w:val="21"/>
        </w:rPr>
        <w:t>。</w:t>
      </w:r>
    </w:p>
    <w:p w:rsidR="00741BB4" w:rsidRPr="00741BB4" w:rsidRDefault="00741BB4" w:rsidP="00816C6E">
      <w:pPr>
        <w:widowControl/>
        <w:ind w:firstLineChars="200" w:firstLine="420"/>
        <w:jc w:val="left"/>
        <w:rPr>
          <w:bCs/>
          <w:szCs w:val="21"/>
        </w:rPr>
      </w:pPr>
      <w:r w:rsidRPr="00741BB4">
        <w:rPr>
          <w:bCs/>
          <w:szCs w:val="21"/>
        </w:rPr>
        <w:t>1</w:t>
      </w:r>
      <w:r w:rsidRPr="00741BB4">
        <w:rPr>
          <w:rFonts w:hint="eastAsia"/>
          <w:bCs/>
          <w:szCs w:val="21"/>
        </w:rPr>
        <w:t>）前言中的“</w:t>
      </w:r>
      <w:r w:rsidRPr="00741BB4">
        <w:rPr>
          <w:bCs/>
          <w:szCs w:val="21"/>
        </w:rPr>
        <w:t xml:space="preserve">YS/T </w:t>
      </w:r>
      <w:r w:rsidRPr="00741BB4">
        <w:rPr>
          <w:rFonts w:hint="eastAsia"/>
          <w:bCs/>
          <w:szCs w:val="21"/>
        </w:rPr>
        <w:t>341</w:t>
      </w:r>
      <w:r w:rsidRPr="00741BB4">
        <w:rPr>
          <w:bCs/>
          <w:szCs w:val="21"/>
        </w:rPr>
        <w:t>《</w:t>
      </w:r>
      <w:r w:rsidRPr="00741BB4">
        <w:rPr>
          <w:rFonts w:hint="eastAsia"/>
          <w:bCs/>
          <w:szCs w:val="21"/>
        </w:rPr>
        <w:t>镍精矿</w:t>
      </w:r>
      <w:r w:rsidRPr="00741BB4">
        <w:rPr>
          <w:bCs/>
          <w:szCs w:val="21"/>
        </w:rPr>
        <w:t>化学分析方法》</w:t>
      </w:r>
      <w:r w:rsidRPr="00741BB4">
        <w:rPr>
          <w:rFonts w:hint="eastAsia"/>
          <w:bCs/>
          <w:szCs w:val="21"/>
        </w:rPr>
        <w:t>已经发布了以下部分”内容中增加“</w:t>
      </w:r>
      <w:r w:rsidR="00A30A29">
        <w:rPr>
          <w:rFonts w:hint="eastAsia"/>
          <w:bCs/>
          <w:szCs w:val="21"/>
        </w:rPr>
        <w:t>第</w:t>
      </w:r>
      <w:r w:rsidR="001639A5">
        <w:rPr>
          <w:rFonts w:hint="eastAsia"/>
          <w:bCs/>
          <w:szCs w:val="21"/>
        </w:rPr>
        <w:t>6</w:t>
      </w:r>
      <w:r w:rsidR="00A30A29">
        <w:rPr>
          <w:rFonts w:hint="eastAsia"/>
          <w:bCs/>
          <w:szCs w:val="21"/>
        </w:rPr>
        <w:t>部分</w:t>
      </w:r>
      <w:r w:rsidRPr="00741BB4">
        <w:rPr>
          <w:rFonts w:hint="eastAsia"/>
          <w:bCs/>
          <w:szCs w:val="21"/>
        </w:rPr>
        <w:t xml:space="preserve"> </w:t>
      </w:r>
      <w:r w:rsidR="001639A5">
        <w:rPr>
          <w:rFonts w:hint="eastAsia"/>
          <w:bCs/>
          <w:szCs w:val="21"/>
        </w:rPr>
        <w:t>金、铂和</w:t>
      </w:r>
      <w:proofErr w:type="gramStart"/>
      <w:r w:rsidR="001639A5">
        <w:rPr>
          <w:rFonts w:hint="eastAsia"/>
          <w:bCs/>
          <w:szCs w:val="21"/>
        </w:rPr>
        <w:t>钯</w:t>
      </w:r>
      <w:r w:rsidR="00A30A29">
        <w:rPr>
          <w:rFonts w:hint="eastAsia"/>
          <w:bCs/>
          <w:szCs w:val="21"/>
        </w:rPr>
        <w:t>含量</w:t>
      </w:r>
      <w:proofErr w:type="gramEnd"/>
      <w:r w:rsidR="00A30A29">
        <w:rPr>
          <w:rFonts w:hint="eastAsia"/>
          <w:bCs/>
          <w:szCs w:val="21"/>
        </w:rPr>
        <w:t>的测定</w:t>
      </w:r>
      <w:r w:rsidRPr="00741BB4">
        <w:rPr>
          <w:rFonts w:hint="eastAsia"/>
          <w:bCs/>
          <w:szCs w:val="21"/>
        </w:rPr>
        <w:t>”和“第</w:t>
      </w:r>
      <w:r w:rsidRPr="00741BB4">
        <w:rPr>
          <w:rFonts w:hint="eastAsia"/>
          <w:bCs/>
          <w:szCs w:val="21"/>
        </w:rPr>
        <w:t>7</w:t>
      </w:r>
      <w:r w:rsidRPr="00741BB4">
        <w:rPr>
          <w:rFonts w:hint="eastAsia"/>
          <w:bCs/>
          <w:szCs w:val="21"/>
        </w:rPr>
        <w:t>部分</w:t>
      </w:r>
      <w:r w:rsidRPr="00741BB4">
        <w:rPr>
          <w:rFonts w:hint="eastAsia"/>
          <w:bCs/>
          <w:szCs w:val="21"/>
        </w:rPr>
        <w:t xml:space="preserve"> </w:t>
      </w:r>
      <w:r w:rsidRPr="00741BB4">
        <w:rPr>
          <w:rFonts w:hint="eastAsia"/>
          <w:bCs/>
          <w:szCs w:val="21"/>
        </w:rPr>
        <w:t>银含量的测定”，并于前言后增加引言部分。</w:t>
      </w:r>
    </w:p>
    <w:p w:rsidR="00741BB4" w:rsidRPr="00741BB4" w:rsidRDefault="00741BB4" w:rsidP="00816C6E">
      <w:pPr>
        <w:widowControl/>
        <w:ind w:firstLineChars="200" w:firstLine="420"/>
        <w:jc w:val="left"/>
        <w:rPr>
          <w:bCs/>
          <w:szCs w:val="21"/>
        </w:rPr>
      </w:pPr>
      <w:r w:rsidRPr="00741BB4">
        <w:rPr>
          <w:bCs/>
          <w:szCs w:val="21"/>
        </w:rPr>
        <w:t>2</w:t>
      </w:r>
      <w:r w:rsidRPr="00741BB4">
        <w:rPr>
          <w:rFonts w:hint="eastAsia"/>
          <w:bCs/>
          <w:szCs w:val="21"/>
        </w:rPr>
        <w:t>）标准文本条款</w:t>
      </w:r>
      <w:r w:rsidRPr="00741BB4">
        <w:rPr>
          <w:rFonts w:hint="eastAsia"/>
          <w:bCs/>
          <w:szCs w:val="21"/>
        </w:rPr>
        <w:t>2</w:t>
      </w:r>
      <w:r w:rsidRPr="00741BB4">
        <w:rPr>
          <w:rFonts w:hint="eastAsia"/>
          <w:bCs/>
          <w:szCs w:val="21"/>
        </w:rPr>
        <w:t>中，将“应用”改为“引用”，并在该条款中加入规范性引用文件“</w:t>
      </w:r>
      <w:r w:rsidRPr="00741BB4">
        <w:rPr>
          <w:rFonts w:hint="eastAsia"/>
          <w:bCs/>
          <w:szCs w:val="21"/>
        </w:rPr>
        <w:t xml:space="preserve">GB/T 6682 </w:t>
      </w:r>
      <w:r w:rsidRPr="00741BB4">
        <w:rPr>
          <w:rFonts w:hint="eastAsia"/>
          <w:bCs/>
          <w:szCs w:val="21"/>
        </w:rPr>
        <w:t>分析实验室用水规格和试验方法”。</w:t>
      </w:r>
      <w:r w:rsidRPr="00741BB4">
        <w:rPr>
          <w:bCs/>
          <w:szCs w:val="21"/>
        </w:rPr>
        <w:t xml:space="preserve"> </w:t>
      </w:r>
    </w:p>
    <w:p w:rsidR="00741BB4" w:rsidRPr="00741BB4" w:rsidRDefault="00741BB4" w:rsidP="00816C6E">
      <w:pPr>
        <w:widowControl/>
        <w:ind w:firstLineChars="200" w:firstLine="420"/>
        <w:jc w:val="left"/>
        <w:rPr>
          <w:bCs/>
          <w:szCs w:val="21"/>
        </w:rPr>
      </w:pPr>
      <w:r w:rsidRPr="00741BB4">
        <w:rPr>
          <w:rFonts w:hint="eastAsia"/>
          <w:bCs/>
          <w:szCs w:val="21"/>
        </w:rPr>
        <w:t xml:space="preserve">3) </w:t>
      </w:r>
      <w:r w:rsidRPr="00741BB4">
        <w:rPr>
          <w:rFonts w:hint="eastAsia"/>
          <w:bCs/>
          <w:szCs w:val="21"/>
        </w:rPr>
        <w:t>标准文本条款</w:t>
      </w:r>
      <w:r w:rsidRPr="00741BB4">
        <w:rPr>
          <w:rFonts w:hint="eastAsia"/>
          <w:bCs/>
          <w:szCs w:val="21"/>
        </w:rPr>
        <w:t>5</w:t>
      </w:r>
      <w:r w:rsidRPr="00741BB4">
        <w:rPr>
          <w:rFonts w:hint="eastAsia"/>
          <w:bCs/>
          <w:szCs w:val="21"/>
        </w:rPr>
        <w:t>中“</w:t>
      </w:r>
      <w:r w:rsidRPr="00741BB4">
        <w:rPr>
          <w:bCs/>
          <w:szCs w:val="21"/>
        </w:rPr>
        <w:t>除非另有说明，</w:t>
      </w:r>
      <w:r w:rsidRPr="00741BB4">
        <w:rPr>
          <w:rFonts w:hint="eastAsia"/>
          <w:bCs/>
          <w:szCs w:val="21"/>
        </w:rPr>
        <w:t>在</w:t>
      </w:r>
      <w:r w:rsidRPr="00741BB4">
        <w:rPr>
          <w:bCs/>
          <w:szCs w:val="21"/>
        </w:rPr>
        <w:t>分析中仅使用确认为分析纯</w:t>
      </w:r>
      <w:r w:rsidRPr="00741BB4">
        <w:rPr>
          <w:rFonts w:hint="eastAsia"/>
          <w:bCs/>
          <w:szCs w:val="21"/>
        </w:rPr>
        <w:t>的试剂和蒸馏水或去离子水或相当纯度的水”改为“</w:t>
      </w:r>
      <w:r w:rsidRPr="00741BB4">
        <w:rPr>
          <w:bCs/>
          <w:szCs w:val="21"/>
        </w:rPr>
        <w:t>除非另有说明，</w:t>
      </w:r>
      <w:r w:rsidRPr="00741BB4">
        <w:rPr>
          <w:rFonts w:hint="eastAsia"/>
          <w:bCs/>
          <w:szCs w:val="21"/>
        </w:rPr>
        <w:t>在</w:t>
      </w:r>
      <w:r w:rsidRPr="00741BB4">
        <w:rPr>
          <w:bCs/>
          <w:szCs w:val="21"/>
        </w:rPr>
        <w:t>分析中仅使用确认为分析纯</w:t>
      </w:r>
      <w:r w:rsidRPr="00741BB4">
        <w:rPr>
          <w:rFonts w:hint="eastAsia"/>
          <w:bCs/>
          <w:szCs w:val="21"/>
        </w:rPr>
        <w:t>及以上纯度的试剂和符合</w:t>
      </w:r>
      <w:r w:rsidRPr="00741BB4">
        <w:rPr>
          <w:rFonts w:hint="eastAsia"/>
          <w:bCs/>
          <w:szCs w:val="21"/>
        </w:rPr>
        <w:t>GB/T 6682</w:t>
      </w:r>
      <w:r w:rsidRPr="00741BB4">
        <w:rPr>
          <w:rFonts w:hint="eastAsia"/>
          <w:bCs/>
          <w:szCs w:val="21"/>
        </w:rPr>
        <w:t>规定的</w:t>
      </w:r>
      <w:r w:rsidR="00D12735" w:rsidRPr="00D12735">
        <w:rPr>
          <w:rFonts w:hint="eastAsia"/>
          <w:bCs/>
          <w:color w:val="C00000"/>
          <w:szCs w:val="21"/>
        </w:rPr>
        <w:t>二</w:t>
      </w:r>
      <w:r w:rsidRPr="00741BB4">
        <w:rPr>
          <w:rFonts w:hint="eastAsia"/>
          <w:bCs/>
          <w:szCs w:val="21"/>
        </w:rPr>
        <w:t>级水及以上纯度的水。</w:t>
      </w:r>
    </w:p>
    <w:p w:rsidR="00741BB4" w:rsidRPr="00741BB4" w:rsidRDefault="00741BB4" w:rsidP="00816C6E">
      <w:pPr>
        <w:widowControl/>
        <w:ind w:firstLineChars="200" w:firstLine="420"/>
        <w:jc w:val="left"/>
        <w:rPr>
          <w:bCs/>
          <w:szCs w:val="21"/>
        </w:rPr>
      </w:pPr>
      <w:r w:rsidRPr="00741BB4">
        <w:rPr>
          <w:rFonts w:hint="eastAsia"/>
          <w:bCs/>
          <w:szCs w:val="21"/>
        </w:rPr>
        <w:t>4</w:t>
      </w:r>
      <w:r w:rsidRPr="00741BB4">
        <w:rPr>
          <w:rFonts w:hint="eastAsia"/>
          <w:bCs/>
          <w:szCs w:val="21"/>
        </w:rPr>
        <w:t>）将附录</w:t>
      </w:r>
      <w:r w:rsidRPr="00741BB4">
        <w:rPr>
          <w:rFonts w:hint="eastAsia"/>
          <w:bCs/>
          <w:szCs w:val="21"/>
        </w:rPr>
        <w:t>A</w:t>
      </w:r>
      <w:r w:rsidRPr="00741BB4">
        <w:rPr>
          <w:rFonts w:hint="eastAsia"/>
          <w:bCs/>
          <w:szCs w:val="21"/>
        </w:rPr>
        <w:t>表中数据的</w:t>
      </w:r>
      <w:proofErr w:type="gramStart"/>
      <w:r w:rsidRPr="00741BB4">
        <w:rPr>
          <w:rFonts w:hint="eastAsia"/>
          <w:bCs/>
          <w:szCs w:val="21"/>
        </w:rPr>
        <w:t>歧</w:t>
      </w:r>
      <w:proofErr w:type="gramEnd"/>
      <w:r w:rsidRPr="00741BB4">
        <w:rPr>
          <w:rFonts w:hint="eastAsia"/>
          <w:bCs/>
          <w:szCs w:val="21"/>
        </w:rPr>
        <w:t>离值和离群值分别用“</w:t>
      </w:r>
      <w:r w:rsidRPr="00741BB4">
        <w:rPr>
          <w:rFonts w:hint="eastAsia"/>
          <w:bCs/>
          <w:szCs w:val="21"/>
        </w:rPr>
        <w:t>*</w:t>
      </w:r>
      <w:r w:rsidRPr="00741BB4">
        <w:rPr>
          <w:rFonts w:hint="eastAsia"/>
          <w:bCs/>
          <w:szCs w:val="21"/>
        </w:rPr>
        <w:t>”和“</w:t>
      </w:r>
      <w:r w:rsidRPr="00741BB4">
        <w:rPr>
          <w:rFonts w:hint="eastAsia"/>
          <w:bCs/>
          <w:szCs w:val="21"/>
        </w:rPr>
        <w:t>**</w:t>
      </w:r>
      <w:r w:rsidRPr="00741BB4">
        <w:rPr>
          <w:rFonts w:hint="eastAsia"/>
          <w:bCs/>
          <w:szCs w:val="21"/>
        </w:rPr>
        <w:t>”标注。</w:t>
      </w:r>
    </w:p>
    <w:p w:rsidR="001639A5" w:rsidRPr="001639A5" w:rsidRDefault="001639A5" w:rsidP="001639A5">
      <w:pPr>
        <w:widowControl/>
        <w:ind w:firstLineChars="200" w:firstLine="420"/>
        <w:jc w:val="left"/>
        <w:rPr>
          <w:bCs/>
          <w:szCs w:val="21"/>
        </w:rPr>
      </w:pPr>
      <w:r w:rsidRPr="001639A5">
        <w:rPr>
          <w:rFonts w:hint="eastAsia"/>
          <w:bCs/>
          <w:szCs w:val="21"/>
        </w:rPr>
        <w:t>5</w:t>
      </w:r>
      <w:r w:rsidRPr="001639A5">
        <w:rPr>
          <w:rFonts w:hint="eastAsia"/>
          <w:bCs/>
          <w:szCs w:val="21"/>
        </w:rPr>
        <w:t>）实验报告</w:t>
      </w:r>
      <w:r w:rsidRPr="001639A5">
        <w:rPr>
          <w:rFonts w:hint="eastAsia"/>
          <w:bCs/>
          <w:szCs w:val="21"/>
        </w:rPr>
        <w:t>3.1</w:t>
      </w:r>
      <w:r w:rsidRPr="001639A5">
        <w:rPr>
          <w:rFonts w:hint="eastAsia"/>
          <w:bCs/>
          <w:szCs w:val="21"/>
        </w:rPr>
        <w:t>溶样方式的选择中，建议补充不加盐酸，直接用硝酸和高氯酸分解试样的试验数据。</w:t>
      </w:r>
    </w:p>
    <w:p w:rsidR="001639A5" w:rsidRPr="001639A5" w:rsidRDefault="001639A5" w:rsidP="001639A5">
      <w:pPr>
        <w:widowControl/>
        <w:ind w:firstLineChars="200" w:firstLine="420"/>
        <w:jc w:val="left"/>
        <w:rPr>
          <w:bCs/>
          <w:szCs w:val="21"/>
        </w:rPr>
      </w:pPr>
      <w:r w:rsidRPr="001639A5">
        <w:rPr>
          <w:rFonts w:hint="eastAsia"/>
          <w:bCs/>
          <w:szCs w:val="21"/>
        </w:rPr>
        <w:t>6</w:t>
      </w:r>
      <w:r w:rsidRPr="001639A5">
        <w:rPr>
          <w:rFonts w:hint="eastAsia"/>
          <w:bCs/>
          <w:szCs w:val="21"/>
        </w:rPr>
        <w:t>）标准文本</w:t>
      </w:r>
      <w:r w:rsidRPr="001639A5">
        <w:rPr>
          <w:rFonts w:hint="eastAsia"/>
          <w:bCs/>
          <w:szCs w:val="21"/>
        </w:rPr>
        <w:t>4</w:t>
      </w:r>
      <w:r w:rsidRPr="001639A5">
        <w:rPr>
          <w:rFonts w:hint="eastAsia"/>
          <w:bCs/>
          <w:szCs w:val="21"/>
        </w:rPr>
        <w:t>，将“在稀盐酸介质中”更改为“在盐酸介质中”。</w:t>
      </w:r>
    </w:p>
    <w:p w:rsidR="001639A5" w:rsidRPr="001639A5" w:rsidRDefault="001639A5" w:rsidP="001639A5">
      <w:pPr>
        <w:widowControl/>
        <w:ind w:firstLineChars="200" w:firstLine="420"/>
        <w:jc w:val="left"/>
        <w:rPr>
          <w:bCs/>
          <w:szCs w:val="21"/>
        </w:rPr>
      </w:pPr>
      <w:r w:rsidRPr="001639A5">
        <w:rPr>
          <w:rFonts w:hint="eastAsia"/>
          <w:bCs/>
          <w:szCs w:val="21"/>
        </w:rPr>
        <w:t>7</w:t>
      </w:r>
      <w:r w:rsidRPr="001639A5">
        <w:rPr>
          <w:rFonts w:hint="eastAsia"/>
          <w:bCs/>
          <w:szCs w:val="21"/>
        </w:rPr>
        <w:t>）标准文本</w:t>
      </w:r>
      <w:r w:rsidRPr="001639A5">
        <w:rPr>
          <w:rFonts w:hint="eastAsia"/>
          <w:bCs/>
          <w:szCs w:val="21"/>
        </w:rPr>
        <w:t>8.5.1</w:t>
      </w:r>
      <w:r w:rsidRPr="001639A5">
        <w:rPr>
          <w:rFonts w:hint="eastAsia"/>
          <w:bCs/>
          <w:szCs w:val="21"/>
        </w:rPr>
        <w:t>，工作曲线中的</w:t>
      </w:r>
      <w:r w:rsidRPr="001639A5">
        <w:rPr>
          <w:rFonts w:hint="eastAsia"/>
          <w:bCs/>
          <w:szCs w:val="21"/>
        </w:rPr>
        <w:t>8.00mL</w:t>
      </w:r>
      <w:r w:rsidRPr="001639A5">
        <w:rPr>
          <w:rFonts w:hint="eastAsia"/>
          <w:bCs/>
          <w:szCs w:val="21"/>
        </w:rPr>
        <w:t>即可满足样品最大含量的测定，建议去掉最高点</w:t>
      </w:r>
      <w:r w:rsidRPr="001639A5">
        <w:rPr>
          <w:rFonts w:hint="eastAsia"/>
          <w:bCs/>
          <w:szCs w:val="21"/>
        </w:rPr>
        <w:t>10.00mL</w:t>
      </w:r>
      <w:r w:rsidRPr="001639A5">
        <w:rPr>
          <w:rFonts w:hint="eastAsia"/>
          <w:bCs/>
          <w:szCs w:val="21"/>
        </w:rPr>
        <w:t>。</w:t>
      </w:r>
    </w:p>
    <w:p w:rsidR="00741BB4" w:rsidRDefault="00741BB4" w:rsidP="00816C6E">
      <w:pPr>
        <w:widowControl/>
        <w:ind w:firstLineChars="200" w:firstLine="420"/>
        <w:jc w:val="left"/>
        <w:rPr>
          <w:bCs/>
          <w:szCs w:val="21"/>
        </w:rPr>
      </w:pPr>
      <w:r w:rsidRPr="00727ACB">
        <w:rPr>
          <w:rFonts w:hint="eastAsia"/>
          <w:bCs/>
          <w:szCs w:val="21"/>
        </w:rPr>
        <w:t>会后，根据会议精神，标准编制小组对征求意见稿和编制说明进行了认真修改、补充、完善，形成了送审稿、意见汇总表及编制说明。</w:t>
      </w:r>
    </w:p>
    <w:p w:rsidR="00E71541" w:rsidRDefault="00E71541" w:rsidP="00816C6E">
      <w:pPr>
        <w:widowControl/>
        <w:jc w:val="left"/>
        <w:outlineLvl w:val="3"/>
        <w:rPr>
          <w:bCs/>
          <w:szCs w:val="21"/>
        </w:rPr>
      </w:pPr>
      <w:r w:rsidRPr="00727ACB">
        <w:rPr>
          <w:rFonts w:hint="eastAsia"/>
          <w:bCs/>
          <w:szCs w:val="21"/>
        </w:rPr>
        <w:t>（</w:t>
      </w:r>
      <w:r w:rsidR="003A7897">
        <w:rPr>
          <w:rFonts w:hint="eastAsia"/>
          <w:bCs/>
          <w:szCs w:val="21"/>
        </w:rPr>
        <w:t>3</w:t>
      </w:r>
      <w:r w:rsidRPr="00727ACB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发函征求意见阶段</w:t>
      </w:r>
    </w:p>
    <w:p w:rsidR="00E71541" w:rsidRPr="001369C0" w:rsidRDefault="00E71541" w:rsidP="00816C6E">
      <w:pPr>
        <w:ind w:firstLineChars="200" w:firstLine="420"/>
      </w:pPr>
      <w:r w:rsidRPr="001369C0">
        <w:t>共发征求意见函</w:t>
      </w:r>
      <w:r w:rsidR="00741BB4" w:rsidRPr="001369C0">
        <w:rPr>
          <w:rFonts w:hint="eastAsia"/>
        </w:rPr>
        <w:t>9</w:t>
      </w:r>
      <w:r w:rsidRPr="001369C0">
        <w:t>份，其中科研院所</w:t>
      </w:r>
      <w:r w:rsidR="00741BB4" w:rsidRPr="001369C0">
        <w:rPr>
          <w:rFonts w:hint="eastAsia"/>
        </w:rPr>
        <w:t>3</w:t>
      </w:r>
      <w:r w:rsidRPr="001369C0">
        <w:t>份，占比</w:t>
      </w:r>
      <w:r w:rsidR="00007865" w:rsidRPr="001369C0">
        <w:rPr>
          <w:rFonts w:hint="eastAsia"/>
        </w:rPr>
        <w:t>33</w:t>
      </w:r>
      <w:r w:rsidRPr="001369C0">
        <w:t xml:space="preserve"> %</w:t>
      </w:r>
      <w:r w:rsidRPr="001369C0">
        <w:t>，用户</w:t>
      </w:r>
      <w:r w:rsidRPr="001369C0">
        <w:rPr>
          <w:rFonts w:hint="eastAsia"/>
        </w:rPr>
        <w:t>6</w:t>
      </w:r>
      <w:r w:rsidRPr="001369C0">
        <w:t>份，占比</w:t>
      </w:r>
      <w:r w:rsidR="00007865" w:rsidRPr="001369C0">
        <w:rPr>
          <w:rFonts w:hint="eastAsia"/>
        </w:rPr>
        <w:t>67</w:t>
      </w:r>
      <w:r w:rsidRPr="001369C0">
        <w:t xml:space="preserve"> %</w:t>
      </w:r>
      <w:r w:rsidRPr="001369C0">
        <w:t>，其它</w:t>
      </w:r>
      <w:r w:rsidRPr="001369C0">
        <w:t>0</w:t>
      </w:r>
      <w:r w:rsidRPr="001369C0">
        <w:t>份，占比</w:t>
      </w:r>
      <w:r w:rsidRPr="001369C0">
        <w:t>0</w:t>
      </w:r>
      <w:r w:rsidRPr="001369C0">
        <w:rPr>
          <w:rFonts w:hint="eastAsia"/>
        </w:rPr>
        <w:t xml:space="preserve"> </w:t>
      </w:r>
      <w:r w:rsidRPr="001369C0">
        <w:t>%</w:t>
      </w:r>
      <w:r w:rsidRPr="001369C0">
        <w:t>，回函</w:t>
      </w:r>
      <w:r w:rsidR="00741BB4" w:rsidRPr="001369C0">
        <w:rPr>
          <w:rFonts w:hint="eastAsia"/>
        </w:rPr>
        <w:t>9</w:t>
      </w:r>
      <w:r w:rsidRPr="001369C0">
        <w:t>份，回函有意见或建议的单位</w:t>
      </w:r>
      <w:r w:rsidRPr="001369C0">
        <w:rPr>
          <w:rFonts w:hint="eastAsia"/>
        </w:rPr>
        <w:t>0</w:t>
      </w:r>
      <w:r w:rsidRPr="001369C0">
        <w:t>份。根据征求意见稿的回函情况，针对反馈意见，编写了《标准征求意见稿意见处理汇总表》。</w:t>
      </w:r>
    </w:p>
    <w:p w:rsidR="00E71541" w:rsidRPr="006F5F5C" w:rsidRDefault="00E71541" w:rsidP="00816C6E">
      <w:pPr>
        <w:outlineLvl w:val="2"/>
        <w:rPr>
          <w:rFonts w:ascii="黑体" w:eastAsia="黑体" w:hAnsi="黑体"/>
          <w:color w:val="000000"/>
          <w:szCs w:val="21"/>
        </w:rPr>
      </w:pPr>
      <w:r w:rsidRPr="006F5F5C">
        <w:rPr>
          <w:rFonts w:ascii="黑体" w:eastAsia="黑体" w:hAnsi="黑体"/>
          <w:color w:val="000000"/>
          <w:szCs w:val="21"/>
        </w:rPr>
        <w:t>3.</w:t>
      </w:r>
      <w:r w:rsidRPr="006F5F5C">
        <w:rPr>
          <w:rFonts w:ascii="黑体" w:eastAsia="黑体" w:hAnsi="黑体" w:hint="eastAsia"/>
          <w:color w:val="000000"/>
          <w:szCs w:val="21"/>
        </w:rPr>
        <w:t>5</w:t>
      </w:r>
      <w:r w:rsidRPr="006F5F5C">
        <w:rPr>
          <w:rFonts w:ascii="黑体" w:eastAsia="黑体" w:hAnsi="黑体"/>
          <w:color w:val="000000"/>
          <w:szCs w:val="21"/>
        </w:rPr>
        <w:t xml:space="preserve"> </w:t>
      </w:r>
      <w:r w:rsidRPr="006F5F5C">
        <w:rPr>
          <w:rFonts w:ascii="黑体" w:eastAsia="黑体" w:hAnsi="黑体" w:hint="eastAsia"/>
          <w:color w:val="000000"/>
          <w:szCs w:val="21"/>
        </w:rPr>
        <w:t>审查阶段</w:t>
      </w:r>
    </w:p>
    <w:p w:rsidR="00E71541" w:rsidRDefault="00E71541" w:rsidP="00816C6E">
      <w:pPr>
        <w:rPr>
          <w:rFonts w:ascii="宋体" w:hAnsi="宋体"/>
          <w:b/>
        </w:rPr>
      </w:pPr>
    </w:p>
    <w:p w:rsidR="000D54E5" w:rsidRPr="00E71541" w:rsidRDefault="000D54E5" w:rsidP="00816C6E">
      <w:pPr>
        <w:rPr>
          <w:rFonts w:ascii="宋体" w:hAnsi="宋体"/>
          <w:b/>
        </w:rPr>
      </w:pPr>
    </w:p>
    <w:p w:rsidR="00E71541" w:rsidRPr="006F5F5C" w:rsidRDefault="00E71541" w:rsidP="00816C6E">
      <w:pPr>
        <w:outlineLvl w:val="2"/>
        <w:rPr>
          <w:rFonts w:ascii="黑体" w:eastAsia="黑体" w:hAnsi="黑体"/>
          <w:color w:val="000000"/>
          <w:szCs w:val="21"/>
        </w:rPr>
      </w:pPr>
      <w:r w:rsidRPr="006F5F5C">
        <w:rPr>
          <w:rFonts w:ascii="黑体" w:eastAsia="黑体" w:hAnsi="黑体"/>
          <w:color w:val="000000"/>
          <w:szCs w:val="21"/>
        </w:rPr>
        <w:t>3.</w:t>
      </w:r>
      <w:r w:rsidRPr="006F5F5C">
        <w:rPr>
          <w:rFonts w:ascii="黑体" w:eastAsia="黑体" w:hAnsi="黑体" w:hint="eastAsia"/>
          <w:color w:val="000000"/>
          <w:szCs w:val="21"/>
        </w:rPr>
        <w:t>6</w:t>
      </w:r>
      <w:r w:rsidRPr="006F5F5C">
        <w:rPr>
          <w:rFonts w:ascii="黑体" w:eastAsia="黑体" w:hAnsi="黑体"/>
          <w:color w:val="000000"/>
          <w:szCs w:val="21"/>
        </w:rPr>
        <w:t xml:space="preserve"> </w:t>
      </w:r>
      <w:r w:rsidRPr="006F5F5C">
        <w:rPr>
          <w:rFonts w:ascii="黑体" w:eastAsia="黑体" w:hAnsi="黑体" w:hint="eastAsia"/>
          <w:color w:val="000000"/>
          <w:szCs w:val="21"/>
        </w:rPr>
        <w:t>报批阶段</w:t>
      </w:r>
    </w:p>
    <w:p w:rsidR="009862C0" w:rsidRPr="006516FC" w:rsidRDefault="009862C0" w:rsidP="00816C6E">
      <w:pPr>
        <w:rPr>
          <w:rFonts w:ascii="宋体" w:hAnsi="宋体"/>
          <w:b/>
        </w:rPr>
      </w:pPr>
    </w:p>
    <w:p w:rsidR="00DB52DC" w:rsidRPr="006516FC" w:rsidRDefault="00DB52DC" w:rsidP="00816C6E">
      <w:pPr>
        <w:rPr>
          <w:rFonts w:ascii="宋体" w:hAnsi="宋体"/>
          <w:b/>
        </w:rPr>
      </w:pPr>
    </w:p>
    <w:p w:rsidR="001A27A4" w:rsidRPr="00AC40E0" w:rsidRDefault="001A27A4" w:rsidP="00B068EA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AC40E0">
        <w:rPr>
          <w:rFonts w:ascii="黑体" w:eastAsia="黑体" w:hAnsi="黑体" w:hint="eastAsia"/>
          <w:color w:val="000000"/>
          <w:szCs w:val="21"/>
        </w:rPr>
        <w:lastRenderedPageBreak/>
        <w:t>二、标准编制原则</w:t>
      </w:r>
    </w:p>
    <w:p w:rsidR="001A27A4" w:rsidRPr="001A27A4" w:rsidRDefault="001A27A4" w:rsidP="00816C6E">
      <w:pPr>
        <w:outlineLvl w:val="1"/>
        <w:rPr>
          <w:b/>
          <w:szCs w:val="21"/>
        </w:rPr>
      </w:pPr>
      <w:r w:rsidRPr="001A27A4">
        <w:rPr>
          <w:rFonts w:hint="eastAsia"/>
          <w:b/>
          <w:szCs w:val="21"/>
        </w:rPr>
        <w:t>（一）预期目标</w:t>
      </w:r>
    </w:p>
    <w:p w:rsidR="0017266F" w:rsidRPr="001A27A4" w:rsidRDefault="00A30A29" w:rsidP="00816C6E">
      <w:pPr>
        <w:ind w:firstLineChars="200" w:firstLine="420"/>
      </w:pPr>
      <w:r>
        <w:rPr>
          <w:rFonts w:hint="eastAsia"/>
        </w:rPr>
        <w:t>银</w:t>
      </w:r>
      <w:r w:rsidR="00DE5C6A">
        <w:rPr>
          <w:rFonts w:hint="eastAsia"/>
        </w:rPr>
        <w:t>是镍精矿</w:t>
      </w:r>
      <w:r w:rsidR="0017266F" w:rsidRPr="001A27A4">
        <w:rPr>
          <w:rFonts w:hint="eastAsia"/>
        </w:rPr>
        <w:t>的主要伴生计价元素，</w:t>
      </w:r>
      <w:r w:rsidR="00DE5C6A">
        <w:rPr>
          <w:rFonts w:hint="eastAsia"/>
        </w:rPr>
        <w:t>近年来，每年</w:t>
      </w:r>
      <w:r w:rsidR="0074793E">
        <w:rPr>
          <w:rFonts w:hint="eastAsia"/>
        </w:rPr>
        <w:t>国内</w:t>
      </w:r>
      <w:proofErr w:type="gramStart"/>
      <w:r w:rsidR="0074793E">
        <w:rPr>
          <w:rFonts w:hint="eastAsia"/>
        </w:rPr>
        <w:t>镍生产</w:t>
      </w:r>
      <w:proofErr w:type="gramEnd"/>
      <w:r w:rsidR="0074793E">
        <w:rPr>
          <w:rFonts w:hint="eastAsia"/>
        </w:rPr>
        <w:t>企业</w:t>
      </w:r>
      <w:r w:rsidR="00701541">
        <w:rPr>
          <w:rFonts w:hint="eastAsia"/>
        </w:rPr>
        <w:t>采购和使用的</w:t>
      </w:r>
      <w:r w:rsidR="0017266F" w:rsidRPr="001A27A4">
        <w:rPr>
          <w:rFonts w:hint="eastAsia"/>
        </w:rPr>
        <w:t>国内外镍精矿</w:t>
      </w:r>
      <w:r w:rsidR="0074793E">
        <w:rPr>
          <w:rFonts w:hint="eastAsia"/>
        </w:rPr>
        <w:t>原料中</w:t>
      </w:r>
      <w:proofErr w:type="gramStart"/>
      <w:r w:rsidR="0074793E">
        <w:rPr>
          <w:rFonts w:hint="eastAsia"/>
        </w:rPr>
        <w:t>伴生</w:t>
      </w:r>
      <w:r>
        <w:rPr>
          <w:rFonts w:hint="eastAsia"/>
        </w:rPr>
        <w:t>银</w:t>
      </w:r>
      <w:proofErr w:type="gramEnd"/>
      <w:r w:rsidR="0017266F" w:rsidRPr="001A27A4">
        <w:rPr>
          <w:rFonts w:hint="eastAsia"/>
        </w:rPr>
        <w:t>合计总价值在亿元以上。镍精矿</w:t>
      </w:r>
      <w:r w:rsidR="0017266F">
        <w:rPr>
          <w:rFonts w:hint="eastAsia"/>
        </w:rPr>
        <w:t>中</w:t>
      </w:r>
      <w:r>
        <w:rPr>
          <w:rFonts w:hint="eastAsia"/>
        </w:rPr>
        <w:t>银</w:t>
      </w:r>
      <w:r w:rsidR="0017266F">
        <w:rPr>
          <w:rFonts w:hint="eastAsia"/>
        </w:rPr>
        <w:t>的检测，</w:t>
      </w:r>
      <w:r w:rsidR="00F577C2" w:rsidRPr="00B3256C">
        <w:rPr>
          <w:rFonts w:hint="eastAsia"/>
          <w:szCs w:val="21"/>
        </w:rPr>
        <w:t>在国内</w:t>
      </w:r>
      <w:r w:rsidR="00F577C2" w:rsidRPr="001A27A4">
        <w:rPr>
          <w:rFonts w:hint="eastAsia"/>
        </w:rPr>
        <w:t>没有统一的、获得行业认可的分析标准</w:t>
      </w:r>
      <w:r w:rsidR="00F577C2" w:rsidRPr="00C36939">
        <w:rPr>
          <w:rFonts w:hint="eastAsia"/>
          <w:color w:val="000000"/>
          <w:szCs w:val="21"/>
        </w:rPr>
        <w:t>，</w:t>
      </w:r>
      <w:r w:rsidR="00F577C2" w:rsidRPr="00C36939">
        <w:rPr>
          <w:szCs w:val="21"/>
        </w:rPr>
        <w:t>在贸易中极易发生质量纠纷。</w:t>
      </w:r>
      <w:r w:rsidR="0017266F" w:rsidRPr="001A27A4">
        <w:rPr>
          <w:rFonts w:hint="eastAsia"/>
        </w:rPr>
        <w:t>因此，</w:t>
      </w:r>
      <w:r w:rsidR="0069584F">
        <w:rPr>
          <w:rFonts w:hint="eastAsia"/>
        </w:rPr>
        <w:t>研究建立</w:t>
      </w:r>
      <w:r w:rsidR="0017266F" w:rsidRPr="001A27A4">
        <w:rPr>
          <w:rFonts w:hint="eastAsia"/>
        </w:rPr>
        <w:t>镍精矿中</w:t>
      </w:r>
      <w:r>
        <w:rPr>
          <w:rFonts w:hint="eastAsia"/>
        </w:rPr>
        <w:t>银</w:t>
      </w:r>
      <w:r w:rsidR="0017266F" w:rsidRPr="001A27A4">
        <w:rPr>
          <w:rFonts w:hint="eastAsia"/>
        </w:rPr>
        <w:t>含量的标准</w:t>
      </w:r>
      <w:r w:rsidR="0017266F">
        <w:rPr>
          <w:rFonts w:hint="eastAsia"/>
        </w:rPr>
        <w:t>分析</w:t>
      </w:r>
      <w:r w:rsidR="0017266F" w:rsidRPr="001A27A4">
        <w:rPr>
          <w:rFonts w:hint="eastAsia"/>
        </w:rPr>
        <w:t>方法</w:t>
      </w:r>
      <w:r w:rsidR="0017266F">
        <w:rPr>
          <w:rFonts w:hint="eastAsia"/>
        </w:rPr>
        <w:t>，</w:t>
      </w:r>
      <w:r w:rsidR="00F577C2">
        <w:rPr>
          <w:rFonts w:hint="eastAsia"/>
        </w:rPr>
        <w:t>起到指导镍精矿中银元素的冶炼回收工艺，可以</w:t>
      </w:r>
      <w:r w:rsidR="0017266F" w:rsidRPr="001A27A4">
        <w:rPr>
          <w:rFonts w:hint="eastAsia"/>
        </w:rPr>
        <w:t>有效解决贸易纠纷，对今后的进出口贸易也将带来很好的经济效益和社会效益。</w:t>
      </w:r>
    </w:p>
    <w:p w:rsidR="00D211BD" w:rsidRPr="001369C0" w:rsidRDefault="00D211BD" w:rsidP="00816C6E">
      <w:pPr>
        <w:outlineLvl w:val="1"/>
        <w:rPr>
          <w:b/>
          <w:szCs w:val="21"/>
        </w:rPr>
      </w:pPr>
      <w:r w:rsidRPr="00D211BD">
        <w:rPr>
          <w:rFonts w:hint="eastAsia"/>
          <w:b/>
          <w:szCs w:val="21"/>
        </w:rPr>
        <w:t>（二）主要技术路线</w:t>
      </w:r>
    </w:p>
    <w:p w:rsidR="0086590B" w:rsidRPr="0086590B" w:rsidRDefault="0086590B" w:rsidP="00816C6E">
      <w:pPr>
        <w:ind w:firstLineChars="200" w:firstLine="420"/>
      </w:pPr>
      <w:r w:rsidRPr="001369C0">
        <w:rPr>
          <w:rFonts w:hint="eastAsia"/>
        </w:rPr>
        <w:t>镍精矿中伴生的</w:t>
      </w:r>
      <w:r w:rsidR="00A30A29" w:rsidRPr="001369C0">
        <w:rPr>
          <w:rFonts w:hint="eastAsia"/>
        </w:rPr>
        <w:t>银</w:t>
      </w:r>
      <w:r w:rsidRPr="001369C0">
        <w:rPr>
          <w:rFonts w:hint="eastAsia"/>
        </w:rPr>
        <w:t>在贸易中通常大于等于</w:t>
      </w:r>
      <w:r w:rsidRPr="001369C0">
        <w:t>1</w:t>
      </w:r>
      <w:r w:rsidR="00606FF8" w:rsidRPr="001369C0">
        <w:rPr>
          <w:rFonts w:hint="eastAsia"/>
        </w:rPr>
        <w:t xml:space="preserve">0 </w:t>
      </w:r>
      <w:r w:rsidRPr="001369C0">
        <w:t>g/t</w:t>
      </w:r>
      <w:r w:rsidRPr="001369C0">
        <w:rPr>
          <w:rFonts w:hint="eastAsia"/>
        </w:rPr>
        <w:t>进行</w:t>
      </w:r>
      <w:r w:rsidRPr="0086590B">
        <w:rPr>
          <w:rFonts w:hint="eastAsia"/>
        </w:rPr>
        <w:t>计价，</w:t>
      </w:r>
      <w:r w:rsidR="00DE5C6A" w:rsidRPr="0086590B">
        <w:rPr>
          <w:rFonts w:hint="eastAsia"/>
        </w:rPr>
        <w:t>国内外镍精矿</w:t>
      </w:r>
      <w:r w:rsidRPr="0086590B">
        <w:rPr>
          <w:rFonts w:hint="eastAsia"/>
        </w:rPr>
        <w:t>伴生</w:t>
      </w:r>
      <w:r w:rsidR="00DE5C6A" w:rsidRPr="0086590B">
        <w:rPr>
          <w:rFonts w:hint="eastAsia"/>
        </w:rPr>
        <w:t>的</w:t>
      </w:r>
      <w:r w:rsidR="00A30A29">
        <w:rPr>
          <w:rFonts w:hint="eastAsia"/>
        </w:rPr>
        <w:t>银</w:t>
      </w:r>
      <w:r w:rsidRPr="0086590B">
        <w:rPr>
          <w:rFonts w:hint="eastAsia"/>
        </w:rPr>
        <w:t>含量经调研，</w:t>
      </w:r>
      <w:r w:rsidR="00817B9B">
        <w:rPr>
          <w:rFonts w:hint="eastAsia"/>
        </w:rPr>
        <w:t>银</w:t>
      </w:r>
      <w:r w:rsidRPr="0086590B">
        <w:rPr>
          <w:rFonts w:hint="eastAsia"/>
        </w:rPr>
        <w:t>含量在</w:t>
      </w:r>
      <w:r w:rsidR="00817B9B">
        <w:rPr>
          <w:rFonts w:hint="eastAsia"/>
        </w:rPr>
        <w:t>150</w:t>
      </w:r>
      <w:r w:rsidR="00DE5C6A">
        <w:rPr>
          <w:rFonts w:hint="eastAsia"/>
        </w:rPr>
        <w:t xml:space="preserve"> </w:t>
      </w:r>
      <w:r w:rsidRPr="0086590B">
        <w:t>g/t</w:t>
      </w:r>
      <w:r w:rsidR="00817B9B">
        <w:rPr>
          <w:rFonts w:hint="eastAsia"/>
        </w:rPr>
        <w:t>以下</w:t>
      </w:r>
      <w:r w:rsidRPr="0086590B">
        <w:rPr>
          <w:rFonts w:hint="eastAsia"/>
        </w:rPr>
        <w:t>，</w:t>
      </w:r>
      <w:r w:rsidR="00817B9B">
        <w:rPr>
          <w:rFonts w:hint="eastAsia"/>
        </w:rPr>
        <w:t>参与</w:t>
      </w:r>
      <w:r w:rsidR="00817B9B" w:rsidRPr="002F4C4A">
        <w:rPr>
          <w:szCs w:val="21"/>
        </w:rPr>
        <w:t>贸易结算的最低含量</w:t>
      </w:r>
      <w:r w:rsidR="00817B9B">
        <w:rPr>
          <w:rFonts w:hint="eastAsia"/>
          <w:szCs w:val="21"/>
        </w:rPr>
        <w:t>是</w:t>
      </w:r>
      <w:r w:rsidR="00817B9B" w:rsidRPr="002F4C4A">
        <w:rPr>
          <w:rFonts w:hint="eastAsia"/>
          <w:szCs w:val="21"/>
        </w:rPr>
        <w:t xml:space="preserve">20 </w:t>
      </w:r>
      <w:r w:rsidR="00817B9B" w:rsidRPr="002F4C4A">
        <w:rPr>
          <w:szCs w:val="21"/>
        </w:rPr>
        <w:t>g/t</w:t>
      </w:r>
      <w:r w:rsidR="00817B9B">
        <w:rPr>
          <w:rFonts w:hint="eastAsia"/>
          <w:szCs w:val="21"/>
        </w:rPr>
        <w:t>，以该含量的</w:t>
      </w:r>
      <w:r w:rsidR="00817B9B" w:rsidRPr="002F4C4A">
        <w:rPr>
          <w:rFonts w:hint="eastAsia"/>
          <w:szCs w:val="21"/>
        </w:rPr>
        <w:t>一半，即</w:t>
      </w:r>
      <w:r w:rsidR="00817B9B" w:rsidRPr="002F4C4A">
        <w:rPr>
          <w:rFonts w:hint="eastAsia"/>
          <w:szCs w:val="21"/>
        </w:rPr>
        <w:t>10 g/t</w:t>
      </w:r>
      <w:r w:rsidR="00817B9B" w:rsidRPr="002F4C4A">
        <w:rPr>
          <w:szCs w:val="21"/>
        </w:rPr>
        <w:t>为测定下限</w:t>
      </w:r>
      <w:r w:rsidR="00817B9B" w:rsidRPr="002F4C4A">
        <w:rPr>
          <w:rFonts w:hint="eastAsia"/>
          <w:szCs w:val="21"/>
        </w:rPr>
        <w:t>。</w:t>
      </w:r>
      <w:r w:rsidRPr="0086590B">
        <w:rPr>
          <w:rFonts w:hint="eastAsia"/>
        </w:rPr>
        <w:t>因此，确定标准测定范围为</w:t>
      </w:r>
      <w:r w:rsidRPr="0086590B">
        <w:rPr>
          <w:rFonts w:hint="eastAsia"/>
        </w:rPr>
        <w:t>10 g/t~</w:t>
      </w:r>
      <w:r w:rsidR="00817B9B">
        <w:rPr>
          <w:rFonts w:hint="eastAsia"/>
        </w:rPr>
        <w:t>15</w:t>
      </w:r>
      <w:r w:rsidRPr="0086590B">
        <w:rPr>
          <w:rFonts w:hint="eastAsia"/>
        </w:rPr>
        <w:t>0 g/t</w:t>
      </w:r>
      <w:r w:rsidRPr="0086590B">
        <w:rPr>
          <w:rFonts w:hint="eastAsia"/>
        </w:rPr>
        <w:t>。</w:t>
      </w:r>
    </w:p>
    <w:p w:rsidR="007E7948" w:rsidRDefault="00D211BD" w:rsidP="006516FC">
      <w:pPr>
        <w:ind w:firstLineChars="200" w:firstLine="420"/>
      </w:pPr>
      <w:r w:rsidRPr="0086590B">
        <w:rPr>
          <w:rFonts w:hint="eastAsia"/>
        </w:rPr>
        <w:t>国内外对痕量</w:t>
      </w:r>
      <w:r w:rsidR="00A30A29">
        <w:rPr>
          <w:rFonts w:hint="eastAsia"/>
        </w:rPr>
        <w:t>银</w:t>
      </w:r>
      <w:r w:rsidRPr="0086590B">
        <w:rPr>
          <w:rFonts w:hint="eastAsia"/>
        </w:rPr>
        <w:t>的分析，基本采用</w:t>
      </w:r>
      <w:r w:rsidR="007E7948" w:rsidRPr="002F4C4A">
        <w:rPr>
          <w:rFonts w:hint="eastAsia"/>
          <w:szCs w:val="21"/>
        </w:rPr>
        <w:t>火焰原子吸收光谱法</w:t>
      </w:r>
      <w:r w:rsidR="007E7948">
        <w:rPr>
          <w:rFonts w:hint="eastAsia"/>
          <w:szCs w:val="21"/>
        </w:rPr>
        <w:t>，该分析</w:t>
      </w:r>
      <w:r w:rsidR="007E7948" w:rsidRPr="002F4C4A">
        <w:rPr>
          <w:rFonts w:hint="eastAsia"/>
          <w:szCs w:val="21"/>
        </w:rPr>
        <w:t>技术成熟，具有分析速度快、检出限低、稳定性好的特点，仪器分析成本低、普及程度高，</w:t>
      </w:r>
      <w:r w:rsidR="007E7948">
        <w:rPr>
          <w:rFonts w:hint="eastAsia"/>
          <w:szCs w:val="21"/>
        </w:rPr>
        <w:t>确定</w:t>
      </w:r>
      <w:r w:rsidR="007E7948" w:rsidRPr="002F4C4A">
        <w:rPr>
          <w:rFonts w:hint="eastAsia"/>
          <w:szCs w:val="21"/>
        </w:rPr>
        <w:t>选择采用火焰原子吸收光谱法测定镍精矿中银的含量。</w:t>
      </w:r>
    </w:p>
    <w:p w:rsidR="003223DC" w:rsidRPr="00382C9C" w:rsidRDefault="003223DC" w:rsidP="00B068EA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382C9C">
        <w:rPr>
          <w:rFonts w:ascii="黑体" w:eastAsia="黑体" w:hAnsi="黑体" w:hint="eastAsia"/>
          <w:color w:val="000000"/>
          <w:szCs w:val="21"/>
        </w:rPr>
        <w:t>三、标准主要内容的确定依据及主要试验和验证情况分析</w:t>
      </w:r>
    </w:p>
    <w:p w:rsidR="003223DC" w:rsidRDefault="006516FC" w:rsidP="006516FC">
      <w:pPr>
        <w:outlineLvl w:val="1"/>
        <w:rPr>
          <w:rFonts w:ascii="宋体" w:hAnsi="宋体"/>
          <w:b/>
        </w:rPr>
      </w:pPr>
      <w:r>
        <w:rPr>
          <w:rFonts w:ascii="宋体" w:hAnsi="宋体" w:hint="eastAsia"/>
          <w:b/>
        </w:rPr>
        <w:t>1、</w:t>
      </w:r>
      <w:r w:rsidR="003223DC" w:rsidRPr="003223DC">
        <w:rPr>
          <w:rFonts w:ascii="宋体" w:hAnsi="宋体"/>
          <w:b/>
        </w:rPr>
        <w:t>起草、验证阶段</w:t>
      </w:r>
    </w:p>
    <w:p w:rsidR="006859F6" w:rsidRPr="006859F6" w:rsidRDefault="006859F6" w:rsidP="006859F6">
      <w:pPr>
        <w:ind w:firstLineChars="200" w:firstLine="420"/>
        <w:rPr>
          <w:szCs w:val="21"/>
        </w:rPr>
      </w:pPr>
      <w:r w:rsidRPr="006859F6">
        <w:rPr>
          <w:rFonts w:hint="eastAsia"/>
          <w:szCs w:val="21"/>
        </w:rPr>
        <w:t>（</w:t>
      </w:r>
      <w:r w:rsidRPr="006859F6">
        <w:rPr>
          <w:rFonts w:hint="eastAsia"/>
          <w:szCs w:val="21"/>
        </w:rPr>
        <w:t>1</w:t>
      </w:r>
      <w:r w:rsidRPr="006859F6">
        <w:rPr>
          <w:rFonts w:hint="eastAsia"/>
          <w:szCs w:val="21"/>
        </w:rPr>
        <w:t>）溶样方式的确定</w:t>
      </w:r>
    </w:p>
    <w:p w:rsidR="006859F6" w:rsidRDefault="006859F6" w:rsidP="006859F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对比了三种不同的溶样方式，测定结果一致，考虑到耗时及成本，选择了加入氟化氢铵，以盐酸、硝酸、高氯酸分解试样。</w:t>
      </w:r>
      <w:r>
        <w:rPr>
          <w:color w:val="000000"/>
          <w:szCs w:val="21"/>
        </w:rPr>
        <w:t xml:space="preserve"> </w:t>
      </w:r>
    </w:p>
    <w:p w:rsidR="006859F6" w:rsidRPr="006859F6" w:rsidRDefault="006859F6" w:rsidP="006859F6">
      <w:pPr>
        <w:ind w:firstLineChars="200" w:firstLine="420"/>
        <w:rPr>
          <w:szCs w:val="21"/>
        </w:rPr>
      </w:pPr>
      <w:r w:rsidRPr="006859F6">
        <w:rPr>
          <w:rFonts w:hint="eastAsia"/>
          <w:szCs w:val="21"/>
        </w:rPr>
        <w:t>（</w:t>
      </w:r>
      <w:r w:rsidRPr="006859F6">
        <w:rPr>
          <w:rFonts w:hint="eastAsia"/>
          <w:szCs w:val="21"/>
        </w:rPr>
        <w:t>2</w:t>
      </w:r>
      <w:r w:rsidRPr="006859F6">
        <w:rPr>
          <w:rFonts w:hint="eastAsia"/>
          <w:szCs w:val="21"/>
        </w:rPr>
        <w:t>）原子吸收光谱仪工作条件的确定</w:t>
      </w:r>
    </w:p>
    <w:p w:rsidR="006859F6" w:rsidRDefault="006859F6" w:rsidP="006859F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根据原子吸收光谱仪的工作原理，从灯电流、乙炔流量、单色器通带、燃烧器高度四个方面进行了考察，确定了最佳工作条件，确定了工作曲线、特征浓度、最小稳定性、检出限。</w:t>
      </w:r>
    </w:p>
    <w:p w:rsidR="006859F6" w:rsidRPr="006859F6" w:rsidRDefault="006859F6" w:rsidP="006859F6">
      <w:pPr>
        <w:ind w:firstLineChars="200" w:firstLine="420"/>
        <w:rPr>
          <w:szCs w:val="21"/>
        </w:rPr>
      </w:pPr>
      <w:r w:rsidRPr="006859F6">
        <w:rPr>
          <w:rFonts w:hint="eastAsia"/>
          <w:szCs w:val="21"/>
        </w:rPr>
        <w:t>（</w:t>
      </w:r>
      <w:r w:rsidRPr="006859F6">
        <w:rPr>
          <w:rFonts w:hint="eastAsia"/>
          <w:szCs w:val="21"/>
        </w:rPr>
        <w:t>3</w:t>
      </w:r>
      <w:r w:rsidRPr="006859F6">
        <w:rPr>
          <w:rFonts w:hint="eastAsia"/>
          <w:szCs w:val="21"/>
        </w:rPr>
        <w:t>）确定了待测溶液的介质</w:t>
      </w:r>
    </w:p>
    <w:p w:rsidR="006859F6" w:rsidRDefault="006859F6" w:rsidP="006859F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选择了不同浓度的盐酸介质考察测定结果，确定了待测溶液的介质浓度为</w:t>
      </w:r>
      <w:r>
        <w:rPr>
          <w:rFonts w:hint="eastAsia"/>
          <w:color w:val="000000"/>
          <w:szCs w:val="21"/>
        </w:rPr>
        <w:t>10%</w:t>
      </w:r>
      <w:r>
        <w:rPr>
          <w:rFonts w:hint="eastAsia"/>
          <w:color w:val="000000"/>
          <w:szCs w:val="21"/>
        </w:rPr>
        <w:t>。</w:t>
      </w:r>
    </w:p>
    <w:p w:rsidR="006859F6" w:rsidRPr="006859F6" w:rsidRDefault="006859F6" w:rsidP="006859F6">
      <w:pPr>
        <w:ind w:firstLineChars="200" w:firstLine="420"/>
        <w:rPr>
          <w:szCs w:val="21"/>
        </w:rPr>
      </w:pPr>
      <w:r w:rsidRPr="006859F6">
        <w:rPr>
          <w:rFonts w:hint="eastAsia"/>
          <w:szCs w:val="21"/>
        </w:rPr>
        <w:t>（</w:t>
      </w:r>
      <w:r w:rsidRPr="006859F6">
        <w:rPr>
          <w:rFonts w:hint="eastAsia"/>
          <w:szCs w:val="21"/>
        </w:rPr>
        <w:t>4</w:t>
      </w:r>
      <w:r w:rsidRPr="006859F6">
        <w:rPr>
          <w:rFonts w:hint="eastAsia"/>
          <w:szCs w:val="21"/>
        </w:rPr>
        <w:t>）干扰及消除</w:t>
      </w:r>
    </w:p>
    <w:p w:rsidR="006859F6" w:rsidRDefault="006859F6" w:rsidP="006859F6">
      <w:pPr>
        <w:ind w:firstLineChars="200" w:firstLine="420"/>
        <w:rPr>
          <w:color w:val="FF0000"/>
          <w:szCs w:val="21"/>
        </w:rPr>
      </w:pPr>
      <w:r>
        <w:rPr>
          <w:rFonts w:hint="eastAsia"/>
          <w:szCs w:val="21"/>
        </w:rPr>
        <w:t>根据收集到的国内外不同品位镍精矿中各共存元素含量范围，镍精矿中各元素的含量范围为：</w:t>
      </w:r>
      <w:r>
        <w:rPr>
          <w:rFonts w:hint="eastAsia"/>
        </w:rPr>
        <w:t>Ni 5</w:t>
      </w:r>
      <w:r>
        <w:rPr>
          <w:rFonts w:ascii="宋体" w:hAnsi="宋体" w:hint="eastAsia"/>
        </w:rPr>
        <w:t>～</w:t>
      </w:r>
      <w:r w:rsidRPr="00341E73">
        <w:rPr>
          <w:rFonts w:hint="eastAsia"/>
        </w:rPr>
        <w:t>2</w:t>
      </w:r>
      <w:r>
        <w:rPr>
          <w:rFonts w:hint="eastAsia"/>
        </w:rPr>
        <w:t>0</w:t>
      </w:r>
      <w:r>
        <w:t>%</w:t>
      </w:r>
      <w:r>
        <w:rPr>
          <w:rFonts w:hint="eastAsia"/>
        </w:rPr>
        <w:t>，</w:t>
      </w:r>
      <w:r w:rsidRPr="002263D2">
        <w:t>C</w:t>
      </w:r>
      <w:r w:rsidRPr="002263D2">
        <w:rPr>
          <w:rFonts w:hint="eastAsia"/>
        </w:rPr>
        <w:t>u</w:t>
      </w:r>
      <w:r>
        <w:rPr>
          <w:rFonts w:hint="eastAsia"/>
        </w:rPr>
        <w:t xml:space="preserve"> 5%</w:t>
      </w:r>
      <w:r>
        <w:rPr>
          <w:rFonts w:ascii="宋体" w:hAnsi="宋体" w:hint="eastAsia"/>
        </w:rPr>
        <w:t>～</w:t>
      </w:r>
      <w:r>
        <w:rPr>
          <w:rFonts w:hint="eastAsia"/>
        </w:rPr>
        <w:t>8%</w:t>
      </w:r>
      <w:r>
        <w:rPr>
          <w:rFonts w:hint="eastAsia"/>
        </w:rPr>
        <w:t>，</w:t>
      </w:r>
      <w:r>
        <w:rPr>
          <w:rFonts w:hint="eastAsia"/>
        </w:rPr>
        <w:t>Fe 5%</w:t>
      </w:r>
      <w:r>
        <w:rPr>
          <w:rFonts w:ascii="宋体" w:hAnsi="宋体" w:hint="eastAsia"/>
        </w:rPr>
        <w:t>～</w:t>
      </w:r>
      <w:r>
        <w:rPr>
          <w:rFonts w:hint="eastAsia"/>
        </w:rPr>
        <w:t>40</w:t>
      </w:r>
      <w:r>
        <w:t>%</w:t>
      </w:r>
      <w:r>
        <w:rPr>
          <w:rFonts w:hint="eastAsia"/>
        </w:rPr>
        <w:t>，</w:t>
      </w:r>
      <w:r w:rsidRPr="002263D2">
        <w:rPr>
          <w:rFonts w:hint="eastAsia"/>
        </w:rPr>
        <w:t>C</w:t>
      </w:r>
      <w:r>
        <w:rPr>
          <w:rFonts w:hint="eastAsia"/>
        </w:rPr>
        <w:t>a</w:t>
      </w:r>
      <w:r>
        <w:rPr>
          <w:rFonts w:ascii="宋体" w:hAnsi="宋体" w:hint="eastAsia"/>
        </w:rPr>
        <w:t>≤</w:t>
      </w:r>
      <w:r>
        <w:rPr>
          <w:rFonts w:hint="eastAsia"/>
        </w:rPr>
        <w:t>5%</w:t>
      </w:r>
      <w:r>
        <w:rPr>
          <w:rFonts w:hint="eastAsia"/>
        </w:rPr>
        <w:t>、</w:t>
      </w:r>
      <w:r>
        <w:rPr>
          <w:rFonts w:hint="eastAsia"/>
        </w:rPr>
        <w:t>Mg</w:t>
      </w:r>
      <w:r>
        <w:rPr>
          <w:rFonts w:ascii="宋体" w:hAnsi="宋体" w:hint="eastAsia"/>
        </w:rPr>
        <w:t>≤</w:t>
      </w:r>
      <w:r>
        <w:rPr>
          <w:rFonts w:hint="eastAsia"/>
        </w:rPr>
        <w:t>15%</w:t>
      </w:r>
      <w:r>
        <w:rPr>
          <w:rFonts w:hint="eastAsia"/>
        </w:rPr>
        <w:t>，</w:t>
      </w:r>
      <w:r>
        <w:rPr>
          <w:rFonts w:hint="eastAsia"/>
        </w:rPr>
        <w:t>Al 5%</w:t>
      </w:r>
      <w:r>
        <w:rPr>
          <w:rFonts w:hint="eastAsia"/>
        </w:rPr>
        <w:t>、</w:t>
      </w:r>
      <w:r>
        <w:rPr>
          <w:rFonts w:hint="eastAsia"/>
        </w:rPr>
        <w:t>Co</w:t>
      </w:r>
      <w:r>
        <w:rPr>
          <w:rFonts w:ascii="宋体" w:hAnsi="宋体" w:hint="eastAsia"/>
        </w:rPr>
        <w:t>≤0.</w:t>
      </w:r>
      <w:r>
        <w:rPr>
          <w:rFonts w:hint="eastAsia"/>
        </w:rPr>
        <w:t>5%</w:t>
      </w:r>
      <w:r>
        <w:rPr>
          <w:rFonts w:hint="eastAsia"/>
        </w:rPr>
        <w:t>、</w:t>
      </w:r>
      <w:proofErr w:type="spellStart"/>
      <w:r w:rsidRPr="002263D2">
        <w:t>Pb</w:t>
      </w:r>
      <w:proofErr w:type="spellEnd"/>
      <w:r>
        <w:rPr>
          <w:rFonts w:ascii="宋体" w:hAnsi="宋体" w:hint="eastAsia"/>
        </w:rPr>
        <w:t>≤</w:t>
      </w:r>
      <w:r>
        <w:rPr>
          <w:rFonts w:hint="eastAsia"/>
        </w:rPr>
        <w:t>5%</w:t>
      </w:r>
      <w:r>
        <w:rPr>
          <w:rFonts w:hint="eastAsia"/>
        </w:rPr>
        <w:t>、</w:t>
      </w:r>
      <w:r>
        <w:rPr>
          <w:rFonts w:hint="eastAsia"/>
        </w:rPr>
        <w:t>Zn</w:t>
      </w:r>
      <w:r>
        <w:rPr>
          <w:rFonts w:ascii="宋体" w:hAnsi="宋体" w:hint="eastAsia"/>
        </w:rPr>
        <w:t>≤</w:t>
      </w:r>
      <w:r>
        <w:rPr>
          <w:rFonts w:hint="eastAsia"/>
        </w:rPr>
        <w:t>2%</w:t>
      </w:r>
      <w:r>
        <w:rPr>
          <w:rFonts w:hint="eastAsia"/>
        </w:rPr>
        <w:t>、</w:t>
      </w:r>
      <w:r>
        <w:rPr>
          <w:rFonts w:hint="eastAsia"/>
        </w:rPr>
        <w:t>As</w:t>
      </w:r>
      <w:r>
        <w:rPr>
          <w:rFonts w:ascii="宋体" w:hAnsi="宋体" w:hint="eastAsia"/>
        </w:rPr>
        <w:t>≤</w:t>
      </w:r>
      <w:r>
        <w:rPr>
          <w:rFonts w:hint="eastAsia"/>
        </w:rPr>
        <w:t>1%</w:t>
      </w:r>
      <w:r>
        <w:rPr>
          <w:rFonts w:hint="eastAsia"/>
        </w:rPr>
        <w:t>、</w:t>
      </w:r>
      <w:proofErr w:type="spellStart"/>
      <w:r>
        <w:rPr>
          <w:rFonts w:hint="eastAsia"/>
        </w:rPr>
        <w:t>Cd</w:t>
      </w:r>
      <w:proofErr w:type="spellEnd"/>
      <w:r>
        <w:rPr>
          <w:rFonts w:ascii="宋体" w:hAnsi="宋体" w:hint="eastAsia"/>
        </w:rPr>
        <w:t>≤</w:t>
      </w:r>
      <w:r>
        <w:rPr>
          <w:rFonts w:hint="eastAsia"/>
        </w:rPr>
        <w:t>1%</w:t>
      </w:r>
      <w:r>
        <w:rPr>
          <w:rFonts w:hint="eastAsia"/>
        </w:rPr>
        <w:t>、</w:t>
      </w:r>
      <w:r>
        <w:rPr>
          <w:rFonts w:hint="eastAsia"/>
        </w:rPr>
        <w:t>Cr</w:t>
      </w:r>
      <w:r>
        <w:rPr>
          <w:rFonts w:ascii="宋体" w:hAnsi="宋体" w:hint="eastAsia"/>
        </w:rPr>
        <w:t>≤</w:t>
      </w:r>
      <w:r>
        <w:rPr>
          <w:rFonts w:hint="eastAsia"/>
        </w:rPr>
        <w:t>2%</w:t>
      </w:r>
      <w:r>
        <w:rPr>
          <w:rFonts w:hint="eastAsia"/>
        </w:rPr>
        <w:t>左右。</w:t>
      </w:r>
      <w:r w:rsidRPr="00101CCB">
        <w:rPr>
          <w:rFonts w:hint="eastAsia"/>
          <w:szCs w:val="21"/>
        </w:rPr>
        <w:t>通过</w:t>
      </w:r>
      <w:r>
        <w:rPr>
          <w:rFonts w:hint="eastAsia"/>
          <w:szCs w:val="21"/>
        </w:rPr>
        <w:t>考察各干扰元素对银含量测定结果的影响，共存元素不干扰银的测定</w:t>
      </w:r>
      <w:r w:rsidRPr="00101CCB">
        <w:rPr>
          <w:rFonts w:hint="eastAsia"/>
          <w:szCs w:val="21"/>
        </w:rPr>
        <w:t>。</w:t>
      </w:r>
    </w:p>
    <w:p w:rsidR="006859F6" w:rsidRPr="006859F6" w:rsidRDefault="006859F6" w:rsidP="006859F6">
      <w:pPr>
        <w:ind w:firstLineChars="200" w:firstLine="420"/>
        <w:rPr>
          <w:szCs w:val="21"/>
        </w:rPr>
      </w:pPr>
      <w:r w:rsidRPr="006859F6">
        <w:rPr>
          <w:rFonts w:hint="eastAsia"/>
          <w:szCs w:val="21"/>
        </w:rPr>
        <w:t>（</w:t>
      </w:r>
      <w:r w:rsidRPr="006859F6">
        <w:rPr>
          <w:rFonts w:hint="eastAsia"/>
          <w:szCs w:val="21"/>
        </w:rPr>
        <w:t>5</w:t>
      </w:r>
      <w:r w:rsidRPr="006859F6">
        <w:rPr>
          <w:rFonts w:hint="eastAsia"/>
          <w:szCs w:val="21"/>
        </w:rPr>
        <w:t>）样品分析准确度试验</w:t>
      </w:r>
    </w:p>
    <w:p w:rsidR="006859F6" w:rsidRDefault="006859F6" w:rsidP="006859F6">
      <w:pPr>
        <w:ind w:firstLineChars="200" w:firstLine="420"/>
        <w:rPr>
          <w:color w:val="000000"/>
          <w:szCs w:val="21"/>
        </w:rPr>
      </w:pPr>
      <w:r w:rsidRPr="002F4C4A">
        <w:rPr>
          <w:rFonts w:hint="eastAsia"/>
          <w:color w:val="000000"/>
          <w:szCs w:val="21"/>
        </w:rPr>
        <w:t>对</w:t>
      </w:r>
      <w:r>
        <w:rPr>
          <w:rFonts w:hint="eastAsia"/>
          <w:color w:val="000000"/>
          <w:szCs w:val="21"/>
        </w:rPr>
        <w:t>4</w:t>
      </w:r>
      <w:r w:rsidRPr="002F4C4A">
        <w:rPr>
          <w:rFonts w:hint="eastAsia"/>
          <w:color w:val="000000"/>
          <w:szCs w:val="21"/>
        </w:rPr>
        <w:t>个不同产地、不同品位的镍精矿</w:t>
      </w:r>
      <w:r w:rsidRPr="002F4C4A">
        <w:rPr>
          <w:color w:val="000000"/>
          <w:szCs w:val="21"/>
        </w:rPr>
        <w:t>样品进行了</w:t>
      </w:r>
      <w:r w:rsidRPr="002F4C4A">
        <w:rPr>
          <w:rFonts w:hint="eastAsia"/>
          <w:color w:val="000000"/>
          <w:szCs w:val="21"/>
        </w:rPr>
        <w:t>银含量的</w:t>
      </w:r>
      <w:r w:rsidRPr="002F4C4A">
        <w:rPr>
          <w:color w:val="000000"/>
          <w:szCs w:val="21"/>
        </w:rPr>
        <w:t>精密度实验、加标回收实验，</w:t>
      </w:r>
      <w:r w:rsidRPr="00101CCB">
        <w:rPr>
          <w:szCs w:val="21"/>
        </w:rPr>
        <w:t>方法的加标</w:t>
      </w:r>
      <w:r>
        <w:rPr>
          <w:rFonts w:hint="eastAsia"/>
        </w:rPr>
        <w:t>回收率在</w:t>
      </w:r>
      <w:r>
        <w:rPr>
          <w:rFonts w:hint="eastAsia"/>
        </w:rPr>
        <w:t>95.0%</w:t>
      </w:r>
      <w:r>
        <w:rPr>
          <w:rFonts w:ascii="宋体" w:hAnsi="宋体" w:hint="eastAsia"/>
        </w:rPr>
        <w:t>～</w:t>
      </w:r>
      <w:r>
        <w:rPr>
          <w:rFonts w:hint="eastAsia"/>
        </w:rPr>
        <w:t>104.0%</w:t>
      </w:r>
      <w:r>
        <w:rPr>
          <w:rFonts w:hint="eastAsia"/>
        </w:rPr>
        <w:t>之间，</w:t>
      </w:r>
      <w:r>
        <w:rPr>
          <w:rFonts w:hint="eastAsia"/>
        </w:rPr>
        <w:t>RSD</w:t>
      </w:r>
      <w:r w:rsidRPr="00AD748A">
        <w:t>在</w:t>
      </w:r>
      <w:r>
        <w:rPr>
          <w:rFonts w:hint="eastAsia"/>
        </w:rPr>
        <w:t>0.94</w:t>
      </w:r>
      <w:r w:rsidRPr="00AC4352">
        <w:rPr>
          <w:rFonts w:hint="eastAsia"/>
        </w:rPr>
        <w:t>%</w:t>
      </w:r>
      <w:r w:rsidRPr="00AC4352">
        <w:t>~</w:t>
      </w:r>
      <w:r>
        <w:rPr>
          <w:rFonts w:hint="eastAsia"/>
        </w:rPr>
        <w:t>3.44</w:t>
      </w:r>
      <w:r w:rsidRPr="00AC4352">
        <w:rPr>
          <w:rFonts w:hint="eastAsia"/>
        </w:rPr>
        <w:t>%</w:t>
      </w:r>
      <w:r w:rsidRPr="00AD748A">
        <w:t>之间，</w:t>
      </w:r>
      <w:r w:rsidRPr="002F4C4A">
        <w:rPr>
          <w:color w:val="000000"/>
          <w:szCs w:val="21"/>
        </w:rPr>
        <w:t>精密度、准确度</w:t>
      </w:r>
      <w:r>
        <w:rPr>
          <w:rFonts w:hint="eastAsia"/>
          <w:color w:val="000000"/>
          <w:szCs w:val="21"/>
        </w:rPr>
        <w:t>的</w:t>
      </w:r>
      <w:r w:rsidRPr="002F4C4A">
        <w:rPr>
          <w:color w:val="000000"/>
          <w:szCs w:val="21"/>
        </w:rPr>
        <w:t>结果</w:t>
      </w:r>
      <w:r>
        <w:rPr>
          <w:rFonts w:hint="eastAsia"/>
          <w:color w:val="000000"/>
          <w:szCs w:val="21"/>
        </w:rPr>
        <w:t>好</w:t>
      </w:r>
      <w:r w:rsidRPr="002F4C4A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参与起草工作的验证单位也得出了相同的结论。一验单位的</w:t>
      </w:r>
      <w:r w:rsidRPr="002F4C4A">
        <w:rPr>
          <w:color w:val="000000"/>
          <w:szCs w:val="21"/>
        </w:rPr>
        <w:t>加标回收</w:t>
      </w:r>
      <w:r>
        <w:rPr>
          <w:rFonts w:hint="eastAsia"/>
          <w:color w:val="000000"/>
          <w:szCs w:val="21"/>
        </w:rPr>
        <w:t>和</w:t>
      </w:r>
      <w:r w:rsidRPr="002F4C4A">
        <w:rPr>
          <w:color w:val="000000"/>
          <w:szCs w:val="21"/>
        </w:rPr>
        <w:t>精密度实验</w:t>
      </w:r>
      <w:r>
        <w:rPr>
          <w:rFonts w:hint="eastAsia"/>
          <w:color w:val="000000"/>
          <w:szCs w:val="21"/>
        </w:rPr>
        <w:t>结果分别为：</w:t>
      </w:r>
      <w:r w:rsidRPr="00EB633B">
        <w:rPr>
          <w:rFonts w:hint="eastAsia"/>
          <w:color w:val="000000"/>
          <w:szCs w:val="21"/>
        </w:rPr>
        <w:t>广东省工业分析检测中心</w:t>
      </w:r>
      <w:r>
        <w:rPr>
          <w:rFonts w:hint="eastAsia"/>
          <w:color w:val="000000"/>
          <w:szCs w:val="21"/>
        </w:rPr>
        <w:t>的加标回收率在</w:t>
      </w:r>
      <w:r w:rsidRPr="00EB633B">
        <w:rPr>
          <w:rFonts w:hint="eastAsia"/>
          <w:color w:val="000000"/>
          <w:szCs w:val="21"/>
        </w:rPr>
        <w:t>96.1</w:t>
      </w:r>
      <w:r>
        <w:rPr>
          <w:rFonts w:hint="eastAsia"/>
          <w:color w:val="000000"/>
          <w:szCs w:val="21"/>
        </w:rPr>
        <w:t>%</w:t>
      </w:r>
      <w:r w:rsidRPr="00EB633B">
        <w:rPr>
          <w:rFonts w:hint="eastAsia"/>
          <w:color w:val="000000"/>
          <w:szCs w:val="21"/>
        </w:rPr>
        <w:t>～</w:t>
      </w:r>
      <w:r w:rsidRPr="00EB633B">
        <w:rPr>
          <w:rFonts w:hint="eastAsia"/>
          <w:color w:val="000000"/>
          <w:szCs w:val="21"/>
        </w:rPr>
        <w:t>103.7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之间、</w:t>
      </w:r>
      <w:r>
        <w:rPr>
          <w:rFonts w:hint="eastAsia"/>
          <w:color w:val="000000"/>
          <w:szCs w:val="21"/>
        </w:rPr>
        <w:t>RSD</w:t>
      </w:r>
      <w:r>
        <w:rPr>
          <w:rFonts w:hint="eastAsia"/>
          <w:color w:val="000000"/>
          <w:szCs w:val="21"/>
        </w:rPr>
        <w:t>为</w:t>
      </w:r>
      <w:r w:rsidRPr="00EB633B">
        <w:rPr>
          <w:rFonts w:hint="eastAsia"/>
          <w:color w:val="000000"/>
          <w:szCs w:val="21"/>
        </w:rPr>
        <w:t>0.77</w:t>
      </w:r>
      <w:r>
        <w:rPr>
          <w:rFonts w:hint="eastAsia"/>
          <w:color w:val="000000"/>
          <w:szCs w:val="21"/>
        </w:rPr>
        <w:t>%</w:t>
      </w:r>
      <w:r w:rsidRPr="00EB633B">
        <w:rPr>
          <w:rFonts w:hint="eastAsia"/>
          <w:color w:val="000000"/>
          <w:szCs w:val="21"/>
        </w:rPr>
        <w:t>～</w:t>
      </w:r>
      <w:r w:rsidRPr="00EB633B">
        <w:rPr>
          <w:rFonts w:hint="eastAsia"/>
          <w:color w:val="000000"/>
          <w:szCs w:val="21"/>
        </w:rPr>
        <w:t>2.36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 w:rsidRPr="00EB633B">
        <w:rPr>
          <w:rFonts w:hint="eastAsia"/>
          <w:color w:val="000000"/>
          <w:szCs w:val="21"/>
        </w:rPr>
        <w:t>北矿检测技术有限公司</w:t>
      </w:r>
      <w:r>
        <w:rPr>
          <w:rFonts w:hint="eastAsia"/>
          <w:color w:val="000000"/>
          <w:szCs w:val="21"/>
        </w:rPr>
        <w:t>的加标回收率在</w:t>
      </w:r>
      <w:r w:rsidRPr="00EB633B">
        <w:rPr>
          <w:rFonts w:hint="eastAsia"/>
          <w:color w:val="000000"/>
          <w:szCs w:val="21"/>
        </w:rPr>
        <w:t>95.1</w:t>
      </w:r>
      <w:r>
        <w:rPr>
          <w:rFonts w:hint="eastAsia"/>
          <w:color w:val="000000"/>
          <w:szCs w:val="21"/>
        </w:rPr>
        <w:t>%</w:t>
      </w:r>
      <w:r w:rsidRPr="00EB633B">
        <w:rPr>
          <w:rFonts w:hint="eastAsia"/>
          <w:color w:val="000000"/>
          <w:szCs w:val="21"/>
        </w:rPr>
        <w:t>～</w:t>
      </w:r>
      <w:r w:rsidRPr="00EB633B">
        <w:rPr>
          <w:rFonts w:hint="eastAsia"/>
          <w:color w:val="000000"/>
          <w:szCs w:val="21"/>
        </w:rPr>
        <w:t>103.3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之间、</w:t>
      </w:r>
      <w:r>
        <w:rPr>
          <w:rFonts w:hint="eastAsia"/>
          <w:color w:val="000000"/>
          <w:szCs w:val="21"/>
        </w:rPr>
        <w:t>RSD</w:t>
      </w:r>
      <w:r>
        <w:rPr>
          <w:rFonts w:hint="eastAsia"/>
          <w:color w:val="000000"/>
          <w:szCs w:val="21"/>
        </w:rPr>
        <w:t>为</w:t>
      </w:r>
      <w:r w:rsidRPr="00EB633B">
        <w:rPr>
          <w:rFonts w:hint="eastAsia"/>
          <w:color w:val="000000"/>
          <w:szCs w:val="21"/>
        </w:rPr>
        <w:t>0.53</w:t>
      </w:r>
      <w:r>
        <w:rPr>
          <w:rFonts w:hint="eastAsia"/>
          <w:color w:val="000000"/>
          <w:szCs w:val="21"/>
        </w:rPr>
        <w:t>%</w:t>
      </w:r>
      <w:r w:rsidRPr="00EB633B">
        <w:rPr>
          <w:rFonts w:hint="eastAsia"/>
          <w:color w:val="000000"/>
          <w:szCs w:val="21"/>
        </w:rPr>
        <w:t>～</w:t>
      </w:r>
      <w:r w:rsidRPr="00EB633B">
        <w:rPr>
          <w:rFonts w:hint="eastAsia"/>
          <w:color w:val="000000"/>
          <w:szCs w:val="21"/>
        </w:rPr>
        <w:t>1.48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 w:rsidRPr="00EB633B">
        <w:rPr>
          <w:rFonts w:hint="eastAsia"/>
          <w:color w:val="000000"/>
          <w:szCs w:val="21"/>
        </w:rPr>
        <w:t>南通海关综合技术中心</w:t>
      </w:r>
      <w:r>
        <w:rPr>
          <w:rFonts w:hint="eastAsia"/>
          <w:color w:val="000000"/>
          <w:szCs w:val="21"/>
        </w:rPr>
        <w:t>的加标回收率在</w:t>
      </w:r>
      <w:r w:rsidRPr="00EB633B">
        <w:rPr>
          <w:rFonts w:hint="eastAsia"/>
          <w:color w:val="000000"/>
          <w:szCs w:val="21"/>
        </w:rPr>
        <w:t>95.1</w:t>
      </w:r>
      <w:r>
        <w:rPr>
          <w:rFonts w:hint="eastAsia"/>
          <w:color w:val="000000"/>
          <w:szCs w:val="21"/>
        </w:rPr>
        <w:t>%</w:t>
      </w:r>
      <w:r w:rsidRPr="00EB633B">
        <w:rPr>
          <w:rFonts w:hint="eastAsia"/>
          <w:color w:val="000000"/>
          <w:szCs w:val="21"/>
        </w:rPr>
        <w:t>～</w:t>
      </w:r>
      <w:r w:rsidRPr="00EB633B">
        <w:rPr>
          <w:rFonts w:hint="eastAsia"/>
          <w:color w:val="000000"/>
          <w:szCs w:val="21"/>
        </w:rPr>
        <w:t>101.4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RSD</w:t>
      </w:r>
      <w:r>
        <w:rPr>
          <w:rFonts w:hint="eastAsia"/>
          <w:color w:val="000000"/>
          <w:szCs w:val="21"/>
        </w:rPr>
        <w:t>为</w:t>
      </w:r>
      <w:r w:rsidRPr="00EB633B">
        <w:rPr>
          <w:rFonts w:hint="eastAsia"/>
          <w:color w:val="000000"/>
          <w:szCs w:val="21"/>
        </w:rPr>
        <w:t>0.35</w:t>
      </w:r>
      <w:r>
        <w:rPr>
          <w:rFonts w:hint="eastAsia"/>
          <w:color w:val="000000"/>
          <w:szCs w:val="21"/>
        </w:rPr>
        <w:t>%</w:t>
      </w:r>
      <w:r w:rsidRPr="00EB633B">
        <w:rPr>
          <w:rFonts w:hint="eastAsia"/>
          <w:color w:val="000000"/>
          <w:szCs w:val="21"/>
        </w:rPr>
        <w:t>～</w:t>
      </w:r>
      <w:r w:rsidRPr="00EB633B">
        <w:rPr>
          <w:rFonts w:hint="eastAsia"/>
          <w:color w:val="000000"/>
          <w:szCs w:val="21"/>
        </w:rPr>
        <w:t>1.91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 w:rsidRPr="002F4C4A">
        <w:rPr>
          <w:color w:val="000000"/>
          <w:szCs w:val="21"/>
        </w:rPr>
        <w:t>精密度、准确度</w:t>
      </w:r>
      <w:r>
        <w:rPr>
          <w:rFonts w:hint="eastAsia"/>
          <w:color w:val="000000"/>
          <w:szCs w:val="21"/>
        </w:rPr>
        <w:t>均</w:t>
      </w:r>
      <w:r w:rsidRPr="002F4C4A">
        <w:rPr>
          <w:color w:val="000000"/>
          <w:szCs w:val="21"/>
        </w:rPr>
        <w:t>得到了满意的结果</w:t>
      </w:r>
      <w:r w:rsidRPr="002F4C4A">
        <w:rPr>
          <w:rFonts w:hint="eastAsia"/>
          <w:color w:val="000000"/>
          <w:szCs w:val="21"/>
        </w:rPr>
        <w:t>。</w:t>
      </w:r>
    </w:p>
    <w:p w:rsidR="006859F6" w:rsidRPr="002F4C4A" w:rsidRDefault="006859F6" w:rsidP="006859F6">
      <w:pPr>
        <w:ind w:firstLineChars="200" w:firstLine="420"/>
        <w:rPr>
          <w:color w:val="000000"/>
          <w:szCs w:val="21"/>
        </w:rPr>
      </w:pPr>
      <w:r w:rsidRPr="002F4C4A">
        <w:rPr>
          <w:color w:val="000000"/>
          <w:szCs w:val="21"/>
        </w:rPr>
        <w:t>具体实验内容详见实验报告。</w:t>
      </w:r>
    </w:p>
    <w:p w:rsidR="00DB52DC" w:rsidRPr="00187593" w:rsidRDefault="006516FC" w:rsidP="00187593">
      <w:pPr>
        <w:outlineLvl w:val="1"/>
        <w:rPr>
          <w:rFonts w:ascii="宋体" w:hAnsi="宋体"/>
          <w:b/>
        </w:rPr>
      </w:pPr>
      <w:r w:rsidRPr="00187593">
        <w:rPr>
          <w:rFonts w:ascii="宋体" w:hAnsi="宋体" w:hint="eastAsia"/>
          <w:b/>
        </w:rPr>
        <w:t>2、</w:t>
      </w:r>
      <w:r w:rsidR="003D1DE8" w:rsidRPr="00187593">
        <w:rPr>
          <w:rFonts w:ascii="宋体" w:hAnsi="宋体"/>
          <w:b/>
        </w:rPr>
        <w:t>重复性和再现性</w:t>
      </w:r>
    </w:p>
    <w:p w:rsidR="00364F1A" w:rsidRDefault="00364F1A" w:rsidP="00364F1A">
      <w:pPr>
        <w:ind w:firstLine="435"/>
        <w:rPr>
          <w:color w:val="000000"/>
          <w:szCs w:val="21"/>
        </w:rPr>
      </w:pPr>
      <w:r w:rsidRPr="0041685C">
        <w:rPr>
          <w:rFonts w:hint="eastAsia"/>
          <w:color w:val="000000"/>
          <w:szCs w:val="21"/>
        </w:rPr>
        <w:t>对测定银含量的</w:t>
      </w:r>
      <w:r w:rsidRPr="0041685C">
        <w:rPr>
          <w:rFonts w:hint="eastAsia"/>
          <w:color w:val="000000"/>
          <w:szCs w:val="21"/>
        </w:rPr>
        <w:t>4</w:t>
      </w:r>
      <w:r w:rsidRPr="0041685C">
        <w:rPr>
          <w:rFonts w:hint="eastAsia"/>
          <w:color w:val="000000"/>
          <w:szCs w:val="21"/>
        </w:rPr>
        <w:t>个镍精矿验证样品，</w:t>
      </w:r>
      <w:r w:rsidRPr="0041685C">
        <w:rPr>
          <w:rFonts w:hint="eastAsia"/>
          <w:color w:val="000000"/>
          <w:szCs w:val="21"/>
        </w:rPr>
        <w:t>16</w:t>
      </w:r>
      <w:r w:rsidRPr="0041685C">
        <w:rPr>
          <w:rFonts w:hint="eastAsia"/>
          <w:color w:val="000000"/>
          <w:szCs w:val="21"/>
        </w:rPr>
        <w:t>个实验室进行了协同试验，</w:t>
      </w:r>
      <w:r w:rsidRPr="0041685C">
        <w:rPr>
          <w:color w:val="000000"/>
          <w:szCs w:val="21"/>
        </w:rPr>
        <w:t>各实验室对每个水平报告了</w:t>
      </w:r>
      <w:r w:rsidRPr="0041685C">
        <w:rPr>
          <w:color w:val="000000"/>
          <w:szCs w:val="21"/>
        </w:rPr>
        <w:t>7~11</w:t>
      </w:r>
      <w:r w:rsidRPr="0041685C">
        <w:rPr>
          <w:color w:val="000000"/>
          <w:szCs w:val="21"/>
        </w:rPr>
        <w:t>个试验结果</w:t>
      </w:r>
      <w:r>
        <w:rPr>
          <w:rFonts w:hint="eastAsia"/>
          <w:color w:val="000000"/>
          <w:szCs w:val="21"/>
        </w:rPr>
        <w:t>，</w:t>
      </w:r>
      <w:r w:rsidRPr="0041685C">
        <w:rPr>
          <w:color w:val="000000"/>
          <w:szCs w:val="21"/>
        </w:rPr>
        <w:t>根据国家标准</w:t>
      </w:r>
      <w:r w:rsidRPr="0041685C">
        <w:rPr>
          <w:color w:val="000000"/>
          <w:szCs w:val="21"/>
        </w:rPr>
        <w:t>GB/T 6379.2-2004</w:t>
      </w:r>
      <w:r w:rsidRPr="0041685C">
        <w:rPr>
          <w:color w:val="000000"/>
          <w:szCs w:val="21"/>
        </w:rPr>
        <w:t>确定标准测量方法的重复性和再现性的基本方法（</w:t>
      </w:r>
      <w:r w:rsidRPr="0041685C">
        <w:rPr>
          <w:color w:val="000000"/>
          <w:szCs w:val="21"/>
        </w:rPr>
        <w:t>ISO 5725-2</w:t>
      </w:r>
      <w:r w:rsidRPr="0041685C">
        <w:rPr>
          <w:color w:val="000000"/>
          <w:szCs w:val="21"/>
        </w:rPr>
        <w:t>：</w:t>
      </w:r>
      <w:r w:rsidRPr="0041685C">
        <w:rPr>
          <w:color w:val="000000"/>
          <w:szCs w:val="21"/>
        </w:rPr>
        <w:t>1994</w:t>
      </w:r>
      <w:r w:rsidRPr="0041685C">
        <w:rPr>
          <w:color w:val="000000"/>
          <w:szCs w:val="21"/>
        </w:rPr>
        <w:t>，</w:t>
      </w:r>
      <w:r w:rsidRPr="0041685C">
        <w:rPr>
          <w:color w:val="000000"/>
          <w:szCs w:val="21"/>
        </w:rPr>
        <w:t>IDT</w:t>
      </w:r>
      <w:r w:rsidRPr="0041685C">
        <w:rPr>
          <w:color w:val="000000"/>
          <w:szCs w:val="21"/>
        </w:rPr>
        <w:t>）的规定，对收到的全部数据进行了统计分析</w:t>
      </w:r>
      <w:r w:rsidRPr="0041685C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平均值及标准偏差见表</w:t>
      </w:r>
      <w:r>
        <w:rPr>
          <w:rFonts w:hint="eastAsia"/>
          <w:color w:val="000000"/>
          <w:szCs w:val="21"/>
        </w:rPr>
        <w:t>1</w:t>
      </w:r>
      <w:r w:rsidRPr="0041685C">
        <w:rPr>
          <w:color w:val="000000"/>
          <w:szCs w:val="21"/>
        </w:rPr>
        <w:t>。</w:t>
      </w:r>
    </w:p>
    <w:p w:rsidR="00364F1A" w:rsidRDefault="00364F1A" w:rsidP="00364F1A">
      <w:pPr>
        <w:jc w:val="center"/>
        <w:rPr>
          <w:color w:val="000000"/>
          <w:szCs w:val="21"/>
        </w:rPr>
      </w:pPr>
      <w:r w:rsidRPr="008D461A">
        <w:rPr>
          <w:rFonts w:ascii="黑体" w:eastAsia="黑体" w:hint="eastAsia"/>
          <w:spacing w:val="8"/>
          <w:szCs w:val="21"/>
        </w:rPr>
        <w:t>表1</w:t>
      </w:r>
      <w:r>
        <w:rPr>
          <w:rFonts w:ascii="黑体" w:eastAsia="黑体" w:hint="eastAsia"/>
          <w:spacing w:val="8"/>
          <w:szCs w:val="21"/>
        </w:rPr>
        <w:t xml:space="preserve">  </w:t>
      </w:r>
      <w:r w:rsidRPr="00523617">
        <w:rPr>
          <w:rFonts w:ascii="黑体" w:eastAsia="黑体" w:hint="eastAsia"/>
          <w:spacing w:val="8"/>
          <w:szCs w:val="21"/>
        </w:rPr>
        <w:t>平均值及标准偏差</w:t>
      </w:r>
    </w:p>
    <w:tbl>
      <w:tblPr>
        <w:tblW w:w="938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567"/>
        <w:gridCol w:w="964"/>
        <w:gridCol w:w="1429"/>
        <w:gridCol w:w="1430"/>
        <w:gridCol w:w="1430"/>
        <w:gridCol w:w="1430"/>
      </w:tblGrid>
      <w:tr w:rsidR="00364F1A" w:rsidRPr="007973CB" w:rsidTr="00035692">
        <w:trPr>
          <w:trHeight w:val="233"/>
        </w:trPr>
        <w:tc>
          <w:tcPr>
            <w:tcW w:w="2699" w:type="dxa"/>
            <w:gridSpan w:val="2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7973CB">
              <w:rPr>
                <w:rFonts w:hAnsi="宋体"/>
                <w:color w:val="000000"/>
                <w:kern w:val="0"/>
                <w:sz w:val="18"/>
                <w:szCs w:val="18"/>
              </w:rPr>
              <w:t>实验室</w:t>
            </w:r>
            <w:proofErr w:type="spellStart"/>
            <w:r w:rsidRPr="007973CB">
              <w:rPr>
                <w:i/>
                <w:iCs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7973CB">
              <w:rPr>
                <w:color w:val="000000"/>
                <w:kern w:val="0"/>
                <w:sz w:val="18"/>
                <w:szCs w:val="18"/>
              </w:rPr>
              <w:t xml:space="preserve"> No.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719" w:type="dxa"/>
            <w:gridSpan w:val="4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rFonts w:hAnsi="宋体"/>
                <w:color w:val="000000"/>
                <w:kern w:val="0"/>
                <w:sz w:val="18"/>
                <w:szCs w:val="18"/>
              </w:rPr>
              <w:t>水平</w:t>
            </w:r>
            <w:r w:rsidRPr="007973CB">
              <w:rPr>
                <w:color w:val="000000"/>
                <w:kern w:val="0"/>
                <w:sz w:val="18"/>
                <w:szCs w:val="18"/>
              </w:rPr>
              <w:t xml:space="preserve">  j</w:t>
            </w:r>
          </w:p>
        </w:tc>
      </w:tr>
      <w:tr w:rsidR="00364F1A" w:rsidRPr="007973CB" w:rsidTr="00035692">
        <w:trPr>
          <w:trHeight w:val="233"/>
        </w:trPr>
        <w:tc>
          <w:tcPr>
            <w:tcW w:w="2699" w:type="dxa"/>
            <w:gridSpan w:val="2"/>
            <w:vMerge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4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lastRenderedPageBreak/>
              <w:t>金川集团股份有限公司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13.15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45.90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95.95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148.45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0.92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1.39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北矿检测技术有限公司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13.31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47.04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96.44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149.51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1.29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1.48</w:t>
            </w:r>
          </w:p>
        </w:tc>
      </w:tr>
      <w:tr w:rsidR="00364F1A" w:rsidRPr="007973CB" w:rsidTr="00035692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广东省工业分析检测中心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12.22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45.28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94.22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145.81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1.48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1.64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2.36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南通海关综合技术中心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13.63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46.88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95.18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149.83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0.35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1.91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4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兰州海关技术中心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12.37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46.67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96.42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148.31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0.60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0.90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2.17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2.19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贵州省分析测试研究院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12.90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46.24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97.26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146.71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1.14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浙江华友钴业股份有限公司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13.91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49.81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97.11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151.21</w:t>
            </w:r>
          </w:p>
        </w:tc>
      </w:tr>
      <w:tr w:rsidR="00364F1A" w:rsidRPr="007973CB" w:rsidTr="00035692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0.60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0.63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2.81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连云港海关综合技术中心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12.60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46.37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96.42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149.38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0.81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0.87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山东恒邦冶炼股份有限公司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47.36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96.92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149.22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0.81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1.85</w:t>
            </w:r>
          </w:p>
        </w:tc>
      </w:tr>
      <w:tr w:rsidR="00364F1A" w:rsidRPr="007973CB" w:rsidTr="00035692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国标（北京）检验认证有限公司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13.48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50.78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102.35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150.66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1.23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2.43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2.59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12.73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49.42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99.10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151.15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1.89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2.13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4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深圳市中金岭南有色金属股份有限公司凡口铅锌矿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48.09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96.64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147.53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0.31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1.14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长沙矿冶研究院有限责任公司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13.47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46.79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97.34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151.36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0.34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0.66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1.16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rFonts w:hAnsi="宋体"/>
                <w:color w:val="000000"/>
                <w:kern w:val="0"/>
                <w:sz w:val="18"/>
                <w:szCs w:val="18"/>
              </w:rPr>
              <w:t>中国检验认证集团广西有限公司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12.34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44.70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96.43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147.79</w:t>
            </w:r>
          </w:p>
        </w:tc>
      </w:tr>
      <w:tr w:rsidR="00364F1A" w:rsidRPr="007973CB" w:rsidTr="00035692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1.20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白银有色集团股份有限公司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13.16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46.43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97.06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147.14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2.05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1.52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2.61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中国有色桂林矿产地质研究院有限公司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11.12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46.75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96.64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151.74</w:t>
            </w:r>
          </w:p>
        </w:tc>
      </w:tr>
      <w:tr w:rsidR="00364F1A" w:rsidRPr="007973CB" w:rsidTr="00035692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0.39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0.27</w:t>
            </w:r>
          </w:p>
        </w:tc>
      </w:tr>
      <w:tr w:rsidR="00364F1A" w:rsidRPr="007973CB" w:rsidTr="00035692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4F1A" w:rsidRPr="007973CB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</w:tbl>
    <w:p w:rsidR="00364F1A" w:rsidRDefault="00364F1A" w:rsidP="006F5F5C">
      <w:pPr>
        <w:jc w:val="right"/>
        <w:rPr>
          <w:rFonts w:ascii="黑体" w:eastAsia="黑体"/>
          <w:spacing w:val="8"/>
          <w:szCs w:val="21"/>
        </w:rPr>
      </w:pPr>
    </w:p>
    <w:p w:rsidR="00DB52DC" w:rsidRDefault="006516FC" w:rsidP="00187593">
      <w:pPr>
        <w:outlineLvl w:val="2"/>
        <w:rPr>
          <w:b/>
          <w:spacing w:val="8"/>
          <w:szCs w:val="21"/>
        </w:rPr>
      </w:pPr>
      <w:r>
        <w:rPr>
          <w:rFonts w:hint="eastAsia"/>
          <w:b/>
          <w:spacing w:val="8"/>
          <w:szCs w:val="21"/>
        </w:rPr>
        <w:t>2</w:t>
      </w:r>
      <w:r w:rsidR="003D1DE8" w:rsidRPr="00AC3D2C">
        <w:rPr>
          <w:rFonts w:hint="eastAsia"/>
          <w:b/>
          <w:spacing w:val="8"/>
          <w:szCs w:val="21"/>
        </w:rPr>
        <w:t xml:space="preserve">.1 </w:t>
      </w:r>
      <w:r w:rsidR="003D1DE8" w:rsidRPr="00AC3D2C">
        <w:rPr>
          <w:rFonts w:hint="eastAsia"/>
          <w:b/>
          <w:spacing w:val="8"/>
          <w:szCs w:val="21"/>
        </w:rPr>
        <w:t>实验室内数据的检验</w:t>
      </w:r>
    </w:p>
    <w:p w:rsidR="00364F1A" w:rsidRPr="00364F1A" w:rsidRDefault="00364F1A" w:rsidP="00364F1A">
      <w:pPr>
        <w:ind w:firstLineChars="200" w:firstLine="452"/>
        <w:rPr>
          <w:spacing w:val="8"/>
          <w:szCs w:val="21"/>
        </w:rPr>
      </w:pPr>
      <w:r w:rsidRPr="00364F1A">
        <w:rPr>
          <w:spacing w:val="8"/>
          <w:szCs w:val="21"/>
        </w:rPr>
        <w:t>对各实验室内每个水平的数据进行格拉布斯检验，防止一个实验室内较高的变异来自某一个数据，经检验浙江华友</w:t>
      </w:r>
      <w:r w:rsidRPr="00364F1A">
        <w:rPr>
          <w:rFonts w:hint="eastAsia"/>
          <w:spacing w:val="8"/>
          <w:szCs w:val="21"/>
        </w:rPr>
        <w:t>在</w:t>
      </w:r>
      <w:r w:rsidRPr="00364F1A">
        <w:rPr>
          <w:spacing w:val="8"/>
          <w:szCs w:val="21"/>
        </w:rPr>
        <w:t>水平</w:t>
      </w:r>
      <w:r w:rsidRPr="00364F1A">
        <w:rPr>
          <w:spacing w:val="8"/>
          <w:szCs w:val="21"/>
        </w:rPr>
        <w:t>2</w:t>
      </w:r>
      <w:r w:rsidRPr="00364F1A">
        <w:rPr>
          <w:spacing w:val="8"/>
          <w:szCs w:val="21"/>
        </w:rPr>
        <w:t>的最小值</w:t>
      </w:r>
      <w:r w:rsidRPr="00364F1A">
        <w:rPr>
          <w:spacing w:val="8"/>
          <w:szCs w:val="21"/>
        </w:rPr>
        <w:t>48.51</w:t>
      </w:r>
      <w:r w:rsidRPr="00364F1A">
        <w:rPr>
          <w:spacing w:val="8"/>
          <w:szCs w:val="21"/>
        </w:rPr>
        <w:t>为离群值，剔除，其余实验室内数据无异常值。</w:t>
      </w:r>
    </w:p>
    <w:p w:rsidR="00DB52DC" w:rsidRPr="00AC3D2C" w:rsidRDefault="006516FC" w:rsidP="00187593">
      <w:pPr>
        <w:outlineLvl w:val="2"/>
        <w:rPr>
          <w:b/>
          <w:spacing w:val="8"/>
          <w:szCs w:val="21"/>
        </w:rPr>
      </w:pPr>
      <w:r>
        <w:rPr>
          <w:rFonts w:hint="eastAsia"/>
          <w:b/>
          <w:spacing w:val="8"/>
          <w:szCs w:val="21"/>
        </w:rPr>
        <w:t>2</w:t>
      </w:r>
      <w:r w:rsidR="003D1DE8" w:rsidRPr="00AC3D2C">
        <w:rPr>
          <w:rFonts w:hint="eastAsia"/>
          <w:b/>
          <w:spacing w:val="8"/>
          <w:szCs w:val="21"/>
        </w:rPr>
        <w:t>.</w:t>
      </w:r>
      <w:r w:rsidR="003D1DE8" w:rsidRPr="00AC3D2C">
        <w:rPr>
          <w:b/>
          <w:spacing w:val="8"/>
          <w:szCs w:val="21"/>
        </w:rPr>
        <w:t>2</w:t>
      </w:r>
      <w:r w:rsidR="003D1DE8" w:rsidRPr="00AC3D2C">
        <w:rPr>
          <w:rFonts w:hint="eastAsia"/>
          <w:b/>
          <w:spacing w:val="8"/>
          <w:szCs w:val="21"/>
        </w:rPr>
        <w:t xml:space="preserve"> </w:t>
      </w:r>
      <w:r w:rsidR="003D1DE8" w:rsidRPr="00AC3D2C">
        <w:rPr>
          <w:rFonts w:hint="eastAsia"/>
          <w:b/>
          <w:spacing w:val="8"/>
          <w:szCs w:val="21"/>
        </w:rPr>
        <w:t>柯克伦检验</w:t>
      </w:r>
    </w:p>
    <w:p w:rsidR="00364F1A" w:rsidRDefault="00364F1A" w:rsidP="00364F1A">
      <w:pPr>
        <w:ind w:firstLineChars="200" w:firstLine="420"/>
        <w:rPr>
          <w:color w:val="000000"/>
          <w:szCs w:val="21"/>
        </w:rPr>
      </w:pPr>
      <w:r w:rsidRPr="0041685C">
        <w:rPr>
          <w:color w:val="000000"/>
          <w:szCs w:val="21"/>
        </w:rPr>
        <w:t>对各实验室每个水平的标准偏差</w:t>
      </w:r>
      <w:r w:rsidRPr="0041685C">
        <w:rPr>
          <w:color w:val="000000"/>
          <w:szCs w:val="21"/>
        </w:rPr>
        <w:t>s</w:t>
      </w:r>
      <w:r w:rsidRPr="0041685C">
        <w:rPr>
          <w:color w:val="000000"/>
          <w:szCs w:val="21"/>
        </w:rPr>
        <w:t>进行柯克伦检验，离群值用</w:t>
      </w:r>
      <w:r w:rsidRPr="0041685C">
        <w:rPr>
          <w:color w:val="000000"/>
          <w:szCs w:val="21"/>
        </w:rPr>
        <w:t>**</w:t>
      </w:r>
      <w:r w:rsidRPr="0041685C">
        <w:rPr>
          <w:rFonts w:hint="eastAsia"/>
          <w:color w:val="000000"/>
          <w:szCs w:val="21"/>
        </w:rPr>
        <w:t>标出、</w:t>
      </w:r>
      <w:proofErr w:type="gramStart"/>
      <w:r w:rsidRPr="0041685C">
        <w:rPr>
          <w:rFonts w:hint="eastAsia"/>
          <w:color w:val="000000"/>
          <w:szCs w:val="21"/>
        </w:rPr>
        <w:t>岐</w:t>
      </w:r>
      <w:proofErr w:type="gramEnd"/>
      <w:r w:rsidRPr="0041685C">
        <w:rPr>
          <w:rFonts w:hint="eastAsia"/>
          <w:color w:val="000000"/>
          <w:szCs w:val="21"/>
        </w:rPr>
        <w:t>离值用</w:t>
      </w:r>
      <w:r w:rsidRPr="0041685C">
        <w:rPr>
          <w:color w:val="000000"/>
          <w:szCs w:val="21"/>
        </w:rPr>
        <w:t>*</w:t>
      </w:r>
      <w:r w:rsidRPr="0041685C">
        <w:rPr>
          <w:rFonts w:hint="eastAsia"/>
          <w:color w:val="000000"/>
          <w:szCs w:val="21"/>
        </w:rPr>
        <w:t>标出。检验结</w:t>
      </w:r>
      <w:r w:rsidRPr="0041685C">
        <w:rPr>
          <w:rFonts w:hint="eastAsia"/>
          <w:color w:val="000000"/>
          <w:szCs w:val="21"/>
        </w:rPr>
        <w:lastRenderedPageBreak/>
        <w:t>果</w:t>
      </w:r>
      <w:r w:rsidRPr="0041685C">
        <w:rPr>
          <w:color w:val="000000"/>
          <w:szCs w:val="21"/>
        </w:rPr>
        <w:t>见表</w:t>
      </w:r>
      <w:r>
        <w:rPr>
          <w:rFonts w:hint="eastAsia"/>
          <w:color w:val="000000"/>
          <w:szCs w:val="21"/>
        </w:rPr>
        <w:t>2</w:t>
      </w:r>
      <w:r w:rsidRPr="0041685C">
        <w:rPr>
          <w:color w:val="000000"/>
          <w:szCs w:val="21"/>
        </w:rPr>
        <w:t>。</w:t>
      </w:r>
    </w:p>
    <w:p w:rsidR="00364F1A" w:rsidRPr="008D461A" w:rsidRDefault="00364F1A" w:rsidP="00364F1A">
      <w:pPr>
        <w:ind w:firstLine="435"/>
        <w:jc w:val="center"/>
        <w:rPr>
          <w:rFonts w:ascii="黑体" w:eastAsia="黑体"/>
          <w:spacing w:val="8"/>
          <w:szCs w:val="21"/>
        </w:rPr>
      </w:pPr>
      <w:r w:rsidRPr="008D461A">
        <w:rPr>
          <w:rFonts w:ascii="黑体" w:eastAsia="黑体" w:hint="eastAsia"/>
          <w:spacing w:val="8"/>
          <w:szCs w:val="21"/>
        </w:rPr>
        <w:t>表</w:t>
      </w:r>
      <w:r>
        <w:rPr>
          <w:rFonts w:ascii="黑体" w:eastAsia="黑体" w:hint="eastAsia"/>
          <w:spacing w:val="8"/>
          <w:szCs w:val="21"/>
        </w:rPr>
        <w:t>2</w:t>
      </w:r>
      <w:r w:rsidRPr="008D461A">
        <w:rPr>
          <w:rFonts w:ascii="黑体" w:eastAsia="黑体" w:hint="eastAsia"/>
          <w:spacing w:val="8"/>
          <w:szCs w:val="21"/>
        </w:rPr>
        <w:t xml:space="preserve">   柯克伦检验结果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1364"/>
        <w:gridCol w:w="822"/>
        <w:gridCol w:w="1559"/>
        <w:gridCol w:w="1559"/>
        <w:gridCol w:w="1559"/>
        <w:gridCol w:w="1561"/>
      </w:tblGrid>
      <w:tr w:rsidR="00364F1A" w:rsidRPr="004C38B5" w:rsidTr="00CA03FC">
        <w:trPr>
          <w:trHeight w:val="116"/>
          <w:jc w:val="center"/>
        </w:trPr>
        <w:tc>
          <w:tcPr>
            <w:tcW w:w="2149" w:type="dxa"/>
            <w:gridSpan w:val="2"/>
            <w:vMerge w:val="restart"/>
            <w:shd w:val="clear" w:color="auto" w:fill="auto"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No. </w:t>
            </w:r>
            <w:proofErr w:type="spellStart"/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236" w:type="dxa"/>
            <w:gridSpan w:val="4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 j</w:t>
            </w:r>
          </w:p>
        </w:tc>
      </w:tr>
      <w:tr w:rsidR="00364F1A" w:rsidRPr="004C38B5" w:rsidTr="00CA03FC">
        <w:trPr>
          <w:trHeight w:val="111"/>
          <w:jc w:val="center"/>
        </w:trPr>
        <w:tc>
          <w:tcPr>
            <w:tcW w:w="2149" w:type="dxa"/>
            <w:gridSpan w:val="2"/>
            <w:vMerge/>
            <w:shd w:val="clear" w:color="auto" w:fill="auto"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各实验室测定结果标准偏差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金川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1.39</w:t>
            </w:r>
          </w:p>
        </w:tc>
      </w:tr>
      <w:tr w:rsidR="00364F1A" w:rsidRPr="004C38B5" w:rsidTr="00CA03FC">
        <w:trPr>
          <w:trHeight w:val="74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北矿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1.48</w:t>
            </w:r>
          </w:p>
        </w:tc>
      </w:tr>
      <w:tr w:rsidR="00364F1A" w:rsidRPr="004C38B5" w:rsidTr="00CA03FC">
        <w:trPr>
          <w:trHeight w:val="12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广东测试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2.36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南通海关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1.91</w:t>
            </w:r>
          </w:p>
        </w:tc>
      </w:tr>
      <w:tr w:rsidR="00364F1A" w:rsidRPr="004C38B5" w:rsidTr="00CA03FC">
        <w:trPr>
          <w:trHeight w:val="56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兰州海关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2.19</w:t>
            </w:r>
          </w:p>
        </w:tc>
      </w:tr>
      <w:tr w:rsidR="00364F1A" w:rsidRPr="004C38B5" w:rsidTr="00CA03FC">
        <w:trPr>
          <w:trHeight w:val="101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贵州测试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1.14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浙江华友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2.81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山东恒</w:t>
            </w:r>
            <w:proofErr w:type="gramStart"/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邦</w:t>
            </w:r>
            <w:proofErr w:type="gramEnd"/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0.51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1.85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国标北京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2.43*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2.59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紫金矿业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1.89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2.13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凡口铅锌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1.14</w:t>
            </w:r>
          </w:p>
        </w:tc>
      </w:tr>
      <w:tr w:rsidR="00364F1A" w:rsidRPr="004C38B5" w:rsidTr="00CA03FC">
        <w:trPr>
          <w:trHeight w:val="25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长沙矿冶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0.66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1.16</w:t>
            </w:r>
          </w:p>
        </w:tc>
      </w:tr>
      <w:tr w:rsidR="00364F1A" w:rsidRPr="004C38B5" w:rsidTr="00CA03FC">
        <w:trPr>
          <w:trHeight w:val="116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中检广西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0.73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1.20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白银有色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2.05**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1.52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2.61</w:t>
            </w:r>
          </w:p>
        </w:tc>
      </w:tr>
      <w:tr w:rsidR="00364F1A" w:rsidRPr="004C38B5" w:rsidTr="00CA03FC">
        <w:trPr>
          <w:trHeight w:val="193"/>
          <w:jc w:val="center"/>
        </w:trPr>
        <w:tc>
          <w:tcPr>
            <w:tcW w:w="785" w:type="dxa"/>
            <w:vMerge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桂林矿产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0.39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64F1A" w:rsidRPr="004C38B5" w:rsidTr="00CA03FC">
        <w:trPr>
          <w:trHeight w:val="83"/>
          <w:jc w:val="center"/>
        </w:trPr>
        <w:tc>
          <w:tcPr>
            <w:tcW w:w="2971" w:type="dxa"/>
            <w:gridSpan w:val="3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max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（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s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2.05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2.43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2.81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2971" w:type="dxa"/>
            <w:gridSpan w:val="3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max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（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s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0.592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4.202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5.905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7.894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2971" w:type="dxa"/>
            <w:gridSpan w:val="3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S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的和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3.768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16.506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28.259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53.736</w:t>
            </w:r>
          </w:p>
        </w:tc>
      </w:tr>
      <w:tr w:rsidR="00364F1A" w:rsidRPr="004C38B5" w:rsidTr="00CA03FC">
        <w:trPr>
          <w:trHeight w:val="50"/>
          <w:jc w:val="center"/>
        </w:trPr>
        <w:tc>
          <w:tcPr>
            <w:tcW w:w="2971" w:type="dxa"/>
            <w:gridSpan w:val="3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0.157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0.255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0.209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0.147</w:t>
            </w:r>
          </w:p>
        </w:tc>
      </w:tr>
    </w:tbl>
    <w:p w:rsidR="00364F1A" w:rsidRPr="008D461A" w:rsidRDefault="00364F1A" w:rsidP="00364F1A">
      <w:pPr>
        <w:ind w:firstLine="435"/>
        <w:rPr>
          <w:spacing w:val="8"/>
          <w:szCs w:val="21"/>
        </w:rPr>
      </w:pPr>
      <w:r w:rsidRPr="008D461A">
        <w:rPr>
          <w:spacing w:val="8"/>
          <w:szCs w:val="21"/>
        </w:rPr>
        <w:t>各实验室提供的数据有</w:t>
      </w:r>
      <w:r w:rsidRPr="008D461A">
        <w:rPr>
          <w:spacing w:val="8"/>
          <w:szCs w:val="21"/>
        </w:rPr>
        <w:t>7</w:t>
      </w:r>
      <w:r w:rsidRPr="008D461A">
        <w:rPr>
          <w:spacing w:val="8"/>
          <w:szCs w:val="21"/>
        </w:rPr>
        <w:t>次（</w:t>
      </w:r>
      <w:r w:rsidRPr="008D461A">
        <w:rPr>
          <w:spacing w:val="8"/>
          <w:szCs w:val="21"/>
        </w:rPr>
        <w:t>2</w:t>
      </w:r>
      <w:r w:rsidRPr="008D461A">
        <w:rPr>
          <w:spacing w:val="8"/>
          <w:szCs w:val="21"/>
        </w:rPr>
        <w:t>家）、</w:t>
      </w:r>
      <w:r w:rsidRPr="008D461A">
        <w:rPr>
          <w:spacing w:val="8"/>
          <w:szCs w:val="21"/>
        </w:rPr>
        <w:t>9</w:t>
      </w:r>
      <w:r w:rsidRPr="008D461A">
        <w:rPr>
          <w:spacing w:val="8"/>
          <w:szCs w:val="21"/>
        </w:rPr>
        <w:t>次（</w:t>
      </w:r>
      <w:r w:rsidRPr="008D461A">
        <w:rPr>
          <w:spacing w:val="8"/>
          <w:szCs w:val="21"/>
        </w:rPr>
        <w:t>1</w:t>
      </w:r>
      <w:r w:rsidRPr="008D461A">
        <w:rPr>
          <w:spacing w:val="8"/>
          <w:szCs w:val="21"/>
        </w:rPr>
        <w:t>家）和</w:t>
      </w:r>
      <w:r w:rsidRPr="008D461A">
        <w:rPr>
          <w:spacing w:val="8"/>
          <w:szCs w:val="21"/>
        </w:rPr>
        <w:t>11</w:t>
      </w:r>
      <w:r w:rsidRPr="008D461A">
        <w:rPr>
          <w:spacing w:val="8"/>
          <w:szCs w:val="21"/>
        </w:rPr>
        <w:t>次（</w:t>
      </w:r>
      <w:r w:rsidRPr="008D461A">
        <w:rPr>
          <w:spacing w:val="8"/>
          <w:szCs w:val="21"/>
        </w:rPr>
        <w:t>13</w:t>
      </w:r>
      <w:r w:rsidRPr="008D461A">
        <w:rPr>
          <w:spacing w:val="8"/>
          <w:szCs w:val="21"/>
        </w:rPr>
        <w:t>家），因</w:t>
      </w:r>
      <w:r w:rsidRPr="008D461A">
        <w:rPr>
          <w:spacing w:val="8"/>
          <w:szCs w:val="21"/>
        </w:rPr>
        <w:t>GB/T 6379.2-2004</w:t>
      </w:r>
      <w:r w:rsidRPr="008D461A">
        <w:rPr>
          <w:spacing w:val="8"/>
          <w:szCs w:val="21"/>
        </w:rPr>
        <w:t>只提供到</w:t>
      </w:r>
      <w:r w:rsidRPr="008D461A">
        <w:rPr>
          <w:spacing w:val="8"/>
          <w:szCs w:val="21"/>
        </w:rPr>
        <w:t>n=6</w:t>
      </w:r>
      <w:r w:rsidRPr="008D461A">
        <w:rPr>
          <w:spacing w:val="8"/>
          <w:szCs w:val="21"/>
        </w:rPr>
        <w:t>的</w:t>
      </w:r>
      <w:r w:rsidRPr="008D461A">
        <w:rPr>
          <w:spacing w:val="8"/>
          <w:szCs w:val="21"/>
        </w:rPr>
        <w:t>C</w:t>
      </w:r>
      <w:r w:rsidRPr="008D461A">
        <w:rPr>
          <w:spacing w:val="8"/>
          <w:szCs w:val="21"/>
        </w:rPr>
        <w:t>临界值，因此采用</w:t>
      </w:r>
      <w:r w:rsidRPr="008D461A">
        <w:rPr>
          <w:spacing w:val="8"/>
          <w:szCs w:val="21"/>
        </w:rPr>
        <w:t>C</w:t>
      </w:r>
      <w:r w:rsidRPr="008D461A">
        <w:rPr>
          <w:spacing w:val="8"/>
          <w:szCs w:val="21"/>
        </w:rPr>
        <w:t>临界值为</w:t>
      </w:r>
      <w:r w:rsidRPr="008D461A">
        <w:rPr>
          <w:spacing w:val="8"/>
          <w:szCs w:val="21"/>
        </w:rPr>
        <w:t>n=6</w:t>
      </w:r>
      <w:r w:rsidRPr="008D461A">
        <w:rPr>
          <w:spacing w:val="8"/>
          <w:szCs w:val="21"/>
        </w:rPr>
        <w:t>，</w:t>
      </w:r>
      <w:r w:rsidRPr="008D461A">
        <w:rPr>
          <w:spacing w:val="8"/>
          <w:szCs w:val="21"/>
        </w:rPr>
        <w:t>p=16</w:t>
      </w:r>
      <w:r w:rsidRPr="008D461A">
        <w:rPr>
          <w:spacing w:val="8"/>
          <w:szCs w:val="21"/>
        </w:rPr>
        <w:t>，</w:t>
      </w:r>
      <w:r w:rsidRPr="008D461A">
        <w:rPr>
          <w:spacing w:val="8"/>
          <w:szCs w:val="21"/>
        </w:rPr>
        <w:t>1%</w:t>
      </w:r>
      <w:r w:rsidRPr="008D461A">
        <w:rPr>
          <w:spacing w:val="8"/>
          <w:szCs w:val="21"/>
        </w:rPr>
        <w:t>为</w:t>
      </w:r>
      <w:r w:rsidRPr="008D461A">
        <w:rPr>
          <w:spacing w:val="8"/>
          <w:szCs w:val="21"/>
        </w:rPr>
        <w:t>0.246</w:t>
      </w:r>
      <w:r w:rsidRPr="008D461A">
        <w:rPr>
          <w:spacing w:val="8"/>
          <w:szCs w:val="21"/>
        </w:rPr>
        <w:t>，</w:t>
      </w:r>
      <w:r w:rsidRPr="008D461A">
        <w:rPr>
          <w:spacing w:val="8"/>
          <w:szCs w:val="21"/>
        </w:rPr>
        <w:t>5%</w:t>
      </w:r>
      <w:r w:rsidRPr="008D461A">
        <w:rPr>
          <w:spacing w:val="8"/>
          <w:szCs w:val="21"/>
        </w:rPr>
        <w:t>为</w:t>
      </w:r>
      <w:r w:rsidRPr="008D461A">
        <w:rPr>
          <w:spacing w:val="8"/>
          <w:szCs w:val="21"/>
        </w:rPr>
        <w:t>0.208</w:t>
      </w:r>
      <w:r w:rsidRPr="008D461A">
        <w:rPr>
          <w:spacing w:val="8"/>
          <w:szCs w:val="21"/>
        </w:rPr>
        <w:t>进行检验。检验结果为：水平</w:t>
      </w:r>
      <w:r w:rsidRPr="008D461A">
        <w:rPr>
          <w:spacing w:val="8"/>
          <w:szCs w:val="21"/>
        </w:rPr>
        <w:t>2</w:t>
      </w:r>
      <w:r w:rsidRPr="008D461A">
        <w:rPr>
          <w:spacing w:val="8"/>
          <w:szCs w:val="21"/>
        </w:rPr>
        <w:t>的实验室</w:t>
      </w:r>
      <w:r w:rsidRPr="008D461A">
        <w:rPr>
          <w:spacing w:val="8"/>
          <w:szCs w:val="21"/>
        </w:rPr>
        <w:t>15</w:t>
      </w:r>
      <w:r w:rsidRPr="008D461A">
        <w:rPr>
          <w:spacing w:val="8"/>
          <w:szCs w:val="21"/>
        </w:rPr>
        <w:t>为离群值（</w:t>
      </w:r>
      <w:r w:rsidRPr="008D461A">
        <w:rPr>
          <w:spacing w:val="8"/>
          <w:szCs w:val="21"/>
        </w:rPr>
        <w:t>**</w:t>
      </w:r>
      <w:r w:rsidRPr="008D461A">
        <w:rPr>
          <w:spacing w:val="8"/>
          <w:szCs w:val="21"/>
        </w:rPr>
        <w:t>），剔除；水平</w:t>
      </w:r>
      <w:r w:rsidRPr="008D461A">
        <w:rPr>
          <w:spacing w:val="8"/>
          <w:szCs w:val="21"/>
        </w:rPr>
        <w:t>3</w:t>
      </w:r>
      <w:r w:rsidRPr="008D461A">
        <w:rPr>
          <w:spacing w:val="8"/>
          <w:szCs w:val="21"/>
        </w:rPr>
        <w:t>的实验室</w:t>
      </w:r>
      <w:r w:rsidRPr="008D461A">
        <w:rPr>
          <w:spacing w:val="8"/>
          <w:szCs w:val="21"/>
        </w:rPr>
        <w:t>10</w:t>
      </w:r>
      <w:r w:rsidRPr="008D461A">
        <w:rPr>
          <w:spacing w:val="8"/>
          <w:szCs w:val="21"/>
        </w:rPr>
        <w:t>为</w:t>
      </w:r>
      <w:proofErr w:type="gramStart"/>
      <w:r w:rsidRPr="008D461A">
        <w:rPr>
          <w:spacing w:val="8"/>
          <w:szCs w:val="21"/>
        </w:rPr>
        <w:t>岐</w:t>
      </w:r>
      <w:proofErr w:type="gramEnd"/>
      <w:r w:rsidRPr="008D461A">
        <w:rPr>
          <w:spacing w:val="8"/>
          <w:szCs w:val="21"/>
        </w:rPr>
        <w:t>离值（</w:t>
      </w:r>
      <w:r w:rsidRPr="008D461A">
        <w:rPr>
          <w:spacing w:val="8"/>
          <w:szCs w:val="21"/>
        </w:rPr>
        <w:t>*</w:t>
      </w:r>
      <w:r w:rsidRPr="008D461A">
        <w:rPr>
          <w:spacing w:val="8"/>
          <w:szCs w:val="21"/>
        </w:rPr>
        <w:t>），予以保留。对水平</w:t>
      </w:r>
      <w:r w:rsidRPr="008D461A">
        <w:rPr>
          <w:spacing w:val="8"/>
          <w:szCs w:val="21"/>
        </w:rPr>
        <w:t>2</w:t>
      </w:r>
      <w:r w:rsidRPr="008D461A">
        <w:rPr>
          <w:spacing w:val="8"/>
          <w:szCs w:val="21"/>
        </w:rPr>
        <w:t>剔除后的数据再进行柯克伦检验，无异常值。</w:t>
      </w:r>
    </w:p>
    <w:p w:rsidR="00DB52DC" w:rsidRPr="00AC3D2C" w:rsidRDefault="006516FC" w:rsidP="00187593">
      <w:pPr>
        <w:outlineLvl w:val="2"/>
        <w:rPr>
          <w:b/>
          <w:spacing w:val="8"/>
          <w:szCs w:val="21"/>
        </w:rPr>
      </w:pPr>
      <w:r>
        <w:rPr>
          <w:rFonts w:hint="eastAsia"/>
          <w:b/>
          <w:spacing w:val="8"/>
          <w:szCs w:val="21"/>
        </w:rPr>
        <w:t>2</w:t>
      </w:r>
      <w:r w:rsidR="003D1DE8" w:rsidRPr="00AC3D2C">
        <w:rPr>
          <w:rFonts w:hint="eastAsia"/>
          <w:b/>
          <w:spacing w:val="8"/>
          <w:szCs w:val="21"/>
        </w:rPr>
        <w:t>.3</w:t>
      </w:r>
      <w:r w:rsidR="003D1DE8" w:rsidRPr="00AC3D2C">
        <w:rPr>
          <w:rFonts w:hint="eastAsia"/>
          <w:b/>
          <w:spacing w:val="8"/>
          <w:szCs w:val="21"/>
        </w:rPr>
        <w:t>实验室间格拉布斯检验</w:t>
      </w:r>
    </w:p>
    <w:p w:rsidR="00DB52DC" w:rsidRDefault="003D1DE8" w:rsidP="006F5F5C">
      <w:pPr>
        <w:ind w:firstLineChars="200" w:firstLine="452"/>
        <w:rPr>
          <w:spacing w:val="8"/>
          <w:szCs w:val="21"/>
        </w:rPr>
      </w:pPr>
      <w:r>
        <w:rPr>
          <w:spacing w:val="8"/>
          <w:szCs w:val="21"/>
        </w:rPr>
        <w:t>对各实验室的均值进行格拉布斯检验，离群值用</w:t>
      </w:r>
      <w:r>
        <w:rPr>
          <w:spacing w:val="8"/>
          <w:szCs w:val="21"/>
        </w:rPr>
        <w:t>**</w:t>
      </w:r>
      <w:r>
        <w:rPr>
          <w:rFonts w:hint="eastAsia"/>
          <w:spacing w:val="8"/>
          <w:szCs w:val="21"/>
        </w:rPr>
        <w:t>标注、</w:t>
      </w:r>
      <w:proofErr w:type="gramStart"/>
      <w:r>
        <w:rPr>
          <w:rFonts w:hint="eastAsia"/>
          <w:spacing w:val="8"/>
          <w:szCs w:val="21"/>
        </w:rPr>
        <w:t>岐</w:t>
      </w:r>
      <w:proofErr w:type="gramEnd"/>
      <w:r>
        <w:rPr>
          <w:rFonts w:hint="eastAsia"/>
          <w:spacing w:val="8"/>
          <w:szCs w:val="21"/>
        </w:rPr>
        <w:t>离值用</w:t>
      </w:r>
      <w:r>
        <w:rPr>
          <w:spacing w:val="8"/>
          <w:szCs w:val="21"/>
        </w:rPr>
        <w:t>*</w:t>
      </w:r>
      <w:r>
        <w:rPr>
          <w:rFonts w:hint="eastAsia"/>
          <w:spacing w:val="8"/>
          <w:szCs w:val="21"/>
        </w:rPr>
        <w:t>标注</w:t>
      </w:r>
      <w:r>
        <w:rPr>
          <w:spacing w:val="8"/>
          <w:szCs w:val="21"/>
        </w:rPr>
        <w:t>。各实验室的统计检验结果</w:t>
      </w:r>
      <w:r>
        <w:rPr>
          <w:rFonts w:hint="eastAsia"/>
          <w:spacing w:val="8"/>
          <w:szCs w:val="21"/>
        </w:rPr>
        <w:t>见表</w:t>
      </w:r>
      <w:r w:rsidR="00364F1A">
        <w:rPr>
          <w:rFonts w:hint="eastAsia"/>
          <w:spacing w:val="8"/>
          <w:szCs w:val="21"/>
        </w:rPr>
        <w:t>3</w:t>
      </w:r>
      <w:r w:rsidR="00364F1A">
        <w:rPr>
          <w:rFonts w:hint="eastAsia"/>
          <w:spacing w:val="8"/>
          <w:szCs w:val="21"/>
        </w:rPr>
        <w:t>、</w:t>
      </w:r>
      <w:r w:rsidR="00364F1A">
        <w:rPr>
          <w:rFonts w:hint="eastAsia"/>
          <w:spacing w:val="8"/>
          <w:szCs w:val="21"/>
        </w:rPr>
        <w:t>4</w:t>
      </w:r>
      <w:r>
        <w:rPr>
          <w:rFonts w:hint="eastAsia"/>
          <w:spacing w:val="8"/>
          <w:szCs w:val="21"/>
        </w:rPr>
        <w:t>。</w:t>
      </w:r>
    </w:p>
    <w:p w:rsidR="00364F1A" w:rsidRPr="008D461A" w:rsidRDefault="00364F1A" w:rsidP="00364F1A">
      <w:pPr>
        <w:jc w:val="center"/>
        <w:outlineLvl w:val="2"/>
        <w:rPr>
          <w:rFonts w:ascii="黑体" w:eastAsia="黑体"/>
          <w:bCs/>
          <w:color w:val="000000"/>
          <w:szCs w:val="21"/>
        </w:rPr>
      </w:pPr>
      <w:r w:rsidRPr="008D461A">
        <w:rPr>
          <w:rFonts w:ascii="黑体" w:eastAsia="黑体" w:hint="eastAsia"/>
          <w:bCs/>
          <w:color w:val="000000"/>
          <w:szCs w:val="21"/>
        </w:rPr>
        <w:t>表</w:t>
      </w:r>
      <w:r>
        <w:rPr>
          <w:rFonts w:ascii="黑体" w:eastAsia="黑体" w:hint="eastAsia"/>
          <w:bCs/>
          <w:color w:val="000000"/>
          <w:szCs w:val="21"/>
        </w:rPr>
        <w:t>3</w:t>
      </w:r>
      <w:r w:rsidRPr="008D461A">
        <w:rPr>
          <w:rFonts w:ascii="黑体" w:eastAsia="黑体" w:hint="eastAsia"/>
          <w:bCs/>
          <w:color w:val="000000"/>
          <w:szCs w:val="21"/>
        </w:rPr>
        <w:t xml:space="preserve"> 格拉布斯检验（一个离群观测值情形）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858"/>
        <w:gridCol w:w="1858"/>
        <w:gridCol w:w="1858"/>
        <w:gridCol w:w="1858"/>
      </w:tblGrid>
      <w:tr w:rsidR="00364F1A" w:rsidRPr="004C38B5" w:rsidTr="00035692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统计量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C38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C38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C38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C38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kern w:val="0"/>
                <w:sz w:val="18"/>
                <w:szCs w:val="18"/>
              </w:rPr>
              <w:t>4</w:t>
            </w:r>
          </w:p>
        </w:tc>
      </w:tr>
      <w:tr w:rsidR="00364F1A" w:rsidRPr="004C38B5" w:rsidTr="00035692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13.91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50.78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102.3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151.74</w:t>
            </w:r>
          </w:p>
        </w:tc>
      </w:tr>
      <w:tr w:rsidR="00364F1A" w:rsidRPr="004C38B5" w:rsidTr="00035692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11.12</w:t>
            </w: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44.70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94.22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145.81</w:t>
            </w:r>
          </w:p>
        </w:tc>
      </w:tr>
      <w:tr w:rsidR="00364F1A" w:rsidRPr="004C38B5" w:rsidTr="00035692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4C38B5">
              <w:rPr>
                <w:color w:val="000000"/>
                <w:kern w:val="0"/>
                <w:sz w:val="18"/>
                <w:szCs w:val="18"/>
              </w:rPr>
              <w:t>Gmax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1.507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2.145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3.008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**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1.451</w:t>
            </w:r>
          </w:p>
        </w:tc>
      </w:tr>
      <w:tr w:rsidR="00364F1A" w:rsidRPr="004C38B5" w:rsidTr="00035692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4C38B5">
              <w:rPr>
                <w:color w:val="000000"/>
                <w:kern w:val="0"/>
                <w:sz w:val="18"/>
                <w:szCs w:val="18"/>
              </w:rPr>
              <w:t>Gmin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2.613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1.428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1.562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1.810</w:t>
            </w:r>
          </w:p>
        </w:tc>
      </w:tr>
      <w:tr w:rsidR="00364F1A" w:rsidRPr="004C38B5" w:rsidTr="001369C0">
        <w:trPr>
          <w:trHeight w:val="98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364F1A" w:rsidRPr="004C38B5" w:rsidTr="00035692">
        <w:trPr>
          <w:trHeight w:val="214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1369C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删除最大离群值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后，</w:t>
            </w: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检验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364F1A" w:rsidRPr="004C38B5" w:rsidTr="00035692">
        <w:trPr>
          <w:trHeight w:val="276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4C38B5">
              <w:rPr>
                <w:color w:val="000000"/>
                <w:kern w:val="0"/>
                <w:sz w:val="18"/>
                <w:szCs w:val="18"/>
              </w:rPr>
              <w:t>Gmin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2.578*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364F1A" w:rsidRPr="004C38B5" w:rsidTr="00035692">
        <w:trPr>
          <w:trHeight w:val="276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p=16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α=</w:t>
            </w:r>
            <w:r w:rsidRPr="004C38B5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C38B5">
              <w:rPr>
                <w:bCs/>
                <w:color w:val="000000"/>
                <w:sz w:val="18"/>
                <w:szCs w:val="18"/>
              </w:rPr>
              <w:t>2.585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α=</w:t>
            </w:r>
            <w:r w:rsidRPr="004C38B5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2.852</w:t>
            </w:r>
          </w:p>
        </w:tc>
      </w:tr>
      <w:tr w:rsidR="00364F1A" w:rsidRPr="004C38B5" w:rsidTr="00035692">
        <w:trPr>
          <w:trHeight w:val="276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p=15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α=</w:t>
            </w: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4C38B5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C38B5">
              <w:rPr>
                <w:bCs/>
                <w:color w:val="000000"/>
                <w:sz w:val="18"/>
                <w:szCs w:val="18"/>
              </w:rPr>
              <w:t>2.549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α=</w:t>
            </w: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 w:rsidRPr="004C38B5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sz w:val="18"/>
                <w:szCs w:val="18"/>
              </w:rPr>
              <w:t>2.806</w:t>
            </w:r>
          </w:p>
        </w:tc>
      </w:tr>
    </w:tbl>
    <w:p w:rsidR="00364F1A" w:rsidRPr="005F44DA" w:rsidRDefault="00364F1A" w:rsidP="00364F1A">
      <w:pPr>
        <w:jc w:val="center"/>
        <w:outlineLvl w:val="2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>
        <w:rPr>
          <w:bCs/>
          <w:color w:val="000000"/>
          <w:szCs w:val="21"/>
        </w:rPr>
        <w:tab/>
      </w:r>
      <w:r w:rsidRPr="00372AB8">
        <w:rPr>
          <w:rFonts w:ascii="黑体" w:eastAsia="黑体" w:hint="eastAsia"/>
          <w:bCs/>
          <w:color w:val="000000"/>
          <w:szCs w:val="21"/>
        </w:rPr>
        <w:t>表4 格拉布斯检验（两个离群观测值情形）</w:t>
      </w:r>
    </w:p>
    <w:tbl>
      <w:tblPr>
        <w:tblW w:w="92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5"/>
        <w:gridCol w:w="1294"/>
        <w:gridCol w:w="1613"/>
        <w:gridCol w:w="1613"/>
        <w:gridCol w:w="1615"/>
      </w:tblGrid>
      <w:tr w:rsidR="00364F1A" w:rsidRPr="001D39E3" w:rsidTr="00035692">
        <w:trPr>
          <w:trHeight w:val="223"/>
        </w:trPr>
        <w:tc>
          <w:tcPr>
            <w:tcW w:w="3065" w:type="dxa"/>
            <w:shd w:val="clear" w:color="auto" w:fill="auto"/>
            <w:vAlign w:val="center"/>
          </w:tcPr>
          <w:p w:rsidR="00364F1A" w:rsidRPr="001D39E3" w:rsidRDefault="00364F1A" w:rsidP="00035692">
            <w:pPr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统计量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1D39E3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1D39E3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1D39E3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1D39E3">
              <w:rPr>
                <w:kern w:val="0"/>
                <w:sz w:val="18"/>
                <w:szCs w:val="18"/>
              </w:rPr>
              <w:t>4</w:t>
            </w:r>
          </w:p>
        </w:tc>
      </w:tr>
      <w:tr w:rsidR="00364F1A" w:rsidRPr="001D39E3" w:rsidTr="00035692">
        <w:trPr>
          <w:trHeight w:val="253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s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0</w:t>
            </w:r>
            <w:r w:rsidRPr="001D39E3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6.881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40.586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49.565</w:t>
            </w:r>
          </w:p>
        </w:tc>
      </w:tr>
      <w:tr w:rsidR="00364F1A" w:rsidRPr="001D39E3" w:rsidTr="00035692">
        <w:trPr>
          <w:trHeight w:val="243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s</w:t>
            </w:r>
            <w:r w:rsidRPr="001D39E3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p-1,p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5.117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16.888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35.912</w:t>
            </w:r>
          </w:p>
        </w:tc>
      </w:tr>
      <w:tr w:rsidR="00364F1A" w:rsidRPr="001D39E3" w:rsidTr="00035692">
        <w:trPr>
          <w:trHeight w:val="223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s</w:t>
            </w:r>
            <w:r w:rsidRPr="001D39E3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1,2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2.8044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28.9572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30.5701</w:t>
            </w:r>
          </w:p>
        </w:tc>
      </w:tr>
      <w:tr w:rsidR="00364F1A" w:rsidRPr="001D39E3" w:rsidTr="00035692">
        <w:trPr>
          <w:trHeight w:val="169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两个最大值检验</w:t>
            </w: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统计量</w:t>
            </w: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D39E3">
              <w:rPr>
                <w:color w:val="000000"/>
                <w:kern w:val="0"/>
                <w:sz w:val="18"/>
                <w:szCs w:val="18"/>
              </w:rPr>
              <w:t>G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p-1,p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1D39E3">
              <w:rPr>
                <w:bCs/>
                <w:color w:val="000000"/>
                <w:kern w:val="0"/>
                <w:sz w:val="18"/>
                <w:szCs w:val="18"/>
              </w:rPr>
              <w:t>0.7436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1D39E3">
              <w:rPr>
                <w:bCs/>
                <w:color w:val="000000"/>
                <w:kern w:val="0"/>
                <w:sz w:val="18"/>
                <w:szCs w:val="18"/>
              </w:rPr>
              <w:t>0.4161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1D39E3">
              <w:rPr>
                <w:bCs/>
                <w:color w:val="000000"/>
                <w:kern w:val="0"/>
                <w:sz w:val="18"/>
                <w:szCs w:val="18"/>
              </w:rPr>
              <w:t>0.7245</w:t>
            </w:r>
          </w:p>
        </w:tc>
      </w:tr>
      <w:tr w:rsidR="00364F1A" w:rsidRPr="001D39E3" w:rsidTr="00035692">
        <w:trPr>
          <w:trHeight w:val="174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两个最小值检验</w:t>
            </w: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统计量</w:t>
            </w: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D39E3">
              <w:rPr>
                <w:color w:val="000000"/>
                <w:kern w:val="0"/>
                <w:sz w:val="18"/>
                <w:szCs w:val="18"/>
              </w:rPr>
              <w:t>G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1D39E3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bscript"/>
              </w:rPr>
              <w:t>，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1D39E3">
              <w:rPr>
                <w:bCs/>
                <w:kern w:val="0"/>
                <w:sz w:val="18"/>
                <w:szCs w:val="18"/>
              </w:rPr>
              <w:t>0.4076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1D39E3">
              <w:rPr>
                <w:bCs/>
                <w:kern w:val="0"/>
                <w:sz w:val="18"/>
                <w:szCs w:val="18"/>
              </w:rPr>
              <w:t>0.7135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1D39E3">
              <w:rPr>
                <w:bCs/>
                <w:kern w:val="0"/>
                <w:sz w:val="18"/>
                <w:szCs w:val="18"/>
              </w:rPr>
              <w:t>0.6168</w:t>
            </w:r>
          </w:p>
        </w:tc>
      </w:tr>
      <w:tr w:rsidR="00364F1A" w:rsidRPr="001D39E3" w:rsidTr="001369C0">
        <w:trPr>
          <w:trHeight w:val="232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364F1A" w:rsidRPr="001D39E3" w:rsidTr="00035692">
        <w:trPr>
          <w:trHeight w:val="200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p=15</w:t>
            </w:r>
            <w:r w:rsidRPr="001D39E3">
              <w:rPr>
                <w:color w:val="000000"/>
                <w:sz w:val="18"/>
                <w:szCs w:val="18"/>
              </w:rPr>
              <w:t>，临界值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6135" w:type="dxa"/>
            <w:gridSpan w:val="4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α=1%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D39E3">
              <w:rPr>
                <w:color w:val="000000"/>
                <w:sz w:val="18"/>
                <w:szCs w:val="18"/>
              </w:rPr>
              <w:t>0.2530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1D39E3">
              <w:rPr>
                <w:color w:val="000000"/>
                <w:sz w:val="18"/>
                <w:szCs w:val="18"/>
              </w:rPr>
              <w:t>α=5%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D39E3">
              <w:rPr>
                <w:color w:val="000000"/>
                <w:sz w:val="18"/>
                <w:szCs w:val="18"/>
              </w:rPr>
              <w:t>0.3367</w:t>
            </w:r>
          </w:p>
        </w:tc>
      </w:tr>
      <w:tr w:rsidR="00364F1A" w:rsidRPr="001D39E3" w:rsidTr="00035692">
        <w:trPr>
          <w:trHeight w:val="200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p=16</w:t>
            </w:r>
            <w:r w:rsidRPr="001D39E3">
              <w:rPr>
                <w:color w:val="000000"/>
                <w:sz w:val="18"/>
                <w:szCs w:val="18"/>
              </w:rPr>
              <w:t>，临界值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6135" w:type="dxa"/>
            <w:gridSpan w:val="4"/>
            <w:shd w:val="clear" w:color="auto" w:fill="auto"/>
            <w:noWrap/>
            <w:vAlign w:val="center"/>
            <w:hideMark/>
          </w:tcPr>
          <w:p w:rsidR="00364F1A" w:rsidRPr="001D39E3" w:rsidRDefault="00364F1A" w:rsidP="000356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α=1%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D39E3">
              <w:rPr>
                <w:color w:val="000000"/>
                <w:sz w:val="18"/>
                <w:szCs w:val="18"/>
              </w:rPr>
              <w:t>0.2767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1D39E3">
              <w:rPr>
                <w:color w:val="000000"/>
                <w:sz w:val="18"/>
                <w:szCs w:val="18"/>
              </w:rPr>
              <w:t>α=5%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D39E3">
              <w:rPr>
                <w:color w:val="000000"/>
                <w:sz w:val="18"/>
                <w:szCs w:val="18"/>
              </w:rPr>
              <w:t>0.3603</w:t>
            </w:r>
          </w:p>
        </w:tc>
      </w:tr>
    </w:tbl>
    <w:p w:rsidR="00364F1A" w:rsidRPr="00C324FA" w:rsidRDefault="00364F1A" w:rsidP="00364F1A">
      <w:pPr>
        <w:ind w:firstLineChars="200" w:firstLine="452"/>
        <w:rPr>
          <w:spacing w:val="8"/>
          <w:szCs w:val="21"/>
        </w:rPr>
      </w:pPr>
      <w:r>
        <w:rPr>
          <w:rFonts w:hint="eastAsia"/>
          <w:spacing w:val="8"/>
          <w:szCs w:val="21"/>
        </w:rPr>
        <w:lastRenderedPageBreak/>
        <w:t>由表</w:t>
      </w:r>
      <w:r>
        <w:rPr>
          <w:rFonts w:hint="eastAsia"/>
          <w:spacing w:val="8"/>
          <w:szCs w:val="21"/>
        </w:rPr>
        <w:t>3</w:t>
      </w:r>
      <w:r>
        <w:rPr>
          <w:rFonts w:hint="eastAsia"/>
          <w:spacing w:val="8"/>
          <w:szCs w:val="21"/>
        </w:rPr>
        <w:t>检验结果可知，</w:t>
      </w:r>
      <w:r w:rsidRPr="002C7A58">
        <w:rPr>
          <w:rFonts w:hint="eastAsia"/>
          <w:spacing w:val="8"/>
          <w:szCs w:val="21"/>
        </w:rPr>
        <w:t>水平</w:t>
      </w:r>
      <w:r w:rsidRPr="002C7A58">
        <w:rPr>
          <w:rFonts w:hint="eastAsia"/>
          <w:spacing w:val="8"/>
          <w:szCs w:val="21"/>
        </w:rPr>
        <w:t>1</w:t>
      </w:r>
      <w:r>
        <w:rPr>
          <w:rFonts w:hint="eastAsia"/>
          <w:spacing w:val="8"/>
          <w:szCs w:val="21"/>
        </w:rPr>
        <w:t>，</w:t>
      </w:r>
      <w:r w:rsidRPr="002C7A58">
        <w:rPr>
          <w:rFonts w:hint="eastAsia"/>
          <w:spacing w:val="8"/>
          <w:szCs w:val="21"/>
        </w:rPr>
        <w:t>实验室</w:t>
      </w:r>
      <w:r w:rsidRPr="002C7A58">
        <w:rPr>
          <w:rFonts w:hint="eastAsia"/>
          <w:spacing w:val="8"/>
          <w:szCs w:val="21"/>
        </w:rPr>
        <w:t>16</w:t>
      </w:r>
      <w:r w:rsidRPr="002C7A58">
        <w:rPr>
          <w:rFonts w:hint="eastAsia"/>
          <w:spacing w:val="8"/>
          <w:szCs w:val="21"/>
        </w:rPr>
        <w:t>最小值</w:t>
      </w:r>
      <w:r w:rsidRPr="002C7A58">
        <w:rPr>
          <w:rFonts w:hint="eastAsia"/>
          <w:spacing w:val="8"/>
          <w:szCs w:val="21"/>
        </w:rPr>
        <w:t>11.12</w:t>
      </w:r>
      <w:r w:rsidRPr="002C7A58">
        <w:rPr>
          <w:rFonts w:hint="eastAsia"/>
          <w:spacing w:val="8"/>
          <w:szCs w:val="21"/>
        </w:rPr>
        <w:t>为</w:t>
      </w:r>
      <w:proofErr w:type="gramStart"/>
      <w:r w:rsidRPr="002C7A58">
        <w:rPr>
          <w:rFonts w:hint="eastAsia"/>
          <w:spacing w:val="8"/>
          <w:szCs w:val="21"/>
        </w:rPr>
        <w:t>岐</w:t>
      </w:r>
      <w:proofErr w:type="gramEnd"/>
      <w:r w:rsidRPr="002C7A58">
        <w:rPr>
          <w:rFonts w:hint="eastAsia"/>
          <w:spacing w:val="8"/>
          <w:szCs w:val="21"/>
        </w:rPr>
        <w:t>离值，暂时保留；水平</w:t>
      </w:r>
      <w:r w:rsidRPr="002C7A58">
        <w:rPr>
          <w:rFonts w:hint="eastAsia"/>
          <w:spacing w:val="8"/>
          <w:szCs w:val="21"/>
        </w:rPr>
        <w:t>3</w:t>
      </w:r>
      <w:r w:rsidRPr="002C7A58">
        <w:rPr>
          <w:rFonts w:hint="eastAsia"/>
          <w:spacing w:val="8"/>
          <w:szCs w:val="21"/>
        </w:rPr>
        <w:t>，实验室</w:t>
      </w:r>
      <w:r w:rsidRPr="002C7A58">
        <w:rPr>
          <w:rFonts w:hint="eastAsia"/>
          <w:spacing w:val="8"/>
          <w:szCs w:val="21"/>
        </w:rPr>
        <w:t>10</w:t>
      </w:r>
      <w:r w:rsidRPr="002C7A58">
        <w:rPr>
          <w:rFonts w:hint="eastAsia"/>
          <w:spacing w:val="8"/>
          <w:szCs w:val="21"/>
        </w:rPr>
        <w:t>最大值</w:t>
      </w:r>
      <w:r w:rsidRPr="002C7A58">
        <w:rPr>
          <w:rFonts w:hint="eastAsia"/>
          <w:spacing w:val="8"/>
          <w:szCs w:val="21"/>
        </w:rPr>
        <w:t>102.35</w:t>
      </w:r>
      <w:r w:rsidRPr="002C7A58">
        <w:rPr>
          <w:rFonts w:hint="eastAsia"/>
          <w:spacing w:val="8"/>
          <w:szCs w:val="21"/>
        </w:rPr>
        <w:t>为离群值，剔除</w:t>
      </w:r>
      <w:r>
        <w:rPr>
          <w:rFonts w:hint="eastAsia"/>
          <w:spacing w:val="8"/>
          <w:szCs w:val="21"/>
        </w:rPr>
        <w:t>，对剩余数据继续检验，最小值</w:t>
      </w:r>
      <w:r>
        <w:rPr>
          <w:rFonts w:hint="eastAsia"/>
          <w:spacing w:val="8"/>
          <w:szCs w:val="21"/>
        </w:rPr>
        <w:t>94.22</w:t>
      </w:r>
      <w:r>
        <w:rPr>
          <w:rFonts w:hint="eastAsia"/>
          <w:spacing w:val="8"/>
          <w:szCs w:val="21"/>
        </w:rPr>
        <w:t>为</w:t>
      </w:r>
      <w:proofErr w:type="gramStart"/>
      <w:r>
        <w:rPr>
          <w:rFonts w:hint="eastAsia"/>
          <w:spacing w:val="8"/>
          <w:szCs w:val="21"/>
        </w:rPr>
        <w:t>岐</w:t>
      </w:r>
      <w:proofErr w:type="gramEnd"/>
      <w:r>
        <w:rPr>
          <w:rFonts w:hint="eastAsia"/>
          <w:spacing w:val="8"/>
          <w:szCs w:val="21"/>
        </w:rPr>
        <w:t>离值，暂时保留。对未检出离群值的水平进行两个离群值情形的检验，无异常值。</w:t>
      </w:r>
    </w:p>
    <w:p w:rsidR="00DB52DC" w:rsidRPr="00187593" w:rsidRDefault="006516FC" w:rsidP="00187593">
      <w:pPr>
        <w:outlineLvl w:val="2"/>
        <w:rPr>
          <w:b/>
          <w:spacing w:val="8"/>
          <w:szCs w:val="21"/>
        </w:rPr>
      </w:pPr>
      <w:r w:rsidRPr="00187593">
        <w:rPr>
          <w:rFonts w:hint="eastAsia"/>
          <w:b/>
          <w:spacing w:val="8"/>
          <w:szCs w:val="21"/>
        </w:rPr>
        <w:t>2</w:t>
      </w:r>
      <w:r w:rsidR="003D1DE8" w:rsidRPr="00187593">
        <w:rPr>
          <w:rFonts w:hint="eastAsia"/>
          <w:b/>
          <w:spacing w:val="8"/>
          <w:szCs w:val="21"/>
        </w:rPr>
        <w:t>.4</w:t>
      </w:r>
      <w:r w:rsidR="003D1DE8" w:rsidRPr="00187593">
        <w:rPr>
          <w:b/>
          <w:spacing w:val="8"/>
          <w:szCs w:val="21"/>
        </w:rPr>
        <w:t>精密度</w:t>
      </w:r>
      <w:r w:rsidR="003D1DE8" w:rsidRPr="00187593">
        <w:rPr>
          <w:rFonts w:hint="eastAsia"/>
          <w:b/>
          <w:spacing w:val="8"/>
          <w:szCs w:val="21"/>
        </w:rPr>
        <w:t>计算</w:t>
      </w:r>
    </w:p>
    <w:p w:rsidR="00DB52DC" w:rsidRDefault="003D1DE8" w:rsidP="006F5F5C">
      <w:pPr>
        <w:ind w:firstLine="435"/>
        <w:rPr>
          <w:bCs/>
          <w:szCs w:val="21"/>
        </w:rPr>
      </w:pPr>
      <w:r>
        <w:rPr>
          <w:bCs/>
          <w:szCs w:val="21"/>
        </w:rPr>
        <w:t>剔除离群值后，</w:t>
      </w:r>
      <w:r>
        <w:rPr>
          <w:rFonts w:hint="eastAsia"/>
          <w:bCs/>
          <w:szCs w:val="21"/>
        </w:rPr>
        <w:t>精密度</w:t>
      </w:r>
      <w:r>
        <w:rPr>
          <w:bCs/>
          <w:szCs w:val="21"/>
        </w:rPr>
        <w:t>计算结果见</w:t>
      </w:r>
      <w:r w:rsidR="008F5312">
        <w:rPr>
          <w:bCs/>
          <w:szCs w:val="21"/>
        </w:rPr>
        <w:t>表</w:t>
      </w:r>
      <w:r w:rsidR="00364F1A">
        <w:rPr>
          <w:rFonts w:hint="eastAsia"/>
          <w:bCs/>
          <w:szCs w:val="21"/>
        </w:rPr>
        <w:t>5</w:t>
      </w:r>
      <w:r>
        <w:rPr>
          <w:bCs/>
          <w:szCs w:val="21"/>
        </w:rPr>
        <w:t>。</w:t>
      </w:r>
    </w:p>
    <w:p w:rsidR="00364F1A" w:rsidRPr="00372AB8" w:rsidRDefault="00364F1A" w:rsidP="00364F1A">
      <w:pPr>
        <w:jc w:val="center"/>
        <w:outlineLvl w:val="2"/>
        <w:rPr>
          <w:rFonts w:ascii="黑体" w:eastAsia="黑体"/>
          <w:bCs/>
          <w:color w:val="000000"/>
          <w:szCs w:val="21"/>
        </w:rPr>
      </w:pPr>
      <w:r w:rsidRPr="00372AB8">
        <w:rPr>
          <w:rFonts w:ascii="黑体" w:eastAsia="黑体" w:hint="eastAsia"/>
          <w:bCs/>
          <w:color w:val="000000"/>
          <w:szCs w:val="21"/>
        </w:rPr>
        <w:t>表5   精密度计算结果</w:t>
      </w:r>
    </w:p>
    <w:tbl>
      <w:tblPr>
        <w:tblW w:w="927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1778"/>
        <w:gridCol w:w="1891"/>
        <w:gridCol w:w="2054"/>
        <w:gridCol w:w="2054"/>
      </w:tblGrid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统计量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8D461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snapToGrid w:val="0"/>
              <w:jc w:val="center"/>
              <w:rPr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8D461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snapToGrid w:val="0"/>
              <w:jc w:val="center"/>
              <w:rPr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8D461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snapToGrid w:val="0"/>
              <w:jc w:val="center"/>
              <w:rPr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8D461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</w:tr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2139.34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7258.04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14972.93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24750.40</w:t>
            </w:r>
          </w:p>
        </w:tc>
      </w:tr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27642.1480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342492.9270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1446572.7870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3690852.3280</w:t>
            </w:r>
          </w:p>
        </w:tc>
      </w:tr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166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154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155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166</w:t>
            </w:r>
          </w:p>
        </w:tc>
      </w:tr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1752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1618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1631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1752</w:t>
            </w:r>
          </w:p>
        </w:tc>
      </w:tr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35.210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118.148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200.685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483.898</w:t>
            </w:r>
          </w:p>
        </w:tc>
      </w:tr>
      <w:tr w:rsidR="00364F1A" w:rsidRPr="008D461A" w:rsidTr="00035692">
        <w:trPr>
          <w:trHeight w:val="290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r</w:t>
            </w:r>
            <w:r w:rsidRPr="008D461A"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0.235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0.850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1.434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3.226</w:t>
            </w:r>
          </w:p>
        </w:tc>
      </w:tr>
      <w:tr w:rsidR="00364F1A" w:rsidRPr="008D461A" w:rsidTr="00035692">
        <w:trPr>
          <w:trHeight w:val="290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L</w:t>
            </w:r>
            <w:r w:rsidRPr="008D461A"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0.435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2.848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1.207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3.533</w:t>
            </w:r>
          </w:p>
        </w:tc>
      </w:tr>
      <w:tr w:rsidR="00364F1A" w:rsidRPr="008D461A" w:rsidTr="00035692">
        <w:trPr>
          <w:trHeight w:val="290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R</w:t>
            </w:r>
            <w:r w:rsidRPr="008D461A"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0.670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3.698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2.641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6.759</w:t>
            </w:r>
          </w:p>
        </w:tc>
      </w:tr>
      <w:tr w:rsidR="00364F1A" w:rsidRPr="008D461A" w:rsidTr="00035692">
        <w:trPr>
          <w:trHeight w:val="267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0.82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1.92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1.63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2.60</w:t>
            </w:r>
          </w:p>
        </w:tc>
      </w:tr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spellStart"/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rj</w:t>
            </w:r>
            <w:proofErr w:type="spellEnd"/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0.48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0.92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1.20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1.80</w:t>
            </w:r>
          </w:p>
        </w:tc>
      </w:tr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m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12.9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47.1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96.6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149.1</w:t>
            </w:r>
          </w:p>
        </w:tc>
      </w:tr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r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1.36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2.58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3.36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5.04</w:t>
            </w:r>
          </w:p>
        </w:tc>
      </w:tr>
      <w:tr w:rsidR="00364F1A" w:rsidRPr="008D461A" w:rsidTr="00035692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R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2.30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5.38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4.56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364F1A" w:rsidRPr="008D461A" w:rsidRDefault="00364F1A" w:rsidP="00035692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7.28</w:t>
            </w:r>
          </w:p>
        </w:tc>
      </w:tr>
    </w:tbl>
    <w:p w:rsidR="00DB52DC" w:rsidRPr="00187593" w:rsidRDefault="006516FC" w:rsidP="00187593">
      <w:pPr>
        <w:outlineLvl w:val="2"/>
        <w:rPr>
          <w:b/>
          <w:spacing w:val="8"/>
          <w:szCs w:val="21"/>
        </w:rPr>
      </w:pPr>
      <w:r w:rsidRPr="00187593">
        <w:rPr>
          <w:rFonts w:hint="eastAsia"/>
          <w:b/>
          <w:spacing w:val="8"/>
          <w:szCs w:val="21"/>
        </w:rPr>
        <w:t>2</w:t>
      </w:r>
      <w:r w:rsidR="003D1DE8" w:rsidRPr="00187593">
        <w:rPr>
          <w:rFonts w:hint="eastAsia"/>
          <w:b/>
          <w:spacing w:val="8"/>
          <w:szCs w:val="21"/>
        </w:rPr>
        <w:t>.5</w:t>
      </w:r>
      <w:r w:rsidR="003D1DE8" w:rsidRPr="00187593">
        <w:rPr>
          <w:b/>
          <w:spacing w:val="8"/>
          <w:szCs w:val="21"/>
        </w:rPr>
        <w:t xml:space="preserve"> </w:t>
      </w:r>
      <w:r w:rsidR="003D1DE8" w:rsidRPr="00187593">
        <w:rPr>
          <w:b/>
          <w:spacing w:val="8"/>
          <w:szCs w:val="21"/>
        </w:rPr>
        <w:t>重复性和再现性</w:t>
      </w:r>
    </w:p>
    <w:p w:rsidR="00DB52DC" w:rsidRPr="006734E1" w:rsidRDefault="003D1DE8" w:rsidP="006F5F5C">
      <w:pPr>
        <w:ind w:firstLine="420"/>
        <w:jc w:val="left"/>
        <w:rPr>
          <w:kern w:val="1"/>
          <w:szCs w:val="21"/>
        </w:rPr>
      </w:pPr>
      <w:r w:rsidRPr="006734E1">
        <w:rPr>
          <w:kern w:val="1"/>
          <w:szCs w:val="21"/>
        </w:rPr>
        <w:t>由于</w:t>
      </w:r>
      <w:r w:rsidRPr="006734E1">
        <w:rPr>
          <w:rFonts w:hint="eastAsia"/>
          <w:kern w:val="1"/>
          <w:szCs w:val="21"/>
        </w:rPr>
        <w:t>标准起草过程中</w:t>
      </w:r>
      <w:r w:rsidR="004A7216">
        <w:rPr>
          <w:rFonts w:hint="eastAsia"/>
          <w:kern w:val="1"/>
          <w:szCs w:val="21"/>
        </w:rPr>
        <w:t>，</w:t>
      </w:r>
      <w:r w:rsidRPr="006734E1">
        <w:rPr>
          <w:rFonts w:hint="eastAsia"/>
          <w:kern w:val="1"/>
          <w:szCs w:val="21"/>
        </w:rPr>
        <w:t>对验证样品的精密度</w:t>
      </w:r>
      <w:r w:rsidR="004A7216">
        <w:rPr>
          <w:rFonts w:hint="eastAsia"/>
          <w:kern w:val="1"/>
          <w:szCs w:val="21"/>
        </w:rPr>
        <w:t>试验</w:t>
      </w:r>
      <w:r w:rsidRPr="006734E1">
        <w:rPr>
          <w:rFonts w:hint="eastAsia"/>
          <w:kern w:val="1"/>
          <w:szCs w:val="21"/>
        </w:rPr>
        <w:t>相对日常分析还是有所不同，</w:t>
      </w:r>
      <w:r w:rsidRPr="006734E1">
        <w:rPr>
          <w:kern w:val="1"/>
          <w:szCs w:val="21"/>
        </w:rPr>
        <w:t>考虑到验证样品的情况和实际分析测试误差，</w:t>
      </w:r>
      <w:r w:rsidRPr="006734E1">
        <w:rPr>
          <w:rFonts w:hint="eastAsia"/>
          <w:kern w:val="1"/>
          <w:szCs w:val="21"/>
        </w:rPr>
        <w:t>结合日常分析的数据波动情况，</w:t>
      </w:r>
      <w:r w:rsidRPr="006734E1">
        <w:rPr>
          <w:kern w:val="1"/>
          <w:szCs w:val="21"/>
        </w:rPr>
        <w:t>经论证确定</w:t>
      </w:r>
      <w:r w:rsidRPr="006734E1">
        <w:rPr>
          <w:szCs w:val="21"/>
        </w:rPr>
        <w:t>重复性</w:t>
      </w:r>
      <w:r w:rsidRPr="006734E1">
        <w:rPr>
          <w:kern w:val="1"/>
          <w:szCs w:val="21"/>
        </w:rPr>
        <w:t>r</w:t>
      </w:r>
      <w:r w:rsidRPr="006734E1">
        <w:rPr>
          <w:szCs w:val="21"/>
        </w:rPr>
        <w:t>和再现性</w:t>
      </w:r>
      <w:r w:rsidRPr="006734E1">
        <w:rPr>
          <w:kern w:val="1"/>
          <w:szCs w:val="21"/>
        </w:rPr>
        <w:t>R</w:t>
      </w:r>
      <w:r w:rsidRPr="006734E1">
        <w:rPr>
          <w:kern w:val="1"/>
          <w:szCs w:val="21"/>
        </w:rPr>
        <w:t>值见</w:t>
      </w:r>
      <w:r w:rsidR="008F5312">
        <w:rPr>
          <w:kern w:val="1"/>
          <w:szCs w:val="21"/>
        </w:rPr>
        <w:t>表</w:t>
      </w:r>
      <w:r w:rsidR="00364F1A">
        <w:rPr>
          <w:rFonts w:hint="eastAsia"/>
          <w:kern w:val="1"/>
          <w:szCs w:val="21"/>
        </w:rPr>
        <w:t>6</w:t>
      </w:r>
      <w:r w:rsidRPr="006734E1">
        <w:rPr>
          <w:kern w:val="1"/>
          <w:szCs w:val="21"/>
        </w:rPr>
        <w:t>。</w:t>
      </w:r>
    </w:p>
    <w:p w:rsidR="00364F1A" w:rsidRPr="00372AB8" w:rsidRDefault="00364F1A" w:rsidP="00364F1A">
      <w:pPr>
        <w:jc w:val="center"/>
        <w:outlineLvl w:val="2"/>
        <w:rPr>
          <w:rFonts w:ascii="黑体" w:eastAsia="黑体"/>
          <w:bCs/>
          <w:color w:val="000000"/>
          <w:szCs w:val="21"/>
        </w:rPr>
      </w:pPr>
      <w:r w:rsidRPr="00372AB8">
        <w:rPr>
          <w:rFonts w:ascii="黑体" w:eastAsia="黑体"/>
          <w:bCs/>
          <w:color w:val="000000"/>
          <w:szCs w:val="21"/>
        </w:rPr>
        <w:t>表</w:t>
      </w:r>
      <w:r w:rsidRPr="00372AB8">
        <w:rPr>
          <w:rFonts w:ascii="黑体" w:eastAsia="黑体" w:hint="eastAsia"/>
          <w:bCs/>
          <w:color w:val="000000"/>
          <w:szCs w:val="21"/>
        </w:rPr>
        <w:t xml:space="preserve">6  </w:t>
      </w:r>
      <w:r w:rsidRPr="00372AB8">
        <w:rPr>
          <w:rFonts w:ascii="黑体" w:eastAsia="黑体"/>
          <w:bCs/>
          <w:color w:val="000000"/>
          <w:szCs w:val="21"/>
        </w:rPr>
        <w:t>重复性</w:t>
      </w:r>
      <w:r w:rsidRPr="00372AB8">
        <w:rPr>
          <w:rFonts w:ascii="黑体" w:eastAsia="黑体" w:hint="eastAsia"/>
          <w:bCs/>
          <w:color w:val="000000"/>
          <w:szCs w:val="21"/>
        </w:rPr>
        <w:t>r</w:t>
      </w:r>
      <w:r w:rsidRPr="00372AB8">
        <w:rPr>
          <w:rFonts w:ascii="黑体" w:eastAsia="黑体"/>
          <w:bCs/>
          <w:color w:val="000000"/>
          <w:szCs w:val="21"/>
        </w:rPr>
        <w:t>和再现性</w:t>
      </w:r>
      <w:r w:rsidRPr="00372AB8">
        <w:rPr>
          <w:rFonts w:ascii="黑体" w:eastAsia="黑体" w:hint="eastAsia"/>
          <w:bCs/>
          <w:color w:val="000000"/>
          <w:szCs w:val="21"/>
        </w:rPr>
        <w:t>R</w:t>
      </w: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1919"/>
        <w:gridCol w:w="1919"/>
        <w:gridCol w:w="1919"/>
        <w:gridCol w:w="1919"/>
      </w:tblGrid>
      <w:tr w:rsidR="00364F1A" w:rsidRPr="004C38B5" w:rsidTr="00035692">
        <w:trPr>
          <w:trHeight w:val="239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proofErr w:type="spellStart"/>
            <w:r w:rsidRPr="004C38B5">
              <w:rPr>
                <w:rFonts w:hint="eastAsia"/>
                <w:bCs/>
                <w:i/>
                <w:kern w:val="0"/>
                <w:sz w:val="18"/>
                <w:szCs w:val="18"/>
              </w:rPr>
              <w:t>w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  <w:vertAlign w:val="subscript"/>
              </w:rPr>
              <w:t>Ag</w:t>
            </w:r>
            <w:proofErr w:type="spellEnd"/>
            <w:r w:rsidRPr="004C38B5">
              <w:rPr>
                <w:rFonts w:hint="eastAsia"/>
                <w:bCs/>
                <w:kern w:val="0"/>
                <w:sz w:val="18"/>
                <w:szCs w:val="18"/>
                <w:vertAlign w:val="subscript"/>
              </w:rPr>
              <w:t xml:space="preserve"> 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g/t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12.9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47.1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96.6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149.1</w:t>
            </w:r>
          </w:p>
        </w:tc>
      </w:tr>
      <w:tr w:rsidR="00364F1A" w:rsidRPr="004C38B5" w:rsidTr="00035692">
        <w:trPr>
          <w:trHeight w:val="239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r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g/t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1.5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3.0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6.0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10.0</w:t>
            </w:r>
          </w:p>
        </w:tc>
      </w:tr>
      <w:tr w:rsidR="00364F1A" w:rsidRPr="004C38B5" w:rsidTr="00035692">
        <w:trPr>
          <w:trHeight w:val="239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R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g/t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2.5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5.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10.0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364F1A" w:rsidRPr="004C38B5" w:rsidRDefault="00364F1A" w:rsidP="00035692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14.0</w:t>
            </w:r>
          </w:p>
        </w:tc>
      </w:tr>
    </w:tbl>
    <w:p w:rsidR="000C12D3" w:rsidRPr="00187593" w:rsidRDefault="000C12D3" w:rsidP="00B068EA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187593">
        <w:rPr>
          <w:rFonts w:ascii="黑体" w:eastAsia="黑体" w:hAnsi="黑体" w:hint="eastAsia"/>
          <w:color w:val="000000"/>
          <w:szCs w:val="21"/>
        </w:rPr>
        <w:t>四、标准中涉及专利的情况</w:t>
      </w:r>
    </w:p>
    <w:p w:rsidR="000C12D3" w:rsidRDefault="000C12D3" w:rsidP="000B4519">
      <w:pPr>
        <w:ind w:firstLineChars="200" w:firstLine="420"/>
        <w:rPr>
          <w:bCs/>
        </w:rPr>
      </w:pPr>
      <w:r>
        <w:rPr>
          <w:rFonts w:hint="eastAsia"/>
          <w:bCs/>
        </w:rPr>
        <w:t>本标准不涉及专利问题。</w:t>
      </w:r>
    </w:p>
    <w:p w:rsidR="006F5F5C" w:rsidRPr="008F0C0E" w:rsidRDefault="006F5F5C" w:rsidP="00B068EA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8F0C0E">
        <w:rPr>
          <w:rFonts w:ascii="黑体" w:eastAsia="黑体" w:hAnsi="黑体" w:hint="eastAsia"/>
          <w:color w:val="000000"/>
          <w:szCs w:val="21"/>
        </w:rPr>
        <w:t>五、预期达到的社会效益</w:t>
      </w:r>
    </w:p>
    <w:p w:rsidR="006F5F5C" w:rsidRDefault="006F5F5C" w:rsidP="00F1463E">
      <w:pPr>
        <w:outlineLvl w:val="1"/>
        <w:rPr>
          <w:b/>
          <w:szCs w:val="21"/>
        </w:rPr>
      </w:pPr>
      <w:r w:rsidRPr="00895092">
        <w:rPr>
          <w:rFonts w:hint="eastAsia"/>
          <w:b/>
          <w:szCs w:val="21"/>
        </w:rPr>
        <w:t>（一）项目的必要性简述</w:t>
      </w:r>
    </w:p>
    <w:p w:rsidR="00BC7A78" w:rsidRDefault="0074793E" w:rsidP="00BC7A78">
      <w:pPr>
        <w:ind w:firstLineChars="200" w:firstLine="420"/>
        <w:rPr>
          <w:szCs w:val="21"/>
        </w:rPr>
      </w:pPr>
      <w:r w:rsidRPr="000B4519">
        <w:rPr>
          <w:rFonts w:hint="eastAsia"/>
          <w:bCs/>
        </w:rPr>
        <w:t>目前，全球已探明的镍储量约为</w:t>
      </w:r>
      <w:r w:rsidRPr="000B4519">
        <w:rPr>
          <w:bCs/>
        </w:rPr>
        <w:t>1.6</w:t>
      </w:r>
      <w:r w:rsidRPr="000B4519">
        <w:rPr>
          <w:rFonts w:hint="eastAsia"/>
          <w:bCs/>
        </w:rPr>
        <w:t>亿吨，其中</w:t>
      </w:r>
      <w:proofErr w:type="gramStart"/>
      <w:r w:rsidRPr="000B4519">
        <w:rPr>
          <w:rFonts w:hint="eastAsia"/>
          <w:bCs/>
        </w:rPr>
        <w:t>硫化矿约占</w:t>
      </w:r>
      <w:proofErr w:type="gramEnd"/>
      <w:r w:rsidRPr="000B4519">
        <w:rPr>
          <w:bCs/>
        </w:rPr>
        <w:t>30%</w:t>
      </w:r>
      <w:r w:rsidRPr="000B4519">
        <w:rPr>
          <w:rFonts w:hint="eastAsia"/>
          <w:bCs/>
        </w:rPr>
        <w:t>，红土镍矿约占</w:t>
      </w:r>
      <w:r w:rsidRPr="000B4519">
        <w:rPr>
          <w:bCs/>
        </w:rPr>
        <w:t>70%</w:t>
      </w:r>
      <w:r w:rsidRPr="000B4519">
        <w:rPr>
          <w:rFonts w:hint="eastAsia"/>
          <w:bCs/>
        </w:rPr>
        <w:t>，</w:t>
      </w:r>
      <w:r w:rsidR="000B4519" w:rsidRPr="000B4519">
        <w:rPr>
          <w:rFonts w:hint="eastAsia"/>
          <w:bCs/>
        </w:rPr>
        <w:t>由于</w:t>
      </w:r>
      <w:r w:rsidR="000B4519" w:rsidRPr="000B4519">
        <w:rPr>
          <w:bCs/>
        </w:rPr>
        <w:t>硫化镍矿资源品质好</w:t>
      </w:r>
      <w:r w:rsidR="000B4519" w:rsidRPr="000B4519">
        <w:rPr>
          <w:rFonts w:hint="eastAsia"/>
          <w:bCs/>
        </w:rPr>
        <w:t>，工艺技术成熟，现约</w:t>
      </w:r>
      <w:r w:rsidR="000B4519" w:rsidRPr="000B4519">
        <w:rPr>
          <w:bCs/>
        </w:rPr>
        <w:t>60%</w:t>
      </w:r>
      <w:r w:rsidR="000B4519" w:rsidRPr="000B4519">
        <w:rPr>
          <w:rFonts w:hint="eastAsia"/>
          <w:bCs/>
        </w:rPr>
        <w:t>的镍产量来源于硫化镍矿。</w:t>
      </w:r>
      <w:r w:rsidRPr="000B4519">
        <w:rPr>
          <w:bCs/>
        </w:rPr>
        <w:t>镍精矿是硫化镍矿通过选矿方法浮选得到</w:t>
      </w:r>
      <w:r w:rsidR="00BC7A78" w:rsidRPr="00C36939">
        <w:rPr>
          <w:rFonts w:hint="eastAsia"/>
          <w:color w:val="000000"/>
          <w:szCs w:val="21"/>
        </w:rPr>
        <w:t>，其中含有大量的有价元素，如镍、铜、钴、金、铂、钯、银等，其中银的含量大多在</w:t>
      </w:r>
      <w:r w:rsidR="00BC7A78" w:rsidRPr="00C36939">
        <w:rPr>
          <w:rFonts w:hint="eastAsia"/>
          <w:color w:val="000000"/>
          <w:szCs w:val="21"/>
        </w:rPr>
        <w:t>10g/t</w:t>
      </w:r>
      <w:r w:rsidR="00BC7A78" w:rsidRPr="00C36939">
        <w:rPr>
          <w:rFonts w:hint="eastAsia"/>
          <w:color w:val="000000"/>
          <w:szCs w:val="21"/>
        </w:rPr>
        <w:t>以上，个别厂家的银含量可达</w:t>
      </w:r>
      <w:r w:rsidR="00BC7A78" w:rsidRPr="00C36939">
        <w:rPr>
          <w:rFonts w:hint="eastAsia"/>
          <w:color w:val="000000"/>
          <w:szCs w:val="21"/>
        </w:rPr>
        <w:t>100g/t</w:t>
      </w:r>
      <w:r w:rsidR="00BC7A78">
        <w:rPr>
          <w:rFonts w:hint="eastAsia"/>
          <w:color w:val="000000"/>
          <w:szCs w:val="21"/>
        </w:rPr>
        <w:t>以上</w:t>
      </w:r>
      <w:r w:rsidR="00BC7A78" w:rsidRPr="00C36939">
        <w:rPr>
          <w:rFonts w:hint="eastAsia"/>
          <w:color w:val="000000"/>
          <w:szCs w:val="21"/>
        </w:rPr>
        <w:t>，在贸易中与</w:t>
      </w:r>
      <w:r w:rsidR="00BC7A78" w:rsidRPr="00C36939">
        <w:rPr>
          <w:szCs w:val="21"/>
        </w:rPr>
        <w:t>镍、铜、</w:t>
      </w:r>
      <w:proofErr w:type="gramStart"/>
      <w:r w:rsidR="00BC7A78" w:rsidRPr="00C36939">
        <w:rPr>
          <w:szCs w:val="21"/>
        </w:rPr>
        <w:t>钴</w:t>
      </w:r>
      <w:r w:rsidR="00BC7A78" w:rsidRPr="00C36939">
        <w:rPr>
          <w:rFonts w:hint="eastAsia"/>
          <w:szCs w:val="21"/>
        </w:rPr>
        <w:t>以及</w:t>
      </w:r>
      <w:proofErr w:type="gramEnd"/>
      <w:r w:rsidR="00BC7A78" w:rsidRPr="00C36939">
        <w:rPr>
          <w:rFonts w:hint="eastAsia"/>
          <w:szCs w:val="21"/>
        </w:rPr>
        <w:t>金、铂、</w:t>
      </w:r>
      <w:proofErr w:type="gramStart"/>
      <w:r w:rsidR="00BC7A78" w:rsidRPr="00C36939">
        <w:rPr>
          <w:rFonts w:hint="eastAsia"/>
          <w:szCs w:val="21"/>
        </w:rPr>
        <w:t>钯</w:t>
      </w:r>
      <w:r w:rsidR="00BC7A78" w:rsidRPr="00C36939">
        <w:rPr>
          <w:szCs w:val="21"/>
        </w:rPr>
        <w:t>共同</w:t>
      </w:r>
      <w:proofErr w:type="gramEnd"/>
      <w:r w:rsidR="00BC7A78" w:rsidRPr="00C36939">
        <w:rPr>
          <w:szCs w:val="21"/>
        </w:rPr>
        <w:t>参与物料的结算</w:t>
      </w:r>
      <w:r w:rsidR="00BC7A78" w:rsidRPr="00C36939">
        <w:rPr>
          <w:rFonts w:hint="eastAsia"/>
          <w:szCs w:val="21"/>
        </w:rPr>
        <w:t>。</w:t>
      </w:r>
      <w:r w:rsidR="00BC7A78">
        <w:rPr>
          <w:rFonts w:hint="eastAsia"/>
          <w:szCs w:val="21"/>
        </w:rPr>
        <w:t>仅</w:t>
      </w:r>
      <w:r w:rsidR="00BC7A78" w:rsidRPr="00B3256C">
        <w:rPr>
          <w:rFonts w:hint="eastAsia"/>
          <w:szCs w:val="21"/>
        </w:rPr>
        <w:t>金川集团股份有限公司近几年每年外购的国内外镍精矿就有近</w:t>
      </w:r>
      <w:r w:rsidR="00BC7A78" w:rsidRPr="00B3256C">
        <w:rPr>
          <w:rFonts w:hint="eastAsia"/>
          <w:szCs w:val="21"/>
        </w:rPr>
        <w:t>50</w:t>
      </w:r>
      <w:r w:rsidR="00BC7A78" w:rsidRPr="00B3256C">
        <w:rPr>
          <w:rFonts w:hint="eastAsia"/>
          <w:szCs w:val="21"/>
        </w:rPr>
        <w:t>万吨，其中银量</w:t>
      </w:r>
      <w:r w:rsidR="00BC7A78">
        <w:rPr>
          <w:rFonts w:hint="eastAsia"/>
          <w:szCs w:val="21"/>
        </w:rPr>
        <w:t>在</w:t>
      </w:r>
      <w:r w:rsidR="00BC7A78" w:rsidRPr="00B3256C">
        <w:rPr>
          <w:rFonts w:hint="eastAsia"/>
          <w:szCs w:val="21"/>
        </w:rPr>
        <w:t>2000 Kg</w:t>
      </w:r>
      <w:r w:rsidR="00BC7A78">
        <w:rPr>
          <w:rFonts w:hint="eastAsia"/>
          <w:szCs w:val="21"/>
        </w:rPr>
        <w:t>以上</w:t>
      </w:r>
      <w:r w:rsidR="00BC7A78" w:rsidRPr="00B3256C">
        <w:rPr>
          <w:rFonts w:hint="eastAsia"/>
          <w:szCs w:val="21"/>
        </w:rPr>
        <w:t>，价值不容忽视。</w:t>
      </w:r>
    </w:p>
    <w:p w:rsidR="00BC7A78" w:rsidRDefault="00BC7A78" w:rsidP="00BC7A78">
      <w:pPr>
        <w:ind w:firstLine="435"/>
        <w:rPr>
          <w:bCs/>
        </w:rPr>
      </w:pPr>
      <w:r w:rsidRPr="00C36939">
        <w:rPr>
          <w:rFonts w:hint="eastAsia"/>
          <w:szCs w:val="21"/>
        </w:rPr>
        <w:t>在</w:t>
      </w:r>
      <w:r w:rsidRPr="00C36939">
        <w:rPr>
          <w:szCs w:val="21"/>
        </w:rPr>
        <w:t>现行有色行业标准《</w:t>
      </w:r>
      <w:r w:rsidRPr="00C36939">
        <w:rPr>
          <w:rFonts w:hint="eastAsia"/>
          <w:szCs w:val="21"/>
        </w:rPr>
        <w:t>镍精矿</w:t>
      </w:r>
      <w:r w:rsidRPr="00C36939">
        <w:rPr>
          <w:szCs w:val="21"/>
        </w:rPr>
        <w:t>化学分析方法》</w:t>
      </w:r>
      <w:r w:rsidRPr="00C36939">
        <w:rPr>
          <w:rFonts w:hint="eastAsia"/>
          <w:szCs w:val="21"/>
        </w:rPr>
        <w:t>中没有银量的分析标准，</w:t>
      </w:r>
      <w:r w:rsidRPr="00B3256C">
        <w:rPr>
          <w:rFonts w:hint="eastAsia"/>
          <w:szCs w:val="21"/>
        </w:rPr>
        <w:t>在国内也没有系统成熟的分析</w:t>
      </w:r>
      <w:r w:rsidRPr="00C36939">
        <w:rPr>
          <w:rFonts w:hint="eastAsia"/>
          <w:color w:val="000000"/>
          <w:szCs w:val="21"/>
        </w:rPr>
        <w:t>检测方法，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研究建立行业认可的镍精矿中</w:t>
      </w:r>
      <w:r>
        <w:rPr>
          <w:rFonts w:asciiTheme="minorEastAsia" w:eastAsiaTheme="minorEastAsia" w:hAnsiTheme="minorEastAsia" w:hint="eastAsia"/>
          <w:color w:val="000000"/>
          <w:szCs w:val="21"/>
        </w:rPr>
        <w:t>银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含量的标准分析方法，对镍冶炼工艺中贵金属的回收利用，指导后续冶炼生产具有重要的意义，在镍精矿进出口贸易中，起到避免和减少贸易纠纷的作用。</w:t>
      </w:r>
      <w:r w:rsidRPr="00C36939">
        <w:rPr>
          <w:rFonts w:hint="eastAsia"/>
          <w:color w:val="000000"/>
          <w:szCs w:val="21"/>
        </w:rPr>
        <w:t>因此，建立</w:t>
      </w:r>
      <w:r w:rsidRPr="00C36939">
        <w:rPr>
          <w:szCs w:val="21"/>
        </w:rPr>
        <w:t>一个行业认可、方法准确可靠的</w:t>
      </w:r>
      <w:r w:rsidRPr="00C36939">
        <w:rPr>
          <w:rFonts w:hint="eastAsia"/>
          <w:color w:val="000000"/>
          <w:szCs w:val="21"/>
        </w:rPr>
        <w:t>镍精矿中银含量的测定方法很有必要。</w:t>
      </w:r>
    </w:p>
    <w:p w:rsidR="00895092" w:rsidRPr="00B866A7" w:rsidRDefault="00895092" w:rsidP="00B866A7">
      <w:pPr>
        <w:outlineLvl w:val="1"/>
        <w:rPr>
          <w:b/>
          <w:szCs w:val="21"/>
        </w:rPr>
      </w:pPr>
      <w:r w:rsidRPr="00B866A7">
        <w:rPr>
          <w:rFonts w:hint="eastAsia"/>
          <w:b/>
          <w:szCs w:val="21"/>
        </w:rPr>
        <w:t>（二）项目的可行性简述</w:t>
      </w:r>
    </w:p>
    <w:p w:rsidR="009C482D" w:rsidRPr="004819B7" w:rsidRDefault="009C482D" w:rsidP="00BA0A32">
      <w:pPr>
        <w:ind w:firstLine="435"/>
        <w:rPr>
          <w:rFonts w:asciiTheme="minorEastAsia" w:eastAsiaTheme="minorEastAsia" w:hAnsiTheme="minorEastAsia"/>
          <w:color w:val="000000"/>
          <w:szCs w:val="21"/>
        </w:rPr>
      </w:pPr>
      <w:r w:rsidRPr="004819B7">
        <w:rPr>
          <w:rFonts w:asciiTheme="minorEastAsia" w:eastAsiaTheme="minorEastAsia" w:hAnsiTheme="minorEastAsia"/>
          <w:color w:val="000000"/>
          <w:szCs w:val="21"/>
        </w:rPr>
        <w:t>金川集团股份有限公司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是中国的镍钴生产基地、铂</w:t>
      </w:r>
      <w:r w:rsidR="00E255D7">
        <w:rPr>
          <w:rFonts w:asciiTheme="minorEastAsia" w:eastAsiaTheme="minorEastAsia" w:hAnsiTheme="minorEastAsia" w:hint="eastAsia"/>
          <w:color w:val="000000"/>
          <w:szCs w:val="21"/>
        </w:rPr>
        <w:t>族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金属提炼中心和国内第三大铜生产企业，</w:t>
      </w:r>
      <w:r w:rsidR="008854F4" w:rsidRPr="004819B7">
        <w:rPr>
          <w:rFonts w:asciiTheme="minorEastAsia" w:eastAsiaTheme="minorEastAsia" w:hAnsiTheme="minorEastAsia" w:hint="eastAsia"/>
          <w:color w:val="000000"/>
          <w:szCs w:val="21"/>
        </w:rPr>
        <w:t>镍精矿是公司的重要原料，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主产品镍、铜、</w:t>
      </w:r>
      <w:proofErr w:type="gramStart"/>
      <w:r w:rsidRPr="004819B7">
        <w:rPr>
          <w:rFonts w:asciiTheme="minorEastAsia" w:eastAsiaTheme="minorEastAsia" w:hAnsiTheme="minorEastAsia" w:hint="eastAsia"/>
          <w:color w:val="000000"/>
          <w:szCs w:val="21"/>
        </w:rPr>
        <w:t>钴广泛</w:t>
      </w:r>
      <w:proofErr w:type="gramEnd"/>
      <w:r w:rsidRPr="004819B7">
        <w:rPr>
          <w:rFonts w:asciiTheme="minorEastAsia" w:eastAsiaTheme="minorEastAsia" w:hAnsiTheme="minorEastAsia" w:hint="eastAsia"/>
          <w:color w:val="000000"/>
          <w:szCs w:val="21"/>
        </w:rPr>
        <w:t>应用于电力电气、机械制造、航空航天、石油化工、电子电池及国防等</w:t>
      </w:r>
      <w:r w:rsidR="00E255D7" w:rsidRPr="004819B7">
        <w:rPr>
          <w:rFonts w:asciiTheme="minorEastAsia" w:eastAsiaTheme="minorEastAsia" w:hAnsiTheme="minorEastAsia" w:hint="eastAsia"/>
          <w:color w:val="000000"/>
          <w:szCs w:val="21"/>
        </w:rPr>
        <w:t>均属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国</w:t>
      </w:r>
      <w:r w:rsidR="00E255D7">
        <w:rPr>
          <w:rFonts w:asciiTheme="minorEastAsia" w:eastAsiaTheme="minorEastAsia" w:hAnsiTheme="minorEastAsia" w:hint="eastAsia"/>
          <w:color w:val="000000"/>
          <w:szCs w:val="21"/>
        </w:rPr>
        <w:t>民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经济等重要领域；铂</w:t>
      </w:r>
      <w:r w:rsidR="00E255D7">
        <w:rPr>
          <w:rFonts w:asciiTheme="minorEastAsia" w:eastAsiaTheme="minorEastAsia" w:hAnsiTheme="minorEastAsia" w:hint="eastAsia"/>
          <w:color w:val="000000"/>
          <w:szCs w:val="21"/>
        </w:rPr>
        <w:t>族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金属金、银、铂、钯、</w:t>
      </w:r>
      <w:proofErr w:type="gramStart"/>
      <w:r w:rsidRPr="004819B7">
        <w:rPr>
          <w:rFonts w:asciiTheme="minorEastAsia" w:eastAsiaTheme="minorEastAsia" w:hAnsiTheme="minorEastAsia" w:hint="eastAsia"/>
          <w:color w:val="000000"/>
          <w:szCs w:val="21"/>
        </w:rPr>
        <w:t>锇</w:t>
      </w:r>
      <w:proofErr w:type="gramEnd"/>
      <w:r w:rsidRPr="004819B7">
        <w:rPr>
          <w:rFonts w:asciiTheme="minorEastAsia" w:eastAsiaTheme="minorEastAsia" w:hAnsiTheme="minorEastAsia" w:hint="eastAsia"/>
          <w:color w:val="000000"/>
          <w:szCs w:val="21"/>
        </w:rPr>
        <w:t>、铱、钌、</w:t>
      </w:r>
      <w:proofErr w:type="gramStart"/>
      <w:r w:rsidRPr="004819B7">
        <w:rPr>
          <w:rFonts w:asciiTheme="minorEastAsia" w:eastAsiaTheme="minorEastAsia" w:hAnsiTheme="minorEastAsia" w:hint="eastAsia"/>
          <w:color w:val="000000"/>
          <w:szCs w:val="21"/>
        </w:rPr>
        <w:t>铑</w:t>
      </w:r>
      <w:proofErr w:type="gramEnd"/>
      <w:r w:rsidRPr="004819B7">
        <w:rPr>
          <w:rFonts w:asciiTheme="minorEastAsia" w:eastAsiaTheme="minorEastAsia" w:hAnsiTheme="minorEastAsia" w:hint="eastAsia"/>
          <w:color w:val="000000"/>
          <w:szCs w:val="21"/>
        </w:rPr>
        <w:t>均有相应的产品。</w:t>
      </w:r>
    </w:p>
    <w:p w:rsidR="009C482D" w:rsidRPr="004819B7" w:rsidRDefault="009C482D" w:rsidP="00BA0A32">
      <w:pPr>
        <w:ind w:firstLine="435"/>
        <w:rPr>
          <w:rFonts w:asciiTheme="minorEastAsia" w:eastAsiaTheme="minorEastAsia" w:hAnsiTheme="minorEastAsia"/>
          <w:color w:val="000000"/>
          <w:szCs w:val="21"/>
        </w:rPr>
      </w:pPr>
      <w:r w:rsidRPr="004819B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公司设有专门的检测机构，即检测中心，</w:t>
      </w:r>
      <w:r w:rsidR="00816C6E" w:rsidRPr="004819B7">
        <w:rPr>
          <w:rFonts w:asciiTheme="minorEastAsia" w:eastAsiaTheme="minorEastAsia" w:hAnsiTheme="minorEastAsia" w:hint="eastAsia"/>
          <w:color w:val="000000"/>
          <w:szCs w:val="21"/>
        </w:rPr>
        <w:t>具有ISO/IEC国家认可实验室（CNASL17025）认可资质</w:t>
      </w:r>
      <w:proofErr w:type="gramStart"/>
      <w:r w:rsidR="00816C6E" w:rsidRPr="004819B7">
        <w:rPr>
          <w:rFonts w:asciiTheme="minorEastAsia" w:eastAsiaTheme="minorEastAsia" w:hAnsiTheme="minorEastAsia" w:hint="eastAsia"/>
          <w:color w:val="000000"/>
          <w:szCs w:val="21"/>
        </w:rPr>
        <w:t>”</w:t>
      </w:r>
      <w:proofErr w:type="gramEnd"/>
      <w:r w:rsidR="00816C6E" w:rsidRPr="004819B7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负责集团公司最终产品、外购</w:t>
      </w:r>
      <w:r w:rsidR="008854F4" w:rsidRPr="004819B7">
        <w:rPr>
          <w:rFonts w:asciiTheme="minorEastAsia" w:eastAsiaTheme="minorEastAsia" w:hAnsiTheme="minorEastAsia" w:hint="eastAsia"/>
          <w:color w:val="000000"/>
          <w:szCs w:val="21"/>
        </w:rPr>
        <w:t>镍铜钴及贵金属原料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、厂</w:t>
      </w:r>
      <w:r w:rsidR="00E255D7">
        <w:rPr>
          <w:rFonts w:asciiTheme="minorEastAsia" w:eastAsiaTheme="minorEastAsia" w:hAnsiTheme="minorEastAsia" w:hint="eastAsia"/>
          <w:color w:val="000000"/>
          <w:szCs w:val="21"/>
        </w:rPr>
        <w:t>际</w:t>
      </w:r>
      <w:r w:rsidRPr="004819B7">
        <w:rPr>
          <w:rFonts w:asciiTheme="minorEastAsia" w:eastAsiaTheme="minorEastAsia" w:hAnsiTheme="minorEastAsia" w:hint="eastAsia"/>
          <w:color w:val="000000"/>
          <w:szCs w:val="21"/>
        </w:rPr>
        <w:t>结算物料的采样、制样和化验分析等业务，</w:t>
      </w:r>
      <w:r w:rsidR="008854F4" w:rsidRPr="004819B7">
        <w:rPr>
          <w:rFonts w:asciiTheme="minorEastAsia" w:eastAsiaTheme="minorEastAsia" w:hAnsiTheme="minorEastAsia" w:hint="eastAsia"/>
          <w:color w:val="000000"/>
          <w:szCs w:val="21"/>
        </w:rPr>
        <w:t>实验室拥有多台火焰原子吸收光谱仪、电感耦合等离子体原子发射光谱仪、电感耦合等离子体质谱仪，具备项目研究所需的仪器设备。标准起草人员多次参与国际标准、国家标准及有色行业标准的起草、验证等工作，制定标准的经验丰富。自实验室成立至今，一</w:t>
      </w:r>
      <w:r w:rsidR="00BA0A32" w:rsidRPr="004819B7">
        <w:rPr>
          <w:rFonts w:asciiTheme="minorEastAsia" w:eastAsiaTheme="minorEastAsia" w:hAnsiTheme="minorEastAsia" w:hint="eastAsia"/>
          <w:color w:val="000000"/>
          <w:szCs w:val="21"/>
        </w:rPr>
        <w:t>直</w:t>
      </w:r>
      <w:r w:rsidR="008854F4" w:rsidRPr="004819B7">
        <w:rPr>
          <w:rFonts w:asciiTheme="minorEastAsia" w:eastAsiaTheme="minorEastAsia" w:hAnsiTheme="minorEastAsia" w:hint="eastAsia"/>
          <w:color w:val="000000"/>
          <w:szCs w:val="21"/>
        </w:rPr>
        <w:t>开展</w:t>
      </w:r>
      <w:r w:rsidR="00816C6E" w:rsidRPr="004819B7">
        <w:rPr>
          <w:rFonts w:asciiTheme="minorEastAsia" w:eastAsiaTheme="minorEastAsia" w:hAnsiTheme="minorEastAsia" w:hint="eastAsia"/>
          <w:color w:val="000000"/>
          <w:szCs w:val="21"/>
        </w:rPr>
        <w:t>镍精矿中</w:t>
      </w:r>
      <w:r w:rsidR="00A30A29">
        <w:rPr>
          <w:rFonts w:asciiTheme="minorEastAsia" w:eastAsiaTheme="minorEastAsia" w:hAnsiTheme="minorEastAsia" w:hint="eastAsia"/>
          <w:color w:val="000000"/>
          <w:szCs w:val="21"/>
        </w:rPr>
        <w:t>银</w:t>
      </w:r>
      <w:r w:rsidR="00816C6E" w:rsidRPr="004819B7">
        <w:rPr>
          <w:rFonts w:asciiTheme="minorEastAsia" w:eastAsiaTheme="minorEastAsia" w:hAnsiTheme="minorEastAsia" w:hint="eastAsia"/>
          <w:color w:val="000000"/>
          <w:szCs w:val="21"/>
        </w:rPr>
        <w:t>的检测</w:t>
      </w:r>
      <w:r w:rsidR="008854F4" w:rsidRPr="004819B7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BA0A32" w:rsidRPr="004819B7">
        <w:rPr>
          <w:rFonts w:asciiTheme="minorEastAsia" w:eastAsiaTheme="minorEastAsia" w:hAnsiTheme="minorEastAsia" w:hint="eastAsia"/>
          <w:color w:val="000000"/>
          <w:szCs w:val="21"/>
        </w:rPr>
        <w:t>检测的镍精矿物料涉及国内外十几个产地，</w:t>
      </w:r>
      <w:r w:rsidR="008854F4" w:rsidRPr="004819B7">
        <w:rPr>
          <w:rFonts w:asciiTheme="minorEastAsia" w:eastAsiaTheme="minorEastAsia" w:hAnsiTheme="minorEastAsia" w:hint="eastAsia"/>
          <w:color w:val="000000"/>
          <w:szCs w:val="21"/>
        </w:rPr>
        <w:t>方法</w:t>
      </w:r>
      <w:r w:rsidR="00BA0A32" w:rsidRPr="004819B7">
        <w:rPr>
          <w:rFonts w:asciiTheme="minorEastAsia" w:eastAsiaTheme="minorEastAsia" w:hAnsiTheme="minorEastAsia" w:hint="eastAsia"/>
          <w:color w:val="000000"/>
          <w:szCs w:val="21"/>
        </w:rPr>
        <w:t>研究得到</w:t>
      </w:r>
      <w:r w:rsidR="008854F4" w:rsidRPr="004819B7">
        <w:rPr>
          <w:rFonts w:asciiTheme="minorEastAsia" w:eastAsiaTheme="minorEastAsia" w:hAnsiTheme="minorEastAsia" w:hint="eastAsia"/>
          <w:color w:val="000000"/>
          <w:szCs w:val="21"/>
        </w:rPr>
        <w:t>逐步完善，</w:t>
      </w:r>
      <w:r w:rsidR="00B21A7F" w:rsidRPr="004819B7">
        <w:rPr>
          <w:rFonts w:asciiTheme="minorEastAsia" w:eastAsiaTheme="minorEastAsia" w:hAnsiTheme="minorEastAsia" w:hint="eastAsia"/>
          <w:color w:val="000000"/>
          <w:szCs w:val="21"/>
        </w:rPr>
        <w:t>有坚实的</w:t>
      </w:r>
      <w:r w:rsidR="00267054" w:rsidRPr="004819B7">
        <w:rPr>
          <w:rFonts w:asciiTheme="minorEastAsia" w:eastAsiaTheme="minorEastAsia" w:hAnsiTheme="minorEastAsia" w:hint="eastAsia"/>
          <w:color w:val="000000"/>
          <w:szCs w:val="21"/>
        </w:rPr>
        <w:t>技术储备</w:t>
      </w:r>
      <w:r w:rsidR="00B21A7F" w:rsidRPr="004819B7">
        <w:rPr>
          <w:rFonts w:asciiTheme="minorEastAsia" w:eastAsiaTheme="minorEastAsia" w:hAnsiTheme="minorEastAsia" w:hint="eastAsia"/>
          <w:color w:val="000000"/>
          <w:szCs w:val="21"/>
        </w:rPr>
        <w:t>和丰富的</w:t>
      </w:r>
      <w:r w:rsidR="00BA0A32" w:rsidRPr="004819B7">
        <w:rPr>
          <w:rFonts w:asciiTheme="minorEastAsia" w:eastAsiaTheme="minorEastAsia" w:hAnsiTheme="minorEastAsia" w:hint="eastAsia"/>
          <w:color w:val="000000"/>
          <w:szCs w:val="21"/>
        </w:rPr>
        <w:t>检测经验</w:t>
      </w:r>
      <w:r w:rsidR="00B21A7F" w:rsidRPr="004819B7">
        <w:rPr>
          <w:rFonts w:asciiTheme="minorEastAsia" w:eastAsiaTheme="minorEastAsia" w:hAnsiTheme="minorEastAsia" w:hint="eastAsia"/>
          <w:color w:val="000000"/>
          <w:szCs w:val="21"/>
        </w:rPr>
        <w:t>，在镍精矿贸易中</w:t>
      </w:r>
      <w:r w:rsidR="00A30A29">
        <w:rPr>
          <w:rFonts w:asciiTheme="minorEastAsia" w:eastAsiaTheme="minorEastAsia" w:hAnsiTheme="minorEastAsia" w:hint="eastAsia"/>
          <w:color w:val="000000"/>
          <w:szCs w:val="21"/>
        </w:rPr>
        <w:t>银</w:t>
      </w:r>
      <w:r w:rsidR="00B21A7F" w:rsidRPr="004819B7">
        <w:rPr>
          <w:rFonts w:asciiTheme="minorEastAsia" w:eastAsiaTheme="minorEastAsia" w:hAnsiTheme="minorEastAsia" w:hint="eastAsia"/>
          <w:color w:val="000000"/>
          <w:szCs w:val="21"/>
        </w:rPr>
        <w:t>的检测结果得到双方的认可</w:t>
      </w:r>
      <w:r w:rsidR="00BA0A32" w:rsidRPr="004819B7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895092" w:rsidRPr="00B866A7" w:rsidRDefault="00895092" w:rsidP="00B866A7">
      <w:pPr>
        <w:outlineLvl w:val="1"/>
        <w:rPr>
          <w:b/>
          <w:szCs w:val="21"/>
        </w:rPr>
      </w:pPr>
      <w:r w:rsidRPr="00B866A7">
        <w:rPr>
          <w:rFonts w:hint="eastAsia"/>
          <w:b/>
          <w:szCs w:val="21"/>
        </w:rPr>
        <w:t>（三）标准的先进性、创新性、标准实施后预期产生的经济效益和社会效益</w:t>
      </w:r>
    </w:p>
    <w:p w:rsidR="007B3855" w:rsidRDefault="0083166D" w:rsidP="00816C6E">
      <w:pPr>
        <w:ind w:firstLine="420"/>
        <w:rPr>
          <w:color w:val="000000"/>
          <w:szCs w:val="21"/>
        </w:rPr>
      </w:pPr>
      <w:r w:rsidRPr="008876D6">
        <w:rPr>
          <w:rFonts w:asciiTheme="minorEastAsia" w:eastAsiaTheme="minorEastAsia" w:hAnsiTheme="minorEastAsia" w:hint="eastAsia"/>
          <w:color w:val="000000"/>
          <w:szCs w:val="21"/>
        </w:rPr>
        <w:t>经过资料搜索，</w:t>
      </w:r>
      <w:r w:rsidRPr="008876D6">
        <w:rPr>
          <w:rFonts w:asciiTheme="minorEastAsia" w:eastAsiaTheme="minorEastAsia" w:hAnsiTheme="minorEastAsia"/>
          <w:color w:val="000000"/>
          <w:szCs w:val="21"/>
        </w:rPr>
        <w:t>镍精矿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化学分析方法无国际标准，</w:t>
      </w:r>
      <w:r w:rsidRPr="008876D6">
        <w:rPr>
          <w:rFonts w:asciiTheme="minorEastAsia" w:eastAsiaTheme="minorEastAsia" w:hAnsiTheme="minorEastAsia"/>
          <w:color w:val="000000"/>
          <w:szCs w:val="21"/>
        </w:rPr>
        <w:t>有色行业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标准有</w:t>
      </w:r>
      <w:r w:rsidRPr="008876D6">
        <w:rPr>
          <w:rFonts w:asciiTheme="minorEastAsia" w:eastAsiaTheme="minorEastAsia" w:hAnsiTheme="minorEastAsia"/>
          <w:color w:val="000000"/>
          <w:szCs w:val="21"/>
        </w:rPr>
        <w:t>两个系列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的镍精矿分析方法</w:t>
      </w:r>
      <w:r w:rsidRPr="008876D6">
        <w:rPr>
          <w:rFonts w:asciiTheme="minorEastAsia" w:eastAsiaTheme="minorEastAsia" w:hAnsiTheme="minorEastAsia"/>
          <w:color w:val="000000"/>
          <w:szCs w:val="21"/>
        </w:rPr>
        <w:t>标准：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《镍精矿、钴硫精矿化学分析方法》</w:t>
      </w:r>
      <w:r w:rsidRPr="008876D6">
        <w:rPr>
          <w:rFonts w:asciiTheme="minorEastAsia" w:eastAsiaTheme="minorEastAsia" w:hAnsiTheme="minorEastAsia"/>
          <w:color w:val="000000"/>
          <w:szCs w:val="21"/>
        </w:rPr>
        <w:t>YS/T 472-2005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8876D6">
        <w:rPr>
          <w:rFonts w:asciiTheme="minorEastAsia" w:eastAsiaTheme="minorEastAsia" w:hAnsiTheme="minorEastAsia"/>
          <w:color w:val="000000"/>
          <w:szCs w:val="21"/>
        </w:rPr>
        <w:t>检测的项目为铅、砷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8876D6">
        <w:rPr>
          <w:rFonts w:asciiTheme="minorEastAsia" w:eastAsiaTheme="minorEastAsia" w:hAnsiTheme="minorEastAsia"/>
          <w:color w:val="000000"/>
          <w:szCs w:val="21"/>
        </w:rPr>
        <w:t>铬、镉、汞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；《镍精矿化学分析方法》</w:t>
      </w:r>
      <w:r w:rsidRPr="008876D6">
        <w:rPr>
          <w:rFonts w:asciiTheme="minorEastAsia" w:eastAsiaTheme="minorEastAsia" w:hAnsiTheme="minorEastAsia"/>
          <w:color w:val="000000"/>
          <w:szCs w:val="21"/>
        </w:rPr>
        <w:t>YS/T 341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.1</w:t>
      </w:r>
      <w:r w:rsidRPr="00E255D7">
        <w:rPr>
          <w:rFonts w:eastAsiaTheme="minorEastAsia"/>
          <w:color w:val="000000"/>
          <w:szCs w:val="21"/>
        </w:rPr>
        <w:t>~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.3</w:t>
      </w:r>
      <w:r w:rsidRPr="008876D6">
        <w:rPr>
          <w:rFonts w:asciiTheme="minorEastAsia" w:eastAsiaTheme="minorEastAsia" w:hAnsiTheme="minorEastAsia"/>
          <w:color w:val="000000"/>
          <w:szCs w:val="21"/>
        </w:rPr>
        <w:t>-2006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8876D6">
        <w:rPr>
          <w:rFonts w:asciiTheme="minorEastAsia" w:eastAsiaTheme="minorEastAsia" w:hAnsiTheme="minorEastAsia"/>
          <w:color w:val="000000"/>
          <w:szCs w:val="21"/>
        </w:rPr>
        <w:t>YS/T 341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.4</w:t>
      </w:r>
      <w:r w:rsidRPr="008876D6">
        <w:rPr>
          <w:rFonts w:asciiTheme="minorEastAsia" w:eastAsiaTheme="minorEastAsia" w:hAnsiTheme="minorEastAsia"/>
          <w:color w:val="000000"/>
          <w:szCs w:val="21"/>
        </w:rPr>
        <w:t>-20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16</w:t>
      </w:r>
      <w:r w:rsidRPr="008876D6">
        <w:rPr>
          <w:rFonts w:asciiTheme="minorEastAsia" w:eastAsiaTheme="minorEastAsia" w:hAnsiTheme="minorEastAsia"/>
          <w:color w:val="000000"/>
          <w:szCs w:val="21"/>
        </w:rPr>
        <w:t>，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检测项目为</w:t>
      </w:r>
      <w:r w:rsidRPr="008876D6">
        <w:rPr>
          <w:rFonts w:asciiTheme="minorEastAsia" w:eastAsiaTheme="minorEastAsia" w:hAnsiTheme="minorEastAsia"/>
          <w:color w:val="000000"/>
          <w:szCs w:val="21"/>
        </w:rPr>
        <w:t>镍、铜、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氧化</w:t>
      </w:r>
      <w:r w:rsidRPr="008876D6">
        <w:rPr>
          <w:rFonts w:asciiTheme="minorEastAsia" w:eastAsiaTheme="minorEastAsia" w:hAnsiTheme="minorEastAsia"/>
          <w:color w:val="000000"/>
          <w:szCs w:val="21"/>
        </w:rPr>
        <w:t>镁、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锌，没有镍精矿中</w:t>
      </w:r>
      <w:r w:rsidR="00A30A29">
        <w:rPr>
          <w:rFonts w:asciiTheme="minorEastAsia" w:eastAsiaTheme="minorEastAsia" w:hAnsiTheme="minorEastAsia" w:hint="eastAsia"/>
          <w:color w:val="000000"/>
          <w:szCs w:val="21"/>
        </w:rPr>
        <w:t>银</w:t>
      </w:r>
      <w:r w:rsidRPr="008876D6">
        <w:rPr>
          <w:rFonts w:asciiTheme="minorEastAsia" w:eastAsiaTheme="minorEastAsia" w:hAnsiTheme="minorEastAsia" w:hint="eastAsia"/>
          <w:color w:val="000000"/>
          <w:szCs w:val="21"/>
        </w:rPr>
        <w:t>含量测定相关的分析标</w:t>
      </w:r>
      <w:r w:rsidRPr="0083166D">
        <w:rPr>
          <w:rFonts w:hint="eastAsia"/>
          <w:color w:val="000000"/>
          <w:szCs w:val="21"/>
        </w:rPr>
        <w:t>准。</w:t>
      </w:r>
    </w:p>
    <w:p w:rsidR="00816C6E" w:rsidRPr="0083166D" w:rsidRDefault="00816C6E" w:rsidP="00816C6E">
      <w:pPr>
        <w:ind w:firstLine="420"/>
        <w:rPr>
          <w:color w:val="000000"/>
          <w:szCs w:val="21"/>
        </w:rPr>
      </w:pPr>
      <w:r w:rsidRPr="0083166D">
        <w:rPr>
          <w:color w:val="000000"/>
          <w:szCs w:val="21"/>
        </w:rPr>
        <w:t>本标准首次规定了镍精矿中</w:t>
      </w:r>
      <w:r w:rsidR="00A30A29">
        <w:rPr>
          <w:color w:val="000000"/>
          <w:szCs w:val="21"/>
        </w:rPr>
        <w:t>银</w:t>
      </w:r>
      <w:r w:rsidRPr="0083166D">
        <w:rPr>
          <w:color w:val="000000"/>
          <w:szCs w:val="21"/>
        </w:rPr>
        <w:t>含量的测定方法。在标准制定过程中，充分调研国内生产企业和国内外的贸易情况和技术方法，制定标准方法技术先进，可操作性强，适用性好，</w:t>
      </w:r>
      <w:r w:rsidRPr="0083166D">
        <w:rPr>
          <w:rFonts w:hint="eastAsia"/>
          <w:color w:val="000000"/>
          <w:szCs w:val="21"/>
        </w:rPr>
        <w:t>综合水平达到了</w:t>
      </w:r>
      <w:r w:rsidR="00E255D7">
        <w:rPr>
          <w:rFonts w:hint="eastAsia"/>
          <w:color w:val="FF0000"/>
          <w:szCs w:val="21"/>
        </w:rPr>
        <w:t>？？</w:t>
      </w:r>
      <w:r w:rsidR="0083166D" w:rsidRPr="0083166D">
        <w:rPr>
          <w:rFonts w:hint="eastAsia"/>
          <w:color w:val="FF0000"/>
          <w:szCs w:val="21"/>
        </w:rPr>
        <w:t>先进</w:t>
      </w:r>
      <w:r w:rsidRPr="0083166D">
        <w:rPr>
          <w:rFonts w:hint="eastAsia"/>
          <w:color w:val="FF0000"/>
          <w:szCs w:val="21"/>
        </w:rPr>
        <w:t>水平</w:t>
      </w:r>
      <w:r w:rsidRPr="0083166D">
        <w:rPr>
          <w:rFonts w:hint="eastAsia"/>
          <w:color w:val="000000"/>
          <w:szCs w:val="21"/>
        </w:rPr>
        <w:t>，</w:t>
      </w:r>
      <w:r w:rsidRPr="0083166D">
        <w:rPr>
          <w:color w:val="000000"/>
          <w:szCs w:val="21"/>
        </w:rPr>
        <w:t>为</w:t>
      </w:r>
      <w:r w:rsidR="00A30A29">
        <w:rPr>
          <w:color w:val="000000"/>
          <w:szCs w:val="21"/>
        </w:rPr>
        <w:t>银</w:t>
      </w:r>
      <w:r w:rsidRPr="0083166D">
        <w:rPr>
          <w:color w:val="000000"/>
          <w:szCs w:val="21"/>
        </w:rPr>
        <w:t>含量的测定提供了依据，有利于企业提高对镍精矿中</w:t>
      </w:r>
      <w:r w:rsidR="00A30A29">
        <w:rPr>
          <w:color w:val="000000"/>
          <w:szCs w:val="21"/>
        </w:rPr>
        <w:t>银</w:t>
      </w:r>
      <w:r w:rsidRPr="0083166D">
        <w:rPr>
          <w:color w:val="000000"/>
          <w:szCs w:val="21"/>
        </w:rPr>
        <w:t>的综合利用和生产</w:t>
      </w:r>
      <w:r w:rsidR="00EF2787" w:rsidRPr="0083166D">
        <w:rPr>
          <w:rFonts w:hint="eastAsia"/>
          <w:color w:val="000000"/>
          <w:szCs w:val="21"/>
        </w:rPr>
        <w:t>，对今后的进出口贸易也将带来很好的经济效益和社会效益</w:t>
      </w:r>
      <w:r w:rsidRPr="0083166D">
        <w:rPr>
          <w:color w:val="000000"/>
          <w:szCs w:val="21"/>
        </w:rPr>
        <w:t>，完全满足国内外生产企业和贸易的需求</w:t>
      </w:r>
      <w:r w:rsidR="0083166D" w:rsidRPr="0083166D">
        <w:rPr>
          <w:rFonts w:hint="eastAsia"/>
          <w:color w:val="000000"/>
          <w:szCs w:val="21"/>
        </w:rPr>
        <w:t>。</w:t>
      </w:r>
    </w:p>
    <w:p w:rsidR="00895092" w:rsidRPr="00CB3744" w:rsidRDefault="00895092" w:rsidP="00895092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CB3744">
        <w:rPr>
          <w:rFonts w:ascii="黑体" w:eastAsia="黑体" w:hAnsi="黑体" w:hint="eastAsia"/>
          <w:color w:val="000000"/>
          <w:szCs w:val="21"/>
        </w:rPr>
        <w:t>六、采用国际标准和国外先进标准的情况</w:t>
      </w:r>
    </w:p>
    <w:p w:rsidR="00895092" w:rsidRPr="003E4AD2" w:rsidRDefault="00895092" w:rsidP="0089509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3E4AD2">
        <w:rPr>
          <w:rFonts w:asciiTheme="minorEastAsia" w:eastAsiaTheme="minorEastAsia" w:hAnsiTheme="minorEastAsia" w:hint="eastAsia"/>
          <w:color w:val="000000"/>
          <w:szCs w:val="21"/>
        </w:rPr>
        <w:t>无</w:t>
      </w:r>
    </w:p>
    <w:p w:rsidR="00895092" w:rsidRPr="00CB3744" w:rsidRDefault="00895092" w:rsidP="00895092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CB3744">
        <w:rPr>
          <w:rFonts w:ascii="黑体" w:eastAsia="黑体" w:hAnsi="黑体" w:hint="eastAsia"/>
          <w:color w:val="000000"/>
          <w:szCs w:val="21"/>
        </w:rPr>
        <w:t>七、与现行相关法律、法规、规章及相关标准，特别是强制性国家标准的协调配套情况</w:t>
      </w:r>
    </w:p>
    <w:p w:rsidR="00D93FB0" w:rsidRPr="008876D6" w:rsidRDefault="00D93FB0" w:rsidP="008876D6">
      <w:pPr>
        <w:ind w:firstLineChars="200" w:firstLine="420"/>
        <w:rPr>
          <w:rFonts w:ascii="Calibri" w:hAnsi="Calibri"/>
          <w:szCs w:val="21"/>
        </w:rPr>
      </w:pPr>
      <w:r w:rsidRPr="008876D6">
        <w:rPr>
          <w:rFonts w:ascii="Calibri" w:hAnsi="Calibri" w:hint="eastAsia"/>
          <w:szCs w:val="21"/>
        </w:rPr>
        <w:t>本标准属于有色金属标准体系“金属化学分析方法”类，“重金属及其合金分析方法”系列。</w:t>
      </w:r>
    </w:p>
    <w:p w:rsidR="00D93FB0" w:rsidRPr="008876D6" w:rsidRDefault="00D93FB0" w:rsidP="008876D6">
      <w:pPr>
        <w:ind w:firstLineChars="200" w:firstLine="420"/>
        <w:rPr>
          <w:rFonts w:ascii="Calibri" w:hAnsi="Calibri"/>
          <w:szCs w:val="21"/>
        </w:rPr>
      </w:pPr>
      <w:r w:rsidRPr="008876D6">
        <w:rPr>
          <w:rFonts w:ascii="Calibri" w:hAnsi="Calibri"/>
          <w:szCs w:val="21"/>
        </w:rPr>
        <w:t>本标准完全满足</w:t>
      </w:r>
      <w:r w:rsidRPr="00CB3744">
        <w:rPr>
          <w:rFonts w:ascii="Calibri" w:hAnsi="Calibri" w:hint="eastAsia"/>
          <w:szCs w:val="21"/>
        </w:rPr>
        <w:t>现行法律、法规等</w:t>
      </w:r>
      <w:r w:rsidRPr="00CB3744">
        <w:rPr>
          <w:rFonts w:ascii="Calibri" w:hAnsi="Calibri"/>
          <w:szCs w:val="21"/>
        </w:rPr>
        <w:t>的</w:t>
      </w:r>
      <w:r w:rsidRPr="008876D6">
        <w:rPr>
          <w:rFonts w:ascii="Calibri" w:hAnsi="Calibri"/>
          <w:szCs w:val="21"/>
        </w:rPr>
        <w:t>要求，标准</w:t>
      </w:r>
      <w:r w:rsidRPr="008876D6">
        <w:rPr>
          <w:rFonts w:ascii="Calibri" w:hAnsi="Calibri" w:hint="eastAsia"/>
          <w:szCs w:val="21"/>
        </w:rPr>
        <w:t>的</w:t>
      </w:r>
      <w:r w:rsidRPr="008876D6">
        <w:rPr>
          <w:rFonts w:ascii="Calibri" w:hAnsi="Calibri"/>
          <w:szCs w:val="21"/>
        </w:rPr>
        <w:t>格式</w:t>
      </w:r>
      <w:r w:rsidRPr="008876D6">
        <w:rPr>
          <w:rFonts w:ascii="Calibri" w:hAnsi="Calibri" w:hint="eastAsia"/>
          <w:szCs w:val="21"/>
        </w:rPr>
        <w:t>和表达方式等方面完全执行了现行的国家标准和有关</w:t>
      </w:r>
      <w:r w:rsidRPr="008876D6">
        <w:rPr>
          <w:rFonts w:ascii="Calibri" w:hAnsi="Calibri"/>
          <w:szCs w:val="21"/>
        </w:rPr>
        <w:t>规范</w:t>
      </w:r>
      <w:r w:rsidRPr="008876D6">
        <w:rPr>
          <w:rFonts w:ascii="Calibri" w:hAnsi="Calibri" w:hint="eastAsia"/>
          <w:szCs w:val="21"/>
        </w:rPr>
        <w:t>，符合</w:t>
      </w:r>
      <w:r w:rsidRPr="008876D6">
        <w:rPr>
          <w:rFonts w:ascii="Calibri" w:hAnsi="Calibri" w:hint="eastAsia"/>
          <w:szCs w:val="21"/>
        </w:rPr>
        <w:t>GB/T 1.1</w:t>
      </w:r>
      <w:r w:rsidRPr="008876D6">
        <w:rPr>
          <w:rFonts w:ascii="Calibri" w:hAnsi="Calibri" w:hint="eastAsia"/>
          <w:szCs w:val="21"/>
        </w:rPr>
        <w:t>的有关要求</w:t>
      </w:r>
      <w:r w:rsidRPr="008876D6">
        <w:rPr>
          <w:rFonts w:ascii="Calibri" w:hAnsi="Calibri"/>
          <w:szCs w:val="21"/>
        </w:rPr>
        <w:t>。</w:t>
      </w:r>
    </w:p>
    <w:p w:rsidR="00895092" w:rsidRPr="00CB3744" w:rsidRDefault="00895092" w:rsidP="00895092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CB3744">
        <w:rPr>
          <w:rFonts w:ascii="黑体" w:eastAsia="黑体" w:hAnsi="黑体" w:hint="eastAsia"/>
          <w:color w:val="000000"/>
          <w:szCs w:val="21"/>
        </w:rPr>
        <w:t>八、重大分歧意见的处理经过和依据</w:t>
      </w:r>
    </w:p>
    <w:p w:rsidR="00895092" w:rsidRPr="008876D6" w:rsidRDefault="00895092" w:rsidP="008876D6">
      <w:pPr>
        <w:ind w:firstLineChars="200" w:firstLine="420"/>
        <w:rPr>
          <w:rFonts w:ascii="Calibri" w:hAnsi="Calibri"/>
          <w:szCs w:val="21"/>
        </w:rPr>
      </w:pPr>
      <w:r w:rsidRPr="008876D6">
        <w:rPr>
          <w:rFonts w:ascii="Calibri" w:hAnsi="Calibri" w:hint="eastAsia"/>
          <w:szCs w:val="21"/>
        </w:rPr>
        <w:t>无</w:t>
      </w:r>
    </w:p>
    <w:p w:rsidR="00895092" w:rsidRPr="00CB3744" w:rsidRDefault="00895092" w:rsidP="00895092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CB3744">
        <w:rPr>
          <w:rFonts w:ascii="黑体" w:eastAsia="黑体" w:hAnsi="黑体" w:hint="eastAsia"/>
          <w:color w:val="000000"/>
          <w:szCs w:val="21"/>
        </w:rPr>
        <w:t>九、标准性质的建议说明</w:t>
      </w:r>
    </w:p>
    <w:p w:rsidR="00895092" w:rsidRPr="008876D6" w:rsidRDefault="00895092" w:rsidP="008876D6">
      <w:pPr>
        <w:ind w:firstLineChars="200" w:firstLine="420"/>
        <w:rPr>
          <w:rFonts w:ascii="Calibri" w:hAnsi="Calibri"/>
          <w:szCs w:val="21"/>
        </w:rPr>
      </w:pPr>
      <w:r w:rsidRPr="008876D6">
        <w:rPr>
          <w:rFonts w:ascii="Calibri" w:hAnsi="Calibri"/>
          <w:szCs w:val="21"/>
        </w:rPr>
        <w:t>建议该标准</w:t>
      </w:r>
      <w:r w:rsidRPr="008876D6">
        <w:rPr>
          <w:rFonts w:ascii="Calibri" w:hAnsi="Calibri" w:hint="eastAsia"/>
          <w:szCs w:val="21"/>
        </w:rPr>
        <w:t>作</w:t>
      </w:r>
      <w:r w:rsidRPr="008876D6">
        <w:rPr>
          <w:rFonts w:ascii="Calibri" w:hAnsi="Calibri"/>
          <w:szCs w:val="21"/>
        </w:rPr>
        <w:t>为推荐性</w:t>
      </w:r>
      <w:r w:rsidRPr="008876D6">
        <w:rPr>
          <w:rFonts w:ascii="Calibri" w:hAnsi="Calibri" w:hint="eastAsia"/>
          <w:szCs w:val="21"/>
        </w:rPr>
        <w:t>行业</w:t>
      </w:r>
      <w:r w:rsidRPr="008876D6">
        <w:rPr>
          <w:rFonts w:ascii="Calibri" w:hAnsi="Calibri"/>
          <w:szCs w:val="21"/>
        </w:rPr>
        <w:t>标准。</w:t>
      </w:r>
    </w:p>
    <w:p w:rsidR="00895092" w:rsidRPr="00CB3744" w:rsidRDefault="00895092" w:rsidP="00895092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CB3744">
        <w:rPr>
          <w:rFonts w:ascii="黑体" w:eastAsia="黑体" w:hAnsi="黑体" w:hint="eastAsia"/>
          <w:color w:val="000000"/>
          <w:szCs w:val="21"/>
        </w:rPr>
        <w:t>十、贯彻标准的要求和措施建议</w:t>
      </w:r>
    </w:p>
    <w:p w:rsidR="00895092" w:rsidRPr="008876D6" w:rsidRDefault="00895092" w:rsidP="008876D6">
      <w:pPr>
        <w:ind w:firstLineChars="200" w:firstLine="420"/>
        <w:rPr>
          <w:rFonts w:ascii="Calibri" w:hAnsi="Calibri"/>
          <w:szCs w:val="21"/>
        </w:rPr>
      </w:pPr>
      <w:r w:rsidRPr="008876D6">
        <w:rPr>
          <w:rFonts w:ascii="Calibri" w:hAnsi="Calibri" w:hint="eastAsia"/>
          <w:szCs w:val="21"/>
        </w:rPr>
        <w:t>无</w:t>
      </w:r>
    </w:p>
    <w:p w:rsidR="00895092" w:rsidRPr="00CB3744" w:rsidRDefault="00895092" w:rsidP="00895092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CB3744">
        <w:rPr>
          <w:rFonts w:ascii="黑体" w:eastAsia="黑体" w:hAnsi="黑体" w:hint="eastAsia"/>
          <w:color w:val="000000"/>
          <w:szCs w:val="21"/>
        </w:rPr>
        <w:t>十一、废止现行有关标准的建议</w:t>
      </w:r>
    </w:p>
    <w:p w:rsidR="00895092" w:rsidRPr="008876D6" w:rsidRDefault="00895092" w:rsidP="008876D6">
      <w:pPr>
        <w:ind w:firstLineChars="200" w:firstLine="420"/>
        <w:rPr>
          <w:rFonts w:ascii="Calibri" w:hAnsi="Calibri"/>
          <w:szCs w:val="21"/>
        </w:rPr>
      </w:pPr>
      <w:r w:rsidRPr="008876D6">
        <w:rPr>
          <w:rFonts w:ascii="Calibri" w:hAnsi="Calibri" w:hint="eastAsia"/>
          <w:szCs w:val="21"/>
        </w:rPr>
        <w:t>本标准为首次起草，无废止</w:t>
      </w:r>
      <w:r w:rsidRPr="008876D6">
        <w:rPr>
          <w:rFonts w:ascii="Calibri" w:hAnsi="Calibri" w:hint="eastAsia"/>
          <w:szCs w:val="21"/>
        </w:rPr>
        <w:t>/</w:t>
      </w:r>
      <w:r w:rsidRPr="008876D6">
        <w:rPr>
          <w:rFonts w:ascii="Calibri" w:hAnsi="Calibri" w:hint="eastAsia"/>
          <w:szCs w:val="21"/>
        </w:rPr>
        <w:t>替代现行有关标准。</w:t>
      </w:r>
    </w:p>
    <w:p w:rsidR="00895092" w:rsidRPr="00CB3744" w:rsidRDefault="00895092" w:rsidP="00895092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CB3744">
        <w:rPr>
          <w:rFonts w:ascii="黑体" w:eastAsia="黑体" w:hAnsi="黑体" w:hint="eastAsia"/>
          <w:color w:val="000000"/>
          <w:szCs w:val="21"/>
        </w:rPr>
        <w:t>十二、其他应予说明的事项</w:t>
      </w:r>
    </w:p>
    <w:p w:rsidR="00895092" w:rsidRPr="008876D6" w:rsidRDefault="00895092" w:rsidP="008876D6">
      <w:pPr>
        <w:ind w:firstLineChars="200" w:firstLine="420"/>
        <w:rPr>
          <w:rFonts w:ascii="Calibri" w:hAnsi="Calibri"/>
          <w:szCs w:val="21"/>
        </w:rPr>
      </w:pPr>
      <w:r w:rsidRPr="00CB3744">
        <w:rPr>
          <w:rFonts w:ascii="Calibri" w:hAnsi="Calibri" w:hint="eastAsia"/>
          <w:szCs w:val="21"/>
        </w:rPr>
        <w:t>无</w:t>
      </w:r>
      <w:r w:rsidRPr="008876D6">
        <w:rPr>
          <w:rFonts w:ascii="Calibri" w:hAnsi="Calibri" w:hint="eastAsia"/>
          <w:szCs w:val="21"/>
        </w:rPr>
        <w:t>。</w:t>
      </w:r>
    </w:p>
    <w:p w:rsidR="00DB52DC" w:rsidRDefault="00DB52DC">
      <w:pPr>
        <w:spacing w:line="360" w:lineRule="auto"/>
        <w:ind w:firstLineChars="650" w:firstLine="1560"/>
        <w:rPr>
          <w:sz w:val="24"/>
          <w:szCs w:val="24"/>
        </w:rPr>
      </w:pPr>
    </w:p>
    <w:sectPr w:rsidR="00DB52DC" w:rsidSect="00183C84">
      <w:headerReference w:type="even" r:id="rId9"/>
      <w:headerReference w:type="default" r:id="rId10"/>
      <w:footerReference w:type="default" r:id="rId11"/>
      <w:pgSz w:w="11906" w:h="16838"/>
      <w:pgMar w:top="1418" w:right="1418" w:bottom="1418" w:left="1304" w:header="851" w:footer="567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AB" w:rsidRDefault="009549AB" w:rsidP="00DB52DC">
      <w:r>
        <w:separator/>
      </w:r>
    </w:p>
  </w:endnote>
  <w:endnote w:type="continuationSeparator" w:id="0">
    <w:p w:rsidR="009549AB" w:rsidRDefault="009549AB" w:rsidP="00DB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`氀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C0" w:rsidRDefault="001369C0">
    <w:pPr>
      <w:pStyle w:val="ab"/>
      <w:jc w:val="center"/>
    </w:pPr>
    <w:r w:rsidRPr="005536DC">
      <w:fldChar w:fldCharType="begin"/>
    </w:r>
    <w:r>
      <w:instrText xml:space="preserve"> PAGE   \* MERGEFORMAT </w:instrText>
    </w:r>
    <w:r w:rsidRPr="005536DC">
      <w:fldChar w:fldCharType="separate"/>
    </w:r>
    <w:r w:rsidR="00CA03FC" w:rsidRPr="00CA03FC">
      <w:rPr>
        <w:noProof/>
        <w:lang w:val="zh-CN"/>
      </w:rPr>
      <w:t>6</w:t>
    </w:r>
    <w:r>
      <w:rPr>
        <w:lang w:val="zh-CN"/>
      </w:rPr>
      <w:fldChar w:fldCharType="end"/>
    </w:r>
  </w:p>
  <w:p w:rsidR="001369C0" w:rsidRDefault="001369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AB" w:rsidRDefault="009549AB" w:rsidP="00DB52DC">
      <w:r>
        <w:separator/>
      </w:r>
    </w:p>
  </w:footnote>
  <w:footnote w:type="continuationSeparator" w:id="0">
    <w:p w:rsidR="009549AB" w:rsidRDefault="009549AB" w:rsidP="00DB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C0" w:rsidRDefault="001369C0">
    <w:pPr>
      <w:pStyle w:val="ac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C0" w:rsidRDefault="001369C0">
    <w:pPr>
      <w:pStyle w:val="ac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宋体" w:eastAsia="宋体" w:hAnsi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36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1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3D2DB0"/>
    <w:rsid w:val="00007865"/>
    <w:rsid w:val="00012E2E"/>
    <w:rsid w:val="00015004"/>
    <w:rsid w:val="00035692"/>
    <w:rsid w:val="0004512D"/>
    <w:rsid w:val="00045430"/>
    <w:rsid w:val="00047FDC"/>
    <w:rsid w:val="00053747"/>
    <w:rsid w:val="00055646"/>
    <w:rsid w:val="000611BE"/>
    <w:rsid w:val="000656C3"/>
    <w:rsid w:val="0006795E"/>
    <w:rsid w:val="00071340"/>
    <w:rsid w:val="0007155F"/>
    <w:rsid w:val="00083277"/>
    <w:rsid w:val="00094332"/>
    <w:rsid w:val="00094CC3"/>
    <w:rsid w:val="000A3CD7"/>
    <w:rsid w:val="000A680E"/>
    <w:rsid w:val="000B4519"/>
    <w:rsid w:val="000B5B08"/>
    <w:rsid w:val="000B68EF"/>
    <w:rsid w:val="000C12D3"/>
    <w:rsid w:val="000C169F"/>
    <w:rsid w:val="000C1BDA"/>
    <w:rsid w:val="000C29BD"/>
    <w:rsid w:val="000C2C91"/>
    <w:rsid w:val="000C4319"/>
    <w:rsid w:val="000D08CB"/>
    <w:rsid w:val="000D261F"/>
    <w:rsid w:val="000D3B87"/>
    <w:rsid w:val="000D454B"/>
    <w:rsid w:val="000D54E5"/>
    <w:rsid w:val="000D751C"/>
    <w:rsid w:val="000E0BCD"/>
    <w:rsid w:val="000E52D7"/>
    <w:rsid w:val="000F27F5"/>
    <w:rsid w:val="000F4F02"/>
    <w:rsid w:val="000F549C"/>
    <w:rsid w:val="000F7BC0"/>
    <w:rsid w:val="00101FFF"/>
    <w:rsid w:val="00106B95"/>
    <w:rsid w:val="0011053D"/>
    <w:rsid w:val="00117C0E"/>
    <w:rsid w:val="00123EDF"/>
    <w:rsid w:val="001267CE"/>
    <w:rsid w:val="0013169C"/>
    <w:rsid w:val="001369C0"/>
    <w:rsid w:val="00140146"/>
    <w:rsid w:val="00145586"/>
    <w:rsid w:val="00145667"/>
    <w:rsid w:val="0015694E"/>
    <w:rsid w:val="0015791B"/>
    <w:rsid w:val="0016198A"/>
    <w:rsid w:val="001639A5"/>
    <w:rsid w:val="001721F6"/>
    <w:rsid w:val="0017266F"/>
    <w:rsid w:val="0017277B"/>
    <w:rsid w:val="00175487"/>
    <w:rsid w:val="0018345A"/>
    <w:rsid w:val="00183C84"/>
    <w:rsid w:val="001874D8"/>
    <w:rsid w:val="00187593"/>
    <w:rsid w:val="00191623"/>
    <w:rsid w:val="00191691"/>
    <w:rsid w:val="00193A8B"/>
    <w:rsid w:val="001A27A4"/>
    <w:rsid w:val="001A32ED"/>
    <w:rsid w:val="001A5034"/>
    <w:rsid w:val="001A5F76"/>
    <w:rsid w:val="001B016F"/>
    <w:rsid w:val="001B3A39"/>
    <w:rsid w:val="001B756E"/>
    <w:rsid w:val="001C44D9"/>
    <w:rsid w:val="001D501E"/>
    <w:rsid w:val="001E5479"/>
    <w:rsid w:val="001F059D"/>
    <w:rsid w:val="0020394E"/>
    <w:rsid w:val="00210206"/>
    <w:rsid w:val="00213963"/>
    <w:rsid w:val="00213E2D"/>
    <w:rsid w:val="0021562C"/>
    <w:rsid w:val="00215D86"/>
    <w:rsid w:val="002169B3"/>
    <w:rsid w:val="00216CB8"/>
    <w:rsid w:val="00217270"/>
    <w:rsid w:val="00222C17"/>
    <w:rsid w:val="002263AB"/>
    <w:rsid w:val="00233995"/>
    <w:rsid w:val="00237DF4"/>
    <w:rsid w:val="002528CB"/>
    <w:rsid w:val="002538CF"/>
    <w:rsid w:val="00262F16"/>
    <w:rsid w:val="00267054"/>
    <w:rsid w:val="00280D56"/>
    <w:rsid w:val="00283BEC"/>
    <w:rsid w:val="00287C06"/>
    <w:rsid w:val="002920D6"/>
    <w:rsid w:val="002937A8"/>
    <w:rsid w:val="00293C59"/>
    <w:rsid w:val="00296814"/>
    <w:rsid w:val="00297325"/>
    <w:rsid w:val="00297F28"/>
    <w:rsid w:val="002A0B2F"/>
    <w:rsid w:val="002A0FB2"/>
    <w:rsid w:val="002A4697"/>
    <w:rsid w:val="002A535F"/>
    <w:rsid w:val="002B1963"/>
    <w:rsid w:val="002B1E53"/>
    <w:rsid w:val="002C0000"/>
    <w:rsid w:val="002C6DAB"/>
    <w:rsid w:val="002C7972"/>
    <w:rsid w:val="002D52EF"/>
    <w:rsid w:val="002E1226"/>
    <w:rsid w:val="002E3141"/>
    <w:rsid w:val="002E3D52"/>
    <w:rsid w:val="002E40EE"/>
    <w:rsid w:val="002E6C6C"/>
    <w:rsid w:val="002F0DA3"/>
    <w:rsid w:val="002F1E7F"/>
    <w:rsid w:val="002F20EF"/>
    <w:rsid w:val="002F5F90"/>
    <w:rsid w:val="00302091"/>
    <w:rsid w:val="00302FAC"/>
    <w:rsid w:val="00305724"/>
    <w:rsid w:val="003106F3"/>
    <w:rsid w:val="00313471"/>
    <w:rsid w:val="00316B1F"/>
    <w:rsid w:val="00320C7B"/>
    <w:rsid w:val="003223DC"/>
    <w:rsid w:val="00323858"/>
    <w:rsid w:val="003315E8"/>
    <w:rsid w:val="00341903"/>
    <w:rsid w:val="003519B1"/>
    <w:rsid w:val="00361DDF"/>
    <w:rsid w:val="00362620"/>
    <w:rsid w:val="00364F1A"/>
    <w:rsid w:val="00367968"/>
    <w:rsid w:val="003746E7"/>
    <w:rsid w:val="00375813"/>
    <w:rsid w:val="003911D5"/>
    <w:rsid w:val="0039139D"/>
    <w:rsid w:val="00391C21"/>
    <w:rsid w:val="003942A6"/>
    <w:rsid w:val="003A7897"/>
    <w:rsid w:val="003B686C"/>
    <w:rsid w:val="003C01EA"/>
    <w:rsid w:val="003C240A"/>
    <w:rsid w:val="003C768E"/>
    <w:rsid w:val="003D1DE8"/>
    <w:rsid w:val="003D2DB0"/>
    <w:rsid w:val="003E7595"/>
    <w:rsid w:val="003F0DFE"/>
    <w:rsid w:val="003F2640"/>
    <w:rsid w:val="004017D8"/>
    <w:rsid w:val="004150F4"/>
    <w:rsid w:val="00440BCD"/>
    <w:rsid w:val="00440FBF"/>
    <w:rsid w:val="00446DBF"/>
    <w:rsid w:val="00447CF9"/>
    <w:rsid w:val="0045153A"/>
    <w:rsid w:val="004628A5"/>
    <w:rsid w:val="00463602"/>
    <w:rsid w:val="00472819"/>
    <w:rsid w:val="00474ECE"/>
    <w:rsid w:val="00480CED"/>
    <w:rsid w:val="004819B7"/>
    <w:rsid w:val="00486756"/>
    <w:rsid w:val="00486AEB"/>
    <w:rsid w:val="004A487F"/>
    <w:rsid w:val="004A7216"/>
    <w:rsid w:val="004B5C1C"/>
    <w:rsid w:val="004B6887"/>
    <w:rsid w:val="004C4700"/>
    <w:rsid w:val="004C49A0"/>
    <w:rsid w:val="004C7266"/>
    <w:rsid w:val="004D65F4"/>
    <w:rsid w:val="004D68AB"/>
    <w:rsid w:val="004E0018"/>
    <w:rsid w:val="004E0405"/>
    <w:rsid w:val="004E6CEB"/>
    <w:rsid w:val="004F69B8"/>
    <w:rsid w:val="004F6A6A"/>
    <w:rsid w:val="004F77FD"/>
    <w:rsid w:val="00511855"/>
    <w:rsid w:val="0051345A"/>
    <w:rsid w:val="005144EE"/>
    <w:rsid w:val="00515E5A"/>
    <w:rsid w:val="00526207"/>
    <w:rsid w:val="00533622"/>
    <w:rsid w:val="00533B15"/>
    <w:rsid w:val="005432D9"/>
    <w:rsid w:val="005506CC"/>
    <w:rsid w:val="005536DC"/>
    <w:rsid w:val="00562928"/>
    <w:rsid w:val="00562C62"/>
    <w:rsid w:val="00594372"/>
    <w:rsid w:val="00596077"/>
    <w:rsid w:val="005A0FA7"/>
    <w:rsid w:val="005A39BD"/>
    <w:rsid w:val="005A558A"/>
    <w:rsid w:val="005A797B"/>
    <w:rsid w:val="005B0B19"/>
    <w:rsid w:val="005B54C0"/>
    <w:rsid w:val="005E797D"/>
    <w:rsid w:val="005F0517"/>
    <w:rsid w:val="00606F0D"/>
    <w:rsid w:val="00606FF8"/>
    <w:rsid w:val="0060721B"/>
    <w:rsid w:val="00611078"/>
    <w:rsid w:val="00615D25"/>
    <w:rsid w:val="006232BB"/>
    <w:rsid w:val="00627C71"/>
    <w:rsid w:val="0063734E"/>
    <w:rsid w:val="006516FC"/>
    <w:rsid w:val="00662350"/>
    <w:rsid w:val="00665B2A"/>
    <w:rsid w:val="006734E1"/>
    <w:rsid w:val="00673D62"/>
    <w:rsid w:val="00675036"/>
    <w:rsid w:val="00683395"/>
    <w:rsid w:val="006859F6"/>
    <w:rsid w:val="00686D20"/>
    <w:rsid w:val="006877F6"/>
    <w:rsid w:val="00690387"/>
    <w:rsid w:val="006939EA"/>
    <w:rsid w:val="00693AFB"/>
    <w:rsid w:val="00694653"/>
    <w:rsid w:val="0069584F"/>
    <w:rsid w:val="006A2F85"/>
    <w:rsid w:val="006A7002"/>
    <w:rsid w:val="006B303D"/>
    <w:rsid w:val="006B581D"/>
    <w:rsid w:val="006B5D29"/>
    <w:rsid w:val="006D252C"/>
    <w:rsid w:val="006D3E1F"/>
    <w:rsid w:val="006E208D"/>
    <w:rsid w:val="006E3A3F"/>
    <w:rsid w:val="006E67A3"/>
    <w:rsid w:val="006F4431"/>
    <w:rsid w:val="006F54F3"/>
    <w:rsid w:val="006F5E97"/>
    <w:rsid w:val="006F5F5C"/>
    <w:rsid w:val="00701541"/>
    <w:rsid w:val="00702B6B"/>
    <w:rsid w:val="0070305E"/>
    <w:rsid w:val="00710029"/>
    <w:rsid w:val="007105FF"/>
    <w:rsid w:val="00712D9E"/>
    <w:rsid w:val="00713356"/>
    <w:rsid w:val="007156CF"/>
    <w:rsid w:val="00727944"/>
    <w:rsid w:val="0073375A"/>
    <w:rsid w:val="0073629C"/>
    <w:rsid w:val="007366F5"/>
    <w:rsid w:val="00737655"/>
    <w:rsid w:val="00741BB4"/>
    <w:rsid w:val="0074455D"/>
    <w:rsid w:val="00745655"/>
    <w:rsid w:val="00745FA2"/>
    <w:rsid w:val="0074793E"/>
    <w:rsid w:val="0076263A"/>
    <w:rsid w:val="00765947"/>
    <w:rsid w:val="00773F7C"/>
    <w:rsid w:val="00783F4B"/>
    <w:rsid w:val="007862CE"/>
    <w:rsid w:val="007A5A9E"/>
    <w:rsid w:val="007B3855"/>
    <w:rsid w:val="007B47D1"/>
    <w:rsid w:val="007C56C4"/>
    <w:rsid w:val="007D0249"/>
    <w:rsid w:val="007D0C83"/>
    <w:rsid w:val="007D2504"/>
    <w:rsid w:val="007D77E3"/>
    <w:rsid w:val="007D7F3B"/>
    <w:rsid w:val="007E3FC6"/>
    <w:rsid w:val="007E7948"/>
    <w:rsid w:val="007F0229"/>
    <w:rsid w:val="007F2E9C"/>
    <w:rsid w:val="007F35AF"/>
    <w:rsid w:val="007F41CC"/>
    <w:rsid w:val="007F5CA4"/>
    <w:rsid w:val="00801BF2"/>
    <w:rsid w:val="008023A0"/>
    <w:rsid w:val="008077EA"/>
    <w:rsid w:val="008119A4"/>
    <w:rsid w:val="00813ADC"/>
    <w:rsid w:val="00816C6E"/>
    <w:rsid w:val="00817B9B"/>
    <w:rsid w:val="008231D5"/>
    <w:rsid w:val="00823ABF"/>
    <w:rsid w:val="0083166D"/>
    <w:rsid w:val="008335C8"/>
    <w:rsid w:val="00836FFA"/>
    <w:rsid w:val="00837644"/>
    <w:rsid w:val="008447BF"/>
    <w:rsid w:val="008533E0"/>
    <w:rsid w:val="0085347B"/>
    <w:rsid w:val="00856CC9"/>
    <w:rsid w:val="0086303D"/>
    <w:rsid w:val="0086590B"/>
    <w:rsid w:val="008813A5"/>
    <w:rsid w:val="008854F4"/>
    <w:rsid w:val="008876D6"/>
    <w:rsid w:val="00895092"/>
    <w:rsid w:val="008A36B3"/>
    <w:rsid w:val="008A426D"/>
    <w:rsid w:val="008A6458"/>
    <w:rsid w:val="008B3192"/>
    <w:rsid w:val="008B69B8"/>
    <w:rsid w:val="008C1E61"/>
    <w:rsid w:val="008C2BC9"/>
    <w:rsid w:val="008C3531"/>
    <w:rsid w:val="008D3E63"/>
    <w:rsid w:val="008D4288"/>
    <w:rsid w:val="008D44DE"/>
    <w:rsid w:val="008D6B35"/>
    <w:rsid w:val="008E659A"/>
    <w:rsid w:val="008F1525"/>
    <w:rsid w:val="008F1AF1"/>
    <w:rsid w:val="008F5312"/>
    <w:rsid w:val="00901EFF"/>
    <w:rsid w:val="00910DEE"/>
    <w:rsid w:val="009171B4"/>
    <w:rsid w:val="00926231"/>
    <w:rsid w:val="00926409"/>
    <w:rsid w:val="0092734A"/>
    <w:rsid w:val="00935B76"/>
    <w:rsid w:val="00943BC5"/>
    <w:rsid w:val="00950B55"/>
    <w:rsid w:val="009549AB"/>
    <w:rsid w:val="00960EFC"/>
    <w:rsid w:val="00964EF4"/>
    <w:rsid w:val="00965B79"/>
    <w:rsid w:val="0097278A"/>
    <w:rsid w:val="00973EBA"/>
    <w:rsid w:val="009769C7"/>
    <w:rsid w:val="009862C0"/>
    <w:rsid w:val="009A32A0"/>
    <w:rsid w:val="009B73ED"/>
    <w:rsid w:val="009C482D"/>
    <w:rsid w:val="009D5B9C"/>
    <w:rsid w:val="009E5190"/>
    <w:rsid w:val="009E5DBE"/>
    <w:rsid w:val="009E7D05"/>
    <w:rsid w:val="009F27D5"/>
    <w:rsid w:val="009F3D64"/>
    <w:rsid w:val="009F3F37"/>
    <w:rsid w:val="00A001C4"/>
    <w:rsid w:val="00A06573"/>
    <w:rsid w:val="00A13E5C"/>
    <w:rsid w:val="00A1410B"/>
    <w:rsid w:val="00A16EEA"/>
    <w:rsid w:val="00A2433C"/>
    <w:rsid w:val="00A30A29"/>
    <w:rsid w:val="00A353AB"/>
    <w:rsid w:val="00A356BB"/>
    <w:rsid w:val="00A373A3"/>
    <w:rsid w:val="00A4360C"/>
    <w:rsid w:val="00A45B7B"/>
    <w:rsid w:val="00A45DBC"/>
    <w:rsid w:val="00A464BE"/>
    <w:rsid w:val="00A561B5"/>
    <w:rsid w:val="00A7494D"/>
    <w:rsid w:val="00A77C75"/>
    <w:rsid w:val="00A83C40"/>
    <w:rsid w:val="00A908C3"/>
    <w:rsid w:val="00A92555"/>
    <w:rsid w:val="00A96097"/>
    <w:rsid w:val="00AA0C96"/>
    <w:rsid w:val="00AB307E"/>
    <w:rsid w:val="00AC1510"/>
    <w:rsid w:val="00AC3D2C"/>
    <w:rsid w:val="00AC3EE8"/>
    <w:rsid w:val="00AC6665"/>
    <w:rsid w:val="00AD4B71"/>
    <w:rsid w:val="00AE6D00"/>
    <w:rsid w:val="00AF11B5"/>
    <w:rsid w:val="00AF4620"/>
    <w:rsid w:val="00AF6F4E"/>
    <w:rsid w:val="00B06569"/>
    <w:rsid w:val="00B068EA"/>
    <w:rsid w:val="00B15A99"/>
    <w:rsid w:val="00B163EA"/>
    <w:rsid w:val="00B16834"/>
    <w:rsid w:val="00B171CA"/>
    <w:rsid w:val="00B21A7F"/>
    <w:rsid w:val="00B2379E"/>
    <w:rsid w:val="00B25831"/>
    <w:rsid w:val="00B310AD"/>
    <w:rsid w:val="00B404B2"/>
    <w:rsid w:val="00B4186A"/>
    <w:rsid w:val="00B43435"/>
    <w:rsid w:val="00B604AE"/>
    <w:rsid w:val="00B6357F"/>
    <w:rsid w:val="00B734EE"/>
    <w:rsid w:val="00B844D1"/>
    <w:rsid w:val="00B860A9"/>
    <w:rsid w:val="00B866A7"/>
    <w:rsid w:val="00B86D28"/>
    <w:rsid w:val="00B9307B"/>
    <w:rsid w:val="00BA0A32"/>
    <w:rsid w:val="00BA3EB5"/>
    <w:rsid w:val="00BA7670"/>
    <w:rsid w:val="00BA7DA7"/>
    <w:rsid w:val="00BB4678"/>
    <w:rsid w:val="00BC159C"/>
    <w:rsid w:val="00BC7A78"/>
    <w:rsid w:val="00BD1CCE"/>
    <w:rsid w:val="00BD49A0"/>
    <w:rsid w:val="00BD60BB"/>
    <w:rsid w:val="00BE0549"/>
    <w:rsid w:val="00BF769C"/>
    <w:rsid w:val="00C015BE"/>
    <w:rsid w:val="00C01694"/>
    <w:rsid w:val="00C12BFE"/>
    <w:rsid w:val="00C218BD"/>
    <w:rsid w:val="00C34266"/>
    <w:rsid w:val="00C34EB0"/>
    <w:rsid w:val="00C555B1"/>
    <w:rsid w:val="00C5622A"/>
    <w:rsid w:val="00C56D45"/>
    <w:rsid w:val="00C6111E"/>
    <w:rsid w:val="00C719EE"/>
    <w:rsid w:val="00C72B08"/>
    <w:rsid w:val="00C763F7"/>
    <w:rsid w:val="00C7731A"/>
    <w:rsid w:val="00C77CA0"/>
    <w:rsid w:val="00C85F22"/>
    <w:rsid w:val="00C8620E"/>
    <w:rsid w:val="00C942EB"/>
    <w:rsid w:val="00CA03FC"/>
    <w:rsid w:val="00CA2B76"/>
    <w:rsid w:val="00CB6936"/>
    <w:rsid w:val="00CC3B41"/>
    <w:rsid w:val="00CC7BFB"/>
    <w:rsid w:val="00CD6DC6"/>
    <w:rsid w:val="00CE0CD5"/>
    <w:rsid w:val="00CE4726"/>
    <w:rsid w:val="00CE4890"/>
    <w:rsid w:val="00CE48E3"/>
    <w:rsid w:val="00CE5714"/>
    <w:rsid w:val="00CF0554"/>
    <w:rsid w:val="00CF06B9"/>
    <w:rsid w:val="00CF46A7"/>
    <w:rsid w:val="00CF4E1E"/>
    <w:rsid w:val="00CF5C61"/>
    <w:rsid w:val="00D00389"/>
    <w:rsid w:val="00D12735"/>
    <w:rsid w:val="00D135D0"/>
    <w:rsid w:val="00D14068"/>
    <w:rsid w:val="00D211BD"/>
    <w:rsid w:val="00D26865"/>
    <w:rsid w:val="00D3691D"/>
    <w:rsid w:val="00D3781D"/>
    <w:rsid w:val="00D44E77"/>
    <w:rsid w:val="00D4690E"/>
    <w:rsid w:val="00D50C78"/>
    <w:rsid w:val="00D50EC4"/>
    <w:rsid w:val="00D57C83"/>
    <w:rsid w:val="00D62739"/>
    <w:rsid w:val="00D75748"/>
    <w:rsid w:val="00D8243E"/>
    <w:rsid w:val="00D82FA1"/>
    <w:rsid w:val="00D839D9"/>
    <w:rsid w:val="00D93FB0"/>
    <w:rsid w:val="00D9427D"/>
    <w:rsid w:val="00D94F99"/>
    <w:rsid w:val="00D97FF1"/>
    <w:rsid w:val="00DB52DC"/>
    <w:rsid w:val="00DB6F79"/>
    <w:rsid w:val="00DC2036"/>
    <w:rsid w:val="00DC24C2"/>
    <w:rsid w:val="00DC3D35"/>
    <w:rsid w:val="00DE10D5"/>
    <w:rsid w:val="00DE5C6A"/>
    <w:rsid w:val="00DF0532"/>
    <w:rsid w:val="00DF3C15"/>
    <w:rsid w:val="00E0063F"/>
    <w:rsid w:val="00E11117"/>
    <w:rsid w:val="00E15541"/>
    <w:rsid w:val="00E15C55"/>
    <w:rsid w:val="00E15F5D"/>
    <w:rsid w:val="00E1650F"/>
    <w:rsid w:val="00E17FCF"/>
    <w:rsid w:val="00E255D7"/>
    <w:rsid w:val="00E25939"/>
    <w:rsid w:val="00E32890"/>
    <w:rsid w:val="00E45C36"/>
    <w:rsid w:val="00E45EAB"/>
    <w:rsid w:val="00E618B5"/>
    <w:rsid w:val="00E71541"/>
    <w:rsid w:val="00E76D73"/>
    <w:rsid w:val="00E811B7"/>
    <w:rsid w:val="00E8257C"/>
    <w:rsid w:val="00E83162"/>
    <w:rsid w:val="00E8482C"/>
    <w:rsid w:val="00E919BE"/>
    <w:rsid w:val="00EB00DD"/>
    <w:rsid w:val="00EB6A4F"/>
    <w:rsid w:val="00EB6AF1"/>
    <w:rsid w:val="00EC47DE"/>
    <w:rsid w:val="00ED097B"/>
    <w:rsid w:val="00ED31E5"/>
    <w:rsid w:val="00EF1C70"/>
    <w:rsid w:val="00EF2787"/>
    <w:rsid w:val="00EF525C"/>
    <w:rsid w:val="00EF6FAF"/>
    <w:rsid w:val="00F138B1"/>
    <w:rsid w:val="00F13D7F"/>
    <w:rsid w:val="00F1463E"/>
    <w:rsid w:val="00F1577D"/>
    <w:rsid w:val="00F1695C"/>
    <w:rsid w:val="00F229F9"/>
    <w:rsid w:val="00F405A0"/>
    <w:rsid w:val="00F577C2"/>
    <w:rsid w:val="00F61B4D"/>
    <w:rsid w:val="00F63993"/>
    <w:rsid w:val="00F661B4"/>
    <w:rsid w:val="00F710FC"/>
    <w:rsid w:val="00F747EB"/>
    <w:rsid w:val="00F90E8C"/>
    <w:rsid w:val="00F91085"/>
    <w:rsid w:val="00F91A9F"/>
    <w:rsid w:val="00F957D8"/>
    <w:rsid w:val="00F95BB0"/>
    <w:rsid w:val="00F97691"/>
    <w:rsid w:val="00FA18D3"/>
    <w:rsid w:val="00FB51A2"/>
    <w:rsid w:val="00FC13D6"/>
    <w:rsid w:val="00FC6C01"/>
    <w:rsid w:val="00FC7FA8"/>
    <w:rsid w:val="00FD6F9E"/>
    <w:rsid w:val="00FE1F72"/>
    <w:rsid w:val="00FE6ADF"/>
    <w:rsid w:val="00FF6CC8"/>
    <w:rsid w:val="5FE9C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Date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Balloon Text" w:semiHidden="0" w:unhideWhenUsed="0"/>
    <w:lsdException w:name="Table Grid" w:semiHidden="0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52DC"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paragraph" w:styleId="3">
    <w:name w:val="heading 3"/>
    <w:basedOn w:val="a2"/>
    <w:next w:val="a2"/>
    <w:link w:val="3Char"/>
    <w:uiPriority w:val="99"/>
    <w:qFormat/>
    <w:rsid w:val="00DB52DC"/>
    <w:pPr>
      <w:keepNext/>
      <w:jc w:val="center"/>
      <w:outlineLvl w:val="2"/>
    </w:pPr>
    <w:rPr>
      <w:kern w:val="0"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ocument Map"/>
    <w:basedOn w:val="a2"/>
    <w:link w:val="Char"/>
    <w:uiPriority w:val="99"/>
    <w:rsid w:val="00DB52DC"/>
    <w:rPr>
      <w:rFonts w:ascii="宋体"/>
      <w:kern w:val="0"/>
      <w:sz w:val="18"/>
      <w:szCs w:val="18"/>
    </w:rPr>
  </w:style>
  <w:style w:type="paragraph" w:styleId="a7">
    <w:name w:val="Body Text"/>
    <w:basedOn w:val="a2"/>
    <w:link w:val="Char0"/>
    <w:rsid w:val="00DB52DC"/>
    <w:rPr>
      <w:rFonts w:eastAsia="黑体"/>
      <w:kern w:val="0"/>
      <w:sz w:val="36"/>
      <w:szCs w:val="20"/>
    </w:rPr>
  </w:style>
  <w:style w:type="paragraph" w:styleId="a8">
    <w:name w:val="Date"/>
    <w:basedOn w:val="a2"/>
    <w:next w:val="a2"/>
    <w:link w:val="Char1"/>
    <w:uiPriority w:val="99"/>
    <w:rsid w:val="00DB52DC"/>
    <w:pPr>
      <w:ind w:leftChars="2500" w:left="100"/>
    </w:pPr>
  </w:style>
  <w:style w:type="paragraph" w:styleId="a9">
    <w:name w:val="endnote text"/>
    <w:basedOn w:val="a2"/>
    <w:link w:val="Char2"/>
    <w:uiPriority w:val="99"/>
    <w:rsid w:val="00DB52DC"/>
    <w:pPr>
      <w:snapToGrid w:val="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Balloon Text"/>
    <w:basedOn w:val="a2"/>
    <w:link w:val="Char3"/>
    <w:uiPriority w:val="99"/>
    <w:rsid w:val="00DB52DC"/>
    <w:rPr>
      <w:kern w:val="0"/>
      <w:sz w:val="18"/>
      <w:szCs w:val="18"/>
    </w:rPr>
  </w:style>
  <w:style w:type="paragraph" w:styleId="ab">
    <w:name w:val="footer"/>
    <w:basedOn w:val="a2"/>
    <w:link w:val="Char20"/>
    <w:uiPriority w:val="99"/>
    <w:rsid w:val="00DB52D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c">
    <w:name w:val="header"/>
    <w:basedOn w:val="a2"/>
    <w:link w:val="Char21"/>
    <w:uiPriority w:val="99"/>
    <w:rsid w:val="00DB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d">
    <w:name w:val="Table Grid"/>
    <w:basedOn w:val="a4"/>
    <w:uiPriority w:val="99"/>
    <w:rsid w:val="00DB52DC"/>
    <w:rPr>
      <w:rFonts w:ascii="Times New Roman" w:hAnsi="Times New Roman" w:cs="Calibri"/>
      <w:w w:val="8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uiPriority w:val="99"/>
    <w:rsid w:val="00DB52DC"/>
    <w:rPr>
      <w:rFonts w:cs="Times New Roman"/>
      <w:vertAlign w:val="superscript"/>
    </w:rPr>
  </w:style>
  <w:style w:type="character" w:styleId="af">
    <w:name w:val="page number"/>
    <w:uiPriority w:val="99"/>
    <w:rsid w:val="00DB52DC"/>
    <w:rPr>
      <w:rFonts w:cs="Times New Roman"/>
    </w:rPr>
  </w:style>
  <w:style w:type="character" w:styleId="af0">
    <w:name w:val="Hyperlink"/>
    <w:uiPriority w:val="99"/>
    <w:rsid w:val="00DB52DC"/>
    <w:rPr>
      <w:rFonts w:cs="Times New Roman"/>
      <w:color w:val="0000FF"/>
      <w:u w:val="single"/>
    </w:rPr>
  </w:style>
  <w:style w:type="character" w:customStyle="1" w:styleId="3Char">
    <w:name w:val="标题 3 Char"/>
    <w:link w:val="3"/>
    <w:uiPriority w:val="99"/>
    <w:rsid w:val="00DB52DC"/>
    <w:rPr>
      <w:rFonts w:ascii="Times New Roman" w:eastAsia="宋体" w:hAnsi="Times New Roman" w:cs="Times New Roman"/>
      <w:sz w:val="28"/>
      <w:szCs w:val="24"/>
    </w:rPr>
  </w:style>
  <w:style w:type="character" w:customStyle="1" w:styleId="font41">
    <w:name w:val="font41"/>
    <w:qFormat/>
    <w:rsid w:val="00DB52DC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sid w:val="00DB52DC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qFormat/>
    <w:rsid w:val="00DB52D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20">
    <w:name w:val="页脚 Char2"/>
    <w:link w:val="ab"/>
    <w:uiPriority w:val="99"/>
    <w:rsid w:val="00DB52DC"/>
    <w:rPr>
      <w:rFonts w:cs="Times New Roman"/>
      <w:sz w:val="18"/>
      <w:szCs w:val="18"/>
    </w:rPr>
  </w:style>
  <w:style w:type="character" w:customStyle="1" w:styleId="font11">
    <w:name w:val="font11"/>
    <w:qFormat/>
    <w:rsid w:val="00DB52DC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Char2">
    <w:name w:val="尾注文本 Char"/>
    <w:link w:val="a9"/>
    <w:uiPriority w:val="99"/>
    <w:rsid w:val="00DB52DC"/>
    <w:rPr>
      <w:rFonts w:cs="Times New Roman"/>
    </w:rPr>
  </w:style>
  <w:style w:type="character" w:customStyle="1" w:styleId="Char3">
    <w:name w:val="批注框文本 Char"/>
    <w:link w:val="aa"/>
    <w:uiPriority w:val="99"/>
    <w:rsid w:val="00DB52DC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rsid w:val="00DB52D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21">
    <w:name w:val="页眉 Char2"/>
    <w:link w:val="ac"/>
    <w:uiPriority w:val="99"/>
    <w:rsid w:val="00DB52DC"/>
    <w:rPr>
      <w:rFonts w:cs="Times New Roman"/>
      <w:sz w:val="18"/>
      <w:szCs w:val="18"/>
    </w:rPr>
  </w:style>
  <w:style w:type="character" w:customStyle="1" w:styleId="font01">
    <w:name w:val="font01"/>
    <w:qFormat/>
    <w:rsid w:val="00DB52DC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Char10">
    <w:name w:val="页脚 Char1"/>
    <w:uiPriority w:val="99"/>
    <w:rsid w:val="00DB52DC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批注框文本 Char1"/>
    <w:uiPriority w:val="99"/>
    <w:rsid w:val="00DB52DC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眉 Char1"/>
    <w:uiPriority w:val="99"/>
    <w:rsid w:val="00DB52DC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尾注文本 Char1"/>
    <w:uiPriority w:val="99"/>
    <w:rsid w:val="00DB52DC"/>
    <w:rPr>
      <w:rFonts w:ascii="Times New Roman" w:eastAsia="宋体" w:hAnsi="Times New Roman" w:cs="Times New Roman"/>
    </w:rPr>
  </w:style>
  <w:style w:type="paragraph" w:customStyle="1" w:styleId="ListParagraph1">
    <w:name w:val="List Paragraph1"/>
    <w:basedOn w:val="a2"/>
    <w:uiPriority w:val="99"/>
    <w:qFormat/>
    <w:rsid w:val="00DB52DC"/>
    <w:pPr>
      <w:ind w:firstLineChars="200" w:firstLine="420"/>
    </w:pPr>
  </w:style>
  <w:style w:type="paragraph" w:customStyle="1" w:styleId="af1">
    <w:name w:val="封面标准名称"/>
    <w:rsid w:val="00DB52DC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2">
    <w:name w:val="标准书眉_奇数页"/>
    <w:next w:val="a2"/>
    <w:rsid w:val="00DB52DC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cs="Calibri"/>
      <w:sz w:val="21"/>
    </w:rPr>
  </w:style>
  <w:style w:type="character" w:customStyle="1" w:styleId="Char">
    <w:name w:val="文档结构图 Char"/>
    <w:link w:val="a6"/>
    <w:uiPriority w:val="99"/>
    <w:rsid w:val="00DB52DC"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正文文本 Char"/>
    <w:link w:val="a7"/>
    <w:rsid w:val="00DB52DC"/>
    <w:rPr>
      <w:rFonts w:ascii="Times New Roman" w:eastAsia="黑体" w:hAnsi="Times New Roman" w:cs="Times New Roman"/>
      <w:sz w:val="36"/>
      <w:szCs w:val="20"/>
    </w:rPr>
  </w:style>
  <w:style w:type="character" w:customStyle="1" w:styleId="Char4">
    <w:name w:val="列项——（一级） Char"/>
    <w:link w:val="af3"/>
    <w:rsid w:val="00DB52DC"/>
    <w:rPr>
      <w:rFonts w:ascii="宋体"/>
      <w:kern w:val="2"/>
      <w:sz w:val="21"/>
      <w:szCs w:val="22"/>
      <w:lang w:val="en-US" w:eastAsia="zh-CN" w:bidi="ar-SA"/>
    </w:rPr>
  </w:style>
  <w:style w:type="paragraph" w:customStyle="1" w:styleId="af3">
    <w:name w:val="列项——（一级）"/>
    <w:link w:val="Char4"/>
    <w:qFormat/>
    <w:rsid w:val="00DB52DC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  <w:kern w:val="2"/>
      <w:sz w:val="21"/>
      <w:szCs w:val="22"/>
    </w:rPr>
  </w:style>
  <w:style w:type="paragraph" w:customStyle="1" w:styleId="a0">
    <w:name w:val="一级条标题"/>
    <w:next w:val="a2"/>
    <w:rsid w:val="00DB52DC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2"/>
    <w:rsid w:val="00DB52D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4">
    <w:name w:val="二级条标题"/>
    <w:basedOn w:val="a0"/>
    <w:next w:val="a2"/>
    <w:rsid w:val="00DB52DC"/>
    <w:pPr>
      <w:numPr>
        <w:ilvl w:val="2"/>
        <w:numId w:val="0"/>
      </w:numPr>
      <w:spacing w:before="50" w:after="50"/>
      <w:outlineLvl w:val="3"/>
    </w:pPr>
  </w:style>
  <w:style w:type="paragraph" w:customStyle="1" w:styleId="a1">
    <w:name w:val="四级条标题"/>
    <w:basedOn w:val="a2"/>
    <w:next w:val="a2"/>
    <w:rsid w:val="00DB52DC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f5">
    <w:name w:val="五级条标题"/>
    <w:basedOn w:val="a1"/>
    <w:next w:val="a2"/>
    <w:rsid w:val="00DB52DC"/>
    <w:pPr>
      <w:numPr>
        <w:ilvl w:val="5"/>
        <w:numId w:val="0"/>
      </w:numPr>
      <w:outlineLvl w:val="6"/>
    </w:pPr>
  </w:style>
  <w:style w:type="paragraph" w:customStyle="1" w:styleId="af6">
    <w:name w:val="段"/>
    <w:link w:val="Char5"/>
    <w:qFormat/>
    <w:rsid w:val="00DB52D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Times New Roman"/>
    </w:rPr>
  </w:style>
  <w:style w:type="character" w:customStyle="1" w:styleId="Char5">
    <w:name w:val="段 Char"/>
    <w:link w:val="af6"/>
    <w:rsid w:val="00DB52DC"/>
    <w:rPr>
      <w:rFonts w:ascii="宋体" w:hAnsi="Times New Roman" w:cs="Times New Roman"/>
      <w:lang w:val="en-US" w:eastAsia="zh-CN" w:bidi="ar-SA"/>
    </w:rPr>
  </w:style>
  <w:style w:type="character" w:styleId="af7">
    <w:name w:val="Placeholder Text"/>
    <w:basedOn w:val="a3"/>
    <w:uiPriority w:val="99"/>
    <w:semiHidden/>
    <w:rsid w:val="00DB52DC"/>
    <w:rPr>
      <w:color w:val="808080"/>
    </w:rPr>
  </w:style>
  <w:style w:type="character" w:customStyle="1" w:styleId="CharChar">
    <w:name w:val="段 Char Char"/>
    <w:rsid w:val="00DB52DC"/>
    <w:rPr>
      <w:rFonts w:ascii="宋体" w:hAnsi="宋体"/>
    </w:rPr>
  </w:style>
  <w:style w:type="character" w:customStyle="1" w:styleId="Char6">
    <w:name w:val="页眉 Char"/>
    <w:basedOn w:val="a3"/>
    <w:uiPriority w:val="99"/>
    <w:semiHidden/>
    <w:rsid w:val="00DB52DC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页脚 Char"/>
    <w:basedOn w:val="a3"/>
    <w:uiPriority w:val="99"/>
    <w:semiHidden/>
    <w:rsid w:val="00DB52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3"/>
    <w:link w:val="a8"/>
    <w:uiPriority w:val="99"/>
    <w:rsid w:val="00DB52DC"/>
    <w:rPr>
      <w:rFonts w:ascii="Times New Roman" w:hAnsi="Times New Roman" w:cs="Times New Roman"/>
      <w:kern w:val="2"/>
      <w:sz w:val="21"/>
      <w:szCs w:val="22"/>
    </w:rPr>
  </w:style>
  <w:style w:type="table" w:customStyle="1" w:styleId="2">
    <w:name w:val="网格型2"/>
    <w:basedOn w:val="a4"/>
    <w:next w:val="ad"/>
    <w:qFormat/>
    <w:rsid w:val="00C5622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2"/>
    <w:uiPriority w:val="34"/>
    <w:unhideWhenUsed/>
    <w:qFormat/>
    <w:rsid w:val="004017D8"/>
    <w:pPr>
      <w:ind w:firstLineChars="200" w:firstLine="420"/>
    </w:pPr>
  </w:style>
  <w:style w:type="paragraph" w:customStyle="1" w:styleId="Default">
    <w:name w:val="Default"/>
    <w:rsid w:val="00741BB4"/>
    <w:pPr>
      <w:widowControl w:val="0"/>
      <w:autoSpaceDE w:val="0"/>
      <w:autoSpaceDN w:val="0"/>
      <w:adjustRightInd w:val="0"/>
    </w:pPr>
    <w:rPr>
      <w:rFonts w:ascii="宋体`氀.." w:eastAsia="宋体`氀.." w:cs="宋体`氀.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8304D-4729-4628-AE8B-7F5E9E6E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9</Pages>
  <Words>1571</Words>
  <Characters>8958</Characters>
  <Application>Microsoft Office Word</Application>
  <DocSecurity>0</DocSecurity>
  <Lines>74</Lines>
  <Paragraphs>21</Paragraphs>
  <ScaleCrop>false</ScaleCrop>
  <Company>Microsoft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有色金属行业标准</dc:title>
  <dc:creator>User</dc:creator>
  <cp:lastModifiedBy>User</cp:lastModifiedBy>
  <cp:revision>20</cp:revision>
  <cp:lastPrinted>2021-01-04T09:35:00Z</cp:lastPrinted>
  <dcterms:created xsi:type="dcterms:W3CDTF">2021-04-01T03:16:00Z</dcterms:created>
  <dcterms:modified xsi:type="dcterms:W3CDTF">2021-05-17T06:47:00Z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