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2"/>
          <w:szCs w:val="32"/>
        </w:rPr>
      </w:pPr>
      <w:bookmarkStart w:id="0" w:name="_Hlk34755641"/>
      <w:bookmarkStart w:id="30" w:name="_GoBack"/>
      <w:bookmarkEnd w:id="30"/>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52"/>
          <w:szCs w:val="52"/>
        </w:rPr>
      </w:pPr>
      <w:r>
        <w:rPr>
          <w:rFonts w:hint="eastAsia" w:ascii="黑体" w:hAnsi="黑体" w:eastAsia="黑体" w:cs="黑体"/>
          <w:sz w:val="52"/>
          <w:szCs w:val="52"/>
        </w:rPr>
        <w:t>《栅栏型铅合金包覆铝芯阳极板》</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编制说明</w:t>
      </w: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（预审稿）</w:t>
      </w:r>
    </w:p>
    <w:p>
      <w:pPr>
        <w:jc w:val="center"/>
        <w:rPr>
          <w:rFonts w:ascii="黑体" w:hAnsi="黑体" w:eastAsia="黑体" w:cs="黑体"/>
          <w:sz w:val="52"/>
          <w:szCs w:val="5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昆明理工恒达科技股份有限公司</w:t>
      </w:r>
    </w:p>
    <w:p>
      <w:pPr>
        <w:jc w:val="center"/>
        <w:rPr>
          <w:rFonts w:ascii="黑体" w:hAnsi="黑体" w:eastAsia="黑体" w:cs="黑体"/>
          <w:sz w:val="32"/>
          <w:szCs w:val="32"/>
        </w:rPr>
      </w:pPr>
      <w:r>
        <w:rPr>
          <w:rFonts w:hint="eastAsia" w:ascii="黑体" w:hAnsi="黑体" w:eastAsia="黑体" w:cs="黑体"/>
          <w:sz w:val="32"/>
          <w:szCs w:val="32"/>
        </w:rPr>
        <w:t>2020年12月</w:t>
      </w:r>
    </w:p>
    <w:sdt>
      <w:sdtPr>
        <w:rPr>
          <w:rFonts w:ascii="宋体" w:hAnsi="宋体"/>
          <w:sz w:val="21"/>
        </w:rPr>
        <w:id w:val="147479442"/>
        <w:docPartObj>
          <w:docPartGallery w:val="Table of Contents"/>
          <w:docPartUnique/>
        </w:docPartObj>
      </w:sdtPr>
      <w:sdtEndPr>
        <w:rPr>
          <w:rFonts w:hint="eastAsia" w:ascii="黑体" w:hAnsi="黑体" w:eastAsia="黑体" w:cs="黑体"/>
          <w:b/>
          <w:sz w:val="21"/>
          <w:szCs w:val="32"/>
        </w:rPr>
      </w:sdtEndPr>
      <w:sdtContent>
        <w:p>
          <w:pPr>
            <w:spacing w:line="240" w:lineRule="auto"/>
            <w:jc w:val="center"/>
            <w:rPr>
              <w:rFonts w:ascii="黑体" w:hAnsi="黑体" w:eastAsia="黑体" w:cs="黑体"/>
              <w:sz w:val="48"/>
              <w:szCs w:val="48"/>
            </w:rPr>
          </w:pPr>
          <w:r>
            <w:rPr>
              <w:rFonts w:hint="eastAsia" w:ascii="黑体" w:hAnsi="黑体" w:eastAsia="黑体" w:cs="黑体"/>
              <w:sz w:val="48"/>
              <w:szCs w:val="48"/>
            </w:rPr>
            <w:t>目录</w:t>
          </w:r>
        </w:p>
        <w:p>
          <w:pPr>
            <w:spacing w:line="240" w:lineRule="auto"/>
            <w:jc w:val="both"/>
            <w:rPr>
              <w:rFonts w:ascii="黑体" w:hAnsi="黑体" w:eastAsia="黑体" w:cs="黑体"/>
              <w:sz w:val="28"/>
              <w:szCs w:val="28"/>
            </w:rPr>
          </w:pPr>
        </w:p>
        <w:p>
          <w:pPr>
            <w:pStyle w:val="9"/>
            <w:tabs>
              <w:tab w:val="right" w:leader="dot" w:pos="8312"/>
            </w:tabs>
            <w:rPr>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TOC \o "1-2" \h \u </w:instrText>
          </w:r>
          <w:r>
            <w:rPr>
              <w:rFonts w:hint="eastAsia" w:ascii="仿宋" w:hAnsi="仿宋" w:eastAsia="仿宋" w:cs="仿宋"/>
              <w:sz w:val="28"/>
              <w:szCs w:val="28"/>
            </w:rPr>
            <w:fldChar w:fldCharType="separate"/>
          </w:r>
          <w:r>
            <w:fldChar w:fldCharType="begin"/>
          </w:r>
          <w:r>
            <w:instrText xml:space="preserve"> HYPERLINK \l "_Toc21390" </w:instrText>
          </w:r>
          <w:r>
            <w:fldChar w:fldCharType="separate"/>
          </w:r>
          <w:r>
            <w:rPr>
              <w:rFonts w:hint="eastAsia" w:ascii="黑体" w:hAnsi="黑体" w:eastAsia="黑体" w:cs="黑体"/>
              <w:sz w:val="28"/>
              <w:szCs w:val="28"/>
            </w:rPr>
            <w:t>1、任务来源</w:t>
          </w:r>
          <w:r>
            <w:rPr>
              <w:sz w:val="28"/>
              <w:szCs w:val="28"/>
            </w:rPr>
            <w:tab/>
          </w:r>
          <w:r>
            <w:rPr>
              <w:sz w:val="28"/>
              <w:szCs w:val="28"/>
            </w:rPr>
            <w:fldChar w:fldCharType="begin"/>
          </w:r>
          <w:r>
            <w:rPr>
              <w:sz w:val="28"/>
              <w:szCs w:val="28"/>
            </w:rPr>
            <w:instrText xml:space="preserve"> PAGEREF _Toc21390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9"/>
            <w:tabs>
              <w:tab w:val="right" w:leader="dot" w:pos="8312"/>
            </w:tabs>
            <w:rPr>
              <w:sz w:val="28"/>
              <w:szCs w:val="28"/>
            </w:rPr>
          </w:pPr>
          <w:r>
            <w:fldChar w:fldCharType="begin"/>
          </w:r>
          <w:r>
            <w:instrText xml:space="preserve"> HYPERLINK \l "_Toc15932" </w:instrText>
          </w:r>
          <w:r>
            <w:fldChar w:fldCharType="separate"/>
          </w:r>
          <w:r>
            <w:rPr>
              <w:rFonts w:hint="eastAsia" w:ascii="黑体" w:hAnsi="黑体" w:eastAsia="黑体" w:cs="黑体"/>
              <w:sz w:val="28"/>
              <w:szCs w:val="28"/>
            </w:rPr>
            <w:t>2、工作简况</w:t>
          </w:r>
          <w:r>
            <w:rPr>
              <w:sz w:val="28"/>
              <w:szCs w:val="28"/>
            </w:rPr>
            <w:tab/>
          </w:r>
          <w:r>
            <w:rPr>
              <w:sz w:val="28"/>
              <w:szCs w:val="28"/>
            </w:rPr>
            <w:fldChar w:fldCharType="begin"/>
          </w:r>
          <w:r>
            <w:rPr>
              <w:sz w:val="28"/>
              <w:szCs w:val="28"/>
            </w:rPr>
            <w:instrText xml:space="preserve"> PAGEREF _Toc15932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"_Toc10796" </w:instrText>
          </w:r>
          <w:r>
            <w:fldChar w:fldCharType="separate"/>
          </w:r>
          <w:r>
            <w:rPr>
              <w:rFonts w:hint="eastAsia" w:ascii="仿宋" w:hAnsi="仿宋" w:eastAsia="仿宋" w:cs="仿宋"/>
              <w:bCs/>
              <w:sz w:val="28"/>
              <w:szCs w:val="28"/>
            </w:rPr>
            <w:t>2.1立项的目的和意义</w:t>
          </w:r>
          <w:r>
            <w:rPr>
              <w:sz w:val="28"/>
              <w:szCs w:val="28"/>
            </w:rPr>
            <w:tab/>
          </w:r>
          <w:r>
            <w:rPr>
              <w:sz w:val="28"/>
              <w:szCs w:val="28"/>
            </w:rPr>
            <w:fldChar w:fldCharType="begin"/>
          </w:r>
          <w:r>
            <w:rPr>
              <w:sz w:val="28"/>
              <w:szCs w:val="28"/>
            </w:rPr>
            <w:instrText xml:space="preserve"> PAGEREF _Toc10796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"_Toc19041" </w:instrText>
          </w:r>
          <w:r>
            <w:fldChar w:fldCharType="separate"/>
          </w:r>
          <w:r>
            <w:rPr>
              <w:rFonts w:hint="eastAsia" w:ascii="仿宋" w:hAnsi="仿宋" w:eastAsia="仿宋" w:cs="仿宋"/>
              <w:bCs/>
              <w:sz w:val="28"/>
              <w:szCs w:val="28"/>
            </w:rPr>
            <w:t>2.2主要起草单位</w:t>
          </w:r>
          <w:r>
            <w:rPr>
              <w:sz w:val="28"/>
              <w:szCs w:val="28"/>
            </w:rPr>
            <w:tab/>
          </w:r>
          <w:r>
            <w:rPr>
              <w:sz w:val="28"/>
              <w:szCs w:val="28"/>
            </w:rPr>
            <w:fldChar w:fldCharType="begin"/>
          </w:r>
          <w:r>
            <w:rPr>
              <w:sz w:val="28"/>
              <w:szCs w:val="28"/>
            </w:rPr>
            <w:instrText xml:space="preserve"> PAGEREF _Toc19041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"_Toc17893" </w:instrText>
          </w:r>
          <w:r>
            <w:fldChar w:fldCharType="separate"/>
          </w:r>
          <w:r>
            <w:rPr>
              <w:rFonts w:hint="eastAsia" w:ascii="仿宋" w:hAnsi="仿宋" w:eastAsia="仿宋" w:cs="仿宋"/>
              <w:bCs/>
              <w:sz w:val="28"/>
              <w:szCs w:val="28"/>
            </w:rPr>
            <w:t>2.3主要工作过程</w:t>
          </w:r>
          <w:r>
            <w:rPr>
              <w:sz w:val="28"/>
              <w:szCs w:val="28"/>
            </w:rPr>
            <w:tab/>
          </w:r>
          <w:r>
            <w:rPr>
              <w:sz w:val="28"/>
              <w:szCs w:val="28"/>
            </w:rPr>
            <w:fldChar w:fldCharType="begin"/>
          </w:r>
          <w:r>
            <w:rPr>
              <w:sz w:val="28"/>
              <w:szCs w:val="28"/>
            </w:rPr>
            <w:instrText xml:space="preserve"> PAGEREF _Toc17893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9"/>
            <w:tabs>
              <w:tab w:val="right" w:leader="dot" w:pos="8312"/>
            </w:tabs>
            <w:rPr>
              <w:sz w:val="28"/>
              <w:szCs w:val="28"/>
            </w:rPr>
          </w:pPr>
          <w:r>
            <w:fldChar w:fldCharType="begin"/>
          </w:r>
          <w:r>
            <w:instrText xml:space="preserve"> HYPERLINK \l "_Toc26208" </w:instrText>
          </w:r>
          <w:r>
            <w:fldChar w:fldCharType="separate"/>
          </w:r>
          <w:r>
            <w:rPr>
              <w:rFonts w:hint="eastAsia" w:ascii="黑体" w:hAnsi="黑体" w:eastAsia="黑体" w:cs="黑体"/>
              <w:sz w:val="28"/>
              <w:szCs w:val="28"/>
            </w:rPr>
            <w:t>3、编制原则</w:t>
          </w:r>
          <w:r>
            <w:rPr>
              <w:sz w:val="28"/>
              <w:szCs w:val="28"/>
            </w:rPr>
            <w:tab/>
          </w:r>
          <w:r>
            <w:rPr>
              <w:sz w:val="28"/>
              <w:szCs w:val="28"/>
            </w:rPr>
            <w:fldChar w:fldCharType="begin"/>
          </w:r>
          <w:r>
            <w:rPr>
              <w:sz w:val="28"/>
              <w:szCs w:val="28"/>
            </w:rPr>
            <w:instrText xml:space="preserve"> PAGEREF _Toc26208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9"/>
            <w:tabs>
              <w:tab w:val="right" w:leader="dot" w:pos="8312"/>
            </w:tabs>
            <w:rPr>
              <w:sz w:val="28"/>
              <w:szCs w:val="28"/>
            </w:rPr>
          </w:pPr>
          <w:r>
            <w:fldChar w:fldCharType="begin"/>
          </w:r>
          <w:r>
            <w:instrText xml:space="preserve"> HYPERLINK \l "_Toc5515" </w:instrText>
          </w:r>
          <w:r>
            <w:fldChar w:fldCharType="separate"/>
          </w:r>
          <w:r>
            <w:rPr>
              <w:rFonts w:hint="eastAsia" w:ascii="黑体" w:hAnsi="黑体" w:eastAsia="黑体" w:cs="黑体"/>
              <w:sz w:val="28"/>
              <w:szCs w:val="28"/>
            </w:rPr>
            <w:t>4、标准主要内容及论据</w:t>
          </w:r>
          <w:r>
            <w:rPr>
              <w:sz w:val="28"/>
              <w:szCs w:val="28"/>
            </w:rPr>
            <w:tab/>
          </w:r>
          <w:r>
            <w:rPr>
              <w:sz w:val="28"/>
              <w:szCs w:val="28"/>
            </w:rPr>
            <w:fldChar w:fldCharType="begin"/>
          </w:r>
          <w:r>
            <w:rPr>
              <w:sz w:val="28"/>
              <w:szCs w:val="28"/>
            </w:rPr>
            <w:instrText xml:space="preserve"> PAGEREF _Toc5515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"_Toc14631" </w:instrText>
          </w:r>
          <w:r>
            <w:fldChar w:fldCharType="separate"/>
          </w:r>
          <w:r>
            <w:rPr>
              <w:rFonts w:hint="eastAsia" w:ascii="仿宋" w:hAnsi="仿宋" w:eastAsia="仿宋" w:cs="仿宋"/>
              <w:bCs/>
              <w:sz w:val="28"/>
              <w:szCs w:val="28"/>
            </w:rPr>
            <w:t>4.1标准题目及适用范围</w:t>
          </w:r>
          <w:r>
            <w:rPr>
              <w:sz w:val="28"/>
              <w:szCs w:val="28"/>
            </w:rPr>
            <w:tab/>
          </w:r>
          <w:r>
            <w:rPr>
              <w:sz w:val="28"/>
              <w:szCs w:val="28"/>
            </w:rPr>
            <w:fldChar w:fldCharType="begin"/>
          </w:r>
          <w:r>
            <w:rPr>
              <w:sz w:val="28"/>
              <w:szCs w:val="28"/>
            </w:rPr>
            <w:instrText xml:space="preserve"> PAGEREF _Toc14631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"_Toc21038" </w:instrText>
          </w:r>
          <w:r>
            <w:fldChar w:fldCharType="separate"/>
          </w:r>
          <w:r>
            <w:rPr>
              <w:rFonts w:hint="eastAsia" w:ascii="仿宋" w:hAnsi="仿宋" w:eastAsia="仿宋" w:cs="仿宋"/>
              <w:bCs/>
              <w:sz w:val="28"/>
              <w:szCs w:val="28"/>
            </w:rPr>
            <w:t>4.2术语和定义</w:t>
          </w:r>
          <w:r>
            <w:rPr>
              <w:sz w:val="28"/>
              <w:szCs w:val="28"/>
            </w:rPr>
            <w:tab/>
          </w:r>
          <w:r>
            <w:rPr>
              <w:sz w:val="28"/>
              <w:szCs w:val="28"/>
            </w:rPr>
            <w:fldChar w:fldCharType="begin"/>
          </w:r>
          <w:r>
            <w:rPr>
              <w:sz w:val="28"/>
              <w:szCs w:val="28"/>
            </w:rPr>
            <w:instrText xml:space="preserve"> PAGEREF _Toc21038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"_Toc30197" </w:instrText>
          </w:r>
          <w:r>
            <w:fldChar w:fldCharType="separate"/>
          </w:r>
          <w:r>
            <w:rPr>
              <w:rFonts w:hint="eastAsia" w:ascii="仿宋" w:hAnsi="仿宋" w:eastAsia="仿宋" w:cs="仿宋"/>
              <w:bCs/>
              <w:sz w:val="28"/>
              <w:szCs w:val="28"/>
            </w:rPr>
            <w:t>4.3产品分类</w:t>
          </w:r>
          <w:r>
            <w:rPr>
              <w:sz w:val="28"/>
              <w:szCs w:val="28"/>
            </w:rPr>
            <w:tab/>
          </w:r>
          <w:r>
            <w:rPr>
              <w:sz w:val="28"/>
              <w:szCs w:val="28"/>
            </w:rPr>
            <w:fldChar w:fldCharType="begin"/>
          </w:r>
          <w:r>
            <w:rPr>
              <w:sz w:val="28"/>
              <w:szCs w:val="28"/>
            </w:rPr>
            <w:instrText xml:space="preserve"> PAGEREF _Toc30197 </w:instrText>
          </w:r>
          <w:r>
            <w:rPr>
              <w:sz w:val="28"/>
              <w:szCs w:val="28"/>
            </w:rPr>
            <w:fldChar w:fldCharType="separate"/>
          </w:r>
          <w:r>
            <w:rPr>
              <w:sz w:val="28"/>
              <w:szCs w:val="28"/>
            </w:rPr>
            <w:t>7</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"_Toc3772" </w:instrText>
          </w:r>
          <w:r>
            <w:fldChar w:fldCharType="separate"/>
          </w:r>
          <w:r>
            <w:rPr>
              <w:rFonts w:hint="eastAsia" w:ascii="仿宋" w:hAnsi="仿宋" w:eastAsia="仿宋" w:cs="仿宋"/>
              <w:bCs/>
              <w:sz w:val="28"/>
              <w:szCs w:val="28"/>
            </w:rPr>
            <w:t>4.4化学成分</w:t>
          </w:r>
          <w:r>
            <w:rPr>
              <w:sz w:val="28"/>
              <w:szCs w:val="28"/>
            </w:rPr>
            <w:tab/>
          </w:r>
          <w:r>
            <w:rPr>
              <w:sz w:val="28"/>
              <w:szCs w:val="28"/>
            </w:rPr>
            <w:fldChar w:fldCharType="begin"/>
          </w:r>
          <w:r>
            <w:rPr>
              <w:sz w:val="28"/>
              <w:szCs w:val="28"/>
            </w:rPr>
            <w:instrText xml:space="preserve"> PAGEREF _Toc3772 </w:instrText>
          </w:r>
          <w:r>
            <w:rPr>
              <w:sz w:val="28"/>
              <w:szCs w:val="28"/>
            </w:rPr>
            <w:fldChar w:fldCharType="separate"/>
          </w:r>
          <w:r>
            <w:rPr>
              <w:sz w:val="28"/>
              <w:szCs w:val="28"/>
            </w:rPr>
            <w:t>8</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"_Toc1542" </w:instrText>
          </w:r>
          <w:r>
            <w:fldChar w:fldCharType="separate"/>
          </w:r>
          <w:r>
            <w:rPr>
              <w:rFonts w:hint="eastAsia" w:ascii="仿宋" w:hAnsi="仿宋" w:eastAsia="仿宋" w:cs="仿宋"/>
              <w:bCs/>
              <w:sz w:val="28"/>
              <w:szCs w:val="28"/>
            </w:rPr>
            <w:t>4.5导电头化学成分</w:t>
          </w:r>
          <w:r>
            <w:rPr>
              <w:sz w:val="28"/>
              <w:szCs w:val="28"/>
            </w:rPr>
            <w:tab/>
          </w:r>
          <w:r>
            <w:rPr>
              <w:sz w:val="28"/>
              <w:szCs w:val="28"/>
            </w:rPr>
            <w:fldChar w:fldCharType="begin"/>
          </w:r>
          <w:r>
            <w:rPr>
              <w:sz w:val="28"/>
              <w:szCs w:val="28"/>
            </w:rPr>
            <w:instrText xml:space="preserve"> PAGEREF _Toc1542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"_Toc12666" </w:instrText>
          </w:r>
          <w:r>
            <w:fldChar w:fldCharType="separate"/>
          </w:r>
          <w:r>
            <w:rPr>
              <w:rFonts w:hint="eastAsia" w:ascii="仿宋" w:hAnsi="仿宋" w:eastAsia="仿宋" w:cs="仿宋"/>
              <w:bCs/>
              <w:sz w:val="28"/>
              <w:szCs w:val="28"/>
            </w:rPr>
            <w:t>4.6外形尺寸</w:t>
          </w:r>
          <w:r>
            <w:rPr>
              <w:sz w:val="28"/>
              <w:szCs w:val="28"/>
            </w:rPr>
            <w:tab/>
          </w:r>
          <w:r>
            <w:rPr>
              <w:sz w:val="28"/>
              <w:szCs w:val="28"/>
            </w:rPr>
            <w:fldChar w:fldCharType="begin"/>
          </w:r>
          <w:r>
            <w:rPr>
              <w:sz w:val="28"/>
              <w:szCs w:val="28"/>
            </w:rPr>
            <w:instrText xml:space="preserve"> PAGEREF _Toc12666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"_Toc14492" </w:instrText>
          </w:r>
          <w:r>
            <w:fldChar w:fldCharType="separate"/>
          </w:r>
          <w:r>
            <w:rPr>
              <w:rFonts w:hint="eastAsia" w:ascii="仿宋" w:hAnsi="仿宋" w:eastAsia="仿宋" w:cs="仿宋"/>
              <w:bCs/>
              <w:sz w:val="28"/>
              <w:szCs w:val="28"/>
            </w:rPr>
            <w:t>4.7力学性能</w:t>
          </w:r>
          <w:r>
            <w:rPr>
              <w:sz w:val="28"/>
              <w:szCs w:val="28"/>
            </w:rPr>
            <w:tab/>
          </w:r>
          <w:r>
            <w:rPr>
              <w:sz w:val="28"/>
              <w:szCs w:val="28"/>
            </w:rPr>
            <w:fldChar w:fldCharType="begin"/>
          </w:r>
          <w:r>
            <w:rPr>
              <w:sz w:val="28"/>
              <w:szCs w:val="28"/>
            </w:rPr>
            <w:instrText xml:space="preserve"> PAGEREF _Toc14492 </w:instrText>
          </w:r>
          <w:r>
            <w:rPr>
              <w:sz w:val="28"/>
              <w:szCs w:val="28"/>
            </w:rPr>
            <w:fldChar w:fldCharType="separate"/>
          </w:r>
          <w:r>
            <w:rPr>
              <w:sz w:val="28"/>
              <w:szCs w:val="28"/>
            </w:rPr>
            <w:t>10</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"_Toc3691" </w:instrText>
          </w:r>
          <w:r>
            <w:fldChar w:fldCharType="separate"/>
          </w:r>
          <w:r>
            <w:rPr>
              <w:rFonts w:hint="eastAsia" w:ascii="仿宋" w:hAnsi="仿宋" w:eastAsia="仿宋" w:cs="仿宋"/>
              <w:bCs/>
              <w:sz w:val="28"/>
              <w:szCs w:val="28"/>
            </w:rPr>
            <w:t>4.8导电性能</w:t>
          </w:r>
          <w:r>
            <w:rPr>
              <w:sz w:val="28"/>
              <w:szCs w:val="28"/>
            </w:rPr>
            <w:tab/>
          </w:r>
          <w:r>
            <w:rPr>
              <w:sz w:val="28"/>
              <w:szCs w:val="28"/>
            </w:rPr>
            <w:fldChar w:fldCharType="begin"/>
          </w:r>
          <w:r>
            <w:rPr>
              <w:sz w:val="28"/>
              <w:szCs w:val="28"/>
            </w:rPr>
            <w:instrText xml:space="preserve"> PAGEREF _Toc3691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"_Toc29772" </w:instrText>
          </w:r>
          <w:r>
            <w:fldChar w:fldCharType="separate"/>
          </w:r>
          <w:r>
            <w:rPr>
              <w:rFonts w:hint="eastAsia" w:ascii="仿宋" w:hAnsi="仿宋" w:eastAsia="仿宋" w:cs="仿宋"/>
              <w:bCs/>
              <w:sz w:val="28"/>
              <w:szCs w:val="28"/>
            </w:rPr>
            <w:t>4.9焊接质量</w:t>
          </w:r>
          <w:r>
            <w:rPr>
              <w:sz w:val="28"/>
              <w:szCs w:val="28"/>
            </w:rPr>
            <w:tab/>
          </w:r>
          <w:r>
            <w:rPr>
              <w:sz w:val="28"/>
              <w:szCs w:val="28"/>
            </w:rPr>
            <w:fldChar w:fldCharType="begin"/>
          </w:r>
          <w:r>
            <w:rPr>
              <w:sz w:val="28"/>
              <w:szCs w:val="28"/>
            </w:rPr>
            <w:instrText xml:space="preserve"> PAGEREF _Toc29772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11"/>
            <w:tabs>
              <w:tab w:val="right" w:leader="dot" w:pos="8312"/>
            </w:tabs>
            <w:ind w:left="400"/>
            <w:rPr>
              <w:sz w:val="28"/>
              <w:szCs w:val="28"/>
            </w:rPr>
          </w:pPr>
          <w:r>
            <w:fldChar w:fldCharType="begin"/>
          </w:r>
          <w:r>
            <w:instrText xml:space="preserve"> HYPERLINK \l "_Toc20971" </w:instrText>
          </w:r>
          <w:r>
            <w:fldChar w:fldCharType="separate"/>
          </w:r>
          <w:r>
            <w:rPr>
              <w:rFonts w:hint="eastAsia" w:ascii="仿宋" w:hAnsi="仿宋" w:eastAsia="仿宋" w:cs="仿宋"/>
              <w:bCs/>
              <w:sz w:val="28"/>
              <w:szCs w:val="28"/>
            </w:rPr>
            <w:t>4.10外观质量</w:t>
          </w:r>
          <w:r>
            <w:rPr>
              <w:sz w:val="28"/>
              <w:szCs w:val="28"/>
            </w:rPr>
            <w:tab/>
          </w:r>
          <w:r>
            <w:rPr>
              <w:sz w:val="28"/>
              <w:szCs w:val="28"/>
            </w:rPr>
            <w:fldChar w:fldCharType="begin"/>
          </w:r>
          <w:r>
            <w:rPr>
              <w:sz w:val="28"/>
              <w:szCs w:val="28"/>
            </w:rPr>
            <w:instrText xml:space="preserve"> PAGEREF _Toc20971 </w:instrText>
          </w:r>
          <w:r>
            <w:rPr>
              <w:sz w:val="28"/>
              <w:szCs w:val="28"/>
            </w:rPr>
            <w:fldChar w:fldCharType="separate"/>
          </w:r>
          <w:r>
            <w:rPr>
              <w:sz w:val="28"/>
              <w:szCs w:val="28"/>
            </w:rPr>
            <w:t>11</w:t>
          </w:r>
          <w:r>
            <w:rPr>
              <w:sz w:val="28"/>
              <w:szCs w:val="28"/>
            </w:rPr>
            <w:fldChar w:fldCharType="end"/>
          </w:r>
          <w:r>
            <w:rPr>
              <w:sz w:val="28"/>
              <w:szCs w:val="28"/>
            </w:rPr>
            <w:fldChar w:fldCharType="end"/>
          </w:r>
        </w:p>
        <w:p>
          <w:pPr>
            <w:pStyle w:val="9"/>
            <w:tabs>
              <w:tab w:val="right" w:leader="dot" w:pos="8312"/>
            </w:tabs>
            <w:rPr>
              <w:sz w:val="28"/>
              <w:szCs w:val="28"/>
            </w:rPr>
          </w:pPr>
          <w:r>
            <w:fldChar w:fldCharType="begin"/>
          </w:r>
          <w:r>
            <w:instrText xml:space="preserve"> HYPERLINK \l "_Toc31674" </w:instrText>
          </w:r>
          <w:r>
            <w:fldChar w:fldCharType="separate"/>
          </w:r>
          <w:r>
            <w:rPr>
              <w:rFonts w:hint="eastAsia" w:ascii="黑体" w:hAnsi="黑体" w:eastAsia="黑体" w:cs="黑体"/>
              <w:sz w:val="28"/>
              <w:szCs w:val="28"/>
            </w:rPr>
            <w:t>5、标准水平分析</w:t>
          </w:r>
          <w:r>
            <w:rPr>
              <w:sz w:val="28"/>
              <w:szCs w:val="28"/>
            </w:rPr>
            <w:tab/>
          </w:r>
          <w:r>
            <w:rPr>
              <w:sz w:val="28"/>
              <w:szCs w:val="28"/>
            </w:rPr>
            <w:fldChar w:fldCharType="begin"/>
          </w:r>
          <w:r>
            <w:rPr>
              <w:sz w:val="28"/>
              <w:szCs w:val="28"/>
            </w:rPr>
            <w:instrText xml:space="preserve"> PAGEREF _Toc31674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9"/>
            <w:tabs>
              <w:tab w:val="right" w:leader="dot" w:pos="8312"/>
            </w:tabs>
            <w:rPr>
              <w:sz w:val="28"/>
              <w:szCs w:val="28"/>
            </w:rPr>
          </w:pPr>
          <w:r>
            <w:fldChar w:fldCharType="begin"/>
          </w:r>
          <w:r>
            <w:instrText xml:space="preserve"> HYPERLINK \l "_Toc9465" </w:instrText>
          </w:r>
          <w:r>
            <w:fldChar w:fldCharType="separate"/>
          </w:r>
          <w:r>
            <w:rPr>
              <w:rFonts w:hint="eastAsia" w:ascii="黑体" w:hAnsi="黑体" w:eastAsia="黑体" w:cs="黑体"/>
              <w:sz w:val="28"/>
              <w:szCs w:val="28"/>
            </w:rPr>
            <w:t>6、与有关的现行法律、法规和强制性国家标准的关系</w:t>
          </w:r>
          <w:r>
            <w:rPr>
              <w:sz w:val="28"/>
              <w:szCs w:val="28"/>
            </w:rPr>
            <w:tab/>
          </w:r>
          <w:r>
            <w:rPr>
              <w:sz w:val="28"/>
              <w:szCs w:val="28"/>
            </w:rPr>
            <w:fldChar w:fldCharType="begin"/>
          </w:r>
          <w:r>
            <w:rPr>
              <w:sz w:val="28"/>
              <w:szCs w:val="28"/>
            </w:rPr>
            <w:instrText xml:space="preserve"> PAGEREF _Toc9465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12"/>
            </w:tabs>
            <w:rPr>
              <w:sz w:val="28"/>
              <w:szCs w:val="28"/>
            </w:rPr>
          </w:pPr>
          <w:r>
            <w:fldChar w:fldCharType="begin"/>
          </w:r>
          <w:r>
            <w:instrText xml:space="preserve"> HYPERLINK \l "_Toc10534" </w:instrText>
          </w:r>
          <w:r>
            <w:fldChar w:fldCharType="separate"/>
          </w:r>
          <w:r>
            <w:rPr>
              <w:rFonts w:hint="eastAsia" w:ascii="黑体" w:hAnsi="黑体" w:eastAsia="黑体" w:cs="黑体"/>
              <w:sz w:val="28"/>
              <w:szCs w:val="28"/>
            </w:rPr>
            <w:t>7、重大分歧意见的处理经过和依据</w:t>
          </w:r>
          <w:r>
            <w:rPr>
              <w:sz w:val="28"/>
              <w:szCs w:val="28"/>
            </w:rPr>
            <w:tab/>
          </w:r>
          <w:r>
            <w:rPr>
              <w:sz w:val="28"/>
              <w:szCs w:val="28"/>
            </w:rPr>
            <w:fldChar w:fldCharType="begin"/>
          </w:r>
          <w:r>
            <w:rPr>
              <w:sz w:val="28"/>
              <w:szCs w:val="28"/>
            </w:rPr>
            <w:instrText xml:space="preserve"> PAGEREF _Toc10534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12"/>
            </w:tabs>
            <w:rPr>
              <w:sz w:val="28"/>
              <w:szCs w:val="28"/>
            </w:rPr>
          </w:pPr>
          <w:r>
            <w:fldChar w:fldCharType="begin"/>
          </w:r>
          <w:r>
            <w:instrText xml:space="preserve"> HYPERLINK \l "_Toc270" </w:instrText>
          </w:r>
          <w:r>
            <w:fldChar w:fldCharType="separate"/>
          </w:r>
          <w:r>
            <w:rPr>
              <w:rFonts w:hint="eastAsia" w:ascii="黑体" w:hAnsi="黑体" w:eastAsia="黑体"/>
              <w:sz w:val="28"/>
              <w:szCs w:val="28"/>
            </w:rPr>
            <w:t>8、标准作为强制性或推荐性标准的建议</w:t>
          </w:r>
          <w:r>
            <w:rPr>
              <w:sz w:val="28"/>
              <w:szCs w:val="28"/>
            </w:rPr>
            <w:tab/>
          </w:r>
          <w:r>
            <w:rPr>
              <w:sz w:val="28"/>
              <w:szCs w:val="28"/>
            </w:rPr>
            <w:fldChar w:fldCharType="begin"/>
          </w:r>
          <w:r>
            <w:rPr>
              <w:sz w:val="28"/>
              <w:szCs w:val="28"/>
            </w:rPr>
            <w:instrText xml:space="preserve"> PAGEREF _Toc270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12"/>
            </w:tabs>
            <w:rPr>
              <w:sz w:val="28"/>
              <w:szCs w:val="28"/>
            </w:rPr>
          </w:pPr>
          <w:r>
            <w:fldChar w:fldCharType="begin"/>
          </w:r>
          <w:r>
            <w:instrText xml:space="preserve"> HYPERLINK \l "_Toc24444" </w:instrText>
          </w:r>
          <w:r>
            <w:fldChar w:fldCharType="separate"/>
          </w:r>
          <w:r>
            <w:rPr>
              <w:rFonts w:hint="eastAsia" w:ascii="黑体" w:hAnsi="黑体" w:eastAsia="黑体"/>
              <w:sz w:val="28"/>
              <w:szCs w:val="28"/>
            </w:rPr>
            <w:t>9、标准实施贯彻的建议</w:t>
          </w:r>
          <w:r>
            <w:rPr>
              <w:sz w:val="28"/>
              <w:szCs w:val="28"/>
            </w:rPr>
            <w:tab/>
          </w:r>
          <w:r>
            <w:rPr>
              <w:sz w:val="28"/>
              <w:szCs w:val="28"/>
            </w:rPr>
            <w:fldChar w:fldCharType="begin"/>
          </w:r>
          <w:r>
            <w:rPr>
              <w:sz w:val="28"/>
              <w:szCs w:val="28"/>
            </w:rPr>
            <w:instrText xml:space="preserve"> PAGEREF _Toc24444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9"/>
            <w:tabs>
              <w:tab w:val="right" w:leader="dot" w:pos="8312"/>
            </w:tabs>
            <w:rPr>
              <w:sz w:val="28"/>
              <w:szCs w:val="28"/>
            </w:rPr>
          </w:pPr>
          <w:r>
            <w:fldChar w:fldCharType="begin"/>
          </w:r>
          <w:r>
            <w:instrText xml:space="preserve"> HYPERLINK \l "_Toc6002" </w:instrText>
          </w:r>
          <w:r>
            <w:fldChar w:fldCharType="separate"/>
          </w:r>
          <w:r>
            <w:rPr>
              <w:rFonts w:hint="eastAsia" w:ascii="黑体" w:hAnsi="黑体" w:eastAsia="黑体" w:cs="黑体"/>
              <w:sz w:val="28"/>
              <w:szCs w:val="28"/>
            </w:rPr>
            <w:t>10、预期效果</w:t>
          </w:r>
          <w:r>
            <w:rPr>
              <w:sz w:val="28"/>
              <w:szCs w:val="28"/>
            </w:rPr>
            <w:tab/>
          </w:r>
          <w:r>
            <w:rPr>
              <w:sz w:val="28"/>
              <w:szCs w:val="28"/>
            </w:rPr>
            <w:fldChar w:fldCharType="begin"/>
          </w:r>
          <w:r>
            <w:rPr>
              <w:sz w:val="28"/>
              <w:szCs w:val="28"/>
            </w:rPr>
            <w:instrText xml:space="preserve"> PAGEREF _Toc6002 </w:instrText>
          </w:r>
          <w:r>
            <w:rPr>
              <w:sz w:val="28"/>
              <w:szCs w:val="28"/>
            </w:rPr>
            <w:fldChar w:fldCharType="separate"/>
          </w:r>
          <w:r>
            <w:rPr>
              <w:sz w:val="28"/>
              <w:szCs w:val="28"/>
            </w:rPr>
            <w:t>14</w:t>
          </w:r>
          <w:r>
            <w:rPr>
              <w:sz w:val="28"/>
              <w:szCs w:val="28"/>
            </w:rPr>
            <w:fldChar w:fldCharType="end"/>
          </w:r>
          <w:r>
            <w:rPr>
              <w:sz w:val="28"/>
              <w:szCs w:val="28"/>
            </w:rPr>
            <w:fldChar w:fldCharType="end"/>
          </w:r>
        </w:p>
        <w:p>
          <w:pPr>
            <w:jc w:val="center"/>
            <w:rPr>
              <w:rFonts w:ascii="黑体" w:hAnsi="黑体" w:eastAsia="黑体" w:cs="黑体"/>
              <w:sz w:val="32"/>
              <w:szCs w:val="32"/>
            </w:rPr>
          </w:pPr>
          <w:r>
            <w:rPr>
              <w:rFonts w:hint="eastAsia" w:ascii="仿宋" w:hAnsi="仿宋" w:eastAsia="仿宋" w:cs="仿宋"/>
              <w:sz w:val="28"/>
              <w:szCs w:val="28"/>
            </w:rPr>
            <w:fldChar w:fldCharType="end"/>
          </w:r>
        </w:p>
      </w:sdtContent>
    </w:sdt>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p>
      <w:pPr>
        <w:jc w:val="center"/>
        <w:rPr>
          <w:rFonts w:ascii="黑体" w:hAnsi="黑体" w:eastAsia="黑体" w:cs="黑体"/>
          <w:sz w:val="32"/>
          <w:szCs w:val="32"/>
        </w:rPr>
      </w:pPr>
    </w:p>
    <w:bookmarkEnd w:id="0"/>
    <w:p>
      <w:pPr>
        <w:jc w:val="center"/>
        <w:rPr>
          <w:sz w:val="28"/>
          <w:szCs w:val="28"/>
        </w:rPr>
      </w:pPr>
    </w:p>
    <w:p>
      <w:pPr>
        <w:overflowPunct w:val="0"/>
        <w:spacing w:line="360" w:lineRule="auto"/>
        <w:jc w:val="both"/>
        <w:outlineLvl w:val="0"/>
        <w:rPr>
          <w:rFonts w:ascii="黑体" w:hAnsi="黑体" w:eastAsia="黑体" w:cs="黑体"/>
          <w:sz w:val="28"/>
          <w:szCs w:val="28"/>
        </w:rPr>
      </w:pPr>
      <w:bookmarkStart w:id="1" w:name="_Toc21390"/>
      <w:r>
        <w:rPr>
          <w:rFonts w:hint="eastAsia" w:ascii="黑体" w:hAnsi="黑体" w:eastAsia="黑体" w:cs="黑体"/>
          <w:sz w:val="28"/>
          <w:szCs w:val="28"/>
        </w:rPr>
        <w:t>1、任务来源</w:t>
      </w:r>
      <w:bookmarkEnd w:id="1"/>
    </w:p>
    <w:p>
      <w:pPr>
        <w:overflowPunct w:val="0"/>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根据</w:t>
      </w:r>
      <w:r>
        <w:rPr>
          <w:rStyle w:val="15"/>
          <w:rFonts w:hint="eastAsia" w:ascii="仿宋" w:hAnsi="仿宋" w:eastAsia="仿宋" w:cs="仿宋"/>
          <w:b w:val="0"/>
          <w:bCs w:val="0"/>
          <w:color w:val="070707"/>
          <w:sz w:val="28"/>
          <w:szCs w:val="28"/>
        </w:rPr>
        <w:t>根据工业和信息化部《工业和信息化部办公厅关于印发2019年第一批行业标准制修订和外文版项目计划的通知》（工信厅科〔2019〕126号）和</w:t>
      </w:r>
      <w:r>
        <w:rPr>
          <w:rFonts w:hint="eastAsia" w:ascii="仿宋" w:hAnsi="仿宋" w:eastAsia="仿宋" w:cs="仿宋"/>
          <w:sz w:val="28"/>
          <w:szCs w:val="28"/>
        </w:rPr>
        <w:t>全国有色金属标准化技术委员会《关于转发第二批有色金属国家、行业、协会标准制（修）订项目计划的通知》（有色标委 [2019] 73 号），</w:t>
      </w:r>
      <w:r>
        <w:rPr>
          <w:rStyle w:val="15"/>
          <w:rFonts w:hint="eastAsia" w:ascii="仿宋" w:hAnsi="仿宋" w:eastAsia="仿宋" w:cs="仿宋"/>
          <w:b w:val="0"/>
          <w:bCs w:val="0"/>
          <w:color w:val="070707"/>
          <w:sz w:val="28"/>
          <w:szCs w:val="28"/>
        </w:rPr>
        <w:t>其中附件2《2019年第二批有色金属行业标准项目计划表》序号第11项（</w:t>
      </w:r>
      <w:r>
        <w:rPr>
          <w:rFonts w:hint="eastAsia" w:ascii="仿宋" w:hAnsi="仿宋" w:eastAsia="仿宋" w:cs="仿宋"/>
          <w:sz w:val="28"/>
          <w:szCs w:val="28"/>
        </w:rPr>
        <w:t>计划号2019-0174T-YS）。《栅栏型铅合金包覆铝芯阳极板》行业标准由昆明理工恒达科技股份有限公司、中国有色矿业集团有限公司、昆明理工大学、云南金鼎锌业有限公司负责起草，完成年限为2021年6月。</w:t>
      </w:r>
    </w:p>
    <w:p>
      <w:pPr>
        <w:overflowPunct w:val="0"/>
        <w:spacing w:line="360" w:lineRule="auto"/>
        <w:jc w:val="both"/>
        <w:outlineLvl w:val="0"/>
        <w:rPr>
          <w:rFonts w:ascii="黑体" w:hAnsi="黑体" w:eastAsia="黑体" w:cs="黑体"/>
          <w:sz w:val="28"/>
          <w:szCs w:val="28"/>
        </w:rPr>
      </w:pPr>
      <w:bookmarkStart w:id="2" w:name="_Toc15932"/>
      <w:r>
        <w:rPr>
          <w:rFonts w:hint="eastAsia" w:ascii="黑体" w:hAnsi="黑体" w:eastAsia="黑体" w:cs="黑体"/>
          <w:sz w:val="28"/>
          <w:szCs w:val="28"/>
        </w:rPr>
        <w:t>2、工作简况</w:t>
      </w:r>
      <w:bookmarkEnd w:id="2"/>
    </w:p>
    <w:p>
      <w:pPr>
        <w:overflowPunct w:val="0"/>
        <w:spacing w:line="360" w:lineRule="auto"/>
        <w:ind w:firstLine="562" w:firstLineChars="200"/>
        <w:jc w:val="both"/>
        <w:outlineLvl w:val="1"/>
        <w:rPr>
          <w:rFonts w:ascii="仿宋" w:hAnsi="仿宋" w:eastAsia="仿宋" w:cs="仿宋"/>
          <w:b/>
          <w:bCs/>
          <w:sz w:val="28"/>
          <w:szCs w:val="28"/>
        </w:rPr>
      </w:pPr>
      <w:bookmarkStart w:id="3" w:name="_Toc10796"/>
      <w:r>
        <w:rPr>
          <w:rFonts w:hint="eastAsia" w:ascii="仿宋" w:hAnsi="仿宋" w:eastAsia="仿宋" w:cs="仿宋"/>
          <w:b/>
          <w:bCs/>
          <w:sz w:val="28"/>
          <w:szCs w:val="28"/>
        </w:rPr>
        <w:t>2.1立项的目的和意义</w:t>
      </w:r>
      <w:bookmarkEnd w:id="3"/>
    </w:p>
    <w:p>
      <w:pPr>
        <w:overflowPunct w:val="0"/>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湿法冶金技术因其独特的技术优势在有色金属工业获得广泛应用，全球每年有2,100多万吨有色金属采用湿法冶金技术提取，耗电高达650亿度，节能降耗及绿色发展迫在眉睫。有色金属电解过程占据整个湿法冶金过程能耗约70%，降低槽电压和提高电流效率是降低能耗的主要途径，电极材料是其决定性因素，直接影响有色金属工业节能降耗。铅合金电极材料已经在全球湿法冶金工业应用了150多年，但存在导电性及环境友好性差、易变形、成本高、能耗高等共性问题。有色金属工业降本增效和转型升级的任务艰巨，提升有色金属工业技术水平迫在眉睫，开发具有低成本、低能耗、高强度及长寿命的新型电极材料，为实现有色金属工业节能降耗、提质增效提供支撑，发挥我国有色金属冶炼技术及装备优势，开展国际产能合作提供新空间。</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Fonts w:hint="eastAsia" w:ascii="仿宋" w:hAnsi="仿宋" w:eastAsia="仿宋" w:cs="仿宋"/>
          <w:sz w:val="28"/>
          <w:szCs w:val="28"/>
        </w:rPr>
        <w:t>面向冶金行业发展重大难点需求，针对现有铅合金电极材料机械强度低、导电性差、能耗高等技术瓶颈，</w:t>
      </w:r>
      <w:r>
        <w:rPr>
          <w:rStyle w:val="15"/>
          <w:rFonts w:hint="eastAsia" w:ascii="仿宋" w:hAnsi="仿宋" w:eastAsia="仿宋" w:cs="仿宋"/>
          <w:color w:val="070707"/>
          <w:sz w:val="28"/>
          <w:szCs w:val="28"/>
        </w:rPr>
        <w:t>昆明理工恒达科技股份有限公司</w:t>
      </w:r>
      <w:r>
        <w:rPr>
          <w:rStyle w:val="15"/>
          <w:rFonts w:hint="eastAsia" w:ascii="仿宋" w:hAnsi="仿宋" w:eastAsia="仿宋" w:cs="仿宋"/>
          <w:b w:val="0"/>
          <w:bCs w:val="0"/>
          <w:color w:val="070707"/>
          <w:sz w:val="28"/>
          <w:szCs w:val="28"/>
        </w:rPr>
        <w:t>研发的</w:t>
      </w:r>
      <w:bookmarkStart w:id="4" w:name="_Hlk34763153"/>
      <w:r>
        <w:rPr>
          <w:rStyle w:val="15"/>
          <w:rFonts w:hint="eastAsia" w:ascii="仿宋" w:hAnsi="仿宋" w:eastAsia="仿宋" w:cs="仿宋"/>
          <w:b w:val="0"/>
          <w:bCs w:val="0"/>
          <w:color w:val="070707"/>
          <w:sz w:val="28"/>
          <w:szCs w:val="28"/>
        </w:rPr>
        <w:t>栅栏型铅合金包覆铝芯阳极板</w:t>
      </w:r>
      <w:bookmarkEnd w:id="4"/>
      <w:r>
        <w:rPr>
          <w:rStyle w:val="15"/>
          <w:rFonts w:hint="eastAsia" w:ascii="仿宋" w:hAnsi="仿宋" w:eastAsia="仿宋" w:cs="仿宋"/>
          <w:b w:val="0"/>
          <w:bCs w:val="0"/>
          <w:color w:val="070707"/>
          <w:sz w:val="28"/>
          <w:szCs w:val="28"/>
        </w:rPr>
        <w:t>，利用铝质量轻及优良的导电性能，解决了铝铅多金属异质界面有效结合的难题，实现多金属多层次连续复合的铅合金包覆铝芯阳极材料规模化生产，首创的栅栏型结构提高了阳极的机械性能和电化学性能，阳极板制作原材料成本低，有色金属电积过程中槽电压降低和电流效率提高。相比传统的铅基合金阳极板，重金属铅用量减少20%左右。在节能、降耗、减排及技术创新等方面，对有色冶金行业具有重大的历史意义和实际应用价值。目前，近四年栅栏型铅合金包覆铝芯阳极板的应用已超过16.5万片，特别是国际应用市场已占到了一定的比例，应用市场增长趋势明显，已经逐步实现对传统极板的替代，所以制定《栅栏型铅合金包覆铝芯阳极板》行业标准的需求已经迫在眉睫。</w:t>
      </w:r>
    </w:p>
    <w:p>
      <w:pPr>
        <w:overflowPunct w:val="0"/>
        <w:spacing w:line="360" w:lineRule="auto"/>
        <w:ind w:firstLine="562" w:firstLineChars="200"/>
        <w:jc w:val="both"/>
        <w:outlineLvl w:val="1"/>
        <w:rPr>
          <w:rStyle w:val="15"/>
          <w:rFonts w:ascii="仿宋" w:hAnsi="仿宋" w:eastAsia="仿宋" w:cs="仿宋"/>
          <w:color w:val="070707"/>
          <w:sz w:val="28"/>
          <w:szCs w:val="28"/>
        </w:rPr>
      </w:pPr>
      <w:bookmarkStart w:id="5" w:name="_Toc19041"/>
      <w:r>
        <w:rPr>
          <w:rStyle w:val="15"/>
          <w:rFonts w:hint="eastAsia" w:ascii="仿宋" w:hAnsi="仿宋" w:eastAsia="仿宋" w:cs="仿宋"/>
          <w:color w:val="070707"/>
          <w:sz w:val="28"/>
          <w:szCs w:val="28"/>
        </w:rPr>
        <w:t>2.2主要起草单位</w:t>
      </w:r>
      <w:bookmarkEnd w:id="5"/>
    </w:p>
    <w:p>
      <w:pPr>
        <w:overflowPunct w:val="0"/>
        <w:spacing w:line="360" w:lineRule="auto"/>
        <w:ind w:firstLine="562" w:firstLineChars="200"/>
        <w:jc w:val="both"/>
        <w:rPr>
          <w:rStyle w:val="15"/>
          <w:rFonts w:ascii="仿宋" w:hAnsi="仿宋" w:eastAsia="仿宋" w:cs="仿宋"/>
          <w:color w:val="070707"/>
          <w:sz w:val="28"/>
          <w:szCs w:val="28"/>
        </w:rPr>
      </w:pPr>
      <w:r>
        <w:rPr>
          <w:rStyle w:val="15"/>
          <w:rFonts w:hint="eastAsia" w:ascii="仿宋" w:hAnsi="仿宋" w:eastAsia="仿宋" w:cs="仿宋"/>
          <w:color w:val="070707"/>
          <w:sz w:val="28"/>
          <w:szCs w:val="28"/>
        </w:rPr>
        <w:t>（1）昆明理工恒达科技股份有限公司</w:t>
      </w:r>
      <w:bookmarkStart w:id="6" w:name="_Hlk34423570"/>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昆明理工恒达科技股份有限公司成立于2000年，由自然人、昆明理工大学、红塔创新投资股份有限公司等股东组成，是典型的混合股份所有制企业，注册资本金7850万元。2014年9月在新三板挂牌上市，时机成熟时到创业板IPO；以新型节能降耗电极材料、高效储能新材料及其制备技术等为核心业务，是集有色金属新材料研发、产品设计、加工制造、产品销售和技术服务等为一体的国家级高新技术企业。公司全面通过ISO9001:2008质量管理体系、ISO14001:2004环境管理体系和GB/T28001-2001职业健康管理体系三标一体的认证。凭借先进技术、优质产品和优良服务，企业得到快速稳健的发展。</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公司拥有一批行业内资深专家，拥有充满活力的经营管理团队和专业营销服务队伍；产品生产技术和设备先进，工艺成熟，检测设备精准。曾承担国家863计划、国家发改委高技术产业化项目、国家科技部火炬计划、云南省科技计划项目等30余项，保持着同行业市场和技术领先的地位，获省部级科学技术奖5项，专利40余件。建有云南省冶金电极材料工程技术研究中心、湿法冶金电极材料云南省创新团队和云南省企业技术中心等省级技术研发平台。</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产品销往全国30多个省市自治区并远销至非洲大陆、东北亚、中东和东南亚等地区，与国内多家知名冶炼企业建立有长期合作关系。</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（2）中国有色矿业集团有限公司</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（3）昆明理工大学</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（4）云南金鼎锌业有限公司</w:t>
      </w:r>
      <w:bookmarkEnd w:id="6"/>
    </w:p>
    <w:p>
      <w:pPr>
        <w:overflowPunct w:val="0"/>
        <w:spacing w:line="360" w:lineRule="auto"/>
        <w:ind w:firstLine="562" w:firstLineChars="200"/>
        <w:jc w:val="both"/>
        <w:outlineLvl w:val="1"/>
        <w:rPr>
          <w:rStyle w:val="15"/>
          <w:rFonts w:ascii="仿宋" w:hAnsi="仿宋" w:eastAsia="仿宋" w:cs="仿宋"/>
          <w:color w:val="070707"/>
          <w:sz w:val="28"/>
          <w:szCs w:val="28"/>
        </w:rPr>
      </w:pPr>
      <w:bookmarkStart w:id="7" w:name="_Toc17893"/>
      <w:r>
        <w:rPr>
          <w:rStyle w:val="15"/>
          <w:rFonts w:hint="eastAsia" w:ascii="仿宋" w:hAnsi="仿宋" w:eastAsia="仿宋" w:cs="仿宋"/>
          <w:color w:val="070707"/>
          <w:sz w:val="28"/>
          <w:szCs w:val="28"/>
        </w:rPr>
        <w:t>2.3主要工作过程</w:t>
      </w:r>
      <w:bookmarkEnd w:id="7"/>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1）2019年10月底行业标准编制立项获批，接到全国有色金属标准化技术委员会下达的《标准制修订任务书》后，即由昆明理工恒达科技股份有限公司牵头，中国有色矿业集团有限公司、昆明理工大学、云南金鼎锌业有限公司参与，成立了标准编写小组，开展如下工作：</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2）2019年11月-2020年12月，明确标准的主要起草人，明确标准起草、制定的计划安排、进度和要求，在标准的起草阶段，标准编写小组成员对国内外相关标准、资料进行了查询、收集和对比，并对产品的要求或技术指标进行了多次讨论，通过客户反馈的信息及理工恒达多年积累的实验和生产数据，形成数据汇总报告；</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（3）2020年1月至3月完成了标准草案的编制；</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（4）2020年3月至2020年6月，对标准草案进行讨论并征求意见，形成标准讨论稿；</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（5）2020年9月：</w:t>
      </w:r>
      <w:r>
        <w:rPr>
          <w:rFonts w:hint="eastAsia" w:ascii="仿宋" w:hAnsi="仿宋" w:eastAsia="仿宋" w:cs="仿宋"/>
          <w:sz w:val="28"/>
          <w:szCs w:val="28"/>
        </w:rPr>
        <w:t>标准会议上组织讨论，收集相关建议和意见</w:t>
      </w:r>
      <w:r>
        <w:rPr>
          <w:rStyle w:val="15"/>
          <w:rFonts w:hint="eastAsia" w:ascii="仿宋" w:hAnsi="仿宋" w:eastAsia="仿宋" w:cs="仿宋"/>
          <w:b w:val="0"/>
          <w:bCs w:val="0"/>
          <w:color w:val="070707"/>
          <w:sz w:val="28"/>
          <w:szCs w:val="28"/>
        </w:rPr>
        <w:t>；</w:t>
      </w:r>
    </w:p>
    <w:p>
      <w:pPr>
        <w:overflowPunct w:val="0"/>
        <w:spacing w:line="360" w:lineRule="auto"/>
        <w:ind w:firstLine="560" w:firstLineChars="200"/>
        <w:jc w:val="both"/>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（6）2020年10月-2020年12月：依据专家意见进行修改完善，内部讨论形成标准预审稿。</w:t>
      </w:r>
    </w:p>
    <w:p>
      <w:pPr>
        <w:overflowPunct w:val="0"/>
        <w:spacing w:line="360" w:lineRule="auto"/>
        <w:jc w:val="both"/>
        <w:outlineLvl w:val="0"/>
        <w:rPr>
          <w:rFonts w:ascii="黑体" w:hAnsi="黑体" w:eastAsia="黑体" w:cs="黑体"/>
          <w:sz w:val="28"/>
          <w:szCs w:val="28"/>
        </w:rPr>
      </w:pPr>
      <w:bookmarkStart w:id="8" w:name="_Toc26208"/>
      <w:r>
        <w:rPr>
          <w:rFonts w:hint="eastAsia" w:ascii="黑体" w:hAnsi="黑体" w:eastAsia="黑体" w:cs="黑体"/>
          <w:sz w:val="28"/>
          <w:szCs w:val="28"/>
        </w:rPr>
        <w:t>3、编制原则</w:t>
      </w:r>
      <w:bookmarkEnd w:id="8"/>
    </w:p>
    <w:p>
      <w:pPr>
        <w:pStyle w:val="5"/>
        <w:spacing w:line="360" w:lineRule="auto"/>
        <w:ind w:firstLine="560" w:firstLineChars="200"/>
        <w:rPr>
          <w:rFonts w:ascii="仿宋" w:hAnsi="仿宋" w:eastAsia="仿宋" w:cs="仿宋"/>
          <w:sz w:val="28"/>
          <w:szCs w:val="28"/>
        </w:rPr>
      </w:pPr>
      <w:r>
        <w:rPr>
          <w:rStyle w:val="15"/>
          <w:rFonts w:hint="eastAsia" w:ascii="仿宋" w:hAnsi="仿宋" w:eastAsia="仿宋" w:cs="仿宋"/>
          <w:b w:val="0"/>
          <w:bCs w:val="0"/>
          <w:color w:val="070707"/>
          <w:sz w:val="28"/>
          <w:szCs w:val="28"/>
        </w:rPr>
        <w:t>本文件本着提升产品品质、引导并推动行业发展，基于我国有色金属行业阳极的发展现状，综合梳理</w:t>
      </w:r>
      <w:bookmarkStart w:id="9" w:name="_Hlk34764349"/>
      <w:r>
        <w:rPr>
          <w:rStyle w:val="15"/>
          <w:rFonts w:hint="eastAsia" w:ascii="仿宋" w:hAnsi="仿宋" w:eastAsia="仿宋" w:cs="仿宋"/>
          <w:b w:val="0"/>
          <w:bCs w:val="0"/>
          <w:color w:val="070707"/>
          <w:sz w:val="28"/>
          <w:szCs w:val="28"/>
        </w:rPr>
        <w:t>有色金属行业用阳极产品</w:t>
      </w:r>
      <w:bookmarkEnd w:id="9"/>
      <w:r>
        <w:rPr>
          <w:rStyle w:val="15"/>
          <w:rFonts w:hint="eastAsia" w:ascii="仿宋" w:hAnsi="仿宋" w:eastAsia="仿宋" w:cs="仿宋"/>
          <w:b w:val="0"/>
          <w:bCs w:val="0"/>
          <w:color w:val="070707"/>
          <w:sz w:val="28"/>
          <w:szCs w:val="28"/>
        </w:rPr>
        <w:t>的质量控制技术水平，在综合对比分析我国有色金属行业阳极产品相关标准基础上，遵循先进性、适用性、有效性、填补空白的原则，参考YS/T 1089-2015《湿法冶金铜电积用阳极板》、YS/T 995-2014《湿法冶金电解锌用阳极板》</w:t>
      </w:r>
      <w:r>
        <w:rPr>
          <w:rFonts w:hint="eastAsia" w:ascii="仿宋" w:hAnsi="仿宋" w:eastAsia="仿宋" w:cs="仿宋"/>
          <w:sz w:val="28"/>
          <w:szCs w:val="28"/>
        </w:rPr>
        <w:t>等标准，标准编制工作组负责收集生产、检测数据、市场需求及完成情况等信息，确定《栅栏型铅合金包覆铝芯阳极板》行业标准的编制原则和编制依据。</w:t>
      </w:r>
    </w:p>
    <w:p>
      <w:pPr>
        <w:overflowPunct w:val="0"/>
        <w:spacing w:line="360" w:lineRule="auto"/>
        <w:jc w:val="both"/>
        <w:outlineLvl w:val="0"/>
        <w:rPr>
          <w:rFonts w:ascii="黑体" w:hAnsi="黑体" w:eastAsia="黑体" w:cs="黑体"/>
          <w:sz w:val="28"/>
          <w:szCs w:val="28"/>
        </w:rPr>
      </w:pPr>
      <w:bookmarkStart w:id="10" w:name="_Toc5515"/>
      <w:r>
        <w:rPr>
          <w:rFonts w:hint="eastAsia" w:ascii="黑体" w:hAnsi="黑体" w:eastAsia="黑体" w:cs="黑体"/>
          <w:sz w:val="28"/>
          <w:szCs w:val="28"/>
        </w:rPr>
        <w:t>4、标准主要内容及论据</w:t>
      </w:r>
      <w:bookmarkEnd w:id="10"/>
    </w:p>
    <w:p>
      <w:pPr>
        <w:pStyle w:val="5"/>
        <w:spacing w:line="360" w:lineRule="auto"/>
        <w:ind w:firstLine="562" w:firstLineChars="200"/>
        <w:outlineLvl w:val="1"/>
        <w:rPr>
          <w:rFonts w:ascii="仿宋" w:hAnsi="仿宋" w:eastAsia="仿宋" w:cs="仿宋"/>
          <w:b/>
          <w:bCs/>
          <w:sz w:val="28"/>
          <w:szCs w:val="28"/>
        </w:rPr>
      </w:pPr>
      <w:bookmarkStart w:id="11" w:name="_Toc14631"/>
      <w:r>
        <w:rPr>
          <w:rFonts w:hint="eastAsia" w:ascii="仿宋" w:hAnsi="仿宋" w:eastAsia="仿宋" w:cs="仿宋"/>
          <w:b/>
          <w:bCs/>
          <w:sz w:val="28"/>
          <w:szCs w:val="28"/>
        </w:rPr>
        <w:t>4.1标准题目及适用范围</w:t>
      </w:r>
      <w:bookmarkEnd w:id="11"/>
    </w:p>
    <w:p>
      <w:pPr>
        <w:pStyle w:val="5"/>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本文件立项名称为“栅栏型铅合金包覆铝芯阳极板”，英文名称“Fence-type anode plate with lead alloy coated aluminum core”,在标准征求意见的过程中未提出其他建议，故确定为此项目的名称。</w:t>
      </w:r>
    </w:p>
    <w:p>
      <w:pPr>
        <w:pStyle w:val="5"/>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本文件适用范围：本文件适用于以铅合金包覆铝芯为基本材料，以栅栏型为基本结构，按照特定技术和工艺生产的栅栏型铅合金包覆铝芯阳极板。</w:t>
      </w:r>
    </w:p>
    <w:p>
      <w:pPr>
        <w:pStyle w:val="5"/>
        <w:spacing w:line="360" w:lineRule="auto"/>
        <w:ind w:firstLine="562" w:firstLineChars="200"/>
        <w:outlineLvl w:val="1"/>
        <w:rPr>
          <w:rFonts w:ascii="仿宋" w:hAnsi="仿宋" w:eastAsia="仿宋" w:cs="仿宋"/>
          <w:b/>
          <w:bCs/>
          <w:sz w:val="28"/>
          <w:szCs w:val="28"/>
        </w:rPr>
      </w:pPr>
      <w:bookmarkStart w:id="12" w:name="_Toc21038"/>
      <w:r>
        <w:rPr>
          <w:rFonts w:hint="eastAsia" w:ascii="仿宋" w:hAnsi="仿宋" w:eastAsia="仿宋" w:cs="仿宋"/>
          <w:b/>
          <w:bCs/>
          <w:sz w:val="28"/>
          <w:szCs w:val="28"/>
        </w:rPr>
        <w:t>4.2术语和定义</w:t>
      </w:r>
      <w:bookmarkEnd w:id="12"/>
    </w:p>
    <w:p>
      <w:pPr>
        <w:spacing w:line="360" w:lineRule="auto"/>
        <w:ind w:firstLine="420"/>
        <w:rPr>
          <w:rFonts w:ascii="仿宋" w:hAnsi="仿宋" w:eastAsia="仿宋" w:cs="仿宋"/>
          <w:sz w:val="28"/>
          <w:szCs w:val="28"/>
        </w:rPr>
      </w:pPr>
      <w:r>
        <w:rPr>
          <w:rFonts w:hint="eastAsia" w:ascii="仿宋" w:hAnsi="仿宋" w:eastAsia="仿宋" w:cs="仿宋"/>
          <w:sz w:val="28"/>
          <w:szCs w:val="28"/>
        </w:rPr>
        <w:t>以1060铝芯线材为基体，在表面包覆一层铅合金，形成铅合金包覆铝芯，根据结构形式分为扁型和圆形，由于该产品属于国内首创，所以采用图示，能直观的表述其结构特点：</w:t>
      </w:r>
    </w:p>
    <w:p>
      <w:pPr>
        <w:ind w:firstLine="420"/>
        <w:jc w:val="center"/>
      </w:pPr>
      <w:r>
        <w:drawing>
          <wp:inline distT="0" distB="0" distL="0" distR="0">
            <wp:extent cx="3123565" cy="2004060"/>
            <wp:effectExtent l="19050" t="0" r="635" b="0"/>
            <wp:docPr id="4" name="图片 1" descr="16181287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1618128783(1)"/>
                    <pic:cNvPicPr>
                      <a:picLocks noChangeAspect="1" noChangeArrowheads="1"/>
                    </pic:cNvPicPr>
                  </pic:nvPicPr>
                  <pic:blipFill>
                    <a:blip r:embed="rId5" cstate="print"/>
                    <a:srcRect/>
                    <a:stretch>
                      <a:fillRect/>
                    </a:stretch>
                  </pic:blipFill>
                  <pic:spPr>
                    <a:xfrm>
                      <a:off x="0" y="0"/>
                      <a:ext cx="3123565" cy="2004060"/>
                    </a:xfrm>
                    <a:prstGeom prst="rect">
                      <a:avLst/>
                    </a:prstGeom>
                    <a:noFill/>
                    <a:ln w="9525">
                      <a:noFill/>
                      <a:miter lim="800000"/>
                      <a:headEnd/>
                      <a:tailEnd/>
                    </a:ln>
                  </pic:spPr>
                </pic:pic>
              </a:graphicData>
            </a:graphic>
          </wp:inline>
        </w:drawing>
      </w:r>
    </w:p>
    <w:p>
      <w:pPr>
        <w:ind w:firstLine="420"/>
        <w:jc w:val="center"/>
      </w:pPr>
      <w:r>
        <w:rPr>
          <w:rFonts w:hint="eastAsia"/>
        </w:rPr>
        <w:t>图1 扁型</w:t>
      </w:r>
      <w:r>
        <w:rPr>
          <w:rFonts w:hint="eastAsia"/>
          <w:color w:val="000000"/>
        </w:rPr>
        <w:t>铅合金包覆铝芯复合棒截面示意图</w:t>
      </w:r>
    </w:p>
    <w:p>
      <w:pPr>
        <w:ind w:firstLine="420"/>
        <w:jc w:val="center"/>
      </w:pPr>
      <w:r>
        <w:rPr>
          <w:rFonts w:hint="eastAsia"/>
        </w:rPr>
        <w:t xml:space="preserve">           </w:t>
      </w:r>
      <w:r>
        <w:drawing>
          <wp:inline distT="0" distB="0" distL="0" distR="0">
            <wp:extent cx="2260600" cy="1616710"/>
            <wp:effectExtent l="19050" t="0" r="6350" b="0"/>
            <wp:docPr id="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pic:cNvPicPr>
                      <a:picLocks noChangeAspect="1" noChangeArrowheads="1"/>
                    </pic:cNvPicPr>
                  </pic:nvPicPr>
                  <pic:blipFill>
                    <a:blip r:embed="rId6" cstate="print"/>
                    <a:srcRect/>
                    <a:stretch>
                      <a:fillRect/>
                    </a:stretch>
                  </pic:blipFill>
                  <pic:spPr>
                    <a:xfrm>
                      <a:off x="0" y="0"/>
                      <a:ext cx="2260600" cy="1616710"/>
                    </a:xfrm>
                    <a:prstGeom prst="rect">
                      <a:avLst/>
                    </a:prstGeom>
                    <a:noFill/>
                    <a:ln w="9525">
                      <a:noFill/>
                      <a:miter lim="800000"/>
                      <a:headEnd/>
                      <a:tailEnd/>
                    </a:ln>
                    <a:effectLst/>
                  </pic:spPr>
                </pic:pic>
              </a:graphicData>
            </a:graphic>
          </wp:inline>
        </w:drawing>
      </w:r>
    </w:p>
    <w:p>
      <w:pPr>
        <w:jc w:val="center"/>
        <w:rPr>
          <w:color w:val="000000"/>
        </w:rPr>
      </w:pPr>
      <w:r>
        <w:rPr>
          <w:rFonts w:hint="eastAsia"/>
        </w:rPr>
        <w:t>图2 圆型</w:t>
      </w:r>
      <w:r>
        <w:rPr>
          <w:rFonts w:hint="eastAsia"/>
          <w:color w:val="000000"/>
        </w:rPr>
        <w:t>铅合金包覆铝芯复合棒截面示意图</w:t>
      </w:r>
    </w:p>
    <w:p>
      <w:pPr>
        <w:spacing w:line="360" w:lineRule="auto"/>
        <w:ind w:firstLine="420"/>
        <w:rPr>
          <w:rFonts w:ascii="仿宋" w:hAnsi="仿宋" w:eastAsia="仿宋" w:cs="仿宋"/>
          <w:sz w:val="28"/>
          <w:szCs w:val="28"/>
        </w:rPr>
      </w:pPr>
    </w:p>
    <w:p>
      <w:pPr>
        <w:ind w:firstLine="420"/>
        <w:jc w:val="center"/>
      </w:pPr>
    </w:p>
    <w:p>
      <w:pPr>
        <w:ind w:firstLine="420"/>
        <w:jc w:val="both"/>
        <w:rPr>
          <w:rFonts w:ascii="仿宋" w:hAnsi="仿宋" w:eastAsia="仿宋" w:cs="仿宋"/>
          <w:sz w:val="28"/>
          <w:szCs w:val="28"/>
        </w:rPr>
      </w:pPr>
      <w:r>
        <w:rPr>
          <w:rFonts w:hint="eastAsia"/>
        </w:rPr>
        <w:t xml:space="preserve">          </w:t>
      </w:r>
    </w:p>
    <w:p>
      <w:pPr>
        <w:pStyle w:val="5"/>
        <w:spacing w:line="360" w:lineRule="auto"/>
        <w:ind w:firstLine="562" w:firstLineChars="200"/>
        <w:outlineLvl w:val="1"/>
        <w:rPr>
          <w:rFonts w:ascii="仿宋" w:hAnsi="仿宋" w:eastAsia="仿宋" w:cs="仿宋"/>
          <w:b/>
          <w:bCs/>
          <w:sz w:val="28"/>
          <w:szCs w:val="28"/>
        </w:rPr>
      </w:pPr>
      <w:bookmarkStart w:id="13" w:name="_Toc30197"/>
      <w:r>
        <w:rPr>
          <w:rFonts w:hint="eastAsia" w:ascii="仿宋" w:hAnsi="仿宋" w:eastAsia="仿宋" w:cs="仿宋"/>
          <w:b/>
          <w:bCs/>
          <w:sz w:val="28"/>
          <w:szCs w:val="28"/>
        </w:rPr>
        <w:t>4.3产品分类</w:t>
      </w:r>
      <w:bookmarkEnd w:id="13"/>
    </w:p>
    <w:p>
      <w:pPr>
        <w:spacing w:line="360" w:lineRule="auto"/>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根据多年来客户使用的情况，一般使用领域为电积锌、电积铜、电积镍和电解锰行业，综合了100份以上的设计图纸和使用领域的不同分为四种类型：锌电积栅栏型阳极板、铜电积栅栏型阳极板、镍电积栅栏型阳极板、锰电积栅栏型阳极板。</w:t>
      </w:r>
    </w:p>
    <w:p>
      <w:pPr>
        <w:spacing w:line="360" w:lineRule="auto"/>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产品按合金成分为九个型号，包括PbAg、PbAgCaSr、PbAgCaSrRe、PbSnCa、PbSnCaSrRe、PbSb、PbSnCaRe、 PbAgSbRe、PbAgSnSbAs合金栅栏型阳极板；</w:t>
      </w:r>
    </w:p>
    <w:p>
      <w:pPr>
        <w:spacing w:line="360" w:lineRule="auto"/>
        <w:ind w:firstLine="420"/>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表1  牌号及规格</w:t>
      </w:r>
    </w:p>
    <w:tbl>
      <w:tblPr>
        <w:tblStyle w:val="12"/>
        <w:tblW w:w="867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36"/>
        <w:gridCol w:w="958"/>
        <w:gridCol w:w="1029"/>
        <w:gridCol w:w="1729"/>
        <w:gridCol w:w="992"/>
        <w:gridCol w:w="831"/>
        <w:gridCol w:w="923"/>
        <w:gridCol w:w="107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740" w:hRule="atLeast"/>
          <w:jc w:val="center"/>
        </w:trPr>
        <w:tc>
          <w:tcPr>
            <w:tcW w:w="1136" w:type="dxa"/>
            <w:vAlign w:val="center"/>
          </w:tcPr>
          <w:p>
            <w:pPr>
              <w:ind w:firstLine="198" w:firstLineChars="110"/>
              <w:rPr>
                <w:color w:val="000000"/>
                <w:sz w:val="18"/>
                <w:szCs w:val="18"/>
              </w:rPr>
            </w:pPr>
            <w:r>
              <w:rPr>
                <w:rFonts w:hint="eastAsia" w:hAnsi="宋体"/>
                <w:color w:val="000000"/>
                <w:sz w:val="18"/>
                <w:szCs w:val="18"/>
              </w:rPr>
              <w:t>类型</w:t>
            </w:r>
          </w:p>
        </w:tc>
        <w:tc>
          <w:tcPr>
            <w:tcW w:w="958" w:type="dxa"/>
            <w:vAlign w:val="center"/>
          </w:tcPr>
          <w:p>
            <w:pPr>
              <w:jc w:val="center"/>
              <w:rPr>
                <w:rFonts w:hAnsi="宋体"/>
                <w:color w:val="000000"/>
                <w:sz w:val="18"/>
                <w:szCs w:val="18"/>
              </w:rPr>
            </w:pPr>
            <w:r>
              <w:rPr>
                <w:rFonts w:hint="eastAsia" w:hAnsi="宋体"/>
                <w:color w:val="000000"/>
                <w:sz w:val="18"/>
                <w:szCs w:val="18"/>
              </w:rPr>
              <w:t>铅合金</w:t>
            </w:r>
          </w:p>
          <w:p>
            <w:pPr>
              <w:jc w:val="center"/>
              <w:rPr>
                <w:color w:val="000000"/>
                <w:sz w:val="18"/>
                <w:szCs w:val="18"/>
              </w:rPr>
            </w:pPr>
            <w:r>
              <w:rPr>
                <w:rFonts w:hint="eastAsia"/>
                <w:color w:val="000000"/>
                <w:sz w:val="18"/>
                <w:szCs w:val="18"/>
              </w:rPr>
              <w:t>型号</w:t>
            </w:r>
          </w:p>
        </w:tc>
        <w:tc>
          <w:tcPr>
            <w:tcW w:w="1029" w:type="dxa"/>
            <w:vAlign w:val="center"/>
          </w:tcPr>
          <w:p>
            <w:pPr>
              <w:jc w:val="center"/>
              <w:rPr>
                <w:color w:val="000000"/>
                <w:sz w:val="18"/>
                <w:szCs w:val="18"/>
              </w:rPr>
            </w:pPr>
            <w:r>
              <w:rPr>
                <w:rFonts w:hint="eastAsia"/>
                <w:color w:val="000000"/>
                <w:sz w:val="18"/>
                <w:szCs w:val="18"/>
              </w:rPr>
              <w:t>铝芯分类</w:t>
            </w:r>
          </w:p>
        </w:tc>
        <w:tc>
          <w:tcPr>
            <w:tcW w:w="1729" w:type="dxa"/>
            <w:vAlign w:val="center"/>
          </w:tcPr>
          <w:p>
            <w:pPr>
              <w:jc w:val="center"/>
              <w:rPr>
                <w:color w:val="000000"/>
                <w:sz w:val="18"/>
                <w:szCs w:val="18"/>
              </w:rPr>
            </w:pPr>
            <w:r>
              <w:rPr>
                <w:rFonts w:hint="eastAsia"/>
                <w:color w:val="000000"/>
                <w:sz w:val="18"/>
                <w:szCs w:val="18"/>
              </w:rPr>
              <w:t>铅合金包覆铝芯复合棒规格及尺寸</w:t>
            </w:r>
          </w:p>
          <w:p>
            <w:pPr>
              <w:jc w:val="center"/>
              <w:rPr>
                <w:color w:val="000000"/>
                <w:sz w:val="18"/>
                <w:szCs w:val="18"/>
              </w:rPr>
            </w:pPr>
            <w:r>
              <w:rPr>
                <w:rFonts w:hint="eastAsia"/>
                <w:color w:val="000000"/>
                <w:sz w:val="18"/>
                <w:szCs w:val="18"/>
              </w:rPr>
              <w:t xml:space="preserve"> mm</w:t>
            </w:r>
          </w:p>
        </w:tc>
        <w:tc>
          <w:tcPr>
            <w:tcW w:w="992" w:type="dxa"/>
            <w:vAlign w:val="center"/>
          </w:tcPr>
          <w:p>
            <w:pPr>
              <w:jc w:val="center"/>
              <w:rPr>
                <w:rFonts w:hAnsi="宋体"/>
                <w:color w:val="000000"/>
                <w:sz w:val="18"/>
                <w:szCs w:val="18"/>
              </w:rPr>
            </w:pPr>
            <w:r>
              <w:rPr>
                <w:rFonts w:hint="eastAsia" w:hAnsi="宋体"/>
                <w:color w:val="000000"/>
                <w:sz w:val="18"/>
                <w:szCs w:val="18"/>
              </w:rPr>
              <w:t>宽度</w:t>
            </w:r>
          </w:p>
          <w:p>
            <w:pPr>
              <w:jc w:val="center"/>
              <w:rPr>
                <w:rFonts w:hAnsi="宋体"/>
                <w:color w:val="000000"/>
                <w:sz w:val="18"/>
                <w:szCs w:val="18"/>
              </w:rPr>
            </w:pPr>
            <w:r>
              <w:rPr>
                <w:rFonts w:hint="eastAsia"/>
                <w:color w:val="000000"/>
                <w:sz w:val="18"/>
                <w:szCs w:val="18"/>
              </w:rPr>
              <w:t>mm</w:t>
            </w:r>
          </w:p>
        </w:tc>
        <w:tc>
          <w:tcPr>
            <w:tcW w:w="831" w:type="dxa"/>
            <w:vAlign w:val="center"/>
          </w:tcPr>
          <w:p>
            <w:pPr>
              <w:jc w:val="center"/>
              <w:rPr>
                <w:color w:val="000000"/>
                <w:sz w:val="18"/>
                <w:szCs w:val="18"/>
              </w:rPr>
            </w:pPr>
            <w:r>
              <w:rPr>
                <w:rFonts w:hint="eastAsia"/>
                <w:color w:val="000000"/>
                <w:sz w:val="18"/>
                <w:szCs w:val="18"/>
              </w:rPr>
              <w:t>长度</w:t>
            </w:r>
          </w:p>
          <w:p>
            <w:pPr>
              <w:jc w:val="center"/>
              <w:rPr>
                <w:color w:val="000000"/>
                <w:sz w:val="18"/>
                <w:szCs w:val="18"/>
              </w:rPr>
            </w:pPr>
            <w:r>
              <w:rPr>
                <w:rFonts w:hint="eastAsia"/>
                <w:color w:val="000000"/>
                <w:sz w:val="18"/>
                <w:szCs w:val="18"/>
              </w:rPr>
              <w:t>mm</w:t>
            </w:r>
          </w:p>
        </w:tc>
        <w:tc>
          <w:tcPr>
            <w:tcW w:w="923" w:type="dxa"/>
            <w:vAlign w:val="center"/>
          </w:tcPr>
          <w:p>
            <w:pPr>
              <w:jc w:val="center"/>
              <w:rPr>
                <w:rFonts w:hAnsi="宋体"/>
                <w:sz w:val="18"/>
                <w:szCs w:val="18"/>
              </w:rPr>
            </w:pPr>
            <w:r>
              <w:rPr>
                <w:rFonts w:hint="eastAsia"/>
                <w:bCs/>
                <w:sz w:val="18"/>
                <w:szCs w:val="18"/>
              </w:rPr>
              <w:t>阳极板</w:t>
            </w:r>
          </w:p>
          <w:p>
            <w:pPr>
              <w:jc w:val="center"/>
              <w:rPr>
                <w:sz w:val="18"/>
                <w:szCs w:val="18"/>
              </w:rPr>
            </w:pPr>
            <w:r>
              <w:rPr>
                <w:rFonts w:hint="eastAsia" w:hAnsi="宋体"/>
                <w:sz w:val="18"/>
                <w:szCs w:val="18"/>
              </w:rPr>
              <w:t>类型</w:t>
            </w:r>
          </w:p>
        </w:tc>
        <w:tc>
          <w:tcPr>
            <w:tcW w:w="1077" w:type="dxa"/>
            <w:vAlign w:val="center"/>
          </w:tcPr>
          <w:p>
            <w:pPr>
              <w:jc w:val="center"/>
              <w:rPr>
                <w:color w:val="000000"/>
                <w:sz w:val="18"/>
                <w:szCs w:val="18"/>
              </w:rPr>
            </w:pPr>
            <w:r>
              <w:rPr>
                <w:rFonts w:hAnsi="宋体"/>
                <w:color w:val="000000"/>
                <w:sz w:val="18"/>
                <w:szCs w:val="18"/>
              </w:rPr>
              <w:t>板面面积㎡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atLeast"/>
          <w:jc w:val="center"/>
        </w:trPr>
        <w:tc>
          <w:tcPr>
            <w:tcW w:w="1136" w:type="dxa"/>
            <w:vAlign w:val="center"/>
          </w:tcPr>
          <w:p>
            <w:pPr>
              <w:jc w:val="center"/>
              <w:rPr>
                <w:color w:val="000000"/>
                <w:sz w:val="18"/>
                <w:szCs w:val="18"/>
              </w:rPr>
            </w:pPr>
            <w:r>
              <w:rPr>
                <w:rFonts w:hAnsi="宋体"/>
                <w:color w:val="000000"/>
                <w:sz w:val="18"/>
                <w:szCs w:val="18"/>
              </w:rPr>
              <w:t>锌电积</w:t>
            </w:r>
            <w:r>
              <w:rPr>
                <w:rFonts w:hint="eastAsia" w:hAnsi="宋体"/>
                <w:color w:val="000000"/>
                <w:sz w:val="18"/>
                <w:szCs w:val="18"/>
              </w:rPr>
              <w:t>栅栏型阳极板</w:t>
            </w:r>
          </w:p>
        </w:tc>
        <w:tc>
          <w:tcPr>
            <w:tcW w:w="958" w:type="dxa"/>
            <w:vAlign w:val="center"/>
          </w:tcPr>
          <w:p>
            <w:pPr>
              <w:ind w:left="-100" w:leftChars="-50" w:right="-100" w:rightChars="-50"/>
              <w:jc w:val="center"/>
              <w:rPr>
                <w:color w:val="000000"/>
                <w:sz w:val="18"/>
                <w:szCs w:val="18"/>
              </w:rPr>
            </w:pPr>
            <w:r>
              <w:rPr>
                <w:color w:val="000000"/>
                <w:sz w:val="18"/>
                <w:szCs w:val="18"/>
              </w:rPr>
              <w:t>PbAg</w:t>
            </w:r>
          </w:p>
          <w:p>
            <w:pPr>
              <w:ind w:left="-100" w:leftChars="-50" w:right="-100" w:rightChars="-50"/>
              <w:jc w:val="center"/>
              <w:rPr>
                <w:color w:val="000000"/>
                <w:sz w:val="18"/>
                <w:szCs w:val="18"/>
              </w:rPr>
            </w:pPr>
            <w:r>
              <w:rPr>
                <w:color w:val="000000"/>
                <w:sz w:val="18"/>
                <w:szCs w:val="18"/>
              </w:rPr>
              <w:t>PbAgCa</w:t>
            </w:r>
            <w:r>
              <w:rPr>
                <w:rFonts w:hint="eastAsia"/>
                <w:color w:val="000000"/>
                <w:sz w:val="18"/>
                <w:szCs w:val="18"/>
              </w:rPr>
              <w:t>Sr</w:t>
            </w:r>
          </w:p>
          <w:p>
            <w:pPr>
              <w:ind w:left="-100" w:leftChars="-50" w:right="-100" w:rightChars="-50"/>
              <w:jc w:val="center"/>
              <w:rPr>
                <w:color w:val="000000"/>
                <w:sz w:val="18"/>
                <w:szCs w:val="18"/>
              </w:rPr>
            </w:pPr>
            <w:r>
              <w:rPr>
                <w:color w:val="000000"/>
                <w:sz w:val="18"/>
                <w:szCs w:val="18"/>
              </w:rPr>
              <w:t>PbAgCaSrR</w:t>
            </w:r>
            <w:r>
              <w:rPr>
                <w:rFonts w:hint="eastAsia"/>
                <w:color w:val="000000"/>
                <w:sz w:val="18"/>
                <w:szCs w:val="18"/>
              </w:rPr>
              <w:t>e</w:t>
            </w:r>
          </w:p>
        </w:tc>
        <w:tc>
          <w:tcPr>
            <w:tcW w:w="1029" w:type="dxa"/>
            <w:vAlign w:val="center"/>
          </w:tcPr>
          <w:p>
            <w:pPr>
              <w:ind w:left="-100" w:leftChars="-50" w:right="-100" w:rightChars="-50"/>
              <w:jc w:val="center"/>
              <w:rPr>
                <w:color w:val="000000"/>
                <w:sz w:val="18"/>
                <w:szCs w:val="18"/>
              </w:rPr>
            </w:pPr>
            <w:r>
              <w:rPr>
                <w:rFonts w:hint="eastAsia"/>
                <w:color w:val="000000"/>
                <w:sz w:val="18"/>
                <w:szCs w:val="18"/>
              </w:rPr>
              <w:t>宽扁型</w:t>
            </w:r>
          </w:p>
          <w:p>
            <w:pPr>
              <w:ind w:left="-100" w:leftChars="-50" w:right="-100" w:rightChars="-50"/>
              <w:jc w:val="center"/>
              <w:rPr>
                <w:color w:val="000000"/>
                <w:sz w:val="18"/>
                <w:szCs w:val="18"/>
              </w:rPr>
            </w:pPr>
            <w:r>
              <w:rPr>
                <w:rFonts w:hint="eastAsia"/>
                <w:color w:val="000000"/>
                <w:sz w:val="18"/>
                <w:szCs w:val="18"/>
              </w:rPr>
              <w:t>1060系铝合金</w:t>
            </w:r>
          </w:p>
        </w:tc>
        <w:tc>
          <w:tcPr>
            <w:tcW w:w="1729" w:type="dxa"/>
            <w:vAlign w:val="center"/>
          </w:tcPr>
          <w:p>
            <w:pPr>
              <w:jc w:val="center"/>
              <w:rPr>
                <w:color w:val="000000"/>
                <w:sz w:val="18"/>
                <w:szCs w:val="18"/>
              </w:rPr>
            </w:pPr>
            <w:r>
              <w:rPr>
                <w:rFonts w:hint="eastAsia"/>
                <w:color w:val="000000"/>
                <w:sz w:val="18"/>
                <w:szCs w:val="18"/>
              </w:rPr>
              <w:t>扁型</w:t>
            </w:r>
          </w:p>
          <w:p>
            <w:pPr>
              <w:jc w:val="center"/>
              <w:rPr>
                <w:color w:val="000000"/>
                <w:sz w:val="18"/>
                <w:szCs w:val="18"/>
              </w:rPr>
            </w:pPr>
            <w:r>
              <w:rPr>
                <w:rFonts w:hint="eastAsia"/>
                <w:color w:val="000000"/>
                <w:sz w:val="18"/>
                <w:szCs w:val="18"/>
              </w:rPr>
              <w:t>7.8×29.8</w:t>
            </w:r>
            <w:r>
              <w:rPr>
                <w:rFonts w:hint="eastAsia" w:ascii="等线" w:hAnsi="等线" w:eastAsia="等线"/>
                <w:color w:val="000000"/>
                <w:sz w:val="18"/>
                <w:szCs w:val="18"/>
              </w:rPr>
              <w:t>～</w:t>
            </w:r>
            <w:r>
              <w:rPr>
                <w:rFonts w:hint="eastAsia"/>
                <w:color w:val="000000"/>
                <w:sz w:val="18"/>
                <w:szCs w:val="18"/>
              </w:rPr>
              <w:t>11×</w:t>
            </w:r>
            <w:r>
              <w:rPr>
                <w:color w:val="000000"/>
                <w:sz w:val="18"/>
                <w:szCs w:val="18"/>
              </w:rPr>
              <w:t>3</w:t>
            </w:r>
            <w:r>
              <w:rPr>
                <w:rFonts w:hint="eastAsia"/>
                <w:color w:val="000000"/>
                <w:sz w:val="18"/>
                <w:szCs w:val="18"/>
              </w:rPr>
              <w:t>2</w:t>
            </w:r>
          </w:p>
        </w:tc>
        <w:tc>
          <w:tcPr>
            <w:tcW w:w="992" w:type="dxa"/>
            <w:vMerge w:val="restart"/>
            <w:vAlign w:val="center"/>
          </w:tcPr>
          <w:p>
            <w:pPr>
              <w:ind w:left="-100" w:leftChars="-50" w:right="-100" w:rightChars="-50"/>
              <w:jc w:val="center"/>
              <w:rPr>
                <w:color w:val="000000"/>
                <w:sz w:val="18"/>
                <w:szCs w:val="18"/>
              </w:rPr>
            </w:pPr>
            <w:r>
              <w:rPr>
                <w:rFonts w:hint="eastAsia"/>
                <w:color w:val="000000"/>
                <w:sz w:val="18"/>
                <w:szCs w:val="18"/>
              </w:rPr>
              <w:t>400</w:t>
            </w:r>
            <w:r>
              <w:rPr>
                <w:rFonts w:hint="eastAsia" w:hAnsi="宋体"/>
                <w:color w:val="000000"/>
                <w:sz w:val="18"/>
                <w:szCs w:val="18"/>
              </w:rPr>
              <w:t>～</w:t>
            </w:r>
            <w:r>
              <w:rPr>
                <w:color w:val="000000"/>
                <w:sz w:val="18"/>
                <w:szCs w:val="18"/>
              </w:rPr>
              <w:t>960</w:t>
            </w:r>
          </w:p>
        </w:tc>
        <w:tc>
          <w:tcPr>
            <w:tcW w:w="831" w:type="dxa"/>
            <w:vMerge w:val="restart"/>
            <w:vAlign w:val="center"/>
          </w:tcPr>
          <w:p>
            <w:pPr>
              <w:ind w:left="-100" w:leftChars="-50" w:right="-100" w:rightChars="-50"/>
              <w:jc w:val="center"/>
              <w:rPr>
                <w:color w:val="000000"/>
                <w:sz w:val="18"/>
                <w:szCs w:val="18"/>
              </w:rPr>
            </w:pPr>
            <w:r>
              <w:rPr>
                <w:rFonts w:hint="eastAsia"/>
                <w:color w:val="000000"/>
                <w:sz w:val="18"/>
                <w:szCs w:val="18"/>
              </w:rPr>
              <w:t>600</w:t>
            </w:r>
            <w:r>
              <w:rPr>
                <w:rFonts w:hint="eastAsia" w:hAnsi="宋体"/>
                <w:color w:val="000000"/>
                <w:sz w:val="18"/>
                <w:szCs w:val="18"/>
              </w:rPr>
              <w:t>～</w:t>
            </w:r>
            <w:r>
              <w:rPr>
                <w:rFonts w:hint="eastAsia"/>
                <w:color w:val="000000"/>
                <w:sz w:val="18"/>
                <w:szCs w:val="18"/>
              </w:rPr>
              <w:t>18</w:t>
            </w:r>
            <w:r>
              <w:rPr>
                <w:color w:val="000000"/>
                <w:sz w:val="18"/>
                <w:szCs w:val="18"/>
              </w:rPr>
              <w:t>00</w:t>
            </w:r>
          </w:p>
        </w:tc>
        <w:tc>
          <w:tcPr>
            <w:tcW w:w="923" w:type="dxa"/>
            <w:vAlign w:val="center"/>
          </w:tcPr>
          <w:p>
            <w:pPr>
              <w:jc w:val="center"/>
              <w:rPr>
                <w:sz w:val="18"/>
                <w:szCs w:val="18"/>
              </w:rPr>
            </w:pPr>
            <w:r>
              <w:rPr>
                <w:rFonts w:hint="eastAsia"/>
                <w:bCs/>
                <w:sz w:val="18"/>
                <w:szCs w:val="18"/>
              </w:rPr>
              <w:t>带吊耳栅栏型阳极板</w:t>
            </w:r>
            <w:r>
              <w:rPr>
                <w:rFonts w:hint="eastAsia" w:hAnsi="宋体"/>
                <w:sz w:val="18"/>
                <w:szCs w:val="18"/>
              </w:rPr>
              <w:t>、</w:t>
            </w:r>
            <w:r>
              <w:rPr>
                <w:rFonts w:hint="eastAsia"/>
                <w:bCs/>
                <w:sz w:val="18"/>
                <w:szCs w:val="18"/>
              </w:rPr>
              <w:t>带T形导电头栅栏型阳极板</w:t>
            </w:r>
          </w:p>
        </w:tc>
        <w:tc>
          <w:tcPr>
            <w:tcW w:w="1077" w:type="dxa"/>
            <w:vAlign w:val="center"/>
          </w:tcPr>
          <w:p>
            <w:pPr>
              <w:rPr>
                <w:color w:val="000000"/>
                <w:sz w:val="18"/>
                <w:szCs w:val="18"/>
              </w:rPr>
            </w:pPr>
            <w:r>
              <w:rPr>
                <w:color w:val="000000"/>
                <w:sz w:val="18"/>
                <w:szCs w:val="18"/>
              </w:rPr>
              <w:t>1.</w:t>
            </w:r>
            <w:r>
              <w:rPr>
                <w:rFonts w:hint="eastAsia"/>
                <w:color w:val="000000"/>
                <w:sz w:val="18"/>
                <w:szCs w:val="18"/>
              </w:rPr>
              <w:t>2</w:t>
            </w:r>
            <w:r>
              <w:rPr>
                <w:rFonts w:hint="eastAsia" w:hAnsi="宋体"/>
                <w:color w:val="000000"/>
                <w:sz w:val="18"/>
                <w:szCs w:val="18"/>
              </w:rPr>
              <w:t>～</w:t>
            </w:r>
            <w:r>
              <w:rPr>
                <w:color w:val="000000"/>
                <w:sz w:val="18"/>
                <w:szCs w:val="18"/>
              </w:rPr>
              <w:t>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6" w:hRule="atLeast"/>
          <w:jc w:val="center"/>
        </w:trPr>
        <w:tc>
          <w:tcPr>
            <w:tcW w:w="1136" w:type="dxa"/>
            <w:vAlign w:val="center"/>
          </w:tcPr>
          <w:p>
            <w:pPr>
              <w:jc w:val="center"/>
              <w:rPr>
                <w:color w:val="000000"/>
                <w:sz w:val="18"/>
                <w:szCs w:val="18"/>
              </w:rPr>
            </w:pPr>
            <w:r>
              <w:rPr>
                <w:rFonts w:hAnsi="宋体"/>
                <w:color w:val="000000"/>
                <w:sz w:val="18"/>
                <w:szCs w:val="18"/>
              </w:rPr>
              <w:t>铜电积</w:t>
            </w:r>
            <w:r>
              <w:rPr>
                <w:rFonts w:hint="eastAsia" w:hAnsi="宋体"/>
                <w:color w:val="000000"/>
                <w:sz w:val="18"/>
                <w:szCs w:val="18"/>
              </w:rPr>
              <w:t>栅栏型阳极板</w:t>
            </w:r>
          </w:p>
        </w:tc>
        <w:tc>
          <w:tcPr>
            <w:tcW w:w="958" w:type="dxa"/>
            <w:vAlign w:val="center"/>
          </w:tcPr>
          <w:p>
            <w:pPr>
              <w:ind w:left="-100" w:leftChars="-50" w:right="-100" w:rightChars="-50"/>
              <w:jc w:val="center"/>
              <w:rPr>
                <w:color w:val="000000"/>
                <w:sz w:val="18"/>
                <w:szCs w:val="18"/>
              </w:rPr>
            </w:pPr>
            <w:r>
              <w:rPr>
                <w:color w:val="000000"/>
                <w:sz w:val="18"/>
                <w:szCs w:val="18"/>
              </w:rPr>
              <w:t>PbSnCa</w:t>
            </w:r>
          </w:p>
          <w:p>
            <w:pPr>
              <w:ind w:left="-100" w:leftChars="-50" w:right="-100" w:rightChars="-50"/>
              <w:jc w:val="center"/>
              <w:rPr>
                <w:color w:val="000000"/>
                <w:sz w:val="18"/>
                <w:szCs w:val="18"/>
              </w:rPr>
            </w:pPr>
            <w:r>
              <w:rPr>
                <w:color w:val="000000"/>
                <w:sz w:val="18"/>
                <w:szCs w:val="18"/>
              </w:rPr>
              <w:t>PbSnCaSrR</w:t>
            </w:r>
            <w:r>
              <w:rPr>
                <w:rFonts w:hint="eastAsia"/>
                <w:color w:val="000000"/>
                <w:sz w:val="18"/>
                <w:szCs w:val="18"/>
              </w:rPr>
              <w:t>e</w:t>
            </w:r>
          </w:p>
          <w:p>
            <w:pPr>
              <w:ind w:left="-100" w:leftChars="-50" w:right="-100" w:rightChars="-50"/>
              <w:jc w:val="center"/>
              <w:rPr>
                <w:color w:val="000000"/>
                <w:sz w:val="18"/>
                <w:szCs w:val="18"/>
              </w:rPr>
            </w:pPr>
            <w:r>
              <w:rPr>
                <w:color w:val="000000"/>
                <w:sz w:val="18"/>
                <w:szCs w:val="18"/>
              </w:rPr>
              <w:t>PbSb</w:t>
            </w:r>
          </w:p>
        </w:tc>
        <w:tc>
          <w:tcPr>
            <w:tcW w:w="1029" w:type="dxa"/>
            <w:vAlign w:val="center"/>
          </w:tcPr>
          <w:p>
            <w:pPr>
              <w:ind w:left="-100" w:leftChars="-50" w:right="-100" w:rightChars="-50"/>
              <w:jc w:val="center"/>
              <w:rPr>
                <w:color w:val="000000"/>
                <w:sz w:val="18"/>
                <w:szCs w:val="18"/>
              </w:rPr>
            </w:pPr>
            <w:r>
              <w:rPr>
                <w:rFonts w:hint="eastAsia"/>
                <w:color w:val="000000"/>
                <w:sz w:val="18"/>
                <w:szCs w:val="18"/>
              </w:rPr>
              <w:t>圆型</w:t>
            </w:r>
          </w:p>
          <w:p>
            <w:pPr>
              <w:ind w:left="-100" w:leftChars="-50" w:right="-100" w:rightChars="-50"/>
              <w:jc w:val="center"/>
              <w:rPr>
                <w:color w:val="000000"/>
                <w:sz w:val="18"/>
                <w:szCs w:val="18"/>
              </w:rPr>
            </w:pPr>
            <w:r>
              <w:rPr>
                <w:color w:val="000000"/>
                <w:sz w:val="18"/>
                <w:szCs w:val="18"/>
              </w:rPr>
              <w:t>1060</w:t>
            </w:r>
            <w:r>
              <w:rPr>
                <w:rFonts w:hint="eastAsia"/>
                <w:color w:val="000000"/>
                <w:sz w:val="18"/>
                <w:szCs w:val="18"/>
              </w:rPr>
              <w:t>系铝合金</w:t>
            </w:r>
          </w:p>
        </w:tc>
        <w:tc>
          <w:tcPr>
            <w:tcW w:w="1729" w:type="dxa"/>
            <w:vAlign w:val="center"/>
          </w:tcPr>
          <w:p>
            <w:pPr>
              <w:jc w:val="center"/>
              <w:rPr>
                <w:rFonts w:ascii="Calibri" w:hAnsi="Calibri"/>
                <w:color w:val="000000"/>
                <w:sz w:val="18"/>
                <w:szCs w:val="18"/>
              </w:rPr>
            </w:pPr>
            <w:r>
              <w:rPr>
                <w:rFonts w:hint="eastAsia"/>
                <w:color w:val="000000"/>
                <w:sz w:val="18"/>
                <w:szCs w:val="18"/>
              </w:rPr>
              <w:t>圆型</w:t>
            </w:r>
          </w:p>
          <w:p>
            <w:pPr>
              <w:jc w:val="center"/>
              <w:rPr>
                <w:color w:val="000000"/>
                <w:sz w:val="18"/>
                <w:szCs w:val="18"/>
              </w:rPr>
            </w:pPr>
            <w:r>
              <w:rPr>
                <w:rFonts w:ascii="Calibri" w:hAnsi="Calibri"/>
                <w:color w:val="000000"/>
                <w:sz w:val="18"/>
                <w:szCs w:val="18"/>
              </w:rPr>
              <w:t>Ø</w:t>
            </w:r>
            <w:r>
              <w:rPr>
                <w:rFonts w:hint="eastAsia"/>
                <w:color w:val="000000"/>
                <w:sz w:val="18"/>
                <w:szCs w:val="18"/>
              </w:rPr>
              <w:t>9</w:t>
            </w:r>
            <w:r>
              <w:rPr>
                <w:rFonts w:hint="eastAsia" w:ascii="等线" w:hAnsi="等线" w:eastAsia="等线"/>
                <w:color w:val="000000"/>
                <w:sz w:val="18"/>
                <w:szCs w:val="18"/>
              </w:rPr>
              <w:t>～</w:t>
            </w:r>
            <w:r>
              <w:rPr>
                <w:rFonts w:ascii="Calibri" w:hAnsi="Calibri"/>
                <w:color w:val="000000"/>
                <w:sz w:val="18"/>
                <w:szCs w:val="18"/>
              </w:rPr>
              <w:t>Ø</w:t>
            </w:r>
            <w:r>
              <w:rPr>
                <w:rFonts w:hint="eastAsia"/>
                <w:color w:val="000000"/>
                <w:sz w:val="18"/>
                <w:szCs w:val="18"/>
              </w:rPr>
              <w:t>12</w:t>
            </w:r>
          </w:p>
        </w:tc>
        <w:tc>
          <w:tcPr>
            <w:tcW w:w="992" w:type="dxa"/>
            <w:vMerge w:val="continue"/>
            <w:vAlign w:val="center"/>
          </w:tcPr>
          <w:p>
            <w:pPr>
              <w:ind w:left="-100" w:leftChars="-50" w:right="-100" w:rightChars="-50"/>
              <w:rPr>
                <w:color w:val="000000"/>
                <w:sz w:val="18"/>
                <w:szCs w:val="18"/>
              </w:rPr>
            </w:pPr>
          </w:p>
        </w:tc>
        <w:tc>
          <w:tcPr>
            <w:tcW w:w="831" w:type="dxa"/>
            <w:vMerge w:val="continue"/>
            <w:vAlign w:val="center"/>
          </w:tcPr>
          <w:p>
            <w:pPr>
              <w:ind w:left="-100" w:leftChars="-50" w:right="-100" w:rightChars="-50"/>
              <w:rPr>
                <w:color w:val="000000"/>
                <w:sz w:val="18"/>
                <w:szCs w:val="18"/>
              </w:rPr>
            </w:pPr>
          </w:p>
        </w:tc>
        <w:tc>
          <w:tcPr>
            <w:tcW w:w="923" w:type="dxa"/>
            <w:vAlign w:val="center"/>
          </w:tcPr>
          <w:p>
            <w:pPr>
              <w:jc w:val="center"/>
              <w:rPr>
                <w:rFonts w:hAnsi="宋体"/>
                <w:sz w:val="18"/>
                <w:szCs w:val="18"/>
              </w:rPr>
            </w:pPr>
            <w:r>
              <w:rPr>
                <w:rFonts w:hint="eastAsia"/>
                <w:bCs/>
                <w:sz w:val="18"/>
                <w:szCs w:val="18"/>
              </w:rPr>
              <w:t>直梁栅栏型阳极板</w:t>
            </w:r>
            <w:r>
              <w:rPr>
                <w:rFonts w:hint="eastAsia" w:hAnsi="宋体"/>
                <w:sz w:val="18"/>
                <w:szCs w:val="18"/>
              </w:rPr>
              <w:t>、</w:t>
            </w:r>
          </w:p>
          <w:p>
            <w:pPr>
              <w:jc w:val="center"/>
              <w:rPr>
                <w:sz w:val="18"/>
                <w:szCs w:val="18"/>
              </w:rPr>
            </w:pPr>
            <w:r>
              <w:rPr>
                <w:rFonts w:hint="eastAsia"/>
                <w:bCs/>
                <w:sz w:val="18"/>
                <w:szCs w:val="18"/>
              </w:rPr>
              <w:t>U形梁栅栏型阳极板</w:t>
            </w:r>
          </w:p>
        </w:tc>
        <w:tc>
          <w:tcPr>
            <w:tcW w:w="1077" w:type="dxa"/>
            <w:vAlign w:val="center"/>
          </w:tcPr>
          <w:p>
            <w:pPr>
              <w:rPr>
                <w:color w:val="000000"/>
                <w:sz w:val="18"/>
                <w:szCs w:val="18"/>
              </w:rPr>
            </w:pPr>
            <w:r>
              <w:rPr>
                <w:color w:val="000000"/>
                <w:sz w:val="18"/>
                <w:szCs w:val="18"/>
              </w:rPr>
              <w:t>1.</w:t>
            </w:r>
            <w:r>
              <w:rPr>
                <w:rFonts w:hint="eastAsia"/>
                <w:color w:val="000000"/>
                <w:sz w:val="18"/>
                <w:szCs w:val="18"/>
              </w:rPr>
              <w:t>4</w:t>
            </w:r>
            <w:r>
              <w:rPr>
                <w:rFonts w:hint="eastAsia" w:hAnsi="宋体"/>
                <w:color w:val="000000"/>
                <w:sz w:val="18"/>
                <w:szCs w:val="18"/>
              </w:rPr>
              <w:t>～</w:t>
            </w:r>
            <w:r>
              <w:rPr>
                <w:rFonts w:hint="eastAsia"/>
                <w:color w:val="000000"/>
                <w:sz w:val="18"/>
                <w:szCs w:val="18"/>
              </w:rPr>
              <w:t>2</w:t>
            </w:r>
            <w:r>
              <w:rPr>
                <w:color w:val="000000"/>
                <w:sz w:val="18"/>
                <w:szCs w:val="18"/>
              </w:rPr>
              <w:t>.</w:t>
            </w:r>
            <w:r>
              <w:rPr>
                <w:rFonts w:hint="eastAsia"/>
                <w:color w:val="000000"/>
                <w:sz w:val="18"/>
                <w:szCs w:val="1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3" w:hRule="atLeast"/>
          <w:jc w:val="center"/>
        </w:trPr>
        <w:tc>
          <w:tcPr>
            <w:tcW w:w="1136" w:type="dxa"/>
            <w:vAlign w:val="center"/>
          </w:tcPr>
          <w:p>
            <w:pPr>
              <w:jc w:val="center"/>
              <w:rPr>
                <w:rFonts w:hAnsi="宋体"/>
                <w:color w:val="000000"/>
                <w:sz w:val="18"/>
                <w:szCs w:val="18"/>
              </w:rPr>
            </w:pPr>
            <w:r>
              <w:rPr>
                <w:rFonts w:hint="eastAsia" w:hAnsi="宋体"/>
                <w:color w:val="000000"/>
                <w:sz w:val="18"/>
                <w:szCs w:val="18"/>
              </w:rPr>
              <w:t>镍电积栅栏型阳极板</w:t>
            </w:r>
          </w:p>
        </w:tc>
        <w:tc>
          <w:tcPr>
            <w:tcW w:w="958" w:type="dxa"/>
            <w:vAlign w:val="center"/>
          </w:tcPr>
          <w:p>
            <w:pPr>
              <w:ind w:left="-100" w:leftChars="-50" w:right="-100" w:rightChars="-50"/>
              <w:jc w:val="center"/>
              <w:rPr>
                <w:color w:val="000000"/>
                <w:sz w:val="18"/>
                <w:szCs w:val="18"/>
              </w:rPr>
            </w:pPr>
            <w:r>
              <w:rPr>
                <w:color w:val="000000"/>
                <w:sz w:val="18"/>
                <w:szCs w:val="18"/>
              </w:rPr>
              <w:t>PbAgCaSrR</w:t>
            </w:r>
            <w:r>
              <w:rPr>
                <w:rFonts w:hint="eastAsia"/>
                <w:color w:val="000000"/>
                <w:sz w:val="18"/>
                <w:szCs w:val="18"/>
              </w:rPr>
              <w:t>E</w:t>
            </w:r>
          </w:p>
          <w:p>
            <w:pPr>
              <w:ind w:left="-100" w:leftChars="-50" w:right="-100" w:rightChars="-50"/>
              <w:jc w:val="center"/>
              <w:rPr>
                <w:color w:val="000000"/>
                <w:sz w:val="18"/>
                <w:szCs w:val="18"/>
              </w:rPr>
            </w:pPr>
            <w:r>
              <w:rPr>
                <w:color w:val="000000"/>
                <w:sz w:val="18"/>
                <w:szCs w:val="18"/>
              </w:rPr>
              <w:t>PbSnCaR</w:t>
            </w:r>
            <w:r>
              <w:rPr>
                <w:rFonts w:hint="eastAsia"/>
                <w:color w:val="000000"/>
                <w:sz w:val="18"/>
                <w:szCs w:val="18"/>
              </w:rPr>
              <w:t>e</w:t>
            </w:r>
          </w:p>
        </w:tc>
        <w:tc>
          <w:tcPr>
            <w:tcW w:w="1029" w:type="dxa"/>
            <w:vAlign w:val="center"/>
          </w:tcPr>
          <w:p>
            <w:pPr>
              <w:ind w:left="-100" w:leftChars="-50" w:right="-100" w:rightChars="-50"/>
              <w:jc w:val="center"/>
              <w:rPr>
                <w:color w:val="000000"/>
                <w:sz w:val="18"/>
                <w:szCs w:val="18"/>
              </w:rPr>
            </w:pPr>
            <w:r>
              <w:rPr>
                <w:rFonts w:hint="eastAsia"/>
                <w:color w:val="000000"/>
                <w:sz w:val="18"/>
                <w:szCs w:val="18"/>
              </w:rPr>
              <w:t>圆型</w:t>
            </w:r>
          </w:p>
          <w:p>
            <w:pPr>
              <w:ind w:left="-100" w:leftChars="-50" w:right="-100" w:rightChars="-50"/>
              <w:jc w:val="center"/>
              <w:rPr>
                <w:color w:val="000000"/>
                <w:sz w:val="18"/>
                <w:szCs w:val="18"/>
              </w:rPr>
            </w:pPr>
            <w:r>
              <w:rPr>
                <w:color w:val="000000"/>
                <w:sz w:val="18"/>
                <w:szCs w:val="18"/>
              </w:rPr>
              <w:t>1060</w:t>
            </w:r>
            <w:r>
              <w:rPr>
                <w:rFonts w:hint="eastAsia"/>
                <w:color w:val="000000"/>
                <w:sz w:val="18"/>
                <w:szCs w:val="18"/>
              </w:rPr>
              <w:t>系铝合金</w:t>
            </w:r>
          </w:p>
        </w:tc>
        <w:tc>
          <w:tcPr>
            <w:tcW w:w="1729" w:type="dxa"/>
            <w:vAlign w:val="center"/>
          </w:tcPr>
          <w:p>
            <w:pPr>
              <w:jc w:val="center"/>
              <w:rPr>
                <w:rFonts w:ascii="Calibri" w:hAnsi="Calibri"/>
                <w:color w:val="000000"/>
                <w:sz w:val="18"/>
                <w:szCs w:val="18"/>
              </w:rPr>
            </w:pPr>
            <w:r>
              <w:rPr>
                <w:rFonts w:hint="eastAsia"/>
                <w:color w:val="000000"/>
                <w:sz w:val="18"/>
                <w:szCs w:val="18"/>
              </w:rPr>
              <w:t>圆型</w:t>
            </w:r>
          </w:p>
          <w:p>
            <w:pPr>
              <w:jc w:val="center"/>
              <w:rPr>
                <w:color w:val="000000"/>
                <w:sz w:val="18"/>
                <w:szCs w:val="18"/>
              </w:rPr>
            </w:pPr>
            <w:r>
              <w:rPr>
                <w:rFonts w:ascii="Calibri" w:hAnsi="Calibri"/>
                <w:color w:val="000000"/>
                <w:sz w:val="18"/>
                <w:szCs w:val="18"/>
              </w:rPr>
              <w:t>Ø</w:t>
            </w:r>
            <w:r>
              <w:rPr>
                <w:rFonts w:hint="eastAsia"/>
                <w:color w:val="000000"/>
                <w:sz w:val="18"/>
                <w:szCs w:val="18"/>
              </w:rPr>
              <w:t>9</w:t>
            </w:r>
            <w:r>
              <w:rPr>
                <w:rFonts w:hint="eastAsia" w:ascii="等线" w:hAnsi="等线" w:eastAsia="等线"/>
                <w:color w:val="000000"/>
                <w:sz w:val="18"/>
                <w:szCs w:val="18"/>
              </w:rPr>
              <w:t>～</w:t>
            </w:r>
            <w:r>
              <w:rPr>
                <w:rFonts w:ascii="Calibri" w:hAnsi="Calibri"/>
                <w:color w:val="000000"/>
                <w:sz w:val="18"/>
                <w:szCs w:val="18"/>
              </w:rPr>
              <w:t>Ø</w:t>
            </w:r>
            <w:r>
              <w:rPr>
                <w:rFonts w:hint="eastAsia"/>
                <w:color w:val="000000"/>
                <w:sz w:val="18"/>
                <w:szCs w:val="18"/>
              </w:rPr>
              <w:t>12</w:t>
            </w:r>
          </w:p>
        </w:tc>
        <w:tc>
          <w:tcPr>
            <w:tcW w:w="992" w:type="dxa"/>
            <w:vMerge w:val="continue"/>
            <w:vAlign w:val="center"/>
          </w:tcPr>
          <w:p>
            <w:pPr>
              <w:ind w:left="-100" w:leftChars="-50" w:right="-100" w:rightChars="-50"/>
              <w:rPr>
                <w:color w:val="000000"/>
                <w:sz w:val="18"/>
                <w:szCs w:val="18"/>
              </w:rPr>
            </w:pPr>
          </w:p>
        </w:tc>
        <w:tc>
          <w:tcPr>
            <w:tcW w:w="831" w:type="dxa"/>
            <w:vMerge w:val="continue"/>
            <w:vAlign w:val="center"/>
          </w:tcPr>
          <w:p>
            <w:pPr>
              <w:ind w:left="-100" w:leftChars="-50" w:right="-100" w:rightChars="-50"/>
              <w:rPr>
                <w:color w:val="000000"/>
                <w:sz w:val="18"/>
                <w:szCs w:val="18"/>
              </w:rPr>
            </w:pPr>
          </w:p>
        </w:tc>
        <w:tc>
          <w:tcPr>
            <w:tcW w:w="923" w:type="dxa"/>
            <w:vAlign w:val="center"/>
          </w:tcPr>
          <w:p>
            <w:pPr>
              <w:jc w:val="center"/>
              <w:rPr>
                <w:rFonts w:hAnsi="宋体"/>
                <w:sz w:val="18"/>
                <w:szCs w:val="18"/>
              </w:rPr>
            </w:pPr>
            <w:r>
              <w:rPr>
                <w:rFonts w:hint="eastAsia"/>
                <w:bCs/>
                <w:sz w:val="18"/>
                <w:szCs w:val="18"/>
              </w:rPr>
              <w:t>栅栏型阳极板</w:t>
            </w:r>
          </w:p>
        </w:tc>
        <w:tc>
          <w:tcPr>
            <w:tcW w:w="1077" w:type="dxa"/>
            <w:vAlign w:val="center"/>
          </w:tcPr>
          <w:p>
            <w:pPr>
              <w:rPr>
                <w:color w:val="000000"/>
                <w:sz w:val="18"/>
                <w:szCs w:val="18"/>
              </w:rPr>
            </w:pPr>
            <w:r>
              <w:rPr>
                <w:color w:val="000000"/>
                <w:sz w:val="18"/>
                <w:szCs w:val="18"/>
              </w:rPr>
              <w:t>1.</w:t>
            </w:r>
            <w:r>
              <w:rPr>
                <w:rFonts w:hint="eastAsia"/>
                <w:color w:val="000000"/>
                <w:sz w:val="18"/>
                <w:szCs w:val="18"/>
              </w:rPr>
              <w:t>2</w:t>
            </w:r>
            <w:r>
              <w:rPr>
                <w:rFonts w:hint="eastAsia" w:hAnsi="宋体"/>
                <w:color w:val="000000"/>
                <w:sz w:val="18"/>
                <w:szCs w:val="18"/>
              </w:rPr>
              <w:t>～</w:t>
            </w:r>
            <w:r>
              <w:rPr>
                <w:rFonts w:hint="eastAsia"/>
                <w:color w:val="000000"/>
                <w:sz w:val="18"/>
                <w:szCs w:val="18"/>
              </w:rPr>
              <w:t>2</w:t>
            </w:r>
            <w:r>
              <w:rPr>
                <w:color w:val="000000"/>
                <w:sz w:val="18"/>
                <w:szCs w:val="18"/>
              </w:rPr>
              <w:t>.</w:t>
            </w:r>
            <w:r>
              <w:rPr>
                <w:rFonts w:hint="eastAsia"/>
                <w:color w:val="000000"/>
                <w:sz w:val="18"/>
                <w:szCs w:val="18"/>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5" w:hRule="atLeast"/>
          <w:jc w:val="center"/>
        </w:trPr>
        <w:tc>
          <w:tcPr>
            <w:tcW w:w="1136" w:type="dxa"/>
            <w:vAlign w:val="center"/>
          </w:tcPr>
          <w:p>
            <w:pPr>
              <w:jc w:val="center"/>
              <w:rPr>
                <w:rFonts w:hAnsi="宋体"/>
                <w:color w:val="000000"/>
                <w:sz w:val="18"/>
                <w:szCs w:val="18"/>
              </w:rPr>
            </w:pPr>
            <w:r>
              <w:rPr>
                <w:rFonts w:hint="eastAsia" w:hAnsi="宋体"/>
                <w:color w:val="000000"/>
                <w:sz w:val="18"/>
                <w:szCs w:val="18"/>
              </w:rPr>
              <w:t>锰电积栅栏型阳极板</w:t>
            </w:r>
          </w:p>
        </w:tc>
        <w:tc>
          <w:tcPr>
            <w:tcW w:w="958" w:type="dxa"/>
            <w:vAlign w:val="center"/>
          </w:tcPr>
          <w:p>
            <w:pPr>
              <w:ind w:left="-100" w:leftChars="-50" w:right="-100" w:rightChars="-50"/>
              <w:jc w:val="center"/>
              <w:rPr>
                <w:color w:val="000000"/>
                <w:sz w:val="18"/>
                <w:szCs w:val="18"/>
              </w:rPr>
            </w:pPr>
            <w:r>
              <w:rPr>
                <w:color w:val="000000"/>
                <w:sz w:val="18"/>
                <w:szCs w:val="18"/>
              </w:rPr>
              <w:t>PbAgCaR</w:t>
            </w:r>
            <w:r>
              <w:rPr>
                <w:rFonts w:hint="eastAsia"/>
                <w:color w:val="000000"/>
                <w:sz w:val="18"/>
                <w:szCs w:val="18"/>
              </w:rPr>
              <w:t>e</w:t>
            </w:r>
          </w:p>
          <w:p>
            <w:pPr>
              <w:ind w:left="-100" w:leftChars="-50" w:right="-100" w:rightChars="-50"/>
              <w:jc w:val="center"/>
              <w:rPr>
                <w:color w:val="000000"/>
                <w:sz w:val="18"/>
                <w:szCs w:val="18"/>
              </w:rPr>
            </w:pPr>
            <w:r>
              <w:rPr>
                <w:color w:val="000000"/>
                <w:sz w:val="18"/>
                <w:szCs w:val="18"/>
              </w:rPr>
              <w:t>PbAgSbR</w:t>
            </w:r>
            <w:r>
              <w:rPr>
                <w:rFonts w:hint="eastAsia"/>
                <w:color w:val="000000"/>
                <w:sz w:val="18"/>
                <w:szCs w:val="18"/>
              </w:rPr>
              <w:t>e</w:t>
            </w:r>
          </w:p>
          <w:p>
            <w:pPr>
              <w:ind w:left="-100" w:leftChars="-50" w:right="-100" w:rightChars="-50"/>
              <w:jc w:val="center"/>
              <w:rPr>
                <w:color w:val="000000"/>
                <w:sz w:val="18"/>
                <w:szCs w:val="18"/>
              </w:rPr>
            </w:pPr>
            <w:r>
              <w:rPr>
                <w:color w:val="000000"/>
                <w:sz w:val="18"/>
                <w:szCs w:val="18"/>
              </w:rPr>
              <w:t>PbAgSnSb</w:t>
            </w:r>
            <w:r>
              <w:rPr>
                <w:rFonts w:hint="eastAsia"/>
                <w:color w:val="000000"/>
                <w:sz w:val="18"/>
                <w:szCs w:val="18"/>
              </w:rPr>
              <w:t>As</w:t>
            </w:r>
          </w:p>
        </w:tc>
        <w:tc>
          <w:tcPr>
            <w:tcW w:w="1029" w:type="dxa"/>
            <w:vAlign w:val="center"/>
          </w:tcPr>
          <w:p>
            <w:pPr>
              <w:ind w:left="-100" w:leftChars="-50" w:right="-100" w:rightChars="-50"/>
              <w:jc w:val="center"/>
              <w:rPr>
                <w:color w:val="000000"/>
                <w:sz w:val="18"/>
                <w:szCs w:val="18"/>
              </w:rPr>
            </w:pPr>
            <w:r>
              <w:rPr>
                <w:rFonts w:hint="eastAsia"/>
                <w:color w:val="000000"/>
                <w:sz w:val="18"/>
                <w:szCs w:val="18"/>
              </w:rPr>
              <w:t>宽扁型</w:t>
            </w:r>
          </w:p>
          <w:p>
            <w:pPr>
              <w:ind w:left="-100" w:leftChars="-50" w:right="-100" w:rightChars="-50"/>
              <w:jc w:val="center"/>
              <w:rPr>
                <w:color w:val="000000"/>
                <w:sz w:val="18"/>
                <w:szCs w:val="18"/>
              </w:rPr>
            </w:pPr>
            <w:r>
              <w:rPr>
                <w:color w:val="000000"/>
                <w:sz w:val="18"/>
                <w:szCs w:val="18"/>
              </w:rPr>
              <w:t>1060</w:t>
            </w:r>
            <w:r>
              <w:rPr>
                <w:rFonts w:hint="eastAsia"/>
                <w:color w:val="000000"/>
                <w:sz w:val="18"/>
                <w:szCs w:val="18"/>
              </w:rPr>
              <w:t>系铝合金</w:t>
            </w:r>
          </w:p>
        </w:tc>
        <w:tc>
          <w:tcPr>
            <w:tcW w:w="1729" w:type="dxa"/>
            <w:vAlign w:val="center"/>
          </w:tcPr>
          <w:p>
            <w:pPr>
              <w:jc w:val="center"/>
              <w:rPr>
                <w:color w:val="000000"/>
                <w:sz w:val="18"/>
                <w:szCs w:val="18"/>
              </w:rPr>
            </w:pPr>
            <w:r>
              <w:rPr>
                <w:rFonts w:hint="eastAsia"/>
                <w:color w:val="000000"/>
                <w:sz w:val="18"/>
                <w:szCs w:val="18"/>
              </w:rPr>
              <w:t>扁型</w:t>
            </w:r>
          </w:p>
          <w:p>
            <w:pPr>
              <w:jc w:val="center"/>
              <w:rPr>
                <w:color w:val="000000"/>
                <w:sz w:val="18"/>
                <w:szCs w:val="18"/>
              </w:rPr>
            </w:pPr>
            <w:r>
              <w:rPr>
                <w:rFonts w:hint="eastAsia"/>
                <w:color w:val="000000"/>
                <w:sz w:val="18"/>
                <w:szCs w:val="18"/>
              </w:rPr>
              <w:t>7.8×29.8</w:t>
            </w:r>
            <w:r>
              <w:rPr>
                <w:rFonts w:hint="eastAsia" w:ascii="等线" w:hAnsi="等线" w:eastAsia="等线"/>
                <w:color w:val="000000"/>
                <w:sz w:val="18"/>
                <w:szCs w:val="18"/>
              </w:rPr>
              <w:t>～</w:t>
            </w:r>
            <w:r>
              <w:rPr>
                <w:rFonts w:hint="eastAsia"/>
                <w:color w:val="000000"/>
                <w:sz w:val="18"/>
                <w:szCs w:val="18"/>
              </w:rPr>
              <w:t>9×31</w:t>
            </w:r>
          </w:p>
        </w:tc>
        <w:tc>
          <w:tcPr>
            <w:tcW w:w="992" w:type="dxa"/>
            <w:vMerge w:val="continue"/>
            <w:vAlign w:val="center"/>
          </w:tcPr>
          <w:p>
            <w:pPr>
              <w:ind w:left="-100" w:leftChars="-50" w:right="-100" w:rightChars="-50"/>
              <w:rPr>
                <w:color w:val="000000"/>
                <w:sz w:val="18"/>
                <w:szCs w:val="18"/>
              </w:rPr>
            </w:pPr>
          </w:p>
        </w:tc>
        <w:tc>
          <w:tcPr>
            <w:tcW w:w="831" w:type="dxa"/>
            <w:vMerge w:val="continue"/>
            <w:vAlign w:val="center"/>
          </w:tcPr>
          <w:p>
            <w:pPr>
              <w:ind w:left="-100" w:leftChars="-50" w:right="-100" w:rightChars="-50"/>
              <w:rPr>
                <w:color w:val="000000"/>
                <w:sz w:val="18"/>
                <w:szCs w:val="18"/>
              </w:rPr>
            </w:pPr>
          </w:p>
        </w:tc>
        <w:tc>
          <w:tcPr>
            <w:tcW w:w="923" w:type="dxa"/>
            <w:vAlign w:val="center"/>
          </w:tcPr>
          <w:p>
            <w:pPr>
              <w:jc w:val="center"/>
              <w:rPr>
                <w:rFonts w:hAnsi="宋体"/>
                <w:sz w:val="18"/>
                <w:szCs w:val="18"/>
              </w:rPr>
            </w:pPr>
            <w:r>
              <w:rPr>
                <w:rFonts w:hint="eastAsia"/>
                <w:bCs/>
                <w:sz w:val="18"/>
                <w:szCs w:val="18"/>
              </w:rPr>
              <w:t>栅栏型阳极板</w:t>
            </w:r>
          </w:p>
        </w:tc>
        <w:tc>
          <w:tcPr>
            <w:tcW w:w="1077" w:type="dxa"/>
            <w:vAlign w:val="center"/>
          </w:tcPr>
          <w:p>
            <w:pPr>
              <w:rPr>
                <w:color w:val="000000"/>
                <w:sz w:val="18"/>
                <w:szCs w:val="18"/>
              </w:rPr>
            </w:pPr>
            <w:r>
              <w:rPr>
                <w:rFonts w:hint="eastAsia"/>
                <w:color w:val="000000"/>
                <w:sz w:val="18"/>
                <w:szCs w:val="18"/>
              </w:rPr>
              <w:t>0</w:t>
            </w:r>
            <w:r>
              <w:rPr>
                <w:color w:val="000000"/>
                <w:sz w:val="18"/>
                <w:szCs w:val="18"/>
              </w:rPr>
              <w:t>.</w:t>
            </w:r>
            <w:r>
              <w:rPr>
                <w:rFonts w:hint="eastAsia"/>
                <w:color w:val="000000"/>
                <w:sz w:val="18"/>
                <w:szCs w:val="18"/>
              </w:rPr>
              <w:t>5</w:t>
            </w:r>
            <w:r>
              <w:rPr>
                <w:rFonts w:hint="eastAsia" w:hAnsi="宋体"/>
                <w:color w:val="000000"/>
                <w:sz w:val="18"/>
                <w:szCs w:val="18"/>
              </w:rPr>
              <w:t>～</w:t>
            </w:r>
            <w:r>
              <w:rPr>
                <w:rFonts w:hint="eastAsia"/>
                <w:color w:val="000000"/>
                <w:sz w:val="18"/>
                <w:szCs w:val="18"/>
              </w:rPr>
              <w:t>1</w:t>
            </w:r>
            <w:r>
              <w:rPr>
                <w:color w:val="000000"/>
                <w:sz w:val="18"/>
                <w:szCs w:val="18"/>
              </w:rPr>
              <w:t>.</w:t>
            </w:r>
            <w:r>
              <w:rPr>
                <w:rFonts w:hint="eastAsia"/>
                <w:color w:val="000000"/>
                <w:sz w:val="18"/>
                <w:szCs w:val="18"/>
              </w:rPr>
              <w:t>2</w:t>
            </w:r>
          </w:p>
        </w:tc>
      </w:tr>
    </w:tbl>
    <w:p>
      <w:pPr>
        <w:ind w:firstLine="274" w:firstLineChars="137"/>
        <w:rPr>
          <w:color w:val="000000"/>
        </w:rPr>
      </w:pPr>
      <w:r>
        <w:rPr>
          <w:color w:val="000000"/>
        </w:rPr>
        <w:t xml:space="preserve">     </w:t>
      </w:r>
    </w:p>
    <w:p>
      <w:pPr>
        <w:pStyle w:val="5"/>
        <w:spacing w:line="360" w:lineRule="auto"/>
        <w:ind w:firstLine="562" w:firstLineChars="200"/>
        <w:outlineLvl w:val="1"/>
        <w:rPr>
          <w:rFonts w:ascii="仿宋" w:hAnsi="仿宋" w:eastAsia="仿宋" w:cs="仿宋"/>
          <w:b/>
          <w:bCs/>
          <w:sz w:val="28"/>
          <w:szCs w:val="28"/>
        </w:rPr>
      </w:pPr>
      <w:bookmarkStart w:id="14" w:name="_Toc3772"/>
      <w:r>
        <w:rPr>
          <w:rFonts w:hint="eastAsia" w:ascii="仿宋" w:hAnsi="仿宋" w:eastAsia="仿宋" w:cs="仿宋"/>
          <w:b/>
          <w:bCs/>
          <w:sz w:val="28"/>
          <w:szCs w:val="28"/>
        </w:rPr>
        <w:t>4.4化学成分</w:t>
      </w:r>
      <w:bookmarkEnd w:id="14"/>
    </w:p>
    <w:p>
      <w:pPr>
        <w:spacing w:line="360" w:lineRule="auto"/>
        <w:ind w:firstLine="560" w:firstLineChars="200"/>
        <w:rPr>
          <w:rFonts w:ascii="仿宋" w:hAnsi="仿宋" w:eastAsia="仿宋" w:cs="仿宋"/>
          <w:color w:val="0000FF"/>
          <w:sz w:val="28"/>
          <w:szCs w:val="28"/>
        </w:rPr>
      </w:pPr>
      <w:r>
        <w:rPr>
          <w:rFonts w:hint="eastAsia" w:ascii="仿宋" w:hAnsi="仿宋" w:eastAsia="仿宋" w:cs="仿宋"/>
          <w:bCs/>
          <w:color w:val="0000FF"/>
          <w:sz w:val="28"/>
          <w:szCs w:val="28"/>
        </w:rPr>
        <w:t>由于行业的特定原因，极板用于有色金属的湿法冶炼，在电解槽中的使用寿命与原材料的纯度有很大的关系，所以文件必须对原材料的化学成分做出规定。</w:t>
      </w:r>
    </w:p>
    <w:p>
      <w:pPr>
        <w:rPr>
          <w:rFonts w:ascii="仿宋" w:hAnsi="仿宋" w:eastAsia="仿宋"/>
          <w:color w:val="000000"/>
          <w:sz w:val="24"/>
          <w:szCs w:val="24"/>
        </w:rPr>
      </w:pPr>
      <w:r>
        <w:rPr>
          <w:rFonts w:hint="eastAsia" w:ascii="仿宋" w:hAnsi="仿宋" w:eastAsia="仿宋"/>
          <w:bCs/>
          <w:color w:val="000000"/>
          <w:sz w:val="24"/>
          <w:szCs w:val="24"/>
        </w:rPr>
        <w:t>4.4.1</w:t>
      </w:r>
      <w:r>
        <w:rPr>
          <w:rFonts w:hint="eastAsia" w:ascii="仿宋" w:hAnsi="仿宋" w:eastAsia="仿宋"/>
          <w:color w:val="000000"/>
          <w:sz w:val="24"/>
          <w:szCs w:val="24"/>
        </w:rPr>
        <w:t>铅原料：应符合</w:t>
      </w:r>
      <w:r>
        <w:rPr>
          <w:rFonts w:ascii="仿宋" w:hAnsi="仿宋" w:eastAsia="仿宋"/>
          <w:color w:val="000000"/>
          <w:sz w:val="24"/>
          <w:szCs w:val="24"/>
        </w:rPr>
        <w:t>GB/T 469</w:t>
      </w:r>
      <w:r>
        <w:rPr>
          <w:rFonts w:hint="eastAsia" w:ascii="仿宋" w:hAnsi="仿宋" w:eastAsia="仿宋"/>
          <w:color w:val="000000"/>
          <w:sz w:val="24"/>
          <w:szCs w:val="24"/>
        </w:rPr>
        <w:t>中牌号Pb99.994（Pb≥99.994%）的规定。</w:t>
      </w:r>
    </w:p>
    <w:p>
      <w:pPr>
        <w:rPr>
          <w:rFonts w:ascii="仿宋" w:hAnsi="仿宋" w:eastAsia="仿宋"/>
          <w:color w:val="000000"/>
          <w:sz w:val="24"/>
          <w:szCs w:val="24"/>
        </w:rPr>
      </w:pPr>
      <w:r>
        <w:rPr>
          <w:rFonts w:hint="eastAsia" w:ascii="仿宋" w:hAnsi="仿宋" w:eastAsia="仿宋"/>
          <w:bCs/>
          <w:color w:val="000000"/>
          <w:sz w:val="24"/>
          <w:szCs w:val="24"/>
        </w:rPr>
        <w:t xml:space="preserve">4.4.2 </w:t>
      </w:r>
      <w:r>
        <w:rPr>
          <w:rFonts w:hint="eastAsia" w:ascii="仿宋" w:hAnsi="仿宋" w:eastAsia="仿宋"/>
          <w:color w:val="000000"/>
          <w:sz w:val="24"/>
          <w:szCs w:val="24"/>
        </w:rPr>
        <w:t>锡原料：应符合GB/T 728中相应牌号Sn99.99（Sn≥99.99%）的规定。</w:t>
      </w:r>
    </w:p>
    <w:p>
      <w:pPr>
        <w:rPr>
          <w:rFonts w:ascii="仿宋" w:hAnsi="仿宋" w:eastAsia="仿宋"/>
          <w:color w:val="000000"/>
          <w:sz w:val="24"/>
          <w:szCs w:val="24"/>
        </w:rPr>
      </w:pPr>
      <w:r>
        <w:rPr>
          <w:rFonts w:hint="eastAsia" w:ascii="仿宋" w:hAnsi="仿宋" w:eastAsia="仿宋"/>
          <w:bCs/>
          <w:color w:val="000000"/>
          <w:sz w:val="24"/>
          <w:szCs w:val="24"/>
        </w:rPr>
        <w:t xml:space="preserve">4.4.3 </w:t>
      </w:r>
      <w:r>
        <w:rPr>
          <w:rFonts w:hint="eastAsia" w:ascii="仿宋" w:hAnsi="仿宋" w:eastAsia="仿宋"/>
          <w:color w:val="000000"/>
          <w:sz w:val="24"/>
          <w:szCs w:val="24"/>
        </w:rPr>
        <w:t>锑原料：应符合</w:t>
      </w:r>
      <w:r>
        <w:rPr>
          <w:rFonts w:ascii="仿宋" w:hAnsi="仿宋" w:eastAsia="仿宋"/>
          <w:color w:val="000000"/>
          <w:sz w:val="24"/>
          <w:szCs w:val="24"/>
        </w:rPr>
        <w:t>GB/T 1599</w:t>
      </w:r>
      <w:r>
        <w:rPr>
          <w:rFonts w:hint="eastAsia" w:ascii="仿宋" w:hAnsi="仿宋" w:eastAsia="仿宋"/>
          <w:color w:val="000000"/>
          <w:sz w:val="24"/>
          <w:szCs w:val="24"/>
        </w:rPr>
        <w:t>中牌号</w:t>
      </w:r>
      <w:r>
        <w:rPr>
          <w:rFonts w:ascii="仿宋" w:hAnsi="仿宋" w:eastAsia="仿宋"/>
          <w:color w:val="000000"/>
          <w:sz w:val="24"/>
          <w:szCs w:val="24"/>
        </w:rPr>
        <w:t>Sb99.90</w:t>
      </w:r>
      <w:r>
        <w:rPr>
          <w:rFonts w:hint="eastAsia" w:ascii="仿宋" w:hAnsi="仿宋" w:eastAsia="仿宋"/>
          <w:color w:val="000000"/>
          <w:sz w:val="24"/>
          <w:szCs w:val="24"/>
        </w:rPr>
        <w:t>（Sb99.90%）的规定要求。</w:t>
      </w:r>
    </w:p>
    <w:p>
      <w:pPr>
        <w:ind w:left="1680" w:hanging="1680" w:hangingChars="700"/>
        <w:rPr>
          <w:rFonts w:ascii="仿宋" w:hAnsi="仿宋" w:eastAsia="仿宋"/>
          <w:color w:val="000000"/>
          <w:sz w:val="24"/>
          <w:szCs w:val="24"/>
        </w:rPr>
      </w:pPr>
      <w:r>
        <w:rPr>
          <w:rFonts w:hint="eastAsia" w:ascii="仿宋" w:hAnsi="仿宋" w:eastAsia="仿宋"/>
          <w:bCs/>
          <w:color w:val="000000"/>
          <w:sz w:val="24"/>
          <w:szCs w:val="24"/>
        </w:rPr>
        <w:t xml:space="preserve">4.4.4 </w:t>
      </w:r>
      <w:r>
        <w:rPr>
          <w:rFonts w:hint="eastAsia" w:ascii="仿宋" w:hAnsi="仿宋" w:eastAsia="仿宋"/>
          <w:color w:val="000000"/>
          <w:sz w:val="24"/>
          <w:szCs w:val="24"/>
        </w:rPr>
        <w:t>钙原料：应符合</w:t>
      </w:r>
      <w:r>
        <w:rPr>
          <w:rFonts w:ascii="仿宋" w:hAnsi="仿宋" w:eastAsia="仿宋"/>
          <w:color w:val="000000"/>
          <w:sz w:val="24"/>
          <w:szCs w:val="24"/>
        </w:rPr>
        <w:t xml:space="preserve">GB/T </w:t>
      </w:r>
      <w:r>
        <w:rPr>
          <w:rFonts w:hint="eastAsia" w:ascii="仿宋" w:hAnsi="仿宋" w:eastAsia="仿宋"/>
          <w:color w:val="000000"/>
          <w:sz w:val="24"/>
          <w:szCs w:val="24"/>
        </w:rPr>
        <w:t>4864中牌号</w:t>
      </w:r>
      <w:r>
        <w:rPr>
          <w:rFonts w:ascii="仿宋" w:hAnsi="仿宋" w:eastAsia="仿宋"/>
          <w:color w:val="000000"/>
          <w:sz w:val="24"/>
          <w:szCs w:val="24"/>
        </w:rPr>
        <w:t>C</w:t>
      </w:r>
      <w:r>
        <w:rPr>
          <w:rFonts w:hint="eastAsia" w:ascii="仿宋" w:hAnsi="仿宋" w:eastAsia="仿宋"/>
          <w:color w:val="000000"/>
          <w:sz w:val="24"/>
          <w:szCs w:val="24"/>
        </w:rPr>
        <w:t>a</w:t>
      </w:r>
      <w:r>
        <w:rPr>
          <w:rFonts w:ascii="仿宋" w:hAnsi="仿宋" w:eastAsia="仿宋"/>
          <w:color w:val="000000"/>
          <w:sz w:val="24"/>
          <w:szCs w:val="24"/>
        </w:rPr>
        <w:t>99.</w:t>
      </w:r>
      <w:r>
        <w:rPr>
          <w:rFonts w:hint="eastAsia" w:ascii="仿宋" w:hAnsi="仿宋" w:eastAsia="仿宋"/>
          <w:color w:val="000000"/>
          <w:sz w:val="24"/>
          <w:szCs w:val="24"/>
        </w:rPr>
        <w:t>50（</w:t>
      </w:r>
      <w:r>
        <w:rPr>
          <w:rFonts w:ascii="仿宋" w:hAnsi="仿宋" w:eastAsia="仿宋"/>
          <w:color w:val="000000"/>
          <w:sz w:val="24"/>
          <w:szCs w:val="24"/>
        </w:rPr>
        <w:t>C</w:t>
      </w:r>
      <w:r>
        <w:rPr>
          <w:rFonts w:hint="eastAsia" w:ascii="仿宋" w:hAnsi="仿宋" w:eastAsia="仿宋"/>
          <w:color w:val="000000"/>
          <w:sz w:val="24"/>
          <w:szCs w:val="24"/>
        </w:rPr>
        <w:t>a≥99.50%）的规定。</w:t>
      </w:r>
    </w:p>
    <w:p>
      <w:pPr>
        <w:rPr>
          <w:rFonts w:ascii="仿宋" w:hAnsi="仿宋" w:eastAsia="仿宋"/>
          <w:color w:val="000000"/>
          <w:sz w:val="24"/>
          <w:szCs w:val="24"/>
        </w:rPr>
      </w:pPr>
      <w:r>
        <w:rPr>
          <w:rFonts w:hint="eastAsia" w:ascii="仿宋" w:hAnsi="仿宋" w:eastAsia="仿宋"/>
          <w:bCs/>
          <w:color w:val="000000"/>
          <w:sz w:val="24"/>
          <w:szCs w:val="24"/>
        </w:rPr>
        <w:t xml:space="preserve">4.4.5 </w:t>
      </w:r>
      <w:r>
        <w:rPr>
          <w:rFonts w:hint="eastAsia" w:ascii="仿宋" w:hAnsi="仿宋" w:eastAsia="仿宋"/>
          <w:color w:val="000000"/>
          <w:sz w:val="24"/>
          <w:szCs w:val="24"/>
        </w:rPr>
        <w:t>银原料：应符合</w:t>
      </w:r>
      <w:r>
        <w:rPr>
          <w:rFonts w:ascii="仿宋" w:hAnsi="仿宋" w:eastAsia="仿宋"/>
          <w:color w:val="000000"/>
          <w:sz w:val="24"/>
          <w:szCs w:val="24"/>
        </w:rPr>
        <w:t xml:space="preserve">GB/T </w:t>
      </w:r>
      <w:r>
        <w:rPr>
          <w:rFonts w:hint="eastAsia" w:ascii="仿宋" w:hAnsi="仿宋" w:eastAsia="仿宋"/>
          <w:color w:val="000000"/>
          <w:sz w:val="24"/>
          <w:szCs w:val="24"/>
        </w:rPr>
        <w:t>4135中牌号</w:t>
      </w:r>
      <w:r>
        <w:rPr>
          <w:rFonts w:ascii="仿宋" w:hAnsi="仿宋" w:eastAsia="仿宋"/>
          <w:color w:val="000000"/>
          <w:sz w:val="24"/>
          <w:szCs w:val="24"/>
        </w:rPr>
        <w:t>A</w:t>
      </w:r>
      <w:r>
        <w:rPr>
          <w:rFonts w:hint="eastAsia" w:ascii="仿宋" w:hAnsi="仿宋" w:eastAsia="仿宋"/>
          <w:color w:val="000000"/>
          <w:sz w:val="24"/>
          <w:szCs w:val="24"/>
        </w:rPr>
        <w:t>g</w:t>
      </w:r>
      <w:r>
        <w:rPr>
          <w:rFonts w:ascii="仿宋" w:hAnsi="仿宋" w:eastAsia="仿宋"/>
          <w:color w:val="000000"/>
          <w:sz w:val="24"/>
          <w:szCs w:val="24"/>
        </w:rPr>
        <w:t>99.9</w:t>
      </w:r>
      <w:r>
        <w:rPr>
          <w:rFonts w:hint="eastAsia" w:ascii="仿宋" w:hAnsi="仿宋" w:eastAsia="仿宋"/>
          <w:color w:val="000000"/>
          <w:sz w:val="24"/>
          <w:szCs w:val="24"/>
        </w:rPr>
        <w:t>0（</w:t>
      </w:r>
      <w:r>
        <w:rPr>
          <w:rFonts w:ascii="仿宋" w:hAnsi="仿宋" w:eastAsia="仿宋"/>
          <w:color w:val="000000"/>
          <w:sz w:val="24"/>
          <w:szCs w:val="24"/>
        </w:rPr>
        <w:t>A</w:t>
      </w:r>
      <w:r>
        <w:rPr>
          <w:rFonts w:hint="eastAsia" w:ascii="仿宋" w:hAnsi="仿宋" w:eastAsia="仿宋"/>
          <w:color w:val="000000"/>
          <w:sz w:val="24"/>
          <w:szCs w:val="24"/>
        </w:rPr>
        <w:t>g≥99.90%）的规定。</w:t>
      </w:r>
    </w:p>
    <w:p>
      <w:pPr>
        <w:rPr>
          <w:rFonts w:ascii="仿宋" w:hAnsi="仿宋" w:eastAsia="仿宋"/>
          <w:color w:val="000000"/>
          <w:sz w:val="24"/>
          <w:szCs w:val="24"/>
        </w:rPr>
      </w:pPr>
      <w:r>
        <w:rPr>
          <w:rFonts w:hint="eastAsia" w:ascii="仿宋" w:hAnsi="仿宋" w:eastAsia="仿宋"/>
          <w:bCs/>
          <w:color w:val="000000"/>
          <w:sz w:val="24"/>
          <w:szCs w:val="24"/>
        </w:rPr>
        <w:t>4.4.6</w:t>
      </w:r>
      <w:r>
        <w:rPr>
          <w:rFonts w:hint="eastAsia" w:ascii="仿宋" w:hAnsi="仿宋" w:eastAsia="仿宋"/>
          <w:color w:val="000000"/>
          <w:sz w:val="24"/>
          <w:szCs w:val="24"/>
        </w:rPr>
        <w:t>纯铝原料：应符合GB/T 3190中牌号1060纯铝的规定。</w:t>
      </w:r>
    </w:p>
    <w:p>
      <w:pPr>
        <w:rPr>
          <w:rFonts w:ascii="仿宋" w:hAnsi="仿宋" w:eastAsia="仿宋"/>
          <w:color w:val="000000"/>
          <w:sz w:val="24"/>
          <w:szCs w:val="24"/>
        </w:rPr>
      </w:pPr>
      <w:r>
        <w:rPr>
          <w:rFonts w:hint="eastAsia" w:ascii="仿宋" w:hAnsi="仿宋" w:eastAsia="仿宋"/>
          <w:bCs/>
          <w:color w:val="000000"/>
          <w:sz w:val="24"/>
          <w:szCs w:val="24"/>
        </w:rPr>
        <w:t xml:space="preserve">4.4.7 </w:t>
      </w:r>
      <w:r>
        <w:rPr>
          <w:rFonts w:hint="eastAsia" w:ascii="仿宋" w:hAnsi="仿宋" w:eastAsia="仿宋"/>
          <w:color w:val="000000"/>
          <w:sz w:val="24"/>
          <w:szCs w:val="24"/>
        </w:rPr>
        <w:t>铝合金原料：应符合GB/T 3190 中牌号6101铝合金的规定。</w:t>
      </w:r>
    </w:p>
    <w:p>
      <w:pPr>
        <w:rPr>
          <w:rFonts w:ascii="仿宋" w:hAnsi="仿宋" w:eastAsia="仿宋"/>
          <w:color w:val="000000"/>
          <w:sz w:val="24"/>
          <w:szCs w:val="24"/>
        </w:rPr>
      </w:pPr>
      <w:r>
        <w:rPr>
          <w:rFonts w:hint="eastAsia" w:ascii="仿宋" w:hAnsi="仿宋" w:eastAsia="仿宋"/>
          <w:bCs/>
          <w:color w:val="000000"/>
          <w:sz w:val="24"/>
          <w:szCs w:val="24"/>
        </w:rPr>
        <w:t xml:space="preserve">4.4.8 </w:t>
      </w:r>
      <w:r>
        <w:rPr>
          <w:rFonts w:hint="eastAsia" w:ascii="仿宋" w:hAnsi="仿宋" w:eastAsia="仿宋"/>
          <w:color w:val="000000"/>
          <w:sz w:val="24"/>
          <w:szCs w:val="24"/>
        </w:rPr>
        <w:t>铜原料：应符合GB/T 5231 中牌号T2铜的规定。</w:t>
      </w:r>
    </w:p>
    <w:p>
      <w:pPr>
        <w:spacing w:line="360" w:lineRule="auto"/>
        <w:rPr>
          <w:rFonts w:ascii="仿宋" w:hAnsi="仿宋" w:eastAsia="仿宋" w:cs="仿宋"/>
          <w:color w:val="0000FF"/>
          <w:sz w:val="28"/>
          <w:szCs w:val="28"/>
        </w:rPr>
      </w:pPr>
    </w:p>
    <w:p>
      <w:pPr>
        <w:spacing w:line="360" w:lineRule="auto"/>
        <w:ind w:firstLine="560" w:firstLineChars="200"/>
        <w:rPr>
          <w:rFonts w:ascii="仿宋" w:hAnsi="仿宋" w:eastAsia="仿宋" w:cs="仿宋"/>
          <w:color w:val="0000FF"/>
          <w:sz w:val="28"/>
          <w:szCs w:val="28"/>
        </w:rPr>
      </w:pPr>
      <w:r>
        <w:rPr>
          <w:rFonts w:hint="eastAsia" w:ascii="仿宋" w:hAnsi="仿宋" w:eastAsia="仿宋" w:cs="仿宋"/>
          <w:color w:val="0000FF"/>
          <w:sz w:val="28"/>
          <w:szCs w:val="28"/>
        </w:rPr>
        <w:t>本标准在调研了国内外市场及近5年我公司生产的栅栏阳极板，各收集了100个化学成分数据进行验证，具体验证结果见表2。</w:t>
      </w:r>
    </w:p>
    <w:p>
      <w:pPr>
        <w:spacing w:line="360" w:lineRule="auto"/>
        <w:ind w:firstLine="420"/>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表2铅合金的化学成分数据检测统计表（数据样本100份）</w:t>
      </w:r>
    </w:p>
    <w:tbl>
      <w:tblPr>
        <w:tblStyle w:val="12"/>
        <w:tblW w:w="931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39"/>
        <w:gridCol w:w="1275"/>
        <w:gridCol w:w="702"/>
        <w:gridCol w:w="578"/>
        <w:gridCol w:w="598"/>
        <w:gridCol w:w="533"/>
        <w:gridCol w:w="647"/>
        <w:gridCol w:w="666"/>
        <w:gridCol w:w="611"/>
        <w:gridCol w:w="437"/>
        <w:gridCol w:w="437"/>
        <w:gridCol w:w="438"/>
        <w:gridCol w:w="437"/>
        <w:gridCol w:w="438"/>
        <w:gridCol w:w="438"/>
        <w:gridCol w:w="4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8" w:hRule="atLeast"/>
        </w:trPr>
        <w:tc>
          <w:tcPr>
            <w:tcW w:w="639" w:type="dxa"/>
            <w:vMerge w:val="restart"/>
            <w:vAlign w:val="center"/>
          </w:tcPr>
          <w:p>
            <w:pPr>
              <w:ind w:left="-100" w:leftChars="-50" w:right="-100" w:rightChars="-50"/>
              <w:jc w:val="center"/>
              <w:rPr>
                <w:color w:val="000000"/>
                <w:sz w:val="18"/>
                <w:szCs w:val="18"/>
              </w:rPr>
            </w:pPr>
            <w:r>
              <w:rPr>
                <w:rFonts w:hint="eastAsia"/>
                <w:color w:val="000000"/>
                <w:sz w:val="18"/>
                <w:szCs w:val="18"/>
              </w:rPr>
              <w:t>类型</w:t>
            </w:r>
          </w:p>
        </w:tc>
        <w:tc>
          <w:tcPr>
            <w:tcW w:w="1275" w:type="dxa"/>
            <w:vMerge w:val="restart"/>
            <w:tcBorders>
              <w:right w:val="single" w:color="auto" w:sz="4" w:space="0"/>
            </w:tcBorders>
            <w:vAlign w:val="center"/>
          </w:tcPr>
          <w:p>
            <w:pPr>
              <w:rPr>
                <w:color w:val="000000"/>
                <w:sz w:val="18"/>
                <w:szCs w:val="18"/>
              </w:rPr>
            </w:pPr>
            <w:r>
              <w:rPr>
                <w:color w:val="000000"/>
                <w:sz w:val="18"/>
                <w:szCs w:val="18"/>
              </w:rPr>
              <w:t>铅合金</w:t>
            </w:r>
            <w:r>
              <w:rPr>
                <w:rFonts w:hint="eastAsia"/>
                <w:color w:val="000000"/>
                <w:sz w:val="18"/>
                <w:szCs w:val="18"/>
              </w:rPr>
              <w:t>成分</w:t>
            </w:r>
          </w:p>
        </w:tc>
        <w:tc>
          <w:tcPr>
            <w:tcW w:w="4335" w:type="dxa"/>
            <w:gridSpan w:val="7"/>
            <w:tcBorders>
              <w:right w:val="single" w:color="auto" w:sz="4" w:space="0"/>
            </w:tcBorders>
          </w:tcPr>
          <w:p>
            <w:pPr>
              <w:jc w:val="center"/>
              <w:rPr>
                <w:color w:val="000000"/>
                <w:sz w:val="18"/>
                <w:szCs w:val="18"/>
              </w:rPr>
            </w:pPr>
            <w:r>
              <w:rPr>
                <w:color w:val="000000"/>
                <w:sz w:val="18"/>
                <w:szCs w:val="18"/>
              </w:rPr>
              <w:t>化学成分（质量分数</w:t>
            </w:r>
            <w:r>
              <w:rPr>
                <w:rFonts w:hint="eastAsia"/>
                <w:color w:val="000000"/>
                <w:sz w:val="18"/>
                <w:szCs w:val="18"/>
              </w:rPr>
              <w:t>）</w:t>
            </w:r>
          </w:p>
          <w:p>
            <w:pPr>
              <w:jc w:val="center"/>
              <w:rPr>
                <w:color w:val="000000"/>
                <w:sz w:val="18"/>
                <w:szCs w:val="18"/>
              </w:rPr>
            </w:pPr>
            <w:r>
              <w:rPr>
                <w:color w:val="000000"/>
                <w:sz w:val="18"/>
                <w:szCs w:val="18"/>
              </w:rPr>
              <w:t>%</w:t>
            </w:r>
          </w:p>
        </w:tc>
        <w:tc>
          <w:tcPr>
            <w:tcW w:w="3069" w:type="dxa"/>
            <w:gridSpan w:val="7"/>
            <w:tcBorders>
              <w:left w:val="single" w:color="auto" w:sz="4" w:space="0"/>
            </w:tcBorders>
          </w:tcPr>
          <w:p>
            <w:pPr>
              <w:jc w:val="center"/>
              <w:rPr>
                <w:color w:val="00B050"/>
                <w:sz w:val="18"/>
                <w:szCs w:val="18"/>
              </w:rPr>
            </w:pPr>
            <w:r>
              <w:rPr>
                <w:color w:val="000000"/>
                <w:sz w:val="18"/>
                <w:szCs w:val="18"/>
              </w:rPr>
              <w:t>杂质含量（质量分数</w:t>
            </w:r>
            <w:r>
              <w:rPr>
                <w:rFonts w:hint="eastAsia"/>
                <w:color w:val="000000"/>
                <w:sz w:val="18"/>
                <w:szCs w:val="18"/>
              </w:rPr>
              <w:t>）</w:t>
            </w:r>
          </w:p>
          <w:p>
            <w:pPr>
              <w:jc w:val="center"/>
              <w:rPr>
                <w:color w:val="000000"/>
                <w:sz w:val="18"/>
                <w:szCs w:val="18"/>
              </w:rPr>
            </w:pPr>
            <w:r>
              <w:rPr>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4" w:hRule="atLeast"/>
        </w:trPr>
        <w:tc>
          <w:tcPr>
            <w:tcW w:w="639" w:type="dxa"/>
            <w:vMerge w:val="continue"/>
            <w:vAlign w:val="center"/>
          </w:tcPr>
          <w:p>
            <w:pPr>
              <w:rPr>
                <w:color w:val="000000"/>
                <w:sz w:val="18"/>
                <w:szCs w:val="18"/>
              </w:rPr>
            </w:pPr>
          </w:p>
        </w:tc>
        <w:tc>
          <w:tcPr>
            <w:tcW w:w="1275" w:type="dxa"/>
            <w:vMerge w:val="continue"/>
            <w:tcBorders>
              <w:right w:val="single" w:color="auto" w:sz="4" w:space="0"/>
            </w:tcBorders>
            <w:vAlign w:val="center"/>
          </w:tcPr>
          <w:p>
            <w:pPr>
              <w:rPr>
                <w:color w:val="000000"/>
                <w:sz w:val="18"/>
                <w:szCs w:val="18"/>
              </w:rPr>
            </w:pPr>
          </w:p>
        </w:tc>
        <w:tc>
          <w:tcPr>
            <w:tcW w:w="702" w:type="dxa"/>
            <w:tcBorders>
              <w:right w:val="single" w:color="auto" w:sz="4" w:space="0"/>
            </w:tcBorders>
            <w:vAlign w:val="center"/>
          </w:tcPr>
          <w:p>
            <w:pPr>
              <w:jc w:val="center"/>
              <w:rPr>
                <w:color w:val="000000"/>
                <w:sz w:val="18"/>
                <w:szCs w:val="18"/>
              </w:rPr>
            </w:pPr>
            <w:r>
              <w:rPr>
                <w:color w:val="000000"/>
                <w:sz w:val="18"/>
                <w:szCs w:val="18"/>
              </w:rPr>
              <w:t>Pb</w:t>
            </w:r>
          </w:p>
        </w:tc>
        <w:tc>
          <w:tcPr>
            <w:tcW w:w="578" w:type="dxa"/>
            <w:tcBorders>
              <w:left w:val="single" w:color="auto" w:sz="4" w:space="0"/>
            </w:tcBorders>
            <w:vAlign w:val="center"/>
          </w:tcPr>
          <w:p>
            <w:pPr>
              <w:jc w:val="center"/>
              <w:rPr>
                <w:color w:val="000000"/>
                <w:sz w:val="18"/>
                <w:szCs w:val="18"/>
              </w:rPr>
            </w:pPr>
            <w:r>
              <w:rPr>
                <w:color w:val="000000"/>
                <w:sz w:val="18"/>
                <w:szCs w:val="18"/>
              </w:rPr>
              <w:t>Ag</w:t>
            </w:r>
          </w:p>
        </w:tc>
        <w:tc>
          <w:tcPr>
            <w:tcW w:w="598" w:type="dxa"/>
            <w:vAlign w:val="center"/>
          </w:tcPr>
          <w:p>
            <w:pPr>
              <w:jc w:val="center"/>
              <w:rPr>
                <w:color w:val="000000"/>
                <w:sz w:val="18"/>
                <w:szCs w:val="18"/>
              </w:rPr>
            </w:pPr>
            <w:r>
              <w:rPr>
                <w:color w:val="000000"/>
                <w:sz w:val="18"/>
                <w:szCs w:val="18"/>
              </w:rPr>
              <w:t>Ca</w:t>
            </w:r>
          </w:p>
        </w:tc>
        <w:tc>
          <w:tcPr>
            <w:tcW w:w="533" w:type="dxa"/>
            <w:vAlign w:val="center"/>
          </w:tcPr>
          <w:p>
            <w:pPr>
              <w:jc w:val="center"/>
              <w:rPr>
                <w:color w:val="000000"/>
                <w:sz w:val="18"/>
                <w:szCs w:val="18"/>
              </w:rPr>
            </w:pPr>
            <w:r>
              <w:rPr>
                <w:color w:val="000000"/>
                <w:sz w:val="18"/>
                <w:szCs w:val="18"/>
              </w:rPr>
              <w:t>Sn</w:t>
            </w:r>
          </w:p>
        </w:tc>
        <w:tc>
          <w:tcPr>
            <w:tcW w:w="647" w:type="dxa"/>
            <w:vAlign w:val="center"/>
          </w:tcPr>
          <w:p>
            <w:pPr>
              <w:jc w:val="center"/>
              <w:rPr>
                <w:color w:val="000000"/>
                <w:sz w:val="18"/>
                <w:szCs w:val="18"/>
              </w:rPr>
            </w:pPr>
            <w:r>
              <w:rPr>
                <w:color w:val="000000"/>
                <w:sz w:val="18"/>
                <w:szCs w:val="18"/>
              </w:rPr>
              <w:t>Sr</w:t>
            </w:r>
          </w:p>
        </w:tc>
        <w:tc>
          <w:tcPr>
            <w:tcW w:w="666" w:type="dxa"/>
            <w:vAlign w:val="center"/>
          </w:tcPr>
          <w:p>
            <w:pPr>
              <w:jc w:val="center"/>
              <w:rPr>
                <w:color w:val="000000"/>
                <w:sz w:val="18"/>
                <w:szCs w:val="18"/>
              </w:rPr>
            </w:pPr>
            <w:r>
              <w:rPr>
                <w:color w:val="000000"/>
                <w:sz w:val="18"/>
                <w:szCs w:val="18"/>
              </w:rPr>
              <w:t>R</w:t>
            </w:r>
            <w:r>
              <w:rPr>
                <w:rFonts w:hint="eastAsia"/>
                <w:color w:val="000000"/>
                <w:sz w:val="18"/>
                <w:szCs w:val="18"/>
              </w:rPr>
              <w:t>e</w:t>
            </w:r>
            <w:r>
              <w:rPr>
                <w:rFonts w:hint="eastAsia"/>
                <w:color w:val="000000"/>
                <w:sz w:val="15"/>
                <w:szCs w:val="15"/>
              </w:rPr>
              <w:t>（稀土）</w:t>
            </w:r>
          </w:p>
        </w:tc>
        <w:tc>
          <w:tcPr>
            <w:tcW w:w="611" w:type="dxa"/>
            <w:tcBorders>
              <w:right w:val="single" w:color="auto" w:sz="4" w:space="0"/>
            </w:tcBorders>
            <w:vAlign w:val="center"/>
          </w:tcPr>
          <w:p>
            <w:pPr>
              <w:jc w:val="center"/>
              <w:rPr>
                <w:color w:val="000000"/>
                <w:sz w:val="18"/>
                <w:szCs w:val="18"/>
              </w:rPr>
            </w:pPr>
            <w:r>
              <w:rPr>
                <w:color w:val="000000"/>
                <w:sz w:val="18"/>
                <w:szCs w:val="18"/>
              </w:rPr>
              <w:t>Sb</w:t>
            </w:r>
          </w:p>
        </w:tc>
        <w:tc>
          <w:tcPr>
            <w:tcW w:w="437" w:type="dxa"/>
            <w:tcBorders>
              <w:left w:val="single" w:color="auto" w:sz="4" w:space="0"/>
              <w:right w:val="single" w:color="auto" w:sz="4" w:space="0"/>
            </w:tcBorders>
            <w:vAlign w:val="center"/>
          </w:tcPr>
          <w:p>
            <w:pPr>
              <w:ind w:left="-100" w:leftChars="-50" w:right="-100" w:rightChars="-50"/>
              <w:jc w:val="center"/>
              <w:rPr>
                <w:color w:val="000000"/>
                <w:sz w:val="18"/>
                <w:szCs w:val="18"/>
              </w:rPr>
            </w:pPr>
            <w:r>
              <w:rPr>
                <w:color w:val="000000"/>
                <w:sz w:val="18"/>
                <w:szCs w:val="18"/>
              </w:rPr>
              <w:t>Cu</w:t>
            </w:r>
          </w:p>
        </w:tc>
        <w:tc>
          <w:tcPr>
            <w:tcW w:w="437" w:type="dxa"/>
            <w:tcBorders>
              <w:left w:val="single" w:color="auto" w:sz="4" w:space="0"/>
              <w:right w:val="single" w:color="auto" w:sz="4" w:space="0"/>
            </w:tcBorders>
            <w:vAlign w:val="center"/>
          </w:tcPr>
          <w:p>
            <w:pPr>
              <w:ind w:left="-100" w:leftChars="-50" w:right="-100" w:rightChars="-50"/>
              <w:jc w:val="center"/>
              <w:rPr>
                <w:color w:val="000000"/>
                <w:sz w:val="18"/>
                <w:szCs w:val="18"/>
              </w:rPr>
            </w:pPr>
            <w:r>
              <w:rPr>
                <w:color w:val="000000"/>
                <w:sz w:val="18"/>
                <w:szCs w:val="18"/>
              </w:rPr>
              <w:t>Sb</w:t>
            </w:r>
          </w:p>
        </w:tc>
        <w:tc>
          <w:tcPr>
            <w:tcW w:w="438" w:type="dxa"/>
            <w:tcBorders>
              <w:left w:val="single" w:color="auto" w:sz="4" w:space="0"/>
              <w:right w:val="single" w:color="auto" w:sz="4" w:space="0"/>
            </w:tcBorders>
            <w:vAlign w:val="center"/>
          </w:tcPr>
          <w:p>
            <w:pPr>
              <w:ind w:left="-100" w:leftChars="-50" w:right="-100" w:rightChars="-50"/>
              <w:jc w:val="center"/>
              <w:rPr>
                <w:color w:val="000000"/>
                <w:sz w:val="18"/>
                <w:szCs w:val="18"/>
              </w:rPr>
            </w:pPr>
            <w:r>
              <w:rPr>
                <w:color w:val="000000"/>
                <w:sz w:val="18"/>
                <w:szCs w:val="18"/>
              </w:rPr>
              <w:t>As</w:t>
            </w:r>
          </w:p>
        </w:tc>
        <w:tc>
          <w:tcPr>
            <w:tcW w:w="437" w:type="dxa"/>
            <w:tcBorders>
              <w:left w:val="single" w:color="auto" w:sz="4" w:space="0"/>
              <w:right w:val="single" w:color="auto" w:sz="4" w:space="0"/>
            </w:tcBorders>
            <w:vAlign w:val="center"/>
          </w:tcPr>
          <w:p>
            <w:pPr>
              <w:ind w:left="-100" w:leftChars="-50" w:right="-100" w:rightChars="-50"/>
              <w:jc w:val="center"/>
              <w:rPr>
                <w:color w:val="000000"/>
                <w:sz w:val="18"/>
                <w:szCs w:val="18"/>
              </w:rPr>
            </w:pPr>
            <w:r>
              <w:rPr>
                <w:color w:val="000000"/>
                <w:sz w:val="18"/>
                <w:szCs w:val="18"/>
              </w:rPr>
              <w:t>Bi</w:t>
            </w:r>
          </w:p>
        </w:tc>
        <w:tc>
          <w:tcPr>
            <w:tcW w:w="438" w:type="dxa"/>
            <w:tcBorders>
              <w:left w:val="single" w:color="auto" w:sz="4" w:space="0"/>
              <w:right w:val="single" w:color="auto" w:sz="4" w:space="0"/>
            </w:tcBorders>
            <w:vAlign w:val="center"/>
          </w:tcPr>
          <w:p>
            <w:pPr>
              <w:ind w:left="-100" w:leftChars="-50" w:right="-100" w:rightChars="-50"/>
              <w:jc w:val="center"/>
              <w:rPr>
                <w:color w:val="000000"/>
                <w:sz w:val="18"/>
                <w:szCs w:val="18"/>
              </w:rPr>
            </w:pPr>
            <w:r>
              <w:rPr>
                <w:color w:val="000000"/>
                <w:sz w:val="18"/>
                <w:szCs w:val="18"/>
              </w:rPr>
              <w:t>Fe</w:t>
            </w:r>
          </w:p>
        </w:tc>
        <w:tc>
          <w:tcPr>
            <w:tcW w:w="438" w:type="dxa"/>
            <w:tcBorders>
              <w:left w:val="single" w:color="auto" w:sz="4" w:space="0"/>
              <w:right w:val="single" w:color="auto" w:sz="4" w:space="0"/>
            </w:tcBorders>
            <w:vAlign w:val="center"/>
          </w:tcPr>
          <w:p>
            <w:pPr>
              <w:ind w:left="-100" w:leftChars="-50" w:right="-100" w:rightChars="-50"/>
              <w:jc w:val="center"/>
              <w:rPr>
                <w:color w:val="000000"/>
                <w:sz w:val="18"/>
                <w:szCs w:val="18"/>
              </w:rPr>
            </w:pPr>
            <w:r>
              <w:rPr>
                <w:color w:val="000000"/>
                <w:sz w:val="18"/>
                <w:szCs w:val="18"/>
              </w:rPr>
              <w:t>Zn</w:t>
            </w:r>
          </w:p>
        </w:tc>
        <w:tc>
          <w:tcPr>
            <w:tcW w:w="444" w:type="dxa"/>
            <w:tcBorders>
              <w:left w:val="single" w:color="auto" w:sz="4" w:space="0"/>
            </w:tcBorders>
            <w:vAlign w:val="center"/>
          </w:tcPr>
          <w:p>
            <w:pPr>
              <w:ind w:left="-100" w:leftChars="-50" w:right="-100" w:rightChars="-50"/>
              <w:jc w:val="center"/>
              <w:rPr>
                <w:color w:val="000000"/>
                <w:sz w:val="18"/>
                <w:szCs w:val="18"/>
              </w:rPr>
            </w:pPr>
            <w:r>
              <w:rPr>
                <w:color w:val="000000"/>
                <w:sz w:val="18"/>
                <w:szCs w:val="18"/>
              </w:rPr>
              <w:t>Sn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639" w:type="dxa"/>
            <w:vMerge w:val="restart"/>
            <w:vAlign w:val="center"/>
          </w:tcPr>
          <w:p>
            <w:pPr>
              <w:ind w:left="-40" w:leftChars="-20" w:right="-40" w:rightChars="-20"/>
              <w:rPr>
                <w:color w:val="000000"/>
                <w:sz w:val="18"/>
                <w:szCs w:val="18"/>
              </w:rPr>
            </w:pPr>
            <w:r>
              <w:rPr>
                <w:color w:val="000000"/>
                <w:sz w:val="18"/>
                <w:szCs w:val="18"/>
              </w:rPr>
              <w:t>锌电积栅栏型阳极板</w:t>
            </w:r>
          </w:p>
        </w:tc>
        <w:tc>
          <w:tcPr>
            <w:tcW w:w="1275" w:type="dxa"/>
            <w:tcBorders>
              <w:right w:val="single" w:color="auto" w:sz="4" w:space="0"/>
            </w:tcBorders>
            <w:vAlign w:val="center"/>
          </w:tcPr>
          <w:p>
            <w:pPr>
              <w:rPr>
                <w:color w:val="000000"/>
                <w:sz w:val="18"/>
                <w:szCs w:val="18"/>
              </w:rPr>
            </w:pPr>
            <w:r>
              <w:rPr>
                <w:color w:val="000000"/>
                <w:sz w:val="18"/>
                <w:szCs w:val="18"/>
              </w:rPr>
              <w:t>PbAg</w:t>
            </w:r>
          </w:p>
        </w:tc>
        <w:tc>
          <w:tcPr>
            <w:tcW w:w="702" w:type="dxa"/>
            <w:tcBorders>
              <w:right w:val="single" w:color="auto" w:sz="4" w:space="0"/>
            </w:tcBorders>
            <w:vAlign w:val="center"/>
          </w:tcPr>
          <w:p>
            <w:pPr>
              <w:spacing w:line="240" w:lineRule="exact"/>
              <w:ind w:left="-100" w:leftChars="-50" w:right="-100" w:rightChars="-50"/>
              <w:jc w:val="center"/>
              <w:rPr>
                <w:rFonts w:eastAsia="宋体-方正超大字符集"/>
                <w:color w:val="000000"/>
                <w:sz w:val="18"/>
                <w:szCs w:val="18"/>
              </w:rPr>
            </w:pPr>
            <w:r>
              <w:rPr>
                <w:rFonts w:eastAsia="宋体-方正超大字符集"/>
                <w:color w:val="000000"/>
                <w:sz w:val="18"/>
                <w:szCs w:val="18"/>
              </w:rPr>
              <w:t>98.78～99.48</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0.50～1.20</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0.004</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39" w:type="dxa"/>
            <w:vMerge w:val="continue"/>
            <w:vAlign w:val="center"/>
          </w:tcPr>
          <w:p>
            <w:pPr>
              <w:ind w:left="-40" w:leftChars="-20" w:right="-40" w:rightChars="-20"/>
              <w:rPr>
                <w:color w:val="000000"/>
                <w:sz w:val="18"/>
                <w:szCs w:val="18"/>
              </w:rPr>
            </w:pPr>
          </w:p>
        </w:tc>
        <w:tc>
          <w:tcPr>
            <w:tcW w:w="1275" w:type="dxa"/>
            <w:tcBorders>
              <w:right w:val="single" w:color="auto" w:sz="4" w:space="0"/>
            </w:tcBorders>
            <w:vAlign w:val="center"/>
          </w:tcPr>
          <w:p>
            <w:pPr>
              <w:rPr>
                <w:color w:val="000000"/>
                <w:sz w:val="18"/>
                <w:szCs w:val="18"/>
              </w:rPr>
            </w:pPr>
            <w:r>
              <w:rPr>
                <w:color w:val="000000"/>
                <w:sz w:val="18"/>
                <w:szCs w:val="18"/>
              </w:rPr>
              <w:t>PbAgCaSr</w:t>
            </w:r>
          </w:p>
        </w:tc>
        <w:tc>
          <w:tcPr>
            <w:tcW w:w="702"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99.31～99.84</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0.1</w:t>
            </w:r>
            <w:r>
              <w:rPr>
                <w:rFonts w:hint="eastAsia" w:eastAsia="宋体-方正超大字符集"/>
                <w:color w:val="000000"/>
                <w:sz w:val="18"/>
                <w:szCs w:val="18"/>
              </w:rPr>
              <w:t>0</w:t>
            </w:r>
            <w:r>
              <w:rPr>
                <w:rFonts w:eastAsia="宋体-方正超大字符集"/>
                <w:color w:val="000000"/>
                <w:sz w:val="18"/>
                <w:szCs w:val="18"/>
              </w:rPr>
              <w:t>～0.5</w:t>
            </w:r>
            <w:r>
              <w:rPr>
                <w:rFonts w:hint="eastAsia" w:eastAsia="宋体-方正超大字符集"/>
                <w:color w:val="000000"/>
                <w:sz w:val="18"/>
                <w:szCs w:val="18"/>
              </w:rPr>
              <w:t>0</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0.04～0.1</w:t>
            </w:r>
            <w:r>
              <w:rPr>
                <w:rFonts w:hint="eastAsia" w:eastAsia="宋体-方正超大字符集"/>
                <w:color w:val="000000"/>
                <w:sz w:val="18"/>
                <w:szCs w:val="18"/>
              </w:rPr>
              <w:t>0</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0.003～0.07</w:t>
            </w:r>
            <w:r>
              <w:rPr>
                <w:rFonts w:hint="eastAsia" w:eastAsia="宋体-方正超大字符集"/>
                <w:color w:val="000000"/>
                <w:sz w:val="18"/>
                <w:szCs w:val="18"/>
              </w:rPr>
              <w:t>0</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0.004</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trPr>
        <w:tc>
          <w:tcPr>
            <w:tcW w:w="639" w:type="dxa"/>
            <w:vMerge w:val="continue"/>
            <w:vAlign w:val="center"/>
          </w:tcPr>
          <w:p>
            <w:pPr>
              <w:ind w:left="-40" w:leftChars="-20" w:right="-40" w:rightChars="-20"/>
              <w:rPr>
                <w:color w:val="000000"/>
                <w:sz w:val="18"/>
                <w:szCs w:val="18"/>
              </w:rPr>
            </w:pPr>
          </w:p>
        </w:tc>
        <w:tc>
          <w:tcPr>
            <w:tcW w:w="1275" w:type="dxa"/>
            <w:tcBorders>
              <w:right w:val="single" w:color="auto" w:sz="4" w:space="0"/>
            </w:tcBorders>
            <w:vAlign w:val="center"/>
          </w:tcPr>
          <w:p>
            <w:pPr>
              <w:rPr>
                <w:color w:val="000000"/>
                <w:sz w:val="18"/>
                <w:szCs w:val="18"/>
              </w:rPr>
            </w:pPr>
            <w:r>
              <w:rPr>
                <w:color w:val="000000"/>
                <w:sz w:val="18"/>
                <w:szCs w:val="18"/>
              </w:rPr>
              <w:t>PbAgCaSrR</w:t>
            </w:r>
            <w:r>
              <w:rPr>
                <w:rFonts w:hint="eastAsia"/>
                <w:color w:val="000000"/>
                <w:sz w:val="18"/>
                <w:szCs w:val="18"/>
              </w:rPr>
              <w:t>e</w:t>
            </w:r>
          </w:p>
        </w:tc>
        <w:tc>
          <w:tcPr>
            <w:tcW w:w="702"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99.26～99.83</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0.1</w:t>
            </w:r>
            <w:r>
              <w:rPr>
                <w:rFonts w:hint="eastAsia" w:eastAsia="宋体-方正超大字符集"/>
                <w:color w:val="000000"/>
                <w:sz w:val="18"/>
                <w:szCs w:val="18"/>
              </w:rPr>
              <w:t>0</w:t>
            </w:r>
            <w:r>
              <w:rPr>
                <w:rFonts w:eastAsia="宋体-方正超大字符集"/>
                <w:color w:val="000000"/>
                <w:sz w:val="18"/>
                <w:szCs w:val="18"/>
              </w:rPr>
              <w:t>～0.5</w:t>
            </w:r>
            <w:r>
              <w:rPr>
                <w:rFonts w:hint="eastAsia" w:eastAsia="宋体-方正超大字符集"/>
                <w:color w:val="000000"/>
                <w:sz w:val="18"/>
                <w:szCs w:val="18"/>
              </w:rPr>
              <w:t>0</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0.04～0.1</w:t>
            </w:r>
            <w:r>
              <w:rPr>
                <w:rFonts w:hint="eastAsia" w:eastAsia="宋体-方正超大字符集"/>
                <w:color w:val="000000"/>
                <w:sz w:val="18"/>
                <w:szCs w:val="18"/>
              </w:rPr>
              <w:t>0</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0.003～0.07</w:t>
            </w:r>
            <w:r>
              <w:rPr>
                <w:rFonts w:hint="eastAsia" w:eastAsia="宋体-方正超大字符集"/>
                <w:color w:val="000000"/>
                <w:sz w:val="18"/>
                <w:szCs w:val="18"/>
              </w:rPr>
              <w:t>0</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0.005～0.05</w:t>
            </w:r>
            <w:r>
              <w:rPr>
                <w:rFonts w:hint="eastAsia" w:eastAsia="宋体-方正超大字符集"/>
                <w:color w:val="000000"/>
                <w:sz w:val="18"/>
                <w:szCs w:val="18"/>
              </w:rPr>
              <w:t>0</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0.004</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639" w:type="dxa"/>
            <w:vMerge w:val="restart"/>
            <w:vAlign w:val="center"/>
          </w:tcPr>
          <w:p>
            <w:pPr>
              <w:ind w:left="-40" w:leftChars="-20" w:right="-40" w:rightChars="-20"/>
              <w:rPr>
                <w:color w:val="000000"/>
                <w:sz w:val="18"/>
                <w:szCs w:val="18"/>
              </w:rPr>
            </w:pPr>
            <w:r>
              <w:rPr>
                <w:color w:val="000000"/>
                <w:sz w:val="18"/>
                <w:szCs w:val="18"/>
              </w:rPr>
              <w:t>铜电积栅栏型阳极板</w:t>
            </w:r>
          </w:p>
        </w:tc>
        <w:tc>
          <w:tcPr>
            <w:tcW w:w="1275" w:type="dxa"/>
            <w:vAlign w:val="center"/>
          </w:tcPr>
          <w:p>
            <w:pPr>
              <w:rPr>
                <w:color w:val="000000"/>
                <w:sz w:val="18"/>
                <w:szCs w:val="18"/>
              </w:rPr>
            </w:pPr>
            <w:r>
              <w:rPr>
                <w:color w:val="000000"/>
                <w:sz w:val="18"/>
                <w:szCs w:val="18"/>
              </w:rPr>
              <w:t>PbSnCa</w:t>
            </w:r>
          </w:p>
        </w:tc>
        <w:tc>
          <w:tcPr>
            <w:tcW w:w="702"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98.38～99.45</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0.04～0.10</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0.50～1.50</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639" w:type="dxa"/>
            <w:vMerge w:val="continue"/>
            <w:vAlign w:val="center"/>
          </w:tcPr>
          <w:p>
            <w:pPr>
              <w:ind w:left="-40" w:leftChars="-20" w:right="-40" w:rightChars="-20"/>
              <w:rPr>
                <w:color w:val="000000"/>
                <w:sz w:val="18"/>
                <w:szCs w:val="18"/>
              </w:rPr>
            </w:pPr>
          </w:p>
        </w:tc>
        <w:tc>
          <w:tcPr>
            <w:tcW w:w="1275" w:type="dxa"/>
            <w:vAlign w:val="center"/>
          </w:tcPr>
          <w:p>
            <w:pPr>
              <w:rPr>
                <w:color w:val="000000"/>
                <w:sz w:val="18"/>
                <w:szCs w:val="18"/>
              </w:rPr>
            </w:pPr>
            <w:r>
              <w:rPr>
                <w:color w:val="000000"/>
                <w:sz w:val="18"/>
                <w:szCs w:val="18"/>
              </w:rPr>
              <w:t>PbSnCaSrR</w:t>
            </w:r>
            <w:r>
              <w:rPr>
                <w:rFonts w:hint="eastAsia"/>
                <w:color w:val="000000"/>
                <w:sz w:val="18"/>
                <w:szCs w:val="18"/>
              </w:rPr>
              <w:t>e</w:t>
            </w:r>
          </w:p>
        </w:tc>
        <w:tc>
          <w:tcPr>
            <w:tcW w:w="702"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98.26～99.44</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0.04～0.10</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0.50～1.50</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0.003～0.07</w:t>
            </w:r>
            <w:r>
              <w:rPr>
                <w:rFonts w:hint="eastAsia" w:eastAsia="宋体-方正超大字符集"/>
                <w:color w:val="000000"/>
                <w:sz w:val="18"/>
                <w:szCs w:val="18"/>
              </w:rPr>
              <w:t>0</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0.005～0.05</w:t>
            </w:r>
            <w:r>
              <w:rPr>
                <w:rFonts w:hint="eastAsia" w:eastAsia="宋体-方正超大字符集"/>
                <w:color w:val="000000"/>
                <w:sz w:val="18"/>
                <w:szCs w:val="18"/>
              </w:rPr>
              <w:t>0</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0.004</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639" w:type="dxa"/>
            <w:vMerge w:val="continue"/>
            <w:vAlign w:val="center"/>
          </w:tcPr>
          <w:p>
            <w:pPr>
              <w:ind w:left="-40" w:leftChars="-20" w:right="-40" w:rightChars="-20"/>
              <w:rPr>
                <w:color w:val="000000"/>
                <w:sz w:val="18"/>
                <w:szCs w:val="18"/>
              </w:rPr>
            </w:pPr>
          </w:p>
        </w:tc>
        <w:tc>
          <w:tcPr>
            <w:tcW w:w="1275" w:type="dxa"/>
            <w:vAlign w:val="center"/>
          </w:tcPr>
          <w:p>
            <w:pPr>
              <w:rPr>
                <w:color w:val="000000"/>
                <w:sz w:val="18"/>
                <w:szCs w:val="18"/>
              </w:rPr>
            </w:pPr>
            <w:r>
              <w:rPr>
                <w:color w:val="000000"/>
                <w:sz w:val="18"/>
                <w:szCs w:val="18"/>
              </w:rPr>
              <w:t>PbSb</w:t>
            </w:r>
          </w:p>
        </w:tc>
        <w:tc>
          <w:tcPr>
            <w:tcW w:w="702"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92.48～96.99</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3.00～7.50</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639" w:type="dxa"/>
            <w:vMerge w:val="restart"/>
            <w:vAlign w:val="center"/>
          </w:tcPr>
          <w:p>
            <w:pPr>
              <w:ind w:left="-40" w:leftChars="-20" w:right="-40" w:rightChars="-20"/>
              <w:rPr>
                <w:color w:val="000000"/>
                <w:sz w:val="18"/>
                <w:szCs w:val="18"/>
              </w:rPr>
            </w:pPr>
            <w:r>
              <w:rPr>
                <w:color w:val="000000"/>
                <w:sz w:val="18"/>
                <w:szCs w:val="18"/>
              </w:rPr>
              <w:t>镍电积栅栏型阳极板</w:t>
            </w:r>
          </w:p>
        </w:tc>
        <w:tc>
          <w:tcPr>
            <w:tcW w:w="1275" w:type="dxa"/>
            <w:vAlign w:val="center"/>
          </w:tcPr>
          <w:p>
            <w:pPr>
              <w:rPr>
                <w:color w:val="000000"/>
                <w:sz w:val="18"/>
                <w:szCs w:val="18"/>
              </w:rPr>
            </w:pPr>
            <w:r>
              <w:rPr>
                <w:color w:val="000000"/>
                <w:sz w:val="18"/>
                <w:szCs w:val="18"/>
              </w:rPr>
              <w:t>PbAgCaSrR</w:t>
            </w:r>
            <w:r>
              <w:rPr>
                <w:rFonts w:hint="eastAsia"/>
                <w:color w:val="000000"/>
                <w:sz w:val="18"/>
                <w:szCs w:val="18"/>
              </w:rPr>
              <w:t>e</w:t>
            </w:r>
          </w:p>
        </w:tc>
        <w:tc>
          <w:tcPr>
            <w:tcW w:w="702"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98.96～99.83</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0.10～0.80</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0.04～0.10</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0.003～0.07</w:t>
            </w:r>
            <w:r>
              <w:rPr>
                <w:rFonts w:hint="eastAsia" w:eastAsia="宋体-方正超大字符集"/>
                <w:color w:val="000000"/>
                <w:sz w:val="18"/>
                <w:szCs w:val="18"/>
              </w:rPr>
              <w:t>0</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0.005～0.05</w:t>
            </w:r>
            <w:r>
              <w:rPr>
                <w:rFonts w:hint="eastAsia" w:eastAsia="宋体-方正超大字符集"/>
                <w:color w:val="000000"/>
                <w:sz w:val="18"/>
                <w:szCs w:val="18"/>
              </w:rPr>
              <w:t>0</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0.004</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639" w:type="dxa"/>
            <w:vMerge w:val="continue"/>
            <w:vAlign w:val="center"/>
          </w:tcPr>
          <w:p>
            <w:pPr>
              <w:ind w:left="-40" w:leftChars="-20" w:right="-40" w:rightChars="-20"/>
              <w:rPr>
                <w:color w:val="000000"/>
                <w:sz w:val="18"/>
                <w:szCs w:val="18"/>
              </w:rPr>
            </w:pPr>
          </w:p>
        </w:tc>
        <w:tc>
          <w:tcPr>
            <w:tcW w:w="1275" w:type="dxa"/>
            <w:vAlign w:val="center"/>
          </w:tcPr>
          <w:p>
            <w:pPr>
              <w:rPr>
                <w:color w:val="000000"/>
                <w:sz w:val="18"/>
                <w:szCs w:val="18"/>
              </w:rPr>
            </w:pPr>
            <w:r>
              <w:rPr>
                <w:color w:val="000000"/>
                <w:sz w:val="18"/>
                <w:szCs w:val="18"/>
              </w:rPr>
              <w:t>PbSnCaR</w:t>
            </w:r>
            <w:r>
              <w:rPr>
                <w:rFonts w:hint="eastAsia"/>
                <w:color w:val="000000"/>
                <w:sz w:val="18"/>
                <w:szCs w:val="18"/>
              </w:rPr>
              <w:t>e</w:t>
            </w:r>
          </w:p>
        </w:tc>
        <w:tc>
          <w:tcPr>
            <w:tcW w:w="702"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98.33～99.44</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0.04～0.10</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0.50～1.50</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0.005～0.05</w:t>
            </w:r>
            <w:r>
              <w:rPr>
                <w:rFonts w:hint="eastAsia" w:eastAsia="宋体-方正超大字符集"/>
                <w:color w:val="000000"/>
                <w:sz w:val="18"/>
                <w:szCs w:val="18"/>
              </w:rPr>
              <w:t>0</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0.004</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6" w:hRule="atLeast"/>
        </w:trPr>
        <w:tc>
          <w:tcPr>
            <w:tcW w:w="639" w:type="dxa"/>
            <w:vMerge w:val="restart"/>
            <w:vAlign w:val="center"/>
          </w:tcPr>
          <w:p>
            <w:pPr>
              <w:ind w:left="-40" w:leftChars="-20" w:right="-40" w:rightChars="-20"/>
              <w:rPr>
                <w:color w:val="000000"/>
                <w:sz w:val="18"/>
                <w:szCs w:val="18"/>
              </w:rPr>
            </w:pPr>
            <w:r>
              <w:rPr>
                <w:color w:val="000000"/>
                <w:sz w:val="18"/>
                <w:szCs w:val="18"/>
              </w:rPr>
              <w:t>锰电积栅栏型阳极板</w:t>
            </w:r>
          </w:p>
        </w:tc>
        <w:tc>
          <w:tcPr>
            <w:tcW w:w="1275" w:type="dxa"/>
            <w:vAlign w:val="center"/>
          </w:tcPr>
          <w:p>
            <w:pPr>
              <w:rPr>
                <w:color w:val="000000"/>
                <w:sz w:val="18"/>
                <w:szCs w:val="18"/>
              </w:rPr>
            </w:pPr>
            <w:r>
              <w:rPr>
                <w:color w:val="000000"/>
                <w:sz w:val="18"/>
                <w:szCs w:val="18"/>
              </w:rPr>
              <w:t>PbAgSnSr</w:t>
            </w:r>
          </w:p>
        </w:tc>
        <w:tc>
          <w:tcPr>
            <w:tcW w:w="702"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95.86～99.72</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0.05～0.5</w:t>
            </w:r>
            <w:r>
              <w:rPr>
                <w:rFonts w:hint="eastAsia" w:eastAsia="宋体-方正超大字符集"/>
                <w:color w:val="000000"/>
                <w:sz w:val="18"/>
                <w:szCs w:val="18"/>
              </w:rPr>
              <w:t>0</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0.20～3.50</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0.003～0.07</w:t>
            </w:r>
            <w:r>
              <w:rPr>
                <w:rFonts w:hint="eastAsia" w:eastAsia="宋体-方正超大字符集"/>
                <w:color w:val="000000"/>
                <w:sz w:val="18"/>
                <w:szCs w:val="18"/>
              </w:rPr>
              <w:t>0</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0.004</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6" w:hRule="atLeast"/>
        </w:trPr>
        <w:tc>
          <w:tcPr>
            <w:tcW w:w="639" w:type="dxa"/>
            <w:vMerge w:val="continue"/>
            <w:vAlign w:val="center"/>
          </w:tcPr>
          <w:p>
            <w:pPr>
              <w:rPr>
                <w:color w:val="000000"/>
                <w:sz w:val="18"/>
                <w:szCs w:val="18"/>
              </w:rPr>
            </w:pPr>
          </w:p>
        </w:tc>
        <w:tc>
          <w:tcPr>
            <w:tcW w:w="1275" w:type="dxa"/>
            <w:vAlign w:val="center"/>
          </w:tcPr>
          <w:p>
            <w:pPr>
              <w:rPr>
                <w:color w:val="000000"/>
                <w:sz w:val="18"/>
                <w:szCs w:val="18"/>
              </w:rPr>
            </w:pPr>
            <w:r>
              <w:rPr>
                <w:color w:val="000000"/>
                <w:sz w:val="18"/>
                <w:szCs w:val="18"/>
              </w:rPr>
              <w:t>PbAgSnSbR</w:t>
            </w:r>
            <w:r>
              <w:rPr>
                <w:rFonts w:hint="eastAsia"/>
                <w:color w:val="000000"/>
                <w:sz w:val="18"/>
                <w:szCs w:val="18"/>
              </w:rPr>
              <w:t>e</w:t>
            </w:r>
          </w:p>
        </w:tc>
        <w:tc>
          <w:tcPr>
            <w:tcW w:w="702"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94.93～99.53</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0.05～0.5</w:t>
            </w:r>
            <w:r>
              <w:rPr>
                <w:rFonts w:hint="eastAsia" w:eastAsia="宋体-方正超大字符集"/>
                <w:color w:val="000000"/>
                <w:sz w:val="18"/>
                <w:szCs w:val="18"/>
              </w:rPr>
              <w:t>0</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0.20～3.50</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0.005～0.05</w:t>
            </w:r>
            <w:r>
              <w:rPr>
                <w:rFonts w:hint="eastAsia" w:eastAsia="宋体-方正超大字符集"/>
                <w:color w:val="000000"/>
                <w:sz w:val="18"/>
                <w:szCs w:val="18"/>
              </w:rPr>
              <w:t>0</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0.20～1.00</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66" w:hRule="atLeast"/>
        </w:trPr>
        <w:tc>
          <w:tcPr>
            <w:tcW w:w="639" w:type="dxa"/>
            <w:vMerge w:val="continue"/>
            <w:vAlign w:val="center"/>
          </w:tcPr>
          <w:p>
            <w:pPr>
              <w:rPr>
                <w:color w:val="000000"/>
                <w:sz w:val="18"/>
                <w:szCs w:val="18"/>
              </w:rPr>
            </w:pPr>
          </w:p>
        </w:tc>
        <w:tc>
          <w:tcPr>
            <w:tcW w:w="1275" w:type="dxa"/>
            <w:vAlign w:val="center"/>
          </w:tcPr>
          <w:p>
            <w:pPr>
              <w:rPr>
                <w:color w:val="000000"/>
                <w:sz w:val="18"/>
                <w:szCs w:val="18"/>
              </w:rPr>
            </w:pPr>
            <w:r>
              <w:rPr>
                <w:color w:val="000000"/>
                <w:sz w:val="18"/>
                <w:szCs w:val="18"/>
              </w:rPr>
              <w:t>PbAgSnSbAs</w:t>
            </w:r>
          </w:p>
        </w:tc>
        <w:tc>
          <w:tcPr>
            <w:tcW w:w="702"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93.99～99.34</w:t>
            </w:r>
          </w:p>
        </w:tc>
        <w:tc>
          <w:tcPr>
            <w:tcW w:w="578"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0.05～0.5</w:t>
            </w:r>
            <w:r>
              <w:rPr>
                <w:rFonts w:hint="eastAsia" w:eastAsia="宋体-方正超大字符集"/>
                <w:color w:val="000000"/>
                <w:sz w:val="18"/>
                <w:szCs w:val="18"/>
              </w:rPr>
              <w:t>0</w:t>
            </w:r>
          </w:p>
        </w:tc>
        <w:tc>
          <w:tcPr>
            <w:tcW w:w="598"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533"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0.20～3.50</w:t>
            </w:r>
          </w:p>
        </w:tc>
        <w:tc>
          <w:tcPr>
            <w:tcW w:w="647"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66" w:type="dxa"/>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611" w:type="dxa"/>
            <w:tcBorders>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0.20～1.00</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c>
          <w:tcPr>
            <w:tcW w:w="437"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0.006</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0.002</w:t>
            </w:r>
          </w:p>
        </w:tc>
        <w:tc>
          <w:tcPr>
            <w:tcW w:w="438" w:type="dxa"/>
            <w:tcBorders>
              <w:left w:val="single" w:color="auto" w:sz="4" w:space="0"/>
              <w:righ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0.001</w:t>
            </w:r>
          </w:p>
        </w:tc>
        <w:tc>
          <w:tcPr>
            <w:tcW w:w="444" w:type="dxa"/>
            <w:tcBorders>
              <w:left w:val="single" w:color="auto" w:sz="4" w:space="0"/>
            </w:tcBorders>
            <w:vAlign w:val="center"/>
          </w:tcPr>
          <w:p>
            <w:pPr>
              <w:ind w:left="-100" w:leftChars="-50" w:right="-100" w:rightChars="-50"/>
              <w:jc w:val="center"/>
              <w:rPr>
                <w:rFonts w:eastAsia="宋体-方正超大字符集"/>
                <w:color w:val="000000"/>
                <w:sz w:val="18"/>
                <w:szCs w:val="18"/>
              </w:rPr>
            </w:pPr>
            <w:r>
              <w:rPr>
                <w:rFonts w:eastAsia="宋体-方正超大字符集"/>
                <w:color w:val="000000"/>
                <w:sz w:val="18"/>
                <w:szCs w:val="1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9318" w:type="dxa"/>
            <w:gridSpan w:val="16"/>
            <w:vAlign w:val="center"/>
          </w:tcPr>
          <w:p>
            <w:pPr>
              <w:spacing w:line="320" w:lineRule="exact"/>
              <w:rPr>
                <w:rFonts w:eastAsia="宋体-方正超大字符集"/>
                <w:color w:val="000000"/>
                <w:sz w:val="18"/>
                <w:szCs w:val="18"/>
              </w:rPr>
            </w:pPr>
            <w:r>
              <w:rPr>
                <w:rFonts w:hint="eastAsia"/>
                <w:color w:val="000000"/>
                <w:sz w:val="18"/>
                <w:szCs w:val="18"/>
              </w:rPr>
              <w:t>注</w:t>
            </w:r>
            <w:r>
              <w:rPr>
                <w:color w:val="000000"/>
                <w:sz w:val="18"/>
                <w:szCs w:val="18"/>
              </w:rPr>
              <w:t>：</w:t>
            </w:r>
            <w:r>
              <w:rPr>
                <w:rFonts w:hint="eastAsia"/>
                <w:color w:val="000000"/>
                <w:sz w:val="18"/>
                <w:szCs w:val="18"/>
              </w:rPr>
              <w:t>铅的含量为100%减去表中所列元素含量实测值总和的余量；除</w:t>
            </w:r>
            <w:r>
              <w:rPr>
                <w:color w:val="000000"/>
                <w:sz w:val="18"/>
                <w:szCs w:val="18"/>
              </w:rPr>
              <w:t>上述表中规定外，</w:t>
            </w:r>
            <w:r>
              <w:rPr>
                <w:rFonts w:hint="eastAsia"/>
                <w:color w:val="000000"/>
                <w:sz w:val="18"/>
                <w:szCs w:val="18"/>
              </w:rPr>
              <w:t>铅合金成分</w:t>
            </w:r>
            <w:r>
              <w:rPr>
                <w:color w:val="000000"/>
                <w:sz w:val="18"/>
                <w:szCs w:val="18"/>
              </w:rPr>
              <w:t>可按用户实际</w:t>
            </w:r>
            <w:r>
              <w:rPr>
                <w:rFonts w:hint="eastAsia"/>
                <w:color w:val="000000"/>
                <w:sz w:val="18"/>
                <w:szCs w:val="18"/>
              </w:rPr>
              <w:t>需求</w:t>
            </w:r>
            <w:r>
              <w:rPr>
                <w:color w:val="000000"/>
                <w:sz w:val="18"/>
                <w:szCs w:val="18"/>
              </w:rPr>
              <w:t>进行配制调整</w:t>
            </w:r>
            <w:r>
              <w:rPr>
                <w:rFonts w:hint="eastAsia"/>
                <w:color w:val="000000"/>
                <w:sz w:val="18"/>
                <w:szCs w:val="18"/>
              </w:rPr>
              <w:t>。</w:t>
            </w:r>
          </w:p>
        </w:tc>
      </w:tr>
    </w:tbl>
    <w:p>
      <w:pPr>
        <w:spacing w:line="360" w:lineRule="auto"/>
        <w:ind w:firstLine="420"/>
        <w:jc w:val="center"/>
        <w:rPr>
          <w:rFonts w:ascii="仿宋" w:hAnsi="仿宋" w:eastAsia="仿宋" w:cs="仿宋"/>
          <w:b/>
          <w:bCs/>
          <w:color w:val="000000"/>
          <w:sz w:val="28"/>
          <w:szCs w:val="28"/>
        </w:rPr>
      </w:pPr>
    </w:p>
    <w:p>
      <w:pPr>
        <w:spacing w:line="240" w:lineRule="auto"/>
        <w:rPr>
          <w:color w:val="000000"/>
          <w:sz w:val="18"/>
          <w:szCs w:val="18"/>
        </w:rPr>
      </w:pPr>
    </w:p>
    <w:p>
      <w:pPr>
        <w:spacing w:line="240" w:lineRule="auto"/>
        <w:rPr>
          <w:rFonts w:ascii="黑体" w:hAnsi="黑体" w:eastAsia="黑体"/>
          <w:bCs/>
          <w:color w:val="000000"/>
        </w:rPr>
      </w:pPr>
    </w:p>
    <w:p>
      <w:pPr>
        <w:pStyle w:val="5"/>
        <w:spacing w:line="360" w:lineRule="auto"/>
        <w:ind w:firstLine="562" w:firstLineChars="200"/>
        <w:outlineLvl w:val="1"/>
        <w:rPr>
          <w:rFonts w:ascii="仿宋" w:hAnsi="仿宋" w:eastAsia="仿宋" w:cs="仿宋"/>
          <w:b/>
          <w:bCs/>
          <w:sz w:val="28"/>
          <w:szCs w:val="28"/>
        </w:rPr>
      </w:pPr>
      <w:bookmarkStart w:id="15" w:name="_Toc1542"/>
      <w:r>
        <w:rPr>
          <w:rFonts w:hint="eastAsia" w:ascii="仿宋" w:hAnsi="仿宋" w:eastAsia="仿宋" w:cs="仿宋"/>
          <w:b/>
          <w:bCs/>
          <w:sz w:val="28"/>
          <w:szCs w:val="28"/>
        </w:rPr>
        <w:t>4.5导电头化学成分</w:t>
      </w:r>
      <w:bookmarkEnd w:id="15"/>
    </w:p>
    <w:p>
      <w:pPr>
        <w:spacing w:line="360" w:lineRule="auto"/>
        <w:ind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导电头是整个极板主要的导电单元，通过压铸铝的方式，将铝合金包覆在铜排表面，所以其化学成分直接影响导电性能，导电头化学成分按照相关国标要求进行检验，统计数据如下：</w:t>
      </w:r>
    </w:p>
    <w:p>
      <w:pPr>
        <w:spacing w:line="360" w:lineRule="auto"/>
        <w:jc w:val="center"/>
        <w:rPr>
          <w:rFonts w:ascii="仿宋" w:hAnsi="仿宋" w:eastAsia="仿宋" w:cs="仿宋"/>
          <w:b/>
          <w:color w:val="000000"/>
          <w:sz w:val="28"/>
          <w:szCs w:val="28"/>
        </w:rPr>
      </w:pPr>
      <w:r>
        <w:rPr>
          <w:rFonts w:hint="eastAsia" w:ascii="仿宋" w:hAnsi="仿宋" w:eastAsia="仿宋" w:cs="仿宋"/>
          <w:b/>
          <w:color w:val="000000"/>
          <w:sz w:val="28"/>
          <w:szCs w:val="28"/>
        </w:rPr>
        <w:t>表3 导电头化学成分</w:t>
      </w:r>
      <w:r>
        <w:rPr>
          <w:rFonts w:hint="eastAsia" w:ascii="仿宋" w:hAnsi="仿宋" w:eastAsia="仿宋" w:cs="仿宋"/>
          <w:b/>
          <w:bCs/>
          <w:color w:val="000000"/>
          <w:sz w:val="28"/>
          <w:szCs w:val="28"/>
        </w:rPr>
        <w:t>检测统计表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20"/>
        <w:gridCol w:w="2625"/>
        <w:gridCol w:w="2188"/>
        <w:gridCol w:w="28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3845" w:type="dxa"/>
            <w:gridSpan w:val="2"/>
            <w:vAlign w:val="center"/>
          </w:tcPr>
          <w:p>
            <w:pPr>
              <w:pBdr>
                <w:right w:val="dotted" w:color="E1E1E2" w:sz="6" w:space="0"/>
              </w:pBdr>
              <w:shd w:val="solid" w:color="FFFFFF" w:fill="auto"/>
              <w:autoSpaceDN w:val="0"/>
              <w:jc w:val="center"/>
              <w:rPr>
                <w:color w:val="000000"/>
                <w:sz w:val="18"/>
                <w:szCs w:val="18"/>
              </w:rPr>
            </w:pPr>
            <w:r>
              <w:rPr>
                <w:rFonts w:hint="eastAsia"/>
                <w:color w:val="000000"/>
                <w:sz w:val="18"/>
                <w:szCs w:val="18"/>
              </w:rPr>
              <w:t>栅栏型阳极板部件</w:t>
            </w:r>
          </w:p>
        </w:tc>
        <w:tc>
          <w:tcPr>
            <w:tcW w:w="2188" w:type="dxa"/>
            <w:vAlign w:val="center"/>
          </w:tcPr>
          <w:p>
            <w:pPr>
              <w:pBdr>
                <w:right w:val="dotted" w:color="E1E1E2" w:sz="6" w:space="0"/>
              </w:pBdr>
              <w:shd w:val="solid" w:color="FFFFFF" w:fill="auto"/>
              <w:autoSpaceDN w:val="0"/>
              <w:jc w:val="center"/>
              <w:rPr>
                <w:color w:val="000000"/>
                <w:sz w:val="18"/>
                <w:szCs w:val="18"/>
                <w:shd w:val="clear" w:color="auto" w:fill="FFFFFF"/>
              </w:rPr>
            </w:pPr>
            <w:r>
              <w:rPr>
                <w:rFonts w:hint="eastAsia"/>
                <w:color w:val="000000"/>
                <w:sz w:val="18"/>
                <w:szCs w:val="18"/>
                <w:shd w:val="clear" w:color="auto" w:fill="FFFFFF"/>
              </w:rPr>
              <w:t>材质</w:t>
            </w:r>
          </w:p>
        </w:tc>
        <w:tc>
          <w:tcPr>
            <w:tcW w:w="2863" w:type="dxa"/>
            <w:vAlign w:val="center"/>
          </w:tcPr>
          <w:p>
            <w:pPr>
              <w:pBdr>
                <w:right w:val="dotted" w:color="E1E1E2" w:sz="6" w:space="0"/>
              </w:pBdr>
              <w:shd w:val="solid" w:color="FFFFFF" w:fill="auto"/>
              <w:autoSpaceDN w:val="0"/>
              <w:jc w:val="center"/>
              <w:rPr>
                <w:color w:val="000000"/>
                <w:sz w:val="18"/>
                <w:szCs w:val="18"/>
                <w:shd w:val="clear" w:color="auto" w:fill="FFFFFF"/>
              </w:rPr>
            </w:pPr>
            <w:r>
              <w:rPr>
                <w:rFonts w:hint="eastAsia"/>
                <w:color w:val="000000"/>
                <w:sz w:val="18"/>
                <w:szCs w:val="18"/>
                <w:shd w:val="clear" w:color="auto" w:fill="FFFFFF"/>
              </w:rPr>
              <w:t>化学成分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1220" w:type="dxa"/>
            <w:vMerge w:val="restart"/>
            <w:vAlign w:val="center"/>
          </w:tcPr>
          <w:p>
            <w:pPr>
              <w:jc w:val="center"/>
              <w:rPr>
                <w:rFonts w:hAnsi="宋体"/>
                <w:color w:val="000000"/>
                <w:sz w:val="18"/>
                <w:szCs w:val="18"/>
              </w:rPr>
            </w:pPr>
            <w:r>
              <w:rPr>
                <w:rFonts w:hint="eastAsia" w:hAnsi="宋体"/>
                <w:color w:val="000000"/>
                <w:sz w:val="18"/>
                <w:szCs w:val="18"/>
              </w:rPr>
              <w:t>导电头</w:t>
            </w:r>
          </w:p>
        </w:tc>
        <w:tc>
          <w:tcPr>
            <w:tcW w:w="2625" w:type="dxa"/>
            <w:vAlign w:val="center"/>
          </w:tcPr>
          <w:p>
            <w:pPr>
              <w:pBdr>
                <w:right w:val="dotted" w:color="E1E1E2" w:sz="6" w:space="0"/>
              </w:pBdr>
              <w:shd w:val="solid" w:color="FFFFFF" w:fill="auto"/>
              <w:autoSpaceDN w:val="0"/>
              <w:jc w:val="center"/>
              <w:rPr>
                <w:rFonts w:ascii="宋体"/>
                <w:color w:val="000000"/>
                <w:sz w:val="18"/>
                <w:szCs w:val="18"/>
              </w:rPr>
            </w:pPr>
            <w:r>
              <w:rPr>
                <w:rFonts w:hint="eastAsia"/>
                <w:color w:val="000000"/>
                <w:sz w:val="18"/>
                <w:szCs w:val="18"/>
              </w:rPr>
              <w:t>内芯</w:t>
            </w:r>
          </w:p>
        </w:tc>
        <w:tc>
          <w:tcPr>
            <w:tcW w:w="2188" w:type="dxa"/>
            <w:vAlign w:val="center"/>
          </w:tcPr>
          <w:p>
            <w:pPr>
              <w:pBdr>
                <w:right w:val="dotted" w:color="E1E1E2" w:sz="6" w:space="0"/>
              </w:pBdr>
              <w:shd w:val="solid" w:color="FFFFFF" w:fill="auto"/>
              <w:autoSpaceDN w:val="0"/>
              <w:jc w:val="center"/>
              <w:rPr>
                <w:rFonts w:ascii="宋体"/>
                <w:color w:val="000000"/>
                <w:sz w:val="18"/>
                <w:szCs w:val="18"/>
                <w:shd w:val="clear" w:color="auto" w:fill="FFFFFF"/>
              </w:rPr>
            </w:pPr>
            <w:r>
              <w:rPr>
                <w:rFonts w:hint="eastAsia" w:hAnsi="宋体"/>
                <w:color w:val="000000"/>
                <w:sz w:val="18"/>
                <w:szCs w:val="18"/>
                <w:shd w:val="clear" w:color="auto" w:fill="FFFFFF"/>
              </w:rPr>
              <w:t>T2</w:t>
            </w:r>
            <w:r>
              <w:rPr>
                <w:rFonts w:hAnsi="宋体"/>
                <w:color w:val="000000"/>
                <w:sz w:val="18"/>
                <w:szCs w:val="18"/>
                <w:shd w:val="clear" w:color="auto" w:fill="FFFFFF"/>
              </w:rPr>
              <w:t>铜</w:t>
            </w:r>
          </w:p>
        </w:tc>
        <w:tc>
          <w:tcPr>
            <w:tcW w:w="2863" w:type="dxa"/>
            <w:vAlign w:val="center"/>
          </w:tcPr>
          <w:p>
            <w:pPr>
              <w:pBdr>
                <w:right w:val="dotted" w:color="E1E1E2" w:sz="6" w:space="0"/>
              </w:pBdr>
              <w:shd w:val="solid" w:color="FFFFFF" w:fill="auto"/>
              <w:autoSpaceDN w:val="0"/>
              <w:jc w:val="center"/>
              <w:rPr>
                <w:color w:val="000000"/>
                <w:sz w:val="18"/>
                <w:szCs w:val="18"/>
                <w:shd w:val="clear" w:color="auto" w:fill="FFFFFF"/>
              </w:rPr>
            </w:pPr>
            <w:r>
              <w:rPr>
                <w:rFonts w:hint="eastAsia" w:ascii="TimesNewRomanPSMT" w:hAnsi="TimesNewRomanPSMT" w:eastAsia="TimesNewRomanPSMT" w:cs="TimesNewRomanPSMT"/>
                <w:color w:val="000000"/>
                <w:kern w:val="0"/>
                <w:sz w:val="18"/>
                <w:szCs w:val="18"/>
              </w:rPr>
              <w:t>符合</w:t>
            </w:r>
            <w:r>
              <w:rPr>
                <w:rFonts w:ascii="TimesNewRomanPSMT" w:hAnsi="TimesNewRomanPSMT" w:eastAsia="TimesNewRomanPSMT" w:cs="TimesNewRomanPSMT"/>
                <w:color w:val="000000"/>
                <w:kern w:val="0"/>
                <w:sz w:val="18"/>
                <w:szCs w:val="18"/>
              </w:rPr>
              <w:t>GB/T 5231</w:t>
            </w:r>
            <w:r>
              <w:rPr>
                <w:rFonts w:hint="eastAsia" w:ascii="TimesNewRomanPSMT" w:hAnsi="TimesNewRomanPSMT" w:eastAsia="TimesNewRomanPSMT" w:cs="TimesNewRomanPSMT"/>
                <w:color w:val="000000"/>
                <w:kern w:val="0"/>
                <w:sz w:val="18"/>
                <w:szCs w:val="18"/>
              </w:rPr>
              <w:t>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1220" w:type="dxa"/>
            <w:vMerge w:val="continue"/>
            <w:vAlign w:val="center"/>
          </w:tcPr>
          <w:p>
            <w:pPr>
              <w:jc w:val="center"/>
              <w:rPr>
                <w:rFonts w:hAnsi="宋体"/>
                <w:color w:val="000000"/>
                <w:sz w:val="18"/>
                <w:szCs w:val="18"/>
              </w:rPr>
            </w:pPr>
          </w:p>
        </w:tc>
        <w:tc>
          <w:tcPr>
            <w:tcW w:w="2625" w:type="dxa"/>
            <w:vAlign w:val="center"/>
          </w:tcPr>
          <w:p>
            <w:pPr>
              <w:pBdr>
                <w:right w:val="dotted" w:color="E1E1E2" w:sz="6" w:space="0"/>
              </w:pBdr>
              <w:shd w:val="solid" w:color="FFFFFF" w:fill="auto"/>
              <w:autoSpaceDN w:val="0"/>
              <w:jc w:val="center"/>
              <w:rPr>
                <w:color w:val="000000"/>
                <w:sz w:val="18"/>
                <w:szCs w:val="18"/>
                <w:shd w:val="clear" w:color="auto" w:fill="FFFFFF"/>
              </w:rPr>
            </w:pPr>
            <w:r>
              <w:rPr>
                <w:rFonts w:hint="eastAsia"/>
                <w:color w:val="000000"/>
                <w:sz w:val="18"/>
                <w:szCs w:val="18"/>
                <w:shd w:val="clear" w:color="auto" w:fill="FFFFFF"/>
              </w:rPr>
              <w:t>包覆层</w:t>
            </w:r>
          </w:p>
        </w:tc>
        <w:tc>
          <w:tcPr>
            <w:tcW w:w="2188" w:type="dxa"/>
            <w:vAlign w:val="center"/>
          </w:tcPr>
          <w:p>
            <w:pPr>
              <w:spacing w:line="240" w:lineRule="auto"/>
              <w:jc w:val="center"/>
              <w:rPr>
                <w:color w:val="000000"/>
                <w:sz w:val="18"/>
                <w:szCs w:val="18"/>
                <w:shd w:val="clear" w:color="auto" w:fill="FFFFFF"/>
              </w:rPr>
            </w:pPr>
            <w:r>
              <w:rPr>
                <w:rFonts w:hint="eastAsia"/>
                <w:color w:val="000000"/>
                <w:sz w:val="18"/>
                <w:szCs w:val="18"/>
                <w:shd w:val="clear" w:color="auto" w:fill="FFFFFF"/>
              </w:rPr>
              <w:t>铝合金6101</w:t>
            </w:r>
          </w:p>
        </w:tc>
        <w:tc>
          <w:tcPr>
            <w:tcW w:w="2863" w:type="dxa"/>
            <w:vAlign w:val="center"/>
          </w:tcPr>
          <w:p>
            <w:pPr>
              <w:pBdr>
                <w:right w:val="dotted" w:color="E1E1E2" w:sz="6" w:space="0"/>
              </w:pBdr>
              <w:shd w:val="solid" w:color="FFFFFF" w:fill="auto"/>
              <w:autoSpaceDN w:val="0"/>
              <w:jc w:val="center"/>
              <w:rPr>
                <w:color w:val="000000"/>
                <w:sz w:val="18"/>
                <w:szCs w:val="18"/>
                <w:shd w:val="clear" w:color="auto" w:fill="FFFFFF"/>
              </w:rPr>
            </w:pPr>
            <w:r>
              <w:rPr>
                <w:rFonts w:hint="eastAsia" w:ascii="TimesNewRomanPSMT" w:hAnsi="TimesNewRomanPSMT" w:eastAsia="TimesNewRomanPSMT" w:cs="TimesNewRomanPSMT"/>
                <w:color w:val="000000"/>
                <w:kern w:val="0"/>
                <w:sz w:val="18"/>
                <w:szCs w:val="18"/>
              </w:rPr>
              <w:t>符合</w:t>
            </w:r>
            <w:r>
              <w:rPr>
                <w:rFonts w:ascii="TimesNewRomanPSMT" w:hAnsi="TimesNewRomanPSMT" w:eastAsia="TimesNewRomanPSMT" w:cs="TimesNewRomanPSMT"/>
                <w:color w:val="000000"/>
                <w:kern w:val="0"/>
                <w:sz w:val="18"/>
                <w:szCs w:val="18"/>
              </w:rPr>
              <w:t>GB/T 3190</w:t>
            </w:r>
            <w:r>
              <w:rPr>
                <w:rFonts w:hint="eastAsia" w:ascii="TimesNewRomanPSMT" w:hAnsi="TimesNewRomanPSMT" w:eastAsia="TimesNewRomanPSMT" w:cs="TimesNewRomanPSMT"/>
                <w:color w:val="000000"/>
                <w:kern w:val="0"/>
                <w:sz w:val="18"/>
                <w:szCs w:val="18"/>
              </w:rPr>
              <w:t>的规定</w:t>
            </w:r>
          </w:p>
        </w:tc>
      </w:tr>
    </w:tbl>
    <w:p>
      <w:pPr>
        <w:pStyle w:val="5"/>
        <w:spacing w:line="360" w:lineRule="auto"/>
        <w:ind w:firstLine="562" w:firstLineChars="200"/>
        <w:rPr>
          <w:rFonts w:ascii="仿宋" w:hAnsi="仿宋" w:eastAsia="仿宋" w:cs="仿宋"/>
          <w:b/>
          <w:bCs/>
          <w:sz w:val="28"/>
          <w:szCs w:val="28"/>
        </w:rPr>
      </w:pPr>
    </w:p>
    <w:p>
      <w:pPr>
        <w:pStyle w:val="5"/>
        <w:spacing w:line="360" w:lineRule="auto"/>
        <w:ind w:firstLine="562" w:firstLineChars="200"/>
        <w:outlineLvl w:val="1"/>
        <w:rPr>
          <w:rFonts w:ascii="仿宋" w:hAnsi="仿宋" w:eastAsia="仿宋" w:cs="仿宋"/>
          <w:b/>
          <w:bCs/>
          <w:sz w:val="28"/>
          <w:szCs w:val="28"/>
        </w:rPr>
      </w:pPr>
      <w:bookmarkStart w:id="16" w:name="_Toc12666"/>
      <w:r>
        <w:rPr>
          <w:rFonts w:hint="eastAsia" w:ascii="仿宋" w:hAnsi="仿宋" w:eastAsia="仿宋" w:cs="仿宋"/>
          <w:b/>
          <w:bCs/>
          <w:sz w:val="28"/>
          <w:szCs w:val="28"/>
        </w:rPr>
        <w:t>4.6外形尺寸</w:t>
      </w:r>
      <w:bookmarkEnd w:id="16"/>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bCs/>
          <w:color w:val="000000"/>
          <w:kern w:val="28"/>
          <w:sz w:val="28"/>
          <w:szCs w:val="28"/>
        </w:rPr>
        <w:t>栅栏型阳极板的板面主要由</w:t>
      </w:r>
      <w:r>
        <w:rPr>
          <w:rFonts w:hint="eastAsia" w:ascii="仿宋" w:hAnsi="仿宋" w:eastAsia="仿宋" w:cs="仿宋"/>
          <w:color w:val="000000"/>
          <w:sz w:val="28"/>
          <w:szCs w:val="28"/>
        </w:rPr>
        <w:t>铅合金包覆铝芯组成，其外外形尺寸的检测数据统计如下：</w:t>
      </w:r>
    </w:p>
    <w:p>
      <w:pPr>
        <w:spacing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表4 铅合金包覆铝芯的外形尺寸及其允许偏差检测统计表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94"/>
        <w:gridCol w:w="3420"/>
        <w:gridCol w:w="348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7" w:hRule="atLeast"/>
          <w:jc w:val="center"/>
        </w:trPr>
        <w:tc>
          <w:tcPr>
            <w:tcW w:w="2294" w:type="dxa"/>
            <w:vAlign w:val="center"/>
          </w:tcPr>
          <w:p>
            <w:pPr>
              <w:jc w:val="center"/>
              <w:rPr>
                <w:rFonts w:hAnsi="宋体"/>
                <w:color w:val="000000"/>
                <w:sz w:val="18"/>
                <w:szCs w:val="18"/>
              </w:rPr>
            </w:pPr>
            <w:r>
              <w:rPr>
                <w:rFonts w:hint="eastAsia" w:hAnsi="宋体"/>
                <w:color w:val="000000"/>
                <w:sz w:val="18"/>
                <w:szCs w:val="18"/>
              </w:rPr>
              <w:t>类型</w:t>
            </w:r>
          </w:p>
        </w:tc>
        <w:tc>
          <w:tcPr>
            <w:tcW w:w="3420" w:type="dxa"/>
            <w:vAlign w:val="center"/>
          </w:tcPr>
          <w:p>
            <w:pPr>
              <w:jc w:val="center"/>
              <w:rPr>
                <w:rFonts w:hAnsi="宋体"/>
                <w:color w:val="000000"/>
                <w:sz w:val="18"/>
                <w:szCs w:val="18"/>
              </w:rPr>
            </w:pPr>
            <w:r>
              <w:rPr>
                <w:rFonts w:hint="eastAsia" w:hAnsi="宋体"/>
                <w:color w:val="000000"/>
                <w:sz w:val="18"/>
                <w:szCs w:val="18"/>
              </w:rPr>
              <w:t>厚度（mm）/宽度（mm）或者直径（mm）</w:t>
            </w:r>
          </w:p>
        </w:tc>
        <w:tc>
          <w:tcPr>
            <w:tcW w:w="3484" w:type="dxa"/>
            <w:vAlign w:val="center"/>
          </w:tcPr>
          <w:p>
            <w:pPr>
              <w:jc w:val="center"/>
              <w:rPr>
                <w:rFonts w:hAnsi="宋体"/>
                <w:color w:val="000000"/>
                <w:sz w:val="18"/>
                <w:szCs w:val="18"/>
              </w:rPr>
            </w:pPr>
            <w:r>
              <w:rPr>
                <w:rFonts w:hint="eastAsia" w:hAnsi="宋体"/>
                <w:color w:val="000000"/>
                <w:sz w:val="18"/>
                <w:szCs w:val="18"/>
              </w:rPr>
              <w:t>一般精度允许偏差（mm）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jc w:val="center"/>
        </w:trPr>
        <w:tc>
          <w:tcPr>
            <w:tcW w:w="2294" w:type="dxa"/>
            <w:vMerge w:val="restart"/>
            <w:tcBorders>
              <w:right w:val="single" w:color="auto" w:sz="4" w:space="0"/>
            </w:tcBorders>
            <w:vAlign w:val="center"/>
          </w:tcPr>
          <w:p>
            <w:pPr>
              <w:spacing w:line="400" w:lineRule="exact"/>
              <w:jc w:val="center"/>
              <w:rPr>
                <w:rFonts w:hAnsi="宋体"/>
                <w:color w:val="000000"/>
                <w:sz w:val="18"/>
                <w:szCs w:val="18"/>
              </w:rPr>
            </w:pPr>
            <w:r>
              <w:rPr>
                <w:rFonts w:hint="eastAsia" w:hAnsi="宋体"/>
                <w:color w:val="000000"/>
                <w:sz w:val="18"/>
                <w:szCs w:val="18"/>
              </w:rPr>
              <w:t>锌电积栅栏型阳极板</w:t>
            </w:r>
          </w:p>
        </w:tc>
        <w:tc>
          <w:tcPr>
            <w:tcW w:w="3420" w:type="dxa"/>
            <w:tcBorders>
              <w:left w:val="single" w:color="auto" w:sz="4" w:space="0"/>
            </w:tcBorders>
            <w:vAlign w:val="center"/>
          </w:tcPr>
          <w:p>
            <w:pPr>
              <w:spacing w:line="400" w:lineRule="exact"/>
              <w:jc w:val="center"/>
              <w:rPr>
                <w:rFonts w:hAnsi="宋体"/>
                <w:color w:val="000000"/>
                <w:sz w:val="18"/>
                <w:szCs w:val="18"/>
              </w:rPr>
            </w:pPr>
            <w:r>
              <w:rPr>
                <w:rFonts w:hint="eastAsia" w:hAnsi="宋体"/>
                <w:color w:val="000000"/>
                <w:sz w:val="18"/>
                <w:szCs w:val="18"/>
              </w:rPr>
              <w:t>7.8/29.8</w:t>
            </w:r>
            <w:r>
              <w:rPr>
                <w:rFonts w:hint="eastAsia" w:hAnsi="宋体"/>
                <w:bCs/>
                <w:color w:val="000000"/>
                <w:sz w:val="18"/>
                <w:szCs w:val="18"/>
              </w:rPr>
              <w:t xml:space="preserve"> </w:t>
            </w:r>
          </w:p>
        </w:tc>
        <w:tc>
          <w:tcPr>
            <w:tcW w:w="3484" w:type="dxa"/>
            <w:vAlign w:val="center"/>
          </w:tcPr>
          <w:p>
            <w:pPr>
              <w:spacing w:line="400" w:lineRule="exact"/>
              <w:jc w:val="center"/>
              <w:rPr>
                <w:rFonts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6" w:hRule="atLeast"/>
          <w:jc w:val="center"/>
        </w:trPr>
        <w:tc>
          <w:tcPr>
            <w:tcW w:w="2294" w:type="dxa"/>
            <w:vMerge w:val="continue"/>
            <w:tcBorders>
              <w:right w:val="single" w:color="auto" w:sz="4" w:space="0"/>
            </w:tcBorders>
            <w:vAlign w:val="center"/>
          </w:tcPr>
          <w:p>
            <w:pPr>
              <w:spacing w:line="400" w:lineRule="exact"/>
              <w:jc w:val="center"/>
              <w:rPr>
                <w:rFonts w:hAnsi="宋体"/>
                <w:color w:val="000000"/>
                <w:sz w:val="18"/>
                <w:szCs w:val="18"/>
              </w:rPr>
            </w:pPr>
          </w:p>
        </w:tc>
        <w:tc>
          <w:tcPr>
            <w:tcW w:w="3420" w:type="dxa"/>
            <w:tcBorders>
              <w:left w:val="single" w:color="auto" w:sz="4" w:space="0"/>
            </w:tcBorders>
            <w:vAlign w:val="center"/>
          </w:tcPr>
          <w:p>
            <w:pPr>
              <w:spacing w:line="400" w:lineRule="exact"/>
              <w:jc w:val="center"/>
              <w:rPr>
                <w:rFonts w:hAnsi="宋体"/>
                <w:color w:val="000000"/>
                <w:sz w:val="18"/>
                <w:szCs w:val="18"/>
              </w:rPr>
            </w:pPr>
            <w:r>
              <w:rPr>
                <w:rFonts w:hint="eastAsia" w:hAnsi="宋体" w:cs="宋体"/>
                <w:color w:val="000000"/>
                <w:sz w:val="18"/>
                <w:szCs w:val="18"/>
              </w:rPr>
              <w:t>9.0/31.0</w:t>
            </w:r>
          </w:p>
        </w:tc>
        <w:tc>
          <w:tcPr>
            <w:tcW w:w="3484" w:type="dxa"/>
            <w:vAlign w:val="center"/>
          </w:tcPr>
          <w:p>
            <w:pPr>
              <w:spacing w:line="400" w:lineRule="exact"/>
              <w:jc w:val="center"/>
              <w:rPr>
                <w:rFonts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2294" w:type="dxa"/>
            <w:vMerge w:val="continue"/>
            <w:tcBorders>
              <w:right w:val="single" w:color="auto" w:sz="4" w:space="0"/>
            </w:tcBorders>
            <w:vAlign w:val="center"/>
          </w:tcPr>
          <w:p>
            <w:pPr>
              <w:spacing w:line="400" w:lineRule="exact"/>
              <w:jc w:val="center"/>
              <w:rPr>
                <w:rFonts w:hAnsi="宋体"/>
                <w:color w:val="000000"/>
                <w:sz w:val="18"/>
                <w:szCs w:val="18"/>
              </w:rPr>
            </w:pPr>
          </w:p>
        </w:tc>
        <w:tc>
          <w:tcPr>
            <w:tcW w:w="3420" w:type="dxa"/>
            <w:tcBorders>
              <w:left w:val="single" w:color="auto" w:sz="4" w:space="0"/>
            </w:tcBorders>
            <w:vAlign w:val="center"/>
          </w:tcPr>
          <w:p>
            <w:pPr>
              <w:spacing w:line="400" w:lineRule="exact"/>
              <w:jc w:val="center"/>
              <w:rPr>
                <w:rFonts w:hAnsi="宋体"/>
                <w:color w:val="000000"/>
                <w:sz w:val="18"/>
                <w:szCs w:val="18"/>
              </w:rPr>
            </w:pPr>
            <w:r>
              <w:rPr>
                <w:rFonts w:hint="eastAsia" w:hAnsi="宋体"/>
                <w:color w:val="000000"/>
                <w:sz w:val="18"/>
                <w:szCs w:val="18"/>
              </w:rPr>
              <w:t>11.0/32.0</w:t>
            </w:r>
          </w:p>
        </w:tc>
        <w:tc>
          <w:tcPr>
            <w:tcW w:w="3484" w:type="dxa"/>
            <w:vAlign w:val="center"/>
          </w:tcPr>
          <w:p>
            <w:pPr>
              <w:spacing w:line="400" w:lineRule="exact"/>
              <w:jc w:val="center"/>
              <w:rPr>
                <w:rFonts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2294" w:type="dxa"/>
            <w:vMerge w:val="restart"/>
            <w:tcBorders>
              <w:right w:val="single" w:color="auto" w:sz="4" w:space="0"/>
            </w:tcBorders>
            <w:vAlign w:val="center"/>
          </w:tcPr>
          <w:p>
            <w:pPr>
              <w:spacing w:line="400" w:lineRule="exact"/>
              <w:jc w:val="center"/>
              <w:rPr>
                <w:rFonts w:hAnsi="宋体"/>
                <w:color w:val="000000"/>
                <w:sz w:val="18"/>
                <w:szCs w:val="18"/>
              </w:rPr>
            </w:pPr>
            <w:r>
              <w:rPr>
                <w:rFonts w:hint="eastAsia" w:hAnsi="宋体"/>
                <w:color w:val="000000"/>
                <w:sz w:val="18"/>
                <w:szCs w:val="18"/>
              </w:rPr>
              <w:t>铜电积栅栏型阳极板</w:t>
            </w:r>
          </w:p>
        </w:tc>
        <w:tc>
          <w:tcPr>
            <w:tcW w:w="3420" w:type="dxa"/>
            <w:tcBorders>
              <w:left w:val="single" w:color="auto" w:sz="4" w:space="0"/>
            </w:tcBorders>
            <w:vAlign w:val="center"/>
          </w:tcPr>
          <w:p>
            <w:pPr>
              <w:spacing w:line="400" w:lineRule="exact"/>
              <w:jc w:val="center"/>
              <w:rPr>
                <w:rFonts w:hAnsi="宋体"/>
                <w:color w:val="000000"/>
                <w:sz w:val="18"/>
                <w:szCs w:val="18"/>
              </w:rPr>
            </w:pPr>
            <w:r>
              <w:rPr>
                <w:rFonts w:ascii="Calibri" w:hAnsi="Calibri"/>
                <w:color w:val="000000"/>
                <w:sz w:val="18"/>
                <w:szCs w:val="18"/>
              </w:rPr>
              <w:t>Ø</w:t>
            </w:r>
            <w:r>
              <w:rPr>
                <w:rFonts w:hint="eastAsia" w:hAnsi="宋体"/>
                <w:color w:val="000000"/>
                <w:sz w:val="18"/>
                <w:szCs w:val="18"/>
              </w:rPr>
              <w:t>9.0</w:t>
            </w:r>
          </w:p>
        </w:tc>
        <w:tc>
          <w:tcPr>
            <w:tcW w:w="3484" w:type="dxa"/>
            <w:vAlign w:val="center"/>
          </w:tcPr>
          <w:p>
            <w:pPr>
              <w:spacing w:line="400" w:lineRule="exact"/>
              <w:jc w:val="center"/>
              <w:rPr>
                <w:rFonts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2294" w:type="dxa"/>
            <w:vMerge w:val="continue"/>
            <w:tcBorders>
              <w:right w:val="single" w:color="auto" w:sz="4" w:space="0"/>
            </w:tcBorders>
            <w:vAlign w:val="center"/>
          </w:tcPr>
          <w:p>
            <w:pPr>
              <w:spacing w:line="400" w:lineRule="exact"/>
              <w:jc w:val="center"/>
              <w:rPr>
                <w:rFonts w:hAnsi="宋体"/>
                <w:color w:val="000000"/>
                <w:sz w:val="18"/>
                <w:szCs w:val="18"/>
              </w:rPr>
            </w:pPr>
          </w:p>
        </w:tc>
        <w:tc>
          <w:tcPr>
            <w:tcW w:w="3420" w:type="dxa"/>
            <w:tcBorders>
              <w:left w:val="single" w:color="auto" w:sz="4" w:space="0"/>
            </w:tcBorders>
            <w:vAlign w:val="center"/>
          </w:tcPr>
          <w:p>
            <w:pPr>
              <w:spacing w:line="400" w:lineRule="exact"/>
              <w:jc w:val="center"/>
              <w:rPr>
                <w:rFonts w:hAnsi="宋体"/>
                <w:color w:val="000000"/>
                <w:sz w:val="18"/>
                <w:szCs w:val="18"/>
              </w:rPr>
            </w:pPr>
            <w:r>
              <w:rPr>
                <w:rFonts w:ascii="Calibri" w:hAnsi="Calibri"/>
                <w:color w:val="000000"/>
                <w:sz w:val="18"/>
                <w:szCs w:val="18"/>
              </w:rPr>
              <w:t>Ø</w:t>
            </w:r>
            <w:r>
              <w:rPr>
                <w:rFonts w:hint="eastAsia" w:hAnsi="宋体"/>
                <w:color w:val="000000"/>
                <w:sz w:val="18"/>
                <w:szCs w:val="18"/>
              </w:rPr>
              <w:t>12.0</w:t>
            </w:r>
          </w:p>
        </w:tc>
        <w:tc>
          <w:tcPr>
            <w:tcW w:w="3484" w:type="dxa"/>
            <w:vAlign w:val="center"/>
          </w:tcPr>
          <w:p>
            <w:pPr>
              <w:spacing w:line="400" w:lineRule="exact"/>
              <w:jc w:val="center"/>
              <w:rPr>
                <w:rFonts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1" w:hRule="atLeast"/>
          <w:jc w:val="center"/>
        </w:trPr>
        <w:tc>
          <w:tcPr>
            <w:tcW w:w="2294" w:type="dxa"/>
            <w:tcBorders>
              <w:right w:val="single" w:color="auto" w:sz="4" w:space="0"/>
            </w:tcBorders>
            <w:vAlign w:val="center"/>
          </w:tcPr>
          <w:p>
            <w:pPr>
              <w:spacing w:line="400" w:lineRule="exact"/>
              <w:jc w:val="center"/>
              <w:rPr>
                <w:rFonts w:hAnsi="宋体"/>
                <w:color w:val="000000"/>
                <w:sz w:val="18"/>
                <w:szCs w:val="18"/>
              </w:rPr>
            </w:pPr>
            <w:r>
              <w:rPr>
                <w:rFonts w:hint="eastAsia" w:hAnsi="宋体"/>
                <w:color w:val="000000"/>
                <w:sz w:val="18"/>
                <w:szCs w:val="18"/>
              </w:rPr>
              <w:t>镍电积栅栏型阳极板</w:t>
            </w:r>
          </w:p>
        </w:tc>
        <w:tc>
          <w:tcPr>
            <w:tcW w:w="3420" w:type="dxa"/>
            <w:tcBorders>
              <w:left w:val="single" w:color="auto" w:sz="4" w:space="0"/>
            </w:tcBorders>
            <w:vAlign w:val="center"/>
          </w:tcPr>
          <w:p>
            <w:pPr>
              <w:spacing w:line="400" w:lineRule="exact"/>
              <w:jc w:val="center"/>
              <w:rPr>
                <w:rFonts w:hAnsi="宋体"/>
                <w:color w:val="000000"/>
                <w:sz w:val="18"/>
                <w:szCs w:val="18"/>
              </w:rPr>
            </w:pPr>
            <w:r>
              <w:rPr>
                <w:rFonts w:ascii="Calibri" w:hAnsi="Calibri"/>
                <w:color w:val="000000"/>
                <w:sz w:val="18"/>
                <w:szCs w:val="18"/>
              </w:rPr>
              <w:t>Ø</w:t>
            </w:r>
            <w:r>
              <w:rPr>
                <w:rFonts w:hint="eastAsia" w:hAnsi="宋体"/>
                <w:color w:val="000000"/>
                <w:sz w:val="18"/>
                <w:szCs w:val="18"/>
              </w:rPr>
              <w:t>9.0</w:t>
            </w:r>
          </w:p>
        </w:tc>
        <w:tc>
          <w:tcPr>
            <w:tcW w:w="3484" w:type="dxa"/>
            <w:vAlign w:val="center"/>
          </w:tcPr>
          <w:p>
            <w:pPr>
              <w:spacing w:line="400" w:lineRule="exact"/>
              <w:jc w:val="center"/>
              <w:rPr>
                <w:rFonts w:hAnsi="宋体"/>
                <w:color w:val="000000"/>
                <w:sz w:val="18"/>
                <w:szCs w:val="18"/>
              </w:rPr>
            </w:pPr>
            <w:r>
              <w:rPr>
                <w:rFonts w:hint="eastAsia" w:hAnsi="宋体"/>
                <w:color w:val="000000"/>
                <w:sz w:val="18"/>
                <w:szCs w:val="18"/>
              </w:rPr>
              <w:t>±0.05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 w:hRule="atLeast"/>
          <w:jc w:val="center"/>
        </w:trPr>
        <w:tc>
          <w:tcPr>
            <w:tcW w:w="2294" w:type="dxa"/>
            <w:tcBorders>
              <w:right w:val="single" w:color="auto" w:sz="4" w:space="0"/>
            </w:tcBorders>
            <w:vAlign w:val="center"/>
          </w:tcPr>
          <w:p>
            <w:pPr>
              <w:spacing w:line="400" w:lineRule="exact"/>
              <w:jc w:val="center"/>
              <w:rPr>
                <w:rFonts w:hAnsi="宋体"/>
                <w:color w:val="000000"/>
                <w:sz w:val="18"/>
                <w:szCs w:val="18"/>
              </w:rPr>
            </w:pPr>
            <w:r>
              <w:rPr>
                <w:rFonts w:hint="eastAsia" w:hAnsi="宋体"/>
                <w:color w:val="000000"/>
                <w:sz w:val="18"/>
                <w:szCs w:val="18"/>
              </w:rPr>
              <w:t>锰电积栅栏型阳极板</w:t>
            </w:r>
          </w:p>
        </w:tc>
        <w:tc>
          <w:tcPr>
            <w:tcW w:w="3420" w:type="dxa"/>
            <w:tcBorders>
              <w:left w:val="single" w:color="auto" w:sz="4" w:space="0"/>
            </w:tcBorders>
            <w:vAlign w:val="center"/>
          </w:tcPr>
          <w:p>
            <w:pPr>
              <w:spacing w:line="400" w:lineRule="exact"/>
              <w:jc w:val="center"/>
              <w:rPr>
                <w:rFonts w:hAnsi="宋体"/>
                <w:color w:val="000000"/>
                <w:sz w:val="18"/>
                <w:szCs w:val="18"/>
              </w:rPr>
            </w:pPr>
            <w:r>
              <w:rPr>
                <w:rFonts w:hint="eastAsia" w:hAnsi="宋体"/>
                <w:color w:val="000000"/>
                <w:sz w:val="18"/>
                <w:szCs w:val="18"/>
              </w:rPr>
              <w:t>11/32</w:t>
            </w:r>
          </w:p>
        </w:tc>
        <w:tc>
          <w:tcPr>
            <w:tcW w:w="3484" w:type="dxa"/>
            <w:vAlign w:val="center"/>
          </w:tcPr>
          <w:p>
            <w:pPr>
              <w:spacing w:line="400" w:lineRule="exact"/>
              <w:jc w:val="center"/>
              <w:rPr>
                <w:rFonts w:hAnsi="宋体"/>
                <w:color w:val="000000"/>
                <w:sz w:val="18"/>
                <w:szCs w:val="18"/>
              </w:rPr>
            </w:pPr>
            <w:r>
              <w:rPr>
                <w:rFonts w:hint="eastAsia" w:hAnsi="宋体"/>
                <w:color w:val="000000"/>
                <w:sz w:val="18"/>
                <w:szCs w:val="18"/>
              </w:rPr>
              <w:t>±0.05</w:t>
            </w:r>
          </w:p>
        </w:tc>
      </w:tr>
    </w:tbl>
    <w:p>
      <w:pPr>
        <w:spacing w:line="360" w:lineRule="auto"/>
        <w:rPr>
          <w:rFonts w:ascii="仿宋" w:hAnsi="仿宋" w:eastAsia="仿宋" w:cs="仿宋"/>
          <w:color w:val="000000"/>
          <w:sz w:val="28"/>
          <w:szCs w:val="28"/>
        </w:rPr>
      </w:pPr>
    </w:p>
    <w:p>
      <w:pPr>
        <w:spacing w:line="360" w:lineRule="auto"/>
        <w:ind w:firstLine="480" w:firstLineChars="200"/>
        <w:rPr>
          <w:rFonts w:ascii="仿宋" w:hAnsi="仿宋" w:eastAsia="仿宋" w:cs="仿宋"/>
          <w:color w:val="000000"/>
          <w:sz w:val="28"/>
          <w:szCs w:val="28"/>
        </w:rPr>
      </w:pPr>
      <w:r>
        <w:rPr>
          <w:rFonts w:hint="eastAsia" w:ascii="宋体" w:hAnsi="宋体" w:cs="仿宋"/>
          <w:color w:val="000000"/>
          <w:sz w:val="24"/>
          <w:szCs w:val="24"/>
        </w:rPr>
        <w:t>根据客户的要求和使用领域的不同，我们对栅栏型阳极板的设计尺寸都有所不同，通过多年的客户数据收集和图纸数据汇总，栅栏型阳极板面长度、宽度、对角线、平面度、悬挂铅垂度及板面复合棒之间的间距尺寸允许偏差检测数据统，</w:t>
      </w:r>
      <w:r>
        <w:rPr>
          <w:rFonts w:hint="eastAsia" w:ascii="宋体" w:hAnsi="宋体"/>
          <w:sz w:val="24"/>
          <w:szCs w:val="24"/>
        </w:rPr>
        <w:t>反映的实际生产控制水平和目前用户使用要求，标准正文中规定卷状锌阳极产品标称尺寸和重量偏差见表5和表6</w:t>
      </w:r>
      <w:r>
        <w:rPr>
          <w:rFonts w:hint="eastAsia" w:ascii="仿宋" w:hAnsi="仿宋" w:eastAsia="仿宋" w:cs="仿宋"/>
          <w:color w:val="000000"/>
          <w:sz w:val="28"/>
          <w:szCs w:val="28"/>
        </w:rPr>
        <w:t>：</w:t>
      </w:r>
    </w:p>
    <w:p>
      <w:pPr>
        <w:spacing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表5 栅栏型阳极板面尺寸及允许偏差检测统计表</w:t>
      </w:r>
    </w:p>
    <w:tbl>
      <w:tblPr>
        <w:tblStyle w:val="12"/>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734"/>
        <w:gridCol w:w="1174"/>
        <w:gridCol w:w="733"/>
        <w:gridCol w:w="1028"/>
        <w:gridCol w:w="880"/>
        <w:gridCol w:w="1191"/>
        <w:gridCol w:w="863"/>
        <w:gridCol w:w="10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9" w:hRule="atLeast"/>
          <w:jc w:val="center"/>
        </w:trPr>
        <w:tc>
          <w:tcPr>
            <w:tcW w:w="1908" w:type="dxa"/>
            <w:gridSpan w:val="2"/>
            <w:vAlign w:val="center"/>
          </w:tcPr>
          <w:p>
            <w:pPr>
              <w:jc w:val="center"/>
              <w:rPr>
                <w:color w:val="000000"/>
                <w:sz w:val="18"/>
                <w:szCs w:val="18"/>
              </w:rPr>
            </w:pPr>
            <w:r>
              <w:rPr>
                <w:color w:val="000000"/>
                <w:sz w:val="18"/>
                <w:szCs w:val="18"/>
              </w:rPr>
              <w:t>长度</w:t>
            </w:r>
          </w:p>
          <w:p>
            <w:pPr>
              <w:jc w:val="center"/>
              <w:rPr>
                <w:color w:val="000000"/>
                <w:sz w:val="18"/>
                <w:szCs w:val="18"/>
              </w:rPr>
            </w:pPr>
            <w:r>
              <w:rPr>
                <w:rFonts w:hint="eastAsia" w:hAnsi="宋体"/>
                <w:color w:val="000000"/>
                <w:sz w:val="18"/>
                <w:szCs w:val="18"/>
              </w:rPr>
              <w:t>mm</w:t>
            </w:r>
          </w:p>
        </w:tc>
        <w:tc>
          <w:tcPr>
            <w:tcW w:w="1907" w:type="dxa"/>
            <w:gridSpan w:val="2"/>
            <w:vAlign w:val="center"/>
          </w:tcPr>
          <w:p>
            <w:pPr>
              <w:jc w:val="center"/>
              <w:rPr>
                <w:color w:val="000000"/>
                <w:sz w:val="18"/>
                <w:szCs w:val="18"/>
              </w:rPr>
            </w:pPr>
            <w:r>
              <w:rPr>
                <w:color w:val="000000"/>
                <w:sz w:val="18"/>
                <w:szCs w:val="18"/>
              </w:rPr>
              <w:t>宽度</w:t>
            </w:r>
          </w:p>
          <w:p>
            <w:pPr>
              <w:jc w:val="center"/>
              <w:rPr>
                <w:color w:val="000000"/>
                <w:sz w:val="18"/>
                <w:szCs w:val="18"/>
              </w:rPr>
            </w:pPr>
            <w:r>
              <w:rPr>
                <w:rFonts w:hint="eastAsia" w:hAnsi="宋体"/>
                <w:color w:val="000000"/>
                <w:sz w:val="18"/>
                <w:szCs w:val="18"/>
              </w:rPr>
              <w:t>mm</w:t>
            </w:r>
          </w:p>
        </w:tc>
        <w:tc>
          <w:tcPr>
            <w:tcW w:w="1028" w:type="dxa"/>
            <w:tcBorders>
              <w:right w:val="single" w:color="auto" w:sz="4" w:space="0"/>
            </w:tcBorders>
            <w:vAlign w:val="center"/>
          </w:tcPr>
          <w:p>
            <w:pPr>
              <w:jc w:val="center"/>
              <w:rPr>
                <w:color w:val="000000"/>
                <w:sz w:val="18"/>
                <w:szCs w:val="18"/>
              </w:rPr>
            </w:pPr>
            <w:r>
              <w:rPr>
                <w:color w:val="000000"/>
                <w:sz w:val="18"/>
                <w:szCs w:val="18"/>
              </w:rPr>
              <w:t>对角线</w:t>
            </w:r>
          </w:p>
          <w:p>
            <w:pPr>
              <w:jc w:val="center"/>
              <w:rPr>
                <w:color w:val="000000"/>
                <w:sz w:val="18"/>
                <w:szCs w:val="18"/>
              </w:rPr>
            </w:pPr>
            <w:r>
              <w:rPr>
                <w:rFonts w:hint="eastAsia" w:hAnsi="宋体"/>
                <w:color w:val="000000"/>
                <w:sz w:val="18"/>
                <w:szCs w:val="18"/>
              </w:rPr>
              <w:t>mm</w:t>
            </w:r>
          </w:p>
        </w:tc>
        <w:tc>
          <w:tcPr>
            <w:tcW w:w="880" w:type="dxa"/>
            <w:tcBorders>
              <w:left w:val="single" w:color="auto" w:sz="4" w:space="0"/>
              <w:right w:val="single" w:color="auto" w:sz="4" w:space="0"/>
            </w:tcBorders>
            <w:vAlign w:val="center"/>
          </w:tcPr>
          <w:p>
            <w:pPr>
              <w:jc w:val="center"/>
              <w:rPr>
                <w:color w:val="000000"/>
                <w:sz w:val="18"/>
                <w:szCs w:val="18"/>
              </w:rPr>
            </w:pPr>
            <w:bookmarkStart w:id="17" w:name="_Hlk35277921"/>
            <w:r>
              <w:rPr>
                <w:color w:val="000000"/>
                <w:sz w:val="18"/>
                <w:szCs w:val="18"/>
              </w:rPr>
              <w:t>平面度</w:t>
            </w:r>
            <w:bookmarkEnd w:id="17"/>
          </w:p>
          <w:p>
            <w:pPr>
              <w:jc w:val="center"/>
              <w:rPr>
                <w:color w:val="000000"/>
                <w:sz w:val="18"/>
                <w:szCs w:val="18"/>
              </w:rPr>
            </w:pPr>
            <w:r>
              <w:rPr>
                <w:rFonts w:hint="eastAsia" w:hAnsi="宋体"/>
                <w:color w:val="000000"/>
                <w:sz w:val="18"/>
                <w:szCs w:val="18"/>
              </w:rPr>
              <w:t>mm</w:t>
            </w:r>
          </w:p>
        </w:tc>
        <w:tc>
          <w:tcPr>
            <w:tcW w:w="1191" w:type="dxa"/>
            <w:tcBorders>
              <w:left w:val="single" w:color="auto" w:sz="4" w:space="0"/>
              <w:right w:val="single" w:color="auto" w:sz="4" w:space="0"/>
            </w:tcBorders>
            <w:vAlign w:val="center"/>
          </w:tcPr>
          <w:p>
            <w:pPr>
              <w:jc w:val="center"/>
              <w:rPr>
                <w:color w:val="000000"/>
                <w:sz w:val="18"/>
                <w:szCs w:val="18"/>
              </w:rPr>
            </w:pPr>
            <w:bookmarkStart w:id="18" w:name="_Hlk35277855"/>
            <w:r>
              <w:rPr>
                <w:color w:val="000000"/>
                <w:sz w:val="18"/>
                <w:szCs w:val="18"/>
              </w:rPr>
              <w:t>悬挂</w:t>
            </w:r>
            <w:bookmarkEnd w:id="18"/>
            <w:r>
              <w:rPr>
                <w:color w:val="000000"/>
                <w:sz w:val="18"/>
                <w:szCs w:val="18"/>
              </w:rPr>
              <w:t>铅垂度</w:t>
            </w:r>
          </w:p>
          <w:p>
            <w:pPr>
              <w:jc w:val="center"/>
              <w:rPr>
                <w:color w:val="000000"/>
                <w:sz w:val="18"/>
                <w:szCs w:val="18"/>
              </w:rPr>
            </w:pPr>
            <w:r>
              <w:rPr>
                <w:rFonts w:hint="eastAsia" w:hAnsi="宋体"/>
                <w:color w:val="000000"/>
                <w:sz w:val="18"/>
                <w:szCs w:val="18"/>
              </w:rPr>
              <w:t>mm</w:t>
            </w:r>
          </w:p>
        </w:tc>
        <w:tc>
          <w:tcPr>
            <w:tcW w:w="1863" w:type="dxa"/>
            <w:gridSpan w:val="2"/>
            <w:tcBorders>
              <w:left w:val="single" w:color="auto" w:sz="4" w:space="0"/>
            </w:tcBorders>
            <w:vAlign w:val="center"/>
          </w:tcPr>
          <w:p>
            <w:pPr>
              <w:jc w:val="center"/>
              <w:rPr>
                <w:color w:val="000000"/>
                <w:sz w:val="18"/>
                <w:szCs w:val="18"/>
              </w:rPr>
            </w:pPr>
            <w:r>
              <w:rPr>
                <w:color w:val="000000"/>
                <w:sz w:val="18"/>
                <w:szCs w:val="18"/>
              </w:rPr>
              <w:t>板面</w:t>
            </w:r>
            <w:r>
              <w:rPr>
                <w:rFonts w:hint="eastAsia"/>
                <w:color w:val="000000"/>
                <w:sz w:val="18"/>
                <w:szCs w:val="18"/>
              </w:rPr>
              <w:t>铅合金包覆铝芯</w:t>
            </w:r>
          </w:p>
          <w:p>
            <w:pPr>
              <w:jc w:val="center"/>
              <w:rPr>
                <w:color w:val="000000"/>
                <w:sz w:val="18"/>
                <w:szCs w:val="18"/>
              </w:rPr>
            </w:pPr>
            <w:r>
              <w:rPr>
                <w:color w:val="000000"/>
                <w:sz w:val="18"/>
                <w:szCs w:val="18"/>
              </w:rPr>
              <w:t>之间的间距</w:t>
            </w:r>
          </w:p>
          <w:p>
            <w:pPr>
              <w:jc w:val="center"/>
              <w:rPr>
                <w:color w:val="000000"/>
                <w:sz w:val="18"/>
                <w:szCs w:val="18"/>
              </w:rPr>
            </w:pPr>
            <w:r>
              <w:rPr>
                <w:rFonts w:hint="eastAsia" w:hAnsi="宋体"/>
                <w:color w:val="000000"/>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7" w:hRule="atLeast"/>
          <w:jc w:val="center"/>
        </w:trPr>
        <w:tc>
          <w:tcPr>
            <w:tcW w:w="1174" w:type="dxa"/>
            <w:vAlign w:val="center"/>
          </w:tcPr>
          <w:p>
            <w:pPr>
              <w:jc w:val="center"/>
              <w:rPr>
                <w:color w:val="000000"/>
                <w:sz w:val="18"/>
                <w:szCs w:val="18"/>
              </w:rPr>
            </w:pPr>
            <w:r>
              <w:rPr>
                <w:color w:val="000000"/>
                <w:sz w:val="18"/>
                <w:szCs w:val="18"/>
              </w:rPr>
              <w:t>长度</w:t>
            </w:r>
          </w:p>
        </w:tc>
        <w:tc>
          <w:tcPr>
            <w:tcW w:w="734" w:type="dxa"/>
            <w:vAlign w:val="center"/>
          </w:tcPr>
          <w:p>
            <w:pPr>
              <w:jc w:val="center"/>
              <w:rPr>
                <w:color w:val="000000"/>
                <w:sz w:val="18"/>
                <w:szCs w:val="18"/>
              </w:rPr>
            </w:pPr>
            <w:r>
              <w:rPr>
                <w:color w:val="000000"/>
                <w:sz w:val="18"/>
                <w:szCs w:val="18"/>
              </w:rPr>
              <w:t>允许</w:t>
            </w:r>
          </w:p>
          <w:p>
            <w:pPr>
              <w:jc w:val="center"/>
              <w:rPr>
                <w:color w:val="000000"/>
                <w:sz w:val="18"/>
                <w:szCs w:val="18"/>
              </w:rPr>
            </w:pPr>
            <w:r>
              <w:rPr>
                <w:color w:val="000000"/>
                <w:sz w:val="18"/>
                <w:szCs w:val="18"/>
              </w:rPr>
              <w:t>偏差</w:t>
            </w:r>
          </w:p>
        </w:tc>
        <w:tc>
          <w:tcPr>
            <w:tcW w:w="1174" w:type="dxa"/>
            <w:vAlign w:val="center"/>
          </w:tcPr>
          <w:p>
            <w:pPr>
              <w:jc w:val="center"/>
              <w:rPr>
                <w:color w:val="000000"/>
                <w:sz w:val="18"/>
                <w:szCs w:val="18"/>
              </w:rPr>
            </w:pPr>
            <w:r>
              <w:rPr>
                <w:color w:val="000000"/>
                <w:sz w:val="18"/>
                <w:szCs w:val="18"/>
              </w:rPr>
              <w:t>宽度</w:t>
            </w:r>
          </w:p>
        </w:tc>
        <w:tc>
          <w:tcPr>
            <w:tcW w:w="733" w:type="dxa"/>
            <w:vAlign w:val="center"/>
          </w:tcPr>
          <w:p>
            <w:pPr>
              <w:jc w:val="center"/>
              <w:rPr>
                <w:color w:val="000000"/>
                <w:sz w:val="18"/>
                <w:szCs w:val="18"/>
              </w:rPr>
            </w:pPr>
            <w:r>
              <w:rPr>
                <w:color w:val="000000"/>
                <w:sz w:val="18"/>
                <w:szCs w:val="18"/>
              </w:rPr>
              <w:t>允许</w:t>
            </w:r>
          </w:p>
          <w:p>
            <w:pPr>
              <w:jc w:val="center"/>
              <w:rPr>
                <w:color w:val="000000"/>
                <w:sz w:val="18"/>
                <w:szCs w:val="18"/>
              </w:rPr>
            </w:pPr>
            <w:r>
              <w:rPr>
                <w:color w:val="000000"/>
                <w:sz w:val="18"/>
                <w:szCs w:val="18"/>
              </w:rPr>
              <w:t>偏差</w:t>
            </w:r>
          </w:p>
        </w:tc>
        <w:tc>
          <w:tcPr>
            <w:tcW w:w="1028" w:type="dxa"/>
            <w:tcBorders>
              <w:right w:val="single" w:color="auto" w:sz="4" w:space="0"/>
            </w:tcBorders>
            <w:vAlign w:val="center"/>
          </w:tcPr>
          <w:p>
            <w:pPr>
              <w:jc w:val="center"/>
              <w:rPr>
                <w:color w:val="000000"/>
                <w:sz w:val="18"/>
                <w:szCs w:val="18"/>
              </w:rPr>
            </w:pPr>
            <w:r>
              <w:rPr>
                <w:color w:val="000000"/>
                <w:sz w:val="18"/>
                <w:szCs w:val="18"/>
              </w:rPr>
              <w:t>允许</w:t>
            </w:r>
          </w:p>
          <w:p>
            <w:pPr>
              <w:jc w:val="center"/>
              <w:rPr>
                <w:color w:val="000000"/>
                <w:sz w:val="18"/>
                <w:szCs w:val="18"/>
              </w:rPr>
            </w:pPr>
            <w:r>
              <w:rPr>
                <w:color w:val="000000"/>
                <w:sz w:val="18"/>
                <w:szCs w:val="18"/>
              </w:rPr>
              <w:t>偏差</w:t>
            </w:r>
          </w:p>
        </w:tc>
        <w:tc>
          <w:tcPr>
            <w:tcW w:w="880" w:type="dxa"/>
            <w:tcBorders>
              <w:left w:val="single" w:color="auto" w:sz="4" w:space="0"/>
              <w:right w:val="single" w:color="auto" w:sz="4" w:space="0"/>
            </w:tcBorders>
            <w:vAlign w:val="center"/>
          </w:tcPr>
          <w:p>
            <w:pPr>
              <w:jc w:val="center"/>
              <w:rPr>
                <w:color w:val="000000"/>
                <w:sz w:val="18"/>
                <w:szCs w:val="18"/>
              </w:rPr>
            </w:pPr>
            <w:r>
              <w:rPr>
                <w:color w:val="000000"/>
                <w:sz w:val="18"/>
                <w:szCs w:val="18"/>
              </w:rPr>
              <w:t>允许</w:t>
            </w:r>
          </w:p>
          <w:p>
            <w:pPr>
              <w:jc w:val="center"/>
              <w:rPr>
                <w:color w:val="000000"/>
                <w:sz w:val="18"/>
                <w:szCs w:val="18"/>
              </w:rPr>
            </w:pPr>
            <w:r>
              <w:rPr>
                <w:color w:val="000000"/>
                <w:sz w:val="18"/>
                <w:szCs w:val="18"/>
              </w:rPr>
              <w:t>偏差</w:t>
            </w:r>
          </w:p>
        </w:tc>
        <w:tc>
          <w:tcPr>
            <w:tcW w:w="1191" w:type="dxa"/>
            <w:tcBorders>
              <w:left w:val="single" w:color="auto" w:sz="4" w:space="0"/>
              <w:right w:val="single" w:color="auto" w:sz="4" w:space="0"/>
            </w:tcBorders>
            <w:vAlign w:val="center"/>
          </w:tcPr>
          <w:p>
            <w:pPr>
              <w:jc w:val="center"/>
              <w:rPr>
                <w:color w:val="000000"/>
                <w:sz w:val="18"/>
                <w:szCs w:val="18"/>
              </w:rPr>
            </w:pPr>
            <w:r>
              <w:rPr>
                <w:color w:val="000000"/>
                <w:sz w:val="18"/>
                <w:szCs w:val="18"/>
              </w:rPr>
              <w:t>允许</w:t>
            </w:r>
          </w:p>
          <w:p>
            <w:pPr>
              <w:jc w:val="center"/>
              <w:rPr>
                <w:color w:val="000000"/>
                <w:sz w:val="18"/>
                <w:szCs w:val="18"/>
              </w:rPr>
            </w:pPr>
            <w:r>
              <w:rPr>
                <w:color w:val="000000"/>
                <w:sz w:val="18"/>
                <w:szCs w:val="18"/>
              </w:rPr>
              <w:t>偏差</w:t>
            </w:r>
          </w:p>
        </w:tc>
        <w:tc>
          <w:tcPr>
            <w:tcW w:w="863" w:type="dxa"/>
            <w:tcBorders>
              <w:left w:val="single" w:color="auto" w:sz="4" w:space="0"/>
            </w:tcBorders>
            <w:vAlign w:val="center"/>
          </w:tcPr>
          <w:p>
            <w:pPr>
              <w:jc w:val="center"/>
              <w:rPr>
                <w:color w:val="000000"/>
                <w:sz w:val="18"/>
                <w:szCs w:val="18"/>
              </w:rPr>
            </w:pPr>
            <w:r>
              <w:rPr>
                <w:color w:val="000000"/>
                <w:sz w:val="18"/>
                <w:szCs w:val="18"/>
              </w:rPr>
              <w:t>棒间距</w:t>
            </w:r>
          </w:p>
        </w:tc>
        <w:tc>
          <w:tcPr>
            <w:tcW w:w="1000" w:type="dxa"/>
            <w:vAlign w:val="center"/>
          </w:tcPr>
          <w:p>
            <w:pPr>
              <w:jc w:val="center"/>
              <w:rPr>
                <w:color w:val="000000"/>
                <w:sz w:val="18"/>
                <w:szCs w:val="18"/>
              </w:rPr>
            </w:pPr>
            <w:r>
              <w:rPr>
                <w:color w:val="000000"/>
                <w:sz w:val="18"/>
                <w:szCs w:val="18"/>
              </w:rPr>
              <w:t>允许</w:t>
            </w:r>
          </w:p>
          <w:p>
            <w:pPr>
              <w:jc w:val="center"/>
              <w:rPr>
                <w:color w:val="000000"/>
                <w:sz w:val="18"/>
                <w:szCs w:val="18"/>
              </w:rPr>
            </w:pPr>
            <w:r>
              <w:rPr>
                <w:color w:val="000000"/>
                <w:sz w:val="18"/>
                <w:szCs w:val="18"/>
              </w:rPr>
              <w:t>偏差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2" w:hRule="atLeast"/>
          <w:jc w:val="center"/>
        </w:trPr>
        <w:tc>
          <w:tcPr>
            <w:tcW w:w="1174" w:type="dxa"/>
            <w:vAlign w:val="center"/>
          </w:tcPr>
          <w:p>
            <w:pPr>
              <w:ind w:left="-100" w:leftChars="-50" w:right="-100" w:rightChars="-50"/>
              <w:jc w:val="center"/>
              <w:rPr>
                <w:bCs/>
                <w:color w:val="000000"/>
                <w:sz w:val="18"/>
                <w:szCs w:val="18"/>
              </w:rPr>
            </w:pPr>
            <w:r>
              <w:rPr>
                <w:bCs/>
                <w:color w:val="000000"/>
                <w:sz w:val="18"/>
                <w:szCs w:val="18"/>
              </w:rPr>
              <w:t>600.0～1800.0</w:t>
            </w:r>
          </w:p>
        </w:tc>
        <w:tc>
          <w:tcPr>
            <w:tcW w:w="734" w:type="dxa"/>
            <w:vAlign w:val="center"/>
          </w:tcPr>
          <w:p>
            <w:pPr>
              <w:ind w:left="-100" w:leftChars="-50" w:right="-100" w:rightChars="-50"/>
              <w:jc w:val="center"/>
              <w:rPr>
                <w:bCs/>
                <w:color w:val="000000"/>
                <w:sz w:val="18"/>
                <w:szCs w:val="18"/>
              </w:rPr>
            </w:pPr>
            <w:r>
              <w:rPr>
                <w:bCs/>
                <w:color w:val="000000"/>
                <w:sz w:val="18"/>
                <w:szCs w:val="18"/>
              </w:rPr>
              <w:t>±2.00</w:t>
            </w:r>
          </w:p>
        </w:tc>
        <w:tc>
          <w:tcPr>
            <w:tcW w:w="1174" w:type="dxa"/>
            <w:vAlign w:val="center"/>
          </w:tcPr>
          <w:p>
            <w:pPr>
              <w:ind w:left="-100" w:leftChars="-50" w:right="-100" w:rightChars="-50"/>
              <w:jc w:val="center"/>
              <w:rPr>
                <w:bCs/>
                <w:color w:val="000000"/>
                <w:sz w:val="18"/>
                <w:szCs w:val="18"/>
              </w:rPr>
            </w:pPr>
            <w:r>
              <w:rPr>
                <w:bCs/>
                <w:color w:val="000000"/>
                <w:sz w:val="18"/>
                <w:szCs w:val="18"/>
              </w:rPr>
              <w:t>400.0～960.0</w:t>
            </w:r>
          </w:p>
        </w:tc>
        <w:tc>
          <w:tcPr>
            <w:tcW w:w="733" w:type="dxa"/>
            <w:vAlign w:val="center"/>
          </w:tcPr>
          <w:p>
            <w:pPr>
              <w:ind w:left="-100" w:leftChars="-50" w:right="-100" w:rightChars="-50"/>
              <w:jc w:val="center"/>
              <w:rPr>
                <w:bCs/>
                <w:color w:val="000000"/>
                <w:sz w:val="18"/>
                <w:szCs w:val="18"/>
              </w:rPr>
            </w:pPr>
            <w:r>
              <w:rPr>
                <w:bCs/>
                <w:color w:val="000000"/>
                <w:sz w:val="18"/>
                <w:szCs w:val="18"/>
              </w:rPr>
              <w:t>±2.00</w:t>
            </w:r>
          </w:p>
        </w:tc>
        <w:tc>
          <w:tcPr>
            <w:tcW w:w="1028" w:type="dxa"/>
            <w:tcBorders>
              <w:right w:val="single" w:color="auto" w:sz="4" w:space="0"/>
            </w:tcBorders>
            <w:vAlign w:val="center"/>
          </w:tcPr>
          <w:p>
            <w:pPr>
              <w:ind w:left="-100" w:leftChars="-50" w:right="-100" w:rightChars="-50"/>
              <w:jc w:val="center"/>
              <w:rPr>
                <w:bCs/>
                <w:color w:val="000000"/>
                <w:sz w:val="18"/>
                <w:szCs w:val="18"/>
              </w:rPr>
            </w:pPr>
            <w:r>
              <w:rPr>
                <w:bCs/>
                <w:color w:val="000000"/>
                <w:sz w:val="18"/>
                <w:szCs w:val="18"/>
              </w:rPr>
              <w:t>±3.00</w:t>
            </w:r>
          </w:p>
        </w:tc>
        <w:tc>
          <w:tcPr>
            <w:tcW w:w="880" w:type="dxa"/>
            <w:tcBorders>
              <w:left w:val="single" w:color="auto" w:sz="4" w:space="0"/>
              <w:right w:val="single" w:color="auto" w:sz="4" w:space="0"/>
            </w:tcBorders>
            <w:vAlign w:val="center"/>
          </w:tcPr>
          <w:p>
            <w:pPr>
              <w:ind w:left="-100" w:leftChars="-50" w:right="-100" w:rightChars="-50"/>
              <w:jc w:val="center"/>
              <w:rPr>
                <w:bCs/>
                <w:color w:val="000000"/>
                <w:sz w:val="18"/>
                <w:szCs w:val="18"/>
              </w:rPr>
            </w:pPr>
            <w:r>
              <w:rPr>
                <w:bCs/>
                <w:color w:val="000000"/>
                <w:sz w:val="18"/>
                <w:szCs w:val="18"/>
              </w:rPr>
              <w:t>±3/1000</w:t>
            </w:r>
          </w:p>
        </w:tc>
        <w:tc>
          <w:tcPr>
            <w:tcW w:w="1191" w:type="dxa"/>
            <w:tcBorders>
              <w:left w:val="single" w:color="auto" w:sz="4" w:space="0"/>
              <w:right w:val="single" w:color="auto" w:sz="4" w:space="0"/>
            </w:tcBorders>
            <w:vAlign w:val="center"/>
          </w:tcPr>
          <w:p>
            <w:pPr>
              <w:ind w:left="-100" w:leftChars="-50" w:right="-100" w:rightChars="-50"/>
              <w:jc w:val="center"/>
              <w:rPr>
                <w:bCs/>
                <w:color w:val="000000"/>
                <w:sz w:val="18"/>
                <w:szCs w:val="18"/>
              </w:rPr>
            </w:pPr>
            <w:r>
              <w:rPr>
                <w:bCs/>
                <w:color w:val="000000"/>
                <w:sz w:val="18"/>
                <w:szCs w:val="18"/>
              </w:rPr>
              <w:t>±5.00</w:t>
            </w:r>
          </w:p>
        </w:tc>
        <w:tc>
          <w:tcPr>
            <w:tcW w:w="863" w:type="dxa"/>
            <w:tcBorders>
              <w:left w:val="single" w:color="auto" w:sz="4" w:space="0"/>
            </w:tcBorders>
            <w:vAlign w:val="center"/>
          </w:tcPr>
          <w:p>
            <w:pPr>
              <w:ind w:left="-100" w:leftChars="-50" w:right="-100" w:rightChars="-50"/>
              <w:jc w:val="center"/>
              <w:rPr>
                <w:bCs/>
                <w:color w:val="000000"/>
                <w:sz w:val="18"/>
                <w:szCs w:val="18"/>
              </w:rPr>
            </w:pPr>
            <w:r>
              <w:rPr>
                <w:bCs/>
                <w:color w:val="000000"/>
                <w:sz w:val="18"/>
                <w:szCs w:val="18"/>
              </w:rPr>
              <w:t>7.0～35.0</w:t>
            </w:r>
          </w:p>
        </w:tc>
        <w:tc>
          <w:tcPr>
            <w:tcW w:w="1000" w:type="dxa"/>
            <w:vAlign w:val="center"/>
          </w:tcPr>
          <w:p>
            <w:pPr>
              <w:ind w:left="-100" w:leftChars="-50" w:right="-100" w:rightChars="-50"/>
              <w:jc w:val="center"/>
              <w:rPr>
                <w:bCs/>
                <w:color w:val="000000"/>
                <w:sz w:val="18"/>
                <w:szCs w:val="18"/>
              </w:rPr>
            </w:pPr>
            <w:r>
              <w:rPr>
                <w:bCs/>
                <w:color w:val="000000"/>
                <w:sz w:val="18"/>
                <w:szCs w:val="18"/>
              </w:rPr>
              <w:t>±1.00</w:t>
            </w:r>
          </w:p>
        </w:tc>
      </w:tr>
    </w:tbl>
    <w:p>
      <w:pPr>
        <w:spacing w:line="360" w:lineRule="auto"/>
        <w:jc w:val="center"/>
        <w:rPr>
          <w:rFonts w:ascii="仿宋" w:hAnsi="仿宋" w:eastAsia="仿宋" w:cs="仿宋"/>
          <w:color w:val="000000"/>
          <w:sz w:val="28"/>
          <w:szCs w:val="28"/>
        </w:rPr>
      </w:pPr>
    </w:p>
    <w:p>
      <w:pPr>
        <w:spacing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表6 导电梁外形尺寸及允许偏差检测统计表</w:t>
      </w:r>
    </w:p>
    <w:p>
      <w:pPr>
        <w:spacing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（mm、常温20℃）</w:t>
      </w:r>
    </w:p>
    <w:tbl>
      <w:tblPr>
        <w:tblStyle w:val="12"/>
        <w:tblW w:w="821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92"/>
        <w:gridCol w:w="1276"/>
        <w:gridCol w:w="1559"/>
        <w:gridCol w:w="992"/>
        <w:gridCol w:w="1418"/>
        <w:gridCol w:w="9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3268" w:type="dxa"/>
            <w:gridSpan w:val="2"/>
            <w:vAlign w:val="center"/>
          </w:tcPr>
          <w:p>
            <w:pPr>
              <w:jc w:val="center"/>
              <w:rPr>
                <w:rFonts w:hAnsi="宋体"/>
                <w:color w:val="000000"/>
                <w:sz w:val="18"/>
                <w:szCs w:val="18"/>
              </w:rPr>
            </w:pPr>
            <w:r>
              <w:rPr>
                <w:rFonts w:hAnsi="宋体"/>
                <w:color w:val="000000"/>
                <w:sz w:val="18"/>
                <w:szCs w:val="18"/>
              </w:rPr>
              <w:t>长度</w:t>
            </w:r>
          </w:p>
        </w:tc>
        <w:tc>
          <w:tcPr>
            <w:tcW w:w="2551" w:type="dxa"/>
            <w:gridSpan w:val="2"/>
            <w:vAlign w:val="center"/>
          </w:tcPr>
          <w:p>
            <w:pPr>
              <w:jc w:val="center"/>
              <w:rPr>
                <w:rFonts w:hAnsi="宋体"/>
                <w:color w:val="000000"/>
                <w:sz w:val="18"/>
                <w:szCs w:val="18"/>
              </w:rPr>
            </w:pPr>
            <w:r>
              <w:rPr>
                <w:rFonts w:hAnsi="宋体"/>
                <w:color w:val="000000"/>
                <w:sz w:val="18"/>
                <w:szCs w:val="18"/>
              </w:rPr>
              <w:t>宽度</w:t>
            </w:r>
          </w:p>
        </w:tc>
        <w:tc>
          <w:tcPr>
            <w:tcW w:w="2400" w:type="dxa"/>
            <w:gridSpan w:val="2"/>
            <w:vAlign w:val="center"/>
          </w:tcPr>
          <w:p>
            <w:pPr>
              <w:jc w:val="center"/>
              <w:rPr>
                <w:rFonts w:hAnsi="宋体"/>
                <w:color w:val="000000"/>
                <w:sz w:val="18"/>
                <w:szCs w:val="18"/>
              </w:rPr>
            </w:pPr>
            <w:r>
              <w:rPr>
                <w:rFonts w:hAnsi="宋体"/>
                <w:color w:val="000000"/>
                <w:sz w:val="18"/>
                <w:szCs w:val="18"/>
              </w:rPr>
              <w:t>厚度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1992" w:type="dxa"/>
            <w:vAlign w:val="center"/>
          </w:tcPr>
          <w:p>
            <w:pPr>
              <w:jc w:val="center"/>
              <w:rPr>
                <w:rFonts w:hAnsi="宋体"/>
                <w:color w:val="000000"/>
                <w:sz w:val="18"/>
                <w:szCs w:val="18"/>
              </w:rPr>
            </w:pPr>
            <w:r>
              <w:rPr>
                <w:rFonts w:hAnsi="宋体"/>
                <w:color w:val="000000"/>
                <w:sz w:val="18"/>
                <w:szCs w:val="18"/>
              </w:rPr>
              <w:t>长度</w:t>
            </w:r>
          </w:p>
          <w:p>
            <w:pPr>
              <w:jc w:val="center"/>
              <w:rPr>
                <w:rFonts w:hAnsi="宋体"/>
                <w:color w:val="000000"/>
                <w:sz w:val="18"/>
                <w:szCs w:val="18"/>
              </w:rPr>
            </w:pPr>
            <w:r>
              <w:rPr>
                <w:rFonts w:hint="eastAsia" w:hAnsi="宋体"/>
                <w:color w:val="000000"/>
                <w:sz w:val="18"/>
                <w:szCs w:val="18"/>
              </w:rPr>
              <w:t>mm</w:t>
            </w:r>
          </w:p>
        </w:tc>
        <w:tc>
          <w:tcPr>
            <w:tcW w:w="1276" w:type="dxa"/>
            <w:vAlign w:val="center"/>
          </w:tcPr>
          <w:p>
            <w:pPr>
              <w:jc w:val="center"/>
              <w:rPr>
                <w:rFonts w:hAnsi="宋体"/>
                <w:color w:val="000000"/>
                <w:sz w:val="18"/>
                <w:szCs w:val="18"/>
              </w:rPr>
            </w:pPr>
            <w:r>
              <w:rPr>
                <w:rFonts w:hAnsi="宋体"/>
                <w:color w:val="000000"/>
                <w:sz w:val="18"/>
                <w:szCs w:val="18"/>
              </w:rPr>
              <w:t>偏差</w:t>
            </w:r>
          </w:p>
          <w:p>
            <w:pPr>
              <w:jc w:val="center"/>
              <w:rPr>
                <w:rFonts w:hAnsi="宋体"/>
                <w:color w:val="000000"/>
                <w:sz w:val="18"/>
                <w:szCs w:val="18"/>
              </w:rPr>
            </w:pPr>
            <w:r>
              <w:rPr>
                <w:rFonts w:hint="eastAsia" w:hAnsi="宋体"/>
                <w:color w:val="000000"/>
                <w:sz w:val="18"/>
                <w:szCs w:val="18"/>
              </w:rPr>
              <w:t>mm</w:t>
            </w:r>
          </w:p>
        </w:tc>
        <w:tc>
          <w:tcPr>
            <w:tcW w:w="1559" w:type="dxa"/>
            <w:vAlign w:val="center"/>
          </w:tcPr>
          <w:p>
            <w:pPr>
              <w:jc w:val="center"/>
              <w:rPr>
                <w:rFonts w:hAnsi="宋体"/>
                <w:color w:val="000000"/>
                <w:sz w:val="18"/>
                <w:szCs w:val="18"/>
              </w:rPr>
            </w:pPr>
            <w:r>
              <w:rPr>
                <w:rFonts w:hAnsi="宋体"/>
                <w:color w:val="000000"/>
                <w:sz w:val="18"/>
                <w:szCs w:val="18"/>
              </w:rPr>
              <w:t>宽度</w:t>
            </w:r>
          </w:p>
          <w:p>
            <w:pPr>
              <w:jc w:val="center"/>
              <w:rPr>
                <w:rFonts w:hAnsi="宋体"/>
                <w:color w:val="000000"/>
                <w:sz w:val="18"/>
                <w:szCs w:val="18"/>
              </w:rPr>
            </w:pPr>
            <w:r>
              <w:rPr>
                <w:rFonts w:hint="eastAsia" w:hAnsi="宋体"/>
                <w:color w:val="000000"/>
                <w:sz w:val="18"/>
                <w:szCs w:val="18"/>
              </w:rPr>
              <w:t>mm</w:t>
            </w:r>
          </w:p>
        </w:tc>
        <w:tc>
          <w:tcPr>
            <w:tcW w:w="992" w:type="dxa"/>
            <w:vAlign w:val="center"/>
          </w:tcPr>
          <w:p>
            <w:pPr>
              <w:jc w:val="center"/>
              <w:rPr>
                <w:rFonts w:hAnsi="宋体"/>
                <w:color w:val="000000"/>
                <w:sz w:val="18"/>
                <w:szCs w:val="18"/>
              </w:rPr>
            </w:pPr>
            <w:r>
              <w:rPr>
                <w:rFonts w:hAnsi="宋体"/>
                <w:color w:val="000000"/>
                <w:sz w:val="18"/>
                <w:szCs w:val="18"/>
              </w:rPr>
              <w:t>偏差</w:t>
            </w:r>
          </w:p>
          <w:p>
            <w:pPr>
              <w:jc w:val="center"/>
              <w:rPr>
                <w:rFonts w:hAnsi="宋体"/>
                <w:color w:val="000000"/>
                <w:sz w:val="18"/>
                <w:szCs w:val="18"/>
              </w:rPr>
            </w:pPr>
            <w:r>
              <w:rPr>
                <w:rFonts w:hint="eastAsia" w:hAnsi="宋体"/>
                <w:color w:val="000000"/>
                <w:sz w:val="18"/>
                <w:szCs w:val="18"/>
              </w:rPr>
              <w:t>mm</w:t>
            </w:r>
          </w:p>
        </w:tc>
        <w:tc>
          <w:tcPr>
            <w:tcW w:w="1418" w:type="dxa"/>
            <w:vAlign w:val="center"/>
          </w:tcPr>
          <w:p>
            <w:pPr>
              <w:jc w:val="center"/>
              <w:rPr>
                <w:rFonts w:hAnsi="宋体"/>
                <w:color w:val="000000"/>
                <w:sz w:val="18"/>
                <w:szCs w:val="18"/>
              </w:rPr>
            </w:pPr>
            <w:r>
              <w:rPr>
                <w:rFonts w:hAnsi="宋体"/>
                <w:color w:val="000000"/>
                <w:sz w:val="18"/>
                <w:szCs w:val="18"/>
              </w:rPr>
              <w:t>厚度</w:t>
            </w:r>
          </w:p>
          <w:p>
            <w:pPr>
              <w:jc w:val="center"/>
              <w:rPr>
                <w:rFonts w:hAnsi="宋体"/>
                <w:color w:val="000000"/>
                <w:sz w:val="18"/>
                <w:szCs w:val="18"/>
              </w:rPr>
            </w:pPr>
            <w:r>
              <w:rPr>
                <w:rFonts w:hint="eastAsia" w:hAnsi="宋体"/>
                <w:color w:val="000000"/>
                <w:sz w:val="18"/>
                <w:szCs w:val="18"/>
              </w:rPr>
              <w:t>mm</w:t>
            </w:r>
          </w:p>
        </w:tc>
        <w:tc>
          <w:tcPr>
            <w:tcW w:w="982" w:type="dxa"/>
            <w:vAlign w:val="center"/>
          </w:tcPr>
          <w:p>
            <w:pPr>
              <w:jc w:val="center"/>
              <w:rPr>
                <w:rFonts w:hAnsi="宋体"/>
                <w:color w:val="000000"/>
                <w:sz w:val="18"/>
                <w:szCs w:val="18"/>
              </w:rPr>
            </w:pPr>
            <w:r>
              <w:rPr>
                <w:rFonts w:hAnsi="宋体"/>
                <w:color w:val="000000"/>
                <w:sz w:val="18"/>
                <w:szCs w:val="18"/>
              </w:rPr>
              <w:t>偏差</w:t>
            </w:r>
          </w:p>
          <w:p>
            <w:pPr>
              <w:jc w:val="center"/>
              <w:rPr>
                <w:rFonts w:hAnsi="宋体"/>
                <w:color w:val="000000"/>
                <w:sz w:val="18"/>
                <w:szCs w:val="18"/>
              </w:rPr>
            </w:pPr>
            <w:r>
              <w:rPr>
                <w:rFonts w:hint="eastAsia" w:hAnsi="宋体"/>
                <w:color w:val="000000"/>
                <w:sz w:val="18"/>
                <w:szCs w:val="18"/>
              </w:rPr>
              <w:t>mm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1992" w:type="dxa"/>
            <w:vAlign w:val="center"/>
          </w:tcPr>
          <w:p>
            <w:pPr>
              <w:jc w:val="center"/>
              <w:rPr>
                <w:rFonts w:hAnsi="宋体"/>
                <w:color w:val="000000"/>
                <w:sz w:val="18"/>
                <w:szCs w:val="18"/>
              </w:rPr>
            </w:pPr>
            <w:r>
              <w:rPr>
                <w:rFonts w:hint="eastAsia" w:hAnsi="宋体"/>
                <w:color w:val="000000"/>
                <w:sz w:val="18"/>
                <w:szCs w:val="18"/>
              </w:rPr>
              <w:t>700</w:t>
            </w:r>
            <w:r>
              <w:rPr>
                <w:rFonts w:hAnsi="宋体"/>
                <w:color w:val="000000"/>
                <w:sz w:val="18"/>
                <w:szCs w:val="18"/>
              </w:rPr>
              <w:t>.00～1500.00</w:t>
            </w:r>
          </w:p>
        </w:tc>
        <w:tc>
          <w:tcPr>
            <w:tcW w:w="1276" w:type="dxa"/>
            <w:vAlign w:val="center"/>
          </w:tcPr>
          <w:p>
            <w:pPr>
              <w:jc w:val="center"/>
              <w:rPr>
                <w:rFonts w:hAnsi="宋体"/>
                <w:color w:val="000000"/>
                <w:sz w:val="18"/>
                <w:szCs w:val="18"/>
              </w:rPr>
            </w:pPr>
            <w:r>
              <w:rPr>
                <w:rFonts w:hAnsi="宋体"/>
                <w:color w:val="000000"/>
                <w:sz w:val="18"/>
                <w:szCs w:val="18"/>
              </w:rPr>
              <w:t>±2.00</w:t>
            </w:r>
          </w:p>
        </w:tc>
        <w:tc>
          <w:tcPr>
            <w:tcW w:w="1559" w:type="dxa"/>
            <w:vAlign w:val="center"/>
          </w:tcPr>
          <w:p>
            <w:pPr>
              <w:jc w:val="center"/>
              <w:rPr>
                <w:rFonts w:hAnsi="宋体"/>
                <w:color w:val="000000"/>
                <w:sz w:val="18"/>
                <w:szCs w:val="18"/>
              </w:rPr>
            </w:pPr>
            <w:r>
              <w:rPr>
                <w:rFonts w:hint="eastAsia" w:hAnsi="宋体"/>
                <w:color w:val="000000"/>
                <w:sz w:val="18"/>
                <w:szCs w:val="18"/>
              </w:rPr>
              <w:t>50</w:t>
            </w:r>
            <w:r>
              <w:rPr>
                <w:rFonts w:hAnsi="宋体"/>
                <w:color w:val="000000"/>
                <w:sz w:val="18"/>
                <w:szCs w:val="18"/>
              </w:rPr>
              <w:t>.00～</w:t>
            </w:r>
            <w:r>
              <w:rPr>
                <w:rFonts w:hint="eastAsia" w:hAnsi="宋体"/>
                <w:color w:val="000000"/>
                <w:sz w:val="18"/>
                <w:szCs w:val="18"/>
              </w:rPr>
              <w:t>9</w:t>
            </w:r>
            <w:r>
              <w:rPr>
                <w:rFonts w:hAnsi="宋体"/>
                <w:color w:val="000000"/>
                <w:sz w:val="18"/>
                <w:szCs w:val="18"/>
              </w:rPr>
              <w:t>0.00</w:t>
            </w:r>
          </w:p>
        </w:tc>
        <w:tc>
          <w:tcPr>
            <w:tcW w:w="992" w:type="dxa"/>
            <w:vAlign w:val="center"/>
          </w:tcPr>
          <w:p>
            <w:pPr>
              <w:jc w:val="center"/>
              <w:rPr>
                <w:rFonts w:hAnsi="宋体"/>
                <w:color w:val="000000"/>
                <w:sz w:val="18"/>
                <w:szCs w:val="18"/>
              </w:rPr>
            </w:pPr>
            <w:r>
              <w:rPr>
                <w:rFonts w:hAnsi="宋体"/>
                <w:color w:val="000000"/>
                <w:sz w:val="18"/>
                <w:szCs w:val="18"/>
              </w:rPr>
              <w:t>±0.</w:t>
            </w:r>
            <w:r>
              <w:rPr>
                <w:rFonts w:hint="eastAsia" w:hAnsi="宋体"/>
                <w:color w:val="000000"/>
                <w:sz w:val="18"/>
                <w:szCs w:val="18"/>
              </w:rPr>
              <w:t>2</w:t>
            </w:r>
            <w:r>
              <w:rPr>
                <w:rFonts w:hAnsi="宋体"/>
                <w:color w:val="000000"/>
                <w:sz w:val="18"/>
                <w:szCs w:val="18"/>
              </w:rPr>
              <w:t>0</w:t>
            </w:r>
          </w:p>
        </w:tc>
        <w:tc>
          <w:tcPr>
            <w:tcW w:w="1418" w:type="dxa"/>
            <w:vAlign w:val="center"/>
          </w:tcPr>
          <w:p>
            <w:pPr>
              <w:jc w:val="center"/>
              <w:rPr>
                <w:rFonts w:hAnsi="宋体"/>
                <w:color w:val="000000"/>
                <w:sz w:val="18"/>
                <w:szCs w:val="18"/>
              </w:rPr>
            </w:pPr>
            <w:r>
              <w:rPr>
                <w:rFonts w:hint="eastAsia" w:hAnsi="宋体"/>
                <w:color w:val="000000"/>
                <w:sz w:val="18"/>
                <w:szCs w:val="18"/>
              </w:rPr>
              <w:t>2</w:t>
            </w:r>
            <w:r>
              <w:rPr>
                <w:rFonts w:hAnsi="宋体"/>
                <w:color w:val="000000"/>
                <w:sz w:val="18"/>
                <w:szCs w:val="18"/>
              </w:rPr>
              <w:t>0.00</w:t>
            </w:r>
            <w:r>
              <w:rPr>
                <w:rFonts w:hint="eastAsia" w:hAnsi="宋体"/>
                <w:color w:val="000000"/>
                <w:sz w:val="18"/>
                <w:szCs w:val="18"/>
              </w:rPr>
              <w:t>～45</w:t>
            </w:r>
            <w:r>
              <w:rPr>
                <w:rFonts w:hAnsi="宋体"/>
                <w:color w:val="000000"/>
                <w:sz w:val="18"/>
                <w:szCs w:val="18"/>
              </w:rPr>
              <w:t>.00</w:t>
            </w:r>
          </w:p>
        </w:tc>
        <w:tc>
          <w:tcPr>
            <w:tcW w:w="982" w:type="dxa"/>
            <w:vAlign w:val="center"/>
          </w:tcPr>
          <w:p>
            <w:pPr>
              <w:jc w:val="center"/>
              <w:rPr>
                <w:rFonts w:hAnsi="宋体"/>
                <w:color w:val="000000"/>
                <w:sz w:val="18"/>
                <w:szCs w:val="18"/>
              </w:rPr>
            </w:pPr>
            <w:r>
              <w:rPr>
                <w:rFonts w:hAnsi="宋体"/>
                <w:color w:val="000000"/>
                <w:sz w:val="18"/>
                <w:szCs w:val="18"/>
              </w:rPr>
              <w:t>±0.</w:t>
            </w:r>
            <w:r>
              <w:rPr>
                <w:rFonts w:hint="eastAsia" w:hAnsi="宋体"/>
                <w:color w:val="000000"/>
                <w:sz w:val="18"/>
                <w:szCs w:val="18"/>
              </w:rPr>
              <w:t>2</w:t>
            </w:r>
            <w:r>
              <w:rPr>
                <w:rFonts w:hAnsi="宋体"/>
                <w:color w:val="000000"/>
                <w:sz w:val="18"/>
                <w:szCs w:val="18"/>
              </w:rPr>
              <w:t>0</w:t>
            </w:r>
          </w:p>
        </w:tc>
      </w:tr>
    </w:tbl>
    <w:p>
      <w:pPr>
        <w:pStyle w:val="5"/>
        <w:spacing w:line="360" w:lineRule="auto"/>
        <w:ind w:firstLine="562" w:firstLineChars="200"/>
        <w:outlineLvl w:val="1"/>
        <w:rPr>
          <w:rFonts w:ascii="仿宋" w:hAnsi="仿宋" w:eastAsia="仿宋" w:cs="仿宋"/>
          <w:b/>
          <w:bCs/>
          <w:sz w:val="28"/>
          <w:szCs w:val="28"/>
        </w:rPr>
      </w:pPr>
      <w:bookmarkStart w:id="19" w:name="_Toc14492"/>
      <w:r>
        <w:rPr>
          <w:rFonts w:hint="eastAsia" w:ascii="仿宋" w:hAnsi="仿宋" w:eastAsia="仿宋" w:cs="仿宋"/>
          <w:b/>
          <w:bCs/>
          <w:sz w:val="28"/>
          <w:szCs w:val="28"/>
        </w:rPr>
        <w:t>4.7力学性能</w:t>
      </w:r>
      <w:bookmarkEnd w:id="19"/>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栅栏阳极板主要由铅合金包覆铝芯构成，其力学性能取决于铅合金包覆铝芯的力学性能，所以力学性能针对铅合金包覆铝芯做相关实验和检测，对不同型号的铅合金包覆铝芯复合棒阳极板检测数据数据汇总，铅合金包覆铝芯复合棒的温室力学性能检测数据统计如下：</w:t>
      </w:r>
    </w:p>
    <w:p>
      <w:pPr>
        <w:spacing w:line="360" w:lineRule="auto"/>
        <w:jc w:val="center"/>
        <w:rPr>
          <w:rFonts w:ascii="仿宋" w:hAnsi="仿宋" w:eastAsia="仿宋" w:cs="仿宋"/>
          <w:b/>
          <w:bCs/>
          <w:color w:val="FF0000"/>
          <w:sz w:val="28"/>
          <w:szCs w:val="28"/>
        </w:rPr>
      </w:pPr>
      <w:r>
        <w:rPr>
          <w:rFonts w:hint="eastAsia" w:ascii="仿宋" w:hAnsi="仿宋" w:eastAsia="仿宋" w:cs="仿宋"/>
          <w:b/>
          <w:bCs/>
          <w:color w:val="000000"/>
          <w:sz w:val="28"/>
          <w:szCs w:val="28"/>
        </w:rPr>
        <w:t>表7 铅合金包覆铝芯的力学性能检测统计表</w:t>
      </w:r>
    </w:p>
    <w:tbl>
      <w:tblPr>
        <w:tblStyle w:val="12"/>
        <w:tblW w:w="889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87"/>
        <w:gridCol w:w="1984"/>
        <w:gridCol w:w="1843"/>
        <w:gridCol w:w="1559"/>
        <w:gridCol w:w="222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287" w:type="dxa"/>
            <w:vMerge w:val="restart"/>
            <w:tcBorders>
              <w:left w:val="single" w:color="auto" w:sz="4" w:space="0"/>
              <w:right w:val="single" w:color="auto" w:sz="4" w:space="0"/>
            </w:tcBorders>
            <w:vAlign w:val="center"/>
          </w:tcPr>
          <w:p>
            <w:pPr>
              <w:spacing w:line="240" w:lineRule="auto"/>
              <w:jc w:val="center"/>
              <w:rPr>
                <w:color w:val="000000"/>
                <w:kern w:val="0"/>
                <w:sz w:val="18"/>
                <w:szCs w:val="18"/>
              </w:rPr>
            </w:pPr>
            <w:r>
              <w:rPr>
                <w:color w:val="000000"/>
                <w:kern w:val="0"/>
                <w:sz w:val="18"/>
                <w:szCs w:val="18"/>
              </w:rPr>
              <w:t>类型</w:t>
            </w:r>
          </w:p>
        </w:tc>
        <w:tc>
          <w:tcPr>
            <w:tcW w:w="1984" w:type="dxa"/>
            <w:vMerge w:val="restart"/>
            <w:tcBorders>
              <w:left w:val="single" w:color="auto" w:sz="4" w:space="0"/>
            </w:tcBorders>
            <w:vAlign w:val="center"/>
          </w:tcPr>
          <w:p>
            <w:pPr>
              <w:jc w:val="center"/>
              <w:rPr>
                <w:color w:val="000000"/>
                <w:kern w:val="0"/>
                <w:sz w:val="18"/>
                <w:szCs w:val="18"/>
              </w:rPr>
            </w:pPr>
            <w:r>
              <w:rPr>
                <w:rFonts w:hint="eastAsia"/>
                <w:color w:val="000000"/>
                <w:kern w:val="0"/>
                <w:sz w:val="18"/>
                <w:szCs w:val="18"/>
              </w:rPr>
              <w:t>合金成分</w:t>
            </w:r>
          </w:p>
        </w:tc>
        <w:tc>
          <w:tcPr>
            <w:tcW w:w="3402" w:type="dxa"/>
            <w:gridSpan w:val="2"/>
            <w:vAlign w:val="center"/>
          </w:tcPr>
          <w:p>
            <w:pPr>
              <w:spacing w:line="240" w:lineRule="auto"/>
              <w:jc w:val="center"/>
              <w:rPr>
                <w:color w:val="000000"/>
                <w:kern w:val="0"/>
                <w:sz w:val="18"/>
                <w:szCs w:val="18"/>
              </w:rPr>
            </w:pPr>
            <w:r>
              <w:rPr>
                <w:color w:val="000000"/>
                <w:kern w:val="0"/>
                <w:sz w:val="18"/>
                <w:szCs w:val="18"/>
              </w:rPr>
              <w:t>拉伸试验</w:t>
            </w:r>
          </w:p>
        </w:tc>
        <w:tc>
          <w:tcPr>
            <w:tcW w:w="2226" w:type="dxa"/>
            <w:vAlign w:val="center"/>
          </w:tcPr>
          <w:p>
            <w:pPr>
              <w:spacing w:line="240" w:lineRule="auto"/>
              <w:jc w:val="center"/>
              <w:rPr>
                <w:color w:val="000000"/>
                <w:kern w:val="0"/>
                <w:sz w:val="18"/>
                <w:szCs w:val="18"/>
              </w:rPr>
            </w:pPr>
            <w:r>
              <w:rPr>
                <w:color w:val="000000"/>
                <w:kern w:val="0"/>
                <w:sz w:val="18"/>
                <w:szCs w:val="18"/>
              </w:rPr>
              <w:t>硬度试验</w:t>
            </w:r>
            <w:r>
              <w:rPr>
                <w:rFonts w:hint="eastAsia"/>
                <w:color w:val="000000"/>
                <w:kern w:val="0"/>
                <w:sz w:val="18"/>
                <w:szCs w:val="18"/>
              </w:rPr>
              <w:t>（铅合金层）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3" w:hRule="atLeast"/>
          <w:jc w:val="center"/>
        </w:trPr>
        <w:tc>
          <w:tcPr>
            <w:tcW w:w="1287" w:type="dxa"/>
            <w:vMerge w:val="continue"/>
            <w:tcBorders>
              <w:left w:val="single" w:color="auto" w:sz="4" w:space="0"/>
              <w:right w:val="single" w:color="auto" w:sz="4" w:space="0"/>
            </w:tcBorders>
            <w:vAlign w:val="center"/>
          </w:tcPr>
          <w:p>
            <w:pPr>
              <w:spacing w:line="240" w:lineRule="auto"/>
              <w:jc w:val="center"/>
              <w:rPr>
                <w:color w:val="000000"/>
                <w:kern w:val="0"/>
                <w:sz w:val="18"/>
                <w:szCs w:val="18"/>
              </w:rPr>
            </w:pPr>
          </w:p>
        </w:tc>
        <w:tc>
          <w:tcPr>
            <w:tcW w:w="1984" w:type="dxa"/>
            <w:vMerge w:val="continue"/>
            <w:tcBorders>
              <w:left w:val="single" w:color="auto" w:sz="4" w:space="0"/>
            </w:tcBorders>
            <w:vAlign w:val="center"/>
          </w:tcPr>
          <w:p>
            <w:pPr>
              <w:spacing w:line="240" w:lineRule="auto"/>
              <w:jc w:val="center"/>
              <w:rPr>
                <w:color w:val="000000"/>
                <w:kern w:val="0"/>
                <w:sz w:val="18"/>
                <w:szCs w:val="18"/>
              </w:rPr>
            </w:pPr>
          </w:p>
        </w:tc>
        <w:tc>
          <w:tcPr>
            <w:tcW w:w="1843" w:type="dxa"/>
            <w:vAlign w:val="center"/>
          </w:tcPr>
          <w:p>
            <w:pPr>
              <w:spacing w:line="240" w:lineRule="auto"/>
              <w:jc w:val="center"/>
              <w:rPr>
                <w:color w:val="000000"/>
                <w:kern w:val="0"/>
                <w:sz w:val="18"/>
                <w:szCs w:val="18"/>
              </w:rPr>
            </w:pPr>
            <w:r>
              <w:rPr>
                <w:color w:val="000000"/>
                <w:kern w:val="0"/>
                <w:sz w:val="18"/>
                <w:szCs w:val="18"/>
              </w:rPr>
              <w:t>拉伸强度</w:t>
            </w:r>
          </w:p>
          <w:p>
            <w:pPr>
              <w:spacing w:line="240" w:lineRule="auto"/>
              <w:jc w:val="center"/>
              <w:rPr>
                <w:color w:val="000000"/>
                <w:kern w:val="0"/>
                <w:sz w:val="18"/>
                <w:szCs w:val="18"/>
              </w:rPr>
            </w:pPr>
            <w:r>
              <w:rPr>
                <w:color w:val="000000"/>
                <w:kern w:val="0"/>
                <w:sz w:val="18"/>
                <w:szCs w:val="18"/>
              </w:rPr>
              <w:t>Rm/MPa</w:t>
            </w:r>
          </w:p>
        </w:tc>
        <w:tc>
          <w:tcPr>
            <w:tcW w:w="1559" w:type="dxa"/>
            <w:vAlign w:val="center"/>
          </w:tcPr>
          <w:p>
            <w:pPr>
              <w:tabs>
                <w:tab w:val="center" w:pos="1167"/>
              </w:tabs>
              <w:spacing w:line="240" w:lineRule="auto"/>
              <w:jc w:val="center"/>
              <w:rPr>
                <w:color w:val="000000"/>
                <w:kern w:val="0"/>
                <w:sz w:val="18"/>
                <w:szCs w:val="18"/>
              </w:rPr>
            </w:pPr>
            <w:r>
              <w:rPr>
                <w:color w:val="000000"/>
                <w:kern w:val="0"/>
                <w:sz w:val="18"/>
                <w:szCs w:val="18"/>
              </w:rPr>
              <w:t>断后伸长率A</w:t>
            </w:r>
          </w:p>
          <w:p>
            <w:pPr>
              <w:tabs>
                <w:tab w:val="center" w:pos="1167"/>
              </w:tabs>
              <w:spacing w:line="240" w:lineRule="auto"/>
              <w:jc w:val="center"/>
              <w:rPr>
                <w:color w:val="000000"/>
                <w:kern w:val="0"/>
                <w:sz w:val="18"/>
                <w:szCs w:val="18"/>
              </w:rPr>
            </w:pPr>
            <w:r>
              <w:rPr>
                <w:color w:val="000000"/>
                <w:kern w:val="0"/>
                <w:sz w:val="18"/>
                <w:szCs w:val="18"/>
              </w:rPr>
              <w:t>%</w:t>
            </w:r>
          </w:p>
        </w:tc>
        <w:tc>
          <w:tcPr>
            <w:tcW w:w="2226" w:type="dxa"/>
            <w:vAlign w:val="center"/>
          </w:tcPr>
          <w:p>
            <w:pPr>
              <w:spacing w:line="240" w:lineRule="auto"/>
              <w:jc w:val="center"/>
              <w:rPr>
                <w:color w:val="000000"/>
                <w:kern w:val="0"/>
                <w:sz w:val="18"/>
                <w:szCs w:val="18"/>
              </w:rPr>
            </w:pPr>
            <w:r>
              <w:rPr>
                <w:color w:val="000000"/>
                <w:kern w:val="0"/>
                <w:sz w:val="18"/>
                <w:szCs w:val="18"/>
              </w:rPr>
              <w:t>布氏硬度</w:t>
            </w:r>
          </w:p>
          <w:p>
            <w:pPr>
              <w:spacing w:line="240" w:lineRule="auto"/>
              <w:jc w:val="center"/>
              <w:rPr>
                <w:color w:val="000000"/>
                <w:kern w:val="0"/>
                <w:sz w:val="18"/>
                <w:szCs w:val="18"/>
              </w:rPr>
            </w:pPr>
            <w:r>
              <w:rPr>
                <w:color w:val="000000"/>
                <w:kern w:val="0"/>
                <w:sz w:val="18"/>
                <w:szCs w:val="18"/>
              </w:rPr>
              <w:t>HB</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restart"/>
            <w:tcBorders>
              <w:left w:val="single" w:color="auto" w:sz="4" w:space="0"/>
              <w:right w:val="single" w:color="auto" w:sz="4" w:space="0"/>
            </w:tcBorders>
            <w:vAlign w:val="center"/>
          </w:tcPr>
          <w:p>
            <w:pPr>
              <w:spacing w:line="240" w:lineRule="auto"/>
              <w:jc w:val="center"/>
              <w:rPr>
                <w:color w:val="000000"/>
                <w:kern w:val="0"/>
                <w:sz w:val="18"/>
                <w:szCs w:val="18"/>
              </w:rPr>
            </w:pPr>
            <w:r>
              <w:rPr>
                <w:rFonts w:hint="eastAsia" w:hAnsi="宋体"/>
                <w:color w:val="000000"/>
                <w:sz w:val="18"/>
                <w:szCs w:val="18"/>
              </w:rPr>
              <w:t>铜电积栅栏型阳极板</w:t>
            </w:r>
          </w:p>
        </w:tc>
        <w:tc>
          <w:tcPr>
            <w:tcW w:w="1984" w:type="dxa"/>
            <w:tcBorders>
              <w:left w:val="single" w:color="auto" w:sz="4" w:space="0"/>
            </w:tcBorders>
            <w:vAlign w:val="center"/>
          </w:tcPr>
          <w:p>
            <w:pPr>
              <w:jc w:val="center"/>
              <w:rPr>
                <w:color w:val="000000"/>
                <w:kern w:val="0"/>
                <w:sz w:val="18"/>
                <w:szCs w:val="18"/>
              </w:rPr>
            </w:pPr>
            <w:r>
              <w:rPr>
                <w:color w:val="000000"/>
                <w:kern w:val="0"/>
                <w:sz w:val="18"/>
                <w:szCs w:val="18"/>
              </w:rPr>
              <w:t>PbSb</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≥26.00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≤45.00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≥6.00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continue"/>
            <w:tcBorders>
              <w:left w:val="single" w:color="auto" w:sz="4" w:space="0"/>
              <w:right w:val="single" w:color="auto" w:sz="4" w:space="0"/>
            </w:tcBorders>
            <w:vAlign w:val="center"/>
          </w:tcPr>
          <w:p>
            <w:pPr>
              <w:spacing w:line="240" w:lineRule="auto"/>
              <w:jc w:val="center"/>
              <w:rPr>
                <w:color w:val="000000"/>
                <w:kern w:val="0"/>
                <w:sz w:val="18"/>
                <w:szCs w:val="18"/>
              </w:rPr>
            </w:pPr>
          </w:p>
        </w:tc>
        <w:tc>
          <w:tcPr>
            <w:tcW w:w="1984" w:type="dxa"/>
            <w:tcBorders>
              <w:left w:val="single" w:color="auto" w:sz="4" w:space="0"/>
            </w:tcBorders>
            <w:vAlign w:val="center"/>
          </w:tcPr>
          <w:p>
            <w:pPr>
              <w:jc w:val="center"/>
              <w:rPr>
                <w:color w:val="000000"/>
                <w:kern w:val="0"/>
                <w:sz w:val="18"/>
                <w:szCs w:val="18"/>
              </w:rPr>
            </w:pPr>
            <w:r>
              <w:rPr>
                <w:color w:val="000000"/>
                <w:kern w:val="0"/>
                <w:sz w:val="18"/>
                <w:szCs w:val="18"/>
              </w:rPr>
              <w:t>PbCaSn</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≥31.00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≤55.00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continue"/>
            <w:tcBorders>
              <w:left w:val="single" w:color="auto" w:sz="4" w:space="0"/>
              <w:right w:val="single" w:color="auto" w:sz="4" w:space="0"/>
            </w:tcBorders>
            <w:vAlign w:val="center"/>
          </w:tcPr>
          <w:p>
            <w:pPr>
              <w:spacing w:line="240" w:lineRule="auto"/>
              <w:jc w:val="center"/>
              <w:rPr>
                <w:color w:val="000000"/>
                <w:kern w:val="0"/>
                <w:sz w:val="18"/>
                <w:szCs w:val="18"/>
              </w:rPr>
            </w:pPr>
          </w:p>
        </w:tc>
        <w:tc>
          <w:tcPr>
            <w:tcW w:w="1984" w:type="dxa"/>
            <w:tcBorders>
              <w:left w:val="single" w:color="auto" w:sz="4" w:space="0"/>
            </w:tcBorders>
            <w:vAlign w:val="center"/>
          </w:tcPr>
          <w:p>
            <w:pPr>
              <w:spacing w:line="240" w:lineRule="auto"/>
              <w:jc w:val="center"/>
              <w:rPr>
                <w:color w:val="000000"/>
                <w:kern w:val="0"/>
                <w:sz w:val="18"/>
                <w:szCs w:val="18"/>
              </w:rPr>
            </w:pPr>
            <w:r>
              <w:rPr>
                <w:color w:val="000000"/>
                <w:kern w:val="0"/>
                <w:sz w:val="18"/>
                <w:szCs w:val="18"/>
              </w:rPr>
              <w:t>PbCaSnSrR</w:t>
            </w:r>
            <w:r>
              <w:rPr>
                <w:rFonts w:hint="eastAsia"/>
                <w:color w:val="000000"/>
                <w:kern w:val="0"/>
                <w:sz w:val="18"/>
                <w:szCs w:val="18"/>
              </w:rPr>
              <w:t>e</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≥32.00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≤55.00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restart"/>
            <w:tcBorders>
              <w:left w:val="single" w:color="auto" w:sz="4" w:space="0"/>
              <w:right w:val="single" w:color="auto" w:sz="4" w:space="0"/>
            </w:tcBorders>
            <w:vAlign w:val="center"/>
          </w:tcPr>
          <w:p>
            <w:pPr>
              <w:spacing w:line="240" w:lineRule="auto"/>
              <w:jc w:val="center"/>
              <w:rPr>
                <w:color w:val="000000"/>
                <w:kern w:val="0"/>
                <w:sz w:val="18"/>
                <w:szCs w:val="18"/>
              </w:rPr>
            </w:pPr>
            <w:r>
              <w:rPr>
                <w:rFonts w:hint="eastAsia" w:hAnsi="宋体"/>
                <w:color w:val="000000"/>
                <w:sz w:val="18"/>
                <w:szCs w:val="18"/>
              </w:rPr>
              <w:t>锌电积栅栏型阳极板</w:t>
            </w:r>
          </w:p>
        </w:tc>
        <w:tc>
          <w:tcPr>
            <w:tcW w:w="1984" w:type="dxa"/>
            <w:tcBorders>
              <w:left w:val="single" w:color="auto" w:sz="4" w:space="0"/>
            </w:tcBorders>
            <w:vAlign w:val="center"/>
          </w:tcPr>
          <w:p>
            <w:pPr>
              <w:jc w:val="center"/>
              <w:rPr>
                <w:color w:val="000000"/>
                <w:kern w:val="0"/>
                <w:sz w:val="18"/>
                <w:szCs w:val="18"/>
              </w:rPr>
            </w:pPr>
            <w:r>
              <w:rPr>
                <w:color w:val="000000"/>
                <w:kern w:val="0"/>
                <w:sz w:val="18"/>
                <w:szCs w:val="18"/>
              </w:rPr>
              <w:t>PbAg</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≥24.00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≤40.00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≥6.50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continue"/>
            <w:tcBorders>
              <w:left w:val="single" w:color="auto" w:sz="4" w:space="0"/>
              <w:right w:val="single" w:color="auto" w:sz="4" w:space="0"/>
            </w:tcBorders>
            <w:vAlign w:val="center"/>
          </w:tcPr>
          <w:p>
            <w:pPr>
              <w:spacing w:line="240" w:lineRule="auto"/>
              <w:jc w:val="center"/>
              <w:rPr>
                <w:color w:val="000000"/>
                <w:kern w:val="0"/>
                <w:sz w:val="18"/>
                <w:szCs w:val="18"/>
              </w:rPr>
            </w:pPr>
          </w:p>
        </w:tc>
        <w:tc>
          <w:tcPr>
            <w:tcW w:w="1984" w:type="dxa"/>
            <w:tcBorders>
              <w:left w:val="single" w:color="auto" w:sz="4" w:space="0"/>
            </w:tcBorders>
            <w:vAlign w:val="center"/>
          </w:tcPr>
          <w:p>
            <w:pPr>
              <w:jc w:val="center"/>
              <w:rPr>
                <w:color w:val="000000"/>
                <w:kern w:val="0"/>
                <w:sz w:val="18"/>
                <w:szCs w:val="18"/>
              </w:rPr>
            </w:pPr>
            <w:r>
              <w:rPr>
                <w:color w:val="000000"/>
                <w:kern w:val="0"/>
                <w:sz w:val="18"/>
                <w:szCs w:val="18"/>
              </w:rPr>
              <w:t>PbAgCaSr</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≥28.00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≤45.00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continue"/>
            <w:tcBorders>
              <w:left w:val="single" w:color="auto" w:sz="4" w:space="0"/>
              <w:right w:val="single" w:color="auto" w:sz="4" w:space="0"/>
            </w:tcBorders>
            <w:vAlign w:val="center"/>
          </w:tcPr>
          <w:p>
            <w:pPr>
              <w:spacing w:line="240" w:lineRule="auto"/>
              <w:jc w:val="center"/>
              <w:rPr>
                <w:color w:val="000000"/>
                <w:kern w:val="0"/>
                <w:sz w:val="18"/>
                <w:szCs w:val="18"/>
              </w:rPr>
            </w:pPr>
          </w:p>
        </w:tc>
        <w:tc>
          <w:tcPr>
            <w:tcW w:w="1984" w:type="dxa"/>
            <w:tcBorders>
              <w:left w:val="single" w:color="auto" w:sz="4" w:space="0"/>
            </w:tcBorders>
            <w:vAlign w:val="center"/>
          </w:tcPr>
          <w:p>
            <w:pPr>
              <w:spacing w:line="240" w:lineRule="auto"/>
              <w:jc w:val="center"/>
              <w:rPr>
                <w:color w:val="000000"/>
                <w:kern w:val="0"/>
                <w:sz w:val="18"/>
                <w:szCs w:val="18"/>
              </w:rPr>
            </w:pPr>
            <w:r>
              <w:rPr>
                <w:color w:val="000000"/>
                <w:kern w:val="0"/>
                <w:sz w:val="18"/>
                <w:szCs w:val="18"/>
              </w:rPr>
              <w:t>PbAgCaSrR</w:t>
            </w:r>
            <w:r>
              <w:rPr>
                <w:rFonts w:hint="eastAsia"/>
                <w:color w:val="000000"/>
                <w:kern w:val="0"/>
                <w:sz w:val="18"/>
                <w:szCs w:val="18"/>
              </w:rPr>
              <w:t>e</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≥28.00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≤45.00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restart"/>
            <w:tcBorders>
              <w:left w:val="single" w:color="auto" w:sz="4" w:space="0"/>
              <w:right w:val="single" w:color="auto" w:sz="4" w:space="0"/>
            </w:tcBorders>
            <w:vAlign w:val="center"/>
          </w:tcPr>
          <w:p>
            <w:pPr>
              <w:spacing w:line="240" w:lineRule="auto"/>
              <w:jc w:val="center"/>
              <w:rPr>
                <w:color w:val="000000"/>
                <w:kern w:val="0"/>
                <w:sz w:val="18"/>
                <w:szCs w:val="18"/>
              </w:rPr>
            </w:pPr>
            <w:r>
              <w:rPr>
                <w:color w:val="000000"/>
                <w:sz w:val="18"/>
                <w:szCs w:val="18"/>
              </w:rPr>
              <w:t>镍电积栅栏型阳极板</w:t>
            </w:r>
          </w:p>
        </w:tc>
        <w:tc>
          <w:tcPr>
            <w:tcW w:w="1984" w:type="dxa"/>
            <w:tcBorders>
              <w:left w:val="single" w:color="auto" w:sz="4" w:space="0"/>
            </w:tcBorders>
            <w:vAlign w:val="center"/>
          </w:tcPr>
          <w:p>
            <w:pPr>
              <w:jc w:val="center"/>
              <w:rPr>
                <w:color w:val="000000"/>
                <w:sz w:val="18"/>
                <w:szCs w:val="18"/>
              </w:rPr>
            </w:pPr>
            <w:r>
              <w:rPr>
                <w:color w:val="000000"/>
                <w:sz w:val="18"/>
                <w:szCs w:val="18"/>
              </w:rPr>
              <w:t>PbAgCaSrR</w:t>
            </w:r>
            <w:r>
              <w:rPr>
                <w:rFonts w:hint="eastAsia"/>
                <w:color w:val="000000"/>
                <w:sz w:val="18"/>
                <w:szCs w:val="18"/>
              </w:rPr>
              <w:t>e</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≥28.00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≤45.00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continue"/>
            <w:tcBorders>
              <w:left w:val="single" w:color="auto" w:sz="4" w:space="0"/>
              <w:right w:val="single" w:color="auto" w:sz="4" w:space="0"/>
            </w:tcBorders>
            <w:vAlign w:val="center"/>
          </w:tcPr>
          <w:p>
            <w:pPr>
              <w:spacing w:line="240" w:lineRule="auto"/>
              <w:jc w:val="center"/>
              <w:rPr>
                <w:color w:val="000000"/>
                <w:kern w:val="0"/>
                <w:sz w:val="18"/>
                <w:szCs w:val="18"/>
              </w:rPr>
            </w:pPr>
          </w:p>
        </w:tc>
        <w:tc>
          <w:tcPr>
            <w:tcW w:w="1984" w:type="dxa"/>
            <w:tcBorders>
              <w:left w:val="single" w:color="auto" w:sz="4" w:space="0"/>
            </w:tcBorders>
            <w:vAlign w:val="center"/>
          </w:tcPr>
          <w:p>
            <w:pPr>
              <w:jc w:val="center"/>
              <w:rPr>
                <w:color w:val="000000"/>
                <w:sz w:val="18"/>
                <w:szCs w:val="18"/>
              </w:rPr>
            </w:pPr>
            <w:r>
              <w:rPr>
                <w:color w:val="000000"/>
                <w:sz w:val="18"/>
                <w:szCs w:val="18"/>
              </w:rPr>
              <w:t>PbSnCaR</w:t>
            </w:r>
            <w:r>
              <w:rPr>
                <w:rFonts w:hint="eastAsia"/>
                <w:color w:val="000000"/>
                <w:sz w:val="18"/>
                <w:szCs w:val="18"/>
              </w:rPr>
              <w:t>e</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≥31.00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≤55.00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restart"/>
            <w:tcBorders>
              <w:left w:val="single" w:color="auto" w:sz="4" w:space="0"/>
              <w:right w:val="single" w:color="auto" w:sz="4" w:space="0"/>
            </w:tcBorders>
            <w:vAlign w:val="center"/>
          </w:tcPr>
          <w:p>
            <w:pPr>
              <w:spacing w:line="240" w:lineRule="auto"/>
              <w:jc w:val="center"/>
              <w:rPr>
                <w:color w:val="000000"/>
                <w:kern w:val="0"/>
                <w:sz w:val="18"/>
                <w:szCs w:val="18"/>
              </w:rPr>
            </w:pPr>
            <w:r>
              <w:rPr>
                <w:rFonts w:hint="eastAsia" w:hAnsi="宋体"/>
                <w:color w:val="000000"/>
                <w:sz w:val="18"/>
                <w:szCs w:val="18"/>
              </w:rPr>
              <w:t>锰电积栅栏型阳极板</w:t>
            </w:r>
          </w:p>
        </w:tc>
        <w:tc>
          <w:tcPr>
            <w:tcW w:w="1984" w:type="dxa"/>
            <w:tcBorders>
              <w:left w:val="single" w:color="auto" w:sz="4" w:space="0"/>
            </w:tcBorders>
            <w:vAlign w:val="center"/>
          </w:tcPr>
          <w:p>
            <w:pPr>
              <w:jc w:val="center"/>
              <w:rPr>
                <w:color w:val="000000"/>
                <w:sz w:val="18"/>
                <w:szCs w:val="18"/>
              </w:rPr>
            </w:pPr>
            <w:r>
              <w:rPr>
                <w:color w:val="000000"/>
                <w:sz w:val="18"/>
                <w:szCs w:val="18"/>
              </w:rPr>
              <w:t>PbAgSnSr</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≥26.00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≤43.00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continue"/>
            <w:tcBorders>
              <w:left w:val="single" w:color="auto" w:sz="4" w:space="0"/>
              <w:right w:val="single" w:color="auto" w:sz="4" w:space="0"/>
            </w:tcBorders>
            <w:vAlign w:val="center"/>
          </w:tcPr>
          <w:p>
            <w:pPr>
              <w:spacing w:line="240" w:lineRule="auto"/>
              <w:jc w:val="center"/>
              <w:rPr>
                <w:color w:val="000000"/>
                <w:kern w:val="0"/>
                <w:sz w:val="18"/>
                <w:szCs w:val="18"/>
              </w:rPr>
            </w:pPr>
          </w:p>
        </w:tc>
        <w:tc>
          <w:tcPr>
            <w:tcW w:w="1984" w:type="dxa"/>
            <w:tcBorders>
              <w:left w:val="single" w:color="auto" w:sz="4" w:space="0"/>
            </w:tcBorders>
            <w:vAlign w:val="center"/>
          </w:tcPr>
          <w:p>
            <w:pPr>
              <w:jc w:val="center"/>
              <w:rPr>
                <w:color w:val="000000"/>
                <w:sz w:val="18"/>
                <w:szCs w:val="18"/>
              </w:rPr>
            </w:pPr>
            <w:r>
              <w:rPr>
                <w:color w:val="000000"/>
                <w:sz w:val="18"/>
                <w:szCs w:val="18"/>
              </w:rPr>
              <w:t>PbAgSnSbR</w:t>
            </w:r>
            <w:r>
              <w:rPr>
                <w:rFonts w:hint="eastAsia"/>
                <w:color w:val="000000"/>
                <w:sz w:val="18"/>
                <w:szCs w:val="18"/>
              </w:rPr>
              <w:t>e</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≥29.00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≤44.00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 w:hRule="atLeast"/>
          <w:jc w:val="center"/>
        </w:trPr>
        <w:tc>
          <w:tcPr>
            <w:tcW w:w="1287" w:type="dxa"/>
            <w:vMerge w:val="continue"/>
            <w:tcBorders>
              <w:left w:val="single" w:color="auto" w:sz="4" w:space="0"/>
              <w:right w:val="single" w:color="auto" w:sz="4" w:space="0"/>
            </w:tcBorders>
            <w:vAlign w:val="center"/>
          </w:tcPr>
          <w:p>
            <w:pPr>
              <w:spacing w:line="240" w:lineRule="auto"/>
              <w:jc w:val="center"/>
              <w:rPr>
                <w:color w:val="000000"/>
                <w:kern w:val="0"/>
                <w:sz w:val="18"/>
                <w:szCs w:val="18"/>
              </w:rPr>
            </w:pPr>
          </w:p>
        </w:tc>
        <w:tc>
          <w:tcPr>
            <w:tcW w:w="1984" w:type="dxa"/>
            <w:tcBorders>
              <w:left w:val="single" w:color="auto" w:sz="4" w:space="0"/>
            </w:tcBorders>
            <w:vAlign w:val="center"/>
          </w:tcPr>
          <w:p>
            <w:pPr>
              <w:jc w:val="center"/>
              <w:rPr>
                <w:color w:val="000000"/>
                <w:sz w:val="18"/>
                <w:szCs w:val="18"/>
              </w:rPr>
            </w:pPr>
            <w:r>
              <w:rPr>
                <w:color w:val="000000"/>
                <w:sz w:val="18"/>
                <w:szCs w:val="18"/>
              </w:rPr>
              <w:t>PbAgSnSbAs</w:t>
            </w:r>
          </w:p>
        </w:tc>
        <w:tc>
          <w:tcPr>
            <w:tcW w:w="1843" w:type="dxa"/>
            <w:vAlign w:val="center"/>
          </w:tcPr>
          <w:p>
            <w:pPr>
              <w:spacing w:line="240" w:lineRule="auto"/>
              <w:jc w:val="center"/>
              <w:rPr>
                <w:color w:val="000000"/>
                <w:kern w:val="0"/>
                <w:sz w:val="18"/>
                <w:szCs w:val="18"/>
              </w:rPr>
            </w:pPr>
            <w:r>
              <w:rPr>
                <w:rFonts w:hint="eastAsia"/>
                <w:color w:val="000000"/>
                <w:kern w:val="0"/>
                <w:sz w:val="18"/>
                <w:szCs w:val="18"/>
              </w:rPr>
              <w:t>≥30.00</w:t>
            </w:r>
          </w:p>
        </w:tc>
        <w:tc>
          <w:tcPr>
            <w:tcW w:w="1559" w:type="dxa"/>
            <w:vAlign w:val="center"/>
          </w:tcPr>
          <w:p>
            <w:pPr>
              <w:spacing w:line="240" w:lineRule="auto"/>
              <w:jc w:val="center"/>
              <w:rPr>
                <w:color w:val="000000"/>
                <w:kern w:val="0"/>
                <w:sz w:val="18"/>
                <w:szCs w:val="18"/>
              </w:rPr>
            </w:pPr>
            <w:r>
              <w:rPr>
                <w:rFonts w:hint="eastAsia"/>
                <w:color w:val="000000"/>
                <w:kern w:val="0"/>
                <w:sz w:val="18"/>
                <w:szCs w:val="18"/>
              </w:rPr>
              <w:t>≤43.00</w:t>
            </w:r>
          </w:p>
        </w:tc>
        <w:tc>
          <w:tcPr>
            <w:tcW w:w="2226" w:type="dxa"/>
            <w:vAlign w:val="center"/>
          </w:tcPr>
          <w:p>
            <w:pPr>
              <w:spacing w:line="240" w:lineRule="auto"/>
              <w:jc w:val="center"/>
              <w:rPr>
                <w:color w:val="000000"/>
                <w:kern w:val="0"/>
                <w:sz w:val="18"/>
                <w:szCs w:val="18"/>
              </w:rPr>
            </w:pPr>
            <w:r>
              <w:rPr>
                <w:rFonts w:hint="eastAsia"/>
                <w:color w:val="000000"/>
                <w:kern w:val="0"/>
                <w:sz w:val="18"/>
                <w:szCs w:val="18"/>
              </w:rPr>
              <w:t>≥7.00</w:t>
            </w:r>
          </w:p>
        </w:tc>
      </w:tr>
    </w:tbl>
    <w:p>
      <w:pPr>
        <w:pStyle w:val="5"/>
        <w:spacing w:line="360" w:lineRule="auto"/>
        <w:ind w:firstLine="562" w:firstLineChars="200"/>
        <w:outlineLvl w:val="1"/>
        <w:rPr>
          <w:rFonts w:ascii="仿宋" w:hAnsi="仿宋" w:eastAsia="仿宋" w:cs="仿宋"/>
          <w:b/>
          <w:bCs/>
          <w:sz w:val="28"/>
          <w:szCs w:val="28"/>
        </w:rPr>
      </w:pPr>
    </w:p>
    <w:p>
      <w:pPr>
        <w:pStyle w:val="5"/>
        <w:spacing w:line="360" w:lineRule="auto"/>
        <w:ind w:firstLine="562" w:firstLineChars="200"/>
        <w:outlineLvl w:val="1"/>
        <w:rPr>
          <w:rFonts w:ascii="仿宋" w:hAnsi="仿宋" w:eastAsia="仿宋" w:cs="仿宋"/>
          <w:b/>
          <w:bCs/>
          <w:sz w:val="28"/>
          <w:szCs w:val="28"/>
        </w:rPr>
      </w:pPr>
    </w:p>
    <w:p>
      <w:pPr>
        <w:pStyle w:val="5"/>
        <w:spacing w:line="360" w:lineRule="auto"/>
        <w:ind w:firstLine="562" w:firstLineChars="200"/>
        <w:outlineLvl w:val="1"/>
        <w:rPr>
          <w:rFonts w:ascii="仿宋" w:hAnsi="仿宋" w:eastAsia="仿宋" w:cs="仿宋"/>
          <w:b/>
          <w:bCs/>
          <w:sz w:val="28"/>
          <w:szCs w:val="28"/>
        </w:rPr>
      </w:pPr>
      <w:bookmarkStart w:id="20" w:name="_Toc3691"/>
      <w:r>
        <w:rPr>
          <w:rFonts w:hint="eastAsia" w:ascii="仿宋" w:hAnsi="仿宋" w:eastAsia="仿宋" w:cs="仿宋"/>
          <w:b/>
          <w:bCs/>
          <w:sz w:val="28"/>
          <w:szCs w:val="28"/>
        </w:rPr>
        <w:t>4.8导电性能</w:t>
      </w:r>
      <w:bookmarkEnd w:id="20"/>
      <w:r>
        <w:rPr>
          <w:rFonts w:hint="eastAsia" w:ascii="仿宋" w:hAnsi="仿宋" w:eastAsia="仿宋" w:cs="仿宋"/>
          <w:b/>
          <w:bCs/>
          <w:sz w:val="28"/>
          <w:szCs w:val="28"/>
        </w:rPr>
        <w:t>测试</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根据产品特点和使用环境的要求，通过对栅栏型阳极板不同类型的阳极板的导电性能检测，检测统数据最终汇总如表8：</w:t>
      </w:r>
    </w:p>
    <w:p>
      <w:pPr>
        <w:spacing w:line="360" w:lineRule="auto"/>
        <w:jc w:val="center"/>
        <w:rPr>
          <w:rFonts w:ascii="仿宋" w:hAnsi="仿宋" w:eastAsia="仿宋" w:cs="仿宋"/>
          <w:b/>
          <w:bCs/>
          <w:color w:val="000000"/>
          <w:sz w:val="28"/>
          <w:szCs w:val="28"/>
        </w:rPr>
      </w:pPr>
      <w:r>
        <w:rPr>
          <w:rFonts w:hint="eastAsia" w:ascii="仿宋" w:hAnsi="仿宋" w:eastAsia="仿宋" w:cs="仿宋"/>
          <w:b/>
          <w:bCs/>
          <w:color w:val="000000"/>
          <w:sz w:val="28"/>
          <w:szCs w:val="28"/>
        </w:rPr>
        <w:t>表8 栅栏型阳极板导电梁的导电性能检测统计表</w:t>
      </w:r>
    </w:p>
    <w:tbl>
      <w:tblPr>
        <w:tblStyle w:val="12"/>
        <w:tblW w:w="88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44"/>
        <w:gridCol w:w="2977"/>
        <w:gridCol w:w="2409"/>
        <w:gridCol w:w="23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2" w:hRule="atLeast"/>
          <w:jc w:val="center"/>
        </w:trPr>
        <w:tc>
          <w:tcPr>
            <w:tcW w:w="1144" w:type="dxa"/>
            <w:tcBorders>
              <w:right w:val="single" w:color="auto" w:sz="4" w:space="0"/>
            </w:tcBorders>
            <w:vAlign w:val="center"/>
          </w:tcPr>
          <w:p>
            <w:pPr>
              <w:spacing w:line="240" w:lineRule="auto"/>
              <w:jc w:val="center"/>
              <w:rPr>
                <w:rFonts w:hAnsi="宋体"/>
                <w:color w:val="000000"/>
                <w:kern w:val="0"/>
                <w:sz w:val="18"/>
                <w:szCs w:val="18"/>
              </w:rPr>
            </w:pPr>
            <w:r>
              <w:rPr>
                <w:rFonts w:hAnsi="宋体"/>
                <w:color w:val="000000"/>
                <w:kern w:val="0"/>
                <w:sz w:val="18"/>
                <w:szCs w:val="18"/>
              </w:rPr>
              <w:t>类型</w:t>
            </w:r>
          </w:p>
        </w:tc>
        <w:tc>
          <w:tcPr>
            <w:tcW w:w="2977" w:type="dxa"/>
            <w:tcBorders>
              <w:left w:val="single" w:color="auto" w:sz="4" w:space="0"/>
            </w:tcBorders>
            <w:vAlign w:val="center"/>
          </w:tcPr>
          <w:p>
            <w:pPr>
              <w:spacing w:line="240" w:lineRule="auto"/>
              <w:jc w:val="center"/>
              <w:rPr>
                <w:rFonts w:hAnsi="宋体"/>
                <w:color w:val="000000"/>
                <w:kern w:val="0"/>
                <w:sz w:val="18"/>
                <w:szCs w:val="18"/>
              </w:rPr>
            </w:pPr>
            <w:r>
              <w:rPr>
                <w:rFonts w:hAnsi="宋体"/>
                <w:color w:val="000000"/>
                <w:kern w:val="0"/>
                <w:sz w:val="18"/>
                <w:szCs w:val="18"/>
              </w:rPr>
              <w:t>20</w:t>
            </w:r>
            <w:r>
              <w:rPr>
                <w:rFonts w:hint="eastAsia" w:hAnsi="宋体"/>
                <w:color w:val="000000"/>
                <w:kern w:val="0"/>
                <w:sz w:val="18"/>
                <w:szCs w:val="18"/>
              </w:rPr>
              <w:t>℃的导电率（</w:t>
            </w:r>
            <w:r>
              <w:rPr>
                <w:rFonts w:hAnsi="宋体"/>
                <w:color w:val="000000"/>
                <w:kern w:val="0"/>
                <w:sz w:val="18"/>
                <w:szCs w:val="18"/>
              </w:rPr>
              <w:t>IACS</w:t>
            </w:r>
            <w:r>
              <w:rPr>
                <w:rFonts w:hint="eastAsia" w:hAnsi="宋体"/>
                <w:color w:val="000000"/>
                <w:kern w:val="0"/>
                <w:sz w:val="18"/>
                <w:szCs w:val="18"/>
              </w:rPr>
              <w:t>）</w:t>
            </w:r>
          </w:p>
          <w:p>
            <w:pPr>
              <w:jc w:val="center"/>
              <w:rPr>
                <w:rFonts w:hAnsi="宋体"/>
                <w:color w:val="000000"/>
                <w:kern w:val="0"/>
                <w:sz w:val="18"/>
                <w:szCs w:val="18"/>
              </w:rPr>
            </w:pPr>
            <w:r>
              <w:rPr>
                <w:rFonts w:hAnsi="宋体"/>
                <w:color w:val="000000"/>
                <w:kern w:val="0"/>
                <w:sz w:val="18"/>
                <w:szCs w:val="18"/>
              </w:rPr>
              <w:t>%</w:t>
            </w:r>
          </w:p>
        </w:tc>
        <w:tc>
          <w:tcPr>
            <w:tcW w:w="2409" w:type="dxa"/>
            <w:vAlign w:val="center"/>
          </w:tcPr>
          <w:p>
            <w:pPr>
              <w:spacing w:line="240" w:lineRule="auto"/>
              <w:jc w:val="center"/>
              <w:rPr>
                <w:rFonts w:hAnsi="宋体"/>
                <w:color w:val="000000"/>
                <w:kern w:val="0"/>
                <w:sz w:val="18"/>
                <w:szCs w:val="18"/>
              </w:rPr>
            </w:pPr>
            <w:r>
              <w:rPr>
                <w:rFonts w:hAnsi="宋体"/>
                <w:color w:val="000000"/>
                <w:kern w:val="0"/>
                <w:sz w:val="18"/>
                <w:szCs w:val="18"/>
              </w:rPr>
              <w:t>20</w:t>
            </w:r>
            <w:r>
              <w:rPr>
                <w:rFonts w:hint="eastAsia" w:hAnsi="宋体"/>
                <w:color w:val="000000"/>
                <w:kern w:val="0"/>
                <w:sz w:val="18"/>
                <w:szCs w:val="18"/>
              </w:rPr>
              <w:t>℃电导率</w:t>
            </w:r>
          </w:p>
          <w:p>
            <w:pPr>
              <w:spacing w:line="240" w:lineRule="auto"/>
              <w:jc w:val="center"/>
              <w:rPr>
                <w:rFonts w:hAnsi="宋体"/>
                <w:color w:val="000000"/>
                <w:kern w:val="0"/>
                <w:sz w:val="18"/>
                <w:szCs w:val="18"/>
              </w:rPr>
            </w:pPr>
            <w:r>
              <w:rPr>
                <w:rFonts w:hAnsi="宋体"/>
                <w:color w:val="000000"/>
                <w:kern w:val="0"/>
                <w:sz w:val="18"/>
                <w:szCs w:val="18"/>
              </w:rPr>
              <w:t>MS/m</w:t>
            </w:r>
          </w:p>
        </w:tc>
        <w:tc>
          <w:tcPr>
            <w:tcW w:w="2368" w:type="dxa"/>
            <w:vAlign w:val="center"/>
          </w:tcPr>
          <w:p>
            <w:pPr>
              <w:spacing w:line="240" w:lineRule="auto"/>
              <w:jc w:val="center"/>
              <w:rPr>
                <w:rFonts w:hAnsi="宋体"/>
                <w:color w:val="000000"/>
                <w:kern w:val="0"/>
                <w:sz w:val="18"/>
                <w:szCs w:val="18"/>
              </w:rPr>
            </w:pPr>
            <w:r>
              <w:rPr>
                <w:rFonts w:hint="eastAsia" w:hAnsi="宋体"/>
                <w:color w:val="000000"/>
                <w:kern w:val="0"/>
                <w:sz w:val="18"/>
                <w:szCs w:val="18"/>
              </w:rPr>
              <w:t>电阻系数</w:t>
            </w:r>
          </w:p>
          <w:p>
            <w:pPr>
              <w:spacing w:line="240" w:lineRule="auto"/>
              <w:jc w:val="center"/>
              <w:rPr>
                <w:rFonts w:hAnsi="宋体"/>
                <w:color w:val="000000"/>
                <w:kern w:val="0"/>
                <w:sz w:val="18"/>
                <w:szCs w:val="18"/>
              </w:rPr>
            </w:pPr>
            <w:r>
              <w:rPr>
                <w:rFonts w:hAnsi="宋体"/>
                <w:color w:val="000000"/>
                <w:kern w:val="0"/>
                <w:sz w:val="18"/>
                <w:szCs w:val="18"/>
              </w:rPr>
              <w:t>Ω·mm</w:t>
            </w:r>
            <w:r>
              <w:rPr>
                <w:rFonts w:hAnsi="宋体"/>
                <w:color w:val="000000"/>
                <w:kern w:val="0"/>
                <w:sz w:val="18"/>
                <w:szCs w:val="18"/>
                <w:vertAlign w:val="superscript"/>
              </w:rPr>
              <w:t>2</w:t>
            </w:r>
            <w:r>
              <w:rPr>
                <w:rFonts w:hAnsi="宋体"/>
                <w:color w:val="000000"/>
                <w:kern w:val="0"/>
                <w:sz w:val="18"/>
                <w:szCs w:val="18"/>
              </w:rPr>
              <w:t>/m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44" w:type="dxa"/>
            <w:tcBorders>
              <w:right w:val="single" w:color="auto" w:sz="4" w:space="0"/>
            </w:tcBorders>
            <w:vAlign w:val="center"/>
          </w:tcPr>
          <w:p>
            <w:pPr>
              <w:spacing w:line="240" w:lineRule="auto"/>
              <w:jc w:val="center"/>
              <w:rPr>
                <w:color w:val="000000"/>
                <w:kern w:val="0"/>
                <w:sz w:val="18"/>
                <w:szCs w:val="18"/>
              </w:rPr>
            </w:pPr>
            <w:r>
              <w:rPr>
                <w:rFonts w:hint="eastAsia" w:hAnsi="宋体"/>
                <w:color w:val="000000"/>
                <w:sz w:val="18"/>
                <w:szCs w:val="18"/>
              </w:rPr>
              <w:t>铜电积栅栏型阳极板</w:t>
            </w:r>
          </w:p>
        </w:tc>
        <w:tc>
          <w:tcPr>
            <w:tcW w:w="2977" w:type="dxa"/>
            <w:tcBorders>
              <w:left w:val="single" w:color="auto" w:sz="4" w:space="0"/>
            </w:tcBorders>
            <w:vAlign w:val="center"/>
          </w:tcPr>
          <w:p>
            <w:pPr>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57</w:t>
            </w:r>
            <w:r>
              <w:rPr>
                <w:rFonts w:hAnsi="宋体"/>
                <w:color w:val="000000"/>
                <w:kern w:val="0"/>
                <w:sz w:val="18"/>
                <w:szCs w:val="18"/>
              </w:rPr>
              <w:t>.00</w:t>
            </w:r>
          </w:p>
        </w:tc>
        <w:tc>
          <w:tcPr>
            <w:tcW w:w="2409" w:type="dxa"/>
            <w:vAlign w:val="center"/>
          </w:tcPr>
          <w:p>
            <w:pPr>
              <w:spacing w:line="240" w:lineRule="auto"/>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33</w:t>
            </w:r>
            <w:r>
              <w:rPr>
                <w:rFonts w:hAnsi="宋体"/>
                <w:color w:val="000000"/>
                <w:kern w:val="0"/>
                <w:sz w:val="18"/>
                <w:szCs w:val="18"/>
              </w:rPr>
              <w:t>.</w:t>
            </w:r>
            <w:r>
              <w:rPr>
                <w:rFonts w:hint="eastAsia" w:hAnsi="宋体"/>
                <w:color w:val="000000"/>
                <w:kern w:val="0"/>
                <w:sz w:val="18"/>
                <w:szCs w:val="18"/>
              </w:rPr>
              <w:t>06</w:t>
            </w:r>
          </w:p>
        </w:tc>
        <w:tc>
          <w:tcPr>
            <w:tcW w:w="2368" w:type="dxa"/>
            <w:vAlign w:val="center"/>
          </w:tcPr>
          <w:p>
            <w:pPr>
              <w:spacing w:line="240" w:lineRule="auto"/>
              <w:jc w:val="center"/>
              <w:rPr>
                <w:rFonts w:hAnsi="宋体"/>
                <w:color w:val="000000"/>
                <w:kern w:val="0"/>
                <w:sz w:val="18"/>
                <w:szCs w:val="18"/>
              </w:rPr>
            </w:pPr>
            <w:r>
              <w:rPr>
                <w:rFonts w:hAnsi="宋体"/>
                <w:color w:val="000000"/>
                <w:kern w:val="0"/>
                <w:sz w:val="18"/>
                <w:szCs w:val="18"/>
              </w:rPr>
              <w:t>≤0.0</w:t>
            </w:r>
            <w:r>
              <w:rPr>
                <w:rFonts w:hint="eastAsia" w:hAnsi="宋体"/>
                <w:color w:val="000000"/>
                <w:kern w:val="0"/>
                <w:sz w:val="18"/>
                <w:szCs w:val="18"/>
              </w:rPr>
              <w:t>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44" w:type="dxa"/>
            <w:tcBorders>
              <w:right w:val="single" w:color="auto" w:sz="4" w:space="0"/>
            </w:tcBorders>
            <w:vAlign w:val="center"/>
          </w:tcPr>
          <w:p>
            <w:pPr>
              <w:spacing w:line="240" w:lineRule="auto"/>
              <w:jc w:val="center"/>
              <w:rPr>
                <w:color w:val="000000"/>
                <w:kern w:val="0"/>
                <w:sz w:val="18"/>
                <w:szCs w:val="18"/>
              </w:rPr>
            </w:pPr>
            <w:r>
              <w:rPr>
                <w:color w:val="000000"/>
                <w:sz w:val="18"/>
                <w:szCs w:val="18"/>
              </w:rPr>
              <w:t>镍电积栅栏型阳极板</w:t>
            </w:r>
          </w:p>
        </w:tc>
        <w:tc>
          <w:tcPr>
            <w:tcW w:w="2977" w:type="dxa"/>
            <w:tcBorders>
              <w:left w:val="single" w:color="auto" w:sz="4" w:space="0"/>
            </w:tcBorders>
            <w:vAlign w:val="center"/>
          </w:tcPr>
          <w:p>
            <w:pPr>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57</w:t>
            </w:r>
            <w:r>
              <w:rPr>
                <w:rFonts w:hAnsi="宋体"/>
                <w:color w:val="000000"/>
                <w:kern w:val="0"/>
                <w:sz w:val="18"/>
                <w:szCs w:val="18"/>
              </w:rPr>
              <w:t>.00</w:t>
            </w:r>
          </w:p>
        </w:tc>
        <w:tc>
          <w:tcPr>
            <w:tcW w:w="2409" w:type="dxa"/>
            <w:vAlign w:val="center"/>
          </w:tcPr>
          <w:p>
            <w:pPr>
              <w:spacing w:line="240" w:lineRule="auto"/>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33</w:t>
            </w:r>
            <w:r>
              <w:rPr>
                <w:rFonts w:hAnsi="宋体"/>
                <w:color w:val="000000"/>
                <w:kern w:val="0"/>
                <w:sz w:val="18"/>
                <w:szCs w:val="18"/>
              </w:rPr>
              <w:t>.</w:t>
            </w:r>
            <w:r>
              <w:rPr>
                <w:rFonts w:hint="eastAsia" w:hAnsi="宋体"/>
                <w:color w:val="000000"/>
                <w:kern w:val="0"/>
                <w:sz w:val="18"/>
                <w:szCs w:val="18"/>
              </w:rPr>
              <w:t>06</w:t>
            </w:r>
          </w:p>
        </w:tc>
        <w:tc>
          <w:tcPr>
            <w:tcW w:w="2368" w:type="dxa"/>
            <w:vAlign w:val="center"/>
          </w:tcPr>
          <w:p>
            <w:pPr>
              <w:spacing w:line="240" w:lineRule="auto"/>
              <w:jc w:val="center"/>
              <w:rPr>
                <w:rFonts w:hAnsi="宋体"/>
                <w:color w:val="000000"/>
                <w:kern w:val="0"/>
                <w:sz w:val="18"/>
                <w:szCs w:val="18"/>
              </w:rPr>
            </w:pPr>
            <w:r>
              <w:rPr>
                <w:rFonts w:hAnsi="宋体"/>
                <w:color w:val="000000"/>
                <w:kern w:val="0"/>
                <w:sz w:val="18"/>
                <w:szCs w:val="18"/>
              </w:rPr>
              <w:t>≤0.0</w:t>
            </w:r>
            <w:r>
              <w:rPr>
                <w:rFonts w:hint="eastAsia" w:hAnsi="宋体"/>
                <w:color w:val="000000"/>
                <w:kern w:val="0"/>
                <w:sz w:val="18"/>
                <w:szCs w:val="18"/>
              </w:rPr>
              <w:t>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44" w:type="dxa"/>
            <w:tcBorders>
              <w:right w:val="single" w:color="auto" w:sz="4" w:space="0"/>
            </w:tcBorders>
            <w:vAlign w:val="center"/>
          </w:tcPr>
          <w:p>
            <w:pPr>
              <w:spacing w:line="240" w:lineRule="auto"/>
              <w:jc w:val="center"/>
              <w:rPr>
                <w:color w:val="000000"/>
                <w:kern w:val="0"/>
                <w:sz w:val="18"/>
                <w:szCs w:val="18"/>
              </w:rPr>
            </w:pPr>
            <w:r>
              <w:rPr>
                <w:rFonts w:hint="eastAsia" w:hAnsi="宋体"/>
                <w:color w:val="000000"/>
                <w:sz w:val="18"/>
                <w:szCs w:val="18"/>
              </w:rPr>
              <w:t>锰电积栅栏型阳极板</w:t>
            </w:r>
          </w:p>
        </w:tc>
        <w:tc>
          <w:tcPr>
            <w:tcW w:w="2977" w:type="dxa"/>
            <w:tcBorders>
              <w:left w:val="single" w:color="auto" w:sz="4" w:space="0"/>
            </w:tcBorders>
            <w:vAlign w:val="center"/>
          </w:tcPr>
          <w:p>
            <w:pPr>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57</w:t>
            </w:r>
            <w:r>
              <w:rPr>
                <w:rFonts w:hAnsi="宋体"/>
                <w:color w:val="000000"/>
                <w:kern w:val="0"/>
                <w:sz w:val="18"/>
                <w:szCs w:val="18"/>
              </w:rPr>
              <w:t>.00</w:t>
            </w:r>
          </w:p>
        </w:tc>
        <w:tc>
          <w:tcPr>
            <w:tcW w:w="2409" w:type="dxa"/>
            <w:vAlign w:val="center"/>
          </w:tcPr>
          <w:p>
            <w:pPr>
              <w:spacing w:line="240" w:lineRule="auto"/>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33</w:t>
            </w:r>
            <w:r>
              <w:rPr>
                <w:rFonts w:hAnsi="宋体"/>
                <w:color w:val="000000"/>
                <w:kern w:val="0"/>
                <w:sz w:val="18"/>
                <w:szCs w:val="18"/>
              </w:rPr>
              <w:t>.</w:t>
            </w:r>
            <w:r>
              <w:rPr>
                <w:rFonts w:hint="eastAsia" w:hAnsi="宋体"/>
                <w:color w:val="000000"/>
                <w:kern w:val="0"/>
                <w:sz w:val="18"/>
                <w:szCs w:val="18"/>
              </w:rPr>
              <w:t>06</w:t>
            </w:r>
          </w:p>
        </w:tc>
        <w:tc>
          <w:tcPr>
            <w:tcW w:w="2368" w:type="dxa"/>
            <w:vAlign w:val="center"/>
          </w:tcPr>
          <w:p>
            <w:pPr>
              <w:spacing w:line="240" w:lineRule="auto"/>
              <w:jc w:val="center"/>
              <w:rPr>
                <w:rFonts w:hAnsi="宋体"/>
                <w:color w:val="000000"/>
                <w:kern w:val="0"/>
                <w:sz w:val="18"/>
                <w:szCs w:val="18"/>
              </w:rPr>
            </w:pPr>
            <w:r>
              <w:rPr>
                <w:rFonts w:hAnsi="宋体"/>
                <w:color w:val="000000"/>
                <w:kern w:val="0"/>
                <w:sz w:val="18"/>
                <w:szCs w:val="18"/>
              </w:rPr>
              <w:t>≤0.0</w:t>
            </w:r>
            <w:r>
              <w:rPr>
                <w:rFonts w:hint="eastAsia" w:hAnsi="宋体"/>
                <w:color w:val="000000"/>
                <w:kern w:val="0"/>
                <w:sz w:val="18"/>
                <w:szCs w:val="18"/>
              </w:rPr>
              <w:t>302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3" w:hRule="atLeast"/>
          <w:jc w:val="center"/>
        </w:trPr>
        <w:tc>
          <w:tcPr>
            <w:tcW w:w="1144" w:type="dxa"/>
            <w:tcBorders>
              <w:right w:val="single" w:color="auto" w:sz="4" w:space="0"/>
            </w:tcBorders>
            <w:vAlign w:val="center"/>
          </w:tcPr>
          <w:p>
            <w:pPr>
              <w:spacing w:line="240" w:lineRule="auto"/>
              <w:jc w:val="center"/>
              <w:rPr>
                <w:color w:val="000000"/>
                <w:kern w:val="0"/>
                <w:sz w:val="18"/>
                <w:szCs w:val="18"/>
              </w:rPr>
            </w:pPr>
            <w:r>
              <w:rPr>
                <w:rFonts w:hint="eastAsia" w:hAnsi="宋体"/>
                <w:color w:val="000000"/>
                <w:sz w:val="18"/>
                <w:szCs w:val="18"/>
              </w:rPr>
              <w:t>锌电积栅栏型阳极板</w:t>
            </w:r>
          </w:p>
        </w:tc>
        <w:tc>
          <w:tcPr>
            <w:tcW w:w="2977" w:type="dxa"/>
            <w:tcBorders>
              <w:left w:val="single" w:color="auto" w:sz="4" w:space="0"/>
            </w:tcBorders>
            <w:vAlign w:val="center"/>
          </w:tcPr>
          <w:p>
            <w:pPr>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57</w:t>
            </w:r>
            <w:r>
              <w:rPr>
                <w:rFonts w:hAnsi="宋体"/>
                <w:color w:val="000000"/>
                <w:kern w:val="0"/>
                <w:sz w:val="18"/>
                <w:szCs w:val="18"/>
              </w:rPr>
              <w:t>.00</w:t>
            </w:r>
          </w:p>
        </w:tc>
        <w:tc>
          <w:tcPr>
            <w:tcW w:w="2409" w:type="dxa"/>
            <w:vAlign w:val="center"/>
          </w:tcPr>
          <w:p>
            <w:pPr>
              <w:spacing w:line="240" w:lineRule="auto"/>
              <w:jc w:val="center"/>
              <w:rPr>
                <w:rFonts w:hAnsi="宋体"/>
                <w:color w:val="000000"/>
                <w:kern w:val="0"/>
                <w:sz w:val="18"/>
                <w:szCs w:val="18"/>
              </w:rPr>
            </w:pPr>
            <w:r>
              <w:rPr>
                <w:rFonts w:hAnsi="宋体"/>
                <w:color w:val="000000"/>
                <w:kern w:val="0"/>
                <w:sz w:val="18"/>
                <w:szCs w:val="18"/>
              </w:rPr>
              <w:t>≥</w:t>
            </w:r>
            <w:r>
              <w:rPr>
                <w:rFonts w:hint="eastAsia" w:hAnsi="宋体"/>
                <w:color w:val="000000"/>
                <w:kern w:val="0"/>
                <w:sz w:val="18"/>
                <w:szCs w:val="18"/>
              </w:rPr>
              <w:t>33</w:t>
            </w:r>
            <w:r>
              <w:rPr>
                <w:rFonts w:hAnsi="宋体"/>
                <w:color w:val="000000"/>
                <w:kern w:val="0"/>
                <w:sz w:val="18"/>
                <w:szCs w:val="18"/>
              </w:rPr>
              <w:t>.</w:t>
            </w:r>
            <w:r>
              <w:rPr>
                <w:rFonts w:hint="eastAsia" w:hAnsi="宋体"/>
                <w:color w:val="000000"/>
                <w:kern w:val="0"/>
                <w:sz w:val="18"/>
                <w:szCs w:val="18"/>
              </w:rPr>
              <w:t>06</w:t>
            </w:r>
          </w:p>
        </w:tc>
        <w:tc>
          <w:tcPr>
            <w:tcW w:w="2368" w:type="dxa"/>
            <w:vAlign w:val="center"/>
          </w:tcPr>
          <w:p>
            <w:pPr>
              <w:spacing w:line="240" w:lineRule="auto"/>
              <w:jc w:val="center"/>
              <w:rPr>
                <w:rFonts w:hAnsi="宋体"/>
                <w:color w:val="000000"/>
                <w:kern w:val="0"/>
                <w:sz w:val="18"/>
                <w:szCs w:val="18"/>
              </w:rPr>
            </w:pPr>
            <w:r>
              <w:rPr>
                <w:rFonts w:hAnsi="宋体"/>
                <w:color w:val="000000"/>
                <w:kern w:val="0"/>
                <w:sz w:val="18"/>
                <w:szCs w:val="18"/>
              </w:rPr>
              <w:t>≤0.0</w:t>
            </w:r>
            <w:r>
              <w:rPr>
                <w:rFonts w:hint="eastAsia" w:hAnsi="宋体"/>
                <w:color w:val="000000"/>
                <w:kern w:val="0"/>
                <w:sz w:val="18"/>
                <w:szCs w:val="18"/>
              </w:rPr>
              <w:t>302</w:t>
            </w:r>
          </w:p>
        </w:tc>
      </w:tr>
    </w:tbl>
    <w:p>
      <w:pPr>
        <w:pStyle w:val="5"/>
        <w:spacing w:line="360" w:lineRule="auto"/>
        <w:ind w:firstLine="562" w:firstLineChars="200"/>
        <w:rPr>
          <w:rFonts w:ascii="仿宋" w:hAnsi="仿宋" w:eastAsia="仿宋" w:cs="仿宋"/>
          <w:b/>
          <w:bCs/>
          <w:sz w:val="28"/>
          <w:szCs w:val="28"/>
        </w:rPr>
      </w:pPr>
    </w:p>
    <w:p>
      <w:pPr>
        <w:pStyle w:val="5"/>
        <w:spacing w:line="360" w:lineRule="auto"/>
        <w:ind w:firstLine="562" w:firstLineChars="200"/>
        <w:outlineLvl w:val="1"/>
        <w:rPr>
          <w:rFonts w:ascii="仿宋" w:hAnsi="仿宋" w:eastAsia="仿宋" w:cs="仿宋"/>
          <w:b/>
          <w:bCs/>
          <w:sz w:val="28"/>
          <w:szCs w:val="28"/>
        </w:rPr>
      </w:pPr>
      <w:bookmarkStart w:id="21" w:name="_Toc29772"/>
      <w:r>
        <w:rPr>
          <w:rFonts w:hint="eastAsia" w:ascii="仿宋" w:hAnsi="仿宋" w:eastAsia="仿宋" w:cs="仿宋"/>
          <w:b/>
          <w:bCs/>
          <w:sz w:val="28"/>
          <w:szCs w:val="28"/>
        </w:rPr>
        <w:t>4.9焊接质量</w:t>
      </w:r>
      <w:bookmarkEnd w:id="21"/>
    </w:p>
    <w:p>
      <w:pPr>
        <w:pStyle w:val="5"/>
        <w:spacing w:line="360" w:lineRule="auto"/>
        <w:ind w:firstLine="560" w:firstLineChars="200"/>
        <w:rPr>
          <w:rFonts w:ascii="仿宋" w:hAnsi="仿宋" w:eastAsia="仿宋" w:cs="仿宋"/>
          <w:color w:val="000000"/>
          <w:sz w:val="28"/>
          <w:szCs w:val="28"/>
        </w:rPr>
      </w:pPr>
      <w:r>
        <w:rPr>
          <w:rFonts w:hint="eastAsia" w:ascii="仿宋" w:hAnsi="仿宋" w:eastAsia="仿宋" w:cs="仿宋"/>
          <w:color w:val="000000"/>
          <w:sz w:val="28"/>
          <w:szCs w:val="28"/>
        </w:rPr>
        <w:t>栅栏型阳极板板面与导电梁、导电头与导电梁的焊接采用气体保护焊接，是比较较成熟稳定的焊接工艺，焊缝应密实饱满、表面平整、过渡平缓，不允许有裂纹、表面夹渣、未填满弧坑、未熔合、未焊透、组织过烧等明显的焊接缺陷。</w:t>
      </w:r>
    </w:p>
    <w:p>
      <w:pPr>
        <w:spacing w:line="360" w:lineRule="auto"/>
        <w:ind w:firstLine="560" w:firstLineChars="200"/>
        <w:rPr>
          <w:rFonts w:ascii="仿宋" w:hAnsi="仿宋" w:eastAsia="仿宋" w:cs="仿宋"/>
          <w:color w:val="000000"/>
          <w:sz w:val="28"/>
          <w:szCs w:val="28"/>
        </w:rPr>
      </w:pPr>
      <w:r>
        <w:rPr>
          <w:rFonts w:ascii="仿宋" w:hAnsi="仿宋" w:eastAsia="仿宋" w:cs="仿宋"/>
          <w:color w:val="000000"/>
          <w:sz w:val="28"/>
          <w:szCs w:val="28"/>
        </w:rPr>
        <w:t>栅栏型阳极板板面及导电梁的焊接</w:t>
      </w:r>
      <w:r>
        <w:rPr>
          <w:rFonts w:hint="eastAsia" w:ascii="仿宋" w:hAnsi="仿宋" w:eastAsia="仿宋" w:cs="仿宋"/>
          <w:color w:val="000000"/>
          <w:sz w:val="28"/>
          <w:szCs w:val="28"/>
        </w:rPr>
        <w:t>属于典型的铝合金焊接，焊接</w:t>
      </w:r>
      <w:r>
        <w:rPr>
          <w:rFonts w:ascii="仿宋" w:hAnsi="仿宋" w:eastAsia="仿宋" w:cs="仿宋"/>
          <w:color w:val="000000"/>
          <w:sz w:val="28"/>
          <w:szCs w:val="28"/>
        </w:rPr>
        <w:t>质量按GB/T 985.1的规定进行</w:t>
      </w:r>
      <w:r>
        <w:rPr>
          <w:rFonts w:hint="eastAsia" w:ascii="仿宋" w:hAnsi="仿宋" w:eastAsia="仿宋" w:cs="仿宋"/>
          <w:color w:val="000000"/>
          <w:sz w:val="28"/>
          <w:szCs w:val="28"/>
        </w:rPr>
        <w:t>。</w:t>
      </w:r>
    </w:p>
    <w:p>
      <w:pPr>
        <w:pStyle w:val="5"/>
        <w:spacing w:line="360" w:lineRule="auto"/>
        <w:ind w:firstLine="562" w:firstLineChars="200"/>
        <w:outlineLvl w:val="1"/>
        <w:rPr>
          <w:rFonts w:ascii="仿宋" w:hAnsi="仿宋" w:eastAsia="仿宋" w:cs="仿宋"/>
          <w:b/>
          <w:bCs/>
          <w:sz w:val="28"/>
          <w:szCs w:val="28"/>
        </w:rPr>
      </w:pPr>
      <w:bookmarkStart w:id="22" w:name="_Toc20971"/>
      <w:r>
        <w:rPr>
          <w:rFonts w:hint="eastAsia" w:ascii="仿宋" w:hAnsi="仿宋" w:eastAsia="仿宋" w:cs="仿宋"/>
          <w:b/>
          <w:bCs/>
          <w:sz w:val="28"/>
          <w:szCs w:val="28"/>
        </w:rPr>
        <w:t>4.10外观质量</w:t>
      </w:r>
      <w:bookmarkEnd w:id="22"/>
    </w:p>
    <w:p>
      <w:pPr>
        <w:pStyle w:val="5"/>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铅合金包覆铝芯表面外观应清洁、平整、无分层、气泡、波浪、裂纹、刮痕和油污夹杂等不影响使用的缺陷。</w:t>
      </w:r>
    </w:p>
    <w:p>
      <w:pPr>
        <w:pStyle w:val="5"/>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栅栏型阳极板表面外观不得有肉眼可见的裂纹、夹杂和微孔、严重划伤，无毛刺、压坑、明显的焊接缺陷。</w:t>
      </w:r>
    </w:p>
    <w:p>
      <w:pPr>
        <w:overflowPunct w:val="0"/>
        <w:spacing w:line="360" w:lineRule="auto"/>
        <w:jc w:val="both"/>
        <w:outlineLvl w:val="0"/>
        <w:rPr>
          <w:rFonts w:ascii="黑体" w:hAnsi="黑体" w:eastAsia="黑体" w:cs="黑体"/>
          <w:sz w:val="28"/>
          <w:szCs w:val="28"/>
        </w:rPr>
      </w:pPr>
    </w:p>
    <w:p>
      <w:pPr>
        <w:overflowPunct w:val="0"/>
        <w:spacing w:line="360" w:lineRule="auto"/>
        <w:jc w:val="both"/>
        <w:outlineLvl w:val="0"/>
        <w:rPr>
          <w:rFonts w:ascii="黑体" w:hAnsi="黑体" w:eastAsia="黑体" w:cs="黑体"/>
          <w:sz w:val="28"/>
          <w:szCs w:val="28"/>
        </w:rPr>
      </w:pPr>
      <w:bookmarkStart w:id="23" w:name="_Toc31674"/>
      <w:r>
        <w:rPr>
          <w:rFonts w:hint="eastAsia" w:ascii="黑体" w:hAnsi="黑体" w:eastAsia="黑体" w:cs="黑体"/>
          <w:sz w:val="28"/>
          <w:szCs w:val="28"/>
        </w:rPr>
        <w:t>5、标准水平分析</w:t>
      </w:r>
      <w:bookmarkEnd w:id="23"/>
    </w:p>
    <w:p>
      <w:pPr>
        <w:spacing w:beforeLines="50" w:afterLines="50" w:line="360" w:lineRule="auto"/>
        <w:ind w:firstLine="562" w:firstLineChars="200"/>
        <w:rPr>
          <w:rFonts w:ascii="仿宋" w:hAnsi="仿宋" w:eastAsia="仿宋" w:cs="仿宋"/>
          <w:bCs/>
          <w:sz w:val="28"/>
          <w:szCs w:val="28"/>
        </w:rPr>
      </w:pPr>
      <w:r>
        <w:rPr>
          <w:rFonts w:hint="eastAsia" w:ascii="仿宋" w:hAnsi="仿宋" w:eastAsia="仿宋" w:cs="仿宋"/>
          <w:b/>
          <w:sz w:val="28"/>
          <w:szCs w:val="28"/>
        </w:rPr>
        <w:t>栅栏型阳极板产品</w:t>
      </w:r>
      <w:r>
        <w:rPr>
          <w:rFonts w:hint="eastAsia" w:ascii="仿宋" w:hAnsi="仿宋" w:eastAsia="仿宋" w:cs="仿宋"/>
          <w:bCs/>
          <w:sz w:val="28"/>
          <w:szCs w:val="28"/>
        </w:rPr>
        <w:t>应用于锌、铜等有色金属电积领域，与现有传统铅基合金阳极相比，阳极成本降低了5%-10%、铅合金用量减少了30%、锌电积的电流效率提高2%-6%、吨锌直流电耗降低100-200kWh；铜电积的电流效率提高3%-10%、吨铜直流电耗降低200-300kWh，槽电压降低了0.05V-0.15V，直流电耗降低5%以上。与传统铅基阳极板相比，高性能栅栏型铝基铅合金复合材料阳极的技术指标比较情况如下：</w:t>
      </w:r>
    </w:p>
    <w:p>
      <w:pPr>
        <w:spacing w:beforeLines="50" w:afterLines="50" w:line="360" w:lineRule="auto"/>
        <w:ind w:firstLine="400" w:firstLineChars="200"/>
        <w:rPr>
          <w:bCs/>
        </w:rPr>
      </w:pPr>
    </w:p>
    <w:tbl>
      <w:tblPr>
        <w:tblStyle w:val="12"/>
        <w:tblW w:w="0" w:type="auto"/>
        <w:jc w:val="center"/>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Layout w:type="autofit"/>
        <w:tblCellMar>
          <w:top w:w="0" w:type="dxa"/>
          <w:left w:w="108" w:type="dxa"/>
          <w:bottom w:w="0" w:type="dxa"/>
          <w:right w:w="108" w:type="dxa"/>
        </w:tblCellMar>
      </w:tblPr>
      <w:tblGrid>
        <w:gridCol w:w="930"/>
        <w:gridCol w:w="3707"/>
        <w:gridCol w:w="3891"/>
      </w:tblGrid>
      <w:tr>
        <w:tblPrEx>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jc w:val="center"/>
              <w:rPr>
                <w:rFonts w:ascii="仿宋" w:hAnsi="仿宋" w:eastAsia="仿宋" w:cs="仿宋"/>
                <w:b/>
                <w:sz w:val="21"/>
                <w:szCs w:val="21"/>
              </w:rPr>
            </w:pPr>
            <w:r>
              <w:rPr>
                <w:rFonts w:hint="eastAsia" w:ascii="仿宋" w:hAnsi="仿宋" w:eastAsia="仿宋" w:cs="仿宋"/>
                <w:b/>
                <w:sz w:val="21"/>
                <w:szCs w:val="21"/>
              </w:rPr>
              <w:t>类别</w:t>
            </w:r>
          </w:p>
        </w:tc>
        <w:tc>
          <w:tcPr>
            <w:tcW w:w="3707" w:type="dxa"/>
            <w:vAlign w:val="center"/>
          </w:tcPr>
          <w:p>
            <w:pPr>
              <w:jc w:val="center"/>
              <w:rPr>
                <w:rFonts w:ascii="仿宋" w:hAnsi="仿宋" w:eastAsia="仿宋" w:cs="仿宋"/>
                <w:b/>
                <w:sz w:val="21"/>
                <w:szCs w:val="21"/>
              </w:rPr>
            </w:pPr>
            <w:r>
              <w:rPr>
                <w:rFonts w:hint="eastAsia" w:ascii="仿宋" w:hAnsi="仿宋" w:eastAsia="仿宋" w:cs="仿宋"/>
                <w:b/>
                <w:sz w:val="21"/>
                <w:szCs w:val="21"/>
              </w:rPr>
              <w:t>国际先进水平</w:t>
            </w:r>
          </w:p>
        </w:tc>
        <w:tc>
          <w:tcPr>
            <w:tcW w:w="3891" w:type="dxa"/>
            <w:vAlign w:val="center"/>
          </w:tcPr>
          <w:p>
            <w:pPr>
              <w:jc w:val="center"/>
              <w:rPr>
                <w:rFonts w:ascii="仿宋" w:hAnsi="仿宋" w:eastAsia="仿宋" w:cs="仿宋"/>
                <w:b/>
                <w:sz w:val="21"/>
                <w:szCs w:val="21"/>
              </w:rPr>
            </w:pPr>
            <w:r>
              <w:rPr>
                <w:rFonts w:hint="eastAsia" w:ascii="仿宋" w:hAnsi="仿宋" w:eastAsia="仿宋" w:cs="仿宋"/>
                <w:b/>
                <w:sz w:val="21"/>
                <w:szCs w:val="21"/>
              </w:rPr>
              <w:t>公司技术水平</w:t>
            </w:r>
          </w:p>
        </w:tc>
      </w:tr>
      <w:tr>
        <w:tblPrEx>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jc w:val="center"/>
              <w:rPr>
                <w:rFonts w:ascii="仿宋" w:hAnsi="仿宋" w:eastAsia="仿宋" w:cs="仿宋"/>
                <w:b/>
                <w:sz w:val="21"/>
                <w:szCs w:val="21"/>
              </w:rPr>
            </w:pPr>
            <w:r>
              <w:rPr>
                <w:rFonts w:hint="eastAsia" w:ascii="仿宋" w:hAnsi="仿宋" w:eastAsia="仿宋" w:cs="仿宋"/>
                <w:b/>
                <w:sz w:val="21"/>
                <w:szCs w:val="21"/>
              </w:rPr>
              <w:t>材料设计技术</w:t>
            </w:r>
          </w:p>
        </w:tc>
        <w:tc>
          <w:tcPr>
            <w:tcW w:w="3707" w:type="dxa"/>
            <w:vAlign w:val="center"/>
          </w:tcPr>
          <w:p>
            <w:pPr>
              <w:rPr>
                <w:rFonts w:ascii="仿宋" w:hAnsi="仿宋" w:eastAsia="仿宋" w:cs="仿宋"/>
                <w:b/>
                <w:bCs/>
                <w:sz w:val="21"/>
                <w:szCs w:val="21"/>
              </w:rPr>
            </w:pPr>
            <w:r>
              <w:rPr>
                <w:rFonts w:hint="eastAsia" w:ascii="仿宋" w:hAnsi="仿宋" w:eastAsia="仿宋" w:cs="仿宋"/>
                <w:b/>
                <w:bCs/>
                <w:sz w:val="21"/>
                <w:szCs w:val="21"/>
              </w:rPr>
              <w:t>材料成分：铅合金</w:t>
            </w:r>
          </w:p>
          <w:p>
            <w:pPr>
              <w:rPr>
                <w:rFonts w:ascii="仿宋" w:hAnsi="仿宋" w:eastAsia="仿宋" w:cs="仿宋"/>
                <w:b/>
                <w:bCs/>
                <w:sz w:val="21"/>
                <w:szCs w:val="21"/>
              </w:rPr>
            </w:pPr>
            <w:r>
              <w:rPr>
                <w:rFonts w:hint="eastAsia" w:ascii="仿宋" w:hAnsi="仿宋" w:eastAsia="仿宋" w:cs="仿宋"/>
                <w:b/>
                <w:bCs/>
                <w:sz w:val="21"/>
                <w:szCs w:val="21"/>
              </w:rPr>
              <w:t>性能：密度大（11.34g/cm</w:t>
            </w:r>
            <w:r>
              <w:rPr>
                <w:rFonts w:hint="eastAsia" w:ascii="仿宋" w:hAnsi="仿宋" w:eastAsia="仿宋" w:cs="仿宋"/>
                <w:b/>
                <w:bCs/>
                <w:sz w:val="21"/>
                <w:szCs w:val="21"/>
                <w:vertAlign w:val="superscript"/>
              </w:rPr>
              <w:t>3</w:t>
            </w:r>
            <w:r>
              <w:rPr>
                <w:rFonts w:hint="eastAsia" w:ascii="仿宋" w:hAnsi="仿宋" w:eastAsia="仿宋" w:cs="仿宋"/>
                <w:b/>
                <w:bCs/>
                <w:sz w:val="21"/>
                <w:szCs w:val="21"/>
              </w:rPr>
              <w:t>）、导电性差（19.11×10-6Ω·cm）、强度低（抗拉强度σ</w:t>
            </w:r>
            <w:r>
              <w:rPr>
                <w:rFonts w:hint="eastAsia" w:ascii="仿宋" w:hAnsi="仿宋" w:eastAsia="仿宋" w:cs="仿宋"/>
                <w:b/>
                <w:bCs/>
                <w:sz w:val="21"/>
                <w:szCs w:val="21"/>
                <w:vertAlign w:val="subscript"/>
              </w:rPr>
              <w:t>b</w:t>
            </w:r>
            <w:r>
              <w:rPr>
                <w:rFonts w:hint="eastAsia" w:ascii="仿宋" w:hAnsi="仿宋" w:eastAsia="仿宋" w:cs="仿宋"/>
                <w:b/>
                <w:bCs/>
                <w:sz w:val="21"/>
                <w:szCs w:val="21"/>
              </w:rPr>
              <w:t>≥24N/mm</w:t>
            </w:r>
            <w:r>
              <w:rPr>
                <w:rFonts w:hint="eastAsia" w:ascii="仿宋" w:hAnsi="仿宋" w:eastAsia="仿宋" w:cs="仿宋"/>
                <w:b/>
                <w:bCs/>
                <w:sz w:val="21"/>
                <w:szCs w:val="21"/>
                <w:vertAlign w:val="superscript"/>
              </w:rPr>
              <w:t>2</w:t>
            </w:r>
            <w:r>
              <w:rPr>
                <w:rFonts w:hint="eastAsia" w:ascii="仿宋" w:hAnsi="仿宋" w:eastAsia="仿宋" w:cs="仿宋"/>
                <w:b/>
                <w:bCs/>
                <w:sz w:val="21"/>
                <w:szCs w:val="21"/>
              </w:rPr>
              <w:t>）</w:t>
            </w:r>
          </w:p>
          <w:p>
            <w:pPr>
              <w:rPr>
                <w:rFonts w:ascii="仿宋" w:hAnsi="仿宋" w:eastAsia="仿宋" w:cs="仿宋"/>
                <w:b/>
                <w:bCs/>
                <w:sz w:val="21"/>
                <w:szCs w:val="21"/>
              </w:rPr>
            </w:pPr>
            <w:r>
              <w:rPr>
                <w:rFonts w:hint="eastAsia" w:ascii="仿宋" w:hAnsi="仿宋" w:eastAsia="仿宋" w:cs="仿宋"/>
                <w:b/>
                <w:bCs/>
                <w:sz w:val="21"/>
                <w:szCs w:val="21"/>
              </w:rPr>
              <w:t>成本：消耗贵金属多，成本高</w:t>
            </w:r>
          </w:p>
          <w:p>
            <w:pPr>
              <w:rPr>
                <w:rFonts w:ascii="仿宋" w:hAnsi="仿宋" w:eastAsia="仿宋" w:cs="仿宋"/>
                <w:b/>
                <w:bCs/>
                <w:sz w:val="21"/>
                <w:szCs w:val="21"/>
              </w:rPr>
            </w:pPr>
            <w:r>
              <w:rPr>
                <w:rFonts w:hint="eastAsia" w:ascii="仿宋" w:hAnsi="仿宋" w:eastAsia="仿宋" w:cs="仿宋"/>
                <w:b/>
                <w:bCs/>
                <w:sz w:val="21"/>
                <w:szCs w:val="21"/>
              </w:rPr>
              <w:t>效果：槽电压高（电积锌3.20-3.40V；电积铜1.90-2.30V）、直流电耗高（电积锌2950~3250kW h/t；电积铜2000-2700kW h/t）</w:t>
            </w:r>
          </w:p>
        </w:tc>
        <w:tc>
          <w:tcPr>
            <w:tcW w:w="3891" w:type="dxa"/>
            <w:vAlign w:val="center"/>
          </w:tcPr>
          <w:p>
            <w:pPr>
              <w:rPr>
                <w:rFonts w:ascii="仿宋" w:hAnsi="仿宋" w:eastAsia="仿宋" w:cs="仿宋"/>
                <w:b/>
                <w:bCs/>
                <w:sz w:val="21"/>
                <w:szCs w:val="21"/>
              </w:rPr>
            </w:pPr>
            <w:r>
              <w:rPr>
                <w:rFonts w:hint="eastAsia" w:ascii="仿宋" w:hAnsi="仿宋" w:eastAsia="仿宋" w:cs="仿宋"/>
                <w:b/>
                <w:bCs/>
                <w:sz w:val="21"/>
                <w:szCs w:val="21"/>
              </w:rPr>
              <w:t>材料成分：铝基铅合金</w:t>
            </w:r>
          </w:p>
          <w:p>
            <w:pPr>
              <w:rPr>
                <w:rFonts w:ascii="仿宋" w:hAnsi="仿宋" w:eastAsia="仿宋" w:cs="仿宋"/>
                <w:b/>
                <w:bCs/>
                <w:sz w:val="21"/>
                <w:szCs w:val="21"/>
              </w:rPr>
            </w:pPr>
            <w:r>
              <w:rPr>
                <w:rFonts w:hint="eastAsia" w:ascii="仿宋" w:hAnsi="仿宋" w:eastAsia="仿宋" w:cs="仿宋"/>
                <w:b/>
                <w:bCs/>
                <w:sz w:val="21"/>
                <w:szCs w:val="21"/>
              </w:rPr>
              <w:t>性能：密度小（8.79g/cm</w:t>
            </w:r>
            <w:r>
              <w:rPr>
                <w:rFonts w:hint="eastAsia" w:ascii="仿宋" w:hAnsi="仿宋" w:eastAsia="仿宋" w:cs="仿宋"/>
                <w:b/>
                <w:bCs/>
                <w:sz w:val="21"/>
                <w:szCs w:val="21"/>
                <w:vertAlign w:val="superscript"/>
              </w:rPr>
              <w:t>3</w:t>
            </w:r>
            <w:r>
              <w:rPr>
                <w:rFonts w:hint="eastAsia" w:ascii="仿宋" w:hAnsi="仿宋" w:eastAsia="仿宋" w:cs="仿宋"/>
                <w:b/>
                <w:bCs/>
                <w:sz w:val="21"/>
                <w:szCs w:val="21"/>
              </w:rPr>
              <w:t>）、导电性好（9.39×10-6Ω·cm）、强度高（抗拉强度σ</w:t>
            </w:r>
            <w:r>
              <w:rPr>
                <w:rFonts w:hint="eastAsia" w:ascii="仿宋" w:hAnsi="仿宋" w:eastAsia="仿宋" w:cs="仿宋"/>
                <w:b/>
                <w:bCs/>
                <w:sz w:val="21"/>
                <w:szCs w:val="21"/>
                <w:vertAlign w:val="subscript"/>
              </w:rPr>
              <w:t>b</w:t>
            </w:r>
            <w:r>
              <w:rPr>
                <w:rFonts w:hint="eastAsia" w:ascii="仿宋" w:hAnsi="仿宋" w:eastAsia="仿宋" w:cs="仿宋"/>
                <w:b/>
                <w:bCs/>
                <w:sz w:val="21"/>
                <w:szCs w:val="21"/>
              </w:rPr>
              <w:t>≥31N/mm</w:t>
            </w:r>
            <w:r>
              <w:rPr>
                <w:rFonts w:hint="eastAsia" w:ascii="仿宋" w:hAnsi="仿宋" w:eastAsia="仿宋" w:cs="仿宋"/>
                <w:b/>
                <w:bCs/>
                <w:sz w:val="21"/>
                <w:szCs w:val="21"/>
                <w:vertAlign w:val="superscript"/>
              </w:rPr>
              <w:t>2</w:t>
            </w:r>
            <w:r>
              <w:rPr>
                <w:rFonts w:hint="eastAsia" w:ascii="仿宋" w:hAnsi="仿宋" w:eastAsia="仿宋" w:cs="仿宋"/>
                <w:b/>
                <w:bCs/>
                <w:sz w:val="21"/>
                <w:szCs w:val="21"/>
              </w:rPr>
              <w:t>）</w:t>
            </w:r>
          </w:p>
          <w:p>
            <w:pPr>
              <w:rPr>
                <w:rFonts w:ascii="仿宋" w:hAnsi="仿宋" w:eastAsia="仿宋" w:cs="仿宋"/>
                <w:b/>
                <w:bCs/>
                <w:sz w:val="21"/>
                <w:szCs w:val="21"/>
              </w:rPr>
            </w:pPr>
            <w:r>
              <w:rPr>
                <w:rFonts w:hint="eastAsia" w:ascii="仿宋" w:hAnsi="仿宋" w:eastAsia="仿宋" w:cs="仿宋"/>
                <w:b/>
                <w:bCs/>
                <w:sz w:val="21"/>
                <w:szCs w:val="21"/>
              </w:rPr>
              <w:t>成本：消耗贵金属少，成本低</w:t>
            </w:r>
          </w:p>
          <w:p>
            <w:pPr>
              <w:rPr>
                <w:rFonts w:ascii="仿宋" w:hAnsi="仿宋" w:eastAsia="仿宋" w:cs="仿宋"/>
                <w:b/>
                <w:bCs/>
                <w:sz w:val="21"/>
                <w:szCs w:val="21"/>
              </w:rPr>
            </w:pPr>
            <w:r>
              <w:rPr>
                <w:rFonts w:hint="eastAsia" w:ascii="仿宋" w:hAnsi="仿宋" w:eastAsia="仿宋" w:cs="仿宋"/>
                <w:b/>
                <w:bCs/>
                <w:sz w:val="21"/>
                <w:szCs w:val="21"/>
              </w:rPr>
              <w:t>效果：槽电压低（电积锌3.15-3.30V；电积铜1.80-2.05V）、直流电耗低（电锌2900~3050kW h/t；电积铜1800-1900kW h/t）</w:t>
            </w:r>
          </w:p>
        </w:tc>
      </w:tr>
      <w:tr>
        <w:tblPrEx>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jc w:val="center"/>
              <w:rPr>
                <w:rFonts w:ascii="仿宋" w:hAnsi="仿宋" w:eastAsia="仿宋" w:cs="仿宋"/>
                <w:b/>
                <w:sz w:val="21"/>
                <w:szCs w:val="21"/>
              </w:rPr>
            </w:pPr>
            <w:r>
              <w:rPr>
                <w:rFonts w:hint="eastAsia" w:ascii="仿宋" w:hAnsi="仿宋" w:eastAsia="仿宋" w:cs="仿宋"/>
                <w:b/>
                <w:sz w:val="21"/>
                <w:szCs w:val="21"/>
              </w:rPr>
              <w:t>结构设计技术</w:t>
            </w:r>
          </w:p>
        </w:tc>
        <w:tc>
          <w:tcPr>
            <w:tcW w:w="3707" w:type="dxa"/>
            <w:vAlign w:val="center"/>
          </w:tcPr>
          <w:p>
            <w:pPr>
              <w:rPr>
                <w:rFonts w:ascii="仿宋" w:hAnsi="仿宋" w:eastAsia="仿宋" w:cs="仿宋"/>
                <w:b/>
                <w:bCs/>
                <w:sz w:val="21"/>
                <w:szCs w:val="21"/>
              </w:rPr>
            </w:pPr>
            <w:r>
              <w:rPr>
                <w:rFonts w:hint="eastAsia" w:ascii="仿宋" w:hAnsi="仿宋" w:eastAsia="仿宋" w:cs="仿宋"/>
                <w:b/>
                <w:bCs/>
                <w:sz w:val="21"/>
                <w:szCs w:val="21"/>
              </w:rPr>
              <w:t>结构：平板型</w:t>
            </w:r>
          </w:p>
          <w:p>
            <w:pPr>
              <w:rPr>
                <w:rFonts w:ascii="仿宋" w:hAnsi="仿宋" w:eastAsia="仿宋" w:cs="仿宋"/>
                <w:b/>
                <w:bCs/>
                <w:sz w:val="21"/>
                <w:szCs w:val="21"/>
              </w:rPr>
            </w:pPr>
            <w:r>
              <w:rPr>
                <w:rFonts w:hint="eastAsia" w:ascii="仿宋" w:hAnsi="仿宋" w:eastAsia="仿宋" w:cs="仿宋"/>
                <w:b/>
                <w:bCs/>
                <w:sz w:val="21"/>
                <w:szCs w:val="21"/>
              </w:rPr>
              <w:t>性能：易变形，单片质量重</w:t>
            </w:r>
          </w:p>
          <w:p>
            <w:pPr>
              <w:rPr>
                <w:rFonts w:ascii="仿宋" w:hAnsi="仿宋" w:eastAsia="仿宋" w:cs="仿宋"/>
                <w:b/>
                <w:bCs/>
                <w:sz w:val="21"/>
                <w:szCs w:val="21"/>
              </w:rPr>
            </w:pPr>
            <w:r>
              <w:rPr>
                <w:rFonts w:hint="eastAsia" w:ascii="仿宋" w:hAnsi="仿宋" w:eastAsia="仿宋" w:cs="仿宋"/>
                <w:b/>
                <w:bCs/>
                <w:sz w:val="21"/>
                <w:szCs w:val="21"/>
              </w:rPr>
              <w:t>效果：溶液流动性差、电流效率低、易短路烧板</w:t>
            </w:r>
          </w:p>
        </w:tc>
        <w:tc>
          <w:tcPr>
            <w:tcW w:w="3891" w:type="dxa"/>
            <w:vAlign w:val="center"/>
          </w:tcPr>
          <w:p>
            <w:pPr>
              <w:rPr>
                <w:rFonts w:ascii="仿宋" w:hAnsi="仿宋" w:eastAsia="仿宋" w:cs="仿宋"/>
                <w:b/>
                <w:bCs/>
                <w:sz w:val="21"/>
                <w:szCs w:val="21"/>
              </w:rPr>
            </w:pPr>
            <w:r>
              <w:rPr>
                <w:rFonts w:hint="eastAsia" w:ascii="仿宋" w:hAnsi="仿宋" w:eastAsia="仿宋" w:cs="仿宋"/>
                <w:b/>
                <w:bCs/>
                <w:sz w:val="21"/>
                <w:szCs w:val="21"/>
              </w:rPr>
              <w:t>结构：栅栏型</w:t>
            </w:r>
          </w:p>
          <w:p>
            <w:pPr>
              <w:rPr>
                <w:rFonts w:ascii="仿宋" w:hAnsi="仿宋" w:eastAsia="仿宋" w:cs="仿宋"/>
                <w:b/>
                <w:bCs/>
                <w:sz w:val="21"/>
                <w:szCs w:val="21"/>
              </w:rPr>
            </w:pPr>
            <w:r>
              <w:rPr>
                <w:rFonts w:hint="eastAsia" w:ascii="仿宋" w:hAnsi="仿宋" w:eastAsia="仿宋" w:cs="仿宋"/>
                <w:b/>
                <w:bCs/>
                <w:sz w:val="21"/>
                <w:szCs w:val="21"/>
              </w:rPr>
              <w:t>性能：不变形，单片质量轻</w:t>
            </w:r>
          </w:p>
          <w:p>
            <w:pPr>
              <w:rPr>
                <w:rFonts w:ascii="仿宋" w:hAnsi="仿宋" w:eastAsia="仿宋" w:cs="仿宋"/>
                <w:b/>
                <w:bCs/>
                <w:sz w:val="21"/>
                <w:szCs w:val="21"/>
              </w:rPr>
            </w:pPr>
            <w:r>
              <w:rPr>
                <w:rFonts w:hint="eastAsia" w:ascii="仿宋" w:hAnsi="仿宋" w:eastAsia="仿宋" w:cs="仿宋"/>
                <w:b/>
                <w:bCs/>
                <w:sz w:val="21"/>
                <w:szCs w:val="21"/>
              </w:rPr>
              <w:t>效果：溶液流动性好、电流效率高、不会短路烧板</w:t>
            </w:r>
          </w:p>
        </w:tc>
      </w:tr>
      <w:tr>
        <w:tblPrEx>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jc w:val="center"/>
              <w:rPr>
                <w:rFonts w:ascii="仿宋" w:hAnsi="仿宋" w:eastAsia="仿宋" w:cs="仿宋"/>
                <w:b/>
                <w:sz w:val="21"/>
                <w:szCs w:val="21"/>
              </w:rPr>
            </w:pPr>
            <w:r>
              <w:rPr>
                <w:rFonts w:hint="eastAsia" w:ascii="仿宋" w:hAnsi="仿宋" w:eastAsia="仿宋" w:cs="仿宋"/>
                <w:b/>
                <w:sz w:val="21"/>
                <w:szCs w:val="21"/>
              </w:rPr>
              <w:t>表面镀膜技术</w:t>
            </w:r>
          </w:p>
        </w:tc>
        <w:tc>
          <w:tcPr>
            <w:tcW w:w="3707" w:type="dxa"/>
            <w:vAlign w:val="center"/>
          </w:tcPr>
          <w:p>
            <w:pPr>
              <w:rPr>
                <w:rFonts w:ascii="仿宋" w:hAnsi="仿宋" w:eastAsia="仿宋" w:cs="仿宋"/>
                <w:b/>
                <w:bCs/>
                <w:sz w:val="21"/>
                <w:szCs w:val="21"/>
              </w:rPr>
            </w:pPr>
            <w:r>
              <w:rPr>
                <w:rFonts w:hint="eastAsia" w:ascii="仿宋" w:hAnsi="仿宋" w:eastAsia="仿宋" w:cs="仿宋"/>
                <w:b/>
                <w:bCs/>
                <w:sz w:val="21"/>
                <w:szCs w:val="21"/>
              </w:rPr>
              <w:t>工艺：镀膜时间长（24h）</w:t>
            </w:r>
          </w:p>
          <w:p>
            <w:pPr>
              <w:rPr>
                <w:rFonts w:ascii="仿宋" w:hAnsi="仿宋" w:eastAsia="仿宋" w:cs="仿宋"/>
                <w:b/>
                <w:bCs/>
                <w:sz w:val="21"/>
                <w:szCs w:val="21"/>
              </w:rPr>
            </w:pPr>
            <w:r>
              <w:rPr>
                <w:rFonts w:hint="eastAsia" w:ascii="仿宋" w:hAnsi="仿宋" w:eastAsia="仿宋" w:cs="仿宋"/>
                <w:b/>
                <w:bCs/>
                <w:sz w:val="21"/>
                <w:szCs w:val="21"/>
              </w:rPr>
              <w:t>性能：膜层疏松多孔、附着力差、成分以无电催化活性α-PbO</w:t>
            </w:r>
            <w:r>
              <w:rPr>
                <w:rFonts w:hint="eastAsia" w:ascii="仿宋" w:hAnsi="仿宋" w:eastAsia="仿宋" w:cs="仿宋"/>
                <w:b/>
                <w:bCs/>
                <w:sz w:val="21"/>
                <w:szCs w:val="21"/>
                <w:vertAlign w:val="subscript"/>
              </w:rPr>
              <w:t>2</w:t>
            </w:r>
            <w:r>
              <w:rPr>
                <w:rFonts w:hint="eastAsia" w:ascii="仿宋" w:hAnsi="仿宋" w:eastAsia="仿宋" w:cs="仿宋"/>
                <w:b/>
                <w:bCs/>
                <w:sz w:val="21"/>
                <w:szCs w:val="21"/>
              </w:rPr>
              <w:t>为主。</w:t>
            </w:r>
          </w:p>
          <w:p>
            <w:pPr>
              <w:rPr>
                <w:rFonts w:ascii="仿宋" w:hAnsi="仿宋" w:eastAsia="仿宋" w:cs="仿宋"/>
                <w:b/>
                <w:bCs/>
                <w:sz w:val="21"/>
                <w:szCs w:val="21"/>
              </w:rPr>
            </w:pPr>
            <w:r>
              <w:rPr>
                <w:rFonts w:hint="eastAsia" w:ascii="仿宋" w:hAnsi="仿宋" w:eastAsia="仿宋" w:cs="仿宋"/>
                <w:b/>
                <w:bCs/>
                <w:sz w:val="21"/>
                <w:szCs w:val="21"/>
              </w:rPr>
              <w:t>效果：电催化活性差、寿命短、能耗高</w:t>
            </w:r>
          </w:p>
        </w:tc>
        <w:tc>
          <w:tcPr>
            <w:tcW w:w="3891" w:type="dxa"/>
            <w:vAlign w:val="center"/>
          </w:tcPr>
          <w:p>
            <w:pPr>
              <w:rPr>
                <w:rFonts w:ascii="仿宋" w:hAnsi="仿宋" w:eastAsia="仿宋" w:cs="仿宋"/>
                <w:b/>
                <w:bCs/>
                <w:sz w:val="21"/>
                <w:szCs w:val="21"/>
              </w:rPr>
            </w:pPr>
            <w:r>
              <w:rPr>
                <w:rFonts w:hint="eastAsia" w:ascii="仿宋" w:hAnsi="仿宋" w:eastAsia="仿宋" w:cs="仿宋"/>
                <w:b/>
                <w:bCs/>
                <w:sz w:val="21"/>
                <w:szCs w:val="21"/>
              </w:rPr>
              <w:t>工艺：镀膜时间短（2h）</w:t>
            </w:r>
          </w:p>
          <w:p>
            <w:pPr>
              <w:rPr>
                <w:rFonts w:ascii="仿宋" w:hAnsi="仿宋" w:eastAsia="仿宋" w:cs="仿宋"/>
                <w:b/>
                <w:bCs/>
                <w:sz w:val="21"/>
                <w:szCs w:val="21"/>
              </w:rPr>
            </w:pPr>
            <w:r>
              <w:rPr>
                <w:rFonts w:hint="eastAsia" w:ascii="仿宋" w:hAnsi="仿宋" w:eastAsia="仿宋" w:cs="仿宋"/>
                <w:b/>
                <w:bCs/>
                <w:sz w:val="21"/>
                <w:szCs w:val="21"/>
              </w:rPr>
              <w:t>性能：膜层致密、膜层原位生长、成分以电催化活性强β-PbO</w:t>
            </w:r>
            <w:r>
              <w:rPr>
                <w:rFonts w:hint="eastAsia" w:ascii="仿宋" w:hAnsi="仿宋" w:eastAsia="仿宋" w:cs="仿宋"/>
                <w:b/>
                <w:bCs/>
                <w:sz w:val="21"/>
                <w:szCs w:val="21"/>
                <w:vertAlign w:val="subscript"/>
              </w:rPr>
              <w:t>2</w:t>
            </w:r>
            <w:r>
              <w:rPr>
                <w:rFonts w:hint="eastAsia" w:ascii="仿宋" w:hAnsi="仿宋" w:eastAsia="仿宋" w:cs="仿宋"/>
                <w:b/>
                <w:bCs/>
                <w:sz w:val="21"/>
                <w:szCs w:val="21"/>
              </w:rPr>
              <w:t>为主。</w:t>
            </w:r>
          </w:p>
          <w:p>
            <w:pPr>
              <w:rPr>
                <w:rFonts w:ascii="仿宋" w:hAnsi="仿宋" w:eastAsia="仿宋" w:cs="仿宋"/>
                <w:b/>
                <w:bCs/>
                <w:sz w:val="21"/>
                <w:szCs w:val="21"/>
              </w:rPr>
            </w:pPr>
            <w:r>
              <w:rPr>
                <w:rFonts w:hint="eastAsia" w:ascii="仿宋" w:hAnsi="仿宋" w:eastAsia="仿宋" w:cs="仿宋"/>
                <w:b/>
                <w:bCs/>
                <w:sz w:val="21"/>
                <w:szCs w:val="21"/>
              </w:rPr>
              <w:t>效果：电催化活性好、寿命长、能耗低</w:t>
            </w:r>
          </w:p>
        </w:tc>
      </w:tr>
      <w:tr>
        <w:tblPrEx>
          <w:tblBorders>
            <w:top w:val="double" w:color="auto" w:sz="2" w:space="0"/>
            <w:left w:val="double" w:color="auto" w:sz="2" w:space="0"/>
            <w:bottom w:val="single" w:color="auto" w:sz="4"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0" w:type="dxa"/>
            <w:vAlign w:val="center"/>
          </w:tcPr>
          <w:p>
            <w:pPr>
              <w:jc w:val="center"/>
              <w:rPr>
                <w:rFonts w:ascii="仿宋" w:hAnsi="仿宋" w:eastAsia="仿宋" w:cs="仿宋"/>
                <w:b/>
                <w:sz w:val="21"/>
                <w:szCs w:val="21"/>
              </w:rPr>
            </w:pPr>
            <w:r>
              <w:rPr>
                <w:rFonts w:hint="eastAsia" w:ascii="仿宋" w:hAnsi="仿宋" w:eastAsia="仿宋" w:cs="仿宋"/>
                <w:b/>
                <w:sz w:val="21"/>
                <w:szCs w:val="21"/>
              </w:rPr>
              <w:t>制备技术</w:t>
            </w:r>
          </w:p>
        </w:tc>
        <w:tc>
          <w:tcPr>
            <w:tcW w:w="3707" w:type="dxa"/>
            <w:vAlign w:val="center"/>
          </w:tcPr>
          <w:p>
            <w:pPr>
              <w:rPr>
                <w:rFonts w:ascii="仿宋" w:hAnsi="仿宋" w:eastAsia="仿宋" w:cs="仿宋"/>
                <w:b/>
                <w:bCs/>
                <w:sz w:val="21"/>
                <w:szCs w:val="21"/>
              </w:rPr>
            </w:pPr>
            <w:r>
              <w:rPr>
                <w:rFonts w:hint="eastAsia" w:ascii="仿宋" w:hAnsi="仿宋" w:eastAsia="仿宋" w:cs="仿宋"/>
                <w:b/>
                <w:bCs/>
                <w:sz w:val="21"/>
                <w:szCs w:val="21"/>
              </w:rPr>
              <w:t>熔炼→浇铸→轧制</w:t>
            </w:r>
          </w:p>
        </w:tc>
        <w:tc>
          <w:tcPr>
            <w:tcW w:w="3891" w:type="dxa"/>
            <w:vAlign w:val="center"/>
          </w:tcPr>
          <w:p>
            <w:pPr>
              <w:rPr>
                <w:rFonts w:ascii="仿宋" w:hAnsi="仿宋" w:eastAsia="仿宋" w:cs="仿宋"/>
                <w:b/>
                <w:bCs/>
                <w:sz w:val="21"/>
                <w:szCs w:val="21"/>
              </w:rPr>
            </w:pPr>
            <w:r>
              <w:rPr>
                <w:rFonts w:hint="eastAsia" w:ascii="仿宋" w:hAnsi="仿宋" w:eastAsia="仿宋" w:cs="仿宋"/>
                <w:b/>
                <w:bCs/>
                <w:sz w:val="21"/>
                <w:szCs w:val="21"/>
              </w:rPr>
              <w:t>连续挤压复合</w:t>
            </w:r>
          </w:p>
        </w:tc>
      </w:tr>
    </w:tbl>
    <w:p>
      <w:pPr>
        <w:spacing w:beforeLines="50" w:afterLines="5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通过多家客户所供应的的传统阳极板与栅栏性阳极板电阻测试，通过检测数据得出，我公司生产的铅合金包覆铝芯型栅栏阳极板电阻值比传统传统阳极板电阻值低。</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969"/>
        <w:gridCol w:w="1134"/>
        <w:gridCol w:w="1276"/>
        <w:gridCol w:w="1417"/>
        <w:gridCol w:w="1134"/>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124"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铅合金型号</w:t>
            </w:r>
          </w:p>
        </w:tc>
        <w:tc>
          <w:tcPr>
            <w:tcW w:w="969"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直流电流（A）</w:t>
            </w:r>
          </w:p>
        </w:tc>
        <w:tc>
          <w:tcPr>
            <w:tcW w:w="1134"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w:t>
            </w:r>
          </w:p>
        </w:tc>
        <w:tc>
          <w:tcPr>
            <w:tcW w:w="2693" w:type="dxa"/>
            <w:gridSpan w:val="2"/>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传统阳极板（铜电解）</w:t>
            </w:r>
          </w:p>
        </w:tc>
        <w:tc>
          <w:tcPr>
            <w:tcW w:w="2608" w:type="dxa"/>
            <w:gridSpan w:val="2"/>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b/>
                <w:color w:val="000000"/>
                <w:sz w:val="18"/>
                <w:szCs w:val="18"/>
              </w:rPr>
              <w:t>铜电积栅栏型阳极板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2" w:hRule="atLeast"/>
        </w:trPr>
        <w:tc>
          <w:tcPr>
            <w:tcW w:w="1124" w:type="dxa"/>
            <w:vMerge w:val="continue"/>
            <w:vAlign w:val="center"/>
          </w:tcPr>
          <w:p>
            <w:pPr>
              <w:spacing w:beforeLines="50" w:afterLines="50" w:line="360" w:lineRule="auto"/>
              <w:jc w:val="center"/>
              <w:rPr>
                <w:rFonts w:ascii="仿宋" w:hAnsi="仿宋" w:eastAsia="仿宋" w:cs="仿宋"/>
                <w:b/>
                <w:bCs/>
                <w:sz w:val="18"/>
                <w:szCs w:val="18"/>
              </w:rPr>
            </w:pPr>
          </w:p>
        </w:tc>
        <w:tc>
          <w:tcPr>
            <w:tcW w:w="969" w:type="dxa"/>
            <w:vMerge w:val="continue"/>
            <w:vAlign w:val="center"/>
          </w:tcPr>
          <w:p>
            <w:pPr>
              <w:spacing w:beforeLines="50" w:afterLines="50" w:line="360" w:lineRule="auto"/>
              <w:jc w:val="center"/>
              <w:rPr>
                <w:rFonts w:ascii="仿宋" w:hAnsi="仿宋" w:eastAsia="仿宋" w:cs="仿宋"/>
                <w:b/>
                <w:bCs/>
                <w:sz w:val="18"/>
                <w:szCs w:val="18"/>
              </w:rPr>
            </w:pP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检测位置电压（mV）</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检测位置过渡段电阻(mΩ)</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检测位置电压（mV）</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检测位置过渡段电阻(mΩ)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24" w:type="dxa"/>
            <w:vMerge w:val="restart"/>
            <w:vAlign w:val="center"/>
          </w:tcPr>
          <w:p>
            <w:pPr>
              <w:jc w:val="center"/>
              <w:rPr>
                <w:rFonts w:ascii="仿宋" w:hAnsi="仿宋" w:eastAsia="仿宋"/>
                <w:b/>
                <w:color w:val="000000"/>
                <w:kern w:val="0"/>
                <w:sz w:val="18"/>
                <w:szCs w:val="18"/>
              </w:rPr>
            </w:pPr>
            <w:r>
              <w:rPr>
                <w:rFonts w:ascii="仿宋" w:hAnsi="仿宋" w:eastAsia="仿宋"/>
                <w:b/>
                <w:color w:val="000000"/>
                <w:kern w:val="0"/>
                <w:sz w:val="18"/>
                <w:szCs w:val="18"/>
              </w:rPr>
              <w:t>PbSb</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restart"/>
            <w:vAlign w:val="center"/>
          </w:tcPr>
          <w:p>
            <w:pPr>
              <w:spacing w:beforeLines="50" w:afterLines="50" w:line="360" w:lineRule="auto"/>
              <w:rPr>
                <w:rFonts w:ascii="仿宋" w:hAnsi="仿宋" w:eastAsia="仿宋" w:cs="仿宋"/>
                <w:b/>
                <w:bCs/>
                <w:sz w:val="18"/>
                <w:szCs w:val="18"/>
              </w:rPr>
            </w:pPr>
            <w:r>
              <w:rPr>
                <w:rFonts w:hint="eastAsia" w:ascii="仿宋" w:hAnsi="仿宋" w:eastAsia="仿宋" w:cs="仿宋"/>
                <w:b/>
                <w:bCs/>
                <w:sz w:val="18"/>
                <w:szCs w:val="18"/>
              </w:rPr>
              <w:t>导电头搭接面到板面对角端的位置</w:t>
            </w: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9.142</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0.09142</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8.9682</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124" w:type="dxa"/>
            <w:vMerge w:val="continue"/>
            <w:vAlign w:val="center"/>
          </w:tcPr>
          <w:p>
            <w:pPr>
              <w:jc w:val="center"/>
              <w:rPr>
                <w:rFonts w:ascii="仿宋" w:hAnsi="仿宋" w:eastAsia="仿宋"/>
                <w:b/>
                <w:color w:val="000000"/>
                <w:kern w:val="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55.472</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0.09481</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52.449</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jc w:val="center"/>
              <w:rPr>
                <w:rFonts w:ascii="仿宋" w:hAnsi="仿宋" w:eastAsia="仿宋"/>
                <w:b/>
                <w:color w:val="000000"/>
                <w:kern w:val="0"/>
                <w:sz w:val="18"/>
                <w:szCs w:val="18"/>
              </w:rPr>
            </w:pPr>
            <w:r>
              <w:rPr>
                <w:rFonts w:ascii="仿宋" w:hAnsi="仿宋" w:eastAsia="仿宋"/>
                <w:b/>
                <w:color w:val="000000"/>
                <w:kern w:val="0"/>
                <w:sz w:val="18"/>
                <w:szCs w:val="18"/>
              </w:rPr>
              <w:t>PbCaSn</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9.235</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0.0923</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8.975</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jc w:val="center"/>
              <w:rPr>
                <w:rFonts w:ascii="仿宋" w:hAnsi="仿宋" w:eastAsia="仿宋"/>
                <w:b/>
                <w:color w:val="000000"/>
                <w:kern w:val="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56.472</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0.0907</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55.472</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spacing w:line="240" w:lineRule="auto"/>
              <w:jc w:val="center"/>
              <w:rPr>
                <w:rFonts w:ascii="仿宋" w:hAnsi="仿宋" w:eastAsia="仿宋"/>
                <w:b/>
                <w:color w:val="000000"/>
                <w:kern w:val="0"/>
                <w:sz w:val="18"/>
                <w:szCs w:val="18"/>
              </w:rPr>
            </w:pPr>
            <w:r>
              <w:rPr>
                <w:rFonts w:ascii="仿宋" w:hAnsi="仿宋" w:eastAsia="仿宋"/>
                <w:b/>
                <w:color w:val="000000"/>
                <w:kern w:val="0"/>
                <w:sz w:val="18"/>
                <w:szCs w:val="18"/>
              </w:rPr>
              <w:t>PbCaSnSrR</w:t>
            </w:r>
            <w:r>
              <w:rPr>
                <w:rFonts w:hint="eastAsia" w:ascii="仿宋" w:hAnsi="仿宋" w:eastAsia="仿宋"/>
                <w:b/>
                <w:color w:val="000000"/>
                <w:kern w:val="0"/>
                <w:sz w:val="18"/>
                <w:szCs w:val="18"/>
              </w:rPr>
              <w:t>e</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9.101</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0.09101</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9.043</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spacing w:line="240" w:lineRule="auto"/>
              <w:jc w:val="center"/>
              <w:rPr>
                <w:rFonts w:ascii="仿宋" w:hAnsi="仿宋" w:eastAsia="仿宋"/>
                <w:b/>
                <w:color w:val="000000"/>
                <w:kern w:val="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55.454</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0.0897</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53.475</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spacing w:line="240" w:lineRule="auto"/>
              <w:jc w:val="center"/>
              <w:rPr>
                <w:rFonts w:ascii="仿宋" w:hAnsi="仿宋" w:eastAsia="仿宋"/>
                <w:b/>
                <w:color w:val="000000"/>
                <w:kern w:val="0"/>
                <w:sz w:val="18"/>
                <w:szCs w:val="18"/>
              </w:rPr>
            </w:pPr>
            <w:r>
              <w:rPr>
                <w:rFonts w:hint="eastAsia" w:ascii="仿宋" w:hAnsi="仿宋" w:eastAsia="仿宋" w:cs="仿宋"/>
                <w:b/>
                <w:bCs/>
                <w:sz w:val="18"/>
                <w:szCs w:val="18"/>
              </w:rPr>
              <w:t>铅合金型号</w:t>
            </w:r>
          </w:p>
        </w:tc>
        <w:tc>
          <w:tcPr>
            <w:tcW w:w="969"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直流电流（A</w:t>
            </w:r>
          </w:p>
        </w:tc>
        <w:tc>
          <w:tcPr>
            <w:tcW w:w="1134"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w:t>
            </w:r>
          </w:p>
        </w:tc>
        <w:tc>
          <w:tcPr>
            <w:tcW w:w="2693" w:type="dxa"/>
            <w:gridSpan w:val="2"/>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传统阳极板（锌电解）</w:t>
            </w:r>
          </w:p>
        </w:tc>
        <w:tc>
          <w:tcPr>
            <w:tcW w:w="2608" w:type="dxa"/>
            <w:gridSpan w:val="2"/>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b/>
                <w:color w:val="000000"/>
                <w:sz w:val="18"/>
                <w:szCs w:val="18"/>
              </w:rPr>
              <w:t>锌电积栅栏型阳极板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spacing w:line="240" w:lineRule="auto"/>
              <w:jc w:val="center"/>
              <w:rPr>
                <w:rFonts w:ascii="仿宋" w:hAnsi="仿宋" w:eastAsia="仿宋" w:cs="仿宋"/>
                <w:b/>
                <w:bCs/>
                <w:sz w:val="18"/>
                <w:szCs w:val="18"/>
              </w:rPr>
            </w:pPr>
          </w:p>
        </w:tc>
        <w:tc>
          <w:tcPr>
            <w:tcW w:w="969" w:type="dxa"/>
            <w:vMerge w:val="continue"/>
            <w:vAlign w:val="center"/>
          </w:tcPr>
          <w:p>
            <w:pPr>
              <w:spacing w:beforeLines="50" w:afterLines="50" w:line="360" w:lineRule="auto"/>
              <w:jc w:val="center"/>
              <w:rPr>
                <w:rFonts w:ascii="仿宋" w:hAnsi="仿宋" w:eastAsia="仿宋" w:cs="仿宋"/>
                <w:b/>
                <w:bCs/>
                <w:sz w:val="18"/>
                <w:szCs w:val="18"/>
              </w:rPr>
            </w:pP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检测位置电压（mV）</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检测位置过渡段电阻(mΩ)</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检测位置电压（mV）</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检测位置过渡段电阻(mΩ)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jc w:val="center"/>
              <w:rPr>
                <w:rFonts w:ascii="仿宋" w:hAnsi="仿宋" w:eastAsia="仿宋"/>
                <w:b/>
                <w:color w:val="000000"/>
                <w:kern w:val="0"/>
                <w:sz w:val="18"/>
                <w:szCs w:val="18"/>
              </w:rPr>
            </w:pPr>
            <w:r>
              <w:rPr>
                <w:rFonts w:ascii="仿宋" w:hAnsi="仿宋" w:eastAsia="仿宋"/>
                <w:b/>
                <w:color w:val="000000"/>
                <w:kern w:val="0"/>
                <w:sz w:val="18"/>
                <w:szCs w:val="18"/>
              </w:rPr>
              <w:t>PbAg</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导电头搭接面到板面对角端的位置</w:t>
            </w: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9.473</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0.09473</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8.454</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jc w:val="center"/>
              <w:rPr>
                <w:rFonts w:ascii="仿宋" w:hAnsi="仿宋" w:eastAsia="仿宋"/>
                <w:b/>
                <w:color w:val="000000"/>
                <w:kern w:val="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56.867</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0.09478</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55.472</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jc w:val="center"/>
              <w:rPr>
                <w:rFonts w:ascii="仿宋" w:hAnsi="仿宋" w:eastAsia="仿宋"/>
                <w:b/>
                <w:color w:val="000000"/>
                <w:kern w:val="0"/>
                <w:sz w:val="18"/>
                <w:szCs w:val="18"/>
              </w:rPr>
            </w:pPr>
            <w:r>
              <w:rPr>
                <w:rFonts w:ascii="仿宋" w:hAnsi="仿宋" w:eastAsia="仿宋"/>
                <w:b/>
                <w:color w:val="000000"/>
                <w:kern w:val="0"/>
                <w:sz w:val="18"/>
                <w:szCs w:val="18"/>
              </w:rPr>
              <w:t>PbAgCaSr</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9.325</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0.09325</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9.017</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dxa"/>
            <w:vMerge w:val="continue"/>
            <w:vAlign w:val="center"/>
          </w:tcPr>
          <w:p>
            <w:pPr>
              <w:jc w:val="center"/>
              <w:rPr>
                <w:rFonts w:ascii="仿宋" w:hAnsi="仿宋" w:eastAsia="仿宋"/>
                <w:b/>
                <w:color w:val="000000"/>
                <w:kern w:val="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55.452</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0.08784</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55.024</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spacing w:line="240" w:lineRule="auto"/>
              <w:jc w:val="center"/>
              <w:rPr>
                <w:rFonts w:ascii="仿宋" w:hAnsi="仿宋" w:eastAsia="仿宋"/>
                <w:b/>
                <w:color w:val="000000"/>
                <w:kern w:val="0"/>
                <w:sz w:val="18"/>
                <w:szCs w:val="18"/>
              </w:rPr>
            </w:pPr>
            <w:r>
              <w:rPr>
                <w:rFonts w:ascii="仿宋" w:hAnsi="仿宋" w:eastAsia="仿宋"/>
                <w:b/>
                <w:color w:val="000000"/>
                <w:kern w:val="0"/>
                <w:sz w:val="18"/>
                <w:szCs w:val="18"/>
              </w:rPr>
              <w:t>PbAgCaSrR</w:t>
            </w:r>
            <w:r>
              <w:rPr>
                <w:rFonts w:hint="eastAsia" w:ascii="仿宋" w:hAnsi="仿宋" w:eastAsia="仿宋"/>
                <w:b/>
                <w:color w:val="000000"/>
                <w:kern w:val="0"/>
                <w:sz w:val="18"/>
                <w:szCs w:val="18"/>
              </w:rPr>
              <w:t>e</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9.171</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0.09171</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8.397</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spacing w:line="240" w:lineRule="auto"/>
              <w:jc w:val="center"/>
              <w:rPr>
                <w:rFonts w:ascii="仿宋" w:hAnsi="仿宋" w:eastAsia="仿宋"/>
                <w:b/>
                <w:color w:val="000000"/>
                <w:kern w:val="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53.478</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0.08543</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52.472</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24" w:type="dxa"/>
            <w:vMerge w:val="restart"/>
            <w:vAlign w:val="center"/>
          </w:tcPr>
          <w:p>
            <w:pPr>
              <w:spacing w:line="240" w:lineRule="auto"/>
              <w:jc w:val="center"/>
              <w:rPr>
                <w:rFonts w:ascii="仿宋" w:hAnsi="仿宋" w:eastAsia="仿宋"/>
                <w:b/>
                <w:color w:val="000000"/>
                <w:kern w:val="0"/>
                <w:sz w:val="18"/>
                <w:szCs w:val="18"/>
              </w:rPr>
            </w:pPr>
            <w:r>
              <w:rPr>
                <w:rFonts w:hint="eastAsia" w:ascii="仿宋" w:hAnsi="仿宋" w:eastAsia="仿宋" w:cs="仿宋"/>
                <w:b/>
                <w:bCs/>
                <w:sz w:val="18"/>
                <w:szCs w:val="18"/>
              </w:rPr>
              <w:t>铅合金型号</w:t>
            </w:r>
          </w:p>
        </w:tc>
        <w:tc>
          <w:tcPr>
            <w:tcW w:w="969"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直流电流（A</w:t>
            </w:r>
          </w:p>
        </w:tc>
        <w:tc>
          <w:tcPr>
            <w:tcW w:w="1134"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w:t>
            </w:r>
          </w:p>
        </w:tc>
        <w:tc>
          <w:tcPr>
            <w:tcW w:w="2693" w:type="dxa"/>
            <w:gridSpan w:val="2"/>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传统阳极板（镍电解）</w:t>
            </w:r>
          </w:p>
        </w:tc>
        <w:tc>
          <w:tcPr>
            <w:tcW w:w="2608" w:type="dxa"/>
            <w:gridSpan w:val="2"/>
            <w:vAlign w:val="center"/>
          </w:tcPr>
          <w:p>
            <w:pPr>
              <w:spacing w:beforeLines="50" w:afterLines="50" w:line="360" w:lineRule="auto"/>
              <w:jc w:val="center"/>
              <w:rPr>
                <w:rFonts w:ascii="仿宋" w:hAnsi="仿宋" w:eastAsia="仿宋" w:cs="仿宋"/>
                <w:b/>
                <w:bCs/>
                <w:sz w:val="18"/>
                <w:szCs w:val="18"/>
              </w:rPr>
            </w:pPr>
            <w:r>
              <w:rPr>
                <w:rFonts w:ascii="仿宋" w:hAnsi="仿宋" w:eastAsia="仿宋"/>
                <w:b/>
                <w:color w:val="000000"/>
                <w:sz w:val="18"/>
                <w:szCs w:val="18"/>
              </w:rPr>
              <w:t>镍电积栅栏型阳极板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spacing w:line="240" w:lineRule="auto"/>
              <w:jc w:val="center"/>
              <w:rPr>
                <w:rFonts w:ascii="仿宋" w:hAnsi="仿宋" w:eastAsia="仿宋" w:cs="仿宋"/>
                <w:b/>
                <w:bCs/>
                <w:sz w:val="18"/>
                <w:szCs w:val="18"/>
              </w:rPr>
            </w:pPr>
          </w:p>
        </w:tc>
        <w:tc>
          <w:tcPr>
            <w:tcW w:w="969" w:type="dxa"/>
            <w:vMerge w:val="continue"/>
            <w:vAlign w:val="center"/>
          </w:tcPr>
          <w:p>
            <w:pPr>
              <w:spacing w:beforeLines="50" w:afterLines="50" w:line="360" w:lineRule="auto"/>
              <w:jc w:val="center"/>
              <w:rPr>
                <w:rFonts w:ascii="仿宋" w:hAnsi="仿宋" w:eastAsia="仿宋" w:cs="仿宋"/>
                <w:b/>
                <w:bCs/>
                <w:sz w:val="18"/>
                <w:szCs w:val="18"/>
              </w:rPr>
            </w:pP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检测位置电压（mV）</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检测位置过渡段电阻(mΩ)</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检测位置电压（mV）</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检测位置过渡段电阻(mΩ)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jc w:val="center"/>
              <w:rPr>
                <w:rFonts w:ascii="仿宋" w:hAnsi="仿宋" w:eastAsia="仿宋"/>
                <w:b/>
                <w:color w:val="000000"/>
                <w:sz w:val="18"/>
                <w:szCs w:val="18"/>
              </w:rPr>
            </w:pPr>
            <w:r>
              <w:rPr>
                <w:rFonts w:ascii="仿宋" w:hAnsi="仿宋" w:eastAsia="仿宋"/>
                <w:b/>
                <w:color w:val="000000"/>
                <w:sz w:val="18"/>
                <w:szCs w:val="18"/>
              </w:rPr>
              <w:t>PbAgCaSrR</w:t>
            </w:r>
            <w:r>
              <w:rPr>
                <w:rFonts w:hint="eastAsia" w:ascii="仿宋" w:hAnsi="仿宋" w:eastAsia="仿宋"/>
                <w:b/>
                <w:color w:val="000000"/>
                <w:sz w:val="18"/>
                <w:szCs w:val="18"/>
              </w:rPr>
              <w:t>e</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导电头搭接面到板面对角端的位置</w:t>
            </w: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9.234</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0.09234</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8.798</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jc w:val="center"/>
              <w:rPr>
                <w:rFonts w:ascii="仿宋" w:hAnsi="仿宋" w:eastAsia="仿宋"/>
                <w:b/>
                <w:color w:val="00000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55.415</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0.09175</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54.523</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jc w:val="center"/>
              <w:rPr>
                <w:rFonts w:ascii="仿宋" w:hAnsi="仿宋" w:eastAsia="仿宋"/>
                <w:b/>
                <w:color w:val="000000"/>
                <w:sz w:val="18"/>
                <w:szCs w:val="18"/>
              </w:rPr>
            </w:pPr>
            <w:r>
              <w:rPr>
                <w:rFonts w:ascii="仿宋" w:hAnsi="仿宋" w:eastAsia="仿宋"/>
                <w:b/>
                <w:color w:val="000000"/>
                <w:sz w:val="18"/>
                <w:szCs w:val="18"/>
              </w:rPr>
              <w:t>PbSnCaR</w:t>
            </w:r>
            <w:r>
              <w:rPr>
                <w:rFonts w:hint="eastAsia" w:ascii="仿宋" w:hAnsi="仿宋" w:eastAsia="仿宋"/>
                <w:b/>
                <w:color w:val="000000"/>
                <w:sz w:val="18"/>
                <w:szCs w:val="18"/>
              </w:rPr>
              <w:t>e</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9.178</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0.09178</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9.073</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jc w:val="center"/>
              <w:rPr>
                <w:rFonts w:ascii="仿宋" w:hAnsi="仿宋" w:eastAsia="仿宋"/>
                <w:b/>
                <w:color w:val="00000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56.245</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0.09182</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55.452</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jc w:val="center"/>
              <w:rPr>
                <w:rFonts w:ascii="仿宋" w:hAnsi="仿宋" w:eastAsia="仿宋"/>
                <w:b/>
                <w:color w:val="000000"/>
                <w:sz w:val="18"/>
                <w:szCs w:val="18"/>
              </w:rPr>
            </w:pPr>
            <w:r>
              <w:rPr>
                <w:rFonts w:hint="eastAsia" w:ascii="仿宋" w:hAnsi="仿宋" w:eastAsia="仿宋" w:cs="仿宋"/>
                <w:b/>
                <w:bCs/>
                <w:sz w:val="18"/>
                <w:szCs w:val="18"/>
              </w:rPr>
              <w:t>铅合金型号</w:t>
            </w:r>
          </w:p>
        </w:tc>
        <w:tc>
          <w:tcPr>
            <w:tcW w:w="969"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直流电流（A</w:t>
            </w:r>
          </w:p>
        </w:tc>
        <w:tc>
          <w:tcPr>
            <w:tcW w:w="1134"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w:t>
            </w:r>
          </w:p>
        </w:tc>
        <w:tc>
          <w:tcPr>
            <w:tcW w:w="2693" w:type="dxa"/>
            <w:gridSpan w:val="2"/>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传统阳极板（锰电解）</w:t>
            </w:r>
          </w:p>
        </w:tc>
        <w:tc>
          <w:tcPr>
            <w:tcW w:w="2608" w:type="dxa"/>
            <w:gridSpan w:val="2"/>
            <w:vAlign w:val="center"/>
          </w:tcPr>
          <w:p>
            <w:pPr>
              <w:spacing w:beforeLines="50" w:afterLines="50" w:line="360" w:lineRule="auto"/>
              <w:jc w:val="center"/>
              <w:rPr>
                <w:rFonts w:ascii="仿宋" w:hAnsi="仿宋" w:eastAsia="仿宋" w:cs="仿宋"/>
                <w:b/>
                <w:bCs/>
                <w:sz w:val="18"/>
                <w:szCs w:val="18"/>
              </w:rPr>
            </w:pPr>
            <w:r>
              <w:rPr>
                <w:rFonts w:ascii="仿宋" w:hAnsi="仿宋" w:eastAsia="仿宋"/>
                <w:b/>
                <w:color w:val="000000"/>
                <w:sz w:val="18"/>
                <w:szCs w:val="18"/>
              </w:rPr>
              <w:t>锰电积栅栏型阳极板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jc w:val="center"/>
              <w:rPr>
                <w:rFonts w:ascii="仿宋" w:hAnsi="仿宋" w:eastAsia="仿宋" w:cs="仿宋"/>
                <w:b/>
                <w:bCs/>
                <w:sz w:val="18"/>
                <w:szCs w:val="18"/>
              </w:rPr>
            </w:pPr>
          </w:p>
        </w:tc>
        <w:tc>
          <w:tcPr>
            <w:tcW w:w="969" w:type="dxa"/>
            <w:vMerge w:val="continue"/>
            <w:vAlign w:val="center"/>
          </w:tcPr>
          <w:p>
            <w:pPr>
              <w:spacing w:beforeLines="50" w:afterLines="50" w:line="360" w:lineRule="auto"/>
              <w:jc w:val="center"/>
              <w:rPr>
                <w:rFonts w:ascii="仿宋" w:hAnsi="仿宋" w:eastAsia="仿宋" w:cs="仿宋"/>
                <w:b/>
                <w:bCs/>
                <w:sz w:val="18"/>
                <w:szCs w:val="18"/>
              </w:rPr>
            </w:pP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检测位置电压（mV）</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检测位置过渡段电阻(mΩ)</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检测位置电压（mV）</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检测位置过渡段电阻(mΩ)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jc w:val="center"/>
              <w:rPr>
                <w:rFonts w:ascii="仿宋" w:hAnsi="仿宋" w:eastAsia="仿宋"/>
                <w:b/>
                <w:color w:val="000000"/>
                <w:sz w:val="18"/>
                <w:szCs w:val="18"/>
              </w:rPr>
            </w:pPr>
            <w:r>
              <w:rPr>
                <w:rFonts w:ascii="仿宋" w:hAnsi="仿宋" w:eastAsia="仿宋"/>
                <w:b/>
                <w:color w:val="000000"/>
                <w:sz w:val="18"/>
                <w:szCs w:val="18"/>
              </w:rPr>
              <w:t>PbAgSnSr</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restart"/>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导电头搭接面到板面对角端的位置</w:t>
            </w: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8.9542</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0.089542</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8.7875</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jc w:val="center"/>
              <w:rPr>
                <w:rFonts w:ascii="仿宋" w:hAnsi="仿宋" w:eastAsia="仿宋"/>
                <w:b/>
                <w:color w:val="00000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56.233</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0.09071</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54.252</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0.08674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jc w:val="center"/>
              <w:rPr>
                <w:rFonts w:ascii="仿宋" w:hAnsi="仿宋" w:eastAsia="仿宋"/>
                <w:b/>
                <w:color w:val="000000"/>
                <w:sz w:val="18"/>
                <w:szCs w:val="18"/>
              </w:rPr>
            </w:pPr>
            <w:r>
              <w:rPr>
                <w:rFonts w:ascii="仿宋" w:hAnsi="仿宋" w:eastAsia="仿宋"/>
                <w:b/>
                <w:color w:val="000000"/>
                <w:sz w:val="18"/>
                <w:szCs w:val="18"/>
              </w:rPr>
              <w:t>PbAgSnSbR</w:t>
            </w:r>
            <w:r>
              <w:rPr>
                <w:rFonts w:hint="eastAsia" w:ascii="仿宋" w:hAnsi="仿宋" w:eastAsia="仿宋"/>
                <w:b/>
                <w:color w:val="000000"/>
                <w:sz w:val="18"/>
                <w:szCs w:val="18"/>
              </w:rPr>
              <w:t>e</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9.0231</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0.090231</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8.9254</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jc w:val="center"/>
              <w:rPr>
                <w:rFonts w:ascii="仿宋" w:hAnsi="仿宋" w:eastAsia="仿宋"/>
                <w:b/>
                <w:color w:val="00000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55.425</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0.09012</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54.553</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restart"/>
            <w:vAlign w:val="center"/>
          </w:tcPr>
          <w:p>
            <w:pPr>
              <w:jc w:val="center"/>
              <w:rPr>
                <w:rFonts w:ascii="仿宋" w:hAnsi="仿宋" w:eastAsia="仿宋"/>
                <w:b/>
                <w:color w:val="000000"/>
                <w:sz w:val="18"/>
                <w:szCs w:val="18"/>
              </w:rPr>
            </w:pPr>
            <w:r>
              <w:rPr>
                <w:rFonts w:ascii="仿宋" w:hAnsi="仿宋" w:eastAsia="仿宋"/>
                <w:b/>
                <w:color w:val="000000"/>
                <w:sz w:val="18"/>
                <w:szCs w:val="18"/>
              </w:rPr>
              <w:t>PbAgSnSbAs</w:t>
            </w: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100A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8.7542</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0.08742</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8.7234</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4" w:type="dxa"/>
            <w:vMerge w:val="continue"/>
            <w:vAlign w:val="center"/>
          </w:tcPr>
          <w:p>
            <w:pPr>
              <w:jc w:val="center"/>
              <w:rPr>
                <w:rFonts w:ascii="仿宋" w:hAnsi="仿宋" w:eastAsia="仿宋"/>
                <w:b/>
                <w:color w:val="000000"/>
                <w:sz w:val="18"/>
                <w:szCs w:val="18"/>
              </w:rPr>
            </w:pPr>
          </w:p>
        </w:tc>
        <w:tc>
          <w:tcPr>
            <w:tcW w:w="969"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600A</w:t>
            </w:r>
          </w:p>
        </w:tc>
        <w:tc>
          <w:tcPr>
            <w:tcW w:w="1134" w:type="dxa"/>
            <w:vMerge w:val="continue"/>
            <w:vAlign w:val="center"/>
          </w:tcPr>
          <w:p>
            <w:pPr>
              <w:spacing w:beforeLines="50" w:afterLines="50" w:line="360" w:lineRule="auto"/>
              <w:jc w:val="center"/>
              <w:rPr>
                <w:rFonts w:ascii="仿宋" w:hAnsi="仿宋" w:eastAsia="仿宋" w:cs="仿宋"/>
                <w:b/>
                <w:bCs/>
                <w:sz w:val="18"/>
                <w:szCs w:val="18"/>
              </w:rPr>
            </w:pPr>
          </w:p>
        </w:tc>
        <w:tc>
          <w:tcPr>
            <w:tcW w:w="1276"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56.452</w:t>
            </w:r>
          </w:p>
        </w:tc>
        <w:tc>
          <w:tcPr>
            <w:tcW w:w="1417"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0.08872</w:t>
            </w:r>
          </w:p>
        </w:tc>
        <w:tc>
          <w:tcPr>
            <w:tcW w:w="113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55.478</w:t>
            </w:r>
          </w:p>
        </w:tc>
        <w:tc>
          <w:tcPr>
            <w:tcW w:w="1474" w:type="dxa"/>
            <w:vAlign w:val="center"/>
          </w:tcPr>
          <w:p>
            <w:pPr>
              <w:spacing w:beforeLines="50" w:afterLines="50" w:line="360" w:lineRule="auto"/>
              <w:jc w:val="center"/>
              <w:rPr>
                <w:rFonts w:ascii="仿宋" w:hAnsi="仿宋" w:eastAsia="仿宋" w:cs="仿宋"/>
                <w:b/>
                <w:bCs/>
                <w:sz w:val="18"/>
                <w:szCs w:val="18"/>
              </w:rPr>
            </w:pPr>
            <w:r>
              <w:rPr>
                <w:rFonts w:hint="eastAsia" w:ascii="仿宋" w:hAnsi="仿宋" w:eastAsia="仿宋" w:cs="仿宋"/>
                <w:b/>
                <w:bCs/>
                <w:sz w:val="18"/>
                <w:szCs w:val="18"/>
              </w:rPr>
              <w:t>0.08723</w:t>
            </w:r>
          </w:p>
        </w:tc>
      </w:tr>
    </w:tbl>
    <w:p>
      <w:pPr>
        <w:spacing w:beforeLines="50" w:afterLines="50" w:line="360" w:lineRule="auto"/>
        <w:ind w:firstLine="562" w:firstLineChars="200"/>
        <w:rPr>
          <w:rFonts w:ascii="仿宋" w:hAnsi="仿宋" w:eastAsia="仿宋" w:cs="仿宋"/>
          <w:b/>
          <w:bCs/>
          <w:sz w:val="28"/>
          <w:szCs w:val="28"/>
        </w:rPr>
      </w:pPr>
    </w:p>
    <w:p>
      <w:pPr>
        <w:spacing w:beforeLines="50" w:afterLines="5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“栅栏型铝基铅合金复合阳极制备技术与应用”</w:t>
      </w:r>
      <w:r>
        <w:rPr>
          <w:rFonts w:hint="eastAsia" w:ascii="仿宋" w:hAnsi="仿宋" w:eastAsia="仿宋" w:cs="仿宋"/>
          <w:sz w:val="28"/>
          <w:szCs w:val="28"/>
        </w:rPr>
        <w:t>和</w:t>
      </w:r>
      <w:r>
        <w:rPr>
          <w:rFonts w:hint="eastAsia" w:ascii="仿宋" w:hAnsi="仿宋" w:eastAsia="仿宋" w:cs="仿宋"/>
          <w:b/>
          <w:bCs/>
          <w:sz w:val="28"/>
          <w:szCs w:val="28"/>
        </w:rPr>
        <w:t>“新型铅合金及铝基铅合金复合材料电极设计与制备”</w:t>
      </w:r>
      <w:r>
        <w:rPr>
          <w:rFonts w:hint="eastAsia" w:ascii="仿宋" w:hAnsi="仿宋" w:eastAsia="仿宋" w:cs="仿宋"/>
          <w:sz w:val="28"/>
          <w:szCs w:val="28"/>
        </w:rPr>
        <w:t>两项科研成果，分别于20</w:t>
      </w:r>
      <w:r>
        <w:rPr>
          <w:rFonts w:hint="eastAsia" w:ascii="仿宋" w:hAnsi="仿宋" w:eastAsia="仿宋" w:cs="仿宋"/>
          <w:bCs/>
          <w:sz w:val="28"/>
          <w:szCs w:val="28"/>
        </w:rPr>
        <w:t>16年8月和2019年5月由中国有色金属工业协会组织、邀请了有色金属行业内张国成院士、张文海院士、王国栋院士及知名专家进行了成果评价，分别给予了“</w:t>
      </w:r>
      <w:r>
        <w:rPr>
          <w:rFonts w:hint="eastAsia" w:ascii="仿宋" w:hAnsi="仿宋" w:eastAsia="仿宋" w:cs="仿宋"/>
          <w:b/>
          <w:bCs/>
          <w:sz w:val="28"/>
          <w:szCs w:val="28"/>
        </w:rPr>
        <w:t>项目整体技术在有色金属电积领域处于国际领先水平”、“项目整体技术达到国际领先水平”</w:t>
      </w:r>
      <w:r>
        <w:rPr>
          <w:rFonts w:hint="eastAsia" w:ascii="仿宋" w:hAnsi="仿宋" w:eastAsia="仿宋" w:cs="仿宋"/>
          <w:bCs/>
          <w:sz w:val="28"/>
          <w:szCs w:val="28"/>
        </w:rPr>
        <w:t>的综合评价结论。特别对于新型复合材料电极，评价报告指出：“</w:t>
      </w:r>
      <w:r>
        <w:rPr>
          <w:rFonts w:hint="eastAsia" w:ascii="仿宋" w:hAnsi="仿宋" w:eastAsia="仿宋" w:cs="仿宋"/>
          <w:sz w:val="28"/>
          <w:szCs w:val="28"/>
        </w:rPr>
        <w:t>项目技术难度大，复杂程度高，技术经济指标先进。自主设计制造的新型铝基铅合金复合材料电极，应用于有色金属湿法冶金行业，显著降低能耗、提高电流效率，增加产量，</w:t>
      </w:r>
      <w:r>
        <w:rPr>
          <w:rFonts w:hint="eastAsia" w:ascii="仿宋" w:hAnsi="仿宋" w:eastAsia="仿宋" w:cs="仿宋"/>
          <w:bCs/>
          <w:sz w:val="28"/>
          <w:szCs w:val="28"/>
        </w:rPr>
        <w:t>为国内外首创</w:t>
      </w:r>
      <w:r>
        <w:rPr>
          <w:rFonts w:hint="eastAsia" w:ascii="仿宋" w:hAnsi="仿宋" w:eastAsia="仿宋" w:cs="仿宋"/>
          <w:sz w:val="28"/>
          <w:szCs w:val="28"/>
        </w:rPr>
        <w:t xml:space="preserve">。项目技术的成功应用，对湿法冶金工业的节能降耗，阴极产品质量的提高提供了技术支撑，促进了有色金属湿法冶金行业电极材料的升级改造和科技进步。” </w:t>
      </w:r>
    </w:p>
    <w:p>
      <w:pPr>
        <w:spacing w:beforeLines="50" w:afterLines="50" w:line="360" w:lineRule="auto"/>
        <w:ind w:firstLine="548" w:firstLineChars="200"/>
        <w:rPr>
          <w:rFonts w:ascii="仿宋" w:hAnsi="仿宋" w:eastAsia="仿宋" w:cs="仿宋"/>
          <w:bCs/>
          <w:sz w:val="28"/>
          <w:szCs w:val="28"/>
        </w:rPr>
      </w:pPr>
      <w:r>
        <w:rPr>
          <w:rFonts w:hint="eastAsia" w:ascii="仿宋" w:hAnsi="仿宋" w:eastAsia="仿宋" w:cs="仿宋"/>
          <w:spacing w:val="-3"/>
          <w:sz w:val="28"/>
          <w:szCs w:val="28"/>
        </w:rPr>
        <w:t>迄今为止，“栅栏型铝基铅合金复合阳极制备技术与应用”和“新型铅合金及铝基铅合金复合材料电极设计与制备”两项科研成果的产业化产品——栅栏型铝基铅合金复合材料阳极已在深圳市中金岭南有色金属股份有限公司丹霞冶炼厂、江西铜业铅锌金属有限公司、西部矿业股份有限公司、云南华联锌铟股份有限公司等国内20余家大型湿法冶金企业广泛应用，对国外进口的3.2平方米铅合金阳极板实现了进口替代；尤其在“一带一路”沿线的缅甸、赞比亚、刚果金等国家广泛应用，对提高我国企业技术经济竞争能力，降低海外投资风险，积极“走出去”开发铜、钴、镍等战略性有色金属资源，保障国家经济发展和国防安全发挥了重大积极作用。</w:t>
      </w:r>
    </w:p>
    <w:p>
      <w:pPr>
        <w:spacing w:beforeLines="50" w:afterLines="50" w:line="360" w:lineRule="auto"/>
        <w:ind w:firstLine="560" w:firstLineChars="200"/>
        <w:rPr>
          <w:rStyle w:val="15"/>
          <w:rFonts w:ascii="仿宋" w:hAnsi="仿宋" w:eastAsia="仿宋" w:cs="仿宋"/>
          <w:b w:val="0"/>
          <w:bCs w:val="0"/>
          <w:color w:val="070707"/>
          <w:sz w:val="28"/>
          <w:szCs w:val="28"/>
        </w:rPr>
      </w:pPr>
      <w:r>
        <w:rPr>
          <w:rFonts w:hint="eastAsia" w:ascii="仿宋" w:hAnsi="仿宋" w:eastAsia="仿宋" w:cs="仿宋"/>
          <w:sz w:val="28"/>
          <w:szCs w:val="28"/>
        </w:rPr>
        <w:t>此外，该技术荣获2016年中国有色金属工业科学技术奖一等奖，2017年度云南省技术发明奖三等奖，2018年度第三届锌冶炼、回收环保大会“杰出技术大奖”。</w:t>
      </w:r>
    </w:p>
    <w:p>
      <w:pPr>
        <w:pStyle w:val="5"/>
        <w:spacing w:line="360" w:lineRule="auto"/>
        <w:ind w:firstLine="560" w:firstLineChars="200"/>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本文件是初次起草、制定，</w:t>
      </w:r>
      <w:bookmarkStart w:id="24" w:name="_Hlk34764444"/>
      <w:r>
        <w:rPr>
          <w:rStyle w:val="15"/>
          <w:rFonts w:hint="eastAsia" w:ascii="仿宋" w:hAnsi="仿宋" w:eastAsia="仿宋" w:cs="仿宋"/>
          <w:b w:val="0"/>
          <w:bCs w:val="0"/>
          <w:color w:val="070707"/>
          <w:sz w:val="28"/>
          <w:szCs w:val="28"/>
        </w:rPr>
        <w:t>栅栏型铅合金包覆铝芯阳极板</w:t>
      </w:r>
      <w:bookmarkEnd w:id="24"/>
      <w:r>
        <w:rPr>
          <w:rStyle w:val="15"/>
          <w:rFonts w:hint="eastAsia" w:ascii="仿宋" w:hAnsi="仿宋" w:eastAsia="仿宋" w:cs="仿宋"/>
          <w:b w:val="0"/>
          <w:bCs w:val="0"/>
          <w:color w:val="070707"/>
          <w:sz w:val="28"/>
          <w:szCs w:val="28"/>
        </w:rPr>
        <w:t>产品是国内外首创，国内外无该产品相应的标准；也无对应的国际标准或国外先进标准；无相关国家或行业标准。</w:t>
      </w:r>
    </w:p>
    <w:p>
      <w:pPr>
        <w:pStyle w:val="5"/>
        <w:spacing w:line="360" w:lineRule="auto"/>
        <w:ind w:firstLine="480" w:firstLineChars="200"/>
        <w:rPr>
          <w:rStyle w:val="15"/>
          <w:b w:val="0"/>
          <w:bCs w:val="0"/>
          <w:color w:val="070707"/>
          <w:sz w:val="24"/>
          <w:szCs w:val="24"/>
        </w:rPr>
      </w:pPr>
    </w:p>
    <w:p>
      <w:pPr>
        <w:overflowPunct w:val="0"/>
        <w:spacing w:line="360" w:lineRule="auto"/>
        <w:jc w:val="both"/>
        <w:outlineLvl w:val="0"/>
        <w:rPr>
          <w:rFonts w:ascii="黑体" w:hAnsi="黑体" w:eastAsia="黑体" w:cs="黑体"/>
          <w:sz w:val="28"/>
          <w:szCs w:val="28"/>
        </w:rPr>
      </w:pPr>
      <w:bookmarkStart w:id="25" w:name="_Toc9465"/>
      <w:r>
        <w:rPr>
          <w:rFonts w:hint="eastAsia" w:ascii="黑体" w:hAnsi="黑体" w:eastAsia="黑体" w:cs="黑体"/>
          <w:sz w:val="28"/>
          <w:szCs w:val="28"/>
        </w:rPr>
        <w:t>6、与有关的现行法律、法规和强制性国家标准的关系</w:t>
      </w:r>
      <w:bookmarkEnd w:id="25"/>
    </w:p>
    <w:p>
      <w:pPr>
        <w:pStyle w:val="5"/>
        <w:spacing w:line="360" w:lineRule="auto"/>
        <w:ind w:firstLine="560" w:firstLineChars="200"/>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本文件的制定过程、技术指标选定、检验项目的设置等符合现行法律、法规及相关性的国家标准或行业标准。</w:t>
      </w:r>
    </w:p>
    <w:p>
      <w:pPr>
        <w:overflowPunct w:val="0"/>
        <w:spacing w:line="360" w:lineRule="auto"/>
        <w:jc w:val="both"/>
        <w:outlineLvl w:val="0"/>
        <w:rPr>
          <w:rFonts w:ascii="黑体" w:hAnsi="黑体" w:eastAsia="黑体" w:cs="黑体"/>
          <w:sz w:val="28"/>
          <w:szCs w:val="28"/>
        </w:rPr>
      </w:pPr>
      <w:bookmarkStart w:id="26" w:name="_Toc10534"/>
      <w:r>
        <w:rPr>
          <w:rFonts w:hint="eastAsia" w:ascii="黑体" w:hAnsi="黑体" w:eastAsia="黑体" w:cs="黑体"/>
          <w:sz w:val="28"/>
          <w:szCs w:val="28"/>
        </w:rPr>
        <w:t>7、重大分歧意见的处理经过和依据</w:t>
      </w:r>
      <w:bookmarkEnd w:id="26"/>
    </w:p>
    <w:p>
      <w:pPr>
        <w:pStyle w:val="5"/>
        <w:spacing w:line="360" w:lineRule="auto"/>
        <w:ind w:firstLine="560" w:firstLineChars="200"/>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无</w:t>
      </w:r>
    </w:p>
    <w:p>
      <w:pPr>
        <w:overflowPunct w:val="0"/>
        <w:spacing w:line="360" w:lineRule="auto"/>
        <w:jc w:val="both"/>
        <w:outlineLvl w:val="0"/>
        <w:rPr>
          <w:rFonts w:ascii="黑体" w:hAnsi="黑体" w:eastAsia="黑体" w:cs="黑体"/>
          <w:sz w:val="28"/>
          <w:szCs w:val="28"/>
        </w:rPr>
      </w:pPr>
      <w:bookmarkStart w:id="27" w:name="_Toc270"/>
      <w:r>
        <w:rPr>
          <w:rFonts w:hint="eastAsia" w:ascii="黑体" w:hAnsi="黑体" w:eastAsia="黑体"/>
          <w:sz w:val="28"/>
          <w:szCs w:val="28"/>
        </w:rPr>
        <w:t>8、标准作为强制性或推荐性标准的建议</w:t>
      </w:r>
      <w:bookmarkEnd w:id="27"/>
    </w:p>
    <w:p>
      <w:pPr>
        <w:pStyle w:val="5"/>
        <w:spacing w:line="360" w:lineRule="auto"/>
        <w:ind w:firstLine="560" w:firstLineChars="200"/>
        <w:rPr>
          <w:rStyle w:val="15"/>
          <w:rFonts w:ascii="仿宋" w:hAnsi="仿宋" w:eastAsia="仿宋" w:cs="仿宋"/>
          <w:b w:val="0"/>
          <w:bCs w:val="0"/>
          <w:color w:val="070707"/>
          <w:sz w:val="28"/>
          <w:szCs w:val="28"/>
        </w:rPr>
      </w:pPr>
      <w:r>
        <w:rPr>
          <w:rStyle w:val="15"/>
          <w:rFonts w:hint="eastAsia" w:ascii="仿宋" w:hAnsi="仿宋" w:eastAsia="仿宋" w:cs="仿宋"/>
          <w:b w:val="0"/>
          <w:bCs w:val="0"/>
          <w:color w:val="070707"/>
          <w:sz w:val="28"/>
          <w:szCs w:val="28"/>
        </w:rPr>
        <w:t>本文件建议作为推荐性行业标准</w:t>
      </w:r>
    </w:p>
    <w:p>
      <w:pPr>
        <w:overflowPunct w:val="0"/>
        <w:spacing w:line="360" w:lineRule="auto"/>
        <w:jc w:val="both"/>
        <w:outlineLvl w:val="0"/>
        <w:rPr>
          <w:rFonts w:ascii="黑体" w:hAnsi="黑体" w:eastAsia="黑体" w:cs="黑体"/>
          <w:sz w:val="28"/>
          <w:szCs w:val="28"/>
        </w:rPr>
      </w:pPr>
      <w:bookmarkStart w:id="28" w:name="_Toc24444"/>
      <w:r>
        <w:rPr>
          <w:rFonts w:hint="eastAsia" w:ascii="黑体" w:hAnsi="黑体" w:eastAsia="黑体"/>
          <w:sz w:val="28"/>
          <w:szCs w:val="28"/>
        </w:rPr>
        <w:t>9、标准实施贯彻的建议</w:t>
      </w:r>
      <w:bookmarkEnd w:id="28"/>
    </w:p>
    <w:p>
      <w:pPr>
        <w:overflowPunct w:val="0"/>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本文件的制订，可填补栅栏型铅合金包覆铝芯阳极板标准空白，建议大力推广和执行。标准全面覆盖了栅栏型铅合金包覆铝芯阳极板的技术要求，建议相关生产及使用单位组织专项标准宣贯会进行系统学习。本文件发布后，各企业应积极宣传和贯彻，并按照标准要求进行组织生产，以保证产品质量，满足国内、外市场及客户的需要。</w:t>
      </w:r>
    </w:p>
    <w:p>
      <w:pPr>
        <w:overflowPunct w:val="0"/>
        <w:spacing w:line="360" w:lineRule="auto"/>
        <w:jc w:val="both"/>
        <w:outlineLvl w:val="0"/>
        <w:rPr>
          <w:rFonts w:ascii="黑体" w:hAnsi="黑体" w:eastAsia="黑体" w:cs="黑体"/>
          <w:sz w:val="28"/>
          <w:szCs w:val="28"/>
        </w:rPr>
      </w:pPr>
      <w:bookmarkStart w:id="29" w:name="_Toc6002"/>
      <w:r>
        <w:rPr>
          <w:rFonts w:hint="eastAsia" w:ascii="黑体" w:hAnsi="黑体" w:eastAsia="黑体" w:cs="黑体"/>
          <w:sz w:val="28"/>
          <w:szCs w:val="28"/>
        </w:rPr>
        <w:t>10、预期效果</w:t>
      </w:r>
      <w:bookmarkEnd w:id="29"/>
    </w:p>
    <w:p>
      <w:pPr>
        <w:overflowPunct w:val="0"/>
        <w:spacing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本文件在国内生产企业及国内外客户使用需求的基础上，参照国内外相关类似产品标准、规范制定的，技术指标先进，具有普遍性、广泛性、适用性、科学性和先进性。本文件发布后，将更好的推动我国有色金属电积用阳极板的制造行业的整体水平、提高产品的竞争力，给生产企业带来更大的经济效益，同时也更好的服务客户。</w:t>
      </w:r>
    </w:p>
    <w:p>
      <w:pPr>
        <w:jc w:val="both"/>
        <w:rPr>
          <w:sz w:val="28"/>
          <w:szCs w:val="28"/>
        </w:rPr>
      </w:pPr>
    </w:p>
    <w:p>
      <w:pPr>
        <w:overflowPunct w:val="0"/>
        <w:spacing w:line="360" w:lineRule="auto"/>
        <w:ind w:firstLine="560" w:firstLineChars="200"/>
        <w:jc w:val="both"/>
        <w:rPr>
          <w:rFonts w:ascii="宋体" w:hAnsi="宋体"/>
          <w:sz w:val="28"/>
          <w:szCs w:val="28"/>
        </w:rPr>
      </w:pPr>
    </w:p>
    <w:sectPr>
      <w:footerReference r:id="rId3" w:type="default"/>
      <w:pgSz w:w="11906" w:h="16838"/>
      <w:pgMar w:top="1440" w:right="1797" w:bottom="1440" w:left="1797" w:header="851" w:footer="992" w:gutter="0"/>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宋体-方正超大字符集">
    <w:altName w:val="宋体"/>
    <w:panose1 w:val="00000000000000000000"/>
    <w:charset w:val="86"/>
    <w:family w:val="script"/>
    <w:pitch w:val="default"/>
    <w:sig w:usb0="00000000" w:usb1="00000000" w:usb2="00000010" w:usb3="00000000" w:csb0="00040000" w:csb1="00000000"/>
  </w:font>
  <w:font w:name="TimesNewRomanPSMT">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3535436"/>
    </w:sdtPr>
    <w:sdtContent>
      <w:p>
        <w:pPr>
          <w:pStyle w:val="7"/>
          <w:jc w:val="center"/>
        </w:pPr>
        <w:r>
          <w:fldChar w:fldCharType="begin"/>
        </w:r>
        <w:r>
          <w:instrText xml:space="preserve">PAGE   \* MERGEFORMAT</w:instrText>
        </w:r>
        <w:r>
          <w:fldChar w:fldCharType="separate"/>
        </w:r>
        <w:r>
          <w:rPr>
            <w:lang w:val="zh-CN"/>
          </w:rPr>
          <w:t>15</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49"/>
    <w:rsid w:val="00000197"/>
    <w:rsid w:val="0003706A"/>
    <w:rsid w:val="0004552F"/>
    <w:rsid w:val="00051F70"/>
    <w:rsid w:val="00053D46"/>
    <w:rsid w:val="00067E07"/>
    <w:rsid w:val="000A2D03"/>
    <w:rsid w:val="000C00BD"/>
    <w:rsid w:val="000F5079"/>
    <w:rsid w:val="00117A73"/>
    <w:rsid w:val="00134EDF"/>
    <w:rsid w:val="00157686"/>
    <w:rsid w:val="001946C3"/>
    <w:rsid w:val="001D52EC"/>
    <w:rsid w:val="001F3E24"/>
    <w:rsid w:val="00256FDF"/>
    <w:rsid w:val="002A42C7"/>
    <w:rsid w:val="002A43AE"/>
    <w:rsid w:val="002C48BA"/>
    <w:rsid w:val="002F3FFF"/>
    <w:rsid w:val="003260B8"/>
    <w:rsid w:val="003447F9"/>
    <w:rsid w:val="00354B3D"/>
    <w:rsid w:val="003E7418"/>
    <w:rsid w:val="004006ED"/>
    <w:rsid w:val="00407041"/>
    <w:rsid w:val="00422A76"/>
    <w:rsid w:val="0042523C"/>
    <w:rsid w:val="00440978"/>
    <w:rsid w:val="00444BAA"/>
    <w:rsid w:val="00497D4B"/>
    <w:rsid w:val="004B32BF"/>
    <w:rsid w:val="004C6114"/>
    <w:rsid w:val="004C74AD"/>
    <w:rsid w:val="004E66AD"/>
    <w:rsid w:val="00522410"/>
    <w:rsid w:val="00553C54"/>
    <w:rsid w:val="0058027D"/>
    <w:rsid w:val="00580A1B"/>
    <w:rsid w:val="005833F0"/>
    <w:rsid w:val="005A4DBB"/>
    <w:rsid w:val="005D645A"/>
    <w:rsid w:val="005F377D"/>
    <w:rsid w:val="005F6C5B"/>
    <w:rsid w:val="006041EB"/>
    <w:rsid w:val="00606E9B"/>
    <w:rsid w:val="00621AFC"/>
    <w:rsid w:val="00637DB9"/>
    <w:rsid w:val="0065061E"/>
    <w:rsid w:val="006637DA"/>
    <w:rsid w:val="006B0AEA"/>
    <w:rsid w:val="006C77E9"/>
    <w:rsid w:val="00704D93"/>
    <w:rsid w:val="007246F2"/>
    <w:rsid w:val="007362AD"/>
    <w:rsid w:val="00751247"/>
    <w:rsid w:val="0075678A"/>
    <w:rsid w:val="00757EE4"/>
    <w:rsid w:val="007822A2"/>
    <w:rsid w:val="00795CA1"/>
    <w:rsid w:val="007A133E"/>
    <w:rsid w:val="007F7436"/>
    <w:rsid w:val="00801DF9"/>
    <w:rsid w:val="0086386B"/>
    <w:rsid w:val="00887DF9"/>
    <w:rsid w:val="008C06E6"/>
    <w:rsid w:val="008C7D9D"/>
    <w:rsid w:val="008D7419"/>
    <w:rsid w:val="008F2A1A"/>
    <w:rsid w:val="009172B2"/>
    <w:rsid w:val="009367A2"/>
    <w:rsid w:val="00936DF0"/>
    <w:rsid w:val="009419E2"/>
    <w:rsid w:val="0094446B"/>
    <w:rsid w:val="0097527A"/>
    <w:rsid w:val="009C171B"/>
    <w:rsid w:val="009D4B20"/>
    <w:rsid w:val="009E6B74"/>
    <w:rsid w:val="00A15980"/>
    <w:rsid w:val="00A16814"/>
    <w:rsid w:val="00A17363"/>
    <w:rsid w:val="00A2041C"/>
    <w:rsid w:val="00A46F12"/>
    <w:rsid w:val="00A7164A"/>
    <w:rsid w:val="00AA605D"/>
    <w:rsid w:val="00AB6358"/>
    <w:rsid w:val="00AB7F73"/>
    <w:rsid w:val="00AD46BD"/>
    <w:rsid w:val="00AF49F4"/>
    <w:rsid w:val="00B45E53"/>
    <w:rsid w:val="00B659B8"/>
    <w:rsid w:val="00BB0AE8"/>
    <w:rsid w:val="00BD7C25"/>
    <w:rsid w:val="00C12AB8"/>
    <w:rsid w:val="00C424AD"/>
    <w:rsid w:val="00C44987"/>
    <w:rsid w:val="00C501AE"/>
    <w:rsid w:val="00C64D08"/>
    <w:rsid w:val="00CC243F"/>
    <w:rsid w:val="00CD7582"/>
    <w:rsid w:val="00CE12E3"/>
    <w:rsid w:val="00CE5E3C"/>
    <w:rsid w:val="00D1529E"/>
    <w:rsid w:val="00D154B1"/>
    <w:rsid w:val="00D345A3"/>
    <w:rsid w:val="00D61FE7"/>
    <w:rsid w:val="00D63A3C"/>
    <w:rsid w:val="00D87EE6"/>
    <w:rsid w:val="00D97949"/>
    <w:rsid w:val="00DA25CB"/>
    <w:rsid w:val="00DA2604"/>
    <w:rsid w:val="00DC65E4"/>
    <w:rsid w:val="00DF364F"/>
    <w:rsid w:val="00E4436E"/>
    <w:rsid w:val="00E509A3"/>
    <w:rsid w:val="00E57FBB"/>
    <w:rsid w:val="00E65495"/>
    <w:rsid w:val="00E65580"/>
    <w:rsid w:val="00E841F4"/>
    <w:rsid w:val="00EB2245"/>
    <w:rsid w:val="00EC2DD3"/>
    <w:rsid w:val="00ED48C9"/>
    <w:rsid w:val="00F0188B"/>
    <w:rsid w:val="00F06DB1"/>
    <w:rsid w:val="00F21F47"/>
    <w:rsid w:val="00F225E4"/>
    <w:rsid w:val="00F40DDF"/>
    <w:rsid w:val="00F56886"/>
    <w:rsid w:val="00F73944"/>
    <w:rsid w:val="00F8088F"/>
    <w:rsid w:val="00F944C1"/>
    <w:rsid w:val="00FE207D"/>
    <w:rsid w:val="00FE439A"/>
    <w:rsid w:val="00FF1369"/>
    <w:rsid w:val="023678F8"/>
    <w:rsid w:val="03B8339A"/>
    <w:rsid w:val="053432E4"/>
    <w:rsid w:val="0847249A"/>
    <w:rsid w:val="09091BD1"/>
    <w:rsid w:val="0F21153E"/>
    <w:rsid w:val="0F5E1A52"/>
    <w:rsid w:val="19A85C46"/>
    <w:rsid w:val="1EFB6322"/>
    <w:rsid w:val="22A003CA"/>
    <w:rsid w:val="250116E6"/>
    <w:rsid w:val="28CD4D66"/>
    <w:rsid w:val="2A6800F7"/>
    <w:rsid w:val="2C8C0D9E"/>
    <w:rsid w:val="2D473D34"/>
    <w:rsid w:val="31C06EA7"/>
    <w:rsid w:val="33D358ED"/>
    <w:rsid w:val="359A7830"/>
    <w:rsid w:val="37382F64"/>
    <w:rsid w:val="38D8518F"/>
    <w:rsid w:val="39F16047"/>
    <w:rsid w:val="3B375082"/>
    <w:rsid w:val="3D4D0CBF"/>
    <w:rsid w:val="3DE77751"/>
    <w:rsid w:val="402A36DD"/>
    <w:rsid w:val="417443D9"/>
    <w:rsid w:val="422D790E"/>
    <w:rsid w:val="49857C61"/>
    <w:rsid w:val="4A7F4AE5"/>
    <w:rsid w:val="4DFC702D"/>
    <w:rsid w:val="4EE20F0E"/>
    <w:rsid w:val="5104655A"/>
    <w:rsid w:val="52104DB2"/>
    <w:rsid w:val="547649EE"/>
    <w:rsid w:val="55FD285F"/>
    <w:rsid w:val="56D245EB"/>
    <w:rsid w:val="61EB5750"/>
    <w:rsid w:val="66B51364"/>
    <w:rsid w:val="67565F2E"/>
    <w:rsid w:val="6F9F09D8"/>
    <w:rsid w:val="73031683"/>
    <w:rsid w:val="7DC31A59"/>
    <w:rsid w:val="7EFF46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0" w:lineRule="atLeast"/>
    </w:pPr>
    <w:rPr>
      <w:rFonts w:ascii="Times New Roman" w:hAnsi="Times New Roman" w:eastAsia="宋体" w:cs="Times New Roman"/>
      <w:kern w:val="2"/>
      <w:lang w:val="en-US" w:eastAsia="zh-CN" w:bidi="ar-SA"/>
    </w:rPr>
  </w:style>
  <w:style w:type="paragraph" w:styleId="2">
    <w:name w:val="heading 1"/>
    <w:basedOn w:val="1"/>
    <w:next w:val="1"/>
    <w:link w:val="16"/>
    <w:qFormat/>
    <w:uiPriority w:val="0"/>
    <w:pPr>
      <w:keepNext/>
      <w:keepLines/>
      <w:spacing w:before="100" w:beforeAutospacing="1"/>
      <w:outlineLvl w:val="0"/>
    </w:pPr>
    <w:rPr>
      <w:b/>
      <w:bCs/>
      <w:kern w:val="44"/>
      <w:sz w:val="32"/>
      <w:szCs w:val="44"/>
    </w:rPr>
  </w:style>
  <w:style w:type="paragraph" w:styleId="3">
    <w:name w:val="heading 2"/>
    <w:basedOn w:val="1"/>
    <w:next w:val="1"/>
    <w:link w:val="17"/>
    <w:unhideWhenUsed/>
    <w:qFormat/>
    <w:uiPriority w:val="9"/>
    <w:pPr>
      <w:keepNext/>
      <w:keepLines/>
      <w:outlineLvl w:val="1"/>
    </w:pPr>
    <w:rPr>
      <w:rFonts w:asciiTheme="majorHAnsi" w:hAnsiTheme="majorHAnsi" w:eastAsiaTheme="majorEastAsia" w:cstheme="majorBidi"/>
      <w:b/>
      <w:bCs/>
      <w:szCs w:val="32"/>
    </w:rPr>
  </w:style>
  <w:style w:type="paragraph" w:styleId="4">
    <w:name w:val="heading 3"/>
    <w:basedOn w:val="1"/>
    <w:next w:val="1"/>
    <w:link w:val="19"/>
    <w:unhideWhenUsed/>
    <w:qFormat/>
    <w:uiPriority w:val="9"/>
    <w:pPr>
      <w:keepNext/>
      <w:keepLines/>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Plain Text"/>
    <w:basedOn w:val="1"/>
    <w:qFormat/>
    <w:uiPriority w:val="0"/>
    <w:rPr>
      <w:rFonts w:ascii="宋体" w:hAnsi="Courier New" w:cs="Courier New"/>
      <w:szCs w:val="21"/>
    </w:rPr>
  </w:style>
  <w:style w:type="paragraph" w:styleId="6">
    <w:name w:val="Balloon Text"/>
    <w:basedOn w:val="1"/>
    <w:link w:val="25"/>
    <w:semiHidden/>
    <w:unhideWhenUsed/>
    <w:uiPriority w:val="99"/>
    <w:pPr>
      <w:spacing w:line="240" w:lineRule="auto"/>
    </w:pPr>
    <w:rPr>
      <w:sz w:val="18"/>
      <w:szCs w:val="18"/>
    </w:rPr>
  </w:style>
  <w:style w:type="paragraph" w:styleId="7">
    <w:name w:val="footer"/>
    <w:basedOn w:val="1"/>
    <w:link w:val="22"/>
    <w:unhideWhenUsed/>
    <w:qFormat/>
    <w:uiPriority w:val="99"/>
    <w:pPr>
      <w:tabs>
        <w:tab w:val="center" w:pos="4153"/>
        <w:tab w:val="right" w:pos="8306"/>
      </w:tabs>
      <w:snapToGrid w:val="0"/>
      <w:spacing w:line="240" w:lineRule="atLeas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1"/>
    <w:next w:val="1"/>
    <w:semiHidden/>
    <w:unhideWhenUsed/>
    <w:qFormat/>
    <w:uiPriority w:val="39"/>
  </w:style>
  <w:style w:type="paragraph" w:styleId="10">
    <w:name w:val="Subtitle"/>
    <w:basedOn w:val="1"/>
    <w:next w:val="1"/>
    <w:link w:val="18"/>
    <w:qFormat/>
    <w:uiPriority w:val="0"/>
    <w:pPr>
      <w:spacing w:before="100" w:beforeAutospacing="1"/>
      <w:jc w:val="center"/>
      <w:outlineLvl w:val="1"/>
    </w:pPr>
    <w:rPr>
      <w:rFonts w:hAnsiTheme="majorHAnsi" w:cstheme="majorBidi"/>
      <w:b/>
      <w:bCs/>
      <w:kern w:val="28"/>
      <w:sz w:val="32"/>
      <w:szCs w:val="32"/>
    </w:rPr>
  </w:style>
  <w:style w:type="paragraph" w:styleId="11">
    <w:name w:val="toc 2"/>
    <w:basedOn w:val="1"/>
    <w:next w:val="1"/>
    <w:semiHidden/>
    <w:unhideWhenUsed/>
    <w:qFormat/>
    <w:uiPriority w:val="39"/>
    <w:pPr>
      <w:ind w:left="420" w:leftChars="200"/>
    </w:p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customStyle="1" w:styleId="16">
    <w:name w:val="标题 1 Char"/>
    <w:basedOn w:val="14"/>
    <w:link w:val="2"/>
    <w:qFormat/>
    <w:uiPriority w:val="0"/>
    <w:rPr>
      <w:rFonts w:ascii="仿宋_GB2312" w:eastAsia="仿宋_GB2312"/>
      <w:b/>
      <w:bCs/>
      <w:kern w:val="44"/>
      <w:sz w:val="32"/>
      <w:szCs w:val="44"/>
    </w:rPr>
  </w:style>
  <w:style w:type="character" w:customStyle="1" w:styleId="17">
    <w:name w:val="标题 2 Char"/>
    <w:basedOn w:val="14"/>
    <w:link w:val="3"/>
    <w:qFormat/>
    <w:uiPriority w:val="9"/>
    <w:rPr>
      <w:rFonts w:asciiTheme="majorHAnsi" w:hAnsiTheme="majorHAnsi" w:eastAsiaTheme="majorEastAsia" w:cstheme="majorBidi"/>
      <w:b/>
      <w:bCs/>
      <w:sz w:val="28"/>
      <w:szCs w:val="32"/>
    </w:rPr>
  </w:style>
  <w:style w:type="character" w:customStyle="1" w:styleId="18">
    <w:name w:val="副标题 Char"/>
    <w:basedOn w:val="14"/>
    <w:link w:val="10"/>
    <w:qFormat/>
    <w:uiPriority w:val="0"/>
    <w:rPr>
      <w:rFonts w:ascii="仿宋_GB2312" w:eastAsia="仿宋_GB2312" w:hAnsiTheme="majorHAnsi" w:cstheme="majorBidi"/>
      <w:b/>
      <w:bCs/>
      <w:kern w:val="28"/>
      <w:sz w:val="32"/>
      <w:szCs w:val="32"/>
    </w:rPr>
  </w:style>
  <w:style w:type="character" w:customStyle="1" w:styleId="19">
    <w:name w:val="标题 3 Char"/>
    <w:basedOn w:val="14"/>
    <w:link w:val="4"/>
    <w:qFormat/>
    <w:uiPriority w:val="9"/>
    <w:rPr>
      <w:rFonts w:ascii="仿宋_GB2312" w:hAnsi="Times New Roman" w:eastAsia="仿宋_GB2312" w:cs="Times New Roman"/>
      <w:b/>
      <w:bCs/>
      <w:sz w:val="32"/>
      <w:szCs w:val="32"/>
    </w:rPr>
  </w:style>
  <w:style w:type="paragraph" w:styleId="20">
    <w:name w:val="List Paragraph"/>
    <w:basedOn w:val="1"/>
    <w:qFormat/>
    <w:uiPriority w:val="34"/>
    <w:pPr>
      <w:ind w:firstLine="420" w:firstLineChars="200"/>
    </w:pPr>
  </w:style>
  <w:style w:type="character" w:customStyle="1" w:styleId="21">
    <w:name w:val="页眉 Char"/>
    <w:basedOn w:val="14"/>
    <w:link w:val="8"/>
    <w:qFormat/>
    <w:uiPriority w:val="99"/>
    <w:rPr>
      <w:sz w:val="18"/>
      <w:szCs w:val="18"/>
    </w:rPr>
  </w:style>
  <w:style w:type="character" w:customStyle="1" w:styleId="22">
    <w:name w:val="页脚 Char"/>
    <w:basedOn w:val="14"/>
    <w:link w:val="7"/>
    <w:qFormat/>
    <w:uiPriority w:val="99"/>
    <w:rPr>
      <w:sz w:val="18"/>
      <w:szCs w:val="18"/>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5">
    <w:name w:val="批注框文本 Char"/>
    <w:basedOn w:val="14"/>
    <w:link w:val="6"/>
    <w:semiHidden/>
    <w:uiPriority w:val="99"/>
    <w:rPr>
      <w:rFonts w:cs="Times New Roman"/>
      <w:kern w:val="2"/>
      <w:sz w:val="18"/>
      <w:szCs w:val="18"/>
    </w:rPr>
  </w:style>
  <w:style w:type="paragraph" w:customStyle="1" w:styleId="26">
    <w:name w:val="段"/>
    <w:link w:val="2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7">
    <w:name w:val="段 Char Char"/>
    <w:link w:val="26"/>
    <w:qFormat/>
    <w:uiPriority w:val="0"/>
    <w:rPr>
      <w:rFonts w:ascii="宋体" w:cs="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83E732-FF07-43E0-B082-CEB6570C1188}">
  <ds:schemaRefs/>
</ds:datastoreItem>
</file>

<file path=docProps/app.xml><?xml version="1.0" encoding="utf-8"?>
<Properties xmlns="http://schemas.openxmlformats.org/officeDocument/2006/extended-properties" xmlns:vt="http://schemas.openxmlformats.org/officeDocument/2006/docPropsVTypes">
  <Template>Normal</Template>
  <Pages>1</Pages>
  <Words>1817</Words>
  <Characters>10362</Characters>
  <Lines>86</Lines>
  <Paragraphs>24</Paragraphs>
  <TotalTime>753</TotalTime>
  <ScaleCrop>false</ScaleCrop>
  <LinksUpToDate>false</LinksUpToDate>
  <CharactersWithSpaces>12155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2020-03-06T12:44:00Z</dcterms:created>
  <dc:creator>hl</dc:creator>
  <cp:lastModifiedBy>CathayMok</cp:lastModifiedBy>
  <dcterms:modified xsi:type="dcterms:W3CDTF">2021-05-18T01:32:09Z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