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Cs/>
          <w:color w:val="00000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default" w:ascii="Times New Roman" w:cs="Times New Roman" w:eastAsiaTheme="minorEastAsia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4项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稀土国家标准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及外文版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任务落实项目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情况表</w:t>
      </w:r>
    </w:p>
    <w:tbl>
      <w:tblPr>
        <w:tblStyle w:val="2"/>
        <w:tblW w:w="143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462"/>
        <w:gridCol w:w="3590"/>
        <w:gridCol w:w="1282"/>
        <w:gridCol w:w="1145"/>
        <w:gridCol w:w="1105"/>
        <w:gridCol w:w="4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tblHeader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标准类型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牵头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20210959-T-469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</w:rPr>
              <w:instrText xml:space="preserve"> HYPERLINK "http://zxd.sacinfo.org.cn/gb/gbdetail/loadview?projectId=1001337" \t "http://zxd.sacinfo.org.cn/gb/plan/tb/stddraft/_blank" </w:instrText>
            </w:r>
            <w:r>
              <w:rPr>
                <w:rFonts w:ascii="Times New Roman" w:hAnsi="Times New Roman" w:cs="Times New Roman"/>
                <w:kern w:val="0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</w:rPr>
              <w:t>白光LED用氮氧化物青粉</w:t>
            </w:r>
            <w:r>
              <w:rPr>
                <w:rFonts w:hint="eastAsia" w:ascii="Times New Roman" w:hAnsi="Times New Roman" w:cs="Times New Roman"/>
                <w:kern w:val="0"/>
              </w:rPr>
              <w:fldChar w:fldCharType="end"/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20210960-T-469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</w:rPr>
              <w:instrText xml:space="preserve"> HYPERLINK "http://zxd.sacinfo.org.cn/gb/gbdetail/loadview?projectId=1001341" \t "http://zxd.sacinfo.org.cn/gb/plan/tb/stddraft/_blank" </w:instrText>
            </w:r>
            <w:r>
              <w:rPr>
                <w:rFonts w:ascii="Times New Roman" w:hAnsi="Times New Roman" w:cs="Times New Roman"/>
                <w:kern w:val="0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</w:rPr>
              <w:t>稀土矿及稀土产品 总α、总β放射性的测定 厚源法</w:t>
            </w:r>
            <w:r>
              <w:rPr>
                <w:rFonts w:hint="eastAsia" w:ascii="Times New Roman" w:hAnsi="Times New Roman" w:cs="Times New Roman"/>
                <w:kern w:val="0"/>
              </w:rPr>
              <w:fldChar w:fldCharType="end"/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国家钨与稀土产品质量监督检验中心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20210961-T-469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fldChar w:fldCharType="begin"/>
            </w:r>
            <w:r>
              <w:rPr>
                <w:rFonts w:ascii="Times New Roman" w:hAnsi="Times New Roman" w:cs="Times New Roman"/>
                <w:kern w:val="0"/>
              </w:rPr>
              <w:instrText xml:space="preserve"> HYPERLINK "http://zxd.sacinfo.org.cn/gb/gbdetail/loadview?projectId=1000106" \t "http://zxd.sacinfo.org.cn/gb/plan/tb/stddraft/_blank" </w:instrText>
            </w:r>
            <w:r>
              <w:rPr>
                <w:rFonts w:ascii="Times New Roman" w:hAnsi="Times New Roman" w:cs="Times New Roman"/>
                <w:kern w:val="0"/>
              </w:rPr>
              <w:fldChar w:fldCharType="separate"/>
            </w:r>
            <w:r>
              <w:rPr>
                <w:rFonts w:hint="eastAsia" w:ascii="Times New Roman" w:hAnsi="Times New Roman" w:cs="Times New Roman"/>
                <w:kern w:val="0"/>
              </w:rPr>
              <w:t>烧结钕铁硼永磁体 恒定湿热试验</w:t>
            </w:r>
            <w:r>
              <w:rPr>
                <w:rFonts w:hint="eastAsia" w:ascii="Times New Roman" w:hAnsi="Times New Roman" w:cs="Times New Roman"/>
                <w:kern w:val="0"/>
              </w:rPr>
              <w:fldChar w:fldCharType="end"/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北京中科三环高技术股份有限公司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4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W20211982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稀土矿及稀土产品 总α、总β放射性的测定 厚源法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外文版</w:t>
            </w:r>
            <w:r>
              <w:rPr>
                <w:rFonts w:hint="eastAsia" w:ascii="Times New Roman" w:hAnsi="Times New Roman" w:cs="Times New Roman"/>
                <w:kern w:val="0"/>
                <w:lang w:eastAsia="zh-CN"/>
              </w:rPr>
              <w:t>）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推荐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制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定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2</w:t>
            </w:r>
          </w:p>
        </w:tc>
        <w:tc>
          <w:tcPr>
            <w:tcW w:w="4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/>
                <w:kern w:val="0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</w:rPr>
              <w:t>国家钨与稀土产品质量监督检验中心</w:t>
            </w:r>
          </w:p>
        </w:tc>
      </w:tr>
    </w:tbl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  <w:bookmarkStart w:id="0" w:name="_GoBack"/>
      <w:bookmarkEnd w:id="0"/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B0D69"/>
    <w:rsid w:val="5D6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2021-05-18T11:16:00Z</dcterms:created>
  <dc:creator>CathayMok</dc:creator>
  <cp:lastModifiedBy>CathayMok</cp:lastModifiedBy>
  <dcterms:modified xsi:type="dcterms:W3CDTF">2021-05-18T11:16:37Z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58BCC91BE24A47B89B02F612AE35921A</vt:lpwstr>
  </property>
</Properties>
</file>