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7"/>
        <w:spacing w:before="0" w:line="300" w:lineRule="auto"/>
        <w:ind w:firstLine="0" w:firstLineChars="0"/>
        <w:rPr>
          <w:rFonts w:eastAsia="黑体"/>
          <w:sz w:val="18"/>
          <w:szCs w:val="18"/>
        </w:rPr>
      </w:pPr>
      <w:bookmarkStart w:id="2" w:name="_GoBack"/>
      <w:bookmarkEnd w:id="2"/>
    </w:p>
    <w:p>
      <w:pPr>
        <w:pStyle w:val="117"/>
        <w:spacing w:before="0" w:line="300" w:lineRule="auto"/>
        <w:ind w:firstLine="0" w:firstLineChars="0"/>
        <w:rPr>
          <w:rFonts w:eastAsia="黑体"/>
          <w:sz w:val="18"/>
          <w:szCs w:val="18"/>
        </w:rPr>
      </w:pPr>
    </w:p>
    <w:p>
      <w:pPr>
        <w:pStyle w:val="117"/>
        <w:spacing w:before="0" w:line="300" w:lineRule="auto"/>
        <w:ind w:firstLine="0" w:firstLineChars="0"/>
        <w:rPr>
          <w:rFonts w:eastAsia="黑体"/>
          <w:sz w:val="44"/>
          <w:szCs w:val="44"/>
        </w:rPr>
      </w:pPr>
    </w:p>
    <w:p>
      <w:pPr>
        <w:widowControl/>
        <w:spacing w:line="300" w:lineRule="auto"/>
        <w:jc w:val="center"/>
        <w:rPr>
          <w:rFonts w:eastAsia="黑体"/>
          <w:kern w:val="0"/>
          <w:sz w:val="44"/>
          <w:szCs w:val="44"/>
        </w:rPr>
      </w:pPr>
      <w:r>
        <w:rPr>
          <w:rFonts w:eastAsia="黑体"/>
          <w:kern w:val="0"/>
          <w:sz w:val="44"/>
          <w:szCs w:val="44"/>
        </w:rPr>
        <w:t>稀土金属及其氧化物中非稀土杂质</w:t>
      </w:r>
    </w:p>
    <w:p>
      <w:pPr>
        <w:widowControl/>
        <w:spacing w:line="300" w:lineRule="auto"/>
        <w:jc w:val="center"/>
        <w:rPr>
          <w:rFonts w:eastAsia="黑体"/>
          <w:kern w:val="0"/>
          <w:sz w:val="44"/>
          <w:szCs w:val="44"/>
        </w:rPr>
      </w:pPr>
      <w:r>
        <w:rPr>
          <w:rFonts w:eastAsia="黑体"/>
          <w:kern w:val="0"/>
          <w:sz w:val="44"/>
          <w:szCs w:val="44"/>
        </w:rPr>
        <w:t>化学分析方法</w:t>
      </w:r>
    </w:p>
    <w:p>
      <w:pPr>
        <w:widowControl/>
        <w:spacing w:line="300" w:lineRule="auto"/>
        <w:jc w:val="center"/>
        <w:rPr>
          <w:rFonts w:eastAsia="黑体"/>
          <w:kern w:val="0"/>
          <w:sz w:val="44"/>
          <w:szCs w:val="44"/>
        </w:rPr>
      </w:pPr>
      <w:r>
        <w:rPr>
          <w:rFonts w:eastAsia="黑体"/>
          <w:kern w:val="0"/>
          <w:sz w:val="44"/>
          <w:szCs w:val="44"/>
        </w:rPr>
        <w:t>第1部分：碳、硫量的测定</w:t>
      </w:r>
    </w:p>
    <w:p>
      <w:pPr>
        <w:pStyle w:val="117"/>
        <w:spacing w:before="0" w:line="300" w:lineRule="auto"/>
        <w:ind w:firstLine="0" w:firstLineChars="0"/>
        <w:rPr>
          <w:rFonts w:eastAsia="黑体"/>
          <w:sz w:val="44"/>
          <w:szCs w:val="44"/>
        </w:rPr>
      </w:pPr>
    </w:p>
    <w:p>
      <w:pPr>
        <w:pStyle w:val="117"/>
        <w:spacing w:before="0" w:line="300" w:lineRule="auto"/>
        <w:ind w:firstLine="0" w:firstLineChars="0"/>
        <w:rPr>
          <w:rFonts w:eastAsia="黑体"/>
          <w:sz w:val="44"/>
          <w:szCs w:val="44"/>
        </w:rPr>
      </w:pPr>
    </w:p>
    <w:p>
      <w:pPr>
        <w:pStyle w:val="117"/>
        <w:spacing w:before="0" w:line="300" w:lineRule="auto"/>
        <w:ind w:firstLine="0" w:firstLineChars="0"/>
        <w:rPr>
          <w:rFonts w:eastAsia="黑体"/>
          <w:sz w:val="44"/>
          <w:szCs w:val="44"/>
        </w:rPr>
      </w:pPr>
    </w:p>
    <w:p>
      <w:pPr>
        <w:pStyle w:val="117"/>
        <w:spacing w:before="0" w:line="300" w:lineRule="auto"/>
        <w:ind w:firstLine="0" w:firstLineChars="0"/>
        <w:rPr>
          <w:rFonts w:eastAsia="黑体"/>
          <w:sz w:val="44"/>
          <w:szCs w:val="44"/>
        </w:rPr>
      </w:pPr>
    </w:p>
    <w:p>
      <w:pPr>
        <w:widowControl/>
        <w:spacing w:line="300" w:lineRule="auto"/>
        <w:jc w:val="center"/>
        <w:rPr>
          <w:rFonts w:eastAsia="黑体"/>
          <w:kern w:val="0"/>
          <w:sz w:val="44"/>
          <w:szCs w:val="44"/>
        </w:rPr>
      </w:pPr>
      <w:r>
        <w:rPr>
          <w:rFonts w:hint="eastAsia" w:eastAsia="黑体"/>
          <w:kern w:val="0"/>
          <w:sz w:val="44"/>
          <w:szCs w:val="44"/>
          <w:lang w:eastAsia="zh-CN"/>
        </w:rPr>
        <w:t>预审</w:t>
      </w:r>
      <w:r>
        <w:rPr>
          <w:rFonts w:eastAsia="黑体"/>
          <w:kern w:val="0"/>
          <w:sz w:val="44"/>
          <w:szCs w:val="44"/>
        </w:rPr>
        <w:t>稿编制说明</w:t>
      </w:r>
    </w:p>
    <w:p>
      <w:pPr>
        <w:pStyle w:val="117"/>
        <w:spacing w:before="0" w:line="300" w:lineRule="auto"/>
        <w:ind w:firstLine="0" w:firstLineChars="0"/>
        <w:rPr>
          <w:rFonts w:eastAsia="黑体"/>
          <w:sz w:val="18"/>
          <w:szCs w:val="18"/>
        </w:rPr>
      </w:pPr>
    </w:p>
    <w:p>
      <w:pPr>
        <w:pStyle w:val="117"/>
        <w:spacing w:before="0" w:line="300" w:lineRule="auto"/>
        <w:ind w:firstLine="0" w:firstLineChars="0"/>
        <w:rPr>
          <w:rFonts w:eastAsia="黑体"/>
          <w:sz w:val="18"/>
          <w:szCs w:val="18"/>
        </w:rPr>
      </w:pPr>
    </w:p>
    <w:p>
      <w:pPr>
        <w:pStyle w:val="117"/>
        <w:spacing w:before="0" w:line="300" w:lineRule="auto"/>
        <w:ind w:firstLine="0" w:firstLineChars="0"/>
        <w:rPr>
          <w:rFonts w:eastAsia="黑体"/>
          <w:sz w:val="18"/>
          <w:szCs w:val="18"/>
        </w:rPr>
      </w:pPr>
    </w:p>
    <w:p>
      <w:pPr>
        <w:pStyle w:val="117"/>
        <w:spacing w:before="0" w:line="300" w:lineRule="auto"/>
        <w:ind w:firstLine="0" w:firstLineChars="0"/>
        <w:rPr>
          <w:rFonts w:eastAsia="黑体"/>
          <w:sz w:val="18"/>
          <w:szCs w:val="18"/>
        </w:rPr>
      </w:pPr>
    </w:p>
    <w:p>
      <w:pPr>
        <w:pStyle w:val="117"/>
        <w:spacing w:before="0" w:line="300" w:lineRule="auto"/>
        <w:ind w:firstLine="0" w:firstLineChars="0"/>
        <w:rPr>
          <w:rFonts w:eastAsia="黑体"/>
          <w:sz w:val="18"/>
          <w:szCs w:val="18"/>
        </w:rPr>
      </w:pPr>
    </w:p>
    <w:p>
      <w:pPr>
        <w:pStyle w:val="117"/>
        <w:spacing w:before="0" w:line="300" w:lineRule="auto"/>
        <w:ind w:firstLine="0" w:firstLineChars="0"/>
        <w:rPr>
          <w:rFonts w:eastAsia="黑体"/>
          <w:sz w:val="18"/>
          <w:szCs w:val="18"/>
        </w:rPr>
      </w:pPr>
    </w:p>
    <w:p>
      <w:pPr>
        <w:pStyle w:val="117"/>
        <w:spacing w:before="0" w:line="300" w:lineRule="auto"/>
        <w:ind w:firstLine="0" w:firstLineChars="0"/>
        <w:rPr>
          <w:rFonts w:eastAsia="黑体"/>
          <w:sz w:val="30"/>
          <w:szCs w:val="30"/>
        </w:rPr>
      </w:pPr>
      <w:r>
        <w:rPr>
          <w:rFonts w:eastAsia="黑体"/>
          <w:sz w:val="30"/>
          <w:szCs w:val="30"/>
        </w:rPr>
        <w:t>国合通用测试评价认证股份公司</w:t>
      </w:r>
    </w:p>
    <w:p>
      <w:pPr>
        <w:pStyle w:val="117"/>
        <w:spacing w:before="0" w:line="300" w:lineRule="auto"/>
        <w:ind w:firstLine="0" w:firstLineChars="0"/>
        <w:rPr>
          <w:rFonts w:eastAsia="黑体"/>
          <w:sz w:val="30"/>
          <w:szCs w:val="30"/>
        </w:rPr>
      </w:pPr>
      <w:r>
        <w:rPr>
          <w:rFonts w:eastAsia="黑体"/>
          <w:sz w:val="30"/>
          <w:szCs w:val="30"/>
        </w:rPr>
        <w:t>2021年4月</w:t>
      </w:r>
    </w:p>
    <w:p>
      <w:pPr>
        <w:widowControl/>
        <w:spacing w:line="300" w:lineRule="auto"/>
        <w:jc w:val="left"/>
        <w:rPr>
          <w:rFonts w:eastAsia="黑体"/>
          <w:sz w:val="18"/>
          <w:szCs w:val="18"/>
        </w:rPr>
        <w:sectPr>
          <w:headerReference r:id="rId3" w:type="default"/>
          <w:footerReference r:id="rId4" w:type="default"/>
          <w:pgSz w:w="11906" w:h="16838"/>
          <w:pgMar w:top="1134" w:right="1077" w:bottom="1213" w:left="1077" w:header="851" w:footer="992" w:gutter="0"/>
          <w:cols w:space="425" w:num="1"/>
          <w:docGrid w:type="lines" w:linePitch="312" w:charSpace="0"/>
        </w:sectPr>
      </w:pPr>
    </w:p>
    <w:p>
      <w:pPr>
        <w:jc w:val="center"/>
        <w:rPr>
          <w:rFonts w:eastAsia="黑体"/>
          <w:w w:val="90"/>
          <w:sz w:val="30"/>
          <w:szCs w:val="30"/>
        </w:rPr>
      </w:pPr>
      <w:r>
        <w:rPr>
          <w:rFonts w:eastAsia="黑体"/>
          <w:w w:val="90"/>
          <w:sz w:val="30"/>
          <w:szCs w:val="30"/>
        </w:rPr>
        <w:t>GB/T 12690.</w:t>
      </w:r>
      <w:r>
        <w:rPr>
          <w:rFonts w:hint="eastAsia" w:eastAsia="黑体"/>
          <w:w w:val="90"/>
          <w:sz w:val="30"/>
          <w:szCs w:val="30"/>
        </w:rPr>
        <w:t>1</w:t>
      </w:r>
      <w:r>
        <w:rPr>
          <w:rFonts w:hAnsi="黑体" w:eastAsia="黑体"/>
          <w:w w:val="90"/>
          <w:sz w:val="30"/>
          <w:szCs w:val="30"/>
        </w:rPr>
        <w:t>《稀土金属及其氧化物中非稀土杂质化学分析方法</w:t>
      </w:r>
      <w:r>
        <w:rPr>
          <w:rFonts w:eastAsia="黑体"/>
          <w:w w:val="90"/>
          <w:sz w:val="30"/>
          <w:szCs w:val="30"/>
        </w:rPr>
        <w:t xml:space="preserve"> </w:t>
      </w:r>
    </w:p>
    <w:p>
      <w:pPr>
        <w:jc w:val="center"/>
        <w:rPr>
          <w:rFonts w:eastAsia="黑体"/>
          <w:sz w:val="30"/>
          <w:szCs w:val="30"/>
        </w:rPr>
      </w:pPr>
      <w:r>
        <w:rPr>
          <w:rFonts w:hAnsi="黑体" w:eastAsia="黑体"/>
          <w:w w:val="90"/>
          <w:sz w:val="30"/>
          <w:szCs w:val="30"/>
        </w:rPr>
        <w:t>第</w:t>
      </w:r>
      <w:r>
        <w:rPr>
          <w:rFonts w:hint="eastAsia" w:eastAsia="黑体"/>
          <w:w w:val="90"/>
          <w:sz w:val="30"/>
          <w:szCs w:val="30"/>
        </w:rPr>
        <w:t>1</w:t>
      </w:r>
      <w:r>
        <w:rPr>
          <w:rFonts w:hAnsi="黑体" w:eastAsia="黑体"/>
          <w:w w:val="90"/>
          <w:sz w:val="30"/>
          <w:szCs w:val="30"/>
        </w:rPr>
        <w:t>部分：</w:t>
      </w:r>
      <w:r>
        <w:rPr>
          <w:rFonts w:hint="eastAsia" w:hAnsi="黑体" w:eastAsia="黑体"/>
          <w:w w:val="90"/>
          <w:sz w:val="30"/>
          <w:szCs w:val="30"/>
        </w:rPr>
        <w:t>碳、</w:t>
      </w:r>
      <w:r>
        <w:rPr>
          <w:rFonts w:hAnsi="黑体" w:eastAsia="黑体"/>
          <w:w w:val="90"/>
          <w:sz w:val="30"/>
          <w:szCs w:val="30"/>
        </w:rPr>
        <w:t>硫量的测定》征求意见稿编制说明</w:t>
      </w:r>
    </w:p>
    <w:p>
      <w:pPr>
        <w:spacing w:before="156" w:beforeLines="50" w:after="156" w:afterLines="50" w:line="300" w:lineRule="auto"/>
        <w:rPr>
          <w:rFonts w:eastAsia="黑体"/>
          <w:bCs/>
          <w:szCs w:val="21"/>
        </w:rPr>
      </w:pPr>
      <w:r>
        <w:rPr>
          <w:rFonts w:eastAsia="黑体"/>
          <w:bCs/>
          <w:szCs w:val="21"/>
        </w:rPr>
        <w:t>一、工作简况</w:t>
      </w:r>
    </w:p>
    <w:p>
      <w:pPr>
        <w:pStyle w:val="120"/>
        <w:tabs>
          <w:tab w:val="clear" w:pos="675"/>
        </w:tabs>
        <w:spacing w:before="156" w:beforeLines="50" w:after="156" w:afterLines="50" w:line="300" w:lineRule="auto"/>
        <w:ind w:left="0" w:firstLine="0"/>
        <w:jc w:val="left"/>
        <w:rPr>
          <w:rFonts w:ascii="Times New Roman"/>
          <w:szCs w:val="21"/>
        </w:rPr>
      </w:pPr>
      <w:r>
        <w:rPr>
          <w:rFonts w:ascii="Times New Roman"/>
          <w:szCs w:val="21"/>
        </w:rPr>
        <w:t>1、项目的必要性简述</w:t>
      </w:r>
    </w:p>
    <w:p>
      <w:pPr>
        <w:spacing w:line="300" w:lineRule="auto"/>
        <w:ind w:firstLine="420"/>
        <w:rPr>
          <w:szCs w:val="21"/>
        </w:rPr>
      </w:pPr>
      <w:r>
        <w:rPr>
          <w:szCs w:val="21"/>
        </w:rPr>
        <w:t>由于稀土元素有非常丰富的4f电子结构，表现出许多光、电、磁的特性，在高科技光电磁材料中，有着不可替代的作用，被誉为二十一世纪的新材料的”宝库”，目前大量使用的彩电荧光粉，Ni-H电池，高性能磁性材料等，都是稀土在高科技应用中的典范。而高纯稀土的应用主要集中在发光材料领域，如：荧光粉、发光粉、晶体材料、光纤材料、光学玻璃等，还有在电子材料、超磁致伸缩材料高科技领域。随着光电子通讯技术的高速发展，对光电材料要求越来越高，特别对高纯稀土的需求也越来越大，发展前景十分美好。</w:t>
      </w:r>
    </w:p>
    <w:p>
      <w:pPr>
        <w:spacing w:line="300" w:lineRule="auto"/>
        <w:ind w:firstLine="420"/>
        <w:rPr>
          <w:szCs w:val="21"/>
        </w:rPr>
      </w:pPr>
      <w:r>
        <w:rPr>
          <w:szCs w:val="21"/>
        </w:rPr>
        <w:t>高纯稀土作为稀土功能材料的基础物质保障，确保了从原子、电子层次研究稀土材料组织结构与性能关系顺利开展，体现稀土元素本征性质。含稀土元素的晶体材料、光纤材料、光学玻璃、显示发光材料、电子材料、超磁致伸缩材料等需要5N以上的纯稀土来保障其高性能，而且对Fe、Al等非稀土金属杂质均有很高的要求，常在ppm-ppb范围内；高纯稀土金属所制备的靶材是新一代集成电路制造的关键材料，痕量、超痕量杂质元素的含量是半导体领域应用的高纯稀土金属产品的一项重要指标。</w:t>
      </w:r>
    </w:p>
    <w:p>
      <w:pPr>
        <w:spacing w:line="300" w:lineRule="auto"/>
        <w:ind w:firstLine="420"/>
        <w:rPr>
          <w:szCs w:val="21"/>
        </w:rPr>
      </w:pPr>
      <w:r>
        <w:rPr>
          <w:szCs w:val="21"/>
        </w:rPr>
        <w:t>目前的稀土金属及化合物测试方法中，单一稀土的纯度仅能测到99.99%，大部分非稀土杂质元素含量也仅能测到ppm级，而高纯、超高纯稀土纯度达到99.999%甚至更高，杂质的要求更是达到ppb级。因此，与之相适应科学、规范、统一的测试标准的建立就显得十分必要。目前已有的国家标准为GB/T12690.1-2015《稀土金属及其氧化物中非稀土杂质化学分析方法 高频--红外吸收法测定碳、硫量》。其中碳、硫的检测范围为 0.0050%~1.00%。随着检测技术的不断发展和新产品的涌现，尤其是高纯稀土金属是中国制造2025的重点方向，急需检测下限更低的检测方法满足生产和科研的需求。</w:t>
      </w:r>
    </w:p>
    <w:p>
      <w:pPr>
        <w:pStyle w:val="120"/>
        <w:tabs>
          <w:tab w:val="clear" w:pos="675"/>
        </w:tabs>
        <w:spacing w:before="156" w:beforeLines="50" w:after="156" w:afterLines="50" w:line="300" w:lineRule="auto"/>
        <w:ind w:left="0" w:firstLine="0"/>
        <w:jc w:val="left"/>
        <w:rPr>
          <w:rFonts w:ascii="Times New Roman" w:eastAsia="宋体"/>
          <w:kern w:val="2"/>
          <w:szCs w:val="21"/>
        </w:rPr>
      </w:pPr>
      <w:r>
        <w:rPr>
          <w:rFonts w:ascii="Times New Roman" w:eastAsia="宋体"/>
          <w:kern w:val="2"/>
          <w:szCs w:val="21"/>
        </w:rPr>
        <w:t>2、适用范围</w:t>
      </w:r>
    </w:p>
    <w:p>
      <w:pPr>
        <w:spacing w:line="300" w:lineRule="auto"/>
        <w:rPr>
          <w:szCs w:val="21"/>
        </w:rPr>
      </w:pPr>
      <w:r>
        <w:rPr>
          <w:szCs w:val="21"/>
        </w:rPr>
        <w:tab/>
      </w:r>
      <w:r>
        <w:rPr>
          <w:szCs w:val="21"/>
        </w:rPr>
        <w:t>GB/T 12690.1文件适用于稀土金属及其氧化物中碳、硫含量的测定。碳、硫测定范围：0.0020%～1.00%。</w:t>
      </w:r>
    </w:p>
    <w:p>
      <w:pPr>
        <w:pStyle w:val="120"/>
        <w:tabs>
          <w:tab w:val="clear" w:pos="675"/>
        </w:tabs>
        <w:spacing w:before="156" w:beforeLines="50" w:after="156" w:afterLines="50" w:line="300" w:lineRule="auto"/>
        <w:ind w:left="0" w:firstLine="0"/>
        <w:jc w:val="left"/>
        <w:rPr>
          <w:rFonts w:ascii="Times New Roman" w:eastAsia="宋体"/>
          <w:kern w:val="2"/>
          <w:szCs w:val="21"/>
        </w:rPr>
      </w:pPr>
      <w:r>
        <w:rPr>
          <w:rFonts w:ascii="Times New Roman" w:eastAsia="宋体"/>
          <w:kern w:val="2"/>
          <w:szCs w:val="21"/>
        </w:rPr>
        <w:t>3、任务来源</w:t>
      </w:r>
    </w:p>
    <w:p>
      <w:pPr>
        <w:spacing w:line="300" w:lineRule="auto"/>
        <w:ind w:firstLine="420" w:firstLineChars="200"/>
        <w:rPr>
          <w:szCs w:val="21"/>
        </w:rPr>
      </w:pPr>
      <w:r>
        <w:rPr>
          <w:szCs w:val="21"/>
        </w:rPr>
        <w:t>2020年8月，国家标准化管理委员会决定下达2020年推荐性国家标准计划（修订）- 国标委发[2020]6号。其中《稀土金属及其氧化物中非稀土杂质化学分析方法 第1部分：碳、硫量的测定》的制定工作由国合通用测试评价认证股份有限公司负责起草，项目计划编号为20200862-T-469，项目周期18个月。</w:t>
      </w:r>
    </w:p>
    <w:p>
      <w:pPr>
        <w:pStyle w:val="120"/>
        <w:tabs>
          <w:tab w:val="clear" w:pos="675"/>
        </w:tabs>
        <w:spacing w:before="156" w:beforeLines="50" w:after="156" w:afterLines="50" w:line="300" w:lineRule="auto"/>
        <w:ind w:left="0" w:firstLine="0"/>
        <w:jc w:val="left"/>
        <w:rPr>
          <w:rFonts w:ascii="Times New Roman"/>
          <w:szCs w:val="21"/>
        </w:rPr>
      </w:pPr>
      <w:r>
        <w:rPr>
          <w:rFonts w:ascii="Times New Roman"/>
          <w:szCs w:val="21"/>
        </w:rPr>
        <w:t>4、</w:t>
      </w:r>
      <w:bookmarkStart w:id="0" w:name="_Toc451633880"/>
      <w:r>
        <w:rPr>
          <w:rFonts w:ascii="Times New Roman"/>
          <w:szCs w:val="21"/>
        </w:rPr>
        <w:t>项目编制组单位简况</w:t>
      </w:r>
      <w:bookmarkEnd w:id="0"/>
    </w:p>
    <w:p>
      <w:pPr>
        <w:pStyle w:val="120"/>
        <w:tabs>
          <w:tab w:val="clear" w:pos="675"/>
        </w:tabs>
        <w:spacing w:beforeLines="0" w:afterLines="0" w:line="300" w:lineRule="auto"/>
        <w:ind w:left="0" w:firstLine="0"/>
        <w:jc w:val="left"/>
        <w:rPr>
          <w:rFonts w:ascii="Times New Roman"/>
          <w:szCs w:val="21"/>
        </w:rPr>
      </w:pPr>
      <w:r>
        <w:rPr>
          <w:rFonts w:ascii="Times New Roman"/>
          <w:szCs w:val="21"/>
        </w:rPr>
        <w:t>4.1</w:t>
      </w:r>
      <w:bookmarkStart w:id="1" w:name="_Toc451633881"/>
      <w:r>
        <w:rPr>
          <w:rFonts w:ascii="Times New Roman" w:eastAsia="宋体"/>
          <w:szCs w:val="21"/>
        </w:rPr>
        <w:t>编制组成员单位</w:t>
      </w:r>
      <w:bookmarkEnd w:id="1"/>
    </w:p>
    <w:p>
      <w:pPr>
        <w:spacing w:line="300" w:lineRule="auto"/>
        <w:ind w:firstLine="420"/>
        <w:rPr>
          <w:szCs w:val="21"/>
        </w:rPr>
      </w:pPr>
      <w:r>
        <w:rPr>
          <w:szCs w:val="21"/>
        </w:rPr>
        <w:t>主要由国合通用测试评价认证股份有限公司、包头稀土研究院、赣州有色冶金研究所、四川省乐山锐丰冶金有限公司、江西南方稀土高技术股份有限公司、益阳鸿源稀土有限责任公司、有研稀土新材料股份有限公司等七家单位共同编制。</w:t>
      </w:r>
    </w:p>
    <w:p>
      <w:pPr>
        <w:pStyle w:val="120"/>
        <w:tabs>
          <w:tab w:val="clear" w:pos="675"/>
        </w:tabs>
        <w:spacing w:beforeLines="0" w:afterLines="0" w:line="300" w:lineRule="auto"/>
        <w:ind w:left="0" w:firstLine="0"/>
        <w:jc w:val="left"/>
        <w:rPr>
          <w:rFonts w:ascii="Times New Roman"/>
          <w:szCs w:val="21"/>
        </w:rPr>
      </w:pPr>
      <w:r>
        <w:rPr>
          <w:rFonts w:ascii="Times New Roman"/>
          <w:szCs w:val="21"/>
        </w:rPr>
        <w:t>4.2</w:t>
      </w:r>
      <w:r>
        <w:rPr>
          <w:rFonts w:ascii="Times New Roman" w:eastAsiaTheme="minorEastAsia"/>
          <w:szCs w:val="21"/>
        </w:rPr>
        <w:t>负责起草单位简介</w:t>
      </w:r>
    </w:p>
    <w:p>
      <w:pPr>
        <w:spacing w:line="300" w:lineRule="auto"/>
        <w:ind w:firstLine="420"/>
        <w:rPr>
          <w:szCs w:val="21"/>
        </w:rPr>
      </w:pPr>
      <w:r>
        <w:rPr>
          <w:b/>
          <w:szCs w:val="21"/>
        </w:rPr>
        <w:t>国合通用测试评价认证股份公司</w:t>
      </w:r>
      <w:r>
        <w:rPr>
          <w:szCs w:val="21"/>
        </w:rPr>
        <w:t>，是本项目负责起草单位，公司隶属于有研科技集团，是国家新材料测试评价平台-主中心承建单位 ，为中国新材料测试评价联盟秘书处挂靠单位。国标（北京）检验认证有限公司作为国合通用测试评价认证股份公司的全资子公司，前身是北京有色金属研究总院分析测试技术研究所，管理并运营着国家有色金属及电子材料分析测试中心与国家有色金属质量监督检验中心。</w:t>
      </w:r>
    </w:p>
    <w:p>
      <w:pPr>
        <w:spacing w:line="300" w:lineRule="auto"/>
        <w:ind w:firstLine="420"/>
        <w:rPr>
          <w:szCs w:val="21"/>
        </w:rPr>
      </w:pPr>
      <w:r>
        <w:rPr>
          <w:szCs w:val="21"/>
        </w:rPr>
        <w:t>公司在标准起草方面有着非常丰富的经验，累计起草国际标准5项、国家标准 174 项，行业标准 207 项；研制国家有证标准样品/物质162个。公司具有优秀的创新能力，曾荣获国家科技进步奖6项，国家发明奖3项，省部级科技进步一等奖10项，二、三等奖107项；在国内外科技期刊上发表论文1200余篇，撰写论著22部；共取得国家专利170余项。</w:t>
      </w:r>
    </w:p>
    <w:p>
      <w:pPr>
        <w:spacing w:line="300" w:lineRule="auto"/>
        <w:ind w:firstLine="420"/>
        <w:rPr>
          <w:szCs w:val="21"/>
        </w:rPr>
      </w:pPr>
      <w:r>
        <w:rPr>
          <w:szCs w:val="21"/>
        </w:rPr>
        <w:t>本项目组起草人员长期从事化学分析检测工作，擅长碳硫分析仪、氧氮测定仪等设备的应用及方法开发，多次参与标准的制修订工作，能够保证本项目计划的顺利完成。</w:t>
      </w:r>
    </w:p>
    <w:p>
      <w:pPr>
        <w:spacing w:line="300" w:lineRule="auto"/>
        <w:rPr>
          <w:szCs w:val="21"/>
        </w:rPr>
      </w:pPr>
      <w:r>
        <w:rPr>
          <w:szCs w:val="21"/>
        </w:rPr>
        <w:t>4.3参与起草单位简介</w:t>
      </w:r>
    </w:p>
    <w:p>
      <w:pPr>
        <w:spacing w:line="300" w:lineRule="auto"/>
        <w:ind w:firstLine="420"/>
        <w:rPr>
          <w:rFonts w:eastAsiaTheme="majorEastAsia"/>
          <w:szCs w:val="21"/>
        </w:rPr>
      </w:pPr>
      <w:r>
        <w:rPr>
          <w:b/>
          <w:szCs w:val="21"/>
        </w:rPr>
        <w:t>包头稀土研究院</w:t>
      </w:r>
      <w:r>
        <w:rPr>
          <w:szCs w:val="21"/>
        </w:rPr>
        <w:t>一验单位，成立于1963年，直属原冶金工业部。1992年进入包钢（集团）公司，是全国最大的综合性稀土科技研发机构。本院是以稀土资源的综合开发、利用为宗旨，以稀土冶金、环境保护、新型稀土功能材料及在高新技术领域的应用、稀土提升传统产业的技术水平、稀土分析检测、稀土情报信息为研究重点的多专业、多学科的综合性研发机构。目前，全院形成规范的母子公司体系，拥有以科技开发和行业服务及生产经营为主的全资、控股、参股公司13家。本院建有国家级</w:t>
      </w:r>
      <w:r>
        <w:rPr>
          <w:rFonts w:hint="eastAsia"/>
          <w:szCs w:val="21"/>
        </w:rPr>
        <w:t>“</w:t>
      </w:r>
      <w:r>
        <w:rPr>
          <w:szCs w:val="21"/>
        </w:rPr>
        <w:t>稀土冶金及功能材料国家工程研究中心</w:t>
      </w:r>
      <w:r>
        <w:rPr>
          <w:rFonts w:hint="eastAsia"/>
          <w:szCs w:val="21"/>
        </w:rPr>
        <w:t>”</w:t>
      </w:r>
      <w:r>
        <w:rPr>
          <w:szCs w:val="21"/>
        </w:rPr>
        <w:t>、</w:t>
      </w:r>
      <w:r>
        <w:rPr>
          <w:rFonts w:hint="eastAsia"/>
          <w:szCs w:val="21"/>
        </w:rPr>
        <w:t>“</w:t>
      </w:r>
      <w:r>
        <w:rPr>
          <w:szCs w:val="21"/>
        </w:rPr>
        <w:t>北方稀土行业生产力促进中心</w:t>
      </w:r>
      <w:r>
        <w:rPr>
          <w:rFonts w:hint="eastAsia"/>
          <w:szCs w:val="21"/>
        </w:rPr>
        <w:t>”</w:t>
      </w:r>
      <w:r>
        <w:rPr>
          <w:szCs w:val="21"/>
        </w:rPr>
        <w:t>和</w:t>
      </w:r>
      <w:r>
        <w:rPr>
          <w:rFonts w:hint="eastAsia"/>
          <w:szCs w:val="21"/>
        </w:rPr>
        <w:t>“</w:t>
      </w:r>
      <w:r>
        <w:rPr>
          <w:szCs w:val="21"/>
        </w:rPr>
        <w:t>白云鄂博稀土资源研究与综合利用国家重点实验室</w:t>
      </w:r>
      <w:r>
        <w:rPr>
          <w:rFonts w:hint="eastAsia"/>
          <w:szCs w:val="21"/>
        </w:rPr>
        <w:t>”</w:t>
      </w:r>
      <w:r>
        <w:rPr>
          <w:szCs w:val="21"/>
        </w:rPr>
        <w:t>；内蒙古自治区级</w:t>
      </w:r>
      <w:r>
        <w:rPr>
          <w:rFonts w:hint="eastAsia"/>
          <w:szCs w:val="21"/>
        </w:rPr>
        <w:t>“</w:t>
      </w:r>
      <w:r>
        <w:rPr>
          <w:szCs w:val="21"/>
        </w:rPr>
        <w:t>内蒙古希苑稀土功能</w:t>
      </w:r>
      <w:r>
        <w:rPr>
          <w:rFonts w:eastAsiaTheme="majorEastAsia"/>
          <w:szCs w:val="21"/>
        </w:rPr>
        <w:t>材料工程技术研究中心</w:t>
      </w:r>
      <w:r>
        <w:rPr>
          <w:rFonts w:hint="eastAsia"/>
          <w:szCs w:val="21"/>
        </w:rPr>
        <w:t>”</w:t>
      </w:r>
      <w:r>
        <w:rPr>
          <w:rFonts w:eastAsiaTheme="majorEastAsia"/>
          <w:szCs w:val="21"/>
        </w:rPr>
        <w:t>、</w:t>
      </w:r>
      <w:r>
        <w:rPr>
          <w:rFonts w:hint="eastAsia" w:eastAsiaTheme="majorEastAsia"/>
          <w:szCs w:val="21"/>
        </w:rPr>
        <w:t>“</w:t>
      </w:r>
      <w:r>
        <w:rPr>
          <w:rFonts w:eastAsiaTheme="majorEastAsia"/>
          <w:szCs w:val="21"/>
        </w:rPr>
        <w:t>内蒙古自治区稀土生产力促进中心</w:t>
      </w:r>
      <w:r>
        <w:rPr>
          <w:rFonts w:hint="eastAsia" w:eastAsiaTheme="majorEastAsia"/>
          <w:szCs w:val="21"/>
        </w:rPr>
        <w:t>”</w:t>
      </w:r>
      <w:r>
        <w:rPr>
          <w:rFonts w:eastAsiaTheme="majorEastAsia"/>
          <w:szCs w:val="21"/>
        </w:rPr>
        <w:t>、</w:t>
      </w:r>
      <w:r>
        <w:rPr>
          <w:rFonts w:hint="eastAsia" w:eastAsiaTheme="majorEastAsia"/>
          <w:szCs w:val="21"/>
        </w:rPr>
        <w:t>“</w:t>
      </w:r>
      <w:r>
        <w:rPr>
          <w:rFonts w:eastAsiaTheme="majorEastAsia"/>
          <w:szCs w:val="21"/>
        </w:rPr>
        <w:t>内蒙古自治区稀土高温冶金工程技术研究中心</w:t>
      </w:r>
      <w:r>
        <w:rPr>
          <w:rFonts w:hint="eastAsia" w:eastAsiaTheme="majorEastAsia"/>
          <w:szCs w:val="21"/>
        </w:rPr>
        <w:t>”</w:t>
      </w:r>
      <w:r>
        <w:rPr>
          <w:rFonts w:eastAsiaTheme="majorEastAsia"/>
          <w:szCs w:val="21"/>
        </w:rPr>
        <w:t>以及</w:t>
      </w:r>
      <w:r>
        <w:rPr>
          <w:rFonts w:hint="eastAsia" w:eastAsiaTheme="majorEastAsia"/>
          <w:szCs w:val="21"/>
        </w:rPr>
        <w:t>“</w:t>
      </w:r>
      <w:r>
        <w:rPr>
          <w:rFonts w:eastAsiaTheme="majorEastAsia"/>
          <w:szCs w:val="21"/>
        </w:rPr>
        <w:t>内蒙古自治区铌冶金工程实验室</w:t>
      </w:r>
      <w:r>
        <w:rPr>
          <w:rFonts w:hint="eastAsia" w:eastAsiaTheme="majorEastAsia"/>
          <w:szCs w:val="21"/>
        </w:rPr>
        <w:t>”</w:t>
      </w:r>
      <w:r>
        <w:rPr>
          <w:rFonts w:eastAsiaTheme="majorEastAsia"/>
          <w:szCs w:val="21"/>
        </w:rPr>
        <w:t>。包头稀土研究院理化检测中心是本院的重要组成部分，拥有中国合格评定国家认可实验室认证（CNAS）、内蒙古技术监督局的计量认证（CMA）、全国分析检测人员能力培训和考核中心（NTC）等资质。主要从事稀土矿石、合金、金属、化合物及稀土新材料的检测工作，同时承接黑色金属、有色金属、选冶、新材料、土壤、铝材和生物样品的分析检测工作，出色地完成了大量国内外委托的检测业务。建院以来承担多项国家/行业标准分析方法的研究和标准样品的研制工作，在国内稀土产品检测领域地位突出。截止目前，理化检测中心完成国家/行业标准分析方法的相关起草工作100多项，曾获七五、八五攻关科研奖，多次获得中国有色金属工业科学技术二、三等奖等荣誉。基于包头稀土研究院长期在稀土湿法冶炼、环境保护、标准起草等方面积累的丰富经验，该项目实施期间，包头稀土研究院借鉴已有科研成果、发挥自身优势保证项目顺利推进。</w:t>
      </w:r>
    </w:p>
    <w:p>
      <w:pPr>
        <w:pStyle w:val="81"/>
        <w:spacing w:before="0" w:beforeAutospacing="0" w:after="0" w:afterAutospacing="0" w:line="300" w:lineRule="auto"/>
        <w:ind w:firstLine="435"/>
        <w:jc w:val="both"/>
        <w:rPr>
          <w:kern w:val="2"/>
          <w:sz w:val="21"/>
          <w:szCs w:val="21"/>
        </w:rPr>
      </w:pPr>
      <w:r>
        <w:rPr>
          <w:rFonts w:hint="eastAsia"/>
          <w:b/>
          <w:kern w:val="2"/>
          <w:sz w:val="21"/>
          <w:szCs w:val="21"/>
        </w:rPr>
        <w:t>赣州有色冶金研究所</w:t>
      </w:r>
      <w:r>
        <w:rPr>
          <w:rFonts w:hint="eastAsia"/>
          <w:kern w:val="2"/>
          <w:sz w:val="21"/>
          <w:szCs w:val="21"/>
        </w:rPr>
        <w:t>一验单位，</w:t>
      </w:r>
      <w:r>
        <w:rPr>
          <w:rFonts w:hint="eastAsia"/>
          <w:color w:val="333333"/>
          <w:sz w:val="21"/>
          <w:szCs w:val="21"/>
          <w:shd w:val="clear" w:color="auto" w:fill="FFFFFF"/>
        </w:rPr>
        <w:t>（以下简称“赣研所”）正式成立于1952年，现隶属于</w:t>
      </w:r>
      <w:r>
        <w:fldChar w:fldCharType="begin"/>
      </w:r>
      <w:r>
        <w:instrText xml:space="preserve"> HYPERLINK "https://baike.so.com/doc/6081647-6294746.html" \t "_blank" </w:instrText>
      </w:r>
      <w:r>
        <w:fldChar w:fldCharType="separate"/>
      </w:r>
      <w:r>
        <w:rPr>
          <w:rFonts w:hint="eastAsia"/>
          <w:color w:val="333333"/>
          <w:sz w:val="21"/>
          <w:szCs w:val="21"/>
        </w:rPr>
        <w:t>江西钨业集团有限公司</w:t>
      </w:r>
      <w:r>
        <w:rPr>
          <w:rFonts w:hint="eastAsia"/>
          <w:color w:val="333333"/>
          <w:sz w:val="21"/>
          <w:szCs w:val="21"/>
        </w:rPr>
        <w:fldChar w:fldCharType="end"/>
      </w:r>
      <w:r>
        <w:rPr>
          <w:rFonts w:hint="eastAsia"/>
          <w:color w:val="333333"/>
          <w:sz w:val="21"/>
          <w:szCs w:val="21"/>
          <w:shd w:val="clear" w:color="auto" w:fill="FFFFFF"/>
        </w:rPr>
        <w:t>，是集采矿、</w:t>
      </w:r>
      <w:r>
        <w:fldChar w:fldCharType="begin"/>
      </w:r>
      <w:r>
        <w:instrText xml:space="preserve"> HYPERLINK "https://baike.so.com/doc/5722793-5935524.html" \t "_blank" </w:instrText>
      </w:r>
      <w:r>
        <w:fldChar w:fldCharType="separate"/>
      </w:r>
      <w:r>
        <w:rPr>
          <w:rFonts w:hint="eastAsia"/>
          <w:color w:val="333333"/>
          <w:sz w:val="21"/>
          <w:szCs w:val="21"/>
        </w:rPr>
        <w:t>选矿</w:t>
      </w:r>
      <w:r>
        <w:rPr>
          <w:rFonts w:hint="eastAsia"/>
          <w:color w:val="333333"/>
          <w:sz w:val="21"/>
          <w:szCs w:val="21"/>
        </w:rPr>
        <w:fldChar w:fldCharType="end"/>
      </w:r>
      <w:r>
        <w:rPr>
          <w:rFonts w:hint="eastAsia"/>
          <w:color w:val="333333"/>
          <w:sz w:val="21"/>
          <w:szCs w:val="21"/>
          <w:shd w:val="clear" w:color="auto" w:fill="FFFFFF"/>
        </w:rPr>
        <w:t>、冶金、分析、环保、自动化及设备、材料等多个专业研究开发、非煤矿山工程设计、测量、评估、安全生产检测检验、</w:t>
      </w:r>
      <w:r>
        <w:fldChar w:fldCharType="begin"/>
      </w:r>
      <w:r>
        <w:instrText xml:space="preserve"> HYPERLINK "https://baike.so.com/doc/3322756-3499637.html" \t "_blank" </w:instrText>
      </w:r>
      <w:r>
        <w:fldChar w:fldCharType="separate"/>
      </w:r>
      <w:r>
        <w:rPr>
          <w:rFonts w:hint="eastAsia"/>
          <w:color w:val="333333"/>
          <w:sz w:val="21"/>
          <w:szCs w:val="21"/>
        </w:rPr>
        <w:t>有色金属</w:t>
      </w:r>
      <w:r>
        <w:rPr>
          <w:rFonts w:hint="eastAsia"/>
          <w:color w:val="333333"/>
          <w:sz w:val="21"/>
          <w:szCs w:val="21"/>
        </w:rPr>
        <w:fldChar w:fldCharType="end"/>
      </w:r>
      <w:r>
        <w:rPr>
          <w:rFonts w:hint="eastAsia"/>
          <w:color w:val="333333"/>
          <w:sz w:val="21"/>
          <w:szCs w:val="21"/>
          <w:shd w:val="clear" w:color="auto" w:fill="FFFFFF"/>
        </w:rPr>
        <w:t>产品检验分析、咨询服务为一体的综合性研究所。赣研所主要以有色金属、稀有稀土为研发主体，重点研发钨、稀土、钽铌采、选、冶新工艺、新技术和设备自动化，着力研发钨、</w:t>
      </w:r>
      <w:r>
        <w:fldChar w:fldCharType="begin"/>
      </w:r>
      <w:r>
        <w:instrText xml:space="preserve"> HYPERLINK "https://baike.so.com/doc/4445529-4653848.html" \t "_blank" </w:instrText>
      </w:r>
      <w:r>
        <w:fldChar w:fldCharType="separate"/>
      </w:r>
      <w:r>
        <w:rPr>
          <w:rFonts w:hint="eastAsia"/>
          <w:color w:val="333333"/>
          <w:sz w:val="21"/>
          <w:szCs w:val="21"/>
        </w:rPr>
        <w:t>稀土</w:t>
      </w:r>
      <w:r>
        <w:rPr>
          <w:rFonts w:hint="eastAsia"/>
          <w:color w:val="333333"/>
          <w:sz w:val="21"/>
          <w:szCs w:val="21"/>
        </w:rPr>
        <w:fldChar w:fldCharType="end"/>
      </w:r>
      <w:r>
        <w:rPr>
          <w:rFonts w:hint="eastAsia"/>
          <w:color w:val="333333"/>
          <w:sz w:val="21"/>
          <w:szCs w:val="21"/>
          <w:shd w:val="clear" w:color="auto" w:fill="FFFFFF"/>
        </w:rPr>
        <w:t>、钽铌节约型、环保型新产品、新材料。下属四个控(参)股公司(江西南方稀土高技术股份有限公司、赣州金环磁选设备有限公司、江西华安安全生产检测检验中心、赣州科源稀土资源开发服务有限公司)。自建所以来，赣研所共获科研成果1000余项，其中获国家级奖21项、专利16项、省部级奖150余项。被国家、省市授予和认定为“国家重点高新技术企业”、“南方稀土行业生产力促进中心”、“江西省稀土行业生产力促进中心”、“国家商检局钨和稀土进出口商品检验实验室”、“中国有色金属工业钨及稀有金属产品质量监督检验中心”、“中国有色金属工业赣州粉尘检测分析中心”、“江西省有色金属产品质量监督检验站”、“国家'863'计划成果转化基地”、“国家高新技术研究发展产业化基地”、“南方稀土应用工程技术研究中心”、“江西省钢丝绳检测站“。</w:t>
      </w:r>
    </w:p>
    <w:p>
      <w:pPr>
        <w:pStyle w:val="81"/>
        <w:spacing w:before="0" w:beforeAutospacing="0" w:after="0" w:afterAutospacing="0" w:line="300" w:lineRule="auto"/>
        <w:ind w:firstLine="435"/>
        <w:jc w:val="both"/>
        <w:rPr>
          <w:rFonts w:ascii="Times New Roman" w:hAnsi="Times New Roman" w:cs="Times New Roman"/>
          <w:kern w:val="2"/>
          <w:sz w:val="21"/>
          <w:szCs w:val="21"/>
        </w:rPr>
      </w:pPr>
      <w:r>
        <w:rPr>
          <w:rFonts w:ascii="Times New Roman" w:hAnsi="Times New Roman" w:cs="Times New Roman"/>
          <w:b/>
          <w:kern w:val="2"/>
          <w:sz w:val="21"/>
          <w:szCs w:val="21"/>
        </w:rPr>
        <w:t>四川省乐山锐丰冶金有限公司</w:t>
      </w:r>
      <w:r>
        <w:rPr>
          <w:rFonts w:ascii="Times New Roman" w:hAnsi="Times New Roman" w:cs="Times New Roman"/>
          <w:kern w:val="2"/>
          <w:sz w:val="21"/>
          <w:szCs w:val="21"/>
        </w:rPr>
        <w:t xml:space="preserve">是二验单位，公司是集产品研发、生产为一体的稀土深加工企业，主要生产稀土氧化物、稀土盐类、稀土富集物、抛光粉等四大系列四十余种规格的产品，产品远销欧美、日韩等国家和地区。2018年荣获全国稀土标准化技术委员会技术标准优秀奖和中国有色金属工业科学技术奖。 </w:t>
      </w:r>
    </w:p>
    <w:p>
      <w:pPr>
        <w:pStyle w:val="81"/>
        <w:spacing w:before="0" w:beforeAutospacing="0" w:after="0" w:afterAutospacing="0" w:line="300" w:lineRule="auto"/>
        <w:ind w:firstLine="420" w:firstLineChars="200"/>
        <w:jc w:val="both"/>
        <w:rPr>
          <w:rFonts w:ascii="Times New Roman" w:hAnsi="Times New Roman" w:cs="Times New Roman"/>
          <w:kern w:val="2"/>
          <w:sz w:val="21"/>
          <w:szCs w:val="21"/>
        </w:rPr>
      </w:pPr>
      <w:r>
        <w:rPr>
          <w:rFonts w:ascii="Times New Roman" w:hAnsi="Times New Roman" w:cs="Times New Roman"/>
          <w:sz w:val="21"/>
          <w:szCs w:val="21"/>
        </w:rPr>
        <w:t>江西南方稀土高技术股份有限公司、有研稀土新材料股份有限公司</w:t>
      </w:r>
      <w:r>
        <w:rPr>
          <w:rFonts w:ascii="Times New Roman" w:hAnsi="Times New Roman" w:cs="Times New Roman"/>
          <w:kern w:val="2"/>
          <w:sz w:val="21"/>
          <w:szCs w:val="21"/>
        </w:rPr>
        <w:t>等单位在稀土行业有丰富的生产及检测经验，也多次参与标准的制修订工作。在上述起草及验证单位的共同努力下，GB/T 12690.1将顺利完成。</w:t>
      </w:r>
    </w:p>
    <w:p>
      <w:pPr>
        <w:pStyle w:val="120"/>
        <w:tabs>
          <w:tab w:val="clear" w:pos="675"/>
        </w:tabs>
        <w:spacing w:before="156" w:beforeLines="50" w:after="156" w:afterLines="50" w:line="300" w:lineRule="auto"/>
        <w:ind w:left="0" w:firstLine="0"/>
        <w:jc w:val="left"/>
        <w:rPr>
          <w:rFonts w:ascii="Times New Roman"/>
          <w:szCs w:val="21"/>
        </w:rPr>
      </w:pPr>
      <w:r>
        <w:rPr>
          <w:rFonts w:ascii="Times New Roman"/>
          <w:szCs w:val="21"/>
        </w:rPr>
        <w:t>5、主要工作过程</w:t>
      </w:r>
    </w:p>
    <w:p>
      <w:pPr>
        <w:spacing w:before="156" w:beforeLines="50" w:after="156" w:afterLines="50" w:line="300" w:lineRule="auto"/>
        <w:rPr>
          <w:rFonts w:eastAsia="黑体"/>
          <w:szCs w:val="21"/>
        </w:rPr>
      </w:pPr>
      <w:r>
        <w:rPr>
          <w:rFonts w:eastAsia="黑体"/>
          <w:szCs w:val="21"/>
        </w:rPr>
        <w:t>5.1  起草阶段</w:t>
      </w:r>
    </w:p>
    <w:p>
      <w:pPr>
        <w:spacing w:line="300" w:lineRule="auto"/>
        <w:rPr>
          <w:rFonts w:eastAsiaTheme="minorEastAsia"/>
          <w:szCs w:val="21"/>
        </w:rPr>
      </w:pPr>
      <w:r>
        <w:rPr>
          <w:rFonts w:eastAsiaTheme="minorEastAsia"/>
          <w:szCs w:val="21"/>
        </w:rPr>
        <w:t xml:space="preserve">    2020年5月7日全国稀土标准化技术委员会召开网络会议，对本项目进行任务落实。会议确定负责起草单位为国合通用测试评价认证股份有限公司；包头稀土研究院、赣州有色冶金研究所、四川省乐山锐丰冶金有限公司、江西南方稀土高技术股份有限公司、有研稀土新材料股份有限公司等6家单位参与方法起草。任务落实会上，江西南方稀土高技术股份有限公司提出为本项目提供公共试验用样品（氧化物）。 </w:t>
      </w:r>
    </w:p>
    <w:p>
      <w:pPr>
        <w:spacing w:line="300" w:lineRule="auto"/>
        <w:rPr>
          <w:rFonts w:eastAsiaTheme="minorEastAsia"/>
          <w:szCs w:val="21"/>
        </w:rPr>
      </w:pPr>
      <w:r>
        <w:rPr>
          <w:rFonts w:eastAsiaTheme="minorEastAsia"/>
          <w:szCs w:val="21"/>
        </w:rPr>
        <w:tab/>
      </w:r>
      <w:r>
        <w:rPr>
          <w:rFonts w:eastAsiaTheme="minorEastAsia"/>
          <w:szCs w:val="21"/>
        </w:rPr>
        <w:t>国合通用测试评价认证股份有限公司接受任务后，立即成立了研发小组，并利用日常送检的稀土及其氧化物样品进行条件试验摸索，初步形成试验方法。</w:t>
      </w:r>
    </w:p>
    <w:p>
      <w:pPr>
        <w:adjustRightInd w:val="0"/>
        <w:snapToGrid w:val="0"/>
        <w:spacing w:line="360" w:lineRule="auto"/>
        <w:rPr>
          <w:rFonts w:eastAsiaTheme="minorEastAsia"/>
          <w:szCs w:val="21"/>
        </w:rPr>
      </w:pPr>
      <w:r>
        <w:rPr>
          <w:rFonts w:eastAsiaTheme="minorEastAsia"/>
          <w:szCs w:val="21"/>
        </w:rPr>
        <w:t>——2020年6月至2019年10月，准备相关材料，负责起草单位根据试验方案进行条件试验，对陆续收到的统一样品进行了精密度、加标回收等试验。完成试验报告和标准征求意见稿的编写工作。</w:t>
      </w:r>
    </w:p>
    <w:p>
      <w:pPr>
        <w:adjustRightInd w:val="0"/>
        <w:snapToGrid w:val="0"/>
        <w:spacing w:line="360" w:lineRule="auto"/>
        <w:rPr>
          <w:rFonts w:eastAsiaTheme="minorEastAsia"/>
          <w:szCs w:val="21"/>
        </w:rPr>
      </w:pPr>
      <w:r>
        <w:rPr>
          <w:rFonts w:eastAsiaTheme="minorEastAsia"/>
          <w:szCs w:val="21"/>
        </w:rPr>
        <w:t>——2020年11月初，将公共样品和试验报告寄发给相关验证单位，进行方法的验证和征求意见稿的意见征求工作。</w:t>
      </w:r>
    </w:p>
    <w:p>
      <w:pPr>
        <w:adjustRightInd w:val="0"/>
        <w:snapToGrid w:val="0"/>
        <w:spacing w:line="360" w:lineRule="auto"/>
        <w:rPr>
          <w:rFonts w:eastAsiaTheme="minorEastAsia"/>
          <w:szCs w:val="21"/>
        </w:rPr>
      </w:pPr>
      <w:r>
        <w:rPr>
          <w:rFonts w:eastAsiaTheme="minorEastAsia"/>
          <w:szCs w:val="21"/>
        </w:rPr>
        <w:t>——2021年3月上旬各相关验证单位陆续完成一验和二验相关工作，返回验证报告和意见。完成精密度试验和数据统计工作。根据征求意见，修改征求意见稿并形成预审稿。</w:t>
      </w:r>
    </w:p>
    <w:p>
      <w:pPr>
        <w:adjustRightInd w:val="0"/>
        <w:snapToGrid w:val="0"/>
        <w:spacing w:line="360" w:lineRule="auto"/>
        <w:ind w:firstLine="420" w:firstLineChars="200"/>
        <w:rPr>
          <w:rFonts w:eastAsiaTheme="minorEastAsia"/>
          <w:szCs w:val="21"/>
        </w:rPr>
      </w:pPr>
      <w:r>
        <w:rPr>
          <w:rFonts w:eastAsiaTheme="minorEastAsia"/>
          <w:szCs w:val="21"/>
        </w:rPr>
        <w:t>在验证过程中，各验证单位提出意见如下：</w:t>
      </w:r>
    </w:p>
    <w:p>
      <w:pPr>
        <w:adjustRightInd w:val="0"/>
        <w:snapToGrid w:val="0"/>
        <w:spacing w:line="360" w:lineRule="auto"/>
        <w:ind w:firstLine="420" w:firstLineChars="200"/>
        <w:rPr>
          <w:rFonts w:eastAsiaTheme="minorEastAsia"/>
          <w:szCs w:val="21"/>
        </w:rPr>
      </w:pPr>
      <w:r>
        <w:rPr>
          <w:rFonts w:eastAsiaTheme="minorEastAsia"/>
          <w:szCs w:val="21"/>
        </w:rPr>
        <w:t>包头稀土研究院和益阳鸿源稀土有限责任公司提出研究报告“加入0.7 g纯铁、l.5 g钨粒和0.4 g锡粒作为助熔剂”时，虽然碳和硫的释放曲线光滑，峰形较好但助熔剂的量太大，燃烧后易造成较大粉尘。经过进一步条件试验后，采纳后调整为</w:t>
      </w:r>
      <w:r>
        <w:rPr>
          <w:rFonts w:hint="eastAsia" w:eastAsiaTheme="minorEastAsia"/>
          <w:szCs w:val="21"/>
          <w:lang w:eastAsia="zh-CN"/>
        </w:rPr>
        <w:t>“</w:t>
      </w:r>
      <w:r>
        <w:rPr>
          <w:rFonts w:eastAsiaTheme="minorEastAsia"/>
          <w:szCs w:val="21"/>
        </w:rPr>
        <w:t>加入0.</w:t>
      </w:r>
      <w:r>
        <w:rPr>
          <w:rFonts w:hint="eastAsia" w:eastAsiaTheme="minorEastAsia"/>
          <w:szCs w:val="21"/>
          <w:lang w:val="en-US" w:eastAsia="zh-CN"/>
        </w:rPr>
        <w:t>3</w:t>
      </w:r>
      <w:r>
        <w:rPr>
          <w:rFonts w:eastAsiaTheme="minorEastAsia"/>
          <w:szCs w:val="21"/>
        </w:rPr>
        <w:t xml:space="preserve"> g纯铁、l.3 g钨粒和0.</w:t>
      </w:r>
      <w:r>
        <w:rPr>
          <w:rFonts w:hint="eastAsia" w:eastAsiaTheme="minorEastAsia"/>
          <w:szCs w:val="21"/>
          <w:lang w:val="en-US" w:eastAsia="zh-CN"/>
        </w:rPr>
        <w:t>2</w:t>
      </w:r>
      <w:r>
        <w:rPr>
          <w:rFonts w:eastAsiaTheme="minorEastAsia"/>
          <w:szCs w:val="21"/>
        </w:rPr>
        <w:t>g锡粒作为助熔剂</w:t>
      </w:r>
      <w:r>
        <w:rPr>
          <w:rFonts w:hint="eastAsia" w:eastAsiaTheme="minorEastAsia"/>
          <w:szCs w:val="21"/>
          <w:lang w:eastAsia="zh-CN"/>
        </w:rPr>
        <w:t>”</w:t>
      </w:r>
      <w:r>
        <w:rPr>
          <w:rFonts w:eastAsiaTheme="minorEastAsia"/>
          <w:szCs w:val="21"/>
        </w:rPr>
        <w:t>。</w:t>
      </w:r>
    </w:p>
    <w:p>
      <w:pPr>
        <w:adjustRightInd w:val="0"/>
        <w:snapToGrid w:val="0"/>
        <w:spacing w:line="360" w:lineRule="auto"/>
        <w:rPr>
          <w:rFonts w:eastAsiaTheme="minorEastAsia"/>
          <w:szCs w:val="21"/>
        </w:rPr>
      </w:pPr>
      <w:r>
        <w:rPr>
          <w:rFonts w:eastAsiaTheme="minorEastAsia"/>
          <w:szCs w:val="21"/>
        </w:rPr>
        <w:tab/>
      </w:r>
      <w:r>
        <w:rPr>
          <w:rFonts w:eastAsiaTheme="minorEastAsia"/>
          <w:szCs w:val="21"/>
        </w:rPr>
        <w:t>综合各验证单位反馈的意见，起草单位对讨论稿及研究报告进行了完善，形成了GB/T 12690.1《稀土金属及其氧化物中非稀土杂质化学分析方法 第1部分：碳、硫量的测定》（征求意见稿）。</w:t>
      </w:r>
    </w:p>
    <w:p>
      <w:pPr>
        <w:adjustRightInd w:val="0"/>
        <w:snapToGrid w:val="0"/>
        <w:spacing w:line="360" w:lineRule="auto"/>
        <w:rPr>
          <w:rFonts w:eastAsia="黑体"/>
          <w:szCs w:val="21"/>
        </w:rPr>
      </w:pPr>
      <w:r>
        <w:rPr>
          <w:rFonts w:eastAsia="黑体"/>
          <w:szCs w:val="21"/>
        </w:rPr>
        <w:t>5.2  征求意见阶段</w:t>
      </w:r>
    </w:p>
    <w:p>
      <w:pPr>
        <w:spacing w:before="156" w:beforeLines="50" w:after="156" w:afterLines="50" w:line="300" w:lineRule="auto"/>
        <w:rPr>
          <w:rFonts w:eastAsia="黑体"/>
          <w:szCs w:val="21"/>
        </w:rPr>
      </w:pPr>
    </w:p>
    <w:p>
      <w:pPr>
        <w:spacing w:before="156" w:beforeLines="50" w:after="156" w:afterLines="50" w:line="300" w:lineRule="auto"/>
        <w:rPr>
          <w:rFonts w:eastAsia="黑体"/>
          <w:szCs w:val="21"/>
        </w:rPr>
      </w:pPr>
      <w:r>
        <w:rPr>
          <w:rFonts w:eastAsia="黑体"/>
          <w:szCs w:val="21"/>
        </w:rPr>
        <w:t>5.3   审定阶段</w:t>
      </w:r>
    </w:p>
    <w:p>
      <w:pPr>
        <w:spacing w:line="300" w:lineRule="auto"/>
        <w:rPr>
          <w:szCs w:val="21"/>
          <w:highlight w:val="yellow"/>
        </w:rPr>
      </w:pPr>
    </w:p>
    <w:p>
      <w:pPr>
        <w:spacing w:before="156" w:beforeLines="50" w:after="156" w:afterLines="50" w:line="300" w:lineRule="auto"/>
        <w:rPr>
          <w:rFonts w:eastAsia="黑体"/>
          <w:bCs/>
          <w:szCs w:val="21"/>
        </w:rPr>
      </w:pPr>
      <w:r>
        <w:rPr>
          <w:rFonts w:eastAsia="黑体"/>
          <w:bCs/>
          <w:szCs w:val="21"/>
        </w:rPr>
        <w:t>二、标准编制原则</w:t>
      </w:r>
    </w:p>
    <w:p>
      <w:pPr>
        <w:tabs>
          <w:tab w:val="center" w:pos="5086"/>
        </w:tabs>
        <w:spacing w:before="156" w:beforeLines="50" w:after="156" w:afterLines="50" w:line="300" w:lineRule="auto"/>
        <w:ind w:firstLine="420"/>
        <w:rPr>
          <w:rFonts w:eastAsia="黑体"/>
          <w:bCs/>
          <w:szCs w:val="21"/>
        </w:rPr>
      </w:pPr>
      <w:r>
        <w:rPr>
          <w:szCs w:val="21"/>
        </w:rPr>
        <w:t>本标准起草过程中遵循以下原则：</w:t>
      </w:r>
      <w:r>
        <w:rPr>
          <w:szCs w:val="21"/>
        </w:rPr>
        <w:tab/>
      </w:r>
    </w:p>
    <w:p>
      <w:pPr>
        <w:pStyle w:val="121"/>
        <w:tabs>
          <w:tab w:val="center" w:pos="4201"/>
          <w:tab w:val="right" w:leader="dot" w:pos="9298"/>
        </w:tabs>
        <w:spacing w:line="300" w:lineRule="auto"/>
        <w:ind w:left="420" w:hanging="420" w:hangingChars="200"/>
        <w:rPr>
          <w:rFonts w:ascii="Times New Roman" w:hAnsi="Times New Roman"/>
          <w:szCs w:val="21"/>
        </w:rPr>
      </w:pPr>
      <w:r>
        <w:rPr>
          <w:rFonts w:ascii="Times New Roman" w:hAnsi="Times New Roman"/>
          <w:szCs w:val="21"/>
        </w:rPr>
        <w:t>1）规范性原则：本标准是根据GB/T 1.1-2020《标准化工作导则 第1部分:标准化文件的结构和起草规则》和GB/T 20001.4-2015《标准编写规则 第4部分：试验方法标准》的要求进行编写的；</w:t>
      </w:r>
    </w:p>
    <w:p>
      <w:pPr>
        <w:spacing w:line="440" w:lineRule="exact"/>
        <w:rPr>
          <w:szCs w:val="21"/>
        </w:rPr>
      </w:pPr>
      <w:r>
        <w:rPr>
          <w:szCs w:val="21"/>
        </w:rPr>
        <w:t>2）适用</w:t>
      </w:r>
      <w:r>
        <w:rPr>
          <w:rFonts w:eastAsiaTheme="minorEastAsia"/>
          <w:szCs w:val="21"/>
        </w:rPr>
        <w:t>性和先进性：本标准以满足我国稀土产品生产和使用的实际需求，</w:t>
      </w:r>
      <w:r>
        <w:rPr>
          <w:szCs w:val="21"/>
        </w:rPr>
        <w:t>确定测定范围</w:t>
      </w:r>
      <w:r>
        <w:rPr>
          <w:rFonts w:eastAsiaTheme="minorEastAsia"/>
          <w:szCs w:val="21"/>
        </w:rPr>
        <w:t>，易于应用，能够满足</w:t>
      </w:r>
      <w:r>
        <w:rPr>
          <w:szCs w:val="21"/>
        </w:rPr>
        <w:t>行业对</w:t>
      </w:r>
      <w:r>
        <w:rPr>
          <w:rFonts w:eastAsiaTheme="minorEastAsia"/>
          <w:szCs w:val="21"/>
        </w:rPr>
        <w:t>稀土金属及其氧化物</w:t>
      </w:r>
      <w:r>
        <w:rPr>
          <w:szCs w:val="21"/>
        </w:rPr>
        <w:t>中</w:t>
      </w:r>
      <w:r>
        <w:rPr>
          <w:rFonts w:eastAsiaTheme="minorEastAsia"/>
          <w:szCs w:val="21"/>
        </w:rPr>
        <w:t>碳、硫</w:t>
      </w:r>
      <w:r>
        <w:rPr>
          <w:szCs w:val="21"/>
        </w:rPr>
        <w:t>含量的分析测试需求，提高了本标准的可操作性和先进性。</w:t>
      </w:r>
    </w:p>
    <w:p>
      <w:pPr>
        <w:pStyle w:val="121"/>
        <w:tabs>
          <w:tab w:val="center" w:pos="4201"/>
          <w:tab w:val="right" w:leader="dot" w:pos="9298"/>
        </w:tabs>
        <w:spacing w:line="300" w:lineRule="auto"/>
        <w:ind w:firstLine="0" w:firstLineChars="0"/>
        <w:rPr>
          <w:rFonts w:ascii="Times New Roman" w:hAnsi="Times New Roman"/>
          <w:szCs w:val="21"/>
        </w:rPr>
      </w:pPr>
      <w:r>
        <w:rPr>
          <w:rFonts w:ascii="Times New Roman" w:hAnsi="Times New Roman"/>
          <w:szCs w:val="21"/>
        </w:rPr>
        <w:t>3 ）充分考虑国家法律、安全、卫生、环保法规的要求。</w:t>
      </w:r>
    </w:p>
    <w:p>
      <w:pPr>
        <w:spacing w:before="156" w:beforeLines="50" w:after="156" w:afterLines="50" w:line="300" w:lineRule="auto"/>
        <w:rPr>
          <w:rFonts w:eastAsia="黑体"/>
          <w:bCs/>
          <w:szCs w:val="21"/>
        </w:rPr>
      </w:pPr>
      <w:r>
        <w:rPr>
          <w:rFonts w:eastAsia="黑体"/>
          <w:bCs/>
          <w:szCs w:val="21"/>
        </w:rPr>
        <w:t>三、标准主要内容的确定依据</w:t>
      </w:r>
    </w:p>
    <w:p>
      <w:pPr>
        <w:spacing w:before="156" w:beforeLines="50" w:after="156" w:afterLines="50" w:line="300" w:lineRule="auto"/>
        <w:rPr>
          <w:rFonts w:eastAsia="黑体"/>
          <w:bCs/>
          <w:szCs w:val="21"/>
        </w:rPr>
      </w:pPr>
      <w:r>
        <w:rPr>
          <w:rFonts w:eastAsia="黑体"/>
          <w:bCs/>
          <w:szCs w:val="21"/>
        </w:rPr>
        <w:tab/>
      </w:r>
      <w:r>
        <w:rPr>
          <w:rFonts w:eastAsia="黑体"/>
          <w:bCs/>
          <w:szCs w:val="21"/>
        </w:rPr>
        <w:t>本标准为修订标准，因此在标准的修订过程中主要对以下几个方面进行了确认：</w:t>
      </w:r>
    </w:p>
    <w:p>
      <w:pPr>
        <w:pStyle w:val="120"/>
        <w:tabs>
          <w:tab w:val="clear" w:pos="675"/>
        </w:tabs>
        <w:spacing w:before="156" w:beforeLines="50" w:after="156" w:afterLines="50" w:line="300" w:lineRule="auto"/>
        <w:ind w:left="0" w:firstLine="0"/>
        <w:rPr>
          <w:rFonts w:ascii="Times New Roman"/>
          <w:color w:val="auto"/>
          <w:szCs w:val="21"/>
          <w:highlight w:val="none"/>
        </w:rPr>
      </w:pPr>
      <w:r>
        <w:rPr>
          <w:rFonts w:hint="eastAsia" w:ascii="Times New Roman"/>
          <w:color w:val="auto"/>
          <w:szCs w:val="21"/>
          <w:highlight w:val="none"/>
        </w:rPr>
        <w:t>1、</w:t>
      </w:r>
      <w:r>
        <w:rPr>
          <w:color w:val="auto"/>
          <w:szCs w:val="21"/>
          <w:highlight w:val="none"/>
        </w:rPr>
        <w:t>方法测定下限</w:t>
      </w:r>
    </w:p>
    <w:p>
      <w:pPr>
        <w:snapToGrid w:val="0"/>
        <w:spacing w:line="360" w:lineRule="auto"/>
        <w:ind w:firstLine="420" w:firstLineChars="200"/>
        <w:rPr>
          <w:color w:val="auto"/>
          <w:szCs w:val="21"/>
          <w:highlight w:val="none"/>
        </w:rPr>
      </w:pPr>
      <w:r>
        <w:rPr>
          <w:rFonts w:hint="eastAsia"/>
          <w:color w:val="auto"/>
          <w:szCs w:val="21"/>
          <w:highlight w:val="none"/>
        </w:rPr>
        <w:t>空白值的大小及其稳定性，直接影响检测下限和测定结果的重现性。</w:t>
      </w:r>
      <w:r>
        <w:rPr>
          <w:color w:val="auto"/>
          <w:szCs w:val="21"/>
          <w:highlight w:val="none"/>
        </w:rPr>
        <w:t>因此</w:t>
      </w:r>
      <w:r>
        <w:rPr>
          <w:rFonts w:hint="eastAsia"/>
          <w:color w:val="auto"/>
          <w:szCs w:val="21"/>
          <w:highlight w:val="none"/>
        </w:rPr>
        <w:t>本方法中得到低而稳定的空白是实现测定低</w:t>
      </w:r>
      <w:r>
        <w:rPr>
          <w:color w:val="auto"/>
          <w:szCs w:val="21"/>
          <w:highlight w:val="none"/>
        </w:rPr>
        <w:t>含量</w:t>
      </w:r>
      <w:r>
        <w:rPr>
          <w:rFonts w:hint="eastAsia"/>
          <w:color w:val="auto"/>
          <w:szCs w:val="21"/>
          <w:highlight w:val="none"/>
        </w:rPr>
        <w:t>碳、硫元素的关键。首先，随着现代仪器技术的发展，碳、</w:t>
      </w:r>
      <w:r>
        <w:rPr>
          <w:color w:val="auto"/>
          <w:szCs w:val="21"/>
          <w:highlight w:val="none"/>
        </w:rPr>
        <w:t>硫</w:t>
      </w:r>
      <w:r>
        <w:rPr>
          <w:rFonts w:hint="eastAsia"/>
          <w:color w:val="auto"/>
          <w:szCs w:val="21"/>
          <w:highlight w:val="none"/>
        </w:rPr>
        <w:t>检测仪器的灵敏度和稳定性越来越高。其次，方法</w:t>
      </w:r>
      <w:r>
        <w:rPr>
          <w:color w:val="auto"/>
          <w:szCs w:val="21"/>
          <w:highlight w:val="none"/>
        </w:rPr>
        <w:t>的</w:t>
      </w:r>
      <w:r>
        <w:rPr>
          <w:rFonts w:hint="eastAsia"/>
          <w:color w:val="auto"/>
          <w:szCs w:val="21"/>
          <w:highlight w:val="none"/>
        </w:rPr>
        <w:t>空白值主要来源于坩埚、助熔剂和载气3部分。本研究中采用坩埚</w:t>
      </w:r>
      <w:r>
        <w:rPr>
          <w:color w:val="auto"/>
          <w:szCs w:val="21"/>
          <w:highlight w:val="none"/>
        </w:rPr>
        <w:t>的</w:t>
      </w:r>
      <w:r>
        <w:rPr>
          <w:rFonts w:hint="eastAsia"/>
          <w:color w:val="auto"/>
          <w:szCs w:val="21"/>
          <w:highlight w:val="none"/>
          <w:lang w:val="en-US" w:eastAsia="zh-CN"/>
        </w:rPr>
        <w:t>处理</w:t>
      </w:r>
      <w:r>
        <w:rPr>
          <w:rFonts w:hint="eastAsia"/>
          <w:color w:val="auto"/>
          <w:szCs w:val="21"/>
          <w:highlight w:val="none"/>
        </w:rPr>
        <w:t>、助熔剂种类和</w:t>
      </w:r>
      <w:r>
        <w:rPr>
          <w:color w:val="auto"/>
          <w:szCs w:val="21"/>
          <w:highlight w:val="none"/>
        </w:rPr>
        <w:t>用量</w:t>
      </w:r>
      <w:r>
        <w:rPr>
          <w:rFonts w:hint="eastAsia"/>
          <w:color w:val="auto"/>
          <w:szCs w:val="21"/>
          <w:highlight w:val="none"/>
        </w:rPr>
        <w:t>的</w:t>
      </w:r>
      <w:r>
        <w:rPr>
          <w:color w:val="auto"/>
          <w:szCs w:val="21"/>
          <w:highlight w:val="none"/>
        </w:rPr>
        <w:t>确定、</w:t>
      </w:r>
      <w:r>
        <w:rPr>
          <w:rFonts w:hint="eastAsia"/>
          <w:color w:val="auto"/>
          <w:szCs w:val="21"/>
          <w:highlight w:val="none"/>
        </w:rPr>
        <w:t>采用纯氧等途径得到了低</w:t>
      </w:r>
      <w:r>
        <w:rPr>
          <w:color w:val="auto"/>
          <w:szCs w:val="21"/>
          <w:highlight w:val="none"/>
        </w:rPr>
        <w:t>而</w:t>
      </w:r>
      <w:r>
        <w:rPr>
          <w:rFonts w:hint="eastAsia"/>
          <w:color w:val="auto"/>
          <w:szCs w:val="21"/>
          <w:highlight w:val="none"/>
        </w:rPr>
        <w:t>稳定了空白。</w:t>
      </w:r>
    </w:p>
    <w:p>
      <w:pPr>
        <w:snapToGrid w:val="0"/>
        <w:spacing w:line="360" w:lineRule="auto"/>
        <w:ind w:firstLine="420" w:firstLineChars="200"/>
        <w:rPr>
          <w:color w:val="auto"/>
          <w:szCs w:val="21"/>
          <w:highlight w:val="none"/>
        </w:rPr>
      </w:pPr>
      <w:r>
        <w:rPr>
          <w:color w:val="auto"/>
          <w:szCs w:val="21"/>
          <w:highlight w:val="none"/>
        </w:rPr>
        <w:t>在仪器正常工作条件下按照实验方法连续测定11次空白，碳、硫标准偏差分别为0.0000828%、0.0000924%。按</w:t>
      </w:r>
      <w:r>
        <w:rPr>
          <w:rFonts w:hint="eastAsia"/>
          <w:color w:val="auto"/>
          <w:szCs w:val="21"/>
          <w:highlight w:val="none"/>
        </w:rPr>
        <w:t>3</w:t>
      </w:r>
      <w:r>
        <w:rPr>
          <w:color w:val="auto"/>
          <w:szCs w:val="21"/>
          <w:highlight w:val="none"/>
        </w:rPr>
        <w:t>倍标准偏差计算方法检出限</w:t>
      </w:r>
      <w:r>
        <w:rPr>
          <w:rFonts w:hint="eastAsia"/>
          <w:color w:val="auto"/>
          <w:szCs w:val="21"/>
          <w:highlight w:val="none"/>
        </w:rPr>
        <w:t>。</w:t>
      </w:r>
      <w:r>
        <w:rPr>
          <w:color w:val="auto"/>
          <w:szCs w:val="21"/>
          <w:highlight w:val="none"/>
        </w:rPr>
        <w:t>碳、硫</w:t>
      </w:r>
      <w:r>
        <w:rPr>
          <w:rFonts w:hint="eastAsia"/>
          <w:color w:val="auto"/>
          <w:szCs w:val="21"/>
          <w:highlight w:val="none"/>
          <w:lang w:val="en-US" w:eastAsia="zh-CN"/>
        </w:rPr>
        <w:t>检出限</w:t>
      </w:r>
      <w:r>
        <w:rPr>
          <w:color w:val="auto"/>
          <w:szCs w:val="21"/>
          <w:highlight w:val="none"/>
        </w:rPr>
        <w:t>分别为0.000248%、0.000277%，按10倍标准偏差计算方法测定下限碳、硫分别为0.000828%、0.000924%。</w:t>
      </w:r>
    </w:p>
    <w:tbl>
      <w:tblPr>
        <w:tblStyle w:val="88"/>
        <w:tblW w:w="5000" w:type="pct"/>
        <w:tblInd w:w="0" w:type="dxa"/>
        <w:tblLayout w:type="fixed"/>
        <w:tblCellMar>
          <w:top w:w="0" w:type="dxa"/>
          <w:left w:w="108" w:type="dxa"/>
          <w:bottom w:w="0" w:type="dxa"/>
          <w:right w:w="108" w:type="dxa"/>
        </w:tblCellMar>
      </w:tblPr>
      <w:tblGrid>
        <w:gridCol w:w="1936"/>
        <w:gridCol w:w="4016"/>
        <w:gridCol w:w="4016"/>
      </w:tblGrid>
      <w:tr>
        <w:tblPrEx>
          <w:tblCellMar>
            <w:top w:w="0" w:type="dxa"/>
            <w:left w:w="108" w:type="dxa"/>
            <w:bottom w:w="0" w:type="dxa"/>
            <w:right w:w="108" w:type="dxa"/>
          </w:tblCellMar>
        </w:tblPrEx>
        <w:trPr>
          <w:trHeight w:val="340" w:hRule="atLeast"/>
        </w:trPr>
        <w:tc>
          <w:tcPr>
            <w:tcW w:w="1936" w:type="dxa"/>
            <w:tcBorders>
              <w:top w:val="single" w:color="auto" w:sz="4" w:space="0"/>
              <w:left w:val="nil"/>
              <w:bottom w:val="single" w:color="auto" w:sz="4" w:space="0"/>
              <w:right w:val="nil"/>
            </w:tcBorders>
            <w:noWrap/>
            <w:vAlign w:val="center"/>
          </w:tcPr>
          <w:p>
            <w:pPr>
              <w:jc w:val="center"/>
              <w:rPr>
                <w:rFonts w:hint="eastAsia" w:ascii="Times New Roman" w:hAnsi="Times New Roman" w:eastAsia="宋体" w:cs="Times New Roman"/>
                <w:color w:val="auto"/>
                <w:sz w:val="21"/>
                <w:szCs w:val="21"/>
                <w:highlight w:val="none"/>
                <w:lang w:val="en-US" w:eastAsia="zh-CN"/>
              </w:rPr>
            </w:pPr>
            <w:r>
              <w:rPr>
                <w:rFonts w:hint="eastAsia" w:cs="Times New Roman"/>
                <w:color w:val="auto"/>
                <w:sz w:val="21"/>
                <w:szCs w:val="21"/>
                <w:highlight w:val="none"/>
                <w:lang w:val="en-US" w:eastAsia="zh-CN"/>
              </w:rPr>
              <w:t>元素</w:t>
            </w:r>
          </w:p>
        </w:tc>
        <w:tc>
          <w:tcPr>
            <w:tcW w:w="4016" w:type="dxa"/>
            <w:tcBorders>
              <w:top w:val="single" w:color="auto" w:sz="4" w:space="0"/>
              <w:left w:val="nil"/>
              <w:bottom w:val="single" w:color="auto" w:sz="4" w:space="0"/>
              <w:right w:val="nil"/>
            </w:tcBorders>
            <w:vAlign w:val="bottom"/>
          </w:tcPr>
          <w:p>
            <w:pPr>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碳空白值</w:t>
            </w:r>
          </w:p>
        </w:tc>
        <w:tc>
          <w:tcPr>
            <w:tcW w:w="4016" w:type="dxa"/>
            <w:tcBorders>
              <w:top w:val="single" w:color="auto" w:sz="4" w:space="0"/>
              <w:left w:val="nil"/>
              <w:bottom w:val="single" w:color="auto" w:sz="4" w:space="0"/>
              <w:right w:val="nil"/>
            </w:tcBorders>
            <w:vAlign w:val="bottom"/>
          </w:tcPr>
          <w:p>
            <w:pPr>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硫空白值</w:t>
            </w:r>
          </w:p>
        </w:tc>
      </w:tr>
      <w:tr>
        <w:tblPrEx>
          <w:tblCellMar>
            <w:top w:w="0" w:type="dxa"/>
            <w:left w:w="108" w:type="dxa"/>
            <w:bottom w:w="0" w:type="dxa"/>
            <w:right w:w="108" w:type="dxa"/>
          </w:tblCellMar>
        </w:tblPrEx>
        <w:trPr>
          <w:trHeight w:val="340" w:hRule="atLeast"/>
        </w:trPr>
        <w:tc>
          <w:tcPr>
            <w:tcW w:w="1936" w:type="dxa"/>
            <w:vMerge w:val="restart"/>
            <w:tcBorders>
              <w:top w:val="single" w:color="auto" w:sz="4" w:space="0"/>
              <w:left w:val="nil"/>
              <w:bottom w:val="nil"/>
              <w:right w:val="nil"/>
            </w:tcBorders>
            <w:noWrap/>
            <w:vAlign w:val="center"/>
          </w:tcPr>
          <w:p>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rPr>
              <w:t>测定结果/%</w:t>
            </w:r>
          </w:p>
        </w:tc>
        <w:tc>
          <w:tcPr>
            <w:tcW w:w="4016" w:type="dxa"/>
            <w:tcBorders>
              <w:top w:val="single" w:color="auto" w:sz="4" w:space="0"/>
              <w:left w:val="nil"/>
              <w:bottom w:val="nil"/>
              <w:right w:val="nil"/>
            </w:tcBorders>
            <w:vAlign w:val="center"/>
          </w:tcPr>
          <w:p>
            <w:pPr>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 xml:space="preserve">0.000698 </w:t>
            </w:r>
          </w:p>
        </w:tc>
        <w:tc>
          <w:tcPr>
            <w:tcW w:w="4016" w:type="dxa"/>
            <w:tcBorders>
              <w:top w:val="single" w:color="auto" w:sz="4" w:space="0"/>
              <w:left w:val="nil"/>
              <w:bottom w:val="nil"/>
              <w:right w:val="nil"/>
            </w:tcBorders>
            <w:vAlign w:val="bottom"/>
          </w:tcPr>
          <w:p>
            <w:pPr>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0.000547</w:t>
            </w:r>
          </w:p>
        </w:tc>
      </w:tr>
      <w:tr>
        <w:tblPrEx>
          <w:tblCellMar>
            <w:top w:w="0" w:type="dxa"/>
            <w:left w:w="108" w:type="dxa"/>
            <w:bottom w:w="0" w:type="dxa"/>
            <w:right w:w="108" w:type="dxa"/>
          </w:tblCellMar>
        </w:tblPrEx>
        <w:trPr>
          <w:trHeight w:val="340" w:hRule="atLeast"/>
        </w:trPr>
        <w:tc>
          <w:tcPr>
            <w:tcW w:w="1936" w:type="dxa"/>
            <w:vMerge w:val="continue"/>
            <w:tcBorders>
              <w:top w:val="nil"/>
              <w:left w:val="nil"/>
              <w:bottom w:val="nil"/>
              <w:right w:val="nil"/>
            </w:tcBorders>
            <w:noWrap/>
            <w:vAlign w:val="center"/>
          </w:tcPr>
          <w:p>
            <w:pPr>
              <w:jc w:val="center"/>
              <w:rPr>
                <w:rFonts w:hint="default" w:ascii="Times New Roman" w:hAnsi="Times New Roman" w:cs="Times New Roman"/>
                <w:color w:val="auto"/>
                <w:sz w:val="21"/>
                <w:szCs w:val="21"/>
                <w:highlight w:val="none"/>
                <w:lang w:val="en-US" w:eastAsia="zh-CN"/>
              </w:rPr>
            </w:pPr>
          </w:p>
        </w:tc>
        <w:tc>
          <w:tcPr>
            <w:tcW w:w="4016" w:type="dxa"/>
            <w:tcBorders>
              <w:top w:val="nil"/>
              <w:left w:val="nil"/>
              <w:bottom w:val="nil"/>
              <w:right w:val="nil"/>
            </w:tcBorders>
            <w:vAlign w:val="center"/>
          </w:tcPr>
          <w:p>
            <w:pPr>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 xml:space="preserve">0.000639 </w:t>
            </w:r>
          </w:p>
        </w:tc>
        <w:tc>
          <w:tcPr>
            <w:tcW w:w="4016" w:type="dxa"/>
            <w:tcBorders>
              <w:top w:val="nil"/>
              <w:left w:val="nil"/>
              <w:bottom w:val="nil"/>
              <w:right w:val="nil"/>
            </w:tcBorders>
            <w:vAlign w:val="bottom"/>
          </w:tcPr>
          <w:p>
            <w:pPr>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0.000415</w:t>
            </w:r>
          </w:p>
        </w:tc>
      </w:tr>
      <w:tr>
        <w:tblPrEx>
          <w:tblCellMar>
            <w:top w:w="0" w:type="dxa"/>
            <w:left w:w="108" w:type="dxa"/>
            <w:bottom w:w="0" w:type="dxa"/>
            <w:right w:w="108" w:type="dxa"/>
          </w:tblCellMar>
        </w:tblPrEx>
        <w:trPr>
          <w:trHeight w:val="340" w:hRule="atLeast"/>
        </w:trPr>
        <w:tc>
          <w:tcPr>
            <w:tcW w:w="1936" w:type="dxa"/>
            <w:vMerge w:val="continue"/>
            <w:tcBorders>
              <w:top w:val="nil"/>
              <w:left w:val="nil"/>
              <w:bottom w:val="nil"/>
              <w:right w:val="nil"/>
            </w:tcBorders>
            <w:noWrap/>
            <w:vAlign w:val="center"/>
          </w:tcPr>
          <w:p>
            <w:pPr>
              <w:jc w:val="center"/>
              <w:rPr>
                <w:rFonts w:hint="default" w:ascii="Times New Roman" w:hAnsi="Times New Roman" w:cs="Times New Roman"/>
                <w:color w:val="auto"/>
                <w:sz w:val="21"/>
                <w:szCs w:val="21"/>
                <w:highlight w:val="none"/>
              </w:rPr>
            </w:pPr>
          </w:p>
        </w:tc>
        <w:tc>
          <w:tcPr>
            <w:tcW w:w="4016" w:type="dxa"/>
            <w:tcBorders>
              <w:top w:val="nil"/>
              <w:left w:val="nil"/>
              <w:bottom w:val="nil"/>
              <w:right w:val="nil"/>
            </w:tcBorders>
            <w:vAlign w:val="center"/>
          </w:tcPr>
          <w:p>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 xml:space="preserve">0.000684 </w:t>
            </w:r>
          </w:p>
        </w:tc>
        <w:tc>
          <w:tcPr>
            <w:tcW w:w="4016" w:type="dxa"/>
            <w:tcBorders>
              <w:top w:val="nil"/>
              <w:left w:val="nil"/>
              <w:bottom w:val="nil"/>
              <w:right w:val="nil"/>
            </w:tcBorders>
            <w:vAlign w:val="bottom"/>
          </w:tcPr>
          <w:p>
            <w:pPr>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0.000377</w:t>
            </w:r>
          </w:p>
        </w:tc>
      </w:tr>
      <w:tr>
        <w:tblPrEx>
          <w:tblCellMar>
            <w:top w:w="0" w:type="dxa"/>
            <w:left w:w="108" w:type="dxa"/>
            <w:bottom w:w="0" w:type="dxa"/>
            <w:right w:w="108" w:type="dxa"/>
          </w:tblCellMar>
        </w:tblPrEx>
        <w:trPr>
          <w:trHeight w:val="340" w:hRule="atLeast"/>
        </w:trPr>
        <w:tc>
          <w:tcPr>
            <w:tcW w:w="1936" w:type="dxa"/>
            <w:vMerge w:val="continue"/>
            <w:tcBorders>
              <w:top w:val="nil"/>
              <w:left w:val="nil"/>
              <w:bottom w:val="nil"/>
              <w:right w:val="nil"/>
            </w:tcBorders>
            <w:noWrap/>
            <w:vAlign w:val="center"/>
          </w:tcPr>
          <w:p>
            <w:pPr>
              <w:jc w:val="center"/>
              <w:rPr>
                <w:rFonts w:hint="default" w:ascii="Times New Roman" w:hAnsi="Times New Roman" w:cs="Times New Roman"/>
                <w:color w:val="auto"/>
                <w:sz w:val="21"/>
                <w:szCs w:val="21"/>
                <w:highlight w:val="none"/>
              </w:rPr>
            </w:pPr>
          </w:p>
        </w:tc>
        <w:tc>
          <w:tcPr>
            <w:tcW w:w="4016" w:type="dxa"/>
            <w:tcBorders>
              <w:top w:val="nil"/>
              <w:left w:val="nil"/>
              <w:bottom w:val="nil"/>
              <w:right w:val="nil"/>
            </w:tcBorders>
            <w:vAlign w:val="center"/>
          </w:tcPr>
          <w:p>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 xml:space="preserve">0.000877 </w:t>
            </w:r>
          </w:p>
        </w:tc>
        <w:tc>
          <w:tcPr>
            <w:tcW w:w="4016" w:type="dxa"/>
            <w:tcBorders>
              <w:top w:val="nil"/>
              <w:left w:val="nil"/>
              <w:bottom w:val="nil"/>
              <w:right w:val="nil"/>
            </w:tcBorders>
            <w:vAlign w:val="bottom"/>
          </w:tcPr>
          <w:p>
            <w:pPr>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0.000536</w:t>
            </w:r>
          </w:p>
        </w:tc>
      </w:tr>
      <w:tr>
        <w:tblPrEx>
          <w:tblCellMar>
            <w:top w:w="0" w:type="dxa"/>
            <w:left w:w="108" w:type="dxa"/>
            <w:bottom w:w="0" w:type="dxa"/>
            <w:right w:w="108" w:type="dxa"/>
          </w:tblCellMar>
        </w:tblPrEx>
        <w:trPr>
          <w:trHeight w:val="340" w:hRule="atLeast"/>
        </w:trPr>
        <w:tc>
          <w:tcPr>
            <w:tcW w:w="1936" w:type="dxa"/>
            <w:vMerge w:val="continue"/>
            <w:tcBorders>
              <w:top w:val="nil"/>
              <w:left w:val="nil"/>
              <w:bottom w:val="nil"/>
              <w:right w:val="nil"/>
            </w:tcBorders>
            <w:noWrap/>
            <w:vAlign w:val="center"/>
          </w:tcPr>
          <w:p>
            <w:pPr>
              <w:jc w:val="center"/>
              <w:rPr>
                <w:rFonts w:hint="default" w:ascii="Times New Roman" w:hAnsi="Times New Roman" w:cs="Times New Roman"/>
                <w:color w:val="auto"/>
                <w:sz w:val="21"/>
                <w:szCs w:val="21"/>
                <w:highlight w:val="none"/>
              </w:rPr>
            </w:pPr>
          </w:p>
        </w:tc>
        <w:tc>
          <w:tcPr>
            <w:tcW w:w="4016" w:type="dxa"/>
            <w:tcBorders>
              <w:top w:val="nil"/>
              <w:left w:val="nil"/>
              <w:bottom w:val="nil"/>
              <w:right w:val="nil"/>
            </w:tcBorders>
            <w:vAlign w:val="center"/>
          </w:tcPr>
          <w:p>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 xml:space="preserve">0.000765 </w:t>
            </w:r>
          </w:p>
        </w:tc>
        <w:tc>
          <w:tcPr>
            <w:tcW w:w="4016" w:type="dxa"/>
            <w:tcBorders>
              <w:top w:val="nil"/>
              <w:left w:val="nil"/>
              <w:bottom w:val="nil"/>
              <w:right w:val="nil"/>
            </w:tcBorders>
            <w:vAlign w:val="bottom"/>
          </w:tcPr>
          <w:p>
            <w:pPr>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0.000353</w:t>
            </w:r>
          </w:p>
        </w:tc>
      </w:tr>
      <w:tr>
        <w:tblPrEx>
          <w:tblCellMar>
            <w:top w:w="0" w:type="dxa"/>
            <w:left w:w="108" w:type="dxa"/>
            <w:bottom w:w="0" w:type="dxa"/>
            <w:right w:w="108" w:type="dxa"/>
          </w:tblCellMar>
        </w:tblPrEx>
        <w:trPr>
          <w:trHeight w:val="340" w:hRule="atLeast"/>
        </w:trPr>
        <w:tc>
          <w:tcPr>
            <w:tcW w:w="1936" w:type="dxa"/>
            <w:vMerge w:val="continue"/>
            <w:tcBorders>
              <w:top w:val="nil"/>
              <w:left w:val="nil"/>
              <w:bottom w:val="nil"/>
              <w:right w:val="nil"/>
            </w:tcBorders>
            <w:noWrap/>
            <w:vAlign w:val="center"/>
          </w:tcPr>
          <w:p>
            <w:pPr>
              <w:jc w:val="center"/>
              <w:rPr>
                <w:rFonts w:hint="default" w:ascii="Times New Roman" w:hAnsi="Times New Roman" w:cs="Times New Roman"/>
                <w:color w:val="auto"/>
                <w:sz w:val="21"/>
                <w:szCs w:val="21"/>
                <w:highlight w:val="none"/>
              </w:rPr>
            </w:pPr>
          </w:p>
        </w:tc>
        <w:tc>
          <w:tcPr>
            <w:tcW w:w="4016" w:type="dxa"/>
            <w:tcBorders>
              <w:top w:val="nil"/>
              <w:left w:val="nil"/>
              <w:bottom w:val="nil"/>
              <w:right w:val="nil"/>
            </w:tcBorders>
            <w:vAlign w:val="center"/>
          </w:tcPr>
          <w:p>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 xml:space="preserve">0.000578 </w:t>
            </w:r>
          </w:p>
        </w:tc>
        <w:tc>
          <w:tcPr>
            <w:tcW w:w="4016" w:type="dxa"/>
            <w:tcBorders>
              <w:top w:val="nil"/>
              <w:left w:val="nil"/>
              <w:bottom w:val="nil"/>
              <w:right w:val="nil"/>
            </w:tcBorders>
            <w:vAlign w:val="bottom"/>
          </w:tcPr>
          <w:p>
            <w:pPr>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0.000292</w:t>
            </w:r>
          </w:p>
        </w:tc>
      </w:tr>
      <w:tr>
        <w:tblPrEx>
          <w:tblCellMar>
            <w:top w:w="0" w:type="dxa"/>
            <w:left w:w="108" w:type="dxa"/>
            <w:bottom w:w="0" w:type="dxa"/>
            <w:right w:w="108" w:type="dxa"/>
          </w:tblCellMar>
        </w:tblPrEx>
        <w:trPr>
          <w:trHeight w:val="340" w:hRule="atLeast"/>
        </w:trPr>
        <w:tc>
          <w:tcPr>
            <w:tcW w:w="1936" w:type="dxa"/>
            <w:vMerge w:val="continue"/>
            <w:tcBorders>
              <w:top w:val="nil"/>
              <w:left w:val="nil"/>
              <w:bottom w:val="nil"/>
              <w:right w:val="nil"/>
            </w:tcBorders>
            <w:noWrap/>
            <w:vAlign w:val="center"/>
          </w:tcPr>
          <w:p>
            <w:pPr>
              <w:jc w:val="center"/>
              <w:rPr>
                <w:rFonts w:hint="default" w:ascii="Times New Roman" w:hAnsi="Times New Roman" w:cs="Times New Roman"/>
                <w:color w:val="auto"/>
                <w:sz w:val="21"/>
                <w:szCs w:val="21"/>
                <w:highlight w:val="none"/>
              </w:rPr>
            </w:pPr>
          </w:p>
        </w:tc>
        <w:tc>
          <w:tcPr>
            <w:tcW w:w="4016" w:type="dxa"/>
            <w:tcBorders>
              <w:top w:val="nil"/>
              <w:left w:val="nil"/>
              <w:bottom w:val="nil"/>
              <w:right w:val="nil"/>
            </w:tcBorders>
            <w:vAlign w:val="center"/>
          </w:tcPr>
          <w:p>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 xml:space="preserve">0.000697 </w:t>
            </w:r>
          </w:p>
        </w:tc>
        <w:tc>
          <w:tcPr>
            <w:tcW w:w="4016" w:type="dxa"/>
            <w:tcBorders>
              <w:top w:val="nil"/>
              <w:left w:val="nil"/>
              <w:bottom w:val="nil"/>
              <w:right w:val="nil"/>
            </w:tcBorders>
            <w:vAlign w:val="bottom"/>
          </w:tcPr>
          <w:p>
            <w:pPr>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0.000574</w:t>
            </w:r>
          </w:p>
        </w:tc>
      </w:tr>
      <w:tr>
        <w:tblPrEx>
          <w:tblCellMar>
            <w:top w:w="0" w:type="dxa"/>
            <w:left w:w="108" w:type="dxa"/>
            <w:bottom w:w="0" w:type="dxa"/>
            <w:right w:w="108" w:type="dxa"/>
          </w:tblCellMar>
        </w:tblPrEx>
        <w:trPr>
          <w:trHeight w:val="340" w:hRule="atLeast"/>
        </w:trPr>
        <w:tc>
          <w:tcPr>
            <w:tcW w:w="1936" w:type="dxa"/>
            <w:vMerge w:val="continue"/>
            <w:tcBorders>
              <w:top w:val="nil"/>
              <w:left w:val="nil"/>
              <w:bottom w:val="nil"/>
              <w:right w:val="nil"/>
            </w:tcBorders>
            <w:noWrap/>
            <w:vAlign w:val="center"/>
          </w:tcPr>
          <w:p>
            <w:pPr>
              <w:jc w:val="center"/>
              <w:rPr>
                <w:rFonts w:hint="default" w:ascii="Times New Roman" w:hAnsi="Times New Roman" w:cs="Times New Roman"/>
                <w:color w:val="auto"/>
                <w:sz w:val="21"/>
                <w:szCs w:val="21"/>
                <w:highlight w:val="none"/>
              </w:rPr>
            </w:pPr>
          </w:p>
        </w:tc>
        <w:tc>
          <w:tcPr>
            <w:tcW w:w="4016" w:type="dxa"/>
            <w:tcBorders>
              <w:top w:val="nil"/>
              <w:left w:val="nil"/>
              <w:bottom w:val="nil"/>
              <w:right w:val="nil"/>
            </w:tcBorders>
            <w:vAlign w:val="center"/>
          </w:tcPr>
          <w:p>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 xml:space="preserve">0.000827 </w:t>
            </w:r>
          </w:p>
        </w:tc>
        <w:tc>
          <w:tcPr>
            <w:tcW w:w="4016" w:type="dxa"/>
            <w:tcBorders>
              <w:top w:val="nil"/>
              <w:left w:val="nil"/>
              <w:bottom w:val="nil"/>
              <w:right w:val="nil"/>
            </w:tcBorders>
            <w:vAlign w:val="bottom"/>
          </w:tcPr>
          <w:p>
            <w:pPr>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0.000444</w:t>
            </w:r>
          </w:p>
        </w:tc>
      </w:tr>
      <w:tr>
        <w:tblPrEx>
          <w:tblCellMar>
            <w:top w:w="0" w:type="dxa"/>
            <w:left w:w="108" w:type="dxa"/>
            <w:bottom w:w="0" w:type="dxa"/>
            <w:right w:w="108" w:type="dxa"/>
          </w:tblCellMar>
        </w:tblPrEx>
        <w:trPr>
          <w:trHeight w:val="340" w:hRule="atLeast"/>
        </w:trPr>
        <w:tc>
          <w:tcPr>
            <w:tcW w:w="1936" w:type="dxa"/>
            <w:vMerge w:val="continue"/>
            <w:tcBorders>
              <w:top w:val="nil"/>
              <w:left w:val="nil"/>
              <w:bottom w:val="nil"/>
              <w:right w:val="nil"/>
            </w:tcBorders>
            <w:noWrap/>
            <w:vAlign w:val="center"/>
          </w:tcPr>
          <w:p>
            <w:pPr>
              <w:jc w:val="center"/>
              <w:rPr>
                <w:rFonts w:hint="default" w:ascii="Times New Roman" w:hAnsi="Times New Roman" w:cs="Times New Roman"/>
                <w:color w:val="auto"/>
                <w:sz w:val="21"/>
                <w:szCs w:val="21"/>
                <w:highlight w:val="none"/>
              </w:rPr>
            </w:pPr>
          </w:p>
        </w:tc>
        <w:tc>
          <w:tcPr>
            <w:tcW w:w="4016" w:type="dxa"/>
            <w:tcBorders>
              <w:top w:val="nil"/>
              <w:left w:val="nil"/>
              <w:bottom w:val="nil"/>
              <w:right w:val="nil"/>
            </w:tcBorders>
            <w:vAlign w:val="center"/>
          </w:tcPr>
          <w:p>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 xml:space="preserve">0.000733 </w:t>
            </w:r>
          </w:p>
        </w:tc>
        <w:tc>
          <w:tcPr>
            <w:tcW w:w="4016" w:type="dxa"/>
            <w:tcBorders>
              <w:top w:val="nil"/>
              <w:left w:val="nil"/>
              <w:bottom w:val="nil"/>
              <w:right w:val="nil"/>
            </w:tcBorders>
            <w:vAlign w:val="bottom"/>
          </w:tcPr>
          <w:p>
            <w:pPr>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0.000437</w:t>
            </w:r>
          </w:p>
        </w:tc>
      </w:tr>
      <w:tr>
        <w:tblPrEx>
          <w:tblCellMar>
            <w:top w:w="0" w:type="dxa"/>
            <w:left w:w="108" w:type="dxa"/>
            <w:bottom w:w="0" w:type="dxa"/>
            <w:right w:w="108" w:type="dxa"/>
          </w:tblCellMar>
        </w:tblPrEx>
        <w:trPr>
          <w:trHeight w:val="340" w:hRule="atLeast"/>
        </w:trPr>
        <w:tc>
          <w:tcPr>
            <w:tcW w:w="1936" w:type="dxa"/>
            <w:vMerge w:val="continue"/>
            <w:tcBorders>
              <w:top w:val="nil"/>
              <w:left w:val="nil"/>
              <w:bottom w:val="nil"/>
              <w:right w:val="nil"/>
            </w:tcBorders>
            <w:noWrap/>
            <w:vAlign w:val="center"/>
          </w:tcPr>
          <w:p>
            <w:pPr>
              <w:jc w:val="center"/>
              <w:rPr>
                <w:rFonts w:hint="default" w:ascii="Times New Roman" w:hAnsi="Times New Roman" w:cs="Times New Roman"/>
                <w:color w:val="auto"/>
                <w:sz w:val="21"/>
                <w:szCs w:val="21"/>
                <w:highlight w:val="none"/>
              </w:rPr>
            </w:pPr>
          </w:p>
        </w:tc>
        <w:tc>
          <w:tcPr>
            <w:tcW w:w="4016" w:type="dxa"/>
            <w:tcBorders>
              <w:top w:val="nil"/>
              <w:left w:val="nil"/>
              <w:bottom w:val="nil"/>
              <w:right w:val="nil"/>
            </w:tcBorders>
            <w:vAlign w:val="center"/>
          </w:tcPr>
          <w:p>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 xml:space="preserve">0.000699 </w:t>
            </w:r>
          </w:p>
        </w:tc>
        <w:tc>
          <w:tcPr>
            <w:tcW w:w="4016" w:type="dxa"/>
            <w:tcBorders>
              <w:top w:val="nil"/>
              <w:left w:val="nil"/>
              <w:bottom w:val="nil"/>
              <w:right w:val="nil"/>
            </w:tcBorders>
            <w:vAlign w:val="bottom"/>
          </w:tcPr>
          <w:p>
            <w:pPr>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0.000514</w:t>
            </w:r>
          </w:p>
        </w:tc>
      </w:tr>
      <w:tr>
        <w:tblPrEx>
          <w:tblCellMar>
            <w:top w:w="0" w:type="dxa"/>
            <w:left w:w="108" w:type="dxa"/>
            <w:bottom w:w="0" w:type="dxa"/>
            <w:right w:w="108" w:type="dxa"/>
          </w:tblCellMar>
        </w:tblPrEx>
        <w:trPr>
          <w:trHeight w:val="340" w:hRule="atLeast"/>
        </w:trPr>
        <w:tc>
          <w:tcPr>
            <w:tcW w:w="1936" w:type="dxa"/>
            <w:vMerge w:val="continue"/>
            <w:tcBorders>
              <w:top w:val="nil"/>
              <w:left w:val="nil"/>
              <w:bottom w:val="single" w:color="auto" w:sz="4" w:space="0"/>
              <w:right w:val="nil"/>
            </w:tcBorders>
            <w:noWrap/>
            <w:vAlign w:val="center"/>
          </w:tcPr>
          <w:p>
            <w:pPr>
              <w:jc w:val="center"/>
              <w:rPr>
                <w:rFonts w:hint="default" w:ascii="Times New Roman" w:hAnsi="Times New Roman" w:cs="Times New Roman"/>
                <w:color w:val="auto"/>
                <w:sz w:val="21"/>
                <w:szCs w:val="21"/>
                <w:highlight w:val="none"/>
              </w:rPr>
            </w:pPr>
          </w:p>
        </w:tc>
        <w:tc>
          <w:tcPr>
            <w:tcW w:w="4016" w:type="dxa"/>
            <w:tcBorders>
              <w:top w:val="nil"/>
              <w:left w:val="nil"/>
              <w:bottom w:val="single" w:color="auto" w:sz="4" w:space="0"/>
              <w:right w:val="nil"/>
            </w:tcBorders>
            <w:vAlign w:val="center"/>
          </w:tcPr>
          <w:p>
            <w:pPr>
              <w:jc w:val="center"/>
              <w:rPr>
                <w:rFonts w:hint="default" w:ascii="Times New Roman" w:hAnsi="Times New Roman" w:cs="Times New Roman"/>
                <w:color w:val="auto"/>
                <w:sz w:val="21"/>
                <w:szCs w:val="21"/>
                <w:highlight w:val="none"/>
              </w:rPr>
            </w:pPr>
            <w:r>
              <w:rPr>
                <w:rFonts w:hint="default" w:ascii="Times New Roman" w:hAnsi="Times New Roman" w:cs="Times New Roman"/>
                <w:color w:val="auto"/>
                <w:sz w:val="21"/>
                <w:szCs w:val="21"/>
                <w:highlight w:val="none"/>
                <w:lang w:val="en-US" w:eastAsia="zh-CN"/>
              </w:rPr>
              <w:t xml:space="preserve">0.000691 </w:t>
            </w:r>
          </w:p>
        </w:tc>
        <w:tc>
          <w:tcPr>
            <w:tcW w:w="4016" w:type="dxa"/>
            <w:tcBorders>
              <w:top w:val="nil"/>
              <w:left w:val="nil"/>
              <w:bottom w:val="single" w:color="auto" w:sz="4" w:space="0"/>
              <w:right w:val="nil"/>
            </w:tcBorders>
            <w:vAlign w:val="bottom"/>
          </w:tcPr>
          <w:p>
            <w:pPr>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0.000543</w:t>
            </w:r>
          </w:p>
        </w:tc>
      </w:tr>
      <w:tr>
        <w:tblPrEx>
          <w:tblCellMar>
            <w:top w:w="0" w:type="dxa"/>
            <w:left w:w="108" w:type="dxa"/>
            <w:bottom w:w="0" w:type="dxa"/>
            <w:right w:w="108" w:type="dxa"/>
          </w:tblCellMar>
        </w:tblPrEx>
        <w:trPr>
          <w:trHeight w:val="340" w:hRule="atLeast"/>
        </w:trPr>
        <w:tc>
          <w:tcPr>
            <w:tcW w:w="1936" w:type="dxa"/>
            <w:tcBorders>
              <w:top w:val="single" w:color="auto" w:sz="4" w:space="0"/>
              <w:left w:val="nil"/>
              <w:bottom w:val="single" w:color="auto" w:sz="4" w:space="0"/>
              <w:right w:val="nil"/>
            </w:tcBorders>
            <w:noWrap/>
            <w:vAlign w:val="center"/>
          </w:tcPr>
          <w:p>
            <w:pPr>
              <w:jc w:val="center"/>
              <w:rPr>
                <w:rFonts w:hint="default" w:ascii="Times New Roman" w:hAnsi="Times New Roman" w:cs="Times New Roman"/>
                <w:color w:val="auto"/>
                <w:sz w:val="21"/>
                <w:szCs w:val="21"/>
                <w:highlight w:val="none"/>
                <w:lang w:eastAsia="zh-CN"/>
              </w:rPr>
            </w:pPr>
            <w:r>
              <w:rPr>
                <w:rFonts w:hint="default" w:ascii="Times New Roman" w:hAnsi="Times New Roman" w:cs="Times New Roman"/>
                <w:color w:val="auto"/>
                <w:sz w:val="21"/>
                <w:szCs w:val="21"/>
                <w:highlight w:val="none"/>
                <w:lang w:val="en-US" w:eastAsia="zh-CN"/>
              </w:rPr>
              <w:t>标准偏差</w:t>
            </w:r>
            <w:r>
              <w:rPr>
                <w:rFonts w:hint="default" w:ascii="Times New Roman" w:hAnsi="Times New Roman" w:cs="Times New Roman"/>
                <w:color w:val="auto"/>
                <w:sz w:val="21"/>
                <w:szCs w:val="21"/>
                <w:highlight w:val="none"/>
              </w:rPr>
              <w:t>/%</w:t>
            </w:r>
          </w:p>
        </w:tc>
        <w:tc>
          <w:tcPr>
            <w:tcW w:w="4016" w:type="dxa"/>
            <w:tcBorders>
              <w:top w:val="single" w:color="auto" w:sz="4" w:space="0"/>
              <w:left w:val="nil"/>
              <w:bottom w:val="single" w:color="auto" w:sz="4" w:space="0"/>
              <w:right w:val="nil"/>
            </w:tcBorders>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lang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0.0000828 </w:t>
            </w:r>
          </w:p>
        </w:tc>
        <w:tc>
          <w:tcPr>
            <w:tcW w:w="4016" w:type="dxa"/>
            <w:tcBorders>
              <w:top w:val="single" w:color="auto" w:sz="4" w:space="0"/>
              <w:left w:val="nil"/>
              <w:bottom w:val="single" w:color="auto" w:sz="4" w:space="0"/>
              <w:right w:val="nil"/>
            </w:tcBorders>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0.0000924 </w:t>
            </w:r>
          </w:p>
        </w:tc>
      </w:tr>
      <w:tr>
        <w:tblPrEx>
          <w:tblCellMar>
            <w:top w:w="0" w:type="dxa"/>
            <w:left w:w="108" w:type="dxa"/>
            <w:bottom w:w="0" w:type="dxa"/>
            <w:right w:w="108" w:type="dxa"/>
          </w:tblCellMar>
        </w:tblPrEx>
        <w:trPr>
          <w:trHeight w:val="340" w:hRule="atLeast"/>
        </w:trPr>
        <w:tc>
          <w:tcPr>
            <w:tcW w:w="1936" w:type="dxa"/>
            <w:tcBorders>
              <w:top w:val="single" w:color="auto" w:sz="4" w:space="0"/>
              <w:left w:val="nil"/>
              <w:bottom w:val="single" w:color="auto" w:sz="4" w:space="0"/>
              <w:right w:val="nil"/>
            </w:tcBorders>
            <w:vAlign w:val="center"/>
          </w:tcPr>
          <w:p>
            <w:pPr>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检出限</w:t>
            </w:r>
            <w:r>
              <w:rPr>
                <w:rFonts w:hint="default" w:ascii="Times New Roman" w:hAnsi="Times New Roman" w:cs="Times New Roman"/>
                <w:color w:val="auto"/>
                <w:sz w:val="21"/>
                <w:szCs w:val="21"/>
                <w:highlight w:val="none"/>
              </w:rPr>
              <w:t>/%</w:t>
            </w:r>
          </w:p>
        </w:tc>
        <w:tc>
          <w:tcPr>
            <w:tcW w:w="4016" w:type="dxa"/>
            <w:tcBorders>
              <w:top w:val="single" w:color="auto" w:sz="4" w:space="0"/>
              <w:left w:val="nil"/>
              <w:bottom w:val="single" w:color="auto" w:sz="4" w:space="0"/>
              <w:right w:val="nil"/>
            </w:tcBorders>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0.000248 </w:t>
            </w:r>
          </w:p>
        </w:tc>
        <w:tc>
          <w:tcPr>
            <w:tcW w:w="4016" w:type="dxa"/>
            <w:tcBorders>
              <w:top w:val="single" w:color="auto" w:sz="4" w:space="0"/>
              <w:left w:val="nil"/>
              <w:bottom w:val="single" w:color="auto" w:sz="4" w:space="0"/>
              <w:right w:val="nil"/>
            </w:tcBorders>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lang w:val="en-US" w:eastAsia="zh-CN"/>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0.000277 </w:t>
            </w:r>
          </w:p>
        </w:tc>
      </w:tr>
      <w:tr>
        <w:tblPrEx>
          <w:tblCellMar>
            <w:top w:w="0" w:type="dxa"/>
            <w:left w:w="108" w:type="dxa"/>
            <w:bottom w:w="0" w:type="dxa"/>
            <w:right w:w="108" w:type="dxa"/>
          </w:tblCellMar>
        </w:tblPrEx>
        <w:trPr>
          <w:trHeight w:val="340" w:hRule="atLeast"/>
        </w:trPr>
        <w:tc>
          <w:tcPr>
            <w:tcW w:w="1936" w:type="dxa"/>
            <w:tcBorders>
              <w:top w:val="single" w:color="auto" w:sz="4" w:space="0"/>
              <w:left w:val="nil"/>
              <w:bottom w:val="single" w:color="auto" w:sz="4" w:space="0"/>
              <w:right w:val="nil"/>
            </w:tcBorders>
            <w:vAlign w:val="center"/>
          </w:tcPr>
          <w:p>
            <w:pPr>
              <w:jc w:val="center"/>
              <w:rPr>
                <w:rFonts w:hint="default" w:ascii="Times New Roman" w:hAnsi="Times New Roman" w:cs="Times New Roman"/>
                <w:color w:val="auto"/>
                <w:sz w:val="21"/>
                <w:szCs w:val="21"/>
                <w:highlight w:val="none"/>
                <w:lang w:val="en-US" w:eastAsia="zh-CN"/>
              </w:rPr>
            </w:pPr>
            <w:r>
              <w:rPr>
                <w:rFonts w:hint="default" w:ascii="Times New Roman" w:hAnsi="Times New Roman" w:cs="Times New Roman"/>
                <w:color w:val="auto"/>
                <w:sz w:val="21"/>
                <w:szCs w:val="21"/>
                <w:highlight w:val="none"/>
                <w:lang w:val="en-US" w:eastAsia="zh-CN"/>
              </w:rPr>
              <w:t>测定下限</w:t>
            </w:r>
            <w:r>
              <w:rPr>
                <w:rFonts w:hint="default" w:ascii="Times New Roman" w:hAnsi="Times New Roman" w:cs="Times New Roman"/>
                <w:color w:val="auto"/>
                <w:sz w:val="21"/>
                <w:szCs w:val="21"/>
                <w:highlight w:val="none"/>
              </w:rPr>
              <w:t>/%</w:t>
            </w:r>
          </w:p>
        </w:tc>
        <w:tc>
          <w:tcPr>
            <w:tcW w:w="4016" w:type="dxa"/>
            <w:tcBorders>
              <w:top w:val="single" w:color="auto" w:sz="4" w:space="0"/>
              <w:left w:val="nil"/>
              <w:bottom w:val="single" w:color="auto" w:sz="4" w:space="0"/>
              <w:right w:val="nil"/>
            </w:tcBorders>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0.000828 </w:t>
            </w:r>
          </w:p>
        </w:tc>
        <w:tc>
          <w:tcPr>
            <w:tcW w:w="4016" w:type="dxa"/>
            <w:tcBorders>
              <w:top w:val="single" w:color="auto" w:sz="4" w:space="0"/>
              <w:left w:val="nil"/>
              <w:bottom w:val="single" w:color="auto" w:sz="4" w:space="0"/>
              <w:right w:val="nil"/>
            </w:tcBorders>
            <w:vAlign w:val="center"/>
          </w:tcPr>
          <w:p>
            <w:pPr>
              <w:keepNext w:val="0"/>
              <w:keepLines w:val="0"/>
              <w:widowControl/>
              <w:suppressLineNumbers w:val="0"/>
              <w:jc w:val="center"/>
              <w:textAlignment w:val="center"/>
              <w:rPr>
                <w:rFonts w:hint="default" w:ascii="Times New Roman" w:hAnsi="Times New Roman" w:cs="Times New Roman"/>
                <w:color w:val="auto"/>
                <w:sz w:val="21"/>
                <w:szCs w:val="21"/>
                <w:highlight w:val="none"/>
              </w:rPr>
            </w:pPr>
            <w:r>
              <w:rPr>
                <w:rFonts w:hint="default" w:ascii="Times New Roman" w:hAnsi="Times New Roman" w:eastAsia="宋体" w:cs="Times New Roman"/>
                <w:i w:val="0"/>
                <w:iCs w:val="0"/>
                <w:color w:val="auto"/>
                <w:kern w:val="0"/>
                <w:sz w:val="21"/>
                <w:szCs w:val="21"/>
                <w:highlight w:val="none"/>
                <w:u w:val="none"/>
                <w:lang w:val="en-US" w:eastAsia="zh-CN" w:bidi="ar"/>
              </w:rPr>
              <w:t xml:space="preserve">0.000924 </w:t>
            </w:r>
          </w:p>
        </w:tc>
      </w:tr>
    </w:tbl>
    <w:p>
      <w:pPr>
        <w:snapToGrid w:val="0"/>
        <w:spacing w:line="360" w:lineRule="auto"/>
        <w:ind w:firstLine="420" w:firstLineChars="200"/>
        <w:rPr>
          <w:color w:val="auto"/>
          <w:szCs w:val="21"/>
          <w:highlight w:val="none"/>
        </w:rPr>
      </w:pPr>
    </w:p>
    <w:p>
      <w:pPr>
        <w:pStyle w:val="120"/>
        <w:tabs>
          <w:tab w:val="clear" w:pos="675"/>
        </w:tabs>
        <w:spacing w:before="156" w:beforeLines="50" w:after="156" w:afterLines="50" w:line="300" w:lineRule="auto"/>
        <w:ind w:left="0" w:firstLine="0"/>
        <w:rPr>
          <w:rFonts w:ascii="Times New Roman"/>
          <w:color w:val="auto"/>
          <w:szCs w:val="21"/>
          <w:highlight w:val="none"/>
        </w:rPr>
      </w:pPr>
      <w:r>
        <w:rPr>
          <w:rFonts w:ascii="Times New Roman"/>
          <w:color w:val="auto"/>
          <w:szCs w:val="21"/>
          <w:highlight w:val="none"/>
        </w:rPr>
        <w:t>2、</w:t>
      </w:r>
      <w:r>
        <w:rPr>
          <w:rFonts w:hint="eastAsia" w:ascii="Times New Roman"/>
          <w:color w:val="auto"/>
          <w:szCs w:val="21"/>
          <w:highlight w:val="none"/>
          <w:lang w:val="en-US" w:eastAsia="zh-CN"/>
        </w:rPr>
        <w:t>方法</w:t>
      </w:r>
      <w:r>
        <w:rPr>
          <w:rFonts w:ascii="Times New Roman"/>
          <w:color w:val="auto"/>
          <w:szCs w:val="21"/>
          <w:highlight w:val="none"/>
        </w:rPr>
        <w:t>碳、硫含量测定范围的确定</w:t>
      </w:r>
    </w:p>
    <w:p>
      <w:pPr>
        <w:spacing w:line="360" w:lineRule="auto"/>
        <w:ind w:firstLine="420" w:firstLineChars="200"/>
        <w:rPr>
          <w:rFonts w:hint="eastAsia"/>
          <w:color w:val="000000"/>
          <w:szCs w:val="21"/>
        </w:rPr>
      </w:pPr>
      <w:r>
        <w:rPr>
          <w:rFonts w:hint="eastAsia"/>
          <w:color w:val="000000"/>
          <w:szCs w:val="21"/>
        </w:rPr>
        <w:t>现行高纯镝的产品标准《</w:t>
      </w:r>
      <w:r>
        <w:rPr>
          <w:color w:val="000000"/>
          <w:szCs w:val="21"/>
        </w:rPr>
        <w:t>XB/T 30</w:t>
      </w:r>
      <w:r>
        <w:rPr>
          <w:rFonts w:hint="eastAsia"/>
          <w:color w:val="000000"/>
          <w:szCs w:val="21"/>
        </w:rPr>
        <w:t>1</w:t>
      </w:r>
      <w:r>
        <w:rPr>
          <w:color w:val="000000"/>
          <w:szCs w:val="21"/>
        </w:rPr>
        <w:t>-2019</w:t>
      </w:r>
      <w:r>
        <w:rPr>
          <w:rFonts w:hint="eastAsia"/>
          <w:color w:val="000000"/>
          <w:szCs w:val="21"/>
        </w:rPr>
        <w:t>》和高纯铽产品标准《</w:t>
      </w:r>
      <w:r>
        <w:rPr>
          <w:color w:val="000000"/>
          <w:szCs w:val="21"/>
        </w:rPr>
        <w:t>XB/T 302-2019</w:t>
      </w:r>
      <w:r>
        <w:rPr>
          <w:rFonts w:hint="eastAsia"/>
          <w:color w:val="000000"/>
          <w:szCs w:val="21"/>
        </w:rPr>
        <w:t>》</w:t>
      </w:r>
      <w:r>
        <w:rPr>
          <w:color w:val="000000"/>
          <w:szCs w:val="21"/>
        </w:rPr>
        <w:t>对</w:t>
      </w:r>
      <w:r>
        <w:rPr>
          <w:rFonts w:hint="eastAsia"/>
          <w:color w:val="000000"/>
          <w:szCs w:val="21"/>
        </w:rPr>
        <w:t>纯度为4N的镝和铽中气体元素的</w:t>
      </w:r>
      <w:r>
        <w:rPr>
          <w:color w:val="000000"/>
          <w:szCs w:val="21"/>
        </w:rPr>
        <w:t>含量</w:t>
      </w:r>
      <w:r>
        <w:rPr>
          <w:rFonts w:hint="eastAsia"/>
          <w:color w:val="000000"/>
          <w:szCs w:val="21"/>
        </w:rPr>
        <w:t>要求是碳、氧和氮之和小于0.01%。</w:t>
      </w:r>
    </w:p>
    <w:p>
      <w:pPr>
        <w:spacing w:line="360" w:lineRule="auto"/>
        <w:ind w:firstLine="420" w:firstLineChars="200"/>
        <w:rPr>
          <w:rFonts w:hint="eastAsia"/>
          <w:color w:val="000000"/>
          <w:szCs w:val="21"/>
        </w:rPr>
      </w:pPr>
      <w:r>
        <w:rPr>
          <w:rFonts w:hint="eastAsia"/>
          <w:color w:val="000000"/>
          <w:szCs w:val="21"/>
          <w:lang w:val="en-US" w:eastAsia="zh-CN"/>
        </w:rPr>
        <w:t>而现行的检测标准GB/T 12690.4-2003规定的测定范围：氧0.010</w:t>
      </w:r>
      <w:r>
        <w:rPr>
          <w:rFonts w:hint="eastAsia"/>
          <w:color w:val="000000"/>
          <w:szCs w:val="21"/>
        </w:rPr>
        <w:t>%</w:t>
      </w:r>
      <w:r>
        <w:rPr>
          <w:rFonts w:hint="eastAsia"/>
          <w:color w:val="000000"/>
          <w:szCs w:val="21"/>
          <w:lang w:val="en-US" w:eastAsia="zh-CN"/>
        </w:rPr>
        <w:t>-0.30%、氮</w:t>
      </w:r>
      <w:r>
        <w:rPr>
          <w:rFonts w:hint="eastAsia"/>
          <w:color w:val="000000"/>
          <w:szCs w:val="21"/>
        </w:rPr>
        <w:t>0.0020%～0.20%。</w:t>
      </w:r>
      <w:r>
        <w:rPr>
          <w:rFonts w:hint="eastAsia"/>
          <w:color w:val="000000"/>
          <w:szCs w:val="21"/>
          <w:lang w:val="en-US" w:eastAsia="zh-CN"/>
        </w:rPr>
        <w:t>：</w:t>
      </w:r>
      <w:r>
        <w:rPr>
          <w:rFonts w:hint="eastAsia"/>
          <w:color w:val="000000"/>
          <w:szCs w:val="21"/>
        </w:rPr>
        <w:t>氧 0.0050%～0.30%；氮 0.0020%～0.20%。</w:t>
      </w:r>
      <w:r>
        <w:rPr>
          <w:rFonts w:hint="eastAsia"/>
          <w:color w:val="000000"/>
          <w:szCs w:val="21"/>
          <w:lang w:val="en-US" w:eastAsia="zh-CN"/>
        </w:rPr>
        <w:t>目前修订中检测标准GB/T 12690.4-202X规定的测定范围：</w:t>
      </w:r>
      <w:r>
        <w:rPr>
          <w:rFonts w:hint="eastAsia"/>
          <w:color w:val="000000"/>
          <w:szCs w:val="21"/>
        </w:rPr>
        <w:t>氧 0.0050%～0.30%；氮 0.0020%～0.20%。</w:t>
      </w:r>
    </w:p>
    <w:p>
      <w:pPr>
        <w:spacing w:line="360" w:lineRule="auto"/>
        <w:ind w:firstLine="420" w:firstLineChars="200"/>
        <w:rPr>
          <w:color w:val="000000"/>
          <w:szCs w:val="21"/>
        </w:rPr>
      </w:pPr>
      <w:r>
        <w:rPr>
          <w:rFonts w:hint="eastAsia"/>
          <w:color w:val="000000"/>
          <w:szCs w:val="21"/>
        </w:rPr>
        <w:t>综合检测方法与市场及产品检测的需求，</w:t>
      </w:r>
      <w:r>
        <w:rPr>
          <w:color w:val="000000"/>
          <w:szCs w:val="21"/>
        </w:rPr>
        <w:t>修订后</w:t>
      </w:r>
      <w:r>
        <w:rPr>
          <w:rFonts w:hint="eastAsia"/>
          <w:color w:val="000000"/>
          <w:szCs w:val="21"/>
        </w:rPr>
        <w:t>碳、硫</w:t>
      </w:r>
      <w:r>
        <w:rPr>
          <w:color w:val="000000"/>
          <w:szCs w:val="21"/>
        </w:rPr>
        <w:t>的测定范围由原来的0.005%～1.0</w:t>
      </w:r>
      <w:r>
        <w:rPr>
          <w:rFonts w:hint="eastAsia"/>
          <w:color w:val="000000"/>
          <w:szCs w:val="21"/>
        </w:rPr>
        <w:t>0</w:t>
      </w:r>
      <w:r>
        <w:rPr>
          <w:color w:val="000000"/>
          <w:szCs w:val="21"/>
        </w:rPr>
        <w:t>%</w:t>
      </w:r>
      <w:r>
        <w:rPr>
          <w:rFonts w:hint="eastAsia"/>
          <w:color w:val="000000"/>
          <w:szCs w:val="21"/>
        </w:rPr>
        <w:t>，</w:t>
      </w:r>
      <w:r>
        <w:rPr>
          <w:color w:val="000000"/>
          <w:szCs w:val="21"/>
        </w:rPr>
        <w:t>变更为0.0020%~1.0</w:t>
      </w:r>
      <w:r>
        <w:rPr>
          <w:rFonts w:hint="eastAsia"/>
          <w:color w:val="000000"/>
          <w:szCs w:val="21"/>
        </w:rPr>
        <w:t>0</w:t>
      </w:r>
      <w:r>
        <w:rPr>
          <w:color w:val="000000"/>
          <w:szCs w:val="21"/>
        </w:rPr>
        <w:t>%</w:t>
      </w:r>
      <w:r>
        <w:rPr>
          <w:rFonts w:hint="eastAsia"/>
          <w:color w:val="000000"/>
          <w:szCs w:val="21"/>
        </w:rPr>
        <w:t>。</w:t>
      </w:r>
    </w:p>
    <w:p>
      <w:pPr>
        <w:pStyle w:val="120"/>
        <w:tabs>
          <w:tab w:val="clear" w:pos="675"/>
        </w:tabs>
        <w:spacing w:before="156" w:beforeLines="50" w:after="156" w:afterLines="50" w:line="300" w:lineRule="auto"/>
        <w:ind w:left="0" w:firstLine="0"/>
        <w:rPr>
          <w:rFonts w:ascii="Times New Roman"/>
          <w:szCs w:val="21"/>
        </w:rPr>
      </w:pPr>
      <w:r>
        <w:rPr>
          <w:rFonts w:hint="eastAsia" w:ascii="Times New Roman"/>
          <w:szCs w:val="21"/>
          <w:lang w:val="en-US" w:eastAsia="zh-CN"/>
        </w:rPr>
        <w:t>3</w:t>
      </w:r>
      <w:r>
        <w:rPr>
          <w:rFonts w:ascii="Times New Roman"/>
          <w:szCs w:val="21"/>
        </w:rPr>
        <w:t>、主要内容确定依据</w:t>
      </w:r>
    </w:p>
    <w:p>
      <w:pPr>
        <w:spacing w:line="360" w:lineRule="auto"/>
        <w:ind w:right="420"/>
        <w:rPr>
          <w:b/>
          <w:color w:val="000000"/>
          <w:szCs w:val="21"/>
        </w:rPr>
      </w:pPr>
      <w:r>
        <w:rPr>
          <w:rFonts w:hint="eastAsia"/>
          <w:b/>
          <w:color w:val="000000"/>
          <w:szCs w:val="21"/>
          <w:lang w:val="en-US" w:eastAsia="zh-CN"/>
        </w:rPr>
        <w:t>3</w:t>
      </w:r>
      <w:r>
        <w:rPr>
          <w:b/>
          <w:color w:val="000000"/>
          <w:szCs w:val="21"/>
        </w:rPr>
        <w:t>.1  称样量的确定</w:t>
      </w:r>
    </w:p>
    <w:p>
      <w:pPr>
        <w:spacing w:line="360" w:lineRule="auto"/>
        <w:ind w:firstLine="420" w:firstLineChars="200"/>
        <w:rPr>
          <w:rFonts w:eastAsia="黑体"/>
          <w:color w:val="000000"/>
          <w:szCs w:val="21"/>
        </w:rPr>
      </w:pPr>
      <w:r>
        <w:rPr>
          <w:color w:val="000000"/>
          <w:szCs w:val="21"/>
        </w:rPr>
        <w:t>在称样量为0.05～0.40 g范围内进行称样量试验，分别对碳、硫含量平行测定</w:t>
      </w:r>
      <w:r>
        <w:rPr>
          <w:rFonts w:hint="eastAsia"/>
          <w:color w:val="000000"/>
          <w:szCs w:val="21"/>
        </w:rPr>
        <w:t>5</w:t>
      </w:r>
      <w:r>
        <w:rPr>
          <w:color w:val="000000"/>
          <w:szCs w:val="21"/>
        </w:rPr>
        <w:t>次，结果见表1。由表1可见，当称样量小于0.15 g时，碳、硫的相对标准偏差较大，说明结果受空白影响显著，影响测定结果的稳定性。当称样量大于0.30 g时，碳的释放曲线易出现多峰，且峰型较差；称样量为0.15～0.25 g时，释放曲线为单峰，且对称性好，测定结果稳定。考虑到随着称样量增加，灰尘增多，需要增加炉子清扫次数而且称样量过少会影响测定结果的准确性，因此实验选择称样量为0.15～0.25 g。</w:t>
      </w:r>
    </w:p>
    <w:p>
      <w:pPr>
        <w:jc w:val="center"/>
        <w:rPr>
          <w:color w:val="000000"/>
          <w:sz w:val="18"/>
          <w:szCs w:val="18"/>
        </w:rPr>
      </w:pPr>
    </w:p>
    <w:p>
      <w:pPr>
        <w:jc w:val="center"/>
        <w:rPr>
          <w:color w:val="000000"/>
          <w:sz w:val="18"/>
          <w:szCs w:val="18"/>
        </w:rPr>
      </w:pPr>
      <w:r>
        <w:rPr>
          <w:color w:val="000000"/>
          <w:sz w:val="18"/>
          <w:szCs w:val="18"/>
        </w:rPr>
        <w:t>表1称样量的选择</w:t>
      </w:r>
    </w:p>
    <w:tbl>
      <w:tblPr>
        <w:tblStyle w:val="88"/>
        <w:tblpPr w:leftFromText="180" w:rightFromText="180" w:vertAnchor="text" w:horzAnchor="page" w:tblpX="1112" w:tblpY="214"/>
        <w:tblOverlap w:val="never"/>
        <w:tblW w:w="5000" w:type="pct"/>
        <w:tblInd w:w="0" w:type="dxa"/>
        <w:tblLayout w:type="autofit"/>
        <w:tblCellMar>
          <w:top w:w="0" w:type="dxa"/>
          <w:left w:w="108" w:type="dxa"/>
          <w:bottom w:w="0" w:type="dxa"/>
          <w:right w:w="108" w:type="dxa"/>
        </w:tblCellMar>
      </w:tblPr>
      <w:tblGrid>
        <w:gridCol w:w="2313"/>
        <w:gridCol w:w="1149"/>
        <w:gridCol w:w="1722"/>
        <w:gridCol w:w="2104"/>
        <w:gridCol w:w="2680"/>
      </w:tblGrid>
      <w:tr>
        <w:tblPrEx>
          <w:tblCellMar>
            <w:top w:w="0" w:type="dxa"/>
            <w:left w:w="108" w:type="dxa"/>
            <w:bottom w:w="0" w:type="dxa"/>
            <w:right w:w="108" w:type="dxa"/>
          </w:tblCellMar>
        </w:tblPrEx>
        <w:trPr>
          <w:trHeight w:val="340" w:hRule="atLeast"/>
        </w:trPr>
        <w:tc>
          <w:tcPr>
            <w:tcW w:w="2313" w:type="dxa"/>
            <w:tcBorders>
              <w:top w:val="single" w:color="auto" w:sz="4" w:space="0"/>
              <w:left w:val="nil"/>
              <w:bottom w:val="single" w:color="auto" w:sz="4" w:space="0"/>
            </w:tcBorders>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称样量</w:t>
            </w:r>
          </w:p>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xml:space="preserve"> </w:t>
            </w:r>
            <w:r>
              <w:rPr>
                <w:rFonts w:hint="default" w:ascii="Times New Roman" w:hAnsi="Times New Roman" w:cs="Times New Roman"/>
                <w:i/>
                <w:color w:val="000000"/>
                <w:sz w:val="21"/>
                <w:szCs w:val="21"/>
              </w:rPr>
              <w:t>m</w:t>
            </w:r>
            <w:r>
              <w:rPr>
                <w:rFonts w:hint="default" w:ascii="Times New Roman" w:hAnsi="Times New Roman" w:cs="Times New Roman"/>
                <w:color w:val="000000"/>
                <w:sz w:val="21"/>
                <w:szCs w:val="21"/>
              </w:rPr>
              <w:t>/g</w:t>
            </w:r>
          </w:p>
        </w:tc>
        <w:tc>
          <w:tcPr>
            <w:tcW w:w="1149" w:type="dxa"/>
            <w:tcBorders>
              <w:top w:val="single" w:color="auto" w:sz="4" w:space="0"/>
              <w:left w:val="nil"/>
              <w:bottom w:val="single" w:color="auto" w:sz="4" w:space="0"/>
              <w:right w:val="nil"/>
            </w:tcBorders>
          </w:tcPr>
          <w:p>
            <w:pPr>
              <w:ind w:left="-218" w:leftChars="-104" w:firstLine="348" w:firstLineChars="166"/>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元素</w:t>
            </w:r>
          </w:p>
        </w:tc>
        <w:tc>
          <w:tcPr>
            <w:tcW w:w="1722" w:type="dxa"/>
            <w:tcBorders>
              <w:top w:val="single" w:color="auto" w:sz="4" w:space="0"/>
              <w:left w:val="nil"/>
              <w:bottom w:val="single" w:color="auto" w:sz="4" w:space="0"/>
            </w:tcBorders>
          </w:tcPr>
          <w:p>
            <w:pPr>
              <w:ind w:left="-218" w:leftChars="-104" w:firstLine="348" w:firstLineChars="166"/>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平均值</w:t>
            </w:r>
          </w:p>
          <w:p>
            <w:pPr>
              <w:ind w:left="-218" w:leftChars="-104" w:firstLine="348" w:firstLineChars="166"/>
              <w:jc w:val="center"/>
              <w:rPr>
                <w:rFonts w:hint="default" w:ascii="Times New Roman" w:hAnsi="Times New Roman" w:cs="Times New Roman"/>
                <w:color w:val="000000"/>
                <w:sz w:val="21"/>
                <w:szCs w:val="21"/>
              </w:rPr>
            </w:pPr>
            <w:r>
              <w:rPr>
                <w:rFonts w:hint="default" w:ascii="Times New Roman" w:hAnsi="Times New Roman" w:cs="Times New Roman"/>
                <w:i/>
                <w:color w:val="000000"/>
                <w:sz w:val="21"/>
                <w:szCs w:val="21"/>
              </w:rPr>
              <w:t>w</w:t>
            </w:r>
            <w:r>
              <w:rPr>
                <w:rFonts w:hint="default" w:ascii="Times New Roman" w:hAnsi="Times New Roman" w:cs="Times New Roman"/>
                <w:color w:val="000000"/>
                <w:sz w:val="21"/>
                <w:szCs w:val="21"/>
              </w:rPr>
              <w:t>/%</w:t>
            </w:r>
          </w:p>
        </w:tc>
        <w:tc>
          <w:tcPr>
            <w:tcW w:w="2104" w:type="dxa"/>
            <w:tcBorders>
              <w:top w:val="single" w:color="auto" w:sz="4" w:space="0"/>
              <w:bottom w:val="single" w:color="auto" w:sz="4" w:space="0"/>
            </w:tcBorders>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相对标准偏差</w:t>
            </w:r>
          </w:p>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RSD/%</w:t>
            </w:r>
          </w:p>
        </w:tc>
        <w:tc>
          <w:tcPr>
            <w:tcW w:w="2680" w:type="dxa"/>
            <w:tcBorders>
              <w:top w:val="single" w:color="auto" w:sz="4" w:space="0"/>
              <w:bottom w:val="single" w:color="auto" w:sz="4" w:space="0"/>
            </w:tcBorders>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释放曲线</w:t>
            </w:r>
            <w:r>
              <w:rPr>
                <w:rFonts w:hint="default" w:ascii="Times New Roman" w:hAnsi="Times New Roman" w:cs="Times New Roman"/>
                <w:color w:val="000000"/>
                <w:sz w:val="21"/>
                <w:szCs w:val="21"/>
              </w:rPr>
              <w:br w:type="textWrapping"/>
            </w:r>
            <w:r>
              <w:rPr>
                <w:rFonts w:hint="default" w:ascii="Times New Roman" w:hAnsi="Times New Roman" w:cs="Times New Roman"/>
                <w:color w:val="000000"/>
                <w:sz w:val="21"/>
                <w:szCs w:val="21"/>
              </w:rPr>
              <w:t xml:space="preserve"> </w:t>
            </w:r>
          </w:p>
        </w:tc>
      </w:tr>
      <w:tr>
        <w:tblPrEx>
          <w:tblCellMar>
            <w:top w:w="0" w:type="dxa"/>
            <w:left w:w="108" w:type="dxa"/>
            <w:bottom w:w="0" w:type="dxa"/>
            <w:right w:w="108" w:type="dxa"/>
          </w:tblCellMar>
        </w:tblPrEx>
        <w:trPr>
          <w:trHeight w:val="340" w:hRule="atLeast"/>
        </w:trPr>
        <w:tc>
          <w:tcPr>
            <w:tcW w:w="2313" w:type="dxa"/>
            <w:vMerge w:val="restart"/>
            <w:tcBorders>
              <w:top w:val="single" w:color="auto"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0.05</w:t>
            </w:r>
          </w:p>
        </w:tc>
        <w:tc>
          <w:tcPr>
            <w:tcW w:w="1149" w:type="dxa"/>
            <w:tcBorders>
              <w:top w:val="single" w:color="auto" w:sz="4" w:space="0"/>
            </w:tcBorders>
          </w:tcPr>
          <w:p>
            <w:pPr>
              <w:ind w:left="-218" w:leftChars="-104" w:firstLine="348" w:firstLineChars="166"/>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C</w:t>
            </w:r>
          </w:p>
        </w:tc>
        <w:tc>
          <w:tcPr>
            <w:tcW w:w="1722" w:type="dxa"/>
            <w:tcBorders>
              <w:top w:val="single" w:color="auto" w:sz="4" w:space="0"/>
            </w:tcBorders>
          </w:tcPr>
          <w:p>
            <w:pPr>
              <w:ind w:left="-218" w:leftChars="-104" w:firstLine="348" w:firstLineChars="166"/>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0.364</w:t>
            </w:r>
          </w:p>
        </w:tc>
        <w:tc>
          <w:tcPr>
            <w:tcW w:w="2104" w:type="dxa"/>
            <w:tcBorders>
              <w:top w:val="single" w:color="auto" w:sz="4" w:space="0"/>
            </w:tcBorders>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7.8</w:t>
            </w:r>
          </w:p>
        </w:tc>
        <w:tc>
          <w:tcPr>
            <w:tcW w:w="2680" w:type="dxa"/>
            <w:vMerge w:val="restart"/>
            <w:tcBorders>
              <w:top w:val="single" w:color="auto"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单峰、不对称</w:t>
            </w:r>
          </w:p>
        </w:tc>
      </w:tr>
      <w:tr>
        <w:tblPrEx>
          <w:tblCellMar>
            <w:top w:w="0" w:type="dxa"/>
            <w:left w:w="108" w:type="dxa"/>
            <w:bottom w:w="0" w:type="dxa"/>
            <w:right w:w="108" w:type="dxa"/>
          </w:tblCellMar>
        </w:tblPrEx>
        <w:trPr>
          <w:trHeight w:val="340" w:hRule="atLeast"/>
        </w:trPr>
        <w:tc>
          <w:tcPr>
            <w:tcW w:w="2313" w:type="dxa"/>
            <w:vMerge w:val="continue"/>
            <w:vAlign w:val="center"/>
          </w:tcPr>
          <w:p>
            <w:pPr>
              <w:jc w:val="center"/>
              <w:rPr>
                <w:rFonts w:hint="default" w:ascii="Times New Roman" w:hAnsi="Times New Roman" w:cs="Times New Roman"/>
                <w:color w:val="000000"/>
                <w:sz w:val="21"/>
                <w:szCs w:val="21"/>
              </w:rPr>
            </w:pPr>
          </w:p>
        </w:tc>
        <w:tc>
          <w:tcPr>
            <w:tcW w:w="1149" w:type="dxa"/>
          </w:tcPr>
          <w:p>
            <w:pPr>
              <w:ind w:left="-218" w:leftChars="-104" w:firstLine="348" w:firstLineChars="166"/>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S</w:t>
            </w:r>
          </w:p>
        </w:tc>
        <w:tc>
          <w:tcPr>
            <w:tcW w:w="1722" w:type="dxa"/>
          </w:tcPr>
          <w:p>
            <w:pPr>
              <w:ind w:left="-218" w:leftChars="-104" w:firstLine="348" w:firstLineChars="166"/>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0.0152</w:t>
            </w:r>
          </w:p>
        </w:tc>
        <w:tc>
          <w:tcPr>
            <w:tcW w:w="2104" w:type="dxa"/>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8.5</w:t>
            </w:r>
          </w:p>
        </w:tc>
        <w:tc>
          <w:tcPr>
            <w:tcW w:w="2680" w:type="dxa"/>
            <w:vMerge w:val="continue"/>
            <w:vAlign w:val="center"/>
          </w:tcPr>
          <w:p>
            <w:pPr>
              <w:jc w:val="center"/>
              <w:rPr>
                <w:rFonts w:hint="default" w:ascii="Times New Roman" w:hAnsi="Times New Roman" w:cs="Times New Roman"/>
                <w:color w:val="000000"/>
                <w:sz w:val="21"/>
                <w:szCs w:val="21"/>
              </w:rPr>
            </w:pPr>
          </w:p>
        </w:tc>
      </w:tr>
      <w:tr>
        <w:tblPrEx>
          <w:tblCellMar>
            <w:top w:w="0" w:type="dxa"/>
            <w:left w:w="108" w:type="dxa"/>
            <w:bottom w:w="0" w:type="dxa"/>
            <w:right w:w="108" w:type="dxa"/>
          </w:tblCellMar>
        </w:tblPrEx>
        <w:trPr>
          <w:trHeight w:val="340" w:hRule="atLeast"/>
        </w:trPr>
        <w:tc>
          <w:tcPr>
            <w:tcW w:w="2313" w:type="dxa"/>
            <w:vMerge w:val="restart"/>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0.10</w:t>
            </w:r>
          </w:p>
        </w:tc>
        <w:tc>
          <w:tcPr>
            <w:tcW w:w="1149" w:type="dxa"/>
          </w:tcPr>
          <w:p>
            <w:pPr>
              <w:ind w:left="-218" w:leftChars="-104" w:firstLine="348" w:firstLineChars="166"/>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C</w:t>
            </w:r>
          </w:p>
        </w:tc>
        <w:tc>
          <w:tcPr>
            <w:tcW w:w="1722" w:type="dxa"/>
          </w:tcPr>
          <w:p>
            <w:pPr>
              <w:ind w:left="-218" w:leftChars="-104" w:firstLine="348" w:firstLineChars="166"/>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0.365</w:t>
            </w:r>
          </w:p>
        </w:tc>
        <w:tc>
          <w:tcPr>
            <w:tcW w:w="2104" w:type="dxa"/>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6.9</w:t>
            </w:r>
          </w:p>
        </w:tc>
        <w:tc>
          <w:tcPr>
            <w:tcW w:w="2680" w:type="dxa"/>
            <w:vMerge w:val="restart"/>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单峰、不对称</w:t>
            </w:r>
          </w:p>
        </w:tc>
      </w:tr>
      <w:tr>
        <w:tblPrEx>
          <w:tblCellMar>
            <w:top w:w="0" w:type="dxa"/>
            <w:left w:w="108" w:type="dxa"/>
            <w:bottom w:w="0" w:type="dxa"/>
            <w:right w:w="108" w:type="dxa"/>
          </w:tblCellMar>
        </w:tblPrEx>
        <w:trPr>
          <w:trHeight w:val="340" w:hRule="atLeast"/>
        </w:trPr>
        <w:tc>
          <w:tcPr>
            <w:tcW w:w="2313" w:type="dxa"/>
            <w:vMerge w:val="continue"/>
            <w:vAlign w:val="center"/>
          </w:tcPr>
          <w:p>
            <w:pPr>
              <w:jc w:val="center"/>
              <w:rPr>
                <w:rFonts w:hint="default" w:ascii="Times New Roman" w:hAnsi="Times New Roman" w:cs="Times New Roman"/>
                <w:color w:val="000000"/>
                <w:sz w:val="21"/>
                <w:szCs w:val="21"/>
              </w:rPr>
            </w:pPr>
          </w:p>
        </w:tc>
        <w:tc>
          <w:tcPr>
            <w:tcW w:w="1149" w:type="dxa"/>
          </w:tcPr>
          <w:p>
            <w:pPr>
              <w:ind w:left="-218" w:leftChars="-104" w:firstLine="348" w:firstLineChars="166"/>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S</w:t>
            </w:r>
          </w:p>
        </w:tc>
        <w:tc>
          <w:tcPr>
            <w:tcW w:w="1722" w:type="dxa"/>
          </w:tcPr>
          <w:p>
            <w:pPr>
              <w:ind w:left="-218" w:leftChars="-104" w:firstLine="348" w:firstLineChars="166"/>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0.0156</w:t>
            </w:r>
          </w:p>
        </w:tc>
        <w:tc>
          <w:tcPr>
            <w:tcW w:w="2104" w:type="dxa"/>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7.3</w:t>
            </w:r>
          </w:p>
        </w:tc>
        <w:tc>
          <w:tcPr>
            <w:tcW w:w="2680" w:type="dxa"/>
            <w:vMerge w:val="continue"/>
            <w:vAlign w:val="center"/>
          </w:tcPr>
          <w:p>
            <w:pPr>
              <w:jc w:val="center"/>
              <w:rPr>
                <w:rFonts w:hint="default" w:ascii="Times New Roman" w:hAnsi="Times New Roman" w:cs="Times New Roman"/>
                <w:color w:val="000000"/>
                <w:sz w:val="21"/>
                <w:szCs w:val="21"/>
              </w:rPr>
            </w:pPr>
          </w:p>
        </w:tc>
      </w:tr>
      <w:tr>
        <w:tblPrEx>
          <w:tblCellMar>
            <w:top w:w="0" w:type="dxa"/>
            <w:left w:w="108" w:type="dxa"/>
            <w:bottom w:w="0" w:type="dxa"/>
            <w:right w:w="108" w:type="dxa"/>
          </w:tblCellMar>
        </w:tblPrEx>
        <w:trPr>
          <w:trHeight w:val="340" w:hRule="atLeast"/>
        </w:trPr>
        <w:tc>
          <w:tcPr>
            <w:tcW w:w="2313" w:type="dxa"/>
            <w:vMerge w:val="restart"/>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0.15</w:t>
            </w:r>
          </w:p>
        </w:tc>
        <w:tc>
          <w:tcPr>
            <w:tcW w:w="1149" w:type="dxa"/>
          </w:tcPr>
          <w:p>
            <w:pPr>
              <w:ind w:left="-218" w:leftChars="-104" w:firstLine="348" w:firstLineChars="166"/>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C</w:t>
            </w:r>
          </w:p>
        </w:tc>
        <w:tc>
          <w:tcPr>
            <w:tcW w:w="1722" w:type="dxa"/>
          </w:tcPr>
          <w:p>
            <w:pPr>
              <w:ind w:left="-218" w:leftChars="-104" w:firstLine="348" w:firstLineChars="166"/>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0.381</w:t>
            </w:r>
          </w:p>
        </w:tc>
        <w:tc>
          <w:tcPr>
            <w:tcW w:w="2104" w:type="dxa"/>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1.9</w:t>
            </w:r>
          </w:p>
        </w:tc>
        <w:tc>
          <w:tcPr>
            <w:tcW w:w="2680" w:type="dxa"/>
            <w:vMerge w:val="restart"/>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单峰、对称性好</w:t>
            </w:r>
          </w:p>
        </w:tc>
      </w:tr>
      <w:tr>
        <w:tblPrEx>
          <w:tblCellMar>
            <w:top w:w="0" w:type="dxa"/>
            <w:left w:w="108" w:type="dxa"/>
            <w:bottom w:w="0" w:type="dxa"/>
            <w:right w:w="108" w:type="dxa"/>
          </w:tblCellMar>
        </w:tblPrEx>
        <w:trPr>
          <w:trHeight w:val="340" w:hRule="atLeast"/>
        </w:trPr>
        <w:tc>
          <w:tcPr>
            <w:tcW w:w="2313" w:type="dxa"/>
            <w:vMerge w:val="continue"/>
            <w:vAlign w:val="center"/>
          </w:tcPr>
          <w:p>
            <w:pPr>
              <w:jc w:val="center"/>
              <w:rPr>
                <w:rFonts w:hint="default" w:ascii="Times New Roman" w:hAnsi="Times New Roman" w:cs="Times New Roman"/>
                <w:color w:val="000000"/>
                <w:sz w:val="21"/>
                <w:szCs w:val="21"/>
              </w:rPr>
            </w:pPr>
          </w:p>
        </w:tc>
        <w:tc>
          <w:tcPr>
            <w:tcW w:w="1149" w:type="dxa"/>
          </w:tcPr>
          <w:p>
            <w:pPr>
              <w:ind w:left="-218" w:leftChars="-104" w:firstLine="348" w:firstLineChars="166"/>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S</w:t>
            </w:r>
          </w:p>
        </w:tc>
        <w:tc>
          <w:tcPr>
            <w:tcW w:w="1722" w:type="dxa"/>
          </w:tcPr>
          <w:p>
            <w:pPr>
              <w:ind w:left="-218" w:leftChars="-104" w:firstLine="348" w:firstLineChars="166"/>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0.0162</w:t>
            </w:r>
          </w:p>
        </w:tc>
        <w:tc>
          <w:tcPr>
            <w:tcW w:w="2104" w:type="dxa"/>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2.2</w:t>
            </w:r>
          </w:p>
        </w:tc>
        <w:tc>
          <w:tcPr>
            <w:tcW w:w="2680" w:type="dxa"/>
            <w:vMerge w:val="continue"/>
            <w:vAlign w:val="center"/>
          </w:tcPr>
          <w:p>
            <w:pPr>
              <w:jc w:val="center"/>
              <w:rPr>
                <w:rFonts w:hint="default" w:ascii="Times New Roman" w:hAnsi="Times New Roman" w:cs="Times New Roman"/>
                <w:color w:val="000000"/>
                <w:sz w:val="21"/>
                <w:szCs w:val="21"/>
              </w:rPr>
            </w:pPr>
          </w:p>
        </w:tc>
      </w:tr>
      <w:tr>
        <w:tblPrEx>
          <w:tblCellMar>
            <w:top w:w="0" w:type="dxa"/>
            <w:left w:w="108" w:type="dxa"/>
            <w:bottom w:w="0" w:type="dxa"/>
            <w:right w:w="108" w:type="dxa"/>
          </w:tblCellMar>
        </w:tblPrEx>
        <w:trPr>
          <w:trHeight w:val="340" w:hRule="atLeast"/>
        </w:trPr>
        <w:tc>
          <w:tcPr>
            <w:tcW w:w="2313" w:type="dxa"/>
            <w:vMerge w:val="restart"/>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0.20</w:t>
            </w:r>
          </w:p>
        </w:tc>
        <w:tc>
          <w:tcPr>
            <w:tcW w:w="1149" w:type="dxa"/>
          </w:tcPr>
          <w:p>
            <w:pPr>
              <w:ind w:left="-218" w:leftChars="-104" w:firstLine="348" w:firstLineChars="166"/>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C</w:t>
            </w:r>
          </w:p>
        </w:tc>
        <w:tc>
          <w:tcPr>
            <w:tcW w:w="1722" w:type="dxa"/>
          </w:tcPr>
          <w:p>
            <w:pPr>
              <w:ind w:left="-218" w:leftChars="-104" w:firstLine="348" w:firstLineChars="166"/>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0.382</w:t>
            </w:r>
          </w:p>
        </w:tc>
        <w:tc>
          <w:tcPr>
            <w:tcW w:w="2104" w:type="dxa"/>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1.5</w:t>
            </w:r>
          </w:p>
        </w:tc>
        <w:tc>
          <w:tcPr>
            <w:tcW w:w="2680" w:type="dxa"/>
            <w:vMerge w:val="restart"/>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单峰、对称性好</w:t>
            </w:r>
          </w:p>
        </w:tc>
      </w:tr>
      <w:tr>
        <w:tblPrEx>
          <w:tblCellMar>
            <w:top w:w="0" w:type="dxa"/>
            <w:left w:w="108" w:type="dxa"/>
            <w:bottom w:w="0" w:type="dxa"/>
            <w:right w:w="108" w:type="dxa"/>
          </w:tblCellMar>
        </w:tblPrEx>
        <w:trPr>
          <w:trHeight w:val="340" w:hRule="atLeast"/>
        </w:trPr>
        <w:tc>
          <w:tcPr>
            <w:tcW w:w="2313" w:type="dxa"/>
            <w:vMerge w:val="continue"/>
            <w:vAlign w:val="center"/>
          </w:tcPr>
          <w:p>
            <w:pPr>
              <w:jc w:val="center"/>
              <w:rPr>
                <w:rFonts w:hint="default" w:ascii="Times New Roman" w:hAnsi="Times New Roman" w:cs="Times New Roman"/>
                <w:color w:val="000000"/>
                <w:sz w:val="21"/>
                <w:szCs w:val="21"/>
              </w:rPr>
            </w:pPr>
          </w:p>
        </w:tc>
        <w:tc>
          <w:tcPr>
            <w:tcW w:w="1149" w:type="dxa"/>
          </w:tcPr>
          <w:p>
            <w:pPr>
              <w:ind w:left="-218" w:leftChars="-104" w:firstLine="348" w:firstLineChars="166"/>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S</w:t>
            </w:r>
          </w:p>
        </w:tc>
        <w:tc>
          <w:tcPr>
            <w:tcW w:w="1722" w:type="dxa"/>
          </w:tcPr>
          <w:p>
            <w:pPr>
              <w:ind w:left="-218" w:leftChars="-104" w:firstLine="348" w:firstLineChars="166"/>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0.0164</w:t>
            </w:r>
          </w:p>
        </w:tc>
        <w:tc>
          <w:tcPr>
            <w:tcW w:w="2104" w:type="dxa"/>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w:t>
            </w:r>
          </w:p>
        </w:tc>
        <w:tc>
          <w:tcPr>
            <w:tcW w:w="2680" w:type="dxa"/>
            <w:vMerge w:val="continue"/>
            <w:vAlign w:val="center"/>
          </w:tcPr>
          <w:p>
            <w:pPr>
              <w:jc w:val="center"/>
              <w:rPr>
                <w:rFonts w:hint="default" w:ascii="Times New Roman" w:hAnsi="Times New Roman" w:cs="Times New Roman"/>
                <w:color w:val="000000"/>
                <w:sz w:val="21"/>
                <w:szCs w:val="21"/>
              </w:rPr>
            </w:pPr>
          </w:p>
        </w:tc>
      </w:tr>
      <w:tr>
        <w:tblPrEx>
          <w:tblCellMar>
            <w:top w:w="0" w:type="dxa"/>
            <w:left w:w="108" w:type="dxa"/>
            <w:bottom w:w="0" w:type="dxa"/>
            <w:right w:w="108" w:type="dxa"/>
          </w:tblCellMar>
        </w:tblPrEx>
        <w:trPr>
          <w:trHeight w:val="340" w:hRule="atLeast"/>
        </w:trPr>
        <w:tc>
          <w:tcPr>
            <w:tcW w:w="2313" w:type="dxa"/>
            <w:vMerge w:val="restart"/>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0.25</w:t>
            </w:r>
          </w:p>
        </w:tc>
        <w:tc>
          <w:tcPr>
            <w:tcW w:w="1149" w:type="dxa"/>
          </w:tcPr>
          <w:p>
            <w:pPr>
              <w:ind w:left="-218" w:leftChars="-104" w:firstLine="348" w:firstLineChars="166"/>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C</w:t>
            </w:r>
          </w:p>
        </w:tc>
        <w:tc>
          <w:tcPr>
            <w:tcW w:w="1722" w:type="dxa"/>
          </w:tcPr>
          <w:p>
            <w:pPr>
              <w:ind w:left="-218" w:leftChars="-104" w:firstLine="348" w:firstLineChars="166"/>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0.379</w:t>
            </w:r>
          </w:p>
        </w:tc>
        <w:tc>
          <w:tcPr>
            <w:tcW w:w="2104" w:type="dxa"/>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1.7</w:t>
            </w:r>
          </w:p>
        </w:tc>
        <w:tc>
          <w:tcPr>
            <w:tcW w:w="2680" w:type="dxa"/>
            <w:vMerge w:val="restart"/>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单峰、对称性好</w:t>
            </w:r>
          </w:p>
        </w:tc>
      </w:tr>
      <w:tr>
        <w:tblPrEx>
          <w:tblCellMar>
            <w:top w:w="0" w:type="dxa"/>
            <w:left w:w="108" w:type="dxa"/>
            <w:bottom w:w="0" w:type="dxa"/>
            <w:right w:w="108" w:type="dxa"/>
          </w:tblCellMar>
        </w:tblPrEx>
        <w:trPr>
          <w:trHeight w:val="340" w:hRule="atLeast"/>
        </w:trPr>
        <w:tc>
          <w:tcPr>
            <w:tcW w:w="2313" w:type="dxa"/>
            <w:vMerge w:val="continue"/>
          </w:tcPr>
          <w:p>
            <w:pPr>
              <w:jc w:val="center"/>
              <w:rPr>
                <w:rFonts w:hint="default" w:ascii="Times New Roman" w:hAnsi="Times New Roman" w:cs="Times New Roman"/>
                <w:color w:val="000000"/>
                <w:sz w:val="21"/>
                <w:szCs w:val="21"/>
              </w:rPr>
            </w:pPr>
          </w:p>
        </w:tc>
        <w:tc>
          <w:tcPr>
            <w:tcW w:w="1149" w:type="dxa"/>
          </w:tcPr>
          <w:p>
            <w:pPr>
              <w:ind w:left="-218" w:leftChars="-104" w:firstLine="348" w:firstLineChars="166"/>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S</w:t>
            </w:r>
          </w:p>
        </w:tc>
        <w:tc>
          <w:tcPr>
            <w:tcW w:w="1722" w:type="dxa"/>
          </w:tcPr>
          <w:p>
            <w:pPr>
              <w:ind w:left="-218" w:leftChars="-104" w:firstLine="348" w:firstLineChars="166"/>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0.0167</w:t>
            </w:r>
          </w:p>
        </w:tc>
        <w:tc>
          <w:tcPr>
            <w:tcW w:w="2104" w:type="dxa"/>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2.3</w:t>
            </w:r>
          </w:p>
        </w:tc>
        <w:tc>
          <w:tcPr>
            <w:tcW w:w="2680" w:type="dxa"/>
            <w:vMerge w:val="continue"/>
            <w:vAlign w:val="center"/>
          </w:tcPr>
          <w:p>
            <w:pPr>
              <w:jc w:val="center"/>
              <w:rPr>
                <w:rFonts w:hint="default" w:ascii="Times New Roman" w:hAnsi="Times New Roman" w:cs="Times New Roman"/>
                <w:color w:val="000000"/>
                <w:sz w:val="21"/>
                <w:szCs w:val="21"/>
              </w:rPr>
            </w:pPr>
          </w:p>
        </w:tc>
      </w:tr>
      <w:tr>
        <w:tblPrEx>
          <w:tblCellMar>
            <w:top w:w="0" w:type="dxa"/>
            <w:left w:w="108" w:type="dxa"/>
            <w:bottom w:w="0" w:type="dxa"/>
            <w:right w:w="108" w:type="dxa"/>
          </w:tblCellMar>
        </w:tblPrEx>
        <w:trPr>
          <w:trHeight w:val="340" w:hRule="atLeast"/>
        </w:trPr>
        <w:tc>
          <w:tcPr>
            <w:tcW w:w="2313" w:type="dxa"/>
            <w:vMerge w:val="restart"/>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0.30</w:t>
            </w:r>
          </w:p>
        </w:tc>
        <w:tc>
          <w:tcPr>
            <w:tcW w:w="1149" w:type="dxa"/>
          </w:tcPr>
          <w:p>
            <w:pPr>
              <w:ind w:left="-218" w:leftChars="-104" w:firstLine="348" w:firstLineChars="166"/>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C</w:t>
            </w:r>
          </w:p>
        </w:tc>
        <w:tc>
          <w:tcPr>
            <w:tcW w:w="1722" w:type="dxa"/>
          </w:tcPr>
          <w:p>
            <w:pPr>
              <w:ind w:left="-218" w:leftChars="-104" w:firstLine="348" w:firstLineChars="166"/>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0.371</w:t>
            </w:r>
          </w:p>
        </w:tc>
        <w:tc>
          <w:tcPr>
            <w:tcW w:w="2104" w:type="dxa"/>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6.8</w:t>
            </w:r>
          </w:p>
        </w:tc>
        <w:tc>
          <w:tcPr>
            <w:tcW w:w="2680" w:type="dxa"/>
            <w:vMerge w:val="restart"/>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会有多峰，拖尾</w:t>
            </w:r>
          </w:p>
        </w:tc>
      </w:tr>
      <w:tr>
        <w:tblPrEx>
          <w:tblCellMar>
            <w:top w:w="0" w:type="dxa"/>
            <w:left w:w="108" w:type="dxa"/>
            <w:bottom w:w="0" w:type="dxa"/>
            <w:right w:w="108" w:type="dxa"/>
          </w:tblCellMar>
        </w:tblPrEx>
        <w:trPr>
          <w:trHeight w:val="340" w:hRule="atLeast"/>
        </w:trPr>
        <w:tc>
          <w:tcPr>
            <w:tcW w:w="2313" w:type="dxa"/>
            <w:vMerge w:val="continue"/>
            <w:vAlign w:val="center"/>
          </w:tcPr>
          <w:p>
            <w:pPr>
              <w:jc w:val="center"/>
              <w:rPr>
                <w:rFonts w:hint="default" w:ascii="Times New Roman" w:hAnsi="Times New Roman" w:cs="Times New Roman"/>
                <w:color w:val="000000"/>
                <w:sz w:val="21"/>
                <w:szCs w:val="21"/>
              </w:rPr>
            </w:pPr>
          </w:p>
        </w:tc>
        <w:tc>
          <w:tcPr>
            <w:tcW w:w="1149" w:type="dxa"/>
          </w:tcPr>
          <w:p>
            <w:pPr>
              <w:ind w:left="-218" w:leftChars="-104" w:firstLine="348" w:firstLineChars="166"/>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S</w:t>
            </w:r>
          </w:p>
        </w:tc>
        <w:tc>
          <w:tcPr>
            <w:tcW w:w="1722" w:type="dxa"/>
          </w:tcPr>
          <w:p>
            <w:pPr>
              <w:ind w:left="-218" w:leftChars="-104" w:firstLine="348" w:firstLineChars="166"/>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0.0159</w:t>
            </w:r>
          </w:p>
        </w:tc>
        <w:tc>
          <w:tcPr>
            <w:tcW w:w="2104" w:type="dxa"/>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7.2</w:t>
            </w:r>
          </w:p>
        </w:tc>
        <w:tc>
          <w:tcPr>
            <w:tcW w:w="2680" w:type="dxa"/>
            <w:vMerge w:val="continue"/>
            <w:vAlign w:val="center"/>
          </w:tcPr>
          <w:p>
            <w:pPr>
              <w:jc w:val="center"/>
              <w:rPr>
                <w:rFonts w:hint="default" w:ascii="Times New Roman" w:hAnsi="Times New Roman" w:cs="Times New Roman"/>
                <w:color w:val="000000"/>
                <w:sz w:val="21"/>
                <w:szCs w:val="21"/>
              </w:rPr>
            </w:pPr>
          </w:p>
        </w:tc>
      </w:tr>
      <w:tr>
        <w:tblPrEx>
          <w:tblCellMar>
            <w:top w:w="0" w:type="dxa"/>
            <w:left w:w="108" w:type="dxa"/>
            <w:bottom w:w="0" w:type="dxa"/>
            <w:right w:w="108" w:type="dxa"/>
          </w:tblCellMar>
        </w:tblPrEx>
        <w:trPr>
          <w:trHeight w:val="340" w:hRule="atLeast"/>
        </w:trPr>
        <w:tc>
          <w:tcPr>
            <w:tcW w:w="2313" w:type="dxa"/>
            <w:vMerge w:val="restart"/>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0.35</w:t>
            </w:r>
          </w:p>
        </w:tc>
        <w:tc>
          <w:tcPr>
            <w:tcW w:w="1149" w:type="dxa"/>
          </w:tcPr>
          <w:p>
            <w:pPr>
              <w:ind w:left="-218" w:leftChars="-104" w:firstLine="348" w:firstLineChars="166"/>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C</w:t>
            </w:r>
          </w:p>
        </w:tc>
        <w:tc>
          <w:tcPr>
            <w:tcW w:w="1722" w:type="dxa"/>
          </w:tcPr>
          <w:p>
            <w:pPr>
              <w:ind w:left="-218" w:leftChars="-104" w:firstLine="348" w:firstLineChars="166"/>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0.379</w:t>
            </w:r>
          </w:p>
        </w:tc>
        <w:tc>
          <w:tcPr>
            <w:tcW w:w="2104" w:type="dxa"/>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7.5</w:t>
            </w:r>
          </w:p>
        </w:tc>
        <w:tc>
          <w:tcPr>
            <w:tcW w:w="2680" w:type="dxa"/>
            <w:vMerge w:val="restart"/>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会有多峰，拖尾</w:t>
            </w:r>
          </w:p>
        </w:tc>
      </w:tr>
      <w:tr>
        <w:tblPrEx>
          <w:tblCellMar>
            <w:top w:w="0" w:type="dxa"/>
            <w:left w:w="108" w:type="dxa"/>
            <w:bottom w:w="0" w:type="dxa"/>
            <w:right w:w="108" w:type="dxa"/>
          </w:tblCellMar>
        </w:tblPrEx>
        <w:trPr>
          <w:trHeight w:val="340" w:hRule="atLeast"/>
        </w:trPr>
        <w:tc>
          <w:tcPr>
            <w:tcW w:w="2313" w:type="dxa"/>
            <w:vMerge w:val="continue"/>
            <w:vAlign w:val="center"/>
          </w:tcPr>
          <w:p>
            <w:pPr>
              <w:jc w:val="center"/>
              <w:rPr>
                <w:rFonts w:hint="default" w:ascii="Times New Roman" w:hAnsi="Times New Roman" w:cs="Times New Roman"/>
                <w:color w:val="000000"/>
                <w:sz w:val="21"/>
                <w:szCs w:val="21"/>
              </w:rPr>
            </w:pPr>
          </w:p>
        </w:tc>
        <w:tc>
          <w:tcPr>
            <w:tcW w:w="1149" w:type="dxa"/>
          </w:tcPr>
          <w:p>
            <w:pPr>
              <w:ind w:left="-218" w:leftChars="-104" w:firstLine="348" w:firstLineChars="166"/>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S</w:t>
            </w:r>
          </w:p>
        </w:tc>
        <w:tc>
          <w:tcPr>
            <w:tcW w:w="1722" w:type="dxa"/>
          </w:tcPr>
          <w:p>
            <w:pPr>
              <w:ind w:left="-218" w:leftChars="-104" w:firstLine="348" w:firstLineChars="166"/>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0.162</w:t>
            </w:r>
          </w:p>
        </w:tc>
        <w:tc>
          <w:tcPr>
            <w:tcW w:w="2104" w:type="dxa"/>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6.4</w:t>
            </w:r>
          </w:p>
        </w:tc>
        <w:tc>
          <w:tcPr>
            <w:tcW w:w="2680" w:type="dxa"/>
            <w:vMerge w:val="continue"/>
            <w:vAlign w:val="center"/>
          </w:tcPr>
          <w:p>
            <w:pPr>
              <w:jc w:val="center"/>
              <w:rPr>
                <w:rFonts w:hint="default" w:ascii="Times New Roman" w:hAnsi="Times New Roman" w:cs="Times New Roman"/>
                <w:color w:val="000000"/>
                <w:sz w:val="21"/>
                <w:szCs w:val="21"/>
              </w:rPr>
            </w:pPr>
          </w:p>
        </w:tc>
      </w:tr>
      <w:tr>
        <w:tblPrEx>
          <w:tblCellMar>
            <w:top w:w="0" w:type="dxa"/>
            <w:left w:w="108" w:type="dxa"/>
            <w:bottom w:w="0" w:type="dxa"/>
            <w:right w:w="108" w:type="dxa"/>
          </w:tblCellMar>
        </w:tblPrEx>
        <w:trPr>
          <w:trHeight w:val="340" w:hRule="atLeast"/>
        </w:trPr>
        <w:tc>
          <w:tcPr>
            <w:tcW w:w="2313" w:type="dxa"/>
            <w:vMerge w:val="restart"/>
            <w:tcBorders>
              <w:bottom w:val="single" w:color="auto"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0.40</w:t>
            </w:r>
          </w:p>
        </w:tc>
        <w:tc>
          <w:tcPr>
            <w:tcW w:w="1149" w:type="dxa"/>
          </w:tcPr>
          <w:p>
            <w:pPr>
              <w:ind w:left="-218" w:leftChars="-104" w:firstLine="348" w:firstLineChars="166"/>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C</w:t>
            </w:r>
          </w:p>
        </w:tc>
        <w:tc>
          <w:tcPr>
            <w:tcW w:w="1722" w:type="dxa"/>
          </w:tcPr>
          <w:p>
            <w:pPr>
              <w:ind w:left="-218" w:leftChars="-104" w:firstLine="348" w:firstLineChars="166"/>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0.371</w:t>
            </w:r>
          </w:p>
        </w:tc>
        <w:tc>
          <w:tcPr>
            <w:tcW w:w="2104" w:type="dxa"/>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8.8</w:t>
            </w:r>
          </w:p>
        </w:tc>
        <w:tc>
          <w:tcPr>
            <w:tcW w:w="2680" w:type="dxa"/>
            <w:vMerge w:val="restart"/>
            <w:tcBorders>
              <w:bottom w:val="single" w:color="auto"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多峰，拖尾</w:t>
            </w:r>
          </w:p>
        </w:tc>
      </w:tr>
      <w:tr>
        <w:tblPrEx>
          <w:tblCellMar>
            <w:top w:w="0" w:type="dxa"/>
            <w:left w:w="108" w:type="dxa"/>
            <w:bottom w:w="0" w:type="dxa"/>
            <w:right w:w="108" w:type="dxa"/>
          </w:tblCellMar>
        </w:tblPrEx>
        <w:trPr>
          <w:trHeight w:val="340" w:hRule="atLeast"/>
        </w:trPr>
        <w:tc>
          <w:tcPr>
            <w:tcW w:w="2313" w:type="dxa"/>
            <w:vMerge w:val="continue"/>
            <w:tcBorders>
              <w:top w:val="single" w:color="auto" w:sz="4" w:space="0"/>
              <w:bottom w:val="single" w:color="auto" w:sz="4" w:space="0"/>
            </w:tcBorders>
          </w:tcPr>
          <w:p>
            <w:pPr>
              <w:jc w:val="center"/>
              <w:rPr>
                <w:rFonts w:hint="default" w:ascii="Times New Roman" w:hAnsi="Times New Roman" w:cs="Times New Roman"/>
                <w:color w:val="000000"/>
                <w:sz w:val="21"/>
                <w:szCs w:val="21"/>
              </w:rPr>
            </w:pPr>
          </w:p>
        </w:tc>
        <w:tc>
          <w:tcPr>
            <w:tcW w:w="1149" w:type="dxa"/>
            <w:tcBorders>
              <w:bottom w:val="single" w:color="auto" w:sz="4" w:space="0"/>
            </w:tcBorders>
          </w:tcPr>
          <w:p>
            <w:pPr>
              <w:ind w:left="-218" w:leftChars="-104" w:firstLine="348" w:firstLineChars="166"/>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S</w:t>
            </w:r>
          </w:p>
        </w:tc>
        <w:tc>
          <w:tcPr>
            <w:tcW w:w="1722" w:type="dxa"/>
            <w:tcBorders>
              <w:bottom w:val="single" w:color="auto" w:sz="4" w:space="0"/>
            </w:tcBorders>
          </w:tcPr>
          <w:p>
            <w:pPr>
              <w:ind w:left="-218" w:leftChars="-104" w:firstLine="348" w:firstLineChars="166"/>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0.0162</w:t>
            </w:r>
          </w:p>
        </w:tc>
        <w:tc>
          <w:tcPr>
            <w:tcW w:w="2104" w:type="dxa"/>
            <w:tcBorders>
              <w:bottom w:val="single" w:color="auto" w:sz="4" w:space="0"/>
            </w:tcBorders>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9.1</w:t>
            </w:r>
          </w:p>
        </w:tc>
        <w:tc>
          <w:tcPr>
            <w:tcW w:w="2680" w:type="dxa"/>
            <w:vMerge w:val="continue"/>
            <w:tcBorders>
              <w:top w:val="single" w:color="auto" w:sz="4" w:space="0"/>
              <w:left w:val="nil"/>
              <w:bottom w:val="single" w:color="auto" w:sz="4" w:space="0"/>
            </w:tcBorders>
          </w:tcPr>
          <w:p>
            <w:pPr>
              <w:jc w:val="center"/>
              <w:rPr>
                <w:rFonts w:hint="default" w:ascii="Times New Roman" w:hAnsi="Times New Roman" w:cs="Times New Roman"/>
                <w:color w:val="000000"/>
                <w:sz w:val="21"/>
                <w:szCs w:val="21"/>
              </w:rPr>
            </w:pPr>
          </w:p>
        </w:tc>
      </w:tr>
    </w:tbl>
    <w:p>
      <w:pPr>
        <w:jc w:val="center"/>
        <w:rPr>
          <w:color w:val="000000"/>
          <w:sz w:val="18"/>
          <w:szCs w:val="18"/>
        </w:rPr>
      </w:pPr>
    </w:p>
    <w:p>
      <w:pPr>
        <w:jc w:val="both"/>
        <w:rPr>
          <w:color w:val="000000"/>
          <w:sz w:val="18"/>
          <w:szCs w:val="18"/>
        </w:rPr>
      </w:pPr>
    </w:p>
    <w:p>
      <w:pPr>
        <w:jc w:val="center"/>
        <w:rPr>
          <w:color w:val="000000"/>
          <w:sz w:val="18"/>
          <w:szCs w:val="18"/>
        </w:rPr>
      </w:pPr>
    </w:p>
    <w:p>
      <w:pPr>
        <w:jc w:val="center"/>
        <w:rPr>
          <w:color w:val="000000"/>
          <w:sz w:val="18"/>
          <w:szCs w:val="18"/>
        </w:rPr>
      </w:pPr>
    </w:p>
    <w:p>
      <w:pPr>
        <w:jc w:val="center"/>
        <w:rPr>
          <w:color w:val="000000"/>
          <w:sz w:val="18"/>
          <w:szCs w:val="18"/>
        </w:rPr>
      </w:pPr>
    </w:p>
    <w:p>
      <w:pPr>
        <w:spacing w:line="360" w:lineRule="auto"/>
        <w:ind w:right="420"/>
        <w:rPr>
          <w:b/>
          <w:color w:val="000000"/>
          <w:szCs w:val="21"/>
        </w:rPr>
      </w:pPr>
      <w:r>
        <w:rPr>
          <w:rFonts w:hint="eastAsia"/>
          <w:b/>
          <w:color w:val="000000"/>
          <w:szCs w:val="21"/>
          <w:lang w:val="en-US" w:eastAsia="zh-CN"/>
        </w:rPr>
        <w:t>3</w:t>
      </w:r>
      <w:r>
        <w:rPr>
          <w:b/>
          <w:color w:val="000000"/>
          <w:szCs w:val="21"/>
        </w:rPr>
        <w:t>.2  助熔剂的确定</w:t>
      </w:r>
    </w:p>
    <w:p>
      <w:pPr>
        <w:spacing w:line="360" w:lineRule="auto"/>
        <w:ind w:right="420"/>
        <w:rPr>
          <w:b/>
          <w:color w:val="000000"/>
          <w:szCs w:val="21"/>
        </w:rPr>
      </w:pPr>
      <w:r>
        <w:rPr>
          <w:rFonts w:hint="eastAsia"/>
          <w:b/>
          <w:color w:val="000000"/>
          <w:szCs w:val="21"/>
          <w:lang w:val="en-US" w:eastAsia="zh-CN"/>
        </w:rPr>
        <w:t>3</w:t>
      </w:r>
      <w:r>
        <w:rPr>
          <w:b/>
          <w:color w:val="000000"/>
          <w:szCs w:val="21"/>
        </w:rPr>
        <w:t xml:space="preserve">.2.1 助熔剂种类的确定 </w:t>
      </w:r>
    </w:p>
    <w:p>
      <w:pPr>
        <w:spacing w:line="360" w:lineRule="auto"/>
        <w:ind w:firstLine="420" w:firstLineChars="200"/>
        <w:rPr>
          <w:color w:val="000000"/>
          <w:szCs w:val="21"/>
        </w:rPr>
      </w:pPr>
      <w:r>
        <w:rPr>
          <w:color w:val="000000"/>
          <w:szCs w:val="21"/>
        </w:rPr>
        <w:t>最常用的碳硫分析助熔剂主要是颗粒状的纯钨、纯铁或纯锡等。纯钨粒可在较低温度下迅速被氧化，并放出大量的热，将试料引燃。铁为高电磁感应性金属，通过高频感应能产生较大的涡电流和较多的焦耳热，因而能提高炉温，使样品燃烧完全。纯锡粒具有降低熔点、防止喷溅、加速燃烧和搅拌作用。鉴于稀土金属及其氧化物称样量较大、含碳量较低的特点，所以采用此三元助熔体系。结果见表2。</w:t>
      </w:r>
    </w:p>
    <w:p>
      <w:pPr>
        <w:spacing w:line="360" w:lineRule="auto"/>
        <w:ind w:firstLine="420" w:firstLineChars="200"/>
        <w:rPr>
          <w:color w:val="000000"/>
          <w:sz w:val="18"/>
          <w:szCs w:val="18"/>
        </w:rPr>
      </w:pPr>
      <w:r>
        <w:rPr>
          <w:color w:val="000000"/>
          <w:szCs w:val="21"/>
        </w:rPr>
        <w:t>考察了试样及助熔剂的加入顺序对测定结果的影响。结果发现：当试样放在最上层时，高频感应过程中样品易飞溅出来，使测量结果偏低；纯铁是较易产生感应的物质，放在中间层时能够更好的使样品燃烧充分。实验确定加入顺序为：锡粒、试样、纯铁、钨粒。</w:t>
      </w:r>
    </w:p>
    <w:p>
      <w:pPr>
        <w:jc w:val="center"/>
        <w:rPr>
          <w:color w:val="000000"/>
          <w:sz w:val="18"/>
          <w:szCs w:val="18"/>
        </w:rPr>
      </w:pPr>
      <w:r>
        <w:rPr>
          <w:color w:val="000000"/>
          <w:sz w:val="18"/>
          <w:szCs w:val="18"/>
        </w:rPr>
        <w:t xml:space="preserve">表2  助熔剂种类的选择 </w:t>
      </w:r>
    </w:p>
    <w:tbl>
      <w:tblPr>
        <w:tblStyle w:val="88"/>
        <w:tblW w:w="5000" w:type="pct"/>
        <w:jc w:val="center"/>
        <w:tblLayout w:type="autofit"/>
        <w:tblCellMar>
          <w:top w:w="0" w:type="dxa"/>
          <w:left w:w="108" w:type="dxa"/>
          <w:bottom w:w="0" w:type="dxa"/>
          <w:right w:w="108" w:type="dxa"/>
        </w:tblCellMar>
      </w:tblPr>
      <w:tblGrid>
        <w:gridCol w:w="4008"/>
        <w:gridCol w:w="5960"/>
      </w:tblGrid>
      <w:tr>
        <w:tblPrEx>
          <w:tblCellMar>
            <w:top w:w="0" w:type="dxa"/>
            <w:left w:w="108" w:type="dxa"/>
            <w:bottom w:w="0" w:type="dxa"/>
            <w:right w:w="108" w:type="dxa"/>
          </w:tblCellMar>
        </w:tblPrEx>
        <w:trPr>
          <w:trHeight w:val="340" w:hRule="atLeast"/>
          <w:jc w:val="center"/>
        </w:trPr>
        <w:tc>
          <w:tcPr>
            <w:tcW w:w="4008" w:type="dxa"/>
            <w:tcBorders>
              <w:top w:val="single" w:color="auto" w:sz="4" w:space="0"/>
              <w:bottom w:val="single" w:color="auto" w:sz="4" w:space="0"/>
            </w:tcBorders>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助熔剂</w:t>
            </w:r>
          </w:p>
        </w:tc>
        <w:tc>
          <w:tcPr>
            <w:tcW w:w="5960" w:type="dxa"/>
            <w:tcBorders>
              <w:top w:val="single" w:color="auto" w:sz="4" w:space="0"/>
              <w:bottom w:val="single" w:color="auto" w:sz="4" w:space="0"/>
            </w:tcBorders>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燃烧情况</w:t>
            </w:r>
          </w:p>
        </w:tc>
      </w:tr>
      <w:tr>
        <w:tblPrEx>
          <w:tblCellMar>
            <w:top w:w="0" w:type="dxa"/>
            <w:left w:w="108" w:type="dxa"/>
            <w:bottom w:w="0" w:type="dxa"/>
            <w:right w:w="108" w:type="dxa"/>
          </w:tblCellMar>
        </w:tblPrEx>
        <w:trPr>
          <w:trHeight w:val="340" w:hRule="atLeast"/>
          <w:jc w:val="center"/>
        </w:trPr>
        <w:tc>
          <w:tcPr>
            <w:tcW w:w="4008" w:type="dxa"/>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xml:space="preserve"> 钨粒</w:t>
            </w:r>
          </w:p>
        </w:tc>
        <w:tc>
          <w:tcPr>
            <w:tcW w:w="5960" w:type="dxa"/>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部分样品没有熔融</w:t>
            </w:r>
          </w:p>
        </w:tc>
      </w:tr>
      <w:tr>
        <w:tblPrEx>
          <w:tblCellMar>
            <w:top w:w="0" w:type="dxa"/>
            <w:left w:w="108" w:type="dxa"/>
            <w:bottom w:w="0" w:type="dxa"/>
            <w:right w:w="108" w:type="dxa"/>
          </w:tblCellMar>
        </w:tblPrEx>
        <w:trPr>
          <w:trHeight w:val="340" w:hRule="atLeast"/>
          <w:jc w:val="center"/>
        </w:trPr>
        <w:tc>
          <w:tcPr>
            <w:tcW w:w="4008" w:type="dxa"/>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xml:space="preserve"> 钨粒+ 锡粒</w:t>
            </w:r>
          </w:p>
        </w:tc>
        <w:tc>
          <w:tcPr>
            <w:tcW w:w="5960" w:type="dxa"/>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部分样品没有熔融</w:t>
            </w:r>
          </w:p>
        </w:tc>
      </w:tr>
      <w:tr>
        <w:tblPrEx>
          <w:tblCellMar>
            <w:top w:w="0" w:type="dxa"/>
            <w:left w:w="108" w:type="dxa"/>
            <w:bottom w:w="0" w:type="dxa"/>
            <w:right w:w="108" w:type="dxa"/>
          </w:tblCellMar>
        </w:tblPrEx>
        <w:trPr>
          <w:trHeight w:val="340" w:hRule="atLeast"/>
          <w:jc w:val="center"/>
        </w:trPr>
        <w:tc>
          <w:tcPr>
            <w:tcW w:w="4008" w:type="dxa"/>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xml:space="preserve"> 钨粒+ 铁屑</w:t>
            </w:r>
          </w:p>
        </w:tc>
        <w:tc>
          <w:tcPr>
            <w:tcW w:w="5960" w:type="dxa"/>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部分样品没有熔融</w:t>
            </w:r>
          </w:p>
        </w:tc>
      </w:tr>
      <w:tr>
        <w:tblPrEx>
          <w:tblCellMar>
            <w:top w:w="0" w:type="dxa"/>
            <w:left w:w="108" w:type="dxa"/>
            <w:bottom w:w="0" w:type="dxa"/>
            <w:right w:w="108" w:type="dxa"/>
          </w:tblCellMar>
        </w:tblPrEx>
        <w:trPr>
          <w:trHeight w:val="340" w:hRule="atLeast"/>
          <w:jc w:val="center"/>
        </w:trPr>
        <w:tc>
          <w:tcPr>
            <w:tcW w:w="4008" w:type="dxa"/>
            <w:tcBorders>
              <w:bottom w:val="single" w:color="auto" w:sz="4" w:space="0"/>
            </w:tcBorders>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xml:space="preserve"> 钨粒+ 铁屑+ 锡粒</w:t>
            </w:r>
          </w:p>
        </w:tc>
        <w:tc>
          <w:tcPr>
            <w:tcW w:w="5960" w:type="dxa"/>
            <w:tcBorders>
              <w:bottom w:val="single" w:color="auto" w:sz="4" w:space="0"/>
            </w:tcBorders>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坩埚内熔融渣呈黑色镜面</w:t>
            </w:r>
          </w:p>
        </w:tc>
      </w:tr>
    </w:tbl>
    <w:p>
      <w:pPr>
        <w:rPr>
          <w:color w:val="000000"/>
          <w:sz w:val="18"/>
          <w:szCs w:val="18"/>
        </w:rPr>
      </w:pPr>
    </w:p>
    <w:p>
      <w:pPr>
        <w:spacing w:line="360" w:lineRule="auto"/>
        <w:ind w:right="420"/>
        <w:rPr>
          <w:b/>
          <w:color w:val="000000"/>
          <w:szCs w:val="21"/>
        </w:rPr>
      </w:pPr>
      <w:r>
        <w:rPr>
          <w:rFonts w:hint="eastAsia"/>
          <w:b/>
          <w:color w:val="000000"/>
          <w:szCs w:val="21"/>
          <w:lang w:val="en-US" w:eastAsia="zh-CN"/>
        </w:rPr>
        <w:t>3</w:t>
      </w:r>
      <w:r>
        <w:rPr>
          <w:b/>
          <w:color w:val="000000"/>
          <w:szCs w:val="21"/>
        </w:rPr>
        <w:t>.2.2助熔剂量的确定</w:t>
      </w:r>
    </w:p>
    <w:p>
      <w:pPr>
        <w:spacing w:line="360" w:lineRule="auto"/>
        <w:ind w:firstLine="420" w:firstLineChars="200"/>
        <w:rPr>
          <w:color w:val="000000"/>
          <w:sz w:val="18"/>
          <w:szCs w:val="18"/>
        </w:rPr>
      </w:pPr>
      <w:r>
        <w:rPr>
          <w:szCs w:val="21"/>
        </w:rPr>
        <w:t>为确定最佳助熔剂配比及用量，取0.2 g氧化镧-170样品，进行了助熔剂量的优化试验，结果见表3。表3表明：加入0.4 g纯铁、l.3 g钨粒和0.2 g锡粒作为助熔剂时，碳和硫的释放曲线光滑，峰形较好。故实验选择钨粒、纯铁和锡粒作为助熔剂。</w:t>
      </w:r>
    </w:p>
    <w:p>
      <w:pPr>
        <w:jc w:val="center"/>
        <w:rPr>
          <w:color w:val="000000"/>
          <w:sz w:val="18"/>
          <w:szCs w:val="18"/>
        </w:rPr>
      </w:pPr>
      <w:r>
        <w:rPr>
          <w:color w:val="000000"/>
          <w:sz w:val="18"/>
          <w:szCs w:val="18"/>
        </w:rPr>
        <w:t>表3  助熔剂用量及配比的选择</w:t>
      </w:r>
    </w:p>
    <w:tbl>
      <w:tblPr>
        <w:tblStyle w:val="88"/>
        <w:tblpPr w:leftFromText="180" w:rightFromText="180" w:vertAnchor="text" w:horzAnchor="page" w:tblpX="1067" w:tblpY="295"/>
        <w:tblOverlap w:val="never"/>
        <w:tblW w:w="5000" w:type="pct"/>
        <w:tblInd w:w="0" w:type="dxa"/>
        <w:tblLayout w:type="autofit"/>
        <w:tblCellMar>
          <w:top w:w="0" w:type="dxa"/>
          <w:left w:w="108" w:type="dxa"/>
          <w:bottom w:w="0" w:type="dxa"/>
          <w:right w:w="108" w:type="dxa"/>
        </w:tblCellMar>
      </w:tblPr>
      <w:tblGrid>
        <w:gridCol w:w="1029"/>
        <w:gridCol w:w="1390"/>
        <w:gridCol w:w="1131"/>
        <w:gridCol w:w="1669"/>
        <w:gridCol w:w="1560"/>
        <w:gridCol w:w="1330"/>
        <w:gridCol w:w="1859"/>
      </w:tblGrid>
      <w:tr>
        <w:tblPrEx>
          <w:tblCellMar>
            <w:top w:w="0" w:type="dxa"/>
            <w:left w:w="108" w:type="dxa"/>
            <w:bottom w:w="0" w:type="dxa"/>
            <w:right w:w="108" w:type="dxa"/>
          </w:tblCellMar>
        </w:tblPrEx>
        <w:trPr>
          <w:trHeight w:val="340" w:hRule="atLeast"/>
        </w:trPr>
        <w:tc>
          <w:tcPr>
            <w:tcW w:w="516" w:type="pct"/>
            <w:tcBorders>
              <w:top w:val="single" w:color="auto" w:sz="4" w:space="0"/>
              <w:bottom w:val="single" w:color="auto"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钨粒</w:t>
            </w:r>
          </w:p>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m/g</w:t>
            </w:r>
          </w:p>
        </w:tc>
        <w:tc>
          <w:tcPr>
            <w:tcW w:w="697" w:type="pct"/>
            <w:tcBorders>
              <w:top w:val="single" w:color="auto" w:sz="4" w:space="0"/>
              <w:bottom w:val="single" w:color="auto"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铁屑</w:t>
            </w:r>
          </w:p>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m/g</w:t>
            </w:r>
          </w:p>
        </w:tc>
        <w:tc>
          <w:tcPr>
            <w:tcW w:w="567" w:type="pct"/>
            <w:tcBorders>
              <w:top w:val="single" w:color="auto" w:sz="4" w:space="0"/>
              <w:bottom w:val="single" w:color="auto"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锡粒</w:t>
            </w:r>
          </w:p>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m/g</w:t>
            </w:r>
          </w:p>
        </w:tc>
        <w:tc>
          <w:tcPr>
            <w:tcW w:w="837" w:type="pct"/>
            <w:tcBorders>
              <w:top w:val="single" w:color="auto" w:sz="4" w:space="0"/>
              <w:bottom w:val="single" w:color="auto"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碳平均值</w:t>
            </w:r>
          </w:p>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w /%</w:t>
            </w:r>
          </w:p>
        </w:tc>
        <w:tc>
          <w:tcPr>
            <w:tcW w:w="782" w:type="pct"/>
            <w:tcBorders>
              <w:top w:val="single" w:color="auto" w:sz="4" w:space="0"/>
              <w:bottom w:val="single" w:color="auto"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相对标准差</w:t>
            </w:r>
          </w:p>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RSD/%</w:t>
            </w:r>
          </w:p>
        </w:tc>
        <w:tc>
          <w:tcPr>
            <w:tcW w:w="667" w:type="pct"/>
            <w:tcBorders>
              <w:top w:val="single" w:color="auto" w:sz="4" w:space="0"/>
              <w:bottom w:val="single" w:color="auto"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硫平均值</w:t>
            </w:r>
          </w:p>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w /%</w:t>
            </w:r>
          </w:p>
        </w:tc>
        <w:tc>
          <w:tcPr>
            <w:tcW w:w="932" w:type="pct"/>
            <w:tcBorders>
              <w:top w:val="single" w:color="auto" w:sz="4" w:space="0"/>
              <w:bottom w:val="single" w:color="auto"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相对标准偏差</w:t>
            </w:r>
          </w:p>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RSD/%</w:t>
            </w:r>
          </w:p>
        </w:tc>
      </w:tr>
      <w:tr>
        <w:tblPrEx>
          <w:tblCellMar>
            <w:top w:w="0" w:type="dxa"/>
            <w:left w:w="108" w:type="dxa"/>
            <w:bottom w:w="0" w:type="dxa"/>
            <w:right w:w="108" w:type="dxa"/>
          </w:tblCellMar>
        </w:tblPrEx>
        <w:trPr>
          <w:trHeight w:val="340" w:hRule="atLeast"/>
        </w:trPr>
        <w:tc>
          <w:tcPr>
            <w:tcW w:w="516" w:type="pct"/>
            <w:tcBorders>
              <w:top w:val="single" w:color="auto"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1.2</w:t>
            </w:r>
          </w:p>
        </w:tc>
        <w:tc>
          <w:tcPr>
            <w:tcW w:w="697" w:type="pct"/>
            <w:tcBorders>
              <w:top w:val="single" w:color="auto"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0.3</w:t>
            </w:r>
          </w:p>
        </w:tc>
        <w:tc>
          <w:tcPr>
            <w:tcW w:w="567" w:type="pct"/>
            <w:tcBorders>
              <w:top w:val="single" w:color="auto"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0.1</w:t>
            </w:r>
          </w:p>
        </w:tc>
        <w:tc>
          <w:tcPr>
            <w:tcW w:w="837" w:type="pct"/>
            <w:tcBorders>
              <w:top w:val="single" w:color="auto"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0.359</w:t>
            </w:r>
          </w:p>
        </w:tc>
        <w:tc>
          <w:tcPr>
            <w:tcW w:w="782" w:type="pct"/>
            <w:tcBorders>
              <w:top w:val="single" w:color="auto"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8.2</w:t>
            </w:r>
          </w:p>
        </w:tc>
        <w:tc>
          <w:tcPr>
            <w:tcW w:w="667" w:type="pct"/>
            <w:tcBorders>
              <w:top w:val="single" w:color="auto"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0.0162</w:t>
            </w:r>
          </w:p>
        </w:tc>
        <w:tc>
          <w:tcPr>
            <w:tcW w:w="932" w:type="pct"/>
            <w:tcBorders>
              <w:top w:val="single" w:color="auto"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8.2</w:t>
            </w:r>
          </w:p>
        </w:tc>
      </w:tr>
      <w:tr>
        <w:tblPrEx>
          <w:tblCellMar>
            <w:top w:w="0" w:type="dxa"/>
            <w:left w:w="108" w:type="dxa"/>
            <w:bottom w:w="0" w:type="dxa"/>
            <w:right w:w="108" w:type="dxa"/>
          </w:tblCellMar>
        </w:tblPrEx>
        <w:trPr>
          <w:trHeight w:val="340" w:hRule="atLeast"/>
        </w:trPr>
        <w:tc>
          <w:tcPr>
            <w:tcW w:w="516" w:type="pct"/>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1.2</w:t>
            </w:r>
          </w:p>
        </w:tc>
        <w:tc>
          <w:tcPr>
            <w:tcW w:w="697" w:type="pct"/>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0.3</w:t>
            </w:r>
          </w:p>
        </w:tc>
        <w:tc>
          <w:tcPr>
            <w:tcW w:w="567" w:type="pct"/>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0.1</w:t>
            </w:r>
          </w:p>
        </w:tc>
        <w:tc>
          <w:tcPr>
            <w:tcW w:w="837" w:type="pct"/>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0.376</w:t>
            </w:r>
          </w:p>
        </w:tc>
        <w:tc>
          <w:tcPr>
            <w:tcW w:w="782" w:type="pct"/>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5.1</w:t>
            </w:r>
          </w:p>
        </w:tc>
        <w:tc>
          <w:tcPr>
            <w:tcW w:w="667" w:type="pct"/>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0.0167</w:t>
            </w:r>
          </w:p>
        </w:tc>
        <w:tc>
          <w:tcPr>
            <w:tcW w:w="932" w:type="pct"/>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6.1</w:t>
            </w:r>
          </w:p>
        </w:tc>
      </w:tr>
      <w:tr>
        <w:tblPrEx>
          <w:tblCellMar>
            <w:top w:w="0" w:type="dxa"/>
            <w:left w:w="108" w:type="dxa"/>
            <w:bottom w:w="0" w:type="dxa"/>
            <w:right w:w="108" w:type="dxa"/>
          </w:tblCellMar>
        </w:tblPrEx>
        <w:trPr>
          <w:trHeight w:val="340" w:hRule="atLeast"/>
        </w:trPr>
        <w:tc>
          <w:tcPr>
            <w:tcW w:w="516" w:type="pct"/>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1.3</w:t>
            </w:r>
          </w:p>
        </w:tc>
        <w:tc>
          <w:tcPr>
            <w:tcW w:w="697" w:type="pct"/>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0.4</w:t>
            </w:r>
          </w:p>
        </w:tc>
        <w:tc>
          <w:tcPr>
            <w:tcW w:w="567" w:type="pct"/>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0.2</w:t>
            </w:r>
          </w:p>
        </w:tc>
        <w:tc>
          <w:tcPr>
            <w:tcW w:w="837" w:type="pct"/>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0.376</w:t>
            </w:r>
          </w:p>
        </w:tc>
        <w:tc>
          <w:tcPr>
            <w:tcW w:w="782" w:type="pct"/>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5.1</w:t>
            </w:r>
          </w:p>
        </w:tc>
        <w:tc>
          <w:tcPr>
            <w:tcW w:w="667" w:type="pct"/>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0.0168</w:t>
            </w:r>
          </w:p>
        </w:tc>
        <w:tc>
          <w:tcPr>
            <w:tcW w:w="932" w:type="pct"/>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6.2</w:t>
            </w:r>
          </w:p>
        </w:tc>
      </w:tr>
      <w:tr>
        <w:tblPrEx>
          <w:tblCellMar>
            <w:top w:w="0" w:type="dxa"/>
            <w:left w:w="108" w:type="dxa"/>
            <w:bottom w:w="0" w:type="dxa"/>
            <w:right w:w="108" w:type="dxa"/>
          </w:tblCellMar>
        </w:tblPrEx>
        <w:trPr>
          <w:trHeight w:val="340" w:hRule="atLeast"/>
        </w:trPr>
        <w:tc>
          <w:tcPr>
            <w:tcW w:w="516" w:type="pct"/>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1.3</w:t>
            </w:r>
          </w:p>
        </w:tc>
        <w:tc>
          <w:tcPr>
            <w:tcW w:w="697" w:type="pct"/>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0.4</w:t>
            </w:r>
          </w:p>
        </w:tc>
        <w:tc>
          <w:tcPr>
            <w:tcW w:w="567" w:type="pct"/>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0.2</w:t>
            </w:r>
          </w:p>
        </w:tc>
        <w:tc>
          <w:tcPr>
            <w:tcW w:w="837" w:type="pct"/>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0.383</w:t>
            </w:r>
          </w:p>
        </w:tc>
        <w:tc>
          <w:tcPr>
            <w:tcW w:w="782" w:type="pct"/>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2.0</w:t>
            </w:r>
          </w:p>
        </w:tc>
        <w:tc>
          <w:tcPr>
            <w:tcW w:w="667" w:type="pct"/>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0.0174</w:t>
            </w:r>
          </w:p>
        </w:tc>
        <w:tc>
          <w:tcPr>
            <w:tcW w:w="932" w:type="pct"/>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2.1</w:t>
            </w:r>
          </w:p>
        </w:tc>
      </w:tr>
      <w:tr>
        <w:tblPrEx>
          <w:tblCellMar>
            <w:top w:w="0" w:type="dxa"/>
            <w:left w:w="108" w:type="dxa"/>
            <w:bottom w:w="0" w:type="dxa"/>
            <w:right w:w="108" w:type="dxa"/>
          </w:tblCellMar>
        </w:tblPrEx>
        <w:trPr>
          <w:trHeight w:val="340" w:hRule="atLeast"/>
        </w:trPr>
        <w:tc>
          <w:tcPr>
            <w:tcW w:w="516" w:type="pct"/>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1.4</w:t>
            </w:r>
          </w:p>
        </w:tc>
        <w:tc>
          <w:tcPr>
            <w:tcW w:w="697" w:type="pct"/>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0.5</w:t>
            </w:r>
          </w:p>
        </w:tc>
        <w:tc>
          <w:tcPr>
            <w:tcW w:w="567" w:type="pct"/>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0.3</w:t>
            </w:r>
          </w:p>
        </w:tc>
        <w:tc>
          <w:tcPr>
            <w:tcW w:w="837" w:type="pct"/>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0.389</w:t>
            </w:r>
          </w:p>
        </w:tc>
        <w:tc>
          <w:tcPr>
            <w:tcW w:w="782" w:type="pct"/>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6.4</w:t>
            </w:r>
          </w:p>
        </w:tc>
        <w:tc>
          <w:tcPr>
            <w:tcW w:w="667" w:type="pct"/>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0.0171</w:t>
            </w:r>
          </w:p>
        </w:tc>
        <w:tc>
          <w:tcPr>
            <w:tcW w:w="932" w:type="pct"/>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6.4</w:t>
            </w:r>
          </w:p>
        </w:tc>
      </w:tr>
      <w:tr>
        <w:tblPrEx>
          <w:tblCellMar>
            <w:top w:w="0" w:type="dxa"/>
            <w:left w:w="108" w:type="dxa"/>
            <w:bottom w:w="0" w:type="dxa"/>
            <w:right w:w="108" w:type="dxa"/>
          </w:tblCellMar>
        </w:tblPrEx>
        <w:trPr>
          <w:trHeight w:val="340" w:hRule="atLeast"/>
        </w:trPr>
        <w:tc>
          <w:tcPr>
            <w:tcW w:w="516" w:type="pct"/>
            <w:tcBorders>
              <w:bottom w:val="single" w:color="auto"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1.4</w:t>
            </w:r>
          </w:p>
        </w:tc>
        <w:tc>
          <w:tcPr>
            <w:tcW w:w="697" w:type="pct"/>
            <w:tcBorders>
              <w:bottom w:val="single" w:color="auto"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0.5</w:t>
            </w:r>
          </w:p>
        </w:tc>
        <w:tc>
          <w:tcPr>
            <w:tcW w:w="567" w:type="pct"/>
            <w:tcBorders>
              <w:bottom w:val="single" w:color="auto"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0.3</w:t>
            </w:r>
          </w:p>
        </w:tc>
        <w:tc>
          <w:tcPr>
            <w:tcW w:w="837" w:type="pct"/>
            <w:tcBorders>
              <w:bottom w:val="single" w:color="auto"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0.394</w:t>
            </w:r>
          </w:p>
        </w:tc>
        <w:tc>
          <w:tcPr>
            <w:tcW w:w="782" w:type="pct"/>
            <w:tcBorders>
              <w:bottom w:val="single" w:color="auto"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8.9</w:t>
            </w:r>
          </w:p>
        </w:tc>
        <w:tc>
          <w:tcPr>
            <w:tcW w:w="667" w:type="pct"/>
            <w:tcBorders>
              <w:bottom w:val="single" w:color="auto"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0.0169</w:t>
            </w:r>
          </w:p>
        </w:tc>
        <w:tc>
          <w:tcPr>
            <w:tcW w:w="932" w:type="pct"/>
            <w:tcBorders>
              <w:bottom w:val="single" w:color="auto"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8.9</w:t>
            </w:r>
          </w:p>
        </w:tc>
      </w:tr>
    </w:tbl>
    <w:p>
      <w:pPr>
        <w:jc w:val="center"/>
        <w:rPr>
          <w:color w:val="000000"/>
          <w:sz w:val="18"/>
          <w:szCs w:val="18"/>
        </w:rPr>
      </w:pPr>
    </w:p>
    <w:p>
      <w:pPr>
        <w:rPr>
          <w:sz w:val="18"/>
          <w:szCs w:val="18"/>
        </w:rPr>
      </w:pPr>
    </w:p>
    <w:p>
      <w:pPr>
        <w:ind w:firstLine="420" w:firstLineChars="200"/>
        <w:rPr>
          <w:szCs w:val="21"/>
        </w:rPr>
      </w:pPr>
      <w:r>
        <w:rPr>
          <w:szCs w:val="21"/>
        </w:rPr>
        <w:t>由表2和表3中数据可知，当钨粒、铁屑、锡粒用量分别为1.3 g、0.4 g、0.2 g时，测定结果趋于稳定，相对标准偏差低；低于这一用量时，可能由于燃烧不充分，测定结果相对偏差较大，重复性不好；而高于这一用量时，测量重复性变差，而且过大的助熔剂用量一方面浪费试剂，另一方面可能引入新的误差，所以钨粒、铁屑和锡粒助熔剂的最佳用量分别为1.3 g、0.4 g、0.2 g。</w:t>
      </w:r>
    </w:p>
    <w:p>
      <w:pPr>
        <w:spacing w:line="360" w:lineRule="auto"/>
        <w:ind w:right="420"/>
        <w:rPr>
          <w:rFonts w:hint="eastAsia"/>
          <w:b/>
          <w:color w:val="000000"/>
          <w:szCs w:val="21"/>
        </w:rPr>
      </w:pPr>
      <w:r>
        <w:rPr>
          <w:rFonts w:hint="eastAsia"/>
          <w:b/>
          <w:color w:val="000000"/>
          <w:szCs w:val="21"/>
          <w:lang w:val="en-US" w:eastAsia="zh-CN"/>
        </w:rPr>
        <w:t>3</w:t>
      </w:r>
      <w:r>
        <w:rPr>
          <w:b/>
          <w:color w:val="000000"/>
          <w:szCs w:val="21"/>
        </w:rPr>
        <w:t>.2.</w:t>
      </w:r>
      <w:r>
        <w:rPr>
          <w:rFonts w:hint="eastAsia"/>
          <w:b/>
          <w:color w:val="000000"/>
          <w:szCs w:val="21"/>
          <w:lang w:val="en-US" w:eastAsia="zh-CN"/>
        </w:rPr>
        <w:t>3</w:t>
      </w:r>
      <w:r>
        <w:rPr>
          <w:rFonts w:hint="eastAsia"/>
          <w:b/>
          <w:color w:val="000000"/>
          <w:szCs w:val="21"/>
        </w:rPr>
        <w:t>坩埚处理</w:t>
      </w:r>
    </w:p>
    <w:p>
      <w:pPr>
        <w:ind w:firstLine="420" w:firstLineChars="200"/>
        <w:rPr>
          <w:rFonts w:hint="eastAsia"/>
          <w:szCs w:val="21"/>
        </w:rPr>
      </w:pPr>
      <w:r>
        <w:rPr>
          <w:rFonts w:hint="eastAsia"/>
          <w:szCs w:val="21"/>
        </w:rPr>
        <w:t>检测碳硫</w:t>
      </w:r>
      <w:r>
        <w:rPr>
          <w:szCs w:val="21"/>
        </w:rPr>
        <w:t>用</w:t>
      </w:r>
      <w:r>
        <w:rPr>
          <w:rFonts w:hint="eastAsia"/>
          <w:szCs w:val="21"/>
        </w:rPr>
        <w:t>坩埚除本身有空白外，还因其吸收空气中的水分对微量碳硫的测定有较大的影响，故进行微量碳硫测定时，坩埚需在马弗炉中灼烧</w:t>
      </w:r>
      <w:r>
        <w:rPr>
          <w:szCs w:val="21"/>
        </w:rPr>
        <w:t>。</w:t>
      </w:r>
      <w:r>
        <w:rPr>
          <w:rFonts w:hint="eastAsia"/>
          <w:szCs w:val="21"/>
        </w:rPr>
        <w:t>试验证明：坩埚于1200 ℃灼烧8</w:t>
      </w:r>
      <w:r>
        <w:rPr>
          <w:szCs w:val="21"/>
        </w:rPr>
        <w:t>~</w:t>
      </w:r>
      <w:r>
        <w:rPr>
          <w:rFonts w:hint="eastAsia"/>
          <w:szCs w:val="21"/>
        </w:rPr>
        <w:t>12h，</w:t>
      </w:r>
      <w:r>
        <w:rPr>
          <w:szCs w:val="21"/>
        </w:rPr>
        <w:t>能够</w:t>
      </w:r>
      <w:r>
        <w:rPr>
          <w:rFonts w:hint="eastAsia"/>
          <w:szCs w:val="21"/>
        </w:rPr>
        <w:t>使其空白值降到最低而且</w:t>
      </w:r>
      <w:r>
        <w:rPr>
          <w:szCs w:val="21"/>
        </w:rPr>
        <w:t>稳定。</w:t>
      </w:r>
      <w:r>
        <w:rPr>
          <w:rFonts w:hint="eastAsia"/>
          <w:szCs w:val="21"/>
        </w:rPr>
        <w:t>因此</w:t>
      </w:r>
      <w:r>
        <w:rPr>
          <w:szCs w:val="21"/>
        </w:rPr>
        <w:t>，本</w:t>
      </w:r>
      <w:r>
        <w:rPr>
          <w:rFonts w:hint="eastAsia"/>
          <w:szCs w:val="21"/>
        </w:rPr>
        <w:t>方法</w:t>
      </w:r>
      <w:r>
        <w:rPr>
          <w:szCs w:val="21"/>
        </w:rPr>
        <w:t>中需要</w:t>
      </w:r>
      <w:r>
        <w:rPr>
          <w:rFonts w:hint="eastAsia"/>
          <w:szCs w:val="21"/>
        </w:rPr>
        <w:t>坩埚于1200 ℃灼烧8</w:t>
      </w:r>
      <w:r>
        <w:rPr>
          <w:szCs w:val="21"/>
        </w:rPr>
        <w:t>~</w:t>
      </w:r>
      <w:r>
        <w:rPr>
          <w:rFonts w:hint="eastAsia"/>
          <w:szCs w:val="21"/>
        </w:rPr>
        <w:t>12h，冷却后置于干燥器中备用。</w:t>
      </w:r>
    </w:p>
    <w:p>
      <w:pPr>
        <w:spacing w:line="360" w:lineRule="auto"/>
        <w:ind w:right="420"/>
        <w:rPr>
          <w:b/>
          <w:color w:val="000000"/>
          <w:szCs w:val="21"/>
        </w:rPr>
      </w:pPr>
      <w:r>
        <w:rPr>
          <w:rFonts w:hint="eastAsia"/>
          <w:b/>
          <w:color w:val="000000"/>
          <w:szCs w:val="21"/>
          <w:lang w:val="en-US" w:eastAsia="zh-CN"/>
        </w:rPr>
        <w:t>3</w:t>
      </w:r>
      <w:r>
        <w:rPr>
          <w:b/>
          <w:color w:val="000000"/>
          <w:szCs w:val="21"/>
        </w:rPr>
        <w:t>.</w:t>
      </w:r>
      <w:r>
        <w:rPr>
          <w:rFonts w:hint="eastAsia"/>
          <w:b/>
          <w:color w:val="000000"/>
          <w:szCs w:val="21"/>
        </w:rPr>
        <w:t>3</w:t>
      </w:r>
      <w:r>
        <w:rPr>
          <w:b/>
          <w:color w:val="000000"/>
          <w:szCs w:val="21"/>
        </w:rPr>
        <w:t xml:space="preserve"> 加标回收率的确定</w:t>
      </w:r>
    </w:p>
    <w:p>
      <w:pPr>
        <w:spacing w:line="360" w:lineRule="auto"/>
        <w:ind w:right="420"/>
        <w:rPr>
          <w:b/>
          <w:color w:val="000000"/>
          <w:szCs w:val="21"/>
        </w:rPr>
      </w:pPr>
      <w:r>
        <w:rPr>
          <w:rFonts w:hint="eastAsia"/>
          <w:b/>
          <w:color w:val="000000"/>
          <w:szCs w:val="21"/>
          <w:lang w:val="en-US" w:eastAsia="zh-CN"/>
        </w:rPr>
        <w:t>3</w:t>
      </w:r>
      <w:r>
        <w:rPr>
          <w:b/>
          <w:color w:val="000000"/>
          <w:szCs w:val="21"/>
        </w:rPr>
        <w:t>.</w:t>
      </w:r>
      <w:r>
        <w:rPr>
          <w:rFonts w:hint="eastAsia"/>
          <w:b/>
          <w:color w:val="000000"/>
          <w:szCs w:val="21"/>
        </w:rPr>
        <w:t>3</w:t>
      </w:r>
      <w:r>
        <w:rPr>
          <w:b/>
          <w:color w:val="000000"/>
          <w:szCs w:val="21"/>
        </w:rPr>
        <w:t>.1 碳加标回收试验</w:t>
      </w:r>
    </w:p>
    <w:p>
      <w:pPr>
        <w:ind w:firstLine="420" w:firstLineChars="200"/>
        <w:rPr>
          <w:rFonts w:eastAsia="黑体"/>
          <w:color w:val="000000"/>
          <w:sz w:val="18"/>
          <w:szCs w:val="18"/>
        </w:rPr>
      </w:pPr>
      <w:r>
        <w:rPr>
          <w:color w:val="000000"/>
          <w:szCs w:val="21"/>
        </w:rPr>
        <w:t>在氧化镧-170中加入已知碳、硫含量的钢标准物质501-679和502-449，分别配制3组，测定其回收率，结果见表4。</w:t>
      </w:r>
      <w:r>
        <w:rPr>
          <w:rFonts w:eastAsia="黑体"/>
          <w:color w:val="000000"/>
          <w:sz w:val="18"/>
          <w:szCs w:val="18"/>
        </w:rPr>
        <w:t xml:space="preserve"> </w:t>
      </w:r>
    </w:p>
    <w:p>
      <w:pPr>
        <w:jc w:val="center"/>
        <w:rPr>
          <w:color w:val="000000"/>
          <w:sz w:val="18"/>
          <w:szCs w:val="18"/>
        </w:rPr>
      </w:pPr>
      <w:r>
        <w:rPr>
          <w:color w:val="000000"/>
          <w:sz w:val="18"/>
          <w:szCs w:val="18"/>
        </w:rPr>
        <w:t>表4  碳加标回收试验</w:t>
      </w:r>
    </w:p>
    <w:p>
      <w:pPr>
        <w:jc w:val="center"/>
        <w:rPr>
          <w:color w:val="000000"/>
          <w:sz w:val="18"/>
          <w:szCs w:val="18"/>
        </w:rPr>
      </w:pPr>
    </w:p>
    <w:tbl>
      <w:tblPr>
        <w:tblStyle w:val="88"/>
        <w:tblW w:w="5000" w:type="pct"/>
        <w:jc w:val="center"/>
        <w:tblLayout w:type="autofit"/>
        <w:tblCellMar>
          <w:top w:w="0" w:type="dxa"/>
          <w:left w:w="108" w:type="dxa"/>
          <w:bottom w:w="0" w:type="dxa"/>
          <w:right w:w="108" w:type="dxa"/>
        </w:tblCellMar>
      </w:tblPr>
      <w:tblGrid>
        <w:gridCol w:w="1860"/>
        <w:gridCol w:w="2068"/>
        <w:gridCol w:w="2068"/>
        <w:gridCol w:w="2068"/>
        <w:gridCol w:w="1904"/>
      </w:tblGrid>
      <w:tr>
        <w:tblPrEx>
          <w:tblCellMar>
            <w:top w:w="0" w:type="dxa"/>
            <w:left w:w="108" w:type="dxa"/>
            <w:bottom w:w="0" w:type="dxa"/>
            <w:right w:w="108" w:type="dxa"/>
          </w:tblCellMar>
        </w:tblPrEx>
        <w:trPr>
          <w:trHeight w:val="340" w:hRule="atLeast"/>
          <w:jc w:val="center"/>
        </w:trPr>
        <w:tc>
          <w:tcPr>
            <w:tcW w:w="0" w:type="auto"/>
            <w:tcBorders>
              <w:top w:val="single" w:color="auto" w:sz="4" w:space="0"/>
            </w:tcBorders>
            <w:shd w:val="clear" w:color="auto" w:fill="auto"/>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试样编号</w:t>
            </w:r>
          </w:p>
        </w:tc>
        <w:tc>
          <w:tcPr>
            <w:tcW w:w="0" w:type="auto"/>
            <w:tcBorders>
              <w:top w:val="single" w:color="auto" w:sz="4" w:space="0"/>
            </w:tcBorders>
            <w:shd w:val="clear" w:color="auto" w:fill="auto"/>
            <w:noWrap/>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测定值/mg</w:t>
            </w:r>
          </w:p>
        </w:tc>
        <w:tc>
          <w:tcPr>
            <w:tcW w:w="0" w:type="auto"/>
            <w:tcBorders>
              <w:top w:val="single" w:color="auto" w:sz="4" w:space="0"/>
            </w:tcBorders>
            <w:shd w:val="clear" w:color="auto" w:fill="auto"/>
            <w:noWrap/>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加标量/mg</w:t>
            </w:r>
          </w:p>
        </w:tc>
        <w:tc>
          <w:tcPr>
            <w:tcW w:w="0" w:type="auto"/>
            <w:tcBorders>
              <w:top w:val="single" w:color="auto" w:sz="4" w:space="0"/>
            </w:tcBorders>
            <w:shd w:val="clear" w:color="auto" w:fill="auto"/>
            <w:noWrap/>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总含量/mg</w:t>
            </w:r>
          </w:p>
        </w:tc>
        <w:tc>
          <w:tcPr>
            <w:tcW w:w="0" w:type="auto"/>
            <w:tcBorders>
              <w:top w:val="single" w:color="auto" w:sz="4" w:space="0"/>
            </w:tcBorders>
            <w:shd w:val="clear" w:color="auto" w:fill="auto"/>
            <w:noWrap/>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回收率/%</w:t>
            </w:r>
          </w:p>
        </w:tc>
      </w:tr>
      <w:tr>
        <w:tblPrEx>
          <w:tblCellMar>
            <w:top w:w="0" w:type="dxa"/>
            <w:left w:w="108" w:type="dxa"/>
            <w:bottom w:w="0" w:type="dxa"/>
            <w:right w:w="108" w:type="dxa"/>
          </w:tblCellMar>
        </w:tblPrEx>
        <w:trPr>
          <w:trHeight w:val="340" w:hRule="atLeast"/>
          <w:jc w:val="center"/>
        </w:trPr>
        <w:tc>
          <w:tcPr>
            <w:tcW w:w="0" w:type="auto"/>
            <w:shd w:val="clear" w:color="auto" w:fill="auto"/>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0" w:type="auto"/>
            <w:shd w:val="clear" w:color="auto" w:fill="auto"/>
            <w:noWrap/>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0.1208</w:t>
            </w:r>
          </w:p>
        </w:tc>
        <w:tc>
          <w:tcPr>
            <w:tcW w:w="0" w:type="auto"/>
            <w:shd w:val="clear" w:color="auto" w:fill="auto"/>
            <w:noWrap/>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0.0966</w:t>
            </w:r>
          </w:p>
        </w:tc>
        <w:tc>
          <w:tcPr>
            <w:tcW w:w="0" w:type="auto"/>
            <w:shd w:val="clear" w:color="auto" w:fill="auto"/>
            <w:noWrap/>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0.2171</w:t>
            </w:r>
          </w:p>
        </w:tc>
        <w:tc>
          <w:tcPr>
            <w:tcW w:w="0" w:type="auto"/>
            <w:shd w:val="clear" w:color="auto" w:fill="auto"/>
            <w:noWrap/>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99.7</w:t>
            </w:r>
          </w:p>
        </w:tc>
      </w:tr>
      <w:tr>
        <w:tblPrEx>
          <w:tblCellMar>
            <w:top w:w="0" w:type="dxa"/>
            <w:left w:w="108" w:type="dxa"/>
            <w:bottom w:w="0" w:type="dxa"/>
            <w:right w:w="108" w:type="dxa"/>
          </w:tblCellMar>
        </w:tblPrEx>
        <w:trPr>
          <w:trHeight w:val="340" w:hRule="atLeast"/>
          <w:jc w:val="center"/>
        </w:trPr>
        <w:tc>
          <w:tcPr>
            <w:tcW w:w="0" w:type="auto"/>
            <w:shd w:val="clear" w:color="auto" w:fill="auto"/>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w:t>
            </w:r>
          </w:p>
        </w:tc>
        <w:tc>
          <w:tcPr>
            <w:tcW w:w="0" w:type="auto"/>
            <w:shd w:val="clear" w:color="auto" w:fill="auto"/>
            <w:noWrap/>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0.1208</w:t>
            </w:r>
          </w:p>
        </w:tc>
        <w:tc>
          <w:tcPr>
            <w:tcW w:w="0" w:type="auto"/>
            <w:shd w:val="clear" w:color="auto" w:fill="auto"/>
            <w:noWrap/>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0.1208</w:t>
            </w:r>
          </w:p>
        </w:tc>
        <w:tc>
          <w:tcPr>
            <w:tcW w:w="0" w:type="auto"/>
            <w:shd w:val="clear" w:color="auto" w:fill="auto"/>
            <w:noWrap/>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0.2435</w:t>
            </w:r>
          </w:p>
        </w:tc>
        <w:tc>
          <w:tcPr>
            <w:tcW w:w="0" w:type="auto"/>
            <w:shd w:val="clear" w:color="auto" w:fill="auto"/>
            <w:noWrap/>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101.6</w:t>
            </w:r>
          </w:p>
        </w:tc>
      </w:tr>
      <w:tr>
        <w:tblPrEx>
          <w:tblCellMar>
            <w:top w:w="0" w:type="dxa"/>
            <w:left w:w="108" w:type="dxa"/>
            <w:bottom w:w="0" w:type="dxa"/>
            <w:right w:w="108" w:type="dxa"/>
          </w:tblCellMar>
        </w:tblPrEx>
        <w:trPr>
          <w:trHeight w:val="340" w:hRule="atLeast"/>
          <w:jc w:val="center"/>
        </w:trPr>
        <w:tc>
          <w:tcPr>
            <w:tcW w:w="0" w:type="auto"/>
            <w:tcBorders>
              <w:bottom w:val="single" w:color="auto" w:sz="4" w:space="0"/>
            </w:tcBorders>
            <w:shd w:val="clear" w:color="auto" w:fill="auto"/>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w:t>
            </w:r>
          </w:p>
        </w:tc>
        <w:tc>
          <w:tcPr>
            <w:tcW w:w="0" w:type="auto"/>
            <w:tcBorders>
              <w:bottom w:val="single" w:color="auto" w:sz="4" w:space="0"/>
            </w:tcBorders>
            <w:shd w:val="clear" w:color="auto" w:fill="auto"/>
            <w:noWrap/>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0.1208</w:t>
            </w:r>
          </w:p>
        </w:tc>
        <w:tc>
          <w:tcPr>
            <w:tcW w:w="0" w:type="auto"/>
            <w:tcBorders>
              <w:bottom w:val="single" w:color="auto" w:sz="4" w:space="0"/>
            </w:tcBorders>
            <w:shd w:val="clear" w:color="auto" w:fill="auto"/>
            <w:noWrap/>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0.1811</w:t>
            </w:r>
          </w:p>
        </w:tc>
        <w:tc>
          <w:tcPr>
            <w:tcW w:w="0" w:type="auto"/>
            <w:tcBorders>
              <w:bottom w:val="single" w:color="auto" w:sz="4" w:space="0"/>
            </w:tcBorders>
            <w:shd w:val="clear" w:color="auto" w:fill="auto"/>
            <w:noWrap/>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0.3089</w:t>
            </w:r>
          </w:p>
        </w:tc>
        <w:tc>
          <w:tcPr>
            <w:tcW w:w="0" w:type="auto"/>
            <w:tcBorders>
              <w:bottom w:val="single" w:color="auto" w:sz="4" w:space="0"/>
            </w:tcBorders>
            <w:shd w:val="clear" w:color="auto" w:fill="auto"/>
            <w:noWrap/>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103.9</w:t>
            </w:r>
          </w:p>
        </w:tc>
      </w:tr>
    </w:tbl>
    <w:p>
      <w:pPr>
        <w:jc w:val="center"/>
        <w:rPr>
          <w:color w:val="000000"/>
          <w:sz w:val="18"/>
          <w:szCs w:val="18"/>
        </w:rPr>
      </w:pPr>
    </w:p>
    <w:p>
      <w:pPr>
        <w:spacing w:line="360" w:lineRule="auto"/>
        <w:ind w:right="420"/>
        <w:rPr>
          <w:b/>
          <w:color w:val="000000"/>
          <w:szCs w:val="21"/>
        </w:rPr>
      </w:pPr>
      <w:r>
        <w:rPr>
          <w:rFonts w:hint="eastAsia"/>
          <w:b/>
          <w:color w:val="000000"/>
          <w:szCs w:val="21"/>
          <w:lang w:val="en-US" w:eastAsia="zh-CN"/>
        </w:rPr>
        <w:t>3</w:t>
      </w:r>
      <w:r>
        <w:rPr>
          <w:b/>
          <w:color w:val="000000"/>
          <w:szCs w:val="21"/>
        </w:rPr>
        <w:t>.</w:t>
      </w:r>
      <w:r>
        <w:rPr>
          <w:rFonts w:hint="eastAsia"/>
          <w:b/>
          <w:color w:val="000000"/>
          <w:szCs w:val="21"/>
        </w:rPr>
        <w:t>3</w:t>
      </w:r>
      <w:r>
        <w:rPr>
          <w:b/>
          <w:color w:val="000000"/>
          <w:szCs w:val="21"/>
        </w:rPr>
        <w:t>.2  硫加标回收试验</w:t>
      </w:r>
    </w:p>
    <w:p>
      <w:pPr>
        <w:jc w:val="center"/>
        <w:rPr>
          <w:color w:val="000000"/>
          <w:sz w:val="18"/>
          <w:szCs w:val="18"/>
        </w:rPr>
      </w:pPr>
      <w:r>
        <w:rPr>
          <w:color w:val="000000"/>
          <w:sz w:val="18"/>
          <w:szCs w:val="18"/>
        </w:rPr>
        <w:t>表5  硫加标回收试验</w:t>
      </w:r>
    </w:p>
    <w:p>
      <w:pPr>
        <w:jc w:val="center"/>
        <w:rPr>
          <w:color w:val="000000"/>
          <w:sz w:val="18"/>
          <w:szCs w:val="18"/>
        </w:rPr>
      </w:pPr>
    </w:p>
    <w:tbl>
      <w:tblPr>
        <w:tblStyle w:val="88"/>
        <w:tblW w:w="4975" w:type="pct"/>
        <w:jc w:val="center"/>
        <w:tblLayout w:type="autofit"/>
        <w:tblCellMar>
          <w:top w:w="0" w:type="dxa"/>
          <w:left w:w="108" w:type="dxa"/>
          <w:bottom w:w="0" w:type="dxa"/>
          <w:right w:w="108" w:type="dxa"/>
        </w:tblCellMar>
      </w:tblPr>
      <w:tblGrid>
        <w:gridCol w:w="1852"/>
        <w:gridCol w:w="2057"/>
        <w:gridCol w:w="2057"/>
        <w:gridCol w:w="2057"/>
        <w:gridCol w:w="1895"/>
      </w:tblGrid>
      <w:tr>
        <w:tblPrEx>
          <w:tblCellMar>
            <w:top w:w="0" w:type="dxa"/>
            <w:left w:w="108" w:type="dxa"/>
            <w:bottom w:w="0" w:type="dxa"/>
            <w:right w:w="108" w:type="dxa"/>
          </w:tblCellMar>
        </w:tblPrEx>
        <w:trPr>
          <w:trHeight w:val="340" w:hRule="atLeast"/>
          <w:jc w:val="center"/>
        </w:trPr>
        <w:tc>
          <w:tcPr>
            <w:tcW w:w="0" w:type="auto"/>
            <w:tcBorders>
              <w:top w:val="single" w:color="auto" w:sz="4" w:space="0"/>
              <w:bottom w:val="single" w:color="auto" w:sz="4" w:space="0"/>
            </w:tcBorders>
            <w:shd w:val="clear" w:color="auto" w:fill="auto"/>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xml:space="preserve">试样编号 </w:t>
            </w:r>
          </w:p>
        </w:tc>
        <w:tc>
          <w:tcPr>
            <w:tcW w:w="0" w:type="auto"/>
            <w:tcBorders>
              <w:top w:val="single" w:color="auto" w:sz="4" w:space="0"/>
              <w:bottom w:val="single" w:color="auto" w:sz="4" w:space="0"/>
            </w:tcBorders>
            <w:shd w:val="clear" w:color="auto" w:fill="auto"/>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测定值/mg</w:t>
            </w:r>
          </w:p>
        </w:tc>
        <w:tc>
          <w:tcPr>
            <w:tcW w:w="0" w:type="auto"/>
            <w:tcBorders>
              <w:top w:val="single" w:color="auto" w:sz="4" w:space="0"/>
              <w:bottom w:val="single" w:color="auto" w:sz="4" w:space="0"/>
            </w:tcBorders>
            <w:shd w:val="clear" w:color="auto" w:fill="auto"/>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加标量/mg</w:t>
            </w:r>
          </w:p>
        </w:tc>
        <w:tc>
          <w:tcPr>
            <w:tcW w:w="0" w:type="auto"/>
            <w:tcBorders>
              <w:top w:val="single" w:color="auto" w:sz="4" w:space="0"/>
              <w:bottom w:val="single" w:color="auto" w:sz="4" w:space="0"/>
            </w:tcBorders>
            <w:shd w:val="clear" w:color="auto" w:fill="auto"/>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总含量/mg</w:t>
            </w:r>
          </w:p>
        </w:tc>
        <w:tc>
          <w:tcPr>
            <w:tcW w:w="0" w:type="auto"/>
            <w:tcBorders>
              <w:top w:val="single" w:color="auto" w:sz="4" w:space="0"/>
              <w:bottom w:val="single" w:color="auto" w:sz="4" w:space="0"/>
            </w:tcBorders>
            <w:shd w:val="clear" w:color="auto" w:fill="auto"/>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回收率/%</w:t>
            </w:r>
          </w:p>
        </w:tc>
      </w:tr>
      <w:tr>
        <w:tblPrEx>
          <w:tblCellMar>
            <w:top w:w="0" w:type="dxa"/>
            <w:left w:w="108" w:type="dxa"/>
            <w:bottom w:w="0" w:type="dxa"/>
            <w:right w:w="108" w:type="dxa"/>
          </w:tblCellMar>
        </w:tblPrEx>
        <w:trPr>
          <w:trHeight w:val="340" w:hRule="atLeast"/>
          <w:jc w:val="center"/>
        </w:trPr>
        <w:tc>
          <w:tcPr>
            <w:tcW w:w="0" w:type="auto"/>
            <w:tcBorders>
              <w:top w:val="single" w:color="auto" w:sz="4" w:space="0"/>
            </w:tcBorders>
            <w:shd w:val="clear" w:color="auto" w:fill="auto"/>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0" w:type="auto"/>
            <w:tcBorders>
              <w:top w:val="single" w:color="auto" w:sz="4" w:space="0"/>
            </w:tcBorders>
            <w:shd w:val="clear" w:color="auto" w:fill="auto"/>
            <w:noWrap/>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0.0341</w:t>
            </w:r>
          </w:p>
        </w:tc>
        <w:tc>
          <w:tcPr>
            <w:tcW w:w="0" w:type="auto"/>
            <w:tcBorders>
              <w:top w:val="single" w:color="auto" w:sz="4" w:space="0"/>
            </w:tcBorders>
            <w:shd w:val="clear" w:color="auto" w:fill="auto"/>
            <w:noWrap/>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0.0307</w:t>
            </w:r>
          </w:p>
        </w:tc>
        <w:tc>
          <w:tcPr>
            <w:tcW w:w="0" w:type="auto"/>
            <w:tcBorders>
              <w:top w:val="single" w:color="auto" w:sz="4" w:space="0"/>
            </w:tcBorders>
            <w:shd w:val="clear" w:color="auto" w:fill="auto"/>
            <w:noWrap/>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0.0646</w:t>
            </w:r>
          </w:p>
        </w:tc>
        <w:tc>
          <w:tcPr>
            <w:tcW w:w="0" w:type="auto"/>
            <w:tcBorders>
              <w:top w:val="single" w:color="auto" w:sz="4" w:space="0"/>
            </w:tcBorders>
            <w:shd w:val="clear" w:color="auto" w:fill="auto"/>
            <w:noWrap/>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99.3</w:t>
            </w:r>
          </w:p>
        </w:tc>
      </w:tr>
      <w:tr>
        <w:tblPrEx>
          <w:tblCellMar>
            <w:top w:w="0" w:type="dxa"/>
            <w:left w:w="108" w:type="dxa"/>
            <w:bottom w:w="0" w:type="dxa"/>
            <w:right w:w="108" w:type="dxa"/>
          </w:tblCellMar>
        </w:tblPrEx>
        <w:trPr>
          <w:trHeight w:val="340" w:hRule="atLeast"/>
          <w:jc w:val="center"/>
        </w:trPr>
        <w:tc>
          <w:tcPr>
            <w:tcW w:w="0" w:type="auto"/>
            <w:shd w:val="clear" w:color="auto" w:fill="auto"/>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w:t>
            </w:r>
          </w:p>
        </w:tc>
        <w:tc>
          <w:tcPr>
            <w:tcW w:w="0" w:type="auto"/>
            <w:shd w:val="clear" w:color="auto" w:fill="auto"/>
            <w:noWrap/>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0.0341</w:t>
            </w:r>
          </w:p>
        </w:tc>
        <w:tc>
          <w:tcPr>
            <w:tcW w:w="0" w:type="auto"/>
            <w:shd w:val="clear" w:color="auto" w:fill="auto"/>
            <w:noWrap/>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0.0341</w:t>
            </w:r>
          </w:p>
        </w:tc>
        <w:tc>
          <w:tcPr>
            <w:tcW w:w="0" w:type="auto"/>
            <w:shd w:val="clear" w:color="auto" w:fill="auto"/>
            <w:noWrap/>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0.0686</w:t>
            </w:r>
          </w:p>
        </w:tc>
        <w:tc>
          <w:tcPr>
            <w:tcW w:w="0" w:type="auto"/>
            <w:shd w:val="clear" w:color="auto" w:fill="auto"/>
            <w:noWrap/>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101.2</w:t>
            </w:r>
          </w:p>
        </w:tc>
      </w:tr>
      <w:tr>
        <w:tblPrEx>
          <w:tblCellMar>
            <w:top w:w="0" w:type="dxa"/>
            <w:left w:w="108" w:type="dxa"/>
            <w:bottom w:w="0" w:type="dxa"/>
            <w:right w:w="108" w:type="dxa"/>
          </w:tblCellMar>
        </w:tblPrEx>
        <w:trPr>
          <w:trHeight w:val="340" w:hRule="atLeast"/>
          <w:jc w:val="center"/>
        </w:trPr>
        <w:tc>
          <w:tcPr>
            <w:tcW w:w="0" w:type="auto"/>
            <w:tcBorders>
              <w:bottom w:val="single" w:color="auto" w:sz="4" w:space="0"/>
            </w:tcBorders>
            <w:shd w:val="clear" w:color="auto" w:fill="auto"/>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w:t>
            </w:r>
          </w:p>
        </w:tc>
        <w:tc>
          <w:tcPr>
            <w:tcW w:w="0" w:type="auto"/>
            <w:tcBorders>
              <w:bottom w:val="single" w:color="auto" w:sz="4" w:space="0"/>
            </w:tcBorders>
            <w:shd w:val="clear" w:color="auto" w:fill="auto"/>
            <w:noWrap/>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0.0341</w:t>
            </w:r>
          </w:p>
        </w:tc>
        <w:tc>
          <w:tcPr>
            <w:tcW w:w="0" w:type="auto"/>
            <w:tcBorders>
              <w:bottom w:val="single" w:color="auto" w:sz="4" w:space="0"/>
            </w:tcBorders>
            <w:shd w:val="clear" w:color="auto" w:fill="auto"/>
            <w:noWrap/>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0.0511</w:t>
            </w:r>
          </w:p>
        </w:tc>
        <w:tc>
          <w:tcPr>
            <w:tcW w:w="0" w:type="auto"/>
            <w:tcBorders>
              <w:bottom w:val="single" w:color="auto" w:sz="4" w:space="0"/>
            </w:tcBorders>
            <w:shd w:val="clear" w:color="auto" w:fill="auto"/>
            <w:noWrap/>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0.0879</w:t>
            </w:r>
          </w:p>
        </w:tc>
        <w:tc>
          <w:tcPr>
            <w:tcW w:w="0" w:type="auto"/>
            <w:tcBorders>
              <w:bottom w:val="single" w:color="auto" w:sz="4" w:space="0"/>
            </w:tcBorders>
            <w:shd w:val="clear" w:color="auto" w:fill="auto"/>
            <w:noWrap/>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105.3</w:t>
            </w:r>
          </w:p>
        </w:tc>
      </w:tr>
    </w:tbl>
    <w:p>
      <w:pPr>
        <w:jc w:val="center"/>
        <w:rPr>
          <w:color w:val="000000"/>
          <w:sz w:val="18"/>
          <w:szCs w:val="18"/>
        </w:rPr>
      </w:pPr>
    </w:p>
    <w:p>
      <w:pPr>
        <w:ind w:right="420" w:firstLine="630" w:firstLineChars="300"/>
        <w:rPr>
          <w:color w:val="000000"/>
          <w:szCs w:val="21"/>
        </w:rPr>
      </w:pPr>
      <w:r>
        <w:rPr>
          <w:color w:val="000000"/>
          <w:szCs w:val="21"/>
        </w:rPr>
        <w:t>由表4、5中数据可知，样品碳加标回收率在99.7%～103.9%之间，硫加标回收率在99.3%～105.3%之间，可以满足满足分析检测的要求。</w:t>
      </w:r>
    </w:p>
    <w:p>
      <w:pPr>
        <w:pStyle w:val="120"/>
        <w:tabs>
          <w:tab w:val="clear" w:pos="675"/>
        </w:tabs>
        <w:spacing w:before="156" w:beforeLines="50" w:after="156" w:afterLines="50" w:line="300" w:lineRule="auto"/>
        <w:ind w:left="0" w:firstLine="0"/>
        <w:rPr>
          <w:rFonts w:ascii="Times New Roman"/>
          <w:szCs w:val="21"/>
        </w:rPr>
      </w:pPr>
      <w:r>
        <w:rPr>
          <w:rFonts w:hint="eastAsia" w:ascii="Times New Roman"/>
          <w:szCs w:val="21"/>
          <w:lang w:val="en-US" w:eastAsia="zh-CN"/>
        </w:rPr>
        <w:t>4</w:t>
      </w:r>
      <w:r>
        <w:rPr>
          <w:rFonts w:ascii="Times New Roman"/>
          <w:szCs w:val="21"/>
        </w:rPr>
        <w:t>、精密度的确定依据</w:t>
      </w:r>
    </w:p>
    <w:p>
      <w:pPr>
        <w:ind w:right="420" w:firstLine="630" w:firstLineChars="300"/>
        <w:rPr>
          <w:color w:val="000000"/>
          <w:szCs w:val="21"/>
        </w:rPr>
      </w:pPr>
      <w:r>
        <w:rPr>
          <w:color w:val="000000"/>
          <w:szCs w:val="21"/>
        </w:rPr>
        <w:t>因为稀土金属及其氧化物涉及的试样种类较多，试验选取金属镱、镨钕合金、氧化钕和氧化镧作为统一样，包含了轻、重稀土金属及其氧化物，具有一定的代表性。</w:t>
      </w:r>
    </w:p>
    <w:p>
      <w:pPr>
        <w:spacing w:line="360" w:lineRule="auto"/>
        <w:ind w:right="420"/>
        <w:rPr>
          <w:b/>
          <w:color w:val="000000"/>
          <w:szCs w:val="21"/>
        </w:rPr>
      </w:pPr>
      <w:r>
        <w:rPr>
          <w:rFonts w:hint="eastAsia"/>
          <w:b/>
          <w:color w:val="000000"/>
          <w:szCs w:val="21"/>
          <w:lang w:val="en-US" w:eastAsia="zh-CN"/>
        </w:rPr>
        <w:t>4</w:t>
      </w:r>
      <w:r>
        <w:rPr>
          <w:rFonts w:hint="eastAsia"/>
          <w:b/>
          <w:color w:val="000000"/>
          <w:szCs w:val="21"/>
        </w:rPr>
        <w:t xml:space="preserve">.1  </w:t>
      </w:r>
      <w:r>
        <w:rPr>
          <w:rFonts w:hint="eastAsia" w:ascii="黑体" w:hAnsi="黑体" w:eastAsia="黑体"/>
          <w:b/>
          <w:color w:val="000000"/>
          <w:szCs w:val="21"/>
        </w:rPr>
        <w:t>硫</w:t>
      </w:r>
      <w:r>
        <w:rPr>
          <w:rFonts w:ascii="黑体" w:hAnsi="黑体" w:eastAsia="黑体"/>
          <w:b/>
          <w:color w:val="000000"/>
          <w:szCs w:val="21"/>
        </w:rPr>
        <w:t>精密度试验</w:t>
      </w:r>
    </w:p>
    <w:p>
      <w:pPr>
        <w:ind w:firstLine="420" w:firstLineChars="200"/>
        <w:rPr>
          <w:color w:val="000000"/>
          <w:szCs w:val="21"/>
        </w:rPr>
      </w:pPr>
      <w:r>
        <w:rPr>
          <w:color w:val="000000"/>
          <w:szCs w:val="21"/>
        </w:rPr>
        <w:t>对碳含量不同的</w:t>
      </w:r>
      <w:r>
        <w:rPr>
          <w:rFonts w:hint="eastAsia"/>
          <w:color w:val="000000"/>
          <w:szCs w:val="21"/>
        </w:rPr>
        <w:t>六</w:t>
      </w:r>
      <w:r>
        <w:rPr>
          <w:color w:val="000000"/>
          <w:szCs w:val="21"/>
        </w:rPr>
        <w:t>种</w:t>
      </w:r>
      <w:r>
        <w:rPr>
          <w:rFonts w:hint="eastAsia"/>
          <w:color w:val="000000"/>
          <w:szCs w:val="21"/>
        </w:rPr>
        <w:t>稀土</w:t>
      </w:r>
      <w:r>
        <w:rPr>
          <w:color w:val="000000"/>
          <w:szCs w:val="21"/>
        </w:rPr>
        <w:t>金属及其氧化物样品进行11次平行测定，结果见表</w:t>
      </w:r>
      <w:r>
        <w:rPr>
          <w:rFonts w:hint="eastAsia"/>
          <w:color w:val="000000"/>
          <w:szCs w:val="21"/>
        </w:rPr>
        <w:t>6</w:t>
      </w:r>
      <w:r>
        <w:rPr>
          <w:color w:val="000000"/>
          <w:szCs w:val="21"/>
        </w:rPr>
        <w:t xml:space="preserve">。 </w:t>
      </w:r>
    </w:p>
    <w:p>
      <w:pPr>
        <w:jc w:val="center"/>
        <w:rPr>
          <w:color w:val="000000"/>
          <w:sz w:val="18"/>
          <w:szCs w:val="18"/>
        </w:rPr>
      </w:pPr>
    </w:p>
    <w:p>
      <w:pPr>
        <w:jc w:val="center"/>
        <w:rPr>
          <w:color w:val="000000"/>
          <w:sz w:val="18"/>
          <w:szCs w:val="18"/>
        </w:rPr>
      </w:pPr>
      <w:r>
        <w:rPr>
          <w:color w:val="000000"/>
          <w:sz w:val="18"/>
          <w:szCs w:val="18"/>
        </w:rPr>
        <w:t>表</w:t>
      </w:r>
      <w:r>
        <w:rPr>
          <w:rFonts w:hint="eastAsia"/>
          <w:color w:val="000000"/>
          <w:sz w:val="18"/>
          <w:szCs w:val="18"/>
        </w:rPr>
        <w:t>6</w:t>
      </w:r>
      <w:r>
        <w:rPr>
          <w:color w:val="000000"/>
          <w:sz w:val="18"/>
          <w:szCs w:val="18"/>
        </w:rPr>
        <w:t xml:space="preserve">   </w:t>
      </w:r>
      <w:r>
        <w:rPr>
          <w:rFonts w:hint="eastAsia"/>
          <w:color w:val="000000"/>
          <w:sz w:val="18"/>
          <w:szCs w:val="18"/>
        </w:rPr>
        <w:t xml:space="preserve"> </w:t>
      </w:r>
      <w:r>
        <w:rPr>
          <w:color w:val="000000"/>
          <w:sz w:val="18"/>
          <w:szCs w:val="18"/>
        </w:rPr>
        <w:t>精密度试验</w:t>
      </w:r>
    </w:p>
    <w:p>
      <w:pPr>
        <w:rPr>
          <w:color w:val="000000"/>
          <w:sz w:val="18"/>
          <w:szCs w:val="18"/>
        </w:rPr>
      </w:pPr>
    </w:p>
    <w:tbl>
      <w:tblPr>
        <w:tblStyle w:val="88"/>
        <w:tblW w:w="5000" w:type="pct"/>
        <w:tblInd w:w="0" w:type="dxa"/>
        <w:tblLayout w:type="autofit"/>
        <w:tblCellMar>
          <w:top w:w="0" w:type="dxa"/>
          <w:left w:w="108" w:type="dxa"/>
          <w:bottom w:w="0" w:type="dxa"/>
          <w:right w:w="108" w:type="dxa"/>
        </w:tblCellMar>
      </w:tblPr>
      <w:tblGrid>
        <w:gridCol w:w="1656"/>
        <w:gridCol w:w="1320"/>
        <w:gridCol w:w="1243"/>
        <w:gridCol w:w="1454"/>
        <w:gridCol w:w="1362"/>
        <w:gridCol w:w="1501"/>
        <w:gridCol w:w="1432"/>
      </w:tblGrid>
      <w:tr>
        <w:tblPrEx>
          <w:tblCellMar>
            <w:top w:w="0" w:type="dxa"/>
            <w:left w:w="108" w:type="dxa"/>
            <w:bottom w:w="0" w:type="dxa"/>
            <w:right w:w="108" w:type="dxa"/>
          </w:tblCellMar>
        </w:tblPrEx>
        <w:trPr>
          <w:trHeight w:val="340" w:hRule="atLeast"/>
        </w:trPr>
        <w:tc>
          <w:tcPr>
            <w:tcW w:w="1656" w:type="dxa"/>
            <w:tcBorders>
              <w:top w:val="single" w:color="auto" w:sz="4" w:space="0"/>
              <w:left w:val="single" w:color="auto" w:sz="8" w:space="0"/>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样品编号</w:t>
            </w:r>
          </w:p>
        </w:tc>
        <w:tc>
          <w:tcPr>
            <w:tcW w:w="1320" w:type="dxa"/>
            <w:tcBorders>
              <w:top w:val="single" w:color="auto" w:sz="4" w:space="0"/>
              <w:left w:val="nil"/>
              <w:bottom w:val="nil"/>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1</w:t>
            </w:r>
          </w:p>
        </w:tc>
        <w:tc>
          <w:tcPr>
            <w:tcW w:w="1243" w:type="dxa"/>
            <w:tcBorders>
              <w:top w:val="single" w:color="auto" w:sz="4" w:space="0"/>
              <w:left w:val="nil"/>
              <w:bottom w:val="nil"/>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2</w:t>
            </w:r>
          </w:p>
        </w:tc>
        <w:tc>
          <w:tcPr>
            <w:tcW w:w="1454" w:type="dxa"/>
            <w:tcBorders>
              <w:top w:val="single" w:color="auto" w:sz="4" w:space="0"/>
              <w:left w:val="nil"/>
              <w:bottom w:val="nil"/>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3</w:t>
            </w:r>
          </w:p>
        </w:tc>
        <w:tc>
          <w:tcPr>
            <w:tcW w:w="1362" w:type="dxa"/>
            <w:tcBorders>
              <w:top w:val="single" w:color="auto" w:sz="4" w:space="0"/>
              <w:left w:val="nil"/>
              <w:bottom w:val="nil"/>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4</w:t>
            </w:r>
          </w:p>
        </w:tc>
        <w:tc>
          <w:tcPr>
            <w:tcW w:w="1501" w:type="dxa"/>
            <w:tcBorders>
              <w:top w:val="single" w:color="auto" w:sz="4" w:space="0"/>
              <w:left w:val="nil"/>
              <w:bottom w:val="nil"/>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5</w:t>
            </w:r>
          </w:p>
        </w:tc>
        <w:tc>
          <w:tcPr>
            <w:tcW w:w="1432" w:type="dxa"/>
            <w:tcBorders>
              <w:top w:val="single" w:color="auto" w:sz="4" w:space="0"/>
              <w:left w:val="nil"/>
              <w:bottom w:val="nil"/>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6</w:t>
            </w:r>
          </w:p>
        </w:tc>
      </w:tr>
      <w:tr>
        <w:tblPrEx>
          <w:tblCellMar>
            <w:top w:w="0" w:type="dxa"/>
            <w:left w:w="108" w:type="dxa"/>
            <w:bottom w:w="0" w:type="dxa"/>
            <w:right w:w="108" w:type="dxa"/>
          </w:tblCellMar>
        </w:tblPrEx>
        <w:trPr>
          <w:trHeight w:val="90" w:hRule="atLeast"/>
        </w:trPr>
        <w:tc>
          <w:tcPr>
            <w:tcW w:w="1656" w:type="dxa"/>
            <w:vMerge w:val="restart"/>
            <w:tcBorders>
              <w:top w:val="nil"/>
              <w:left w:val="single" w:color="auto" w:sz="8" w:space="0"/>
              <w:right w:val="single" w:color="auto" w:sz="4" w:space="0"/>
            </w:tcBorders>
            <w:noWrap/>
            <w:vAlign w:val="center"/>
          </w:tcPr>
          <w:p>
            <w:pPr>
              <w:jc w:val="center"/>
              <w:rPr>
                <w:rFonts w:hint="default" w:ascii="Times New Roman" w:hAnsi="Times New Roman" w:cs="Times New Roman"/>
                <w:color w:val="000000"/>
                <w:sz w:val="21"/>
                <w:szCs w:val="21"/>
              </w:rPr>
            </w:pPr>
          </w:p>
          <w:p>
            <w:pPr>
              <w:jc w:val="center"/>
              <w:rPr>
                <w:rFonts w:hint="default" w:ascii="Times New Roman" w:hAnsi="Times New Roman" w:cs="Times New Roman"/>
                <w:color w:val="000000"/>
                <w:sz w:val="21"/>
                <w:szCs w:val="21"/>
              </w:rPr>
            </w:pPr>
          </w:p>
          <w:p>
            <w:pPr>
              <w:jc w:val="center"/>
              <w:rPr>
                <w:rFonts w:hint="default" w:ascii="Times New Roman" w:hAnsi="Times New Roman" w:cs="Times New Roman"/>
                <w:color w:val="000000"/>
                <w:sz w:val="21"/>
                <w:szCs w:val="21"/>
              </w:rPr>
            </w:pPr>
          </w:p>
          <w:p>
            <w:pPr>
              <w:jc w:val="center"/>
              <w:rPr>
                <w:rFonts w:hint="default" w:ascii="Times New Roman" w:hAnsi="Times New Roman" w:cs="Times New Roman"/>
                <w:color w:val="000000"/>
                <w:sz w:val="21"/>
                <w:szCs w:val="21"/>
              </w:rPr>
            </w:pPr>
          </w:p>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测定结果/%</w:t>
            </w:r>
          </w:p>
          <w:p>
            <w:pPr>
              <w:jc w:val="center"/>
              <w:rPr>
                <w:rFonts w:hint="default" w:ascii="Times New Roman" w:hAnsi="Times New Roman" w:cs="Times New Roman"/>
                <w:color w:val="000000"/>
                <w:sz w:val="21"/>
                <w:szCs w:val="21"/>
              </w:rPr>
            </w:pPr>
          </w:p>
          <w:p>
            <w:pPr>
              <w:jc w:val="center"/>
              <w:rPr>
                <w:rFonts w:hint="default" w:ascii="Times New Roman" w:hAnsi="Times New Roman" w:cs="Times New Roman"/>
                <w:color w:val="000000"/>
                <w:sz w:val="21"/>
                <w:szCs w:val="21"/>
              </w:rPr>
            </w:pPr>
          </w:p>
          <w:p>
            <w:pPr>
              <w:jc w:val="center"/>
              <w:rPr>
                <w:rFonts w:hint="default" w:ascii="Times New Roman" w:hAnsi="Times New Roman" w:cs="Times New Roman"/>
                <w:color w:val="000000"/>
                <w:sz w:val="21"/>
                <w:szCs w:val="21"/>
              </w:rPr>
            </w:pPr>
          </w:p>
          <w:p>
            <w:pPr>
              <w:jc w:val="center"/>
              <w:rPr>
                <w:rFonts w:hint="default" w:ascii="Times New Roman" w:hAnsi="Times New Roman" w:cs="Times New Roman"/>
                <w:color w:val="000000"/>
                <w:sz w:val="21"/>
                <w:szCs w:val="21"/>
              </w:rPr>
            </w:pPr>
          </w:p>
        </w:tc>
        <w:tc>
          <w:tcPr>
            <w:tcW w:w="1320"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0.0021</w:t>
            </w:r>
          </w:p>
        </w:tc>
        <w:tc>
          <w:tcPr>
            <w:tcW w:w="1243"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0.0112</w:t>
            </w:r>
          </w:p>
        </w:tc>
        <w:tc>
          <w:tcPr>
            <w:tcW w:w="1454"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0.0310</w:t>
            </w:r>
          </w:p>
        </w:tc>
        <w:tc>
          <w:tcPr>
            <w:tcW w:w="1362"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0.141</w:t>
            </w:r>
          </w:p>
        </w:tc>
        <w:tc>
          <w:tcPr>
            <w:tcW w:w="1501"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0.382</w:t>
            </w:r>
          </w:p>
        </w:tc>
        <w:tc>
          <w:tcPr>
            <w:tcW w:w="1432" w:type="dxa"/>
            <w:tcBorders>
              <w:top w:val="single" w:color="auto" w:sz="4" w:space="0"/>
              <w:left w:val="nil"/>
              <w:bottom w:val="single" w:color="auto" w:sz="4" w:space="0"/>
              <w:right w:val="single" w:color="auto" w:sz="4"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0.893</w:t>
            </w:r>
          </w:p>
        </w:tc>
      </w:tr>
      <w:tr>
        <w:tblPrEx>
          <w:tblCellMar>
            <w:top w:w="0" w:type="dxa"/>
            <w:left w:w="108" w:type="dxa"/>
            <w:bottom w:w="0" w:type="dxa"/>
            <w:right w:w="108" w:type="dxa"/>
          </w:tblCellMar>
        </w:tblPrEx>
        <w:trPr>
          <w:trHeight w:val="340" w:hRule="atLeast"/>
        </w:trPr>
        <w:tc>
          <w:tcPr>
            <w:tcW w:w="1656" w:type="dxa"/>
            <w:vMerge w:val="continue"/>
            <w:tcBorders>
              <w:left w:val="single" w:color="auto" w:sz="8" w:space="0"/>
              <w:right w:val="single" w:color="auto" w:sz="4" w:space="0"/>
            </w:tcBorders>
            <w:noWrap/>
            <w:vAlign w:val="center"/>
          </w:tcPr>
          <w:p>
            <w:pPr>
              <w:jc w:val="center"/>
              <w:rPr>
                <w:rFonts w:hint="default" w:ascii="Times New Roman" w:hAnsi="Times New Roman" w:cs="Times New Roman"/>
                <w:color w:val="000000"/>
                <w:sz w:val="21"/>
                <w:szCs w:val="21"/>
              </w:rPr>
            </w:pPr>
          </w:p>
        </w:tc>
        <w:tc>
          <w:tcPr>
            <w:tcW w:w="1320" w:type="dxa"/>
            <w:tcBorders>
              <w:top w:val="nil"/>
              <w:left w:val="single" w:color="auto" w:sz="4" w:space="0"/>
              <w:bottom w:val="single" w:color="auto" w:sz="4" w:space="0"/>
              <w:right w:val="single" w:color="auto" w:sz="4"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0.0023</w:t>
            </w:r>
          </w:p>
        </w:tc>
        <w:tc>
          <w:tcPr>
            <w:tcW w:w="1243"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0.0113</w:t>
            </w:r>
          </w:p>
        </w:tc>
        <w:tc>
          <w:tcPr>
            <w:tcW w:w="1454"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0.0311</w:t>
            </w:r>
          </w:p>
        </w:tc>
        <w:tc>
          <w:tcPr>
            <w:tcW w:w="1362"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0.131</w:t>
            </w:r>
          </w:p>
        </w:tc>
        <w:tc>
          <w:tcPr>
            <w:tcW w:w="1501"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0.394</w:t>
            </w:r>
          </w:p>
        </w:tc>
        <w:tc>
          <w:tcPr>
            <w:tcW w:w="1432" w:type="dxa"/>
            <w:tcBorders>
              <w:top w:val="nil"/>
              <w:left w:val="nil"/>
              <w:bottom w:val="single" w:color="auto" w:sz="4" w:space="0"/>
              <w:right w:val="single" w:color="auto" w:sz="4"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0.912</w:t>
            </w:r>
          </w:p>
        </w:tc>
      </w:tr>
      <w:tr>
        <w:tblPrEx>
          <w:tblCellMar>
            <w:top w:w="0" w:type="dxa"/>
            <w:left w:w="108" w:type="dxa"/>
            <w:bottom w:w="0" w:type="dxa"/>
            <w:right w:w="108" w:type="dxa"/>
          </w:tblCellMar>
        </w:tblPrEx>
        <w:trPr>
          <w:trHeight w:val="340" w:hRule="atLeast"/>
        </w:trPr>
        <w:tc>
          <w:tcPr>
            <w:tcW w:w="1656" w:type="dxa"/>
            <w:vMerge w:val="continue"/>
            <w:tcBorders>
              <w:left w:val="single" w:color="auto" w:sz="8" w:space="0"/>
              <w:right w:val="single" w:color="auto" w:sz="4" w:space="0"/>
            </w:tcBorders>
            <w:noWrap/>
            <w:vAlign w:val="center"/>
          </w:tcPr>
          <w:p>
            <w:pPr>
              <w:jc w:val="center"/>
              <w:rPr>
                <w:rFonts w:hint="default" w:ascii="Times New Roman" w:hAnsi="Times New Roman" w:cs="Times New Roman"/>
                <w:color w:val="000000"/>
                <w:sz w:val="21"/>
                <w:szCs w:val="21"/>
              </w:rPr>
            </w:pPr>
          </w:p>
        </w:tc>
        <w:tc>
          <w:tcPr>
            <w:tcW w:w="1320" w:type="dxa"/>
            <w:tcBorders>
              <w:top w:val="nil"/>
              <w:left w:val="single" w:color="auto" w:sz="4" w:space="0"/>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0.0022</w:t>
            </w:r>
          </w:p>
        </w:tc>
        <w:tc>
          <w:tcPr>
            <w:tcW w:w="1243" w:type="dxa"/>
            <w:tcBorders>
              <w:top w:val="nil"/>
              <w:left w:val="nil"/>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0.0114</w:t>
            </w:r>
          </w:p>
        </w:tc>
        <w:tc>
          <w:tcPr>
            <w:tcW w:w="1454" w:type="dxa"/>
            <w:tcBorders>
              <w:top w:val="nil"/>
              <w:left w:val="nil"/>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0.0322</w:t>
            </w:r>
          </w:p>
        </w:tc>
        <w:tc>
          <w:tcPr>
            <w:tcW w:w="1362" w:type="dxa"/>
            <w:tcBorders>
              <w:top w:val="nil"/>
              <w:left w:val="nil"/>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0.133</w:t>
            </w:r>
          </w:p>
        </w:tc>
        <w:tc>
          <w:tcPr>
            <w:tcW w:w="1501" w:type="dxa"/>
            <w:tcBorders>
              <w:top w:val="nil"/>
              <w:left w:val="nil"/>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0.385</w:t>
            </w:r>
          </w:p>
        </w:tc>
        <w:tc>
          <w:tcPr>
            <w:tcW w:w="1432" w:type="dxa"/>
            <w:tcBorders>
              <w:top w:val="nil"/>
              <w:left w:val="nil"/>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0.903</w:t>
            </w:r>
          </w:p>
        </w:tc>
      </w:tr>
      <w:tr>
        <w:tblPrEx>
          <w:tblCellMar>
            <w:top w:w="0" w:type="dxa"/>
            <w:left w:w="108" w:type="dxa"/>
            <w:bottom w:w="0" w:type="dxa"/>
            <w:right w:w="108" w:type="dxa"/>
          </w:tblCellMar>
        </w:tblPrEx>
        <w:trPr>
          <w:trHeight w:val="340" w:hRule="atLeast"/>
        </w:trPr>
        <w:tc>
          <w:tcPr>
            <w:tcW w:w="1656" w:type="dxa"/>
            <w:vMerge w:val="continue"/>
            <w:tcBorders>
              <w:left w:val="single" w:color="auto" w:sz="8" w:space="0"/>
              <w:right w:val="single" w:color="auto" w:sz="4" w:space="0"/>
            </w:tcBorders>
            <w:noWrap/>
            <w:vAlign w:val="center"/>
          </w:tcPr>
          <w:p>
            <w:pPr>
              <w:jc w:val="center"/>
              <w:rPr>
                <w:rFonts w:hint="default" w:ascii="Times New Roman" w:hAnsi="Times New Roman" w:cs="Times New Roman"/>
                <w:color w:val="000000"/>
                <w:sz w:val="21"/>
                <w:szCs w:val="21"/>
              </w:rPr>
            </w:pPr>
          </w:p>
        </w:tc>
        <w:tc>
          <w:tcPr>
            <w:tcW w:w="1320" w:type="dxa"/>
            <w:tcBorders>
              <w:top w:val="nil"/>
              <w:left w:val="single" w:color="auto" w:sz="4" w:space="0"/>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0.0024</w:t>
            </w:r>
          </w:p>
        </w:tc>
        <w:tc>
          <w:tcPr>
            <w:tcW w:w="1243" w:type="dxa"/>
            <w:tcBorders>
              <w:top w:val="nil"/>
              <w:left w:val="nil"/>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0.0113</w:t>
            </w:r>
          </w:p>
        </w:tc>
        <w:tc>
          <w:tcPr>
            <w:tcW w:w="1454" w:type="dxa"/>
            <w:tcBorders>
              <w:top w:val="nil"/>
              <w:left w:val="nil"/>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0.0316</w:t>
            </w:r>
          </w:p>
        </w:tc>
        <w:tc>
          <w:tcPr>
            <w:tcW w:w="1362" w:type="dxa"/>
            <w:tcBorders>
              <w:top w:val="nil"/>
              <w:left w:val="nil"/>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0.132</w:t>
            </w:r>
          </w:p>
        </w:tc>
        <w:tc>
          <w:tcPr>
            <w:tcW w:w="1501" w:type="dxa"/>
            <w:tcBorders>
              <w:top w:val="nil"/>
              <w:left w:val="nil"/>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0.373</w:t>
            </w:r>
          </w:p>
        </w:tc>
        <w:tc>
          <w:tcPr>
            <w:tcW w:w="1432" w:type="dxa"/>
            <w:tcBorders>
              <w:top w:val="nil"/>
              <w:left w:val="nil"/>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0.893</w:t>
            </w:r>
          </w:p>
        </w:tc>
      </w:tr>
      <w:tr>
        <w:tblPrEx>
          <w:tblCellMar>
            <w:top w:w="0" w:type="dxa"/>
            <w:left w:w="108" w:type="dxa"/>
            <w:bottom w:w="0" w:type="dxa"/>
            <w:right w:w="108" w:type="dxa"/>
          </w:tblCellMar>
        </w:tblPrEx>
        <w:trPr>
          <w:trHeight w:val="340" w:hRule="atLeast"/>
        </w:trPr>
        <w:tc>
          <w:tcPr>
            <w:tcW w:w="1656" w:type="dxa"/>
            <w:vMerge w:val="continue"/>
            <w:tcBorders>
              <w:left w:val="single" w:color="auto" w:sz="8" w:space="0"/>
              <w:right w:val="single" w:color="auto" w:sz="4" w:space="0"/>
            </w:tcBorders>
            <w:noWrap/>
            <w:vAlign w:val="center"/>
          </w:tcPr>
          <w:p>
            <w:pPr>
              <w:jc w:val="center"/>
              <w:rPr>
                <w:rFonts w:hint="default" w:ascii="Times New Roman" w:hAnsi="Times New Roman" w:cs="Times New Roman"/>
                <w:color w:val="000000"/>
                <w:sz w:val="21"/>
                <w:szCs w:val="21"/>
              </w:rPr>
            </w:pPr>
          </w:p>
        </w:tc>
        <w:tc>
          <w:tcPr>
            <w:tcW w:w="1320" w:type="dxa"/>
            <w:tcBorders>
              <w:top w:val="nil"/>
              <w:left w:val="single" w:color="auto" w:sz="4" w:space="0"/>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0.0019</w:t>
            </w:r>
          </w:p>
        </w:tc>
        <w:tc>
          <w:tcPr>
            <w:tcW w:w="1243" w:type="dxa"/>
            <w:tcBorders>
              <w:top w:val="nil"/>
              <w:left w:val="nil"/>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0.0114</w:t>
            </w:r>
          </w:p>
        </w:tc>
        <w:tc>
          <w:tcPr>
            <w:tcW w:w="1454" w:type="dxa"/>
            <w:tcBorders>
              <w:top w:val="nil"/>
              <w:left w:val="nil"/>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0.0323</w:t>
            </w:r>
          </w:p>
        </w:tc>
        <w:tc>
          <w:tcPr>
            <w:tcW w:w="1362" w:type="dxa"/>
            <w:tcBorders>
              <w:top w:val="nil"/>
              <w:left w:val="nil"/>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0.131</w:t>
            </w:r>
          </w:p>
        </w:tc>
        <w:tc>
          <w:tcPr>
            <w:tcW w:w="1501" w:type="dxa"/>
            <w:tcBorders>
              <w:top w:val="nil"/>
              <w:left w:val="nil"/>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0.381</w:t>
            </w:r>
          </w:p>
        </w:tc>
        <w:tc>
          <w:tcPr>
            <w:tcW w:w="1432" w:type="dxa"/>
            <w:tcBorders>
              <w:top w:val="nil"/>
              <w:left w:val="nil"/>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0.923</w:t>
            </w:r>
          </w:p>
        </w:tc>
      </w:tr>
      <w:tr>
        <w:tblPrEx>
          <w:tblCellMar>
            <w:top w:w="0" w:type="dxa"/>
            <w:left w:w="108" w:type="dxa"/>
            <w:bottom w:w="0" w:type="dxa"/>
            <w:right w:w="108" w:type="dxa"/>
          </w:tblCellMar>
        </w:tblPrEx>
        <w:trPr>
          <w:trHeight w:val="340" w:hRule="atLeast"/>
        </w:trPr>
        <w:tc>
          <w:tcPr>
            <w:tcW w:w="1656" w:type="dxa"/>
            <w:vMerge w:val="continue"/>
            <w:tcBorders>
              <w:left w:val="single" w:color="auto" w:sz="8" w:space="0"/>
              <w:right w:val="single" w:color="auto" w:sz="4" w:space="0"/>
            </w:tcBorders>
            <w:noWrap/>
            <w:vAlign w:val="center"/>
          </w:tcPr>
          <w:p>
            <w:pPr>
              <w:jc w:val="center"/>
              <w:rPr>
                <w:rFonts w:hint="default" w:ascii="Times New Roman" w:hAnsi="Times New Roman" w:cs="Times New Roman"/>
                <w:color w:val="000000"/>
                <w:sz w:val="21"/>
                <w:szCs w:val="21"/>
              </w:rPr>
            </w:pPr>
          </w:p>
        </w:tc>
        <w:tc>
          <w:tcPr>
            <w:tcW w:w="1320" w:type="dxa"/>
            <w:tcBorders>
              <w:top w:val="nil"/>
              <w:left w:val="single" w:color="auto" w:sz="4" w:space="0"/>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0.0021</w:t>
            </w:r>
          </w:p>
        </w:tc>
        <w:tc>
          <w:tcPr>
            <w:tcW w:w="1243" w:type="dxa"/>
            <w:tcBorders>
              <w:top w:val="nil"/>
              <w:left w:val="nil"/>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0.0106</w:t>
            </w:r>
          </w:p>
        </w:tc>
        <w:tc>
          <w:tcPr>
            <w:tcW w:w="1454" w:type="dxa"/>
            <w:tcBorders>
              <w:top w:val="nil"/>
              <w:left w:val="nil"/>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0.0313</w:t>
            </w:r>
          </w:p>
        </w:tc>
        <w:tc>
          <w:tcPr>
            <w:tcW w:w="1362" w:type="dxa"/>
            <w:tcBorders>
              <w:top w:val="nil"/>
              <w:left w:val="nil"/>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0.132</w:t>
            </w:r>
          </w:p>
        </w:tc>
        <w:tc>
          <w:tcPr>
            <w:tcW w:w="1501" w:type="dxa"/>
            <w:tcBorders>
              <w:top w:val="nil"/>
              <w:left w:val="nil"/>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0.382</w:t>
            </w:r>
          </w:p>
        </w:tc>
        <w:tc>
          <w:tcPr>
            <w:tcW w:w="1432" w:type="dxa"/>
            <w:tcBorders>
              <w:top w:val="nil"/>
              <w:left w:val="nil"/>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0.894</w:t>
            </w:r>
          </w:p>
        </w:tc>
      </w:tr>
      <w:tr>
        <w:tblPrEx>
          <w:tblCellMar>
            <w:top w:w="0" w:type="dxa"/>
            <w:left w:w="108" w:type="dxa"/>
            <w:bottom w:w="0" w:type="dxa"/>
            <w:right w:w="108" w:type="dxa"/>
          </w:tblCellMar>
        </w:tblPrEx>
        <w:trPr>
          <w:trHeight w:val="340" w:hRule="atLeast"/>
        </w:trPr>
        <w:tc>
          <w:tcPr>
            <w:tcW w:w="1656" w:type="dxa"/>
            <w:vMerge w:val="continue"/>
            <w:tcBorders>
              <w:left w:val="single" w:color="auto" w:sz="8" w:space="0"/>
              <w:right w:val="single" w:color="auto" w:sz="4" w:space="0"/>
            </w:tcBorders>
            <w:noWrap/>
            <w:vAlign w:val="center"/>
          </w:tcPr>
          <w:p>
            <w:pPr>
              <w:jc w:val="center"/>
              <w:rPr>
                <w:rFonts w:hint="default" w:ascii="Times New Roman" w:hAnsi="Times New Roman" w:cs="Times New Roman"/>
                <w:color w:val="000000"/>
                <w:sz w:val="21"/>
                <w:szCs w:val="21"/>
              </w:rPr>
            </w:pPr>
          </w:p>
        </w:tc>
        <w:tc>
          <w:tcPr>
            <w:tcW w:w="1320" w:type="dxa"/>
            <w:tcBorders>
              <w:top w:val="nil"/>
              <w:left w:val="single" w:color="auto" w:sz="4" w:space="0"/>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0.0023</w:t>
            </w:r>
          </w:p>
        </w:tc>
        <w:tc>
          <w:tcPr>
            <w:tcW w:w="1243" w:type="dxa"/>
            <w:tcBorders>
              <w:top w:val="nil"/>
              <w:left w:val="nil"/>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0.0108</w:t>
            </w:r>
          </w:p>
        </w:tc>
        <w:tc>
          <w:tcPr>
            <w:tcW w:w="1454" w:type="dxa"/>
            <w:tcBorders>
              <w:top w:val="nil"/>
              <w:left w:val="nil"/>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0.0321</w:t>
            </w:r>
          </w:p>
        </w:tc>
        <w:tc>
          <w:tcPr>
            <w:tcW w:w="1362" w:type="dxa"/>
            <w:tcBorders>
              <w:top w:val="nil"/>
              <w:left w:val="nil"/>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0.136</w:t>
            </w:r>
          </w:p>
        </w:tc>
        <w:tc>
          <w:tcPr>
            <w:tcW w:w="1501" w:type="dxa"/>
            <w:tcBorders>
              <w:top w:val="nil"/>
              <w:left w:val="nil"/>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0.39</w:t>
            </w:r>
          </w:p>
        </w:tc>
        <w:tc>
          <w:tcPr>
            <w:tcW w:w="1432" w:type="dxa"/>
            <w:tcBorders>
              <w:top w:val="nil"/>
              <w:left w:val="nil"/>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0.892</w:t>
            </w:r>
          </w:p>
        </w:tc>
      </w:tr>
      <w:tr>
        <w:tblPrEx>
          <w:tblCellMar>
            <w:top w:w="0" w:type="dxa"/>
            <w:left w:w="108" w:type="dxa"/>
            <w:bottom w:w="0" w:type="dxa"/>
            <w:right w:w="108" w:type="dxa"/>
          </w:tblCellMar>
        </w:tblPrEx>
        <w:trPr>
          <w:trHeight w:val="340" w:hRule="atLeast"/>
        </w:trPr>
        <w:tc>
          <w:tcPr>
            <w:tcW w:w="1656" w:type="dxa"/>
            <w:vMerge w:val="continue"/>
            <w:tcBorders>
              <w:left w:val="single" w:color="auto" w:sz="8" w:space="0"/>
              <w:right w:val="single" w:color="auto" w:sz="4" w:space="0"/>
            </w:tcBorders>
            <w:noWrap/>
            <w:vAlign w:val="center"/>
          </w:tcPr>
          <w:p>
            <w:pPr>
              <w:jc w:val="center"/>
              <w:rPr>
                <w:rFonts w:hint="default" w:ascii="Times New Roman" w:hAnsi="Times New Roman" w:cs="Times New Roman"/>
                <w:color w:val="000000"/>
                <w:sz w:val="21"/>
                <w:szCs w:val="21"/>
              </w:rPr>
            </w:pPr>
          </w:p>
        </w:tc>
        <w:tc>
          <w:tcPr>
            <w:tcW w:w="1320" w:type="dxa"/>
            <w:tcBorders>
              <w:top w:val="nil"/>
              <w:left w:val="single" w:color="auto" w:sz="4" w:space="0"/>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0.0019</w:t>
            </w:r>
          </w:p>
        </w:tc>
        <w:tc>
          <w:tcPr>
            <w:tcW w:w="1243" w:type="dxa"/>
            <w:tcBorders>
              <w:top w:val="nil"/>
              <w:left w:val="nil"/>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0.0109</w:t>
            </w:r>
          </w:p>
        </w:tc>
        <w:tc>
          <w:tcPr>
            <w:tcW w:w="1454" w:type="dxa"/>
            <w:tcBorders>
              <w:top w:val="nil"/>
              <w:left w:val="nil"/>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0.0324</w:t>
            </w:r>
          </w:p>
        </w:tc>
        <w:tc>
          <w:tcPr>
            <w:tcW w:w="1362" w:type="dxa"/>
            <w:tcBorders>
              <w:top w:val="nil"/>
              <w:left w:val="nil"/>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0.141</w:t>
            </w:r>
          </w:p>
        </w:tc>
        <w:tc>
          <w:tcPr>
            <w:tcW w:w="1501" w:type="dxa"/>
            <w:tcBorders>
              <w:top w:val="nil"/>
              <w:left w:val="nil"/>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0.382</w:t>
            </w:r>
          </w:p>
        </w:tc>
        <w:tc>
          <w:tcPr>
            <w:tcW w:w="1432" w:type="dxa"/>
            <w:tcBorders>
              <w:top w:val="nil"/>
              <w:left w:val="nil"/>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0.906</w:t>
            </w:r>
          </w:p>
        </w:tc>
      </w:tr>
      <w:tr>
        <w:tblPrEx>
          <w:tblCellMar>
            <w:top w:w="0" w:type="dxa"/>
            <w:left w:w="108" w:type="dxa"/>
            <w:bottom w:w="0" w:type="dxa"/>
            <w:right w:w="108" w:type="dxa"/>
          </w:tblCellMar>
        </w:tblPrEx>
        <w:trPr>
          <w:trHeight w:val="340" w:hRule="atLeast"/>
        </w:trPr>
        <w:tc>
          <w:tcPr>
            <w:tcW w:w="1656" w:type="dxa"/>
            <w:vMerge w:val="continue"/>
            <w:tcBorders>
              <w:left w:val="single" w:color="auto" w:sz="8" w:space="0"/>
              <w:right w:val="single" w:color="auto" w:sz="4" w:space="0"/>
            </w:tcBorders>
            <w:noWrap/>
            <w:vAlign w:val="center"/>
          </w:tcPr>
          <w:p>
            <w:pPr>
              <w:jc w:val="center"/>
              <w:rPr>
                <w:rFonts w:hint="default" w:ascii="Times New Roman" w:hAnsi="Times New Roman" w:cs="Times New Roman"/>
                <w:color w:val="000000"/>
                <w:sz w:val="21"/>
                <w:szCs w:val="21"/>
              </w:rPr>
            </w:pPr>
          </w:p>
        </w:tc>
        <w:tc>
          <w:tcPr>
            <w:tcW w:w="1320" w:type="dxa"/>
            <w:tcBorders>
              <w:top w:val="nil"/>
              <w:left w:val="single" w:color="auto" w:sz="4" w:space="0"/>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0.0018</w:t>
            </w:r>
          </w:p>
        </w:tc>
        <w:tc>
          <w:tcPr>
            <w:tcW w:w="1243" w:type="dxa"/>
            <w:tcBorders>
              <w:top w:val="nil"/>
              <w:left w:val="nil"/>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0.0105</w:t>
            </w:r>
          </w:p>
        </w:tc>
        <w:tc>
          <w:tcPr>
            <w:tcW w:w="1454" w:type="dxa"/>
            <w:tcBorders>
              <w:top w:val="nil"/>
              <w:left w:val="nil"/>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0.0314</w:t>
            </w:r>
          </w:p>
        </w:tc>
        <w:tc>
          <w:tcPr>
            <w:tcW w:w="1362" w:type="dxa"/>
            <w:tcBorders>
              <w:top w:val="nil"/>
              <w:left w:val="nil"/>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0.135</w:t>
            </w:r>
          </w:p>
        </w:tc>
        <w:tc>
          <w:tcPr>
            <w:tcW w:w="1501" w:type="dxa"/>
            <w:tcBorders>
              <w:top w:val="nil"/>
              <w:left w:val="nil"/>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0.384</w:t>
            </w:r>
          </w:p>
        </w:tc>
        <w:tc>
          <w:tcPr>
            <w:tcW w:w="1432" w:type="dxa"/>
            <w:tcBorders>
              <w:top w:val="nil"/>
              <w:left w:val="nil"/>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0.913</w:t>
            </w:r>
          </w:p>
        </w:tc>
      </w:tr>
      <w:tr>
        <w:tblPrEx>
          <w:tblCellMar>
            <w:top w:w="0" w:type="dxa"/>
            <w:left w:w="108" w:type="dxa"/>
            <w:bottom w:w="0" w:type="dxa"/>
            <w:right w:w="108" w:type="dxa"/>
          </w:tblCellMar>
        </w:tblPrEx>
        <w:trPr>
          <w:trHeight w:val="340" w:hRule="atLeast"/>
        </w:trPr>
        <w:tc>
          <w:tcPr>
            <w:tcW w:w="1656" w:type="dxa"/>
            <w:vMerge w:val="continue"/>
            <w:tcBorders>
              <w:left w:val="single" w:color="auto" w:sz="8" w:space="0"/>
              <w:right w:val="single" w:color="auto" w:sz="4" w:space="0"/>
            </w:tcBorders>
            <w:noWrap/>
            <w:vAlign w:val="center"/>
          </w:tcPr>
          <w:p>
            <w:pPr>
              <w:jc w:val="center"/>
              <w:rPr>
                <w:rFonts w:hint="default" w:ascii="Times New Roman" w:hAnsi="Times New Roman" w:cs="Times New Roman"/>
                <w:color w:val="000000"/>
                <w:sz w:val="21"/>
                <w:szCs w:val="21"/>
              </w:rPr>
            </w:pPr>
          </w:p>
        </w:tc>
        <w:tc>
          <w:tcPr>
            <w:tcW w:w="1320" w:type="dxa"/>
            <w:tcBorders>
              <w:top w:val="nil"/>
              <w:left w:val="single" w:color="auto" w:sz="4" w:space="0"/>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0.0022</w:t>
            </w:r>
          </w:p>
        </w:tc>
        <w:tc>
          <w:tcPr>
            <w:tcW w:w="1243" w:type="dxa"/>
            <w:tcBorders>
              <w:top w:val="nil"/>
              <w:left w:val="nil"/>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0.0106</w:t>
            </w:r>
          </w:p>
        </w:tc>
        <w:tc>
          <w:tcPr>
            <w:tcW w:w="1454" w:type="dxa"/>
            <w:tcBorders>
              <w:top w:val="nil"/>
              <w:left w:val="nil"/>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0.0323</w:t>
            </w:r>
          </w:p>
        </w:tc>
        <w:tc>
          <w:tcPr>
            <w:tcW w:w="1362" w:type="dxa"/>
            <w:tcBorders>
              <w:top w:val="nil"/>
              <w:left w:val="nil"/>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0.137</w:t>
            </w:r>
          </w:p>
        </w:tc>
        <w:tc>
          <w:tcPr>
            <w:tcW w:w="1501" w:type="dxa"/>
            <w:tcBorders>
              <w:top w:val="nil"/>
              <w:left w:val="nil"/>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0.373</w:t>
            </w:r>
          </w:p>
        </w:tc>
        <w:tc>
          <w:tcPr>
            <w:tcW w:w="1432" w:type="dxa"/>
            <w:tcBorders>
              <w:top w:val="nil"/>
              <w:left w:val="nil"/>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0.911</w:t>
            </w:r>
          </w:p>
        </w:tc>
      </w:tr>
      <w:tr>
        <w:tblPrEx>
          <w:tblCellMar>
            <w:top w:w="0" w:type="dxa"/>
            <w:left w:w="108" w:type="dxa"/>
            <w:bottom w:w="0" w:type="dxa"/>
            <w:right w:w="108" w:type="dxa"/>
          </w:tblCellMar>
        </w:tblPrEx>
        <w:trPr>
          <w:trHeight w:val="340" w:hRule="atLeast"/>
        </w:trPr>
        <w:tc>
          <w:tcPr>
            <w:tcW w:w="1656" w:type="dxa"/>
            <w:vMerge w:val="continue"/>
            <w:tcBorders>
              <w:left w:val="single" w:color="auto" w:sz="8" w:space="0"/>
              <w:bottom w:val="single" w:color="auto" w:sz="8" w:space="0"/>
              <w:right w:val="single" w:color="auto" w:sz="4" w:space="0"/>
            </w:tcBorders>
            <w:noWrap/>
            <w:vAlign w:val="center"/>
          </w:tcPr>
          <w:p>
            <w:pPr>
              <w:jc w:val="center"/>
              <w:rPr>
                <w:rFonts w:hint="default" w:ascii="Times New Roman" w:hAnsi="Times New Roman" w:cs="Times New Roman"/>
                <w:color w:val="000000"/>
                <w:sz w:val="21"/>
                <w:szCs w:val="21"/>
              </w:rPr>
            </w:pPr>
          </w:p>
        </w:tc>
        <w:tc>
          <w:tcPr>
            <w:tcW w:w="1320" w:type="dxa"/>
            <w:tcBorders>
              <w:top w:val="nil"/>
              <w:left w:val="single" w:color="auto" w:sz="4" w:space="0"/>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0.0021</w:t>
            </w:r>
          </w:p>
        </w:tc>
        <w:tc>
          <w:tcPr>
            <w:tcW w:w="1243" w:type="dxa"/>
            <w:tcBorders>
              <w:top w:val="nil"/>
              <w:left w:val="nil"/>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0.0107</w:t>
            </w:r>
          </w:p>
        </w:tc>
        <w:tc>
          <w:tcPr>
            <w:tcW w:w="1454" w:type="dxa"/>
            <w:tcBorders>
              <w:top w:val="nil"/>
              <w:left w:val="nil"/>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0.0324</w:t>
            </w:r>
          </w:p>
        </w:tc>
        <w:tc>
          <w:tcPr>
            <w:tcW w:w="1362" w:type="dxa"/>
            <w:tcBorders>
              <w:top w:val="nil"/>
              <w:left w:val="nil"/>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0.132</w:t>
            </w:r>
          </w:p>
        </w:tc>
        <w:tc>
          <w:tcPr>
            <w:tcW w:w="1501" w:type="dxa"/>
            <w:tcBorders>
              <w:top w:val="nil"/>
              <w:left w:val="nil"/>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0.383</w:t>
            </w:r>
          </w:p>
        </w:tc>
        <w:tc>
          <w:tcPr>
            <w:tcW w:w="1432" w:type="dxa"/>
            <w:tcBorders>
              <w:top w:val="nil"/>
              <w:left w:val="nil"/>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0.896</w:t>
            </w:r>
          </w:p>
        </w:tc>
      </w:tr>
      <w:tr>
        <w:tblPrEx>
          <w:tblCellMar>
            <w:top w:w="0" w:type="dxa"/>
            <w:left w:w="108" w:type="dxa"/>
            <w:bottom w:w="0" w:type="dxa"/>
            <w:right w:w="108" w:type="dxa"/>
          </w:tblCellMar>
        </w:tblPrEx>
        <w:trPr>
          <w:trHeight w:val="340" w:hRule="atLeast"/>
        </w:trPr>
        <w:tc>
          <w:tcPr>
            <w:tcW w:w="1656" w:type="dxa"/>
            <w:tcBorders>
              <w:top w:val="nil"/>
              <w:left w:val="single" w:color="auto" w:sz="8" w:space="0"/>
              <w:bottom w:val="single" w:color="auto" w:sz="8" w:space="0"/>
              <w:right w:val="single" w:color="auto" w:sz="8" w:space="0"/>
            </w:tcBorders>
            <w:noWrap/>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平 均 值/%</w:t>
            </w:r>
          </w:p>
        </w:tc>
        <w:tc>
          <w:tcPr>
            <w:tcW w:w="1320" w:type="dxa"/>
            <w:tcBorders>
              <w:top w:val="nil"/>
              <w:left w:val="nil"/>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0.0021</w:t>
            </w:r>
          </w:p>
        </w:tc>
        <w:tc>
          <w:tcPr>
            <w:tcW w:w="1243" w:type="dxa"/>
            <w:tcBorders>
              <w:top w:val="nil"/>
              <w:left w:val="nil"/>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0.011</w:t>
            </w:r>
          </w:p>
        </w:tc>
        <w:tc>
          <w:tcPr>
            <w:tcW w:w="1454" w:type="dxa"/>
            <w:tcBorders>
              <w:top w:val="nil"/>
              <w:left w:val="nil"/>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0.0318</w:t>
            </w:r>
          </w:p>
        </w:tc>
        <w:tc>
          <w:tcPr>
            <w:tcW w:w="1362" w:type="dxa"/>
            <w:tcBorders>
              <w:top w:val="nil"/>
              <w:left w:val="nil"/>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0.135</w:t>
            </w:r>
          </w:p>
        </w:tc>
        <w:tc>
          <w:tcPr>
            <w:tcW w:w="1501" w:type="dxa"/>
            <w:tcBorders>
              <w:top w:val="nil"/>
              <w:left w:val="nil"/>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0.383</w:t>
            </w:r>
          </w:p>
        </w:tc>
        <w:tc>
          <w:tcPr>
            <w:tcW w:w="1432" w:type="dxa"/>
            <w:tcBorders>
              <w:top w:val="nil"/>
              <w:left w:val="nil"/>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0.903</w:t>
            </w:r>
          </w:p>
        </w:tc>
      </w:tr>
      <w:tr>
        <w:tblPrEx>
          <w:tblCellMar>
            <w:top w:w="0" w:type="dxa"/>
            <w:left w:w="108" w:type="dxa"/>
            <w:bottom w:w="0" w:type="dxa"/>
            <w:right w:w="108" w:type="dxa"/>
          </w:tblCellMar>
        </w:tblPrEx>
        <w:trPr>
          <w:trHeight w:val="340" w:hRule="atLeast"/>
        </w:trPr>
        <w:tc>
          <w:tcPr>
            <w:tcW w:w="1656" w:type="dxa"/>
            <w:tcBorders>
              <w:top w:val="nil"/>
              <w:left w:val="single" w:color="auto" w:sz="8" w:space="0"/>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RSD/%</w:t>
            </w:r>
          </w:p>
        </w:tc>
        <w:tc>
          <w:tcPr>
            <w:tcW w:w="1320" w:type="dxa"/>
            <w:tcBorders>
              <w:top w:val="nil"/>
              <w:left w:val="nil"/>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8.9</w:t>
            </w:r>
          </w:p>
        </w:tc>
        <w:tc>
          <w:tcPr>
            <w:tcW w:w="1243" w:type="dxa"/>
            <w:tcBorders>
              <w:top w:val="nil"/>
              <w:left w:val="nil"/>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3.3</w:t>
            </w:r>
          </w:p>
        </w:tc>
        <w:tc>
          <w:tcPr>
            <w:tcW w:w="1454" w:type="dxa"/>
            <w:tcBorders>
              <w:top w:val="nil"/>
              <w:left w:val="nil"/>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1.8</w:t>
            </w:r>
          </w:p>
        </w:tc>
        <w:tc>
          <w:tcPr>
            <w:tcW w:w="1362" w:type="dxa"/>
            <w:tcBorders>
              <w:top w:val="nil"/>
              <w:left w:val="nil"/>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2.8</w:t>
            </w:r>
          </w:p>
        </w:tc>
        <w:tc>
          <w:tcPr>
            <w:tcW w:w="1501" w:type="dxa"/>
            <w:tcBorders>
              <w:top w:val="nil"/>
              <w:left w:val="nil"/>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1.7</w:t>
            </w:r>
          </w:p>
        </w:tc>
        <w:tc>
          <w:tcPr>
            <w:tcW w:w="1432" w:type="dxa"/>
            <w:tcBorders>
              <w:top w:val="nil"/>
              <w:left w:val="nil"/>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eastAsia" w:ascii="Times New Roman" w:hAnsi="Times New Roman" w:cs="Times New Roman"/>
                <w:color w:val="000000"/>
                <w:sz w:val="21"/>
                <w:szCs w:val="21"/>
              </w:rPr>
              <w:t>1.2</w:t>
            </w:r>
          </w:p>
        </w:tc>
      </w:tr>
    </w:tbl>
    <w:p>
      <w:pPr>
        <w:jc w:val="center"/>
        <w:rPr>
          <w:rFonts w:ascii="黑体" w:hAnsi="黑体" w:eastAsia="黑体"/>
          <w:color w:val="000000"/>
          <w:sz w:val="15"/>
          <w:szCs w:val="15"/>
        </w:rPr>
      </w:pPr>
    </w:p>
    <w:p>
      <w:pPr>
        <w:rPr>
          <w:rFonts w:ascii="黑体" w:hAnsi="黑体" w:eastAsia="黑体"/>
          <w:color w:val="000000"/>
          <w:sz w:val="15"/>
          <w:szCs w:val="15"/>
        </w:rPr>
      </w:pPr>
    </w:p>
    <w:p>
      <w:pPr>
        <w:spacing w:line="360" w:lineRule="auto"/>
        <w:ind w:right="420"/>
        <w:rPr>
          <w:b/>
          <w:color w:val="000000"/>
          <w:szCs w:val="21"/>
        </w:rPr>
      </w:pPr>
    </w:p>
    <w:p>
      <w:pPr>
        <w:spacing w:line="360" w:lineRule="auto"/>
        <w:ind w:right="420"/>
        <w:rPr>
          <w:b/>
          <w:color w:val="000000"/>
          <w:szCs w:val="21"/>
        </w:rPr>
      </w:pPr>
      <w:r>
        <w:rPr>
          <w:rFonts w:hint="eastAsia"/>
          <w:b/>
          <w:color w:val="000000"/>
          <w:szCs w:val="21"/>
          <w:lang w:val="en-US" w:eastAsia="zh-CN"/>
        </w:rPr>
        <w:t>4</w:t>
      </w:r>
      <w:r>
        <w:rPr>
          <w:rFonts w:hint="eastAsia"/>
          <w:b/>
          <w:color w:val="000000"/>
          <w:szCs w:val="21"/>
        </w:rPr>
        <w:t xml:space="preserve">.2  </w:t>
      </w:r>
      <w:r>
        <w:rPr>
          <w:rFonts w:hint="eastAsia" w:ascii="黑体" w:hAnsi="黑体" w:eastAsia="黑体"/>
          <w:b/>
          <w:color w:val="000000"/>
          <w:szCs w:val="21"/>
        </w:rPr>
        <w:t>硫</w:t>
      </w:r>
      <w:r>
        <w:rPr>
          <w:rFonts w:ascii="黑体" w:hAnsi="黑体" w:eastAsia="黑体"/>
          <w:b/>
          <w:color w:val="000000"/>
          <w:szCs w:val="21"/>
        </w:rPr>
        <w:t>精密度试验</w:t>
      </w:r>
    </w:p>
    <w:p>
      <w:pPr>
        <w:ind w:right="420" w:firstLine="420" w:firstLineChars="200"/>
        <w:rPr>
          <w:rFonts w:ascii="黑体" w:hAnsi="黑体" w:eastAsia="黑体"/>
          <w:color w:val="000000"/>
          <w:sz w:val="15"/>
          <w:szCs w:val="15"/>
        </w:rPr>
      </w:pPr>
      <w:r>
        <w:rPr>
          <w:color w:val="000000"/>
          <w:szCs w:val="21"/>
        </w:rPr>
        <w:t>由于统一样中没有高硫含量的样品，故选择统一样加标的方法进行精密度试验。</w:t>
      </w:r>
      <w:r>
        <w:rPr>
          <w:rFonts w:hint="eastAsia"/>
          <w:color w:val="000000"/>
          <w:szCs w:val="21"/>
        </w:rPr>
        <w:t>在氧化镨钕-118号样品中添加</w:t>
      </w:r>
      <w:r>
        <w:rPr>
          <w:color w:val="000000"/>
          <w:szCs w:val="21"/>
        </w:rPr>
        <w:t>已知</w:t>
      </w:r>
      <w:r>
        <w:rPr>
          <w:rFonts w:hint="eastAsia"/>
          <w:color w:val="000000"/>
          <w:szCs w:val="21"/>
        </w:rPr>
        <w:t>硫</w:t>
      </w:r>
      <w:r>
        <w:rPr>
          <w:color w:val="000000"/>
          <w:szCs w:val="21"/>
        </w:rPr>
        <w:t>含量的标准</w:t>
      </w:r>
      <w:r>
        <w:rPr>
          <w:rFonts w:hint="eastAsia"/>
          <w:color w:val="000000"/>
          <w:szCs w:val="21"/>
        </w:rPr>
        <w:t>物质502-449，合成样品4。</w:t>
      </w:r>
      <w:r>
        <w:rPr>
          <w:color w:val="000000"/>
          <w:szCs w:val="21"/>
        </w:rPr>
        <w:t>对</w:t>
      </w:r>
      <w:r>
        <w:rPr>
          <w:rFonts w:hint="eastAsia"/>
          <w:color w:val="000000"/>
          <w:szCs w:val="21"/>
        </w:rPr>
        <w:t>硫</w:t>
      </w:r>
      <w:r>
        <w:rPr>
          <w:color w:val="000000"/>
          <w:szCs w:val="21"/>
        </w:rPr>
        <w:t>含量不同的</w:t>
      </w:r>
      <w:r>
        <w:rPr>
          <w:rFonts w:hint="eastAsia"/>
          <w:color w:val="000000"/>
          <w:szCs w:val="21"/>
        </w:rPr>
        <w:t>四</w:t>
      </w:r>
      <w:r>
        <w:rPr>
          <w:color w:val="000000"/>
          <w:szCs w:val="21"/>
        </w:rPr>
        <w:t>种</w:t>
      </w:r>
      <w:r>
        <w:rPr>
          <w:rFonts w:hint="eastAsia"/>
          <w:color w:val="000000"/>
          <w:szCs w:val="21"/>
        </w:rPr>
        <w:t>稀土</w:t>
      </w:r>
      <w:r>
        <w:rPr>
          <w:color w:val="000000"/>
          <w:szCs w:val="21"/>
        </w:rPr>
        <w:t>金属及其氧化物样品进行11次平行测定，结果见表</w:t>
      </w:r>
      <w:r>
        <w:rPr>
          <w:rFonts w:hint="eastAsia"/>
          <w:color w:val="000000"/>
          <w:szCs w:val="21"/>
        </w:rPr>
        <w:t>6</w:t>
      </w:r>
      <w:r>
        <w:rPr>
          <w:color w:val="000000"/>
          <w:szCs w:val="21"/>
        </w:rPr>
        <w:t xml:space="preserve">。 </w:t>
      </w:r>
    </w:p>
    <w:p>
      <w:pPr>
        <w:jc w:val="center"/>
        <w:rPr>
          <w:color w:val="000000"/>
          <w:sz w:val="18"/>
          <w:szCs w:val="18"/>
        </w:rPr>
      </w:pPr>
    </w:p>
    <w:p>
      <w:pPr>
        <w:jc w:val="center"/>
        <w:rPr>
          <w:color w:val="000000"/>
          <w:sz w:val="18"/>
          <w:szCs w:val="18"/>
        </w:rPr>
      </w:pPr>
      <w:r>
        <w:rPr>
          <w:color w:val="000000"/>
          <w:sz w:val="18"/>
          <w:szCs w:val="18"/>
        </w:rPr>
        <w:t>表</w:t>
      </w:r>
      <w:r>
        <w:rPr>
          <w:rFonts w:hint="eastAsia"/>
          <w:color w:val="000000"/>
          <w:sz w:val="18"/>
          <w:szCs w:val="18"/>
        </w:rPr>
        <w:t>7</w:t>
      </w:r>
      <w:r>
        <w:rPr>
          <w:color w:val="000000"/>
          <w:sz w:val="18"/>
          <w:szCs w:val="18"/>
        </w:rPr>
        <w:t xml:space="preserve">  </w:t>
      </w:r>
      <w:r>
        <w:rPr>
          <w:rFonts w:hint="eastAsia"/>
          <w:color w:val="000000"/>
          <w:sz w:val="18"/>
          <w:szCs w:val="18"/>
        </w:rPr>
        <w:t xml:space="preserve"> 碳</w:t>
      </w:r>
      <w:r>
        <w:rPr>
          <w:color w:val="000000"/>
          <w:sz w:val="18"/>
          <w:szCs w:val="18"/>
        </w:rPr>
        <w:t>精密度试验</w:t>
      </w:r>
      <w:r>
        <w:rPr>
          <w:rFonts w:hint="eastAsia"/>
          <w:color w:val="000000"/>
          <w:sz w:val="18"/>
          <w:szCs w:val="18"/>
        </w:rPr>
        <w:t xml:space="preserve"> </w:t>
      </w:r>
    </w:p>
    <w:p>
      <w:pPr>
        <w:jc w:val="center"/>
        <w:rPr>
          <w:color w:val="000000"/>
          <w:sz w:val="18"/>
          <w:szCs w:val="18"/>
        </w:rPr>
      </w:pPr>
    </w:p>
    <w:tbl>
      <w:tblPr>
        <w:tblStyle w:val="88"/>
        <w:tblW w:w="5000" w:type="pct"/>
        <w:jc w:val="center"/>
        <w:tblLayout w:type="autofit"/>
        <w:tblCellMar>
          <w:top w:w="0" w:type="dxa"/>
          <w:left w:w="108" w:type="dxa"/>
          <w:bottom w:w="0" w:type="dxa"/>
          <w:right w:w="108" w:type="dxa"/>
        </w:tblCellMar>
      </w:tblPr>
      <w:tblGrid>
        <w:gridCol w:w="1981"/>
        <w:gridCol w:w="1890"/>
        <w:gridCol w:w="2102"/>
        <w:gridCol w:w="1828"/>
        <w:gridCol w:w="2167"/>
      </w:tblGrid>
      <w:tr>
        <w:tblPrEx>
          <w:tblCellMar>
            <w:top w:w="0" w:type="dxa"/>
            <w:left w:w="108" w:type="dxa"/>
            <w:bottom w:w="0" w:type="dxa"/>
            <w:right w:w="108" w:type="dxa"/>
          </w:tblCellMar>
        </w:tblPrEx>
        <w:trPr>
          <w:trHeight w:val="340" w:hRule="atLeast"/>
          <w:jc w:val="center"/>
        </w:trPr>
        <w:tc>
          <w:tcPr>
            <w:tcW w:w="1981" w:type="dxa"/>
            <w:tcBorders>
              <w:top w:val="single" w:color="auto" w:sz="4" w:space="0"/>
              <w:left w:val="nil"/>
              <w:bottom w:val="single" w:color="auto" w:sz="4" w:space="0"/>
              <w:right w:val="single" w:color="auto" w:sz="4" w:space="0"/>
            </w:tcBorders>
            <w:noWrap/>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样品编号</w:t>
            </w:r>
          </w:p>
        </w:tc>
        <w:tc>
          <w:tcPr>
            <w:tcW w:w="1890" w:type="dxa"/>
            <w:tcBorders>
              <w:top w:val="single" w:color="auto" w:sz="4" w:space="0"/>
              <w:left w:val="single" w:color="auto" w:sz="4" w:space="0"/>
              <w:bottom w:val="single" w:color="auto" w:sz="4" w:space="0"/>
              <w:right w:val="nil"/>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1</w:t>
            </w:r>
          </w:p>
        </w:tc>
        <w:tc>
          <w:tcPr>
            <w:tcW w:w="2102" w:type="dxa"/>
            <w:tcBorders>
              <w:top w:val="single" w:color="auto" w:sz="4" w:space="0"/>
              <w:left w:val="nil"/>
              <w:bottom w:val="single" w:color="auto" w:sz="4" w:space="0"/>
              <w:right w:val="single" w:color="auto" w:sz="8"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w:t>
            </w:r>
          </w:p>
        </w:tc>
        <w:tc>
          <w:tcPr>
            <w:tcW w:w="1828" w:type="dxa"/>
            <w:tcBorders>
              <w:top w:val="single" w:color="auto" w:sz="4" w:space="0"/>
              <w:left w:val="nil"/>
              <w:bottom w:val="single" w:color="auto" w:sz="4" w:space="0"/>
              <w:right w:val="single" w:color="auto" w:sz="8"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3</w:t>
            </w:r>
          </w:p>
        </w:tc>
        <w:tc>
          <w:tcPr>
            <w:tcW w:w="2167" w:type="dxa"/>
            <w:tcBorders>
              <w:top w:val="single" w:color="auto" w:sz="4" w:space="0"/>
              <w:left w:val="nil"/>
              <w:bottom w:val="single" w:color="auto" w:sz="4" w:space="0"/>
              <w:right w:val="single" w:color="auto" w:sz="8"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w:t>
            </w:r>
          </w:p>
        </w:tc>
      </w:tr>
      <w:tr>
        <w:tblPrEx>
          <w:tblCellMar>
            <w:top w:w="0" w:type="dxa"/>
            <w:left w:w="108" w:type="dxa"/>
            <w:bottom w:w="0" w:type="dxa"/>
            <w:right w:w="108" w:type="dxa"/>
          </w:tblCellMar>
        </w:tblPrEx>
        <w:trPr>
          <w:trHeight w:val="340" w:hRule="atLeast"/>
          <w:jc w:val="center"/>
        </w:trPr>
        <w:tc>
          <w:tcPr>
            <w:tcW w:w="1981" w:type="dxa"/>
            <w:vMerge w:val="restart"/>
            <w:tcBorders>
              <w:top w:val="single" w:color="auto" w:sz="4" w:space="0"/>
              <w:left w:val="nil"/>
              <w:right w:val="single" w:color="auto" w:sz="4" w:space="0"/>
            </w:tcBorders>
            <w:noWrap/>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w:t>
            </w:r>
          </w:p>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w:t>
            </w:r>
          </w:p>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w:t>
            </w:r>
          </w:p>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w:t>
            </w:r>
          </w:p>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测定结果/%</w:t>
            </w:r>
          </w:p>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w:t>
            </w:r>
          </w:p>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w:t>
            </w:r>
          </w:p>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w:t>
            </w:r>
          </w:p>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w:t>
            </w:r>
          </w:p>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w:t>
            </w:r>
          </w:p>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　</w:t>
            </w:r>
          </w:p>
        </w:tc>
        <w:tc>
          <w:tcPr>
            <w:tcW w:w="1890" w:type="dxa"/>
            <w:tcBorders>
              <w:top w:val="single" w:color="auto" w:sz="4" w:space="0"/>
              <w:left w:val="single" w:color="auto" w:sz="4" w:space="0"/>
              <w:bottom w:val="nil"/>
              <w:right w:val="nil"/>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0.0026</w:t>
            </w:r>
          </w:p>
        </w:tc>
        <w:tc>
          <w:tcPr>
            <w:tcW w:w="2102" w:type="dxa"/>
            <w:tcBorders>
              <w:top w:val="single" w:color="auto" w:sz="4" w:space="0"/>
              <w:left w:val="nil"/>
              <w:bottom w:val="nil"/>
              <w:right w:val="single" w:color="auto" w:sz="8"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0.0128</w:t>
            </w:r>
          </w:p>
        </w:tc>
        <w:tc>
          <w:tcPr>
            <w:tcW w:w="1828" w:type="dxa"/>
            <w:tcBorders>
              <w:top w:val="single" w:color="auto" w:sz="4" w:space="0"/>
              <w:left w:val="nil"/>
              <w:bottom w:val="nil"/>
              <w:right w:val="nil"/>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0.0171</w:t>
            </w:r>
          </w:p>
        </w:tc>
        <w:tc>
          <w:tcPr>
            <w:tcW w:w="2167" w:type="dxa"/>
            <w:tcBorders>
              <w:top w:val="single" w:color="auto" w:sz="4" w:space="0"/>
              <w:left w:val="nil"/>
              <w:bottom w:val="nil"/>
              <w:right w:val="nil"/>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0.205</w:t>
            </w:r>
          </w:p>
        </w:tc>
      </w:tr>
      <w:tr>
        <w:tblPrEx>
          <w:tblCellMar>
            <w:top w:w="0" w:type="dxa"/>
            <w:left w:w="108" w:type="dxa"/>
            <w:bottom w:w="0" w:type="dxa"/>
            <w:right w:w="108" w:type="dxa"/>
          </w:tblCellMar>
        </w:tblPrEx>
        <w:trPr>
          <w:trHeight w:val="340" w:hRule="atLeast"/>
          <w:jc w:val="center"/>
        </w:trPr>
        <w:tc>
          <w:tcPr>
            <w:tcW w:w="1981" w:type="dxa"/>
            <w:vMerge w:val="continue"/>
            <w:tcBorders>
              <w:left w:val="nil"/>
              <w:right w:val="single" w:color="auto" w:sz="4" w:space="0"/>
            </w:tcBorders>
            <w:noWrap/>
            <w:vAlign w:val="center"/>
          </w:tcPr>
          <w:p>
            <w:pPr>
              <w:jc w:val="center"/>
              <w:rPr>
                <w:rFonts w:hint="default" w:ascii="Times New Roman" w:hAnsi="Times New Roman" w:cs="Times New Roman"/>
                <w:color w:val="000000"/>
                <w:sz w:val="21"/>
                <w:szCs w:val="21"/>
              </w:rPr>
            </w:pPr>
          </w:p>
        </w:tc>
        <w:tc>
          <w:tcPr>
            <w:tcW w:w="1890" w:type="dxa"/>
            <w:tcBorders>
              <w:top w:val="nil"/>
              <w:left w:val="single" w:color="auto" w:sz="4" w:space="0"/>
              <w:bottom w:val="nil"/>
              <w:right w:val="nil"/>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0.0026</w:t>
            </w:r>
          </w:p>
        </w:tc>
        <w:tc>
          <w:tcPr>
            <w:tcW w:w="2102" w:type="dxa"/>
            <w:tcBorders>
              <w:top w:val="nil"/>
              <w:left w:val="nil"/>
              <w:bottom w:val="nil"/>
              <w:right w:val="single" w:color="auto" w:sz="8"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0.0136</w:t>
            </w:r>
          </w:p>
        </w:tc>
        <w:tc>
          <w:tcPr>
            <w:tcW w:w="1828" w:type="dxa"/>
            <w:tcBorders>
              <w:top w:val="nil"/>
              <w:left w:val="nil"/>
              <w:bottom w:val="nil"/>
              <w:right w:val="nil"/>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0.0164</w:t>
            </w:r>
          </w:p>
        </w:tc>
        <w:tc>
          <w:tcPr>
            <w:tcW w:w="2167" w:type="dxa"/>
            <w:tcBorders>
              <w:top w:val="nil"/>
              <w:left w:val="nil"/>
              <w:bottom w:val="nil"/>
              <w:right w:val="nil"/>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0.204</w:t>
            </w:r>
          </w:p>
        </w:tc>
      </w:tr>
      <w:tr>
        <w:tblPrEx>
          <w:tblCellMar>
            <w:top w:w="0" w:type="dxa"/>
            <w:left w:w="108" w:type="dxa"/>
            <w:bottom w:w="0" w:type="dxa"/>
            <w:right w:w="108" w:type="dxa"/>
          </w:tblCellMar>
        </w:tblPrEx>
        <w:trPr>
          <w:trHeight w:val="340" w:hRule="atLeast"/>
          <w:jc w:val="center"/>
        </w:trPr>
        <w:tc>
          <w:tcPr>
            <w:tcW w:w="1981" w:type="dxa"/>
            <w:vMerge w:val="continue"/>
            <w:tcBorders>
              <w:left w:val="nil"/>
              <w:right w:val="single" w:color="auto" w:sz="4" w:space="0"/>
            </w:tcBorders>
            <w:noWrap/>
            <w:vAlign w:val="center"/>
          </w:tcPr>
          <w:p>
            <w:pPr>
              <w:jc w:val="center"/>
              <w:rPr>
                <w:rFonts w:hint="default" w:ascii="Times New Roman" w:hAnsi="Times New Roman" w:cs="Times New Roman"/>
                <w:color w:val="000000"/>
                <w:sz w:val="21"/>
                <w:szCs w:val="21"/>
              </w:rPr>
            </w:pPr>
          </w:p>
        </w:tc>
        <w:tc>
          <w:tcPr>
            <w:tcW w:w="1890" w:type="dxa"/>
            <w:tcBorders>
              <w:top w:val="nil"/>
              <w:left w:val="single" w:color="auto" w:sz="4" w:space="0"/>
              <w:bottom w:val="nil"/>
              <w:right w:val="nil"/>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0.0027</w:t>
            </w:r>
          </w:p>
        </w:tc>
        <w:tc>
          <w:tcPr>
            <w:tcW w:w="2102" w:type="dxa"/>
            <w:tcBorders>
              <w:top w:val="nil"/>
              <w:left w:val="nil"/>
              <w:bottom w:val="nil"/>
              <w:right w:val="single" w:color="auto" w:sz="8"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0.0133</w:t>
            </w:r>
          </w:p>
        </w:tc>
        <w:tc>
          <w:tcPr>
            <w:tcW w:w="1828" w:type="dxa"/>
            <w:tcBorders>
              <w:top w:val="nil"/>
              <w:left w:val="nil"/>
              <w:bottom w:val="nil"/>
              <w:right w:val="nil"/>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0.0172</w:t>
            </w:r>
          </w:p>
        </w:tc>
        <w:tc>
          <w:tcPr>
            <w:tcW w:w="2167" w:type="dxa"/>
            <w:tcBorders>
              <w:top w:val="nil"/>
              <w:left w:val="nil"/>
              <w:bottom w:val="nil"/>
              <w:right w:val="nil"/>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0.199</w:t>
            </w:r>
          </w:p>
        </w:tc>
      </w:tr>
      <w:tr>
        <w:tblPrEx>
          <w:tblCellMar>
            <w:top w:w="0" w:type="dxa"/>
            <w:left w:w="108" w:type="dxa"/>
            <w:bottom w:w="0" w:type="dxa"/>
            <w:right w:w="108" w:type="dxa"/>
          </w:tblCellMar>
        </w:tblPrEx>
        <w:trPr>
          <w:trHeight w:val="340" w:hRule="atLeast"/>
          <w:jc w:val="center"/>
        </w:trPr>
        <w:tc>
          <w:tcPr>
            <w:tcW w:w="1981" w:type="dxa"/>
            <w:vMerge w:val="continue"/>
            <w:tcBorders>
              <w:left w:val="nil"/>
              <w:right w:val="single" w:color="auto" w:sz="4" w:space="0"/>
            </w:tcBorders>
            <w:noWrap/>
            <w:vAlign w:val="center"/>
          </w:tcPr>
          <w:p>
            <w:pPr>
              <w:jc w:val="center"/>
              <w:rPr>
                <w:rFonts w:hint="default" w:ascii="Times New Roman" w:hAnsi="Times New Roman" w:cs="Times New Roman"/>
                <w:color w:val="000000"/>
                <w:sz w:val="21"/>
                <w:szCs w:val="21"/>
              </w:rPr>
            </w:pPr>
          </w:p>
        </w:tc>
        <w:tc>
          <w:tcPr>
            <w:tcW w:w="1890" w:type="dxa"/>
            <w:tcBorders>
              <w:top w:val="nil"/>
              <w:left w:val="single" w:color="auto" w:sz="4" w:space="0"/>
              <w:bottom w:val="nil"/>
              <w:right w:val="nil"/>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0.0024</w:t>
            </w:r>
          </w:p>
        </w:tc>
        <w:tc>
          <w:tcPr>
            <w:tcW w:w="2102" w:type="dxa"/>
            <w:tcBorders>
              <w:top w:val="nil"/>
              <w:left w:val="nil"/>
              <w:bottom w:val="nil"/>
              <w:right w:val="single" w:color="auto" w:sz="8"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0.0135</w:t>
            </w:r>
          </w:p>
        </w:tc>
        <w:tc>
          <w:tcPr>
            <w:tcW w:w="1828" w:type="dxa"/>
            <w:tcBorders>
              <w:top w:val="nil"/>
              <w:left w:val="nil"/>
              <w:bottom w:val="nil"/>
              <w:right w:val="nil"/>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0.0161</w:t>
            </w:r>
          </w:p>
        </w:tc>
        <w:tc>
          <w:tcPr>
            <w:tcW w:w="2167" w:type="dxa"/>
            <w:tcBorders>
              <w:top w:val="nil"/>
              <w:left w:val="nil"/>
              <w:bottom w:val="nil"/>
              <w:right w:val="nil"/>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0.205</w:t>
            </w:r>
          </w:p>
        </w:tc>
      </w:tr>
      <w:tr>
        <w:tblPrEx>
          <w:tblCellMar>
            <w:top w:w="0" w:type="dxa"/>
            <w:left w:w="108" w:type="dxa"/>
            <w:bottom w:w="0" w:type="dxa"/>
            <w:right w:w="108" w:type="dxa"/>
          </w:tblCellMar>
        </w:tblPrEx>
        <w:trPr>
          <w:trHeight w:val="340" w:hRule="atLeast"/>
          <w:jc w:val="center"/>
        </w:trPr>
        <w:tc>
          <w:tcPr>
            <w:tcW w:w="1981" w:type="dxa"/>
            <w:vMerge w:val="continue"/>
            <w:tcBorders>
              <w:left w:val="nil"/>
              <w:right w:val="single" w:color="auto" w:sz="4" w:space="0"/>
            </w:tcBorders>
            <w:noWrap/>
            <w:vAlign w:val="center"/>
          </w:tcPr>
          <w:p>
            <w:pPr>
              <w:jc w:val="center"/>
              <w:rPr>
                <w:rFonts w:hint="default" w:ascii="Times New Roman" w:hAnsi="Times New Roman" w:cs="Times New Roman"/>
                <w:color w:val="000000"/>
                <w:sz w:val="21"/>
                <w:szCs w:val="21"/>
              </w:rPr>
            </w:pPr>
          </w:p>
        </w:tc>
        <w:tc>
          <w:tcPr>
            <w:tcW w:w="1890" w:type="dxa"/>
            <w:tcBorders>
              <w:top w:val="nil"/>
              <w:left w:val="single" w:color="auto" w:sz="4" w:space="0"/>
              <w:bottom w:val="nil"/>
              <w:right w:val="nil"/>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0.0025</w:t>
            </w:r>
          </w:p>
        </w:tc>
        <w:tc>
          <w:tcPr>
            <w:tcW w:w="2102" w:type="dxa"/>
            <w:tcBorders>
              <w:top w:val="nil"/>
              <w:left w:val="nil"/>
              <w:bottom w:val="nil"/>
              <w:right w:val="single" w:color="auto" w:sz="8"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0.0128</w:t>
            </w:r>
          </w:p>
        </w:tc>
        <w:tc>
          <w:tcPr>
            <w:tcW w:w="1828" w:type="dxa"/>
            <w:tcBorders>
              <w:top w:val="nil"/>
              <w:left w:val="nil"/>
              <w:bottom w:val="nil"/>
              <w:right w:val="nil"/>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0.0162</w:t>
            </w:r>
          </w:p>
        </w:tc>
        <w:tc>
          <w:tcPr>
            <w:tcW w:w="2167" w:type="dxa"/>
            <w:tcBorders>
              <w:top w:val="nil"/>
              <w:left w:val="nil"/>
              <w:bottom w:val="nil"/>
              <w:right w:val="nil"/>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0.206</w:t>
            </w:r>
          </w:p>
        </w:tc>
      </w:tr>
      <w:tr>
        <w:tblPrEx>
          <w:tblCellMar>
            <w:top w:w="0" w:type="dxa"/>
            <w:left w:w="108" w:type="dxa"/>
            <w:bottom w:w="0" w:type="dxa"/>
            <w:right w:w="108" w:type="dxa"/>
          </w:tblCellMar>
        </w:tblPrEx>
        <w:trPr>
          <w:trHeight w:val="340" w:hRule="atLeast"/>
          <w:jc w:val="center"/>
        </w:trPr>
        <w:tc>
          <w:tcPr>
            <w:tcW w:w="1981" w:type="dxa"/>
            <w:vMerge w:val="continue"/>
            <w:tcBorders>
              <w:left w:val="nil"/>
              <w:right w:val="single" w:color="auto" w:sz="4" w:space="0"/>
            </w:tcBorders>
            <w:noWrap/>
            <w:vAlign w:val="center"/>
          </w:tcPr>
          <w:p>
            <w:pPr>
              <w:jc w:val="center"/>
              <w:rPr>
                <w:rFonts w:hint="default" w:ascii="Times New Roman" w:hAnsi="Times New Roman" w:cs="Times New Roman"/>
                <w:color w:val="000000"/>
                <w:sz w:val="21"/>
                <w:szCs w:val="21"/>
              </w:rPr>
            </w:pPr>
          </w:p>
        </w:tc>
        <w:tc>
          <w:tcPr>
            <w:tcW w:w="1890" w:type="dxa"/>
            <w:tcBorders>
              <w:top w:val="nil"/>
              <w:left w:val="single" w:color="auto" w:sz="4" w:space="0"/>
              <w:bottom w:val="nil"/>
              <w:right w:val="nil"/>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0.0027</w:t>
            </w:r>
          </w:p>
        </w:tc>
        <w:tc>
          <w:tcPr>
            <w:tcW w:w="2102" w:type="dxa"/>
            <w:tcBorders>
              <w:top w:val="nil"/>
              <w:left w:val="nil"/>
              <w:bottom w:val="nil"/>
              <w:right w:val="single" w:color="auto" w:sz="8"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0.0128</w:t>
            </w:r>
          </w:p>
        </w:tc>
        <w:tc>
          <w:tcPr>
            <w:tcW w:w="1828" w:type="dxa"/>
            <w:tcBorders>
              <w:top w:val="nil"/>
              <w:left w:val="nil"/>
              <w:bottom w:val="nil"/>
              <w:right w:val="nil"/>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0.0164</w:t>
            </w:r>
          </w:p>
        </w:tc>
        <w:tc>
          <w:tcPr>
            <w:tcW w:w="2167" w:type="dxa"/>
            <w:tcBorders>
              <w:top w:val="nil"/>
              <w:left w:val="nil"/>
              <w:bottom w:val="nil"/>
              <w:right w:val="nil"/>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0.196</w:t>
            </w:r>
          </w:p>
        </w:tc>
      </w:tr>
      <w:tr>
        <w:tblPrEx>
          <w:tblCellMar>
            <w:top w:w="0" w:type="dxa"/>
            <w:left w:w="108" w:type="dxa"/>
            <w:bottom w:w="0" w:type="dxa"/>
            <w:right w:w="108" w:type="dxa"/>
          </w:tblCellMar>
        </w:tblPrEx>
        <w:trPr>
          <w:trHeight w:val="340" w:hRule="atLeast"/>
          <w:jc w:val="center"/>
        </w:trPr>
        <w:tc>
          <w:tcPr>
            <w:tcW w:w="1981" w:type="dxa"/>
            <w:vMerge w:val="continue"/>
            <w:tcBorders>
              <w:left w:val="nil"/>
              <w:right w:val="single" w:color="auto" w:sz="4" w:space="0"/>
            </w:tcBorders>
            <w:noWrap/>
            <w:vAlign w:val="center"/>
          </w:tcPr>
          <w:p>
            <w:pPr>
              <w:jc w:val="center"/>
              <w:rPr>
                <w:rFonts w:hint="default" w:ascii="Times New Roman" w:hAnsi="Times New Roman" w:cs="Times New Roman"/>
                <w:color w:val="000000"/>
                <w:sz w:val="21"/>
                <w:szCs w:val="21"/>
              </w:rPr>
            </w:pPr>
          </w:p>
        </w:tc>
        <w:tc>
          <w:tcPr>
            <w:tcW w:w="1890" w:type="dxa"/>
            <w:tcBorders>
              <w:top w:val="nil"/>
              <w:left w:val="single" w:color="auto" w:sz="4" w:space="0"/>
              <w:bottom w:val="nil"/>
              <w:right w:val="nil"/>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0.0026</w:t>
            </w:r>
          </w:p>
        </w:tc>
        <w:tc>
          <w:tcPr>
            <w:tcW w:w="2102" w:type="dxa"/>
            <w:tcBorders>
              <w:top w:val="nil"/>
              <w:left w:val="nil"/>
              <w:bottom w:val="nil"/>
              <w:right w:val="single" w:color="auto" w:sz="8"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0.0137</w:t>
            </w:r>
          </w:p>
        </w:tc>
        <w:tc>
          <w:tcPr>
            <w:tcW w:w="1828" w:type="dxa"/>
            <w:tcBorders>
              <w:top w:val="nil"/>
              <w:left w:val="nil"/>
              <w:bottom w:val="nil"/>
              <w:right w:val="nil"/>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0.0162</w:t>
            </w:r>
          </w:p>
        </w:tc>
        <w:tc>
          <w:tcPr>
            <w:tcW w:w="2167" w:type="dxa"/>
            <w:tcBorders>
              <w:top w:val="nil"/>
              <w:left w:val="nil"/>
              <w:bottom w:val="nil"/>
              <w:right w:val="nil"/>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0.198</w:t>
            </w:r>
          </w:p>
        </w:tc>
      </w:tr>
      <w:tr>
        <w:tblPrEx>
          <w:tblCellMar>
            <w:top w:w="0" w:type="dxa"/>
            <w:left w:w="108" w:type="dxa"/>
            <w:bottom w:w="0" w:type="dxa"/>
            <w:right w:w="108" w:type="dxa"/>
          </w:tblCellMar>
        </w:tblPrEx>
        <w:trPr>
          <w:trHeight w:val="340" w:hRule="atLeast"/>
          <w:jc w:val="center"/>
        </w:trPr>
        <w:tc>
          <w:tcPr>
            <w:tcW w:w="1981" w:type="dxa"/>
            <w:vMerge w:val="continue"/>
            <w:tcBorders>
              <w:left w:val="nil"/>
              <w:right w:val="single" w:color="auto" w:sz="4" w:space="0"/>
            </w:tcBorders>
            <w:noWrap/>
            <w:vAlign w:val="center"/>
          </w:tcPr>
          <w:p>
            <w:pPr>
              <w:jc w:val="center"/>
              <w:rPr>
                <w:rFonts w:hint="default" w:ascii="Times New Roman" w:hAnsi="Times New Roman" w:cs="Times New Roman"/>
                <w:color w:val="000000"/>
                <w:sz w:val="21"/>
                <w:szCs w:val="21"/>
              </w:rPr>
            </w:pPr>
          </w:p>
        </w:tc>
        <w:tc>
          <w:tcPr>
            <w:tcW w:w="1890" w:type="dxa"/>
            <w:tcBorders>
              <w:top w:val="nil"/>
              <w:left w:val="single" w:color="auto" w:sz="4" w:space="0"/>
              <w:bottom w:val="nil"/>
              <w:right w:val="nil"/>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0.0024</w:t>
            </w:r>
          </w:p>
        </w:tc>
        <w:tc>
          <w:tcPr>
            <w:tcW w:w="2102" w:type="dxa"/>
            <w:tcBorders>
              <w:top w:val="nil"/>
              <w:left w:val="nil"/>
              <w:bottom w:val="nil"/>
              <w:right w:val="single" w:color="auto" w:sz="8"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0.0131</w:t>
            </w:r>
          </w:p>
        </w:tc>
        <w:tc>
          <w:tcPr>
            <w:tcW w:w="1828" w:type="dxa"/>
            <w:tcBorders>
              <w:top w:val="nil"/>
              <w:left w:val="nil"/>
              <w:bottom w:val="nil"/>
              <w:right w:val="nil"/>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0.0164</w:t>
            </w:r>
          </w:p>
        </w:tc>
        <w:tc>
          <w:tcPr>
            <w:tcW w:w="2167" w:type="dxa"/>
            <w:tcBorders>
              <w:top w:val="nil"/>
              <w:left w:val="nil"/>
              <w:bottom w:val="nil"/>
              <w:right w:val="nil"/>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0.209</w:t>
            </w:r>
          </w:p>
        </w:tc>
      </w:tr>
      <w:tr>
        <w:tblPrEx>
          <w:tblCellMar>
            <w:top w:w="0" w:type="dxa"/>
            <w:left w:w="108" w:type="dxa"/>
            <w:bottom w:w="0" w:type="dxa"/>
            <w:right w:w="108" w:type="dxa"/>
          </w:tblCellMar>
        </w:tblPrEx>
        <w:trPr>
          <w:trHeight w:val="340" w:hRule="atLeast"/>
          <w:jc w:val="center"/>
        </w:trPr>
        <w:tc>
          <w:tcPr>
            <w:tcW w:w="1981" w:type="dxa"/>
            <w:vMerge w:val="continue"/>
            <w:tcBorders>
              <w:left w:val="nil"/>
              <w:right w:val="single" w:color="auto" w:sz="4" w:space="0"/>
            </w:tcBorders>
            <w:noWrap/>
            <w:vAlign w:val="center"/>
          </w:tcPr>
          <w:p>
            <w:pPr>
              <w:jc w:val="center"/>
              <w:rPr>
                <w:rFonts w:hint="default" w:ascii="Times New Roman" w:hAnsi="Times New Roman" w:cs="Times New Roman"/>
                <w:color w:val="000000"/>
                <w:sz w:val="21"/>
                <w:szCs w:val="21"/>
              </w:rPr>
            </w:pPr>
          </w:p>
        </w:tc>
        <w:tc>
          <w:tcPr>
            <w:tcW w:w="1890" w:type="dxa"/>
            <w:tcBorders>
              <w:top w:val="nil"/>
              <w:left w:val="single" w:color="auto" w:sz="4" w:space="0"/>
              <w:bottom w:val="nil"/>
              <w:right w:val="nil"/>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0.0025</w:t>
            </w:r>
          </w:p>
        </w:tc>
        <w:tc>
          <w:tcPr>
            <w:tcW w:w="2102" w:type="dxa"/>
            <w:tcBorders>
              <w:top w:val="nil"/>
              <w:left w:val="nil"/>
              <w:bottom w:val="nil"/>
              <w:right w:val="single" w:color="auto" w:sz="8"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0.0138</w:t>
            </w:r>
          </w:p>
        </w:tc>
        <w:tc>
          <w:tcPr>
            <w:tcW w:w="1828" w:type="dxa"/>
            <w:tcBorders>
              <w:top w:val="nil"/>
              <w:left w:val="nil"/>
              <w:bottom w:val="nil"/>
              <w:right w:val="nil"/>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0.0169</w:t>
            </w:r>
          </w:p>
        </w:tc>
        <w:tc>
          <w:tcPr>
            <w:tcW w:w="2167" w:type="dxa"/>
            <w:tcBorders>
              <w:top w:val="nil"/>
              <w:left w:val="nil"/>
              <w:bottom w:val="nil"/>
              <w:right w:val="nil"/>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0.205</w:t>
            </w:r>
          </w:p>
        </w:tc>
      </w:tr>
      <w:tr>
        <w:tblPrEx>
          <w:tblCellMar>
            <w:top w:w="0" w:type="dxa"/>
            <w:left w:w="108" w:type="dxa"/>
            <w:bottom w:w="0" w:type="dxa"/>
            <w:right w:w="108" w:type="dxa"/>
          </w:tblCellMar>
        </w:tblPrEx>
        <w:trPr>
          <w:trHeight w:val="340" w:hRule="atLeast"/>
          <w:jc w:val="center"/>
        </w:trPr>
        <w:tc>
          <w:tcPr>
            <w:tcW w:w="1981" w:type="dxa"/>
            <w:vMerge w:val="continue"/>
            <w:tcBorders>
              <w:left w:val="nil"/>
              <w:right w:val="single" w:color="auto" w:sz="4" w:space="0"/>
            </w:tcBorders>
            <w:noWrap/>
            <w:vAlign w:val="center"/>
          </w:tcPr>
          <w:p>
            <w:pPr>
              <w:jc w:val="center"/>
              <w:rPr>
                <w:rFonts w:hint="default" w:ascii="Times New Roman" w:hAnsi="Times New Roman" w:cs="Times New Roman"/>
                <w:color w:val="000000"/>
                <w:sz w:val="21"/>
                <w:szCs w:val="21"/>
              </w:rPr>
            </w:pPr>
          </w:p>
        </w:tc>
        <w:tc>
          <w:tcPr>
            <w:tcW w:w="1890" w:type="dxa"/>
            <w:tcBorders>
              <w:top w:val="nil"/>
              <w:left w:val="single" w:color="auto" w:sz="4" w:space="0"/>
              <w:bottom w:val="nil"/>
              <w:right w:val="nil"/>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0.0027</w:t>
            </w:r>
          </w:p>
        </w:tc>
        <w:tc>
          <w:tcPr>
            <w:tcW w:w="2102" w:type="dxa"/>
            <w:tcBorders>
              <w:top w:val="nil"/>
              <w:left w:val="nil"/>
              <w:bottom w:val="nil"/>
              <w:right w:val="single" w:color="auto" w:sz="8"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0.0135</w:t>
            </w:r>
          </w:p>
        </w:tc>
        <w:tc>
          <w:tcPr>
            <w:tcW w:w="1828" w:type="dxa"/>
            <w:tcBorders>
              <w:top w:val="nil"/>
              <w:left w:val="nil"/>
              <w:bottom w:val="nil"/>
              <w:right w:val="nil"/>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0.0165</w:t>
            </w:r>
          </w:p>
        </w:tc>
        <w:tc>
          <w:tcPr>
            <w:tcW w:w="2167" w:type="dxa"/>
            <w:tcBorders>
              <w:top w:val="nil"/>
              <w:left w:val="nil"/>
              <w:bottom w:val="nil"/>
              <w:right w:val="nil"/>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0.198</w:t>
            </w:r>
          </w:p>
        </w:tc>
      </w:tr>
      <w:tr>
        <w:tblPrEx>
          <w:tblCellMar>
            <w:top w:w="0" w:type="dxa"/>
            <w:left w:w="108" w:type="dxa"/>
            <w:bottom w:w="0" w:type="dxa"/>
            <w:right w:w="108" w:type="dxa"/>
          </w:tblCellMar>
        </w:tblPrEx>
        <w:trPr>
          <w:trHeight w:val="340" w:hRule="atLeast"/>
          <w:jc w:val="center"/>
        </w:trPr>
        <w:tc>
          <w:tcPr>
            <w:tcW w:w="1981" w:type="dxa"/>
            <w:vMerge w:val="continue"/>
            <w:tcBorders>
              <w:left w:val="nil"/>
              <w:bottom w:val="single" w:color="auto" w:sz="4" w:space="0"/>
              <w:right w:val="single" w:color="auto" w:sz="4" w:space="0"/>
            </w:tcBorders>
            <w:noWrap/>
            <w:vAlign w:val="center"/>
          </w:tcPr>
          <w:p>
            <w:pPr>
              <w:jc w:val="center"/>
              <w:rPr>
                <w:rFonts w:hint="default" w:ascii="Times New Roman" w:hAnsi="Times New Roman" w:cs="Times New Roman"/>
                <w:color w:val="000000"/>
                <w:sz w:val="21"/>
                <w:szCs w:val="21"/>
              </w:rPr>
            </w:pPr>
          </w:p>
        </w:tc>
        <w:tc>
          <w:tcPr>
            <w:tcW w:w="1890" w:type="dxa"/>
            <w:tcBorders>
              <w:top w:val="nil"/>
              <w:left w:val="single" w:color="auto" w:sz="4" w:space="0"/>
              <w:bottom w:val="single" w:color="auto" w:sz="4" w:space="0"/>
              <w:right w:val="nil"/>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0.0026</w:t>
            </w:r>
          </w:p>
        </w:tc>
        <w:tc>
          <w:tcPr>
            <w:tcW w:w="2102" w:type="dxa"/>
            <w:tcBorders>
              <w:top w:val="nil"/>
              <w:left w:val="nil"/>
              <w:bottom w:val="single" w:color="auto" w:sz="4" w:space="0"/>
              <w:right w:val="single" w:color="auto" w:sz="8"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0.0131</w:t>
            </w:r>
          </w:p>
        </w:tc>
        <w:tc>
          <w:tcPr>
            <w:tcW w:w="1828" w:type="dxa"/>
            <w:tcBorders>
              <w:top w:val="nil"/>
              <w:left w:val="nil"/>
              <w:bottom w:val="single" w:color="auto" w:sz="4" w:space="0"/>
              <w:right w:val="nil"/>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0.0173</w:t>
            </w:r>
          </w:p>
        </w:tc>
        <w:tc>
          <w:tcPr>
            <w:tcW w:w="2167" w:type="dxa"/>
            <w:tcBorders>
              <w:top w:val="nil"/>
              <w:left w:val="nil"/>
              <w:bottom w:val="single" w:color="auto" w:sz="4" w:space="0"/>
              <w:right w:val="nil"/>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0.197</w:t>
            </w:r>
          </w:p>
        </w:tc>
      </w:tr>
      <w:tr>
        <w:tblPrEx>
          <w:tblCellMar>
            <w:top w:w="0" w:type="dxa"/>
            <w:left w:w="108" w:type="dxa"/>
            <w:bottom w:w="0" w:type="dxa"/>
            <w:right w:w="108" w:type="dxa"/>
          </w:tblCellMar>
        </w:tblPrEx>
        <w:trPr>
          <w:trHeight w:val="340" w:hRule="atLeast"/>
          <w:jc w:val="center"/>
        </w:trPr>
        <w:tc>
          <w:tcPr>
            <w:tcW w:w="1981" w:type="dxa"/>
            <w:tcBorders>
              <w:top w:val="single" w:color="auto" w:sz="4" w:space="0"/>
              <w:left w:val="nil"/>
              <w:bottom w:val="single" w:color="auto" w:sz="8" w:space="0"/>
              <w:right w:val="single" w:color="auto"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平 均 值/%</w:t>
            </w:r>
          </w:p>
        </w:tc>
        <w:tc>
          <w:tcPr>
            <w:tcW w:w="1890" w:type="dxa"/>
            <w:tcBorders>
              <w:top w:val="single" w:color="auto" w:sz="4" w:space="0"/>
              <w:left w:val="single" w:color="auto" w:sz="4" w:space="0"/>
              <w:bottom w:val="single" w:color="auto" w:sz="8" w:space="0"/>
              <w:right w:val="nil"/>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0.0026</w:t>
            </w:r>
          </w:p>
        </w:tc>
        <w:tc>
          <w:tcPr>
            <w:tcW w:w="2102" w:type="dxa"/>
            <w:tcBorders>
              <w:top w:val="single" w:color="auto" w:sz="4" w:space="0"/>
              <w:left w:val="nil"/>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0.0133</w:t>
            </w:r>
          </w:p>
        </w:tc>
        <w:tc>
          <w:tcPr>
            <w:tcW w:w="1828" w:type="dxa"/>
            <w:tcBorders>
              <w:top w:val="single" w:color="auto" w:sz="4" w:space="0"/>
              <w:left w:val="nil"/>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0.0166</w:t>
            </w:r>
          </w:p>
        </w:tc>
        <w:tc>
          <w:tcPr>
            <w:tcW w:w="2167" w:type="dxa"/>
            <w:tcBorders>
              <w:top w:val="single" w:color="auto" w:sz="4" w:space="0"/>
              <w:left w:val="nil"/>
              <w:bottom w:val="single" w:color="auto" w:sz="8" w:space="0"/>
              <w:right w:val="nil"/>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0.202</w:t>
            </w:r>
          </w:p>
        </w:tc>
      </w:tr>
      <w:tr>
        <w:tblPrEx>
          <w:tblCellMar>
            <w:top w:w="0" w:type="dxa"/>
            <w:left w:w="108" w:type="dxa"/>
            <w:bottom w:w="0" w:type="dxa"/>
            <w:right w:w="108" w:type="dxa"/>
          </w:tblCellMar>
        </w:tblPrEx>
        <w:trPr>
          <w:trHeight w:val="340" w:hRule="atLeast"/>
          <w:jc w:val="center"/>
        </w:trPr>
        <w:tc>
          <w:tcPr>
            <w:tcW w:w="1981" w:type="dxa"/>
            <w:tcBorders>
              <w:top w:val="nil"/>
              <w:left w:val="nil"/>
              <w:bottom w:val="single" w:color="auto" w:sz="8" w:space="0"/>
              <w:right w:val="single" w:color="auto"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偏    差/%</w:t>
            </w:r>
          </w:p>
        </w:tc>
        <w:tc>
          <w:tcPr>
            <w:tcW w:w="1890" w:type="dxa"/>
            <w:tcBorders>
              <w:top w:val="nil"/>
              <w:left w:val="single" w:color="auto" w:sz="4" w:space="0"/>
              <w:bottom w:val="single" w:color="auto" w:sz="8" w:space="0"/>
              <w:right w:val="nil"/>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0.00011</w:t>
            </w:r>
          </w:p>
        </w:tc>
        <w:tc>
          <w:tcPr>
            <w:tcW w:w="2102" w:type="dxa"/>
            <w:tcBorders>
              <w:top w:val="nil"/>
              <w:left w:val="nil"/>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0.00054</w:t>
            </w:r>
          </w:p>
        </w:tc>
        <w:tc>
          <w:tcPr>
            <w:tcW w:w="1828" w:type="dxa"/>
            <w:tcBorders>
              <w:top w:val="nil"/>
              <w:left w:val="nil"/>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0.00065</w:t>
            </w:r>
          </w:p>
        </w:tc>
        <w:tc>
          <w:tcPr>
            <w:tcW w:w="2167" w:type="dxa"/>
            <w:tcBorders>
              <w:top w:val="nil"/>
              <w:left w:val="nil"/>
              <w:bottom w:val="single" w:color="auto" w:sz="8" w:space="0"/>
              <w:right w:val="nil"/>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0.0072</w:t>
            </w:r>
          </w:p>
        </w:tc>
      </w:tr>
      <w:tr>
        <w:tblPrEx>
          <w:tblCellMar>
            <w:top w:w="0" w:type="dxa"/>
            <w:left w:w="108" w:type="dxa"/>
            <w:bottom w:w="0" w:type="dxa"/>
            <w:right w:w="108" w:type="dxa"/>
          </w:tblCellMar>
        </w:tblPrEx>
        <w:trPr>
          <w:trHeight w:val="340" w:hRule="atLeast"/>
          <w:jc w:val="center"/>
        </w:trPr>
        <w:tc>
          <w:tcPr>
            <w:tcW w:w="1981" w:type="dxa"/>
            <w:tcBorders>
              <w:top w:val="nil"/>
              <w:left w:val="nil"/>
              <w:bottom w:val="single" w:color="auto" w:sz="8" w:space="0"/>
              <w:right w:val="single" w:color="auto" w:sz="4"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RSD/%</w:t>
            </w:r>
          </w:p>
        </w:tc>
        <w:tc>
          <w:tcPr>
            <w:tcW w:w="1890" w:type="dxa"/>
            <w:tcBorders>
              <w:top w:val="nil"/>
              <w:left w:val="single" w:color="auto" w:sz="4" w:space="0"/>
              <w:bottom w:val="single" w:color="auto" w:sz="8" w:space="0"/>
              <w:right w:val="nil"/>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4.3</w:t>
            </w:r>
          </w:p>
        </w:tc>
        <w:tc>
          <w:tcPr>
            <w:tcW w:w="2102" w:type="dxa"/>
            <w:tcBorders>
              <w:top w:val="nil"/>
              <w:left w:val="nil"/>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2.9</w:t>
            </w:r>
          </w:p>
        </w:tc>
        <w:tc>
          <w:tcPr>
            <w:tcW w:w="1828" w:type="dxa"/>
            <w:tcBorders>
              <w:top w:val="nil"/>
              <w:left w:val="nil"/>
              <w:bottom w:val="single" w:color="auto" w:sz="8" w:space="0"/>
              <w:right w:val="single" w:color="auto" w:sz="8" w:space="0"/>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2.7</w:t>
            </w:r>
          </w:p>
        </w:tc>
        <w:tc>
          <w:tcPr>
            <w:tcW w:w="2167" w:type="dxa"/>
            <w:tcBorders>
              <w:top w:val="nil"/>
              <w:left w:val="nil"/>
              <w:bottom w:val="single" w:color="auto" w:sz="8" w:space="0"/>
              <w:right w:val="nil"/>
            </w:tcBorders>
            <w:vAlign w:val="center"/>
          </w:tcPr>
          <w:p>
            <w:pPr>
              <w:jc w:val="center"/>
              <w:rPr>
                <w:rFonts w:hint="default" w:ascii="Times New Roman" w:hAnsi="Times New Roman" w:cs="Times New Roman"/>
                <w:color w:val="000000"/>
                <w:sz w:val="21"/>
                <w:szCs w:val="21"/>
              </w:rPr>
            </w:pPr>
            <w:r>
              <w:rPr>
                <w:rFonts w:hint="default" w:ascii="Times New Roman" w:hAnsi="Times New Roman" w:cs="Times New Roman"/>
                <w:color w:val="000000"/>
                <w:sz w:val="21"/>
                <w:szCs w:val="21"/>
              </w:rPr>
              <w:t>2.3</w:t>
            </w:r>
          </w:p>
        </w:tc>
      </w:tr>
    </w:tbl>
    <w:p>
      <w:pPr>
        <w:ind w:right="420" w:firstLine="360" w:firstLineChars="200"/>
        <w:rPr>
          <w:color w:val="000000"/>
          <w:sz w:val="18"/>
          <w:szCs w:val="18"/>
        </w:rPr>
      </w:pPr>
    </w:p>
    <w:p>
      <w:pPr>
        <w:spacing w:before="156" w:beforeLines="50" w:after="156" w:afterLines="50" w:line="300" w:lineRule="auto"/>
        <w:ind w:firstLine="420"/>
        <w:jc w:val="left"/>
        <w:rPr>
          <w:szCs w:val="21"/>
        </w:rPr>
      </w:pPr>
      <w:r>
        <w:rPr>
          <w:szCs w:val="21"/>
        </w:rPr>
        <w:t>重复性限、再现性限的确定建立在7家实验室6个水平样品数据的统计分析基础上，数据统计过程见附件A。</w:t>
      </w:r>
    </w:p>
    <w:p>
      <w:pPr>
        <w:spacing w:before="156" w:beforeLines="50" w:after="156" w:afterLines="50" w:line="300" w:lineRule="auto"/>
        <w:rPr>
          <w:rFonts w:eastAsia="黑体"/>
          <w:bCs/>
          <w:szCs w:val="21"/>
        </w:rPr>
      </w:pPr>
      <w:r>
        <w:rPr>
          <w:rFonts w:eastAsia="黑体"/>
          <w:bCs/>
          <w:szCs w:val="21"/>
        </w:rPr>
        <w:t>四、标准水平分析</w:t>
      </w:r>
    </w:p>
    <w:p>
      <w:pPr>
        <w:spacing w:before="156" w:beforeLines="50" w:after="156" w:afterLines="50" w:line="300" w:lineRule="auto"/>
        <w:ind w:firstLine="420"/>
        <w:jc w:val="left"/>
        <w:rPr>
          <w:szCs w:val="21"/>
        </w:rPr>
      </w:pPr>
      <w:r>
        <w:rPr>
          <w:szCs w:val="21"/>
        </w:rPr>
        <w:t>本标准修订过程中，由起草单位对国际、国内标准进行了查阅和调研，修订后的方法更</w:t>
      </w:r>
      <w:r>
        <w:rPr>
          <w:rFonts w:hint="eastAsia"/>
          <w:szCs w:val="21"/>
        </w:rPr>
        <w:t>好的适用于生产实际</w:t>
      </w:r>
      <w:r>
        <w:rPr>
          <w:szCs w:val="21"/>
        </w:rPr>
        <w:t>，充分考虑了检测仪器设备的性能更新，进一步扩展了方法的检测范围，更新了助溶剂的种类，提升了检测结果的可靠性。本标准达到国内领先，国际先进水平。</w:t>
      </w:r>
    </w:p>
    <w:p>
      <w:pPr>
        <w:spacing w:before="156" w:beforeLines="50" w:after="156" w:afterLines="50" w:line="300" w:lineRule="auto"/>
        <w:rPr>
          <w:rFonts w:eastAsia="黑体"/>
          <w:bCs/>
          <w:szCs w:val="21"/>
        </w:rPr>
      </w:pPr>
      <w:r>
        <w:rPr>
          <w:rFonts w:eastAsia="黑体"/>
          <w:bCs/>
          <w:szCs w:val="21"/>
        </w:rPr>
        <w:t>五、与现行法律、法规、强制性国家标准及相关标准的关系</w:t>
      </w:r>
    </w:p>
    <w:p>
      <w:pPr>
        <w:spacing w:before="156" w:beforeLines="50" w:after="156" w:afterLines="50" w:line="300" w:lineRule="auto"/>
        <w:ind w:firstLine="420" w:firstLineChars="200"/>
        <w:rPr>
          <w:szCs w:val="21"/>
        </w:rPr>
      </w:pPr>
      <w:r>
        <w:rPr>
          <w:szCs w:val="21"/>
        </w:rPr>
        <w:t>本标准属于稀土及其氧化物的化学分析方法标准，领域内没有强制性国家标准。本标准与现行法律、法规和相关标准相协调、无冲突。</w:t>
      </w:r>
    </w:p>
    <w:p>
      <w:pPr>
        <w:spacing w:before="156" w:beforeLines="50" w:after="156" w:afterLines="50" w:line="300" w:lineRule="auto"/>
        <w:rPr>
          <w:rFonts w:eastAsia="黑体"/>
          <w:bCs/>
          <w:szCs w:val="21"/>
        </w:rPr>
      </w:pPr>
      <w:r>
        <w:rPr>
          <w:rFonts w:eastAsia="黑体"/>
          <w:bCs/>
          <w:szCs w:val="21"/>
        </w:rPr>
        <w:t>六、专利及涉及知识产权</w:t>
      </w:r>
    </w:p>
    <w:p>
      <w:pPr>
        <w:spacing w:before="156" w:beforeLines="50" w:after="156" w:afterLines="50" w:line="300" w:lineRule="auto"/>
        <w:ind w:firstLine="420" w:firstLineChars="200"/>
        <w:rPr>
          <w:szCs w:val="21"/>
        </w:rPr>
      </w:pPr>
      <w:r>
        <w:rPr>
          <w:szCs w:val="21"/>
        </w:rPr>
        <w:t>本标准不涉及专利和知识产权问题。</w:t>
      </w:r>
    </w:p>
    <w:p>
      <w:pPr>
        <w:spacing w:before="156" w:beforeLines="50" w:after="156" w:afterLines="50" w:line="300" w:lineRule="auto"/>
        <w:rPr>
          <w:rFonts w:eastAsia="黑体"/>
          <w:bCs/>
          <w:szCs w:val="21"/>
        </w:rPr>
      </w:pPr>
      <w:r>
        <w:rPr>
          <w:rFonts w:eastAsia="黑体"/>
          <w:bCs/>
          <w:szCs w:val="21"/>
        </w:rPr>
        <w:t>七、重大分歧意见的处理和依据</w:t>
      </w:r>
    </w:p>
    <w:p>
      <w:pPr>
        <w:spacing w:line="300" w:lineRule="auto"/>
        <w:rPr>
          <w:rFonts w:eastAsia="黑体"/>
          <w:bCs/>
          <w:szCs w:val="21"/>
        </w:rPr>
      </w:pPr>
      <w:r>
        <w:rPr>
          <w:rFonts w:eastAsia="黑体"/>
          <w:bCs/>
          <w:szCs w:val="21"/>
        </w:rPr>
        <w:tab/>
      </w:r>
      <w:r>
        <w:rPr>
          <w:rFonts w:eastAsia="黑体"/>
          <w:bCs/>
          <w:szCs w:val="21"/>
        </w:rPr>
        <w:t>无。</w:t>
      </w:r>
    </w:p>
    <w:p>
      <w:pPr>
        <w:spacing w:before="156" w:beforeLines="50" w:after="156" w:afterLines="50" w:line="300" w:lineRule="auto"/>
        <w:rPr>
          <w:rFonts w:eastAsia="黑体"/>
          <w:bCs/>
          <w:szCs w:val="21"/>
        </w:rPr>
      </w:pPr>
      <w:r>
        <w:rPr>
          <w:rFonts w:eastAsia="黑体"/>
          <w:bCs/>
          <w:szCs w:val="21"/>
        </w:rPr>
        <w:t>八、标准作为强制性或推荐性国家（或行业）标准的建议</w:t>
      </w:r>
    </w:p>
    <w:p>
      <w:pPr>
        <w:pStyle w:val="121"/>
        <w:tabs>
          <w:tab w:val="center" w:pos="4201"/>
          <w:tab w:val="right" w:leader="dot" w:pos="9298"/>
        </w:tabs>
        <w:spacing w:line="300" w:lineRule="auto"/>
        <w:ind w:firstLine="420"/>
        <w:rPr>
          <w:rFonts w:ascii="Times New Roman" w:hAnsi="Times New Roman"/>
          <w:szCs w:val="21"/>
        </w:rPr>
      </w:pPr>
      <w:r>
        <w:rPr>
          <w:rFonts w:ascii="Times New Roman" w:hAnsi="Times New Roman"/>
          <w:szCs w:val="21"/>
        </w:rPr>
        <w:t>建议该标准为推荐性国家标准。</w:t>
      </w:r>
    </w:p>
    <w:p>
      <w:pPr>
        <w:spacing w:before="156" w:beforeLines="50" w:after="156" w:afterLines="50" w:line="300" w:lineRule="auto"/>
        <w:rPr>
          <w:rFonts w:eastAsia="黑体"/>
          <w:bCs/>
          <w:szCs w:val="21"/>
        </w:rPr>
      </w:pPr>
      <w:r>
        <w:rPr>
          <w:rFonts w:eastAsia="黑体"/>
          <w:bCs/>
          <w:szCs w:val="21"/>
        </w:rPr>
        <w:t>九、贯彻标准的要求和措施建议</w:t>
      </w:r>
    </w:p>
    <w:p>
      <w:pPr>
        <w:spacing w:line="300" w:lineRule="auto"/>
        <w:ind w:firstLine="420" w:firstLineChars="200"/>
        <w:rPr>
          <w:rFonts w:eastAsia="黑体"/>
          <w:szCs w:val="21"/>
        </w:rPr>
      </w:pPr>
      <w:r>
        <w:rPr>
          <w:kern w:val="0"/>
          <w:szCs w:val="21"/>
        </w:rPr>
        <w:t>建议稀土产品的生产和检测单位积极组织本标准的学习与宣贯，可向企业、公司和科研院校（所）推荐本标准。</w:t>
      </w:r>
    </w:p>
    <w:p>
      <w:pPr>
        <w:spacing w:before="156" w:beforeLines="50" w:after="156" w:afterLines="50" w:line="300" w:lineRule="auto"/>
        <w:rPr>
          <w:rFonts w:eastAsia="黑体"/>
          <w:bCs/>
          <w:szCs w:val="21"/>
        </w:rPr>
      </w:pPr>
      <w:r>
        <w:rPr>
          <w:rFonts w:eastAsia="黑体"/>
          <w:bCs/>
          <w:szCs w:val="21"/>
        </w:rPr>
        <w:t>十、废止现行有关标准的建议</w:t>
      </w:r>
    </w:p>
    <w:p>
      <w:pPr>
        <w:pStyle w:val="121"/>
        <w:spacing w:line="300" w:lineRule="auto"/>
        <w:ind w:firstLine="420"/>
        <w:rPr>
          <w:rFonts w:ascii="Times New Roman" w:hAnsi="Times New Roman"/>
          <w:szCs w:val="21"/>
        </w:rPr>
      </w:pPr>
      <w:r>
        <w:rPr>
          <w:rFonts w:ascii="Times New Roman" w:hAnsi="Times New Roman"/>
          <w:szCs w:val="21"/>
        </w:rPr>
        <w:t>本标准为修订标准，修订版颁布标准实施后GB/T 12690.</w:t>
      </w:r>
      <w:r>
        <w:rPr>
          <w:rFonts w:hint="eastAsia" w:ascii="Times New Roman" w:hAnsi="Times New Roman"/>
          <w:szCs w:val="21"/>
        </w:rPr>
        <w:t>1</w:t>
      </w:r>
      <w:r>
        <w:rPr>
          <w:rFonts w:ascii="Times New Roman" w:hAnsi="Times New Roman"/>
          <w:szCs w:val="21"/>
        </w:rPr>
        <w:t>-20</w:t>
      </w:r>
      <w:r>
        <w:rPr>
          <w:rFonts w:hint="eastAsia" w:ascii="Times New Roman" w:hAnsi="Times New Roman"/>
          <w:szCs w:val="21"/>
        </w:rPr>
        <w:t>15</w:t>
      </w:r>
      <w:r>
        <w:rPr>
          <w:rFonts w:ascii="Times New Roman" w:hAnsi="Times New Roman"/>
          <w:szCs w:val="21"/>
        </w:rPr>
        <w:t>废止。</w:t>
      </w:r>
    </w:p>
    <w:p>
      <w:pPr>
        <w:spacing w:before="156" w:beforeLines="50" w:after="156" w:afterLines="50" w:line="300" w:lineRule="auto"/>
        <w:rPr>
          <w:rFonts w:eastAsia="黑体"/>
          <w:bCs/>
          <w:szCs w:val="21"/>
        </w:rPr>
      </w:pPr>
      <w:r>
        <w:rPr>
          <w:rFonts w:eastAsia="黑体"/>
          <w:bCs/>
          <w:szCs w:val="21"/>
        </w:rPr>
        <w:t>十一、其它应予说明的事项</w:t>
      </w:r>
    </w:p>
    <w:p>
      <w:pPr>
        <w:spacing w:line="300" w:lineRule="auto"/>
        <w:ind w:firstLine="420" w:firstLineChars="200"/>
        <w:rPr>
          <w:rFonts w:eastAsia="黑体"/>
          <w:szCs w:val="21"/>
        </w:rPr>
      </w:pPr>
      <w:r>
        <w:rPr>
          <w:rFonts w:eastAsia="黑体"/>
          <w:szCs w:val="21"/>
        </w:rPr>
        <w:t>无。</w:t>
      </w:r>
    </w:p>
    <w:p>
      <w:pPr>
        <w:spacing w:before="156" w:beforeLines="50" w:after="156" w:afterLines="50" w:line="300" w:lineRule="auto"/>
        <w:rPr>
          <w:rFonts w:eastAsia="黑体"/>
          <w:bCs/>
          <w:szCs w:val="21"/>
        </w:rPr>
      </w:pPr>
      <w:r>
        <w:rPr>
          <w:rFonts w:eastAsia="黑体"/>
          <w:bCs/>
          <w:szCs w:val="21"/>
        </w:rPr>
        <w:t>十二、推广应用的预期效果</w:t>
      </w:r>
    </w:p>
    <w:p>
      <w:pPr>
        <w:spacing w:line="300" w:lineRule="auto"/>
        <w:ind w:firstLine="420" w:firstLineChars="200"/>
        <w:rPr>
          <w:kern w:val="0"/>
          <w:szCs w:val="21"/>
        </w:rPr>
      </w:pPr>
      <w:r>
        <w:rPr>
          <w:kern w:val="0"/>
          <w:szCs w:val="21"/>
        </w:rPr>
        <w:t>本标准服务于产品标准，标准修订后其</w:t>
      </w:r>
      <w:r>
        <w:rPr>
          <w:rFonts w:hint="eastAsia"/>
          <w:kern w:val="0"/>
          <w:szCs w:val="21"/>
        </w:rPr>
        <w:t>检测</w:t>
      </w:r>
      <w:r>
        <w:rPr>
          <w:kern w:val="0"/>
          <w:szCs w:val="21"/>
        </w:rPr>
        <w:t>范围能够</w:t>
      </w:r>
      <w:r>
        <w:rPr>
          <w:rFonts w:hint="eastAsia"/>
          <w:kern w:val="0"/>
          <w:szCs w:val="21"/>
        </w:rPr>
        <w:t>更全面的涵盖</w:t>
      </w:r>
      <w:r>
        <w:rPr>
          <w:kern w:val="0"/>
          <w:szCs w:val="21"/>
        </w:rPr>
        <w:t>市场上全部的稀土金属及其氧化物产品中</w:t>
      </w:r>
      <w:r>
        <w:rPr>
          <w:rFonts w:hint="eastAsia"/>
          <w:kern w:val="0"/>
          <w:szCs w:val="21"/>
        </w:rPr>
        <w:t>碳、硫</w:t>
      </w:r>
      <w:r>
        <w:rPr>
          <w:kern w:val="0"/>
          <w:szCs w:val="21"/>
        </w:rPr>
        <w:t>的含量要求。本标准</w:t>
      </w:r>
      <w:r>
        <w:rPr>
          <w:rFonts w:hint="eastAsia"/>
          <w:kern w:val="0"/>
          <w:szCs w:val="21"/>
        </w:rPr>
        <w:t>的</w:t>
      </w:r>
      <w:r>
        <w:rPr>
          <w:kern w:val="0"/>
          <w:szCs w:val="21"/>
        </w:rPr>
        <w:t>推广应用，对于促进我国稀土产品的生产、贸易具有重要意义。</w:t>
      </w:r>
    </w:p>
    <w:p>
      <w:pPr>
        <w:spacing w:line="300" w:lineRule="auto"/>
        <w:ind w:firstLine="420" w:firstLineChars="200"/>
        <w:rPr>
          <w:kern w:val="0"/>
          <w:szCs w:val="21"/>
        </w:rPr>
      </w:pPr>
      <w:r>
        <w:rPr>
          <w:kern w:val="0"/>
          <w:szCs w:val="21"/>
        </w:rPr>
        <w:t>本标准</w:t>
      </w:r>
      <w:r>
        <w:rPr>
          <w:rFonts w:hint="eastAsia"/>
          <w:kern w:val="0"/>
          <w:szCs w:val="21"/>
        </w:rPr>
        <w:t>更低的检测下限能更好的满足检测市场上更多客户的需求，便于数据检测向产业化发展，预计未来可产生可观的经济效益。</w:t>
      </w:r>
    </w:p>
    <w:p>
      <w:pPr>
        <w:widowControl/>
        <w:jc w:val="left"/>
        <w:rPr>
          <w:sz w:val="18"/>
          <w:szCs w:val="18"/>
        </w:rPr>
      </w:pPr>
      <w:r>
        <w:rPr>
          <w:szCs w:val="21"/>
        </w:rPr>
        <w:br w:type="page"/>
      </w:r>
    </w:p>
    <w:p>
      <w:pPr>
        <w:widowControl/>
        <w:jc w:val="left"/>
        <w:rPr>
          <w:b/>
          <w:szCs w:val="21"/>
        </w:rPr>
      </w:pPr>
      <w:r>
        <w:rPr>
          <w:b/>
          <w:szCs w:val="21"/>
        </w:rPr>
        <w:t>附件A：精密度数据统计</w:t>
      </w:r>
    </w:p>
    <w:p>
      <w:pPr>
        <w:widowControl/>
        <w:jc w:val="left"/>
        <w:rPr>
          <w:b/>
          <w:szCs w:val="21"/>
        </w:rPr>
      </w:pPr>
      <w:r>
        <w:rPr>
          <w:b/>
          <w:szCs w:val="21"/>
        </w:rPr>
        <w:t>1、</w:t>
      </w:r>
      <w:r>
        <w:rPr>
          <w:rFonts w:eastAsia="黑体"/>
          <w:szCs w:val="21"/>
        </w:rPr>
        <w:t>各实验室碳的实验数据</w:t>
      </w:r>
    </w:p>
    <w:p>
      <w:pPr>
        <w:spacing w:line="300" w:lineRule="auto"/>
        <w:jc w:val="center"/>
        <w:rPr>
          <w:szCs w:val="21"/>
        </w:rPr>
      </w:pPr>
      <w:r>
        <w:rPr>
          <w:szCs w:val="21"/>
        </w:rPr>
        <w:t>表A.1</w:t>
      </w:r>
      <w:r>
        <w:rPr>
          <w:szCs w:val="21"/>
        </w:rPr>
        <w:tab/>
      </w:r>
      <w:r>
        <w:rPr>
          <w:szCs w:val="21"/>
        </w:rPr>
        <w:t xml:space="preserve"> 各实验室C原始测定数据（%）</w:t>
      </w:r>
    </w:p>
    <w:tbl>
      <w:tblPr>
        <w:tblStyle w:val="88"/>
        <w:tblW w:w="5000" w:type="pct"/>
        <w:tblInd w:w="0" w:type="dxa"/>
        <w:tblLayout w:type="autofit"/>
        <w:tblCellMar>
          <w:top w:w="0" w:type="dxa"/>
          <w:left w:w="108" w:type="dxa"/>
          <w:bottom w:w="0" w:type="dxa"/>
          <w:right w:w="108" w:type="dxa"/>
        </w:tblCellMar>
      </w:tblPr>
      <w:tblGrid>
        <w:gridCol w:w="1938"/>
        <w:gridCol w:w="1299"/>
        <w:gridCol w:w="1494"/>
        <w:gridCol w:w="1494"/>
        <w:gridCol w:w="1249"/>
        <w:gridCol w:w="1247"/>
        <w:gridCol w:w="1247"/>
      </w:tblGrid>
      <w:tr>
        <w:tblPrEx>
          <w:tblCellMar>
            <w:top w:w="0" w:type="dxa"/>
            <w:left w:w="108" w:type="dxa"/>
            <w:bottom w:w="0" w:type="dxa"/>
            <w:right w:w="108" w:type="dxa"/>
          </w:tblCellMar>
        </w:tblPrEx>
        <w:trPr>
          <w:trHeight w:val="340" w:hRule="atLeast"/>
        </w:trPr>
        <w:tc>
          <w:tcPr>
            <w:tcW w:w="972"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实验室</w:t>
            </w: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水平1</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水平2</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水平3</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水平4</w:t>
            </w:r>
          </w:p>
        </w:tc>
        <w:tc>
          <w:tcPr>
            <w:tcW w:w="62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水平5</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水平6</w:t>
            </w:r>
          </w:p>
        </w:tc>
      </w:tr>
      <w:tr>
        <w:tblPrEx>
          <w:tblCellMar>
            <w:top w:w="0" w:type="dxa"/>
            <w:left w:w="108" w:type="dxa"/>
            <w:bottom w:w="0" w:type="dxa"/>
            <w:right w:w="108" w:type="dxa"/>
          </w:tblCellMar>
        </w:tblPrEx>
        <w:trPr>
          <w:trHeight w:val="340" w:hRule="atLeast"/>
        </w:trPr>
        <w:tc>
          <w:tcPr>
            <w:tcW w:w="972" w:type="pct"/>
            <w:vMerge w:val="restart"/>
            <w:tcBorders>
              <w:top w:val="nil"/>
              <w:left w:val="single" w:color="auto" w:sz="4" w:space="0"/>
              <w:right w:val="single" w:color="auto" w:sz="4" w:space="0"/>
            </w:tcBorders>
            <w:shd w:val="clear" w:color="auto" w:fill="auto"/>
            <w:noWrap/>
            <w:vAlign w:val="center"/>
          </w:tcPr>
          <w:p>
            <w:pPr>
              <w:jc w:val="center"/>
              <w:rPr>
                <w:color w:val="000000"/>
                <w:szCs w:val="21"/>
              </w:rPr>
            </w:pPr>
            <w:r>
              <w:rPr>
                <w:color w:val="000000"/>
                <w:szCs w:val="21"/>
              </w:rPr>
              <w:t>国合通测1</w:t>
            </w: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0.0021</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0.0112</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0.031</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0.141</w:t>
            </w:r>
          </w:p>
        </w:tc>
        <w:tc>
          <w:tcPr>
            <w:tcW w:w="62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0.382</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0.893</w:t>
            </w:r>
          </w:p>
        </w:tc>
      </w:tr>
      <w:tr>
        <w:tblPrEx>
          <w:tblCellMar>
            <w:top w:w="0" w:type="dxa"/>
            <w:left w:w="108" w:type="dxa"/>
            <w:bottom w:w="0" w:type="dxa"/>
            <w:right w:w="108" w:type="dxa"/>
          </w:tblCellMar>
        </w:tblPrEx>
        <w:trPr>
          <w:trHeight w:val="340" w:hRule="atLeast"/>
        </w:trPr>
        <w:tc>
          <w:tcPr>
            <w:tcW w:w="972" w:type="pct"/>
            <w:vMerge w:val="continue"/>
            <w:tcBorders>
              <w:left w:val="single" w:color="auto" w:sz="4" w:space="0"/>
              <w:right w:val="single" w:color="auto" w:sz="4" w:space="0"/>
            </w:tcBorders>
            <w:shd w:val="clear" w:color="auto" w:fill="auto"/>
            <w:noWrap/>
            <w:vAlign w:val="center"/>
          </w:tcPr>
          <w:p>
            <w:pPr>
              <w:jc w:val="center"/>
              <w:rPr>
                <w:color w:val="000000"/>
                <w:szCs w:val="21"/>
              </w:rPr>
            </w:pP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0.0023</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0.0113</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0.0311</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0.131</w:t>
            </w:r>
          </w:p>
        </w:tc>
        <w:tc>
          <w:tcPr>
            <w:tcW w:w="62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0.394</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0.912</w:t>
            </w:r>
          </w:p>
        </w:tc>
      </w:tr>
      <w:tr>
        <w:tblPrEx>
          <w:tblCellMar>
            <w:top w:w="0" w:type="dxa"/>
            <w:left w:w="108" w:type="dxa"/>
            <w:bottom w:w="0" w:type="dxa"/>
            <w:right w:w="108" w:type="dxa"/>
          </w:tblCellMar>
        </w:tblPrEx>
        <w:trPr>
          <w:trHeight w:val="340" w:hRule="atLeast"/>
        </w:trPr>
        <w:tc>
          <w:tcPr>
            <w:tcW w:w="972" w:type="pct"/>
            <w:vMerge w:val="continue"/>
            <w:tcBorders>
              <w:left w:val="single" w:color="auto" w:sz="4" w:space="0"/>
              <w:right w:val="single" w:color="auto" w:sz="4" w:space="0"/>
            </w:tcBorders>
            <w:shd w:val="clear" w:color="auto" w:fill="auto"/>
            <w:noWrap/>
            <w:vAlign w:val="center"/>
          </w:tcPr>
          <w:p>
            <w:pPr>
              <w:jc w:val="center"/>
              <w:rPr>
                <w:color w:val="000000"/>
                <w:szCs w:val="21"/>
              </w:rPr>
            </w:pP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0.0022</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0.0114</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0.0322</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0.133</w:t>
            </w:r>
          </w:p>
        </w:tc>
        <w:tc>
          <w:tcPr>
            <w:tcW w:w="62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0.385</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0.903</w:t>
            </w:r>
          </w:p>
        </w:tc>
      </w:tr>
      <w:tr>
        <w:tblPrEx>
          <w:tblCellMar>
            <w:top w:w="0" w:type="dxa"/>
            <w:left w:w="108" w:type="dxa"/>
            <w:bottom w:w="0" w:type="dxa"/>
            <w:right w:w="108" w:type="dxa"/>
          </w:tblCellMar>
        </w:tblPrEx>
        <w:trPr>
          <w:trHeight w:val="340" w:hRule="atLeast"/>
        </w:trPr>
        <w:tc>
          <w:tcPr>
            <w:tcW w:w="972" w:type="pct"/>
            <w:vMerge w:val="continue"/>
            <w:tcBorders>
              <w:left w:val="single" w:color="auto" w:sz="4" w:space="0"/>
              <w:right w:val="single" w:color="auto" w:sz="4" w:space="0"/>
            </w:tcBorders>
            <w:shd w:val="clear" w:color="auto" w:fill="auto"/>
            <w:noWrap/>
            <w:vAlign w:val="center"/>
          </w:tcPr>
          <w:p>
            <w:pPr>
              <w:jc w:val="center"/>
              <w:rPr>
                <w:color w:val="000000"/>
                <w:szCs w:val="21"/>
              </w:rPr>
            </w:pP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0.0024</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0.0113</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0.0316</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0.132</w:t>
            </w:r>
          </w:p>
        </w:tc>
        <w:tc>
          <w:tcPr>
            <w:tcW w:w="62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0.373</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0.893</w:t>
            </w:r>
          </w:p>
        </w:tc>
      </w:tr>
      <w:tr>
        <w:tblPrEx>
          <w:tblCellMar>
            <w:top w:w="0" w:type="dxa"/>
            <w:left w:w="108" w:type="dxa"/>
            <w:bottom w:w="0" w:type="dxa"/>
            <w:right w:w="108" w:type="dxa"/>
          </w:tblCellMar>
        </w:tblPrEx>
        <w:trPr>
          <w:trHeight w:val="340" w:hRule="atLeast"/>
        </w:trPr>
        <w:tc>
          <w:tcPr>
            <w:tcW w:w="972" w:type="pct"/>
            <w:vMerge w:val="continue"/>
            <w:tcBorders>
              <w:left w:val="single" w:color="auto" w:sz="4" w:space="0"/>
              <w:right w:val="single" w:color="auto" w:sz="4" w:space="0"/>
            </w:tcBorders>
            <w:shd w:val="clear" w:color="auto" w:fill="auto"/>
            <w:noWrap/>
            <w:vAlign w:val="center"/>
          </w:tcPr>
          <w:p>
            <w:pPr>
              <w:jc w:val="center"/>
              <w:rPr>
                <w:color w:val="000000"/>
                <w:szCs w:val="21"/>
              </w:rPr>
            </w:pP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0.0019</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0.0114</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0.0323</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0.131</w:t>
            </w:r>
          </w:p>
        </w:tc>
        <w:tc>
          <w:tcPr>
            <w:tcW w:w="62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0.381</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0.923</w:t>
            </w:r>
          </w:p>
        </w:tc>
      </w:tr>
      <w:tr>
        <w:tblPrEx>
          <w:tblCellMar>
            <w:top w:w="0" w:type="dxa"/>
            <w:left w:w="108" w:type="dxa"/>
            <w:bottom w:w="0" w:type="dxa"/>
            <w:right w:w="108" w:type="dxa"/>
          </w:tblCellMar>
        </w:tblPrEx>
        <w:trPr>
          <w:trHeight w:val="340" w:hRule="atLeast"/>
        </w:trPr>
        <w:tc>
          <w:tcPr>
            <w:tcW w:w="972" w:type="pct"/>
            <w:vMerge w:val="continue"/>
            <w:tcBorders>
              <w:left w:val="single" w:color="auto" w:sz="4" w:space="0"/>
              <w:right w:val="single" w:color="auto" w:sz="4" w:space="0"/>
            </w:tcBorders>
            <w:shd w:val="clear" w:color="auto" w:fill="auto"/>
            <w:noWrap/>
            <w:vAlign w:val="center"/>
          </w:tcPr>
          <w:p>
            <w:pPr>
              <w:jc w:val="center"/>
              <w:rPr>
                <w:color w:val="000000"/>
                <w:szCs w:val="21"/>
              </w:rPr>
            </w:pP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0.0021</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0.0106</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0.0313</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0.132</w:t>
            </w:r>
          </w:p>
        </w:tc>
        <w:tc>
          <w:tcPr>
            <w:tcW w:w="62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0.382</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0.894</w:t>
            </w:r>
          </w:p>
        </w:tc>
      </w:tr>
      <w:tr>
        <w:tblPrEx>
          <w:tblCellMar>
            <w:top w:w="0" w:type="dxa"/>
            <w:left w:w="108" w:type="dxa"/>
            <w:bottom w:w="0" w:type="dxa"/>
            <w:right w:w="108" w:type="dxa"/>
          </w:tblCellMar>
        </w:tblPrEx>
        <w:trPr>
          <w:trHeight w:val="340" w:hRule="atLeast"/>
        </w:trPr>
        <w:tc>
          <w:tcPr>
            <w:tcW w:w="972" w:type="pct"/>
            <w:vMerge w:val="continue"/>
            <w:tcBorders>
              <w:left w:val="single" w:color="auto" w:sz="4" w:space="0"/>
              <w:right w:val="single" w:color="auto" w:sz="4" w:space="0"/>
            </w:tcBorders>
            <w:shd w:val="clear" w:color="auto" w:fill="auto"/>
            <w:noWrap/>
            <w:vAlign w:val="center"/>
          </w:tcPr>
          <w:p>
            <w:pPr>
              <w:jc w:val="center"/>
              <w:rPr>
                <w:color w:val="000000"/>
                <w:szCs w:val="21"/>
              </w:rPr>
            </w:pP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0.0023</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0.0108</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0.0321</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0.136</w:t>
            </w:r>
          </w:p>
        </w:tc>
        <w:tc>
          <w:tcPr>
            <w:tcW w:w="62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0.390</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0.892</w:t>
            </w:r>
          </w:p>
        </w:tc>
      </w:tr>
      <w:tr>
        <w:tblPrEx>
          <w:tblCellMar>
            <w:top w:w="0" w:type="dxa"/>
            <w:left w:w="108" w:type="dxa"/>
            <w:bottom w:w="0" w:type="dxa"/>
            <w:right w:w="108" w:type="dxa"/>
          </w:tblCellMar>
        </w:tblPrEx>
        <w:trPr>
          <w:trHeight w:val="340" w:hRule="atLeast"/>
        </w:trPr>
        <w:tc>
          <w:tcPr>
            <w:tcW w:w="972" w:type="pct"/>
            <w:vMerge w:val="continue"/>
            <w:tcBorders>
              <w:left w:val="single" w:color="auto" w:sz="4" w:space="0"/>
              <w:right w:val="single" w:color="auto" w:sz="4" w:space="0"/>
            </w:tcBorders>
            <w:shd w:val="clear" w:color="auto" w:fill="auto"/>
            <w:noWrap/>
            <w:vAlign w:val="center"/>
          </w:tcPr>
          <w:p>
            <w:pPr>
              <w:jc w:val="center"/>
              <w:rPr>
                <w:color w:val="000000"/>
                <w:szCs w:val="21"/>
              </w:rPr>
            </w:pP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0.0019</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0.0109</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0.0324</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0.141</w:t>
            </w:r>
          </w:p>
        </w:tc>
        <w:tc>
          <w:tcPr>
            <w:tcW w:w="62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0.382</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0.906</w:t>
            </w:r>
          </w:p>
        </w:tc>
      </w:tr>
      <w:tr>
        <w:tblPrEx>
          <w:tblCellMar>
            <w:top w:w="0" w:type="dxa"/>
            <w:left w:w="108" w:type="dxa"/>
            <w:bottom w:w="0" w:type="dxa"/>
            <w:right w:w="108" w:type="dxa"/>
          </w:tblCellMar>
        </w:tblPrEx>
        <w:trPr>
          <w:trHeight w:val="340" w:hRule="atLeast"/>
        </w:trPr>
        <w:tc>
          <w:tcPr>
            <w:tcW w:w="972" w:type="pct"/>
            <w:vMerge w:val="continue"/>
            <w:tcBorders>
              <w:left w:val="single" w:color="auto" w:sz="4" w:space="0"/>
              <w:right w:val="single" w:color="auto" w:sz="4" w:space="0"/>
            </w:tcBorders>
            <w:shd w:val="clear" w:color="auto" w:fill="auto"/>
            <w:noWrap/>
            <w:vAlign w:val="center"/>
          </w:tcPr>
          <w:p>
            <w:pPr>
              <w:jc w:val="center"/>
              <w:rPr>
                <w:color w:val="000000"/>
                <w:szCs w:val="21"/>
              </w:rPr>
            </w:pP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0.0018</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0.0105</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0.0314</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0.135</w:t>
            </w:r>
          </w:p>
        </w:tc>
        <w:tc>
          <w:tcPr>
            <w:tcW w:w="62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0.384</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0.913</w:t>
            </w:r>
          </w:p>
        </w:tc>
      </w:tr>
      <w:tr>
        <w:tblPrEx>
          <w:tblCellMar>
            <w:top w:w="0" w:type="dxa"/>
            <w:left w:w="108" w:type="dxa"/>
            <w:bottom w:w="0" w:type="dxa"/>
            <w:right w:w="108" w:type="dxa"/>
          </w:tblCellMar>
        </w:tblPrEx>
        <w:trPr>
          <w:trHeight w:val="340" w:hRule="atLeast"/>
        </w:trPr>
        <w:tc>
          <w:tcPr>
            <w:tcW w:w="972" w:type="pct"/>
            <w:vMerge w:val="continue"/>
            <w:tcBorders>
              <w:left w:val="single" w:color="auto" w:sz="4" w:space="0"/>
              <w:right w:val="single" w:color="auto" w:sz="4" w:space="0"/>
            </w:tcBorders>
            <w:shd w:val="clear" w:color="auto" w:fill="auto"/>
            <w:noWrap/>
            <w:vAlign w:val="center"/>
          </w:tcPr>
          <w:p>
            <w:pPr>
              <w:jc w:val="center"/>
              <w:rPr>
                <w:color w:val="000000"/>
                <w:szCs w:val="21"/>
              </w:rPr>
            </w:pP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0.0022</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0.0106</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0.0323</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0.137</w:t>
            </w:r>
          </w:p>
        </w:tc>
        <w:tc>
          <w:tcPr>
            <w:tcW w:w="62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0.373</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0.911</w:t>
            </w:r>
          </w:p>
        </w:tc>
      </w:tr>
      <w:tr>
        <w:tblPrEx>
          <w:tblCellMar>
            <w:top w:w="0" w:type="dxa"/>
            <w:left w:w="108" w:type="dxa"/>
            <w:bottom w:w="0" w:type="dxa"/>
            <w:right w:w="108" w:type="dxa"/>
          </w:tblCellMar>
        </w:tblPrEx>
        <w:trPr>
          <w:trHeight w:val="340" w:hRule="atLeast"/>
        </w:trPr>
        <w:tc>
          <w:tcPr>
            <w:tcW w:w="972" w:type="pct"/>
            <w:vMerge w:val="continue"/>
            <w:tcBorders>
              <w:left w:val="single" w:color="auto" w:sz="4" w:space="0"/>
              <w:bottom w:val="nil"/>
              <w:right w:val="single" w:color="auto" w:sz="4" w:space="0"/>
            </w:tcBorders>
            <w:shd w:val="clear" w:color="auto" w:fill="auto"/>
            <w:noWrap/>
            <w:vAlign w:val="center"/>
          </w:tcPr>
          <w:p>
            <w:pPr>
              <w:jc w:val="center"/>
              <w:rPr>
                <w:color w:val="000000"/>
                <w:szCs w:val="21"/>
              </w:rPr>
            </w:pP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0.0021</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0.0107</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0.0324</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0.132</w:t>
            </w:r>
          </w:p>
        </w:tc>
        <w:tc>
          <w:tcPr>
            <w:tcW w:w="62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0.383</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0.896</w:t>
            </w:r>
          </w:p>
        </w:tc>
      </w:tr>
      <w:tr>
        <w:tblPrEx>
          <w:tblCellMar>
            <w:top w:w="0" w:type="dxa"/>
            <w:left w:w="108" w:type="dxa"/>
            <w:bottom w:w="0" w:type="dxa"/>
            <w:right w:w="108" w:type="dxa"/>
          </w:tblCellMar>
        </w:tblPrEx>
        <w:trPr>
          <w:trHeight w:val="340" w:hRule="atLeast"/>
        </w:trPr>
        <w:tc>
          <w:tcPr>
            <w:tcW w:w="972" w:type="pct"/>
            <w:vMerge w:val="restart"/>
            <w:tcBorders>
              <w:top w:val="single" w:color="auto" w:sz="4" w:space="0"/>
              <w:left w:val="single" w:color="auto" w:sz="4" w:space="0"/>
              <w:right w:val="single" w:color="auto" w:sz="4" w:space="0"/>
            </w:tcBorders>
            <w:shd w:val="clear" w:color="auto" w:fill="auto"/>
            <w:noWrap/>
            <w:vAlign w:val="center"/>
          </w:tcPr>
          <w:p>
            <w:pPr>
              <w:jc w:val="center"/>
              <w:rPr>
                <w:color w:val="000000"/>
                <w:szCs w:val="21"/>
              </w:rPr>
            </w:pPr>
            <w:r>
              <w:rPr>
                <w:color w:val="000000"/>
                <w:szCs w:val="21"/>
              </w:rPr>
              <w:t>包头稀土2</w:t>
            </w:r>
          </w:p>
          <w:p>
            <w:pPr>
              <w:jc w:val="center"/>
              <w:rPr>
                <w:color w:val="000000"/>
                <w:szCs w:val="21"/>
              </w:rPr>
            </w:pP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0.00409</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0.0131</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0.0328</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0.103</w:t>
            </w:r>
          </w:p>
        </w:tc>
        <w:tc>
          <w:tcPr>
            <w:tcW w:w="62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0.473</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0.905</w:t>
            </w:r>
          </w:p>
        </w:tc>
      </w:tr>
      <w:tr>
        <w:tblPrEx>
          <w:tblCellMar>
            <w:top w:w="0" w:type="dxa"/>
            <w:left w:w="108" w:type="dxa"/>
            <w:bottom w:w="0" w:type="dxa"/>
            <w:right w:w="108" w:type="dxa"/>
          </w:tblCellMar>
        </w:tblPrEx>
        <w:trPr>
          <w:trHeight w:val="340" w:hRule="atLeast"/>
        </w:trPr>
        <w:tc>
          <w:tcPr>
            <w:tcW w:w="972" w:type="pct"/>
            <w:vMerge w:val="continue"/>
            <w:tcBorders>
              <w:left w:val="single" w:color="auto" w:sz="4" w:space="0"/>
              <w:right w:val="single" w:color="auto" w:sz="4" w:space="0"/>
            </w:tcBorders>
            <w:shd w:val="clear" w:color="auto" w:fill="auto"/>
            <w:noWrap/>
            <w:vAlign w:val="center"/>
          </w:tcPr>
          <w:p>
            <w:pPr>
              <w:jc w:val="center"/>
              <w:rPr>
                <w:color w:val="000000"/>
                <w:szCs w:val="21"/>
              </w:rPr>
            </w:pP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0.00354</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0.0123</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0.0336</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0.104</w:t>
            </w:r>
          </w:p>
        </w:tc>
        <w:tc>
          <w:tcPr>
            <w:tcW w:w="62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0.469</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0.938</w:t>
            </w:r>
          </w:p>
        </w:tc>
      </w:tr>
      <w:tr>
        <w:tblPrEx>
          <w:tblCellMar>
            <w:top w:w="0" w:type="dxa"/>
            <w:left w:w="108" w:type="dxa"/>
            <w:bottom w:w="0" w:type="dxa"/>
            <w:right w:w="108" w:type="dxa"/>
          </w:tblCellMar>
        </w:tblPrEx>
        <w:trPr>
          <w:trHeight w:val="340" w:hRule="atLeast"/>
        </w:trPr>
        <w:tc>
          <w:tcPr>
            <w:tcW w:w="972" w:type="pct"/>
            <w:vMerge w:val="continue"/>
            <w:tcBorders>
              <w:left w:val="single" w:color="auto" w:sz="4" w:space="0"/>
              <w:right w:val="single" w:color="auto" w:sz="4" w:space="0"/>
            </w:tcBorders>
            <w:shd w:val="clear" w:color="auto" w:fill="auto"/>
            <w:noWrap/>
            <w:vAlign w:val="center"/>
          </w:tcPr>
          <w:p>
            <w:pPr>
              <w:jc w:val="center"/>
              <w:rPr>
                <w:color w:val="000000"/>
                <w:szCs w:val="21"/>
              </w:rPr>
            </w:pP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0.00257</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0.0132</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0.0346</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0.105</w:t>
            </w:r>
          </w:p>
        </w:tc>
        <w:tc>
          <w:tcPr>
            <w:tcW w:w="62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0.449</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0.896</w:t>
            </w:r>
          </w:p>
        </w:tc>
      </w:tr>
      <w:tr>
        <w:tblPrEx>
          <w:tblCellMar>
            <w:top w:w="0" w:type="dxa"/>
            <w:left w:w="108" w:type="dxa"/>
            <w:bottom w:w="0" w:type="dxa"/>
            <w:right w:w="108" w:type="dxa"/>
          </w:tblCellMar>
        </w:tblPrEx>
        <w:trPr>
          <w:trHeight w:val="340" w:hRule="atLeast"/>
        </w:trPr>
        <w:tc>
          <w:tcPr>
            <w:tcW w:w="972" w:type="pct"/>
            <w:vMerge w:val="continue"/>
            <w:tcBorders>
              <w:left w:val="single" w:color="auto" w:sz="4" w:space="0"/>
              <w:right w:val="single" w:color="auto" w:sz="4" w:space="0"/>
            </w:tcBorders>
            <w:shd w:val="clear" w:color="auto" w:fill="auto"/>
            <w:noWrap/>
            <w:vAlign w:val="center"/>
          </w:tcPr>
          <w:p>
            <w:pPr>
              <w:jc w:val="center"/>
              <w:rPr>
                <w:color w:val="000000"/>
                <w:szCs w:val="21"/>
              </w:rPr>
            </w:pP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0.00254</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0.0124</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0.0346</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0.104</w:t>
            </w:r>
          </w:p>
        </w:tc>
        <w:tc>
          <w:tcPr>
            <w:tcW w:w="625" w:type="pct"/>
            <w:tcBorders>
              <w:top w:val="single" w:color="auto" w:sz="4" w:space="0"/>
              <w:left w:val="nil"/>
              <w:bottom w:val="single" w:color="auto" w:sz="4" w:space="0"/>
              <w:right w:val="single" w:color="auto" w:sz="4" w:space="0"/>
            </w:tcBorders>
            <w:vAlign w:val="center"/>
          </w:tcPr>
          <w:p>
            <w:pPr>
              <w:jc w:val="center"/>
              <w:rPr>
                <w:rFonts w:hint="eastAsia" w:eastAsia="宋体"/>
                <w:color w:val="000000"/>
                <w:szCs w:val="21"/>
                <w:lang w:val="en-US" w:eastAsia="zh-CN"/>
              </w:rPr>
            </w:pPr>
            <w:r>
              <w:rPr>
                <w:color w:val="000000"/>
                <w:szCs w:val="21"/>
              </w:rPr>
              <w:t>0.47</w:t>
            </w:r>
            <w:r>
              <w:rPr>
                <w:rFonts w:hint="eastAsia"/>
                <w:color w:val="000000"/>
                <w:szCs w:val="21"/>
                <w:lang w:val="en-US" w:eastAsia="zh-CN"/>
              </w:rPr>
              <w:t>0</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0.927</w:t>
            </w:r>
          </w:p>
        </w:tc>
      </w:tr>
      <w:tr>
        <w:tblPrEx>
          <w:tblCellMar>
            <w:top w:w="0" w:type="dxa"/>
            <w:left w:w="108" w:type="dxa"/>
            <w:bottom w:w="0" w:type="dxa"/>
            <w:right w:w="108" w:type="dxa"/>
          </w:tblCellMar>
        </w:tblPrEx>
        <w:trPr>
          <w:trHeight w:val="340" w:hRule="atLeast"/>
        </w:trPr>
        <w:tc>
          <w:tcPr>
            <w:tcW w:w="972" w:type="pct"/>
            <w:vMerge w:val="continue"/>
            <w:tcBorders>
              <w:left w:val="single" w:color="auto" w:sz="4" w:space="0"/>
              <w:right w:val="single" w:color="auto" w:sz="4" w:space="0"/>
            </w:tcBorders>
            <w:shd w:val="clear" w:color="auto" w:fill="auto"/>
            <w:noWrap/>
            <w:vAlign w:val="center"/>
          </w:tcPr>
          <w:p>
            <w:pPr>
              <w:jc w:val="center"/>
              <w:rPr>
                <w:color w:val="000000"/>
                <w:szCs w:val="21"/>
              </w:rPr>
            </w:pP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0.00322</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0.0125</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0.0328</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0.107</w:t>
            </w:r>
          </w:p>
        </w:tc>
        <w:tc>
          <w:tcPr>
            <w:tcW w:w="62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0.475</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0.894</w:t>
            </w:r>
          </w:p>
        </w:tc>
      </w:tr>
      <w:tr>
        <w:tblPrEx>
          <w:tblCellMar>
            <w:top w:w="0" w:type="dxa"/>
            <w:left w:w="108" w:type="dxa"/>
            <w:bottom w:w="0" w:type="dxa"/>
            <w:right w:w="108" w:type="dxa"/>
          </w:tblCellMar>
        </w:tblPrEx>
        <w:trPr>
          <w:trHeight w:val="340" w:hRule="atLeast"/>
        </w:trPr>
        <w:tc>
          <w:tcPr>
            <w:tcW w:w="972" w:type="pct"/>
            <w:vMerge w:val="continue"/>
            <w:tcBorders>
              <w:left w:val="single" w:color="auto" w:sz="4" w:space="0"/>
              <w:right w:val="single" w:color="auto" w:sz="4" w:space="0"/>
            </w:tcBorders>
            <w:shd w:val="clear" w:color="auto" w:fill="auto"/>
            <w:noWrap/>
            <w:vAlign w:val="center"/>
          </w:tcPr>
          <w:p>
            <w:pPr>
              <w:jc w:val="center"/>
              <w:rPr>
                <w:color w:val="000000"/>
                <w:szCs w:val="21"/>
              </w:rPr>
            </w:pP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0.00496</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0.0131</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0.0332</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0.105</w:t>
            </w:r>
          </w:p>
        </w:tc>
        <w:tc>
          <w:tcPr>
            <w:tcW w:w="62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0.461</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0.871</w:t>
            </w:r>
          </w:p>
        </w:tc>
      </w:tr>
      <w:tr>
        <w:tblPrEx>
          <w:tblCellMar>
            <w:top w:w="0" w:type="dxa"/>
            <w:left w:w="108" w:type="dxa"/>
            <w:bottom w:w="0" w:type="dxa"/>
            <w:right w:w="108" w:type="dxa"/>
          </w:tblCellMar>
        </w:tblPrEx>
        <w:trPr>
          <w:trHeight w:val="340" w:hRule="atLeast"/>
        </w:trPr>
        <w:tc>
          <w:tcPr>
            <w:tcW w:w="972" w:type="pct"/>
            <w:vMerge w:val="continue"/>
            <w:tcBorders>
              <w:left w:val="single" w:color="auto" w:sz="4" w:space="0"/>
              <w:right w:val="single" w:color="auto" w:sz="4" w:space="0"/>
            </w:tcBorders>
            <w:shd w:val="clear" w:color="auto" w:fill="auto"/>
            <w:noWrap/>
            <w:vAlign w:val="center"/>
          </w:tcPr>
          <w:p>
            <w:pPr>
              <w:jc w:val="center"/>
              <w:rPr>
                <w:color w:val="000000"/>
                <w:szCs w:val="21"/>
              </w:rPr>
            </w:pP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0.00363</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0.0131</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0.0337</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0.104</w:t>
            </w:r>
          </w:p>
        </w:tc>
        <w:tc>
          <w:tcPr>
            <w:tcW w:w="62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0.463</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0.861</w:t>
            </w:r>
          </w:p>
        </w:tc>
      </w:tr>
      <w:tr>
        <w:tblPrEx>
          <w:tblCellMar>
            <w:top w:w="0" w:type="dxa"/>
            <w:left w:w="108" w:type="dxa"/>
            <w:bottom w:w="0" w:type="dxa"/>
            <w:right w:w="108" w:type="dxa"/>
          </w:tblCellMar>
        </w:tblPrEx>
        <w:trPr>
          <w:trHeight w:val="340" w:hRule="atLeast"/>
        </w:trPr>
        <w:tc>
          <w:tcPr>
            <w:tcW w:w="972" w:type="pct"/>
            <w:vMerge w:val="continue"/>
            <w:tcBorders>
              <w:left w:val="single" w:color="auto" w:sz="4" w:space="0"/>
              <w:right w:val="single" w:color="auto" w:sz="4" w:space="0"/>
            </w:tcBorders>
            <w:shd w:val="clear" w:color="auto" w:fill="auto"/>
            <w:noWrap/>
            <w:vAlign w:val="center"/>
          </w:tcPr>
          <w:p>
            <w:pPr>
              <w:jc w:val="center"/>
              <w:rPr>
                <w:color w:val="000000"/>
                <w:szCs w:val="21"/>
              </w:rPr>
            </w:pP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0.00462</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0.014</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0.0332</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0.102</w:t>
            </w:r>
          </w:p>
        </w:tc>
        <w:tc>
          <w:tcPr>
            <w:tcW w:w="62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0.461</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0.891</w:t>
            </w:r>
          </w:p>
        </w:tc>
      </w:tr>
      <w:tr>
        <w:tblPrEx>
          <w:tblCellMar>
            <w:top w:w="0" w:type="dxa"/>
            <w:left w:w="108" w:type="dxa"/>
            <w:bottom w:w="0" w:type="dxa"/>
            <w:right w:w="108" w:type="dxa"/>
          </w:tblCellMar>
        </w:tblPrEx>
        <w:trPr>
          <w:trHeight w:val="340" w:hRule="atLeast"/>
        </w:trPr>
        <w:tc>
          <w:tcPr>
            <w:tcW w:w="972" w:type="pct"/>
            <w:vMerge w:val="continue"/>
            <w:tcBorders>
              <w:left w:val="single" w:color="auto" w:sz="4" w:space="0"/>
              <w:right w:val="single" w:color="auto" w:sz="4" w:space="0"/>
            </w:tcBorders>
            <w:shd w:val="clear" w:color="auto" w:fill="auto"/>
            <w:noWrap/>
            <w:vAlign w:val="center"/>
          </w:tcPr>
          <w:p>
            <w:pPr>
              <w:jc w:val="center"/>
              <w:rPr>
                <w:color w:val="000000"/>
                <w:szCs w:val="21"/>
              </w:rPr>
            </w:pP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0.00296</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0.013</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0.0335</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0.106</w:t>
            </w:r>
          </w:p>
        </w:tc>
        <w:tc>
          <w:tcPr>
            <w:tcW w:w="62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0.459</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0.947</w:t>
            </w:r>
          </w:p>
        </w:tc>
      </w:tr>
      <w:tr>
        <w:tblPrEx>
          <w:tblCellMar>
            <w:top w:w="0" w:type="dxa"/>
            <w:left w:w="108" w:type="dxa"/>
            <w:bottom w:w="0" w:type="dxa"/>
            <w:right w:w="108" w:type="dxa"/>
          </w:tblCellMar>
        </w:tblPrEx>
        <w:trPr>
          <w:trHeight w:val="340" w:hRule="atLeast"/>
        </w:trPr>
        <w:tc>
          <w:tcPr>
            <w:tcW w:w="972" w:type="pct"/>
            <w:vMerge w:val="continue"/>
            <w:tcBorders>
              <w:left w:val="single" w:color="auto" w:sz="4" w:space="0"/>
              <w:right w:val="single" w:color="auto" w:sz="4" w:space="0"/>
            </w:tcBorders>
            <w:shd w:val="clear" w:color="auto" w:fill="auto"/>
            <w:noWrap/>
            <w:vAlign w:val="center"/>
          </w:tcPr>
          <w:p>
            <w:pPr>
              <w:jc w:val="center"/>
              <w:rPr>
                <w:color w:val="000000"/>
                <w:szCs w:val="21"/>
              </w:rPr>
            </w:pP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0.00493</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0.0121</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0.0346</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0.104</w:t>
            </w:r>
          </w:p>
        </w:tc>
        <w:tc>
          <w:tcPr>
            <w:tcW w:w="62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0.469</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0.915</w:t>
            </w:r>
          </w:p>
        </w:tc>
      </w:tr>
      <w:tr>
        <w:tblPrEx>
          <w:tblCellMar>
            <w:top w:w="0" w:type="dxa"/>
            <w:left w:w="108" w:type="dxa"/>
            <w:bottom w:w="0" w:type="dxa"/>
            <w:right w:w="108" w:type="dxa"/>
          </w:tblCellMar>
        </w:tblPrEx>
        <w:trPr>
          <w:trHeight w:val="340" w:hRule="atLeast"/>
        </w:trPr>
        <w:tc>
          <w:tcPr>
            <w:tcW w:w="972" w:type="pct"/>
            <w:vMerge w:val="continue"/>
            <w:tcBorders>
              <w:left w:val="single" w:color="auto" w:sz="4" w:space="0"/>
              <w:bottom w:val="single" w:color="auto" w:sz="4" w:space="0"/>
              <w:right w:val="single" w:color="auto" w:sz="4" w:space="0"/>
            </w:tcBorders>
            <w:shd w:val="clear" w:color="auto" w:fill="auto"/>
            <w:noWrap/>
            <w:vAlign w:val="center"/>
          </w:tcPr>
          <w:p>
            <w:pPr>
              <w:jc w:val="center"/>
              <w:rPr>
                <w:color w:val="000000"/>
                <w:szCs w:val="21"/>
              </w:rPr>
            </w:pP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0.0042</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0.0118</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0.0335</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0.104</w:t>
            </w:r>
          </w:p>
        </w:tc>
        <w:tc>
          <w:tcPr>
            <w:tcW w:w="62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0.476</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0.878</w:t>
            </w:r>
          </w:p>
        </w:tc>
      </w:tr>
      <w:tr>
        <w:tblPrEx>
          <w:tblCellMar>
            <w:top w:w="0" w:type="dxa"/>
            <w:left w:w="108" w:type="dxa"/>
            <w:bottom w:w="0" w:type="dxa"/>
            <w:right w:w="108" w:type="dxa"/>
          </w:tblCellMar>
        </w:tblPrEx>
        <w:trPr>
          <w:trHeight w:val="340" w:hRule="atLeast"/>
        </w:trPr>
        <w:tc>
          <w:tcPr>
            <w:tcW w:w="972" w:type="pct"/>
            <w:vMerge w:val="restart"/>
            <w:tcBorders>
              <w:left w:val="single" w:color="auto" w:sz="4" w:space="0"/>
              <w:right w:val="single" w:color="auto" w:sz="4" w:space="0"/>
            </w:tcBorders>
            <w:shd w:val="clear" w:color="auto" w:fill="auto"/>
            <w:noWrap/>
            <w:vAlign w:val="center"/>
          </w:tcPr>
          <w:p>
            <w:pPr>
              <w:jc w:val="center"/>
              <w:rPr>
                <w:color w:val="000000"/>
                <w:szCs w:val="21"/>
              </w:rPr>
            </w:pPr>
            <w:r>
              <w:rPr>
                <w:color w:val="000000"/>
                <w:szCs w:val="21"/>
              </w:rPr>
              <w:t>国标检验3</w:t>
            </w: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0.0023</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0.0112</w:t>
            </w:r>
          </w:p>
        </w:tc>
        <w:tc>
          <w:tcPr>
            <w:tcW w:w="149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rFonts w:hint="default"/>
                <w:color w:val="000000"/>
                <w:szCs w:val="21"/>
                <w:lang w:val="en-US" w:eastAsia="zh-CN"/>
              </w:rPr>
              <w:t>0.0326</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0.141</w:t>
            </w:r>
          </w:p>
        </w:tc>
        <w:tc>
          <w:tcPr>
            <w:tcW w:w="1247" w:type="dxa"/>
            <w:tcBorders>
              <w:top w:val="single" w:color="auto" w:sz="4" w:space="0"/>
              <w:left w:val="nil"/>
              <w:bottom w:val="single" w:color="auto" w:sz="4" w:space="0"/>
              <w:right w:val="single" w:color="auto" w:sz="4" w:space="0"/>
            </w:tcBorders>
            <w:vAlign w:val="center"/>
          </w:tcPr>
          <w:p>
            <w:pPr>
              <w:jc w:val="center"/>
              <w:rPr>
                <w:color w:val="000000"/>
                <w:szCs w:val="21"/>
              </w:rPr>
            </w:pPr>
            <w:r>
              <w:rPr>
                <w:rFonts w:hint="default"/>
                <w:color w:val="000000"/>
                <w:szCs w:val="21"/>
                <w:lang w:val="en-US" w:eastAsia="zh-CN"/>
              </w:rPr>
              <w:t>0.388</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0.893</w:t>
            </w:r>
          </w:p>
        </w:tc>
      </w:tr>
      <w:tr>
        <w:tblPrEx>
          <w:tblCellMar>
            <w:top w:w="0" w:type="dxa"/>
            <w:left w:w="108" w:type="dxa"/>
            <w:bottom w:w="0" w:type="dxa"/>
            <w:right w:w="108" w:type="dxa"/>
          </w:tblCellMar>
        </w:tblPrEx>
        <w:trPr>
          <w:trHeight w:val="340" w:hRule="atLeast"/>
        </w:trPr>
        <w:tc>
          <w:tcPr>
            <w:tcW w:w="972" w:type="pct"/>
            <w:vMerge w:val="continue"/>
            <w:tcBorders>
              <w:left w:val="single" w:color="auto" w:sz="4" w:space="0"/>
              <w:right w:val="single" w:color="auto" w:sz="4" w:space="0"/>
            </w:tcBorders>
            <w:shd w:val="clear" w:color="auto" w:fill="auto"/>
            <w:noWrap/>
            <w:vAlign w:val="center"/>
          </w:tcPr>
          <w:p>
            <w:pPr>
              <w:jc w:val="center"/>
              <w:rPr>
                <w:color w:val="000000"/>
                <w:szCs w:val="21"/>
              </w:rPr>
            </w:pP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0.0018</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0.0105</w:t>
            </w:r>
          </w:p>
        </w:tc>
        <w:tc>
          <w:tcPr>
            <w:tcW w:w="149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rFonts w:hint="default"/>
                <w:color w:val="000000"/>
                <w:szCs w:val="21"/>
                <w:lang w:val="en-US" w:eastAsia="zh-CN"/>
              </w:rPr>
              <w:t>0.0314</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0.125</w:t>
            </w:r>
          </w:p>
        </w:tc>
        <w:tc>
          <w:tcPr>
            <w:tcW w:w="1247" w:type="dxa"/>
            <w:tcBorders>
              <w:top w:val="single" w:color="auto" w:sz="4" w:space="0"/>
              <w:left w:val="nil"/>
              <w:bottom w:val="single" w:color="auto" w:sz="4" w:space="0"/>
              <w:right w:val="single" w:color="auto" w:sz="4" w:space="0"/>
            </w:tcBorders>
            <w:vAlign w:val="center"/>
          </w:tcPr>
          <w:p>
            <w:pPr>
              <w:jc w:val="center"/>
              <w:rPr>
                <w:color w:val="000000"/>
                <w:szCs w:val="21"/>
              </w:rPr>
            </w:pPr>
            <w:r>
              <w:rPr>
                <w:rFonts w:hint="default"/>
                <w:color w:val="000000"/>
                <w:szCs w:val="21"/>
                <w:lang w:val="en-US" w:eastAsia="zh-CN"/>
              </w:rPr>
              <w:t>0.378</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0.922</w:t>
            </w:r>
          </w:p>
        </w:tc>
      </w:tr>
      <w:tr>
        <w:tblPrEx>
          <w:tblCellMar>
            <w:top w:w="0" w:type="dxa"/>
            <w:left w:w="108" w:type="dxa"/>
            <w:bottom w:w="0" w:type="dxa"/>
            <w:right w:w="108" w:type="dxa"/>
          </w:tblCellMar>
        </w:tblPrEx>
        <w:trPr>
          <w:trHeight w:val="340" w:hRule="atLeast"/>
        </w:trPr>
        <w:tc>
          <w:tcPr>
            <w:tcW w:w="972" w:type="pct"/>
            <w:vMerge w:val="continue"/>
            <w:tcBorders>
              <w:left w:val="single" w:color="auto" w:sz="4" w:space="0"/>
              <w:right w:val="single" w:color="auto" w:sz="4" w:space="0"/>
            </w:tcBorders>
            <w:shd w:val="clear" w:color="auto" w:fill="auto"/>
            <w:noWrap/>
            <w:vAlign w:val="center"/>
          </w:tcPr>
          <w:p>
            <w:pPr>
              <w:jc w:val="center"/>
              <w:rPr>
                <w:color w:val="000000"/>
                <w:szCs w:val="21"/>
              </w:rPr>
            </w:pP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0.0022</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0.0106</w:t>
            </w:r>
          </w:p>
        </w:tc>
        <w:tc>
          <w:tcPr>
            <w:tcW w:w="149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rFonts w:hint="default"/>
                <w:color w:val="000000"/>
                <w:szCs w:val="21"/>
                <w:lang w:val="en-US" w:eastAsia="zh-CN"/>
              </w:rPr>
              <w:t>0.0306</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0.137</w:t>
            </w:r>
          </w:p>
        </w:tc>
        <w:tc>
          <w:tcPr>
            <w:tcW w:w="1247" w:type="dxa"/>
            <w:tcBorders>
              <w:top w:val="single" w:color="auto" w:sz="4" w:space="0"/>
              <w:left w:val="nil"/>
              <w:bottom w:val="single" w:color="auto" w:sz="4" w:space="0"/>
              <w:right w:val="single" w:color="auto" w:sz="4" w:space="0"/>
            </w:tcBorders>
            <w:vAlign w:val="center"/>
          </w:tcPr>
          <w:p>
            <w:pPr>
              <w:jc w:val="center"/>
              <w:rPr>
                <w:color w:val="000000"/>
                <w:szCs w:val="21"/>
              </w:rPr>
            </w:pPr>
            <w:r>
              <w:rPr>
                <w:rFonts w:hint="default"/>
                <w:color w:val="000000"/>
                <w:szCs w:val="21"/>
                <w:lang w:val="en-US" w:eastAsia="zh-CN"/>
              </w:rPr>
              <w:t>0.37</w:t>
            </w:r>
            <w:r>
              <w:rPr>
                <w:rFonts w:hint="eastAsia"/>
                <w:color w:val="000000"/>
                <w:szCs w:val="21"/>
                <w:lang w:val="en-US" w:eastAsia="zh-CN"/>
              </w:rPr>
              <w:t>0</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0.911</w:t>
            </w:r>
          </w:p>
        </w:tc>
      </w:tr>
      <w:tr>
        <w:tblPrEx>
          <w:tblCellMar>
            <w:top w:w="0" w:type="dxa"/>
            <w:left w:w="108" w:type="dxa"/>
            <w:bottom w:w="0" w:type="dxa"/>
            <w:right w:w="108" w:type="dxa"/>
          </w:tblCellMar>
        </w:tblPrEx>
        <w:trPr>
          <w:trHeight w:val="90" w:hRule="atLeast"/>
        </w:trPr>
        <w:tc>
          <w:tcPr>
            <w:tcW w:w="972" w:type="pct"/>
            <w:vMerge w:val="continue"/>
            <w:tcBorders>
              <w:left w:val="single" w:color="auto" w:sz="4" w:space="0"/>
              <w:right w:val="single" w:color="auto" w:sz="4" w:space="0"/>
            </w:tcBorders>
            <w:shd w:val="clear" w:color="auto" w:fill="auto"/>
            <w:noWrap/>
            <w:vAlign w:val="center"/>
          </w:tcPr>
          <w:p>
            <w:pPr>
              <w:jc w:val="center"/>
              <w:rPr>
                <w:color w:val="000000"/>
                <w:szCs w:val="21"/>
              </w:rPr>
            </w:pP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0.0021</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0.0117</w:t>
            </w:r>
          </w:p>
        </w:tc>
        <w:tc>
          <w:tcPr>
            <w:tcW w:w="149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rFonts w:hint="default"/>
                <w:color w:val="000000"/>
                <w:szCs w:val="21"/>
                <w:lang w:val="en-US" w:eastAsia="zh-CN"/>
              </w:rPr>
              <w:t>0.0314</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0.122</w:t>
            </w:r>
          </w:p>
        </w:tc>
        <w:tc>
          <w:tcPr>
            <w:tcW w:w="1247" w:type="dxa"/>
            <w:tcBorders>
              <w:top w:val="single" w:color="auto" w:sz="4" w:space="0"/>
              <w:left w:val="nil"/>
              <w:bottom w:val="single" w:color="auto" w:sz="4" w:space="0"/>
              <w:right w:val="single" w:color="auto" w:sz="4" w:space="0"/>
            </w:tcBorders>
            <w:vAlign w:val="center"/>
          </w:tcPr>
          <w:p>
            <w:pPr>
              <w:jc w:val="center"/>
              <w:rPr>
                <w:color w:val="000000"/>
                <w:szCs w:val="21"/>
              </w:rPr>
            </w:pPr>
            <w:r>
              <w:rPr>
                <w:rFonts w:hint="default"/>
                <w:color w:val="000000"/>
                <w:szCs w:val="21"/>
                <w:lang w:val="en-US" w:eastAsia="zh-CN"/>
              </w:rPr>
              <w:t>0.381</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0.896</w:t>
            </w:r>
          </w:p>
        </w:tc>
      </w:tr>
      <w:tr>
        <w:tblPrEx>
          <w:tblCellMar>
            <w:top w:w="0" w:type="dxa"/>
            <w:left w:w="108" w:type="dxa"/>
            <w:bottom w:w="0" w:type="dxa"/>
            <w:right w:w="108" w:type="dxa"/>
          </w:tblCellMar>
        </w:tblPrEx>
        <w:trPr>
          <w:trHeight w:val="340" w:hRule="atLeast"/>
        </w:trPr>
        <w:tc>
          <w:tcPr>
            <w:tcW w:w="972" w:type="pct"/>
            <w:vMerge w:val="continue"/>
            <w:tcBorders>
              <w:left w:val="single" w:color="auto" w:sz="4" w:space="0"/>
              <w:right w:val="single" w:color="auto" w:sz="4" w:space="0"/>
            </w:tcBorders>
            <w:shd w:val="clear" w:color="auto" w:fill="auto"/>
            <w:noWrap/>
            <w:vAlign w:val="center"/>
          </w:tcPr>
          <w:p>
            <w:pPr>
              <w:jc w:val="center"/>
              <w:rPr>
                <w:color w:val="000000"/>
                <w:szCs w:val="21"/>
              </w:rPr>
            </w:pP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0.0022</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0.0112</w:t>
            </w:r>
          </w:p>
        </w:tc>
        <w:tc>
          <w:tcPr>
            <w:tcW w:w="149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rFonts w:hint="default"/>
                <w:color w:val="000000"/>
                <w:szCs w:val="21"/>
                <w:lang w:val="en-US" w:eastAsia="zh-CN"/>
              </w:rPr>
              <w:t>0.0328</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0.121</w:t>
            </w:r>
          </w:p>
        </w:tc>
        <w:tc>
          <w:tcPr>
            <w:tcW w:w="1247" w:type="dxa"/>
            <w:tcBorders>
              <w:top w:val="single" w:color="auto" w:sz="4" w:space="0"/>
              <w:left w:val="nil"/>
              <w:bottom w:val="single" w:color="auto" w:sz="4" w:space="0"/>
              <w:right w:val="single" w:color="auto" w:sz="4" w:space="0"/>
            </w:tcBorders>
            <w:vAlign w:val="center"/>
          </w:tcPr>
          <w:p>
            <w:pPr>
              <w:jc w:val="center"/>
              <w:rPr>
                <w:color w:val="000000"/>
                <w:szCs w:val="21"/>
              </w:rPr>
            </w:pPr>
            <w:r>
              <w:rPr>
                <w:rFonts w:hint="default"/>
                <w:color w:val="000000"/>
                <w:szCs w:val="21"/>
                <w:lang w:val="en-US" w:eastAsia="zh-CN"/>
              </w:rPr>
              <w:t>0.379</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0.912</w:t>
            </w:r>
          </w:p>
        </w:tc>
      </w:tr>
      <w:tr>
        <w:tblPrEx>
          <w:tblCellMar>
            <w:top w:w="0" w:type="dxa"/>
            <w:left w:w="108" w:type="dxa"/>
            <w:bottom w:w="0" w:type="dxa"/>
            <w:right w:w="108" w:type="dxa"/>
          </w:tblCellMar>
        </w:tblPrEx>
        <w:trPr>
          <w:trHeight w:val="340" w:hRule="atLeast"/>
        </w:trPr>
        <w:tc>
          <w:tcPr>
            <w:tcW w:w="972" w:type="pct"/>
            <w:vMerge w:val="continue"/>
            <w:tcBorders>
              <w:left w:val="single" w:color="auto" w:sz="4" w:space="0"/>
              <w:right w:val="single" w:color="auto" w:sz="4" w:space="0"/>
            </w:tcBorders>
            <w:shd w:val="clear" w:color="auto" w:fill="auto"/>
            <w:noWrap/>
            <w:vAlign w:val="center"/>
          </w:tcPr>
          <w:p>
            <w:pPr>
              <w:jc w:val="center"/>
              <w:rPr>
                <w:color w:val="000000"/>
                <w:szCs w:val="21"/>
              </w:rPr>
            </w:pP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0.0022</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0.0134</w:t>
            </w:r>
          </w:p>
        </w:tc>
        <w:tc>
          <w:tcPr>
            <w:tcW w:w="149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rFonts w:hint="default"/>
                <w:color w:val="000000"/>
                <w:szCs w:val="21"/>
                <w:lang w:val="en-US" w:eastAsia="zh-CN"/>
              </w:rPr>
              <w:t>0.0316</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0.122</w:t>
            </w:r>
          </w:p>
        </w:tc>
        <w:tc>
          <w:tcPr>
            <w:tcW w:w="1247" w:type="dxa"/>
            <w:tcBorders>
              <w:top w:val="single" w:color="auto" w:sz="4" w:space="0"/>
              <w:left w:val="nil"/>
              <w:bottom w:val="single" w:color="auto" w:sz="4" w:space="0"/>
              <w:right w:val="single" w:color="auto" w:sz="4" w:space="0"/>
            </w:tcBorders>
            <w:vAlign w:val="center"/>
          </w:tcPr>
          <w:p>
            <w:pPr>
              <w:jc w:val="center"/>
              <w:rPr>
                <w:color w:val="000000"/>
                <w:szCs w:val="21"/>
              </w:rPr>
            </w:pPr>
            <w:r>
              <w:rPr>
                <w:rFonts w:hint="default"/>
                <w:color w:val="000000"/>
                <w:szCs w:val="21"/>
                <w:lang w:val="en-US" w:eastAsia="zh-CN"/>
              </w:rPr>
              <w:t>0.384</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0.902</w:t>
            </w:r>
          </w:p>
        </w:tc>
      </w:tr>
      <w:tr>
        <w:tblPrEx>
          <w:tblCellMar>
            <w:top w:w="0" w:type="dxa"/>
            <w:left w:w="108" w:type="dxa"/>
            <w:bottom w:w="0" w:type="dxa"/>
            <w:right w:w="108" w:type="dxa"/>
          </w:tblCellMar>
        </w:tblPrEx>
        <w:trPr>
          <w:trHeight w:val="340" w:hRule="atLeast"/>
        </w:trPr>
        <w:tc>
          <w:tcPr>
            <w:tcW w:w="972" w:type="pct"/>
            <w:vMerge w:val="continue"/>
            <w:tcBorders>
              <w:left w:val="single" w:color="auto" w:sz="4" w:space="0"/>
              <w:right w:val="single" w:color="auto" w:sz="4" w:space="0"/>
            </w:tcBorders>
            <w:shd w:val="clear" w:color="auto" w:fill="auto"/>
            <w:noWrap/>
            <w:vAlign w:val="center"/>
          </w:tcPr>
          <w:p>
            <w:pPr>
              <w:jc w:val="center"/>
              <w:rPr>
                <w:color w:val="000000"/>
                <w:szCs w:val="21"/>
              </w:rPr>
            </w:pP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0.0021</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0.0106</w:t>
            </w:r>
          </w:p>
        </w:tc>
        <w:tc>
          <w:tcPr>
            <w:tcW w:w="149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rFonts w:hint="default"/>
                <w:color w:val="000000"/>
                <w:szCs w:val="21"/>
                <w:lang w:val="en-US" w:eastAsia="zh-CN"/>
              </w:rPr>
              <w:t>0.0323</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0.122</w:t>
            </w:r>
          </w:p>
        </w:tc>
        <w:tc>
          <w:tcPr>
            <w:tcW w:w="1247" w:type="dxa"/>
            <w:tcBorders>
              <w:top w:val="single" w:color="auto" w:sz="4" w:space="0"/>
              <w:left w:val="nil"/>
              <w:bottom w:val="single" w:color="auto" w:sz="4" w:space="0"/>
              <w:right w:val="single" w:color="auto" w:sz="4" w:space="0"/>
            </w:tcBorders>
            <w:vAlign w:val="center"/>
          </w:tcPr>
          <w:p>
            <w:pPr>
              <w:jc w:val="center"/>
              <w:rPr>
                <w:color w:val="000000"/>
                <w:szCs w:val="21"/>
              </w:rPr>
            </w:pPr>
            <w:r>
              <w:rPr>
                <w:rFonts w:hint="default"/>
                <w:color w:val="000000"/>
                <w:szCs w:val="21"/>
                <w:lang w:val="en-US" w:eastAsia="zh-CN"/>
              </w:rPr>
              <w:t>0.383</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0.895</w:t>
            </w:r>
          </w:p>
        </w:tc>
      </w:tr>
      <w:tr>
        <w:tblPrEx>
          <w:tblCellMar>
            <w:top w:w="0" w:type="dxa"/>
            <w:left w:w="108" w:type="dxa"/>
            <w:bottom w:w="0" w:type="dxa"/>
            <w:right w:w="108" w:type="dxa"/>
          </w:tblCellMar>
        </w:tblPrEx>
        <w:trPr>
          <w:trHeight w:val="340" w:hRule="atLeast"/>
        </w:trPr>
        <w:tc>
          <w:tcPr>
            <w:tcW w:w="972" w:type="pct"/>
            <w:vMerge w:val="continue"/>
            <w:tcBorders>
              <w:left w:val="single" w:color="auto" w:sz="4" w:space="0"/>
              <w:right w:val="single" w:color="auto" w:sz="4" w:space="0"/>
            </w:tcBorders>
            <w:shd w:val="clear" w:color="auto" w:fill="auto"/>
            <w:noWrap/>
            <w:vAlign w:val="center"/>
          </w:tcPr>
          <w:p>
            <w:pPr>
              <w:jc w:val="center"/>
              <w:rPr>
                <w:color w:val="000000"/>
                <w:szCs w:val="21"/>
              </w:rPr>
            </w:pP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0.0021</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0.0112</w:t>
            </w:r>
          </w:p>
        </w:tc>
        <w:tc>
          <w:tcPr>
            <w:tcW w:w="149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rFonts w:hint="default"/>
                <w:color w:val="000000"/>
                <w:szCs w:val="21"/>
                <w:lang w:val="en-US" w:eastAsia="zh-CN"/>
              </w:rPr>
              <w:t>0.0315</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0.122</w:t>
            </w:r>
          </w:p>
        </w:tc>
        <w:tc>
          <w:tcPr>
            <w:tcW w:w="1247" w:type="dxa"/>
            <w:tcBorders>
              <w:top w:val="single" w:color="auto" w:sz="4" w:space="0"/>
              <w:left w:val="nil"/>
              <w:bottom w:val="single" w:color="auto" w:sz="4" w:space="0"/>
              <w:right w:val="single" w:color="auto" w:sz="4" w:space="0"/>
            </w:tcBorders>
            <w:vAlign w:val="center"/>
          </w:tcPr>
          <w:p>
            <w:pPr>
              <w:jc w:val="center"/>
              <w:rPr>
                <w:color w:val="000000"/>
                <w:szCs w:val="21"/>
              </w:rPr>
            </w:pPr>
            <w:r>
              <w:rPr>
                <w:rFonts w:hint="default"/>
                <w:color w:val="000000"/>
                <w:szCs w:val="21"/>
                <w:lang w:val="en-US" w:eastAsia="zh-CN"/>
              </w:rPr>
              <w:t>0.376</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0.892</w:t>
            </w:r>
          </w:p>
        </w:tc>
      </w:tr>
      <w:tr>
        <w:tblPrEx>
          <w:tblCellMar>
            <w:top w:w="0" w:type="dxa"/>
            <w:left w:w="108" w:type="dxa"/>
            <w:bottom w:w="0" w:type="dxa"/>
            <w:right w:w="108" w:type="dxa"/>
          </w:tblCellMar>
        </w:tblPrEx>
        <w:trPr>
          <w:trHeight w:val="340" w:hRule="atLeast"/>
        </w:trPr>
        <w:tc>
          <w:tcPr>
            <w:tcW w:w="972" w:type="pct"/>
            <w:vMerge w:val="continue"/>
            <w:tcBorders>
              <w:left w:val="single" w:color="auto" w:sz="4" w:space="0"/>
              <w:right w:val="single" w:color="auto" w:sz="4" w:space="0"/>
            </w:tcBorders>
            <w:shd w:val="clear" w:color="auto" w:fill="auto"/>
            <w:noWrap/>
            <w:vAlign w:val="center"/>
          </w:tcPr>
          <w:p>
            <w:pPr>
              <w:jc w:val="center"/>
              <w:rPr>
                <w:color w:val="000000"/>
                <w:szCs w:val="21"/>
              </w:rPr>
            </w:pP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0.0019</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0.0114</w:t>
            </w:r>
          </w:p>
        </w:tc>
        <w:tc>
          <w:tcPr>
            <w:tcW w:w="149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rFonts w:hint="default"/>
                <w:color w:val="000000"/>
                <w:szCs w:val="21"/>
                <w:lang w:val="en-US" w:eastAsia="zh-CN"/>
              </w:rPr>
              <w:t>0.0311</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0.121</w:t>
            </w:r>
          </w:p>
        </w:tc>
        <w:tc>
          <w:tcPr>
            <w:tcW w:w="1247" w:type="dxa"/>
            <w:tcBorders>
              <w:top w:val="single" w:color="auto" w:sz="4" w:space="0"/>
              <w:left w:val="nil"/>
              <w:bottom w:val="single" w:color="auto" w:sz="4" w:space="0"/>
              <w:right w:val="single" w:color="auto" w:sz="4" w:space="0"/>
            </w:tcBorders>
            <w:vAlign w:val="center"/>
          </w:tcPr>
          <w:p>
            <w:pPr>
              <w:jc w:val="center"/>
              <w:rPr>
                <w:color w:val="000000"/>
                <w:szCs w:val="21"/>
              </w:rPr>
            </w:pPr>
            <w:r>
              <w:rPr>
                <w:rFonts w:hint="default"/>
                <w:color w:val="000000"/>
                <w:szCs w:val="21"/>
                <w:lang w:val="en-US" w:eastAsia="zh-CN"/>
              </w:rPr>
              <w:t>0.381</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0.922</w:t>
            </w:r>
          </w:p>
        </w:tc>
      </w:tr>
      <w:tr>
        <w:tblPrEx>
          <w:tblCellMar>
            <w:top w:w="0" w:type="dxa"/>
            <w:left w:w="108" w:type="dxa"/>
            <w:bottom w:w="0" w:type="dxa"/>
            <w:right w:w="108" w:type="dxa"/>
          </w:tblCellMar>
        </w:tblPrEx>
        <w:trPr>
          <w:trHeight w:val="340" w:hRule="atLeast"/>
        </w:trPr>
        <w:tc>
          <w:tcPr>
            <w:tcW w:w="972" w:type="pct"/>
            <w:vMerge w:val="continue"/>
            <w:tcBorders>
              <w:left w:val="single" w:color="auto" w:sz="4" w:space="0"/>
              <w:right w:val="single" w:color="auto" w:sz="4" w:space="0"/>
            </w:tcBorders>
            <w:shd w:val="clear" w:color="auto" w:fill="auto"/>
            <w:noWrap/>
            <w:vAlign w:val="center"/>
          </w:tcPr>
          <w:p>
            <w:pPr>
              <w:jc w:val="center"/>
              <w:rPr>
                <w:color w:val="000000"/>
                <w:szCs w:val="21"/>
              </w:rPr>
            </w:pP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0.0022</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0.0108</w:t>
            </w:r>
          </w:p>
        </w:tc>
        <w:tc>
          <w:tcPr>
            <w:tcW w:w="149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rFonts w:hint="default"/>
                <w:color w:val="000000"/>
                <w:szCs w:val="21"/>
                <w:lang w:val="en-US" w:eastAsia="zh-CN"/>
              </w:rPr>
              <w:t>0.0321</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0.126</w:t>
            </w:r>
          </w:p>
        </w:tc>
        <w:tc>
          <w:tcPr>
            <w:tcW w:w="1247" w:type="dxa"/>
            <w:tcBorders>
              <w:top w:val="single" w:color="auto" w:sz="4" w:space="0"/>
              <w:left w:val="nil"/>
              <w:bottom w:val="single" w:color="auto" w:sz="4" w:space="0"/>
              <w:right w:val="single" w:color="auto" w:sz="4" w:space="0"/>
            </w:tcBorders>
            <w:vAlign w:val="center"/>
          </w:tcPr>
          <w:p>
            <w:pPr>
              <w:jc w:val="center"/>
              <w:rPr>
                <w:color w:val="000000"/>
                <w:szCs w:val="21"/>
              </w:rPr>
            </w:pPr>
            <w:r>
              <w:rPr>
                <w:rFonts w:hint="default"/>
                <w:color w:val="000000"/>
                <w:szCs w:val="21"/>
                <w:lang w:val="en-US" w:eastAsia="zh-CN"/>
              </w:rPr>
              <w:t>0.374</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0.892</w:t>
            </w:r>
          </w:p>
        </w:tc>
      </w:tr>
      <w:tr>
        <w:tblPrEx>
          <w:tblCellMar>
            <w:top w:w="0" w:type="dxa"/>
            <w:left w:w="108" w:type="dxa"/>
            <w:bottom w:w="0" w:type="dxa"/>
            <w:right w:w="108" w:type="dxa"/>
          </w:tblCellMar>
        </w:tblPrEx>
        <w:trPr>
          <w:trHeight w:val="340" w:hRule="atLeast"/>
        </w:trPr>
        <w:tc>
          <w:tcPr>
            <w:tcW w:w="972" w:type="pct"/>
            <w:vMerge w:val="continue"/>
            <w:tcBorders>
              <w:left w:val="single" w:color="auto" w:sz="4" w:space="0"/>
              <w:bottom w:val="single" w:color="auto" w:sz="4" w:space="0"/>
              <w:right w:val="single" w:color="auto" w:sz="4" w:space="0"/>
            </w:tcBorders>
            <w:shd w:val="clear" w:color="auto" w:fill="auto"/>
            <w:noWrap/>
            <w:vAlign w:val="center"/>
          </w:tcPr>
          <w:p>
            <w:pPr>
              <w:jc w:val="center"/>
              <w:rPr>
                <w:color w:val="000000"/>
                <w:szCs w:val="21"/>
              </w:rPr>
            </w:pP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0.0019</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0.0109</w:t>
            </w:r>
          </w:p>
        </w:tc>
        <w:tc>
          <w:tcPr>
            <w:tcW w:w="1494" w:type="dxa"/>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rFonts w:hint="default"/>
                <w:color w:val="000000"/>
                <w:szCs w:val="21"/>
                <w:lang w:val="en-US" w:eastAsia="zh-CN"/>
              </w:rPr>
              <w:t>0.0315</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0.141</w:t>
            </w:r>
          </w:p>
        </w:tc>
        <w:tc>
          <w:tcPr>
            <w:tcW w:w="1247" w:type="dxa"/>
            <w:tcBorders>
              <w:top w:val="single" w:color="auto" w:sz="4" w:space="0"/>
              <w:left w:val="nil"/>
              <w:bottom w:val="single" w:color="auto" w:sz="4" w:space="0"/>
              <w:right w:val="single" w:color="auto" w:sz="4" w:space="0"/>
            </w:tcBorders>
            <w:vAlign w:val="center"/>
          </w:tcPr>
          <w:p>
            <w:pPr>
              <w:jc w:val="center"/>
              <w:rPr>
                <w:color w:val="000000"/>
                <w:szCs w:val="21"/>
              </w:rPr>
            </w:pPr>
            <w:r>
              <w:rPr>
                <w:rFonts w:hint="default"/>
                <w:color w:val="000000"/>
                <w:szCs w:val="21"/>
                <w:lang w:val="en-US" w:eastAsia="zh-CN"/>
              </w:rPr>
              <w:t>0.387</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0.906</w:t>
            </w:r>
          </w:p>
        </w:tc>
      </w:tr>
      <w:tr>
        <w:tblPrEx>
          <w:tblCellMar>
            <w:top w:w="0" w:type="dxa"/>
            <w:left w:w="108" w:type="dxa"/>
            <w:bottom w:w="0" w:type="dxa"/>
            <w:right w:w="108" w:type="dxa"/>
          </w:tblCellMar>
        </w:tblPrEx>
        <w:trPr>
          <w:trHeight w:val="340" w:hRule="atLeast"/>
        </w:trPr>
        <w:tc>
          <w:tcPr>
            <w:tcW w:w="972" w:type="pct"/>
            <w:vMerge w:val="restart"/>
            <w:tcBorders>
              <w:left w:val="single" w:color="auto" w:sz="4" w:space="0"/>
              <w:right w:val="single" w:color="auto" w:sz="4" w:space="0"/>
            </w:tcBorders>
            <w:shd w:val="clear" w:color="auto" w:fill="auto"/>
            <w:noWrap/>
            <w:vAlign w:val="center"/>
          </w:tcPr>
          <w:p>
            <w:pPr>
              <w:jc w:val="center"/>
              <w:rPr>
                <w:color w:val="000000"/>
                <w:szCs w:val="21"/>
              </w:rPr>
            </w:pPr>
            <w:r>
              <w:rPr>
                <w:color w:val="000000"/>
                <w:szCs w:val="21"/>
              </w:rPr>
              <w:t>赣州有色4</w:t>
            </w: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0.0027</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0.0152</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0.0312</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0.112</w:t>
            </w:r>
          </w:p>
        </w:tc>
        <w:tc>
          <w:tcPr>
            <w:tcW w:w="62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0.38</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0.883</w:t>
            </w:r>
          </w:p>
        </w:tc>
      </w:tr>
      <w:tr>
        <w:tblPrEx>
          <w:tblCellMar>
            <w:top w:w="0" w:type="dxa"/>
            <w:left w:w="108" w:type="dxa"/>
            <w:bottom w:w="0" w:type="dxa"/>
            <w:right w:w="108" w:type="dxa"/>
          </w:tblCellMar>
        </w:tblPrEx>
        <w:trPr>
          <w:trHeight w:val="340" w:hRule="atLeast"/>
        </w:trPr>
        <w:tc>
          <w:tcPr>
            <w:tcW w:w="972" w:type="pct"/>
            <w:vMerge w:val="continue"/>
            <w:tcBorders>
              <w:left w:val="single" w:color="auto" w:sz="4" w:space="0"/>
              <w:right w:val="single" w:color="auto" w:sz="4" w:space="0"/>
            </w:tcBorders>
            <w:shd w:val="clear" w:color="auto" w:fill="auto"/>
            <w:noWrap/>
            <w:vAlign w:val="center"/>
          </w:tcPr>
          <w:p>
            <w:pPr>
              <w:jc w:val="center"/>
              <w:rPr>
                <w:color w:val="000000"/>
                <w:szCs w:val="21"/>
              </w:rPr>
            </w:pP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0.0023</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0.0152</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0.0308</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0.132</w:t>
            </w:r>
          </w:p>
        </w:tc>
        <w:tc>
          <w:tcPr>
            <w:tcW w:w="62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0.385</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0.882</w:t>
            </w:r>
          </w:p>
        </w:tc>
      </w:tr>
      <w:tr>
        <w:tblPrEx>
          <w:tblCellMar>
            <w:top w:w="0" w:type="dxa"/>
            <w:left w:w="108" w:type="dxa"/>
            <w:bottom w:w="0" w:type="dxa"/>
            <w:right w:w="108" w:type="dxa"/>
          </w:tblCellMar>
        </w:tblPrEx>
        <w:trPr>
          <w:trHeight w:val="340" w:hRule="atLeast"/>
        </w:trPr>
        <w:tc>
          <w:tcPr>
            <w:tcW w:w="972" w:type="pct"/>
            <w:vMerge w:val="continue"/>
            <w:tcBorders>
              <w:left w:val="single" w:color="auto" w:sz="4" w:space="0"/>
              <w:right w:val="single" w:color="auto" w:sz="4" w:space="0"/>
            </w:tcBorders>
            <w:shd w:val="clear" w:color="auto" w:fill="auto"/>
            <w:noWrap/>
            <w:vAlign w:val="center"/>
          </w:tcPr>
          <w:p>
            <w:pPr>
              <w:jc w:val="center"/>
              <w:rPr>
                <w:color w:val="000000"/>
                <w:szCs w:val="21"/>
              </w:rPr>
            </w:pP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0.0024</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0.0144</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0.0329</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0.121</w:t>
            </w:r>
          </w:p>
        </w:tc>
        <w:tc>
          <w:tcPr>
            <w:tcW w:w="62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0.388</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0.88</w:t>
            </w:r>
          </w:p>
        </w:tc>
      </w:tr>
      <w:tr>
        <w:tblPrEx>
          <w:tblCellMar>
            <w:top w:w="0" w:type="dxa"/>
            <w:left w:w="108" w:type="dxa"/>
            <w:bottom w:w="0" w:type="dxa"/>
            <w:right w:w="108" w:type="dxa"/>
          </w:tblCellMar>
        </w:tblPrEx>
        <w:trPr>
          <w:trHeight w:val="340" w:hRule="atLeast"/>
        </w:trPr>
        <w:tc>
          <w:tcPr>
            <w:tcW w:w="972" w:type="pct"/>
            <w:vMerge w:val="continue"/>
            <w:tcBorders>
              <w:left w:val="single" w:color="auto" w:sz="4" w:space="0"/>
              <w:right w:val="single" w:color="auto" w:sz="4" w:space="0"/>
            </w:tcBorders>
            <w:shd w:val="clear" w:color="auto" w:fill="auto"/>
            <w:noWrap/>
            <w:vAlign w:val="center"/>
          </w:tcPr>
          <w:p>
            <w:pPr>
              <w:jc w:val="center"/>
              <w:rPr>
                <w:color w:val="000000"/>
                <w:szCs w:val="21"/>
              </w:rPr>
            </w:pP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0.0023</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0.0136</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0.0357</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0.119</w:t>
            </w:r>
          </w:p>
        </w:tc>
        <w:tc>
          <w:tcPr>
            <w:tcW w:w="62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0.39</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0.889</w:t>
            </w:r>
          </w:p>
        </w:tc>
      </w:tr>
      <w:tr>
        <w:tblPrEx>
          <w:tblCellMar>
            <w:top w:w="0" w:type="dxa"/>
            <w:left w:w="108" w:type="dxa"/>
            <w:bottom w:w="0" w:type="dxa"/>
            <w:right w:w="108" w:type="dxa"/>
          </w:tblCellMar>
        </w:tblPrEx>
        <w:trPr>
          <w:trHeight w:val="340" w:hRule="atLeast"/>
        </w:trPr>
        <w:tc>
          <w:tcPr>
            <w:tcW w:w="972" w:type="pct"/>
            <w:vMerge w:val="continue"/>
            <w:tcBorders>
              <w:left w:val="single" w:color="auto" w:sz="4" w:space="0"/>
              <w:right w:val="single" w:color="auto" w:sz="4" w:space="0"/>
            </w:tcBorders>
            <w:shd w:val="clear" w:color="auto" w:fill="auto"/>
            <w:noWrap/>
            <w:vAlign w:val="center"/>
          </w:tcPr>
          <w:p>
            <w:pPr>
              <w:jc w:val="center"/>
              <w:rPr>
                <w:color w:val="000000"/>
                <w:szCs w:val="21"/>
              </w:rPr>
            </w:pP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0.0019</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0.0143</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0.0321</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0.123</w:t>
            </w:r>
          </w:p>
        </w:tc>
        <w:tc>
          <w:tcPr>
            <w:tcW w:w="62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0.391</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0.89</w:t>
            </w:r>
          </w:p>
        </w:tc>
      </w:tr>
      <w:tr>
        <w:tblPrEx>
          <w:tblCellMar>
            <w:top w:w="0" w:type="dxa"/>
            <w:left w:w="108" w:type="dxa"/>
            <w:bottom w:w="0" w:type="dxa"/>
            <w:right w:w="108" w:type="dxa"/>
          </w:tblCellMar>
        </w:tblPrEx>
        <w:trPr>
          <w:trHeight w:val="340" w:hRule="atLeast"/>
        </w:trPr>
        <w:tc>
          <w:tcPr>
            <w:tcW w:w="972" w:type="pct"/>
            <w:vMerge w:val="continue"/>
            <w:tcBorders>
              <w:left w:val="single" w:color="auto" w:sz="4" w:space="0"/>
              <w:right w:val="single" w:color="auto" w:sz="4" w:space="0"/>
            </w:tcBorders>
            <w:shd w:val="clear" w:color="auto" w:fill="auto"/>
            <w:noWrap/>
            <w:vAlign w:val="center"/>
          </w:tcPr>
          <w:p>
            <w:pPr>
              <w:jc w:val="center"/>
              <w:rPr>
                <w:color w:val="000000"/>
                <w:szCs w:val="21"/>
              </w:rPr>
            </w:pP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0.0019</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0.0139</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0.0348</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0.124</w:t>
            </w:r>
          </w:p>
        </w:tc>
        <w:tc>
          <w:tcPr>
            <w:tcW w:w="62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0.389</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0.891</w:t>
            </w:r>
          </w:p>
        </w:tc>
      </w:tr>
      <w:tr>
        <w:tblPrEx>
          <w:tblCellMar>
            <w:top w:w="0" w:type="dxa"/>
            <w:left w:w="108" w:type="dxa"/>
            <w:bottom w:w="0" w:type="dxa"/>
            <w:right w:w="108" w:type="dxa"/>
          </w:tblCellMar>
        </w:tblPrEx>
        <w:trPr>
          <w:trHeight w:val="340" w:hRule="atLeast"/>
        </w:trPr>
        <w:tc>
          <w:tcPr>
            <w:tcW w:w="972" w:type="pct"/>
            <w:vMerge w:val="continue"/>
            <w:tcBorders>
              <w:left w:val="single" w:color="auto" w:sz="4" w:space="0"/>
              <w:right w:val="single" w:color="auto" w:sz="4" w:space="0"/>
            </w:tcBorders>
            <w:shd w:val="clear" w:color="auto" w:fill="auto"/>
            <w:noWrap/>
            <w:vAlign w:val="center"/>
          </w:tcPr>
          <w:p>
            <w:pPr>
              <w:jc w:val="center"/>
              <w:rPr>
                <w:color w:val="000000"/>
                <w:szCs w:val="21"/>
              </w:rPr>
            </w:pP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0.0018</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0.0148</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0.0356</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0.133</w:t>
            </w:r>
          </w:p>
        </w:tc>
        <w:tc>
          <w:tcPr>
            <w:tcW w:w="62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0.387</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0.882</w:t>
            </w:r>
          </w:p>
        </w:tc>
      </w:tr>
      <w:tr>
        <w:tblPrEx>
          <w:tblCellMar>
            <w:top w:w="0" w:type="dxa"/>
            <w:left w:w="108" w:type="dxa"/>
            <w:bottom w:w="0" w:type="dxa"/>
            <w:right w:w="108" w:type="dxa"/>
          </w:tblCellMar>
        </w:tblPrEx>
        <w:trPr>
          <w:trHeight w:val="340" w:hRule="atLeast"/>
        </w:trPr>
        <w:tc>
          <w:tcPr>
            <w:tcW w:w="972" w:type="pct"/>
            <w:vMerge w:val="continue"/>
            <w:tcBorders>
              <w:left w:val="single" w:color="auto" w:sz="4" w:space="0"/>
              <w:right w:val="single" w:color="auto" w:sz="4" w:space="0"/>
            </w:tcBorders>
            <w:shd w:val="clear" w:color="auto" w:fill="auto"/>
            <w:noWrap/>
            <w:vAlign w:val="center"/>
          </w:tcPr>
          <w:p>
            <w:pPr>
              <w:jc w:val="center"/>
              <w:rPr>
                <w:color w:val="000000"/>
                <w:szCs w:val="21"/>
              </w:rPr>
            </w:pP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0.0019</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0.0152</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0.0333</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0.115</w:t>
            </w:r>
          </w:p>
        </w:tc>
        <w:tc>
          <w:tcPr>
            <w:tcW w:w="62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0.393</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0.881</w:t>
            </w:r>
          </w:p>
        </w:tc>
      </w:tr>
      <w:tr>
        <w:tblPrEx>
          <w:tblCellMar>
            <w:top w:w="0" w:type="dxa"/>
            <w:left w:w="108" w:type="dxa"/>
            <w:bottom w:w="0" w:type="dxa"/>
            <w:right w:w="108" w:type="dxa"/>
          </w:tblCellMar>
        </w:tblPrEx>
        <w:trPr>
          <w:trHeight w:val="340" w:hRule="atLeast"/>
        </w:trPr>
        <w:tc>
          <w:tcPr>
            <w:tcW w:w="972" w:type="pct"/>
            <w:vMerge w:val="continue"/>
            <w:tcBorders>
              <w:left w:val="single" w:color="auto" w:sz="4" w:space="0"/>
              <w:right w:val="single" w:color="auto" w:sz="4" w:space="0"/>
            </w:tcBorders>
            <w:shd w:val="clear" w:color="auto" w:fill="auto"/>
            <w:noWrap/>
            <w:vAlign w:val="center"/>
          </w:tcPr>
          <w:p>
            <w:pPr>
              <w:jc w:val="center"/>
              <w:rPr>
                <w:color w:val="000000"/>
                <w:szCs w:val="21"/>
              </w:rPr>
            </w:pP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0.0136</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0.0318</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0.122</w:t>
            </w:r>
          </w:p>
        </w:tc>
        <w:tc>
          <w:tcPr>
            <w:tcW w:w="62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0.39</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0.893</w:t>
            </w:r>
          </w:p>
        </w:tc>
      </w:tr>
      <w:tr>
        <w:tblPrEx>
          <w:tblCellMar>
            <w:top w:w="0" w:type="dxa"/>
            <w:left w:w="108" w:type="dxa"/>
            <w:bottom w:w="0" w:type="dxa"/>
            <w:right w:w="108" w:type="dxa"/>
          </w:tblCellMar>
        </w:tblPrEx>
        <w:trPr>
          <w:trHeight w:val="340" w:hRule="atLeast"/>
        </w:trPr>
        <w:tc>
          <w:tcPr>
            <w:tcW w:w="972" w:type="pct"/>
            <w:vMerge w:val="continue"/>
            <w:tcBorders>
              <w:left w:val="single" w:color="auto" w:sz="4" w:space="0"/>
              <w:right w:val="single" w:color="auto" w:sz="4" w:space="0"/>
            </w:tcBorders>
            <w:shd w:val="clear" w:color="auto" w:fill="auto"/>
            <w:noWrap/>
            <w:vAlign w:val="center"/>
          </w:tcPr>
          <w:p>
            <w:pPr>
              <w:jc w:val="center"/>
              <w:rPr>
                <w:color w:val="000000"/>
                <w:szCs w:val="21"/>
              </w:rPr>
            </w:pP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0.0022</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0.0141</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0.0316</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0.129</w:t>
            </w:r>
          </w:p>
        </w:tc>
        <w:tc>
          <w:tcPr>
            <w:tcW w:w="62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0.382</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0.892</w:t>
            </w:r>
          </w:p>
        </w:tc>
      </w:tr>
      <w:tr>
        <w:tblPrEx>
          <w:tblCellMar>
            <w:top w:w="0" w:type="dxa"/>
            <w:left w:w="108" w:type="dxa"/>
            <w:bottom w:w="0" w:type="dxa"/>
            <w:right w:w="108" w:type="dxa"/>
          </w:tblCellMar>
        </w:tblPrEx>
        <w:trPr>
          <w:trHeight w:val="340" w:hRule="atLeast"/>
        </w:trPr>
        <w:tc>
          <w:tcPr>
            <w:tcW w:w="972" w:type="pct"/>
            <w:vMerge w:val="continue"/>
            <w:tcBorders>
              <w:left w:val="single" w:color="auto" w:sz="4" w:space="0"/>
              <w:bottom w:val="single" w:color="auto" w:sz="4" w:space="0"/>
              <w:right w:val="single" w:color="auto" w:sz="4" w:space="0"/>
            </w:tcBorders>
            <w:shd w:val="clear" w:color="auto" w:fill="auto"/>
            <w:noWrap/>
            <w:vAlign w:val="center"/>
          </w:tcPr>
          <w:p>
            <w:pPr>
              <w:jc w:val="center"/>
              <w:rPr>
                <w:color w:val="000000"/>
                <w:szCs w:val="21"/>
              </w:rPr>
            </w:pP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0.0027</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0.0152</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0.0312</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0.112</w:t>
            </w:r>
          </w:p>
        </w:tc>
        <w:tc>
          <w:tcPr>
            <w:tcW w:w="62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0.38</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0.883</w:t>
            </w:r>
          </w:p>
        </w:tc>
      </w:tr>
      <w:tr>
        <w:tblPrEx>
          <w:tblCellMar>
            <w:top w:w="0" w:type="dxa"/>
            <w:left w:w="108" w:type="dxa"/>
            <w:bottom w:w="0" w:type="dxa"/>
            <w:right w:w="108" w:type="dxa"/>
          </w:tblCellMar>
        </w:tblPrEx>
        <w:trPr>
          <w:trHeight w:val="340" w:hRule="atLeast"/>
        </w:trPr>
        <w:tc>
          <w:tcPr>
            <w:tcW w:w="972" w:type="pct"/>
            <w:vMerge w:val="restart"/>
            <w:tcBorders>
              <w:left w:val="single" w:color="auto" w:sz="4" w:space="0"/>
              <w:right w:val="single" w:color="auto" w:sz="4" w:space="0"/>
            </w:tcBorders>
            <w:shd w:val="clear" w:color="auto" w:fill="auto"/>
            <w:noWrap/>
            <w:vAlign w:val="center"/>
          </w:tcPr>
          <w:p>
            <w:pPr>
              <w:jc w:val="center"/>
              <w:rPr>
                <w:color w:val="000000"/>
                <w:szCs w:val="21"/>
              </w:rPr>
            </w:pPr>
            <w:r>
              <w:rPr>
                <w:color w:val="000000"/>
                <w:szCs w:val="21"/>
              </w:rPr>
              <w:t>乐山锐丰5</w:t>
            </w:r>
          </w:p>
          <w:p>
            <w:pPr>
              <w:jc w:val="center"/>
              <w:rPr>
                <w:color w:val="000000"/>
                <w:szCs w:val="21"/>
              </w:rPr>
            </w:pP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0.0038</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0.0129</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0.0393</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0.131</w:t>
            </w:r>
          </w:p>
        </w:tc>
        <w:tc>
          <w:tcPr>
            <w:tcW w:w="62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0.384</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0.844</w:t>
            </w:r>
          </w:p>
        </w:tc>
      </w:tr>
      <w:tr>
        <w:tblPrEx>
          <w:tblCellMar>
            <w:top w:w="0" w:type="dxa"/>
            <w:left w:w="108" w:type="dxa"/>
            <w:bottom w:w="0" w:type="dxa"/>
            <w:right w:w="108" w:type="dxa"/>
          </w:tblCellMar>
        </w:tblPrEx>
        <w:trPr>
          <w:trHeight w:val="340" w:hRule="atLeast"/>
        </w:trPr>
        <w:tc>
          <w:tcPr>
            <w:tcW w:w="972" w:type="pct"/>
            <w:vMerge w:val="continue"/>
            <w:tcBorders>
              <w:left w:val="single" w:color="auto" w:sz="4" w:space="0"/>
              <w:right w:val="single" w:color="auto" w:sz="4" w:space="0"/>
            </w:tcBorders>
            <w:shd w:val="clear" w:color="auto" w:fill="auto"/>
            <w:noWrap/>
            <w:vAlign w:val="center"/>
          </w:tcPr>
          <w:p>
            <w:pPr>
              <w:jc w:val="center"/>
              <w:rPr>
                <w:color w:val="000000"/>
                <w:szCs w:val="21"/>
              </w:rPr>
            </w:pP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0.0042</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0.0149</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0.0384</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0.132</w:t>
            </w:r>
          </w:p>
        </w:tc>
        <w:tc>
          <w:tcPr>
            <w:tcW w:w="62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0.382</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0.85</w:t>
            </w:r>
          </w:p>
        </w:tc>
      </w:tr>
      <w:tr>
        <w:tblPrEx>
          <w:tblCellMar>
            <w:top w:w="0" w:type="dxa"/>
            <w:left w:w="108" w:type="dxa"/>
            <w:bottom w:w="0" w:type="dxa"/>
            <w:right w:w="108" w:type="dxa"/>
          </w:tblCellMar>
        </w:tblPrEx>
        <w:trPr>
          <w:trHeight w:val="340" w:hRule="atLeast"/>
        </w:trPr>
        <w:tc>
          <w:tcPr>
            <w:tcW w:w="972" w:type="pct"/>
            <w:vMerge w:val="continue"/>
            <w:tcBorders>
              <w:left w:val="single" w:color="auto" w:sz="4" w:space="0"/>
              <w:right w:val="single" w:color="auto" w:sz="4" w:space="0"/>
            </w:tcBorders>
            <w:shd w:val="clear" w:color="auto" w:fill="auto"/>
            <w:noWrap/>
            <w:vAlign w:val="center"/>
          </w:tcPr>
          <w:p>
            <w:pPr>
              <w:jc w:val="center"/>
              <w:rPr>
                <w:color w:val="000000"/>
                <w:szCs w:val="21"/>
              </w:rPr>
            </w:pP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0.0045</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0.0123</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0.0393</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0.132</w:t>
            </w:r>
          </w:p>
        </w:tc>
        <w:tc>
          <w:tcPr>
            <w:tcW w:w="62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0.39</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0.845</w:t>
            </w:r>
          </w:p>
        </w:tc>
      </w:tr>
      <w:tr>
        <w:tblPrEx>
          <w:tblCellMar>
            <w:top w:w="0" w:type="dxa"/>
            <w:left w:w="108" w:type="dxa"/>
            <w:bottom w:w="0" w:type="dxa"/>
            <w:right w:w="108" w:type="dxa"/>
          </w:tblCellMar>
        </w:tblPrEx>
        <w:trPr>
          <w:trHeight w:val="340" w:hRule="atLeast"/>
        </w:trPr>
        <w:tc>
          <w:tcPr>
            <w:tcW w:w="972" w:type="pct"/>
            <w:vMerge w:val="continue"/>
            <w:tcBorders>
              <w:left w:val="single" w:color="auto" w:sz="4" w:space="0"/>
              <w:right w:val="single" w:color="auto" w:sz="4" w:space="0"/>
            </w:tcBorders>
            <w:shd w:val="clear" w:color="auto" w:fill="auto"/>
            <w:noWrap/>
            <w:vAlign w:val="center"/>
          </w:tcPr>
          <w:p>
            <w:pPr>
              <w:jc w:val="center"/>
              <w:rPr>
                <w:color w:val="000000"/>
                <w:szCs w:val="21"/>
              </w:rPr>
            </w:pP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0.0039</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0.0141</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0.0403</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0.13</w:t>
            </w:r>
          </w:p>
        </w:tc>
        <w:tc>
          <w:tcPr>
            <w:tcW w:w="62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0.381</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0.839</w:t>
            </w:r>
          </w:p>
        </w:tc>
      </w:tr>
      <w:tr>
        <w:tblPrEx>
          <w:tblCellMar>
            <w:top w:w="0" w:type="dxa"/>
            <w:left w:w="108" w:type="dxa"/>
            <w:bottom w:w="0" w:type="dxa"/>
            <w:right w:w="108" w:type="dxa"/>
          </w:tblCellMar>
        </w:tblPrEx>
        <w:trPr>
          <w:trHeight w:val="340" w:hRule="atLeast"/>
        </w:trPr>
        <w:tc>
          <w:tcPr>
            <w:tcW w:w="972" w:type="pct"/>
            <w:vMerge w:val="continue"/>
            <w:tcBorders>
              <w:left w:val="single" w:color="auto" w:sz="4" w:space="0"/>
              <w:right w:val="single" w:color="auto" w:sz="4" w:space="0"/>
            </w:tcBorders>
            <w:shd w:val="clear" w:color="auto" w:fill="auto"/>
            <w:noWrap/>
            <w:vAlign w:val="center"/>
          </w:tcPr>
          <w:p>
            <w:pPr>
              <w:jc w:val="center"/>
              <w:rPr>
                <w:color w:val="000000"/>
                <w:szCs w:val="21"/>
              </w:rPr>
            </w:pP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0.0037</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0.015</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0.0395</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0.132</w:t>
            </w:r>
          </w:p>
        </w:tc>
        <w:tc>
          <w:tcPr>
            <w:tcW w:w="62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0.387</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0.845</w:t>
            </w:r>
          </w:p>
        </w:tc>
      </w:tr>
      <w:tr>
        <w:tblPrEx>
          <w:tblCellMar>
            <w:top w:w="0" w:type="dxa"/>
            <w:left w:w="108" w:type="dxa"/>
            <w:bottom w:w="0" w:type="dxa"/>
            <w:right w:w="108" w:type="dxa"/>
          </w:tblCellMar>
        </w:tblPrEx>
        <w:trPr>
          <w:trHeight w:val="340" w:hRule="atLeast"/>
        </w:trPr>
        <w:tc>
          <w:tcPr>
            <w:tcW w:w="972" w:type="pct"/>
            <w:vMerge w:val="continue"/>
            <w:tcBorders>
              <w:left w:val="single" w:color="auto" w:sz="4" w:space="0"/>
              <w:right w:val="single" w:color="auto" w:sz="4" w:space="0"/>
            </w:tcBorders>
            <w:shd w:val="clear" w:color="auto" w:fill="auto"/>
            <w:noWrap/>
            <w:vAlign w:val="center"/>
          </w:tcPr>
          <w:p>
            <w:pPr>
              <w:jc w:val="center"/>
              <w:rPr>
                <w:color w:val="000000"/>
                <w:szCs w:val="21"/>
              </w:rPr>
            </w:pP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0.0038</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0.0125</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0.0402</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0.129</w:t>
            </w:r>
          </w:p>
        </w:tc>
        <w:tc>
          <w:tcPr>
            <w:tcW w:w="62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0.387</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0.863</w:t>
            </w:r>
          </w:p>
        </w:tc>
      </w:tr>
      <w:tr>
        <w:tblPrEx>
          <w:tblCellMar>
            <w:top w:w="0" w:type="dxa"/>
            <w:left w:w="108" w:type="dxa"/>
            <w:bottom w:w="0" w:type="dxa"/>
            <w:right w:w="108" w:type="dxa"/>
          </w:tblCellMar>
        </w:tblPrEx>
        <w:trPr>
          <w:trHeight w:val="340" w:hRule="atLeast"/>
        </w:trPr>
        <w:tc>
          <w:tcPr>
            <w:tcW w:w="972" w:type="pct"/>
            <w:vMerge w:val="continue"/>
            <w:tcBorders>
              <w:left w:val="single" w:color="auto" w:sz="4" w:space="0"/>
              <w:right w:val="single" w:color="auto" w:sz="4" w:space="0"/>
            </w:tcBorders>
            <w:shd w:val="clear" w:color="auto" w:fill="auto"/>
            <w:noWrap/>
            <w:vAlign w:val="center"/>
          </w:tcPr>
          <w:p>
            <w:pPr>
              <w:jc w:val="center"/>
              <w:rPr>
                <w:color w:val="000000"/>
                <w:szCs w:val="21"/>
              </w:rPr>
            </w:pP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0.0043</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0.0143</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0.0409</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0.132</w:t>
            </w:r>
          </w:p>
        </w:tc>
        <w:tc>
          <w:tcPr>
            <w:tcW w:w="62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0.394</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0.847</w:t>
            </w:r>
          </w:p>
        </w:tc>
      </w:tr>
      <w:tr>
        <w:tblPrEx>
          <w:tblCellMar>
            <w:top w:w="0" w:type="dxa"/>
            <w:left w:w="108" w:type="dxa"/>
            <w:bottom w:w="0" w:type="dxa"/>
            <w:right w:w="108" w:type="dxa"/>
          </w:tblCellMar>
        </w:tblPrEx>
        <w:trPr>
          <w:trHeight w:val="340" w:hRule="atLeast"/>
        </w:trPr>
        <w:tc>
          <w:tcPr>
            <w:tcW w:w="972" w:type="pct"/>
            <w:vMerge w:val="continue"/>
            <w:tcBorders>
              <w:left w:val="single" w:color="auto" w:sz="4" w:space="0"/>
              <w:right w:val="single" w:color="auto" w:sz="4" w:space="0"/>
            </w:tcBorders>
            <w:shd w:val="clear" w:color="auto" w:fill="auto"/>
            <w:noWrap/>
            <w:vAlign w:val="center"/>
          </w:tcPr>
          <w:p>
            <w:pPr>
              <w:jc w:val="center"/>
              <w:rPr>
                <w:color w:val="000000"/>
                <w:szCs w:val="21"/>
              </w:rPr>
            </w:pP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0.0041</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0.0138</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0.0402</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0.133</w:t>
            </w:r>
          </w:p>
        </w:tc>
        <w:tc>
          <w:tcPr>
            <w:tcW w:w="62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0.385</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0.863</w:t>
            </w:r>
          </w:p>
        </w:tc>
      </w:tr>
      <w:tr>
        <w:tblPrEx>
          <w:tblCellMar>
            <w:top w:w="0" w:type="dxa"/>
            <w:left w:w="108" w:type="dxa"/>
            <w:bottom w:w="0" w:type="dxa"/>
            <w:right w:w="108" w:type="dxa"/>
          </w:tblCellMar>
        </w:tblPrEx>
        <w:trPr>
          <w:trHeight w:val="340" w:hRule="atLeast"/>
        </w:trPr>
        <w:tc>
          <w:tcPr>
            <w:tcW w:w="972" w:type="pct"/>
            <w:vMerge w:val="continue"/>
            <w:tcBorders>
              <w:left w:val="single" w:color="auto" w:sz="4" w:space="0"/>
              <w:right w:val="single" w:color="auto" w:sz="4" w:space="0"/>
            </w:tcBorders>
            <w:shd w:val="clear" w:color="auto" w:fill="auto"/>
            <w:noWrap/>
            <w:vAlign w:val="center"/>
          </w:tcPr>
          <w:p>
            <w:pPr>
              <w:jc w:val="center"/>
              <w:rPr>
                <w:color w:val="000000"/>
                <w:szCs w:val="21"/>
              </w:rPr>
            </w:pP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0.0042</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0.0144</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0.0396</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0.132</w:t>
            </w:r>
          </w:p>
        </w:tc>
        <w:tc>
          <w:tcPr>
            <w:tcW w:w="62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0.381</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0.875</w:t>
            </w:r>
          </w:p>
        </w:tc>
      </w:tr>
      <w:tr>
        <w:tblPrEx>
          <w:tblCellMar>
            <w:top w:w="0" w:type="dxa"/>
            <w:left w:w="108" w:type="dxa"/>
            <w:bottom w:w="0" w:type="dxa"/>
            <w:right w:w="108" w:type="dxa"/>
          </w:tblCellMar>
        </w:tblPrEx>
        <w:trPr>
          <w:trHeight w:val="340" w:hRule="atLeast"/>
        </w:trPr>
        <w:tc>
          <w:tcPr>
            <w:tcW w:w="972" w:type="pct"/>
            <w:vMerge w:val="continue"/>
            <w:tcBorders>
              <w:left w:val="single" w:color="auto" w:sz="4" w:space="0"/>
              <w:right w:val="single" w:color="auto" w:sz="4" w:space="0"/>
            </w:tcBorders>
            <w:shd w:val="clear" w:color="auto" w:fill="auto"/>
            <w:noWrap/>
            <w:vAlign w:val="center"/>
          </w:tcPr>
          <w:p>
            <w:pPr>
              <w:jc w:val="center"/>
              <w:rPr>
                <w:color w:val="000000"/>
                <w:szCs w:val="21"/>
              </w:rPr>
            </w:pP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0.0043</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0.0146</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0.041</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0.132</w:t>
            </w:r>
          </w:p>
        </w:tc>
        <w:tc>
          <w:tcPr>
            <w:tcW w:w="62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0.39</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0.843</w:t>
            </w:r>
          </w:p>
        </w:tc>
      </w:tr>
      <w:tr>
        <w:tblPrEx>
          <w:tblCellMar>
            <w:top w:w="0" w:type="dxa"/>
            <w:left w:w="108" w:type="dxa"/>
            <w:bottom w:w="0" w:type="dxa"/>
            <w:right w:w="108" w:type="dxa"/>
          </w:tblCellMar>
        </w:tblPrEx>
        <w:trPr>
          <w:trHeight w:val="340" w:hRule="atLeast"/>
        </w:trPr>
        <w:tc>
          <w:tcPr>
            <w:tcW w:w="972" w:type="pct"/>
            <w:vMerge w:val="continue"/>
            <w:tcBorders>
              <w:left w:val="single" w:color="auto" w:sz="4" w:space="0"/>
              <w:bottom w:val="single" w:color="auto" w:sz="4" w:space="0"/>
              <w:right w:val="single" w:color="auto" w:sz="4" w:space="0"/>
            </w:tcBorders>
            <w:shd w:val="clear" w:color="auto" w:fill="auto"/>
            <w:noWrap/>
            <w:vAlign w:val="center"/>
          </w:tcPr>
          <w:p>
            <w:pPr>
              <w:jc w:val="center"/>
              <w:rPr>
                <w:color w:val="000000"/>
                <w:szCs w:val="21"/>
              </w:rPr>
            </w:pP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0.004</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0.0134</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0.0409</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0.132</w:t>
            </w:r>
          </w:p>
        </w:tc>
        <w:tc>
          <w:tcPr>
            <w:tcW w:w="62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0.387</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0.874</w:t>
            </w:r>
          </w:p>
        </w:tc>
      </w:tr>
      <w:tr>
        <w:tblPrEx>
          <w:tblCellMar>
            <w:top w:w="0" w:type="dxa"/>
            <w:left w:w="108" w:type="dxa"/>
            <w:bottom w:w="0" w:type="dxa"/>
            <w:right w:w="108" w:type="dxa"/>
          </w:tblCellMar>
        </w:tblPrEx>
        <w:trPr>
          <w:trHeight w:val="340" w:hRule="atLeast"/>
        </w:trPr>
        <w:tc>
          <w:tcPr>
            <w:tcW w:w="972" w:type="pct"/>
            <w:vMerge w:val="restart"/>
            <w:tcBorders>
              <w:left w:val="single" w:color="auto" w:sz="4" w:space="0"/>
              <w:right w:val="single" w:color="auto" w:sz="4" w:space="0"/>
            </w:tcBorders>
            <w:shd w:val="clear" w:color="auto" w:fill="auto"/>
            <w:noWrap/>
            <w:vAlign w:val="center"/>
          </w:tcPr>
          <w:p>
            <w:pPr>
              <w:jc w:val="center"/>
              <w:rPr>
                <w:color w:val="000000"/>
                <w:szCs w:val="21"/>
              </w:rPr>
            </w:pPr>
            <w:r>
              <w:rPr>
                <w:color w:val="000000"/>
                <w:szCs w:val="21"/>
              </w:rPr>
              <w:t>南方稀土6</w:t>
            </w: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0.0028</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0.0128</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0.0323</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0.129</w:t>
            </w:r>
          </w:p>
        </w:tc>
        <w:tc>
          <w:tcPr>
            <w:tcW w:w="62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0.382</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0.873</w:t>
            </w:r>
          </w:p>
        </w:tc>
      </w:tr>
      <w:tr>
        <w:tblPrEx>
          <w:tblCellMar>
            <w:top w:w="0" w:type="dxa"/>
            <w:left w:w="108" w:type="dxa"/>
            <w:bottom w:w="0" w:type="dxa"/>
            <w:right w:w="108" w:type="dxa"/>
          </w:tblCellMar>
        </w:tblPrEx>
        <w:trPr>
          <w:trHeight w:val="340" w:hRule="atLeast"/>
        </w:trPr>
        <w:tc>
          <w:tcPr>
            <w:tcW w:w="972" w:type="pct"/>
            <w:vMerge w:val="continue"/>
            <w:tcBorders>
              <w:left w:val="single" w:color="auto" w:sz="4" w:space="0"/>
              <w:right w:val="single" w:color="auto" w:sz="4" w:space="0"/>
            </w:tcBorders>
            <w:shd w:val="clear" w:color="auto" w:fill="auto"/>
            <w:noWrap/>
            <w:vAlign w:val="center"/>
          </w:tcPr>
          <w:p>
            <w:pPr>
              <w:jc w:val="center"/>
              <w:rPr>
                <w:color w:val="000000"/>
                <w:szCs w:val="21"/>
              </w:rPr>
            </w:pP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0.0030</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0.0129</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0.0315</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0.130</w:t>
            </w:r>
          </w:p>
        </w:tc>
        <w:tc>
          <w:tcPr>
            <w:tcW w:w="62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0.382</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0.882</w:t>
            </w:r>
          </w:p>
        </w:tc>
      </w:tr>
      <w:tr>
        <w:tblPrEx>
          <w:tblCellMar>
            <w:top w:w="0" w:type="dxa"/>
            <w:left w:w="108" w:type="dxa"/>
            <w:bottom w:w="0" w:type="dxa"/>
            <w:right w:w="108" w:type="dxa"/>
          </w:tblCellMar>
        </w:tblPrEx>
        <w:trPr>
          <w:trHeight w:val="340" w:hRule="atLeast"/>
        </w:trPr>
        <w:tc>
          <w:tcPr>
            <w:tcW w:w="972" w:type="pct"/>
            <w:vMerge w:val="continue"/>
            <w:tcBorders>
              <w:left w:val="single" w:color="auto" w:sz="4" w:space="0"/>
              <w:right w:val="single" w:color="auto" w:sz="4" w:space="0"/>
            </w:tcBorders>
            <w:shd w:val="clear" w:color="auto" w:fill="auto"/>
            <w:noWrap/>
            <w:vAlign w:val="center"/>
          </w:tcPr>
          <w:p>
            <w:pPr>
              <w:jc w:val="center"/>
              <w:rPr>
                <w:color w:val="000000"/>
                <w:szCs w:val="21"/>
              </w:rPr>
            </w:pP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0.0028</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0.0128</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0.0331</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0.126</w:t>
            </w:r>
          </w:p>
        </w:tc>
        <w:tc>
          <w:tcPr>
            <w:tcW w:w="62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0.372</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0.871</w:t>
            </w:r>
          </w:p>
        </w:tc>
      </w:tr>
      <w:tr>
        <w:tblPrEx>
          <w:tblCellMar>
            <w:top w:w="0" w:type="dxa"/>
            <w:left w:w="108" w:type="dxa"/>
            <w:bottom w:w="0" w:type="dxa"/>
            <w:right w:w="108" w:type="dxa"/>
          </w:tblCellMar>
        </w:tblPrEx>
        <w:trPr>
          <w:trHeight w:val="340" w:hRule="atLeast"/>
        </w:trPr>
        <w:tc>
          <w:tcPr>
            <w:tcW w:w="972" w:type="pct"/>
            <w:vMerge w:val="continue"/>
            <w:tcBorders>
              <w:left w:val="single" w:color="auto" w:sz="4" w:space="0"/>
              <w:right w:val="single" w:color="auto" w:sz="4" w:space="0"/>
            </w:tcBorders>
            <w:shd w:val="clear" w:color="auto" w:fill="auto"/>
            <w:noWrap/>
            <w:vAlign w:val="center"/>
          </w:tcPr>
          <w:p>
            <w:pPr>
              <w:jc w:val="center"/>
              <w:rPr>
                <w:color w:val="000000"/>
                <w:szCs w:val="21"/>
              </w:rPr>
            </w:pP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0.0026</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0.0127</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0.033</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0.130</w:t>
            </w:r>
          </w:p>
        </w:tc>
        <w:tc>
          <w:tcPr>
            <w:tcW w:w="62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0.381</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0.876</w:t>
            </w:r>
          </w:p>
        </w:tc>
      </w:tr>
      <w:tr>
        <w:tblPrEx>
          <w:tblCellMar>
            <w:top w:w="0" w:type="dxa"/>
            <w:left w:w="108" w:type="dxa"/>
            <w:bottom w:w="0" w:type="dxa"/>
            <w:right w:w="108" w:type="dxa"/>
          </w:tblCellMar>
        </w:tblPrEx>
        <w:trPr>
          <w:trHeight w:val="340" w:hRule="atLeast"/>
        </w:trPr>
        <w:tc>
          <w:tcPr>
            <w:tcW w:w="972" w:type="pct"/>
            <w:vMerge w:val="continue"/>
            <w:tcBorders>
              <w:left w:val="single" w:color="auto" w:sz="4" w:space="0"/>
              <w:right w:val="single" w:color="auto" w:sz="4" w:space="0"/>
            </w:tcBorders>
            <w:shd w:val="clear" w:color="auto" w:fill="auto"/>
            <w:noWrap/>
            <w:vAlign w:val="center"/>
          </w:tcPr>
          <w:p>
            <w:pPr>
              <w:jc w:val="center"/>
              <w:rPr>
                <w:color w:val="000000"/>
                <w:szCs w:val="21"/>
              </w:rPr>
            </w:pP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0.0028</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0.0129</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0.0327</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0.130</w:t>
            </w:r>
          </w:p>
        </w:tc>
        <w:tc>
          <w:tcPr>
            <w:tcW w:w="62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0.382</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0.875</w:t>
            </w:r>
          </w:p>
        </w:tc>
      </w:tr>
      <w:tr>
        <w:tblPrEx>
          <w:tblCellMar>
            <w:top w:w="0" w:type="dxa"/>
            <w:left w:w="108" w:type="dxa"/>
            <w:bottom w:w="0" w:type="dxa"/>
            <w:right w:w="108" w:type="dxa"/>
          </w:tblCellMar>
        </w:tblPrEx>
        <w:trPr>
          <w:trHeight w:val="340" w:hRule="atLeast"/>
        </w:trPr>
        <w:tc>
          <w:tcPr>
            <w:tcW w:w="972" w:type="pct"/>
            <w:vMerge w:val="continue"/>
            <w:tcBorders>
              <w:left w:val="single" w:color="auto" w:sz="4" w:space="0"/>
              <w:right w:val="single" w:color="auto" w:sz="4" w:space="0"/>
            </w:tcBorders>
            <w:shd w:val="clear" w:color="auto" w:fill="auto"/>
            <w:noWrap/>
            <w:vAlign w:val="center"/>
          </w:tcPr>
          <w:p>
            <w:pPr>
              <w:jc w:val="center"/>
              <w:rPr>
                <w:color w:val="000000"/>
                <w:szCs w:val="21"/>
              </w:rPr>
            </w:pP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0.003</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0.0128</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0.0318</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0.131</w:t>
            </w:r>
          </w:p>
        </w:tc>
        <w:tc>
          <w:tcPr>
            <w:tcW w:w="62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0.384</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0.877</w:t>
            </w:r>
          </w:p>
        </w:tc>
      </w:tr>
      <w:tr>
        <w:tblPrEx>
          <w:tblCellMar>
            <w:top w:w="0" w:type="dxa"/>
            <w:left w:w="108" w:type="dxa"/>
            <w:bottom w:w="0" w:type="dxa"/>
            <w:right w:w="108" w:type="dxa"/>
          </w:tblCellMar>
        </w:tblPrEx>
        <w:trPr>
          <w:trHeight w:val="340" w:hRule="atLeast"/>
        </w:trPr>
        <w:tc>
          <w:tcPr>
            <w:tcW w:w="972" w:type="pct"/>
            <w:vMerge w:val="continue"/>
            <w:tcBorders>
              <w:left w:val="single" w:color="auto" w:sz="4" w:space="0"/>
              <w:right w:val="single" w:color="auto" w:sz="4" w:space="0"/>
            </w:tcBorders>
            <w:shd w:val="clear" w:color="auto" w:fill="auto"/>
            <w:noWrap/>
            <w:vAlign w:val="center"/>
          </w:tcPr>
          <w:p>
            <w:pPr>
              <w:jc w:val="center"/>
              <w:rPr>
                <w:color w:val="000000"/>
                <w:szCs w:val="21"/>
              </w:rPr>
            </w:pP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0.0029</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0.0138</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0.0323</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0.132</w:t>
            </w:r>
          </w:p>
        </w:tc>
        <w:tc>
          <w:tcPr>
            <w:tcW w:w="62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0.372</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0.879</w:t>
            </w:r>
          </w:p>
        </w:tc>
      </w:tr>
      <w:tr>
        <w:tblPrEx>
          <w:tblCellMar>
            <w:top w:w="0" w:type="dxa"/>
            <w:left w:w="108" w:type="dxa"/>
            <w:bottom w:w="0" w:type="dxa"/>
            <w:right w:w="108" w:type="dxa"/>
          </w:tblCellMar>
        </w:tblPrEx>
        <w:trPr>
          <w:trHeight w:val="340" w:hRule="atLeast"/>
        </w:trPr>
        <w:tc>
          <w:tcPr>
            <w:tcW w:w="972" w:type="pct"/>
            <w:vMerge w:val="continue"/>
            <w:tcBorders>
              <w:left w:val="single" w:color="auto" w:sz="4" w:space="0"/>
              <w:right w:val="single" w:color="auto" w:sz="4" w:space="0"/>
            </w:tcBorders>
            <w:shd w:val="clear" w:color="auto" w:fill="auto"/>
            <w:noWrap/>
            <w:vAlign w:val="center"/>
          </w:tcPr>
          <w:p>
            <w:pPr>
              <w:jc w:val="center"/>
              <w:rPr>
                <w:color w:val="000000"/>
                <w:szCs w:val="21"/>
              </w:rPr>
            </w:pP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0.0029</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0.0127</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0.0329</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0.129</w:t>
            </w:r>
          </w:p>
        </w:tc>
        <w:tc>
          <w:tcPr>
            <w:tcW w:w="62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0.376</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0.881</w:t>
            </w:r>
          </w:p>
        </w:tc>
      </w:tr>
      <w:tr>
        <w:tblPrEx>
          <w:tblCellMar>
            <w:top w:w="0" w:type="dxa"/>
            <w:left w:w="108" w:type="dxa"/>
            <w:bottom w:w="0" w:type="dxa"/>
            <w:right w:w="108" w:type="dxa"/>
          </w:tblCellMar>
        </w:tblPrEx>
        <w:trPr>
          <w:trHeight w:val="340" w:hRule="atLeast"/>
        </w:trPr>
        <w:tc>
          <w:tcPr>
            <w:tcW w:w="972" w:type="pct"/>
            <w:vMerge w:val="continue"/>
            <w:tcBorders>
              <w:left w:val="single" w:color="auto" w:sz="4" w:space="0"/>
              <w:right w:val="single" w:color="auto" w:sz="4" w:space="0"/>
            </w:tcBorders>
            <w:shd w:val="clear" w:color="auto" w:fill="auto"/>
            <w:noWrap/>
            <w:vAlign w:val="center"/>
          </w:tcPr>
          <w:p>
            <w:pPr>
              <w:jc w:val="center"/>
              <w:rPr>
                <w:color w:val="000000"/>
                <w:szCs w:val="21"/>
              </w:rPr>
            </w:pP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0.0031</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0.0129</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0.0319</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0.131</w:t>
            </w:r>
          </w:p>
        </w:tc>
        <w:tc>
          <w:tcPr>
            <w:tcW w:w="62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0.374</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0.879</w:t>
            </w:r>
          </w:p>
        </w:tc>
      </w:tr>
      <w:tr>
        <w:tblPrEx>
          <w:tblCellMar>
            <w:top w:w="0" w:type="dxa"/>
            <w:left w:w="108" w:type="dxa"/>
            <w:bottom w:w="0" w:type="dxa"/>
            <w:right w:w="108" w:type="dxa"/>
          </w:tblCellMar>
        </w:tblPrEx>
        <w:trPr>
          <w:trHeight w:val="340" w:hRule="atLeast"/>
        </w:trPr>
        <w:tc>
          <w:tcPr>
            <w:tcW w:w="972" w:type="pct"/>
            <w:vMerge w:val="continue"/>
            <w:tcBorders>
              <w:left w:val="single" w:color="auto" w:sz="4" w:space="0"/>
              <w:right w:val="single" w:color="auto" w:sz="4" w:space="0"/>
            </w:tcBorders>
            <w:shd w:val="clear" w:color="auto" w:fill="auto"/>
            <w:noWrap/>
            <w:vAlign w:val="center"/>
          </w:tcPr>
          <w:p>
            <w:pPr>
              <w:jc w:val="center"/>
              <w:rPr>
                <w:color w:val="000000"/>
                <w:szCs w:val="21"/>
              </w:rPr>
            </w:pP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0.0031</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0.0138</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0.0317</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0.135</w:t>
            </w:r>
          </w:p>
        </w:tc>
        <w:tc>
          <w:tcPr>
            <w:tcW w:w="62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0.375</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0.873</w:t>
            </w:r>
          </w:p>
        </w:tc>
      </w:tr>
      <w:tr>
        <w:tblPrEx>
          <w:tblCellMar>
            <w:top w:w="0" w:type="dxa"/>
            <w:left w:w="108" w:type="dxa"/>
            <w:bottom w:w="0" w:type="dxa"/>
            <w:right w:w="108" w:type="dxa"/>
          </w:tblCellMar>
        </w:tblPrEx>
        <w:trPr>
          <w:trHeight w:val="340" w:hRule="atLeast"/>
        </w:trPr>
        <w:tc>
          <w:tcPr>
            <w:tcW w:w="972" w:type="pct"/>
            <w:vMerge w:val="continue"/>
            <w:tcBorders>
              <w:left w:val="single" w:color="auto" w:sz="4" w:space="0"/>
              <w:bottom w:val="single" w:color="auto" w:sz="4" w:space="0"/>
              <w:right w:val="single" w:color="auto" w:sz="4" w:space="0"/>
            </w:tcBorders>
            <w:shd w:val="clear" w:color="auto" w:fill="auto"/>
            <w:noWrap/>
            <w:vAlign w:val="center"/>
          </w:tcPr>
          <w:p>
            <w:pPr>
              <w:jc w:val="center"/>
              <w:rPr>
                <w:color w:val="000000"/>
                <w:szCs w:val="21"/>
              </w:rPr>
            </w:pP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0.0027</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0.0127</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0.0321</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0.135</w:t>
            </w:r>
          </w:p>
        </w:tc>
        <w:tc>
          <w:tcPr>
            <w:tcW w:w="62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0.374</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0.887</w:t>
            </w:r>
          </w:p>
        </w:tc>
      </w:tr>
      <w:tr>
        <w:tblPrEx>
          <w:tblCellMar>
            <w:top w:w="0" w:type="dxa"/>
            <w:left w:w="108" w:type="dxa"/>
            <w:bottom w:w="0" w:type="dxa"/>
            <w:right w:w="108" w:type="dxa"/>
          </w:tblCellMar>
        </w:tblPrEx>
        <w:trPr>
          <w:trHeight w:val="340" w:hRule="atLeast"/>
        </w:trPr>
        <w:tc>
          <w:tcPr>
            <w:tcW w:w="972" w:type="pct"/>
            <w:vMerge w:val="restart"/>
            <w:tcBorders>
              <w:left w:val="single" w:color="auto" w:sz="4" w:space="0"/>
              <w:right w:val="single" w:color="auto" w:sz="4" w:space="0"/>
            </w:tcBorders>
            <w:shd w:val="clear" w:color="auto" w:fill="auto"/>
            <w:noWrap/>
            <w:vAlign w:val="center"/>
          </w:tcPr>
          <w:p>
            <w:pPr>
              <w:jc w:val="center"/>
              <w:rPr>
                <w:color w:val="000000"/>
                <w:szCs w:val="21"/>
              </w:rPr>
            </w:pPr>
            <w:r>
              <w:rPr>
                <w:color w:val="000000"/>
                <w:szCs w:val="21"/>
              </w:rPr>
              <w:t>有研稀土7</w:t>
            </w: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0.0039</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0.0114</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0.0317</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0.1232</w:t>
            </w:r>
          </w:p>
        </w:tc>
        <w:tc>
          <w:tcPr>
            <w:tcW w:w="62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0.3686</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0.8624</w:t>
            </w:r>
          </w:p>
        </w:tc>
      </w:tr>
      <w:tr>
        <w:tblPrEx>
          <w:tblCellMar>
            <w:top w:w="0" w:type="dxa"/>
            <w:left w:w="108" w:type="dxa"/>
            <w:bottom w:w="0" w:type="dxa"/>
            <w:right w:w="108" w:type="dxa"/>
          </w:tblCellMar>
        </w:tblPrEx>
        <w:trPr>
          <w:trHeight w:val="340" w:hRule="atLeast"/>
        </w:trPr>
        <w:tc>
          <w:tcPr>
            <w:tcW w:w="972" w:type="pct"/>
            <w:vMerge w:val="continue"/>
            <w:tcBorders>
              <w:left w:val="single" w:color="auto" w:sz="4" w:space="0"/>
              <w:right w:val="single" w:color="auto" w:sz="4" w:space="0"/>
            </w:tcBorders>
            <w:shd w:val="clear" w:color="auto" w:fill="auto"/>
            <w:noWrap/>
            <w:vAlign w:val="center"/>
          </w:tcPr>
          <w:p>
            <w:pPr>
              <w:jc w:val="center"/>
              <w:rPr>
                <w:color w:val="000000"/>
                <w:szCs w:val="21"/>
              </w:rPr>
            </w:pP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0.0036</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0.0114</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0.0295</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0.1288</w:t>
            </w:r>
          </w:p>
        </w:tc>
        <w:tc>
          <w:tcPr>
            <w:tcW w:w="62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0.3713</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0.889</w:t>
            </w:r>
          </w:p>
        </w:tc>
      </w:tr>
      <w:tr>
        <w:tblPrEx>
          <w:tblCellMar>
            <w:top w:w="0" w:type="dxa"/>
            <w:left w:w="108" w:type="dxa"/>
            <w:bottom w:w="0" w:type="dxa"/>
            <w:right w:w="108" w:type="dxa"/>
          </w:tblCellMar>
        </w:tblPrEx>
        <w:trPr>
          <w:trHeight w:val="340" w:hRule="atLeast"/>
        </w:trPr>
        <w:tc>
          <w:tcPr>
            <w:tcW w:w="972" w:type="pct"/>
            <w:vMerge w:val="continue"/>
            <w:tcBorders>
              <w:left w:val="single" w:color="auto" w:sz="4" w:space="0"/>
              <w:right w:val="single" w:color="auto" w:sz="4" w:space="0"/>
            </w:tcBorders>
            <w:shd w:val="clear" w:color="auto" w:fill="auto"/>
            <w:noWrap/>
            <w:vAlign w:val="center"/>
          </w:tcPr>
          <w:p>
            <w:pPr>
              <w:jc w:val="center"/>
              <w:rPr>
                <w:color w:val="000000"/>
                <w:szCs w:val="21"/>
              </w:rPr>
            </w:pP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0.0038</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0.0133</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0.033</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0.1258</w:t>
            </w:r>
          </w:p>
        </w:tc>
        <w:tc>
          <w:tcPr>
            <w:tcW w:w="62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0.3705</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0.8678</w:t>
            </w:r>
          </w:p>
        </w:tc>
      </w:tr>
      <w:tr>
        <w:tblPrEx>
          <w:tblCellMar>
            <w:top w:w="0" w:type="dxa"/>
            <w:left w:w="108" w:type="dxa"/>
            <w:bottom w:w="0" w:type="dxa"/>
            <w:right w:w="108" w:type="dxa"/>
          </w:tblCellMar>
        </w:tblPrEx>
        <w:trPr>
          <w:trHeight w:val="340" w:hRule="atLeast"/>
        </w:trPr>
        <w:tc>
          <w:tcPr>
            <w:tcW w:w="972" w:type="pct"/>
            <w:vMerge w:val="continue"/>
            <w:tcBorders>
              <w:left w:val="single" w:color="auto" w:sz="4" w:space="0"/>
              <w:right w:val="single" w:color="auto" w:sz="4" w:space="0"/>
            </w:tcBorders>
            <w:shd w:val="clear" w:color="auto" w:fill="auto"/>
            <w:noWrap/>
            <w:vAlign w:val="center"/>
          </w:tcPr>
          <w:p>
            <w:pPr>
              <w:jc w:val="center"/>
              <w:rPr>
                <w:color w:val="000000"/>
                <w:szCs w:val="21"/>
              </w:rPr>
            </w:pP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0.0047</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0.0126</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0.030</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0.1196</w:t>
            </w:r>
          </w:p>
        </w:tc>
        <w:tc>
          <w:tcPr>
            <w:tcW w:w="62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0.3612</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0.8711</w:t>
            </w:r>
          </w:p>
        </w:tc>
      </w:tr>
      <w:tr>
        <w:tblPrEx>
          <w:tblCellMar>
            <w:top w:w="0" w:type="dxa"/>
            <w:left w:w="108" w:type="dxa"/>
            <w:bottom w:w="0" w:type="dxa"/>
            <w:right w:w="108" w:type="dxa"/>
          </w:tblCellMar>
        </w:tblPrEx>
        <w:trPr>
          <w:trHeight w:val="340" w:hRule="atLeast"/>
        </w:trPr>
        <w:tc>
          <w:tcPr>
            <w:tcW w:w="972" w:type="pct"/>
            <w:vMerge w:val="continue"/>
            <w:tcBorders>
              <w:left w:val="single" w:color="auto" w:sz="4" w:space="0"/>
              <w:right w:val="single" w:color="auto" w:sz="4" w:space="0"/>
            </w:tcBorders>
            <w:shd w:val="clear" w:color="auto" w:fill="auto"/>
            <w:noWrap/>
            <w:vAlign w:val="center"/>
          </w:tcPr>
          <w:p>
            <w:pPr>
              <w:jc w:val="center"/>
              <w:rPr>
                <w:color w:val="000000"/>
                <w:szCs w:val="21"/>
              </w:rPr>
            </w:pP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0.0035</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0.0134</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0.0326</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0.1306</w:t>
            </w:r>
          </w:p>
        </w:tc>
        <w:tc>
          <w:tcPr>
            <w:tcW w:w="62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0.3621</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0.8604</w:t>
            </w:r>
          </w:p>
        </w:tc>
      </w:tr>
      <w:tr>
        <w:tblPrEx>
          <w:tblCellMar>
            <w:top w:w="0" w:type="dxa"/>
            <w:left w:w="108" w:type="dxa"/>
            <w:bottom w:w="0" w:type="dxa"/>
            <w:right w:w="108" w:type="dxa"/>
          </w:tblCellMar>
        </w:tblPrEx>
        <w:trPr>
          <w:trHeight w:val="340" w:hRule="atLeast"/>
        </w:trPr>
        <w:tc>
          <w:tcPr>
            <w:tcW w:w="972" w:type="pct"/>
            <w:vMerge w:val="continue"/>
            <w:tcBorders>
              <w:left w:val="single" w:color="auto" w:sz="4" w:space="0"/>
              <w:right w:val="single" w:color="auto" w:sz="4" w:space="0"/>
            </w:tcBorders>
            <w:shd w:val="clear" w:color="auto" w:fill="auto"/>
            <w:noWrap/>
            <w:vAlign w:val="center"/>
          </w:tcPr>
          <w:p>
            <w:pPr>
              <w:jc w:val="center"/>
              <w:rPr>
                <w:color w:val="000000"/>
                <w:szCs w:val="21"/>
              </w:rPr>
            </w:pP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0.0038</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0.0125</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0.0335</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0.1233</w:t>
            </w:r>
          </w:p>
        </w:tc>
        <w:tc>
          <w:tcPr>
            <w:tcW w:w="62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0.3563</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0.8962</w:t>
            </w:r>
          </w:p>
        </w:tc>
      </w:tr>
      <w:tr>
        <w:tblPrEx>
          <w:tblCellMar>
            <w:top w:w="0" w:type="dxa"/>
            <w:left w:w="108" w:type="dxa"/>
            <w:bottom w:w="0" w:type="dxa"/>
            <w:right w:w="108" w:type="dxa"/>
          </w:tblCellMar>
        </w:tblPrEx>
        <w:trPr>
          <w:trHeight w:val="340" w:hRule="atLeast"/>
        </w:trPr>
        <w:tc>
          <w:tcPr>
            <w:tcW w:w="972" w:type="pct"/>
            <w:vMerge w:val="continue"/>
            <w:tcBorders>
              <w:left w:val="single" w:color="auto" w:sz="4" w:space="0"/>
              <w:right w:val="single" w:color="auto" w:sz="4" w:space="0"/>
            </w:tcBorders>
            <w:shd w:val="clear" w:color="auto" w:fill="auto"/>
            <w:noWrap/>
            <w:vAlign w:val="center"/>
          </w:tcPr>
          <w:p>
            <w:pPr>
              <w:jc w:val="center"/>
              <w:rPr>
                <w:color w:val="000000"/>
                <w:szCs w:val="21"/>
              </w:rPr>
            </w:pP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0.0039</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0.0125</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0.0314</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0.1257</w:t>
            </w:r>
          </w:p>
        </w:tc>
        <w:tc>
          <w:tcPr>
            <w:tcW w:w="62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0.3639</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0.885</w:t>
            </w:r>
          </w:p>
        </w:tc>
      </w:tr>
      <w:tr>
        <w:tblPrEx>
          <w:tblCellMar>
            <w:top w:w="0" w:type="dxa"/>
            <w:left w:w="108" w:type="dxa"/>
            <w:bottom w:w="0" w:type="dxa"/>
            <w:right w:w="108" w:type="dxa"/>
          </w:tblCellMar>
        </w:tblPrEx>
        <w:trPr>
          <w:trHeight w:val="340" w:hRule="atLeast"/>
        </w:trPr>
        <w:tc>
          <w:tcPr>
            <w:tcW w:w="972" w:type="pct"/>
            <w:vMerge w:val="continue"/>
            <w:tcBorders>
              <w:left w:val="single" w:color="auto" w:sz="4" w:space="0"/>
              <w:right w:val="single" w:color="auto" w:sz="4" w:space="0"/>
            </w:tcBorders>
            <w:shd w:val="clear" w:color="auto" w:fill="auto"/>
            <w:noWrap/>
            <w:vAlign w:val="center"/>
          </w:tcPr>
          <w:p>
            <w:pPr>
              <w:jc w:val="center"/>
              <w:rPr>
                <w:color w:val="000000"/>
                <w:szCs w:val="21"/>
              </w:rPr>
            </w:pP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0.0037</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0.0116</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0.0318</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0.1272</w:t>
            </w:r>
          </w:p>
        </w:tc>
        <w:tc>
          <w:tcPr>
            <w:tcW w:w="62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0.3635</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0.8864</w:t>
            </w:r>
          </w:p>
        </w:tc>
      </w:tr>
      <w:tr>
        <w:tblPrEx>
          <w:tblCellMar>
            <w:top w:w="0" w:type="dxa"/>
            <w:left w:w="108" w:type="dxa"/>
            <w:bottom w:w="0" w:type="dxa"/>
            <w:right w:w="108" w:type="dxa"/>
          </w:tblCellMar>
        </w:tblPrEx>
        <w:trPr>
          <w:trHeight w:val="340" w:hRule="atLeast"/>
        </w:trPr>
        <w:tc>
          <w:tcPr>
            <w:tcW w:w="972" w:type="pct"/>
            <w:vMerge w:val="continue"/>
            <w:tcBorders>
              <w:left w:val="single" w:color="auto" w:sz="4" w:space="0"/>
              <w:right w:val="single" w:color="auto" w:sz="4" w:space="0"/>
            </w:tcBorders>
            <w:shd w:val="clear" w:color="auto" w:fill="auto"/>
            <w:noWrap/>
            <w:vAlign w:val="center"/>
          </w:tcPr>
          <w:p>
            <w:pPr>
              <w:jc w:val="center"/>
              <w:rPr>
                <w:color w:val="000000"/>
                <w:szCs w:val="21"/>
              </w:rPr>
            </w:pP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0.0039</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0.0114</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0.0328</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0.1214</w:t>
            </w:r>
          </w:p>
        </w:tc>
        <w:tc>
          <w:tcPr>
            <w:tcW w:w="62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0.3587</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0.886</w:t>
            </w:r>
          </w:p>
        </w:tc>
      </w:tr>
      <w:tr>
        <w:tblPrEx>
          <w:tblCellMar>
            <w:top w:w="0" w:type="dxa"/>
            <w:left w:w="108" w:type="dxa"/>
            <w:bottom w:w="0" w:type="dxa"/>
            <w:right w:w="108" w:type="dxa"/>
          </w:tblCellMar>
        </w:tblPrEx>
        <w:trPr>
          <w:trHeight w:val="340" w:hRule="atLeast"/>
        </w:trPr>
        <w:tc>
          <w:tcPr>
            <w:tcW w:w="972" w:type="pct"/>
            <w:vMerge w:val="continue"/>
            <w:tcBorders>
              <w:left w:val="single" w:color="auto" w:sz="4" w:space="0"/>
              <w:right w:val="single" w:color="auto" w:sz="4" w:space="0"/>
            </w:tcBorders>
            <w:shd w:val="clear" w:color="auto" w:fill="auto"/>
            <w:noWrap/>
            <w:vAlign w:val="center"/>
          </w:tcPr>
          <w:p>
            <w:pPr>
              <w:jc w:val="center"/>
              <w:rPr>
                <w:color w:val="000000"/>
                <w:szCs w:val="21"/>
              </w:rPr>
            </w:pP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0.0043</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0.0106</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0.0325</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0.1265</w:t>
            </w:r>
          </w:p>
        </w:tc>
        <w:tc>
          <w:tcPr>
            <w:tcW w:w="62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0.365</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0.8701</w:t>
            </w:r>
          </w:p>
        </w:tc>
      </w:tr>
      <w:tr>
        <w:tblPrEx>
          <w:tblCellMar>
            <w:top w:w="0" w:type="dxa"/>
            <w:left w:w="108" w:type="dxa"/>
            <w:bottom w:w="0" w:type="dxa"/>
            <w:right w:w="108" w:type="dxa"/>
          </w:tblCellMar>
        </w:tblPrEx>
        <w:trPr>
          <w:trHeight w:val="340" w:hRule="atLeast"/>
        </w:trPr>
        <w:tc>
          <w:tcPr>
            <w:tcW w:w="972" w:type="pct"/>
            <w:vMerge w:val="continue"/>
            <w:tcBorders>
              <w:left w:val="single" w:color="auto" w:sz="4" w:space="0"/>
              <w:right w:val="single" w:color="auto" w:sz="4" w:space="0"/>
            </w:tcBorders>
            <w:shd w:val="clear" w:color="auto" w:fill="auto"/>
            <w:noWrap/>
            <w:vAlign w:val="center"/>
          </w:tcPr>
          <w:p>
            <w:pPr>
              <w:jc w:val="center"/>
              <w:rPr>
                <w:color w:val="000000"/>
                <w:szCs w:val="21"/>
              </w:rPr>
            </w:pPr>
          </w:p>
        </w:tc>
        <w:tc>
          <w:tcPr>
            <w:tcW w:w="651"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0.0048</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0.0132</w:t>
            </w:r>
          </w:p>
        </w:tc>
        <w:tc>
          <w:tcPr>
            <w:tcW w:w="749"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0.031</w:t>
            </w:r>
          </w:p>
        </w:tc>
        <w:tc>
          <w:tcPr>
            <w:tcW w:w="626"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0.1285</w:t>
            </w:r>
          </w:p>
        </w:tc>
        <w:tc>
          <w:tcPr>
            <w:tcW w:w="62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0.3667</w:t>
            </w:r>
          </w:p>
        </w:tc>
        <w:tc>
          <w:tcPr>
            <w:tcW w:w="62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0.8887</w:t>
            </w:r>
          </w:p>
        </w:tc>
      </w:tr>
    </w:tbl>
    <w:p>
      <w:pPr>
        <w:spacing w:line="300" w:lineRule="auto"/>
        <w:jc w:val="left"/>
        <w:rPr>
          <w:szCs w:val="21"/>
        </w:rPr>
      </w:pPr>
    </w:p>
    <w:p>
      <w:pPr>
        <w:spacing w:line="300" w:lineRule="auto"/>
        <w:jc w:val="center"/>
        <w:rPr>
          <w:b/>
          <w:bCs/>
          <w:szCs w:val="21"/>
        </w:rPr>
      </w:pPr>
      <w:r>
        <w:rPr>
          <w:szCs w:val="21"/>
        </w:rPr>
        <w:t>表A.</w:t>
      </w:r>
      <w:r>
        <w:rPr>
          <w:rFonts w:hint="eastAsia"/>
          <w:szCs w:val="21"/>
          <w:lang w:val="en-US" w:eastAsia="zh-CN"/>
        </w:rPr>
        <w:t>2</w:t>
      </w:r>
      <w:r>
        <w:rPr>
          <w:szCs w:val="21"/>
        </w:rPr>
        <w:t xml:space="preserve"> 各单元的标准差（%）</w:t>
      </w:r>
    </w:p>
    <w:tbl>
      <w:tblPr>
        <w:tblStyle w:val="88"/>
        <w:tblW w:w="5000" w:type="pct"/>
        <w:jc w:val="center"/>
        <w:tblLayout w:type="autofit"/>
        <w:tblCellMar>
          <w:top w:w="0" w:type="dxa"/>
          <w:left w:w="108" w:type="dxa"/>
          <w:bottom w:w="0" w:type="dxa"/>
          <w:right w:w="108" w:type="dxa"/>
        </w:tblCellMar>
      </w:tblPr>
      <w:tblGrid>
        <w:gridCol w:w="1707"/>
        <w:gridCol w:w="1290"/>
        <w:gridCol w:w="1402"/>
        <w:gridCol w:w="1576"/>
        <w:gridCol w:w="1761"/>
        <w:gridCol w:w="1087"/>
        <w:gridCol w:w="1145"/>
      </w:tblGrid>
      <w:tr>
        <w:tblPrEx>
          <w:tblCellMar>
            <w:top w:w="0" w:type="dxa"/>
            <w:left w:w="108" w:type="dxa"/>
            <w:bottom w:w="0" w:type="dxa"/>
            <w:right w:w="108" w:type="dxa"/>
          </w:tblCellMar>
        </w:tblPrEx>
        <w:trPr>
          <w:trHeight w:val="340" w:hRule="atLeast"/>
          <w:jc w:val="center"/>
        </w:trPr>
        <w:tc>
          <w:tcPr>
            <w:tcW w:w="85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eastAsiaTheme="minorEastAsia"/>
                <w:kern w:val="0"/>
                <w:szCs w:val="21"/>
              </w:rPr>
            </w:pPr>
            <w:r>
              <w:rPr>
                <w:rFonts w:eastAsiaTheme="minorEastAsia"/>
                <w:kern w:val="0"/>
                <w:szCs w:val="21"/>
              </w:rPr>
              <w:t>实验室</w:t>
            </w:r>
          </w:p>
        </w:tc>
        <w:tc>
          <w:tcPr>
            <w:tcW w:w="64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eastAsiaTheme="minorEastAsia"/>
                <w:kern w:val="0"/>
                <w:szCs w:val="21"/>
              </w:rPr>
              <w:t>水平1</w:t>
            </w:r>
          </w:p>
        </w:tc>
        <w:tc>
          <w:tcPr>
            <w:tcW w:w="703"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eastAsiaTheme="minorEastAsia"/>
                <w:kern w:val="0"/>
                <w:szCs w:val="21"/>
              </w:rPr>
              <w:t>水平2</w:t>
            </w:r>
          </w:p>
        </w:tc>
        <w:tc>
          <w:tcPr>
            <w:tcW w:w="79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kern w:val="0"/>
                <w:szCs w:val="21"/>
              </w:rPr>
            </w:pPr>
            <w:r>
              <w:rPr>
                <w:rFonts w:eastAsiaTheme="minorEastAsia"/>
                <w:kern w:val="0"/>
                <w:szCs w:val="21"/>
              </w:rPr>
              <w:t>水平3</w:t>
            </w:r>
          </w:p>
        </w:tc>
        <w:tc>
          <w:tcPr>
            <w:tcW w:w="883" w:type="pct"/>
            <w:tcBorders>
              <w:top w:val="single" w:color="auto" w:sz="4" w:space="0"/>
              <w:left w:val="nil"/>
              <w:bottom w:val="single" w:color="auto" w:sz="4" w:space="0"/>
              <w:right w:val="single" w:color="auto" w:sz="4" w:space="0"/>
            </w:tcBorders>
            <w:vAlign w:val="center"/>
          </w:tcPr>
          <w:p>
            <w:pPr>
              <w:widowControl/>
              <w:jc w:val="center"/>
              <w:rPr>
                <w:rFonts w:eastAsiaTheme="minorEastAsia"/>
                <w:kern w:val="0"/>
                <w:szCs w:val="21"/>
              </w:rPr>
            </w:pPr>
            <w:r>
              <w:rPr>
                <w:rFonts w:eastAsiaTheme="minorEastAsia"/>
                <w:kern w:val="0"/>
                <w:szCs w:val="21"/>
              </w:rPr>
              <w:t>水平4</w:t>
            </w:r>
          </w:p>
        </w:tc>
        <w:tc>
          <w:tcPr>
            <w:tcW w:w="545" w:type="pct"/>
            <w:tcBorders>
              <w:top w:val="single" w:color="auto" w:sz="4" w:space="0"/>
              <w:left w:val="nil"/>
              <w:bottom w:val="single" w:color="auto" w:sz="4" w:space="0"/>
              <w:right w:val="single" w:color="auto" w:sz="4" w:space="0"/>
            </w:tcBorders>
            <w:vAlign w:val="center"/>
          </w:tcPr>
          <w:p>
            <w:pPr>
              <w:widowControl/>
              <w:jc w:val="center"/>
              <w:rPr>
                <w:rFonts w:eastAsiaTheme="minorEastAsia"/>
                <w:kern w:val="0"/>
                <w:szCs w:val="21"/>
              </w:rPr>
            </w:pPr>
            <w:r>
              <w:rPr>
                <w:rFonts w:eastAsiaTheme="minorEastAsia"/>
                <w:kern w:val="0"/>
                <w:szCs w:val="21"/>
              </w:rPr>
              <w:t>水平5</w:t>
            </w:r>
          </w:p>
        </w:tc>
        <w:tc>
          <w:tcPr>
            <w:tcW w:w="574" w:type="pct"/>
            <w:tcBorders>
              <w:top w:val="single" w:color="auto" w:sz="4" w:space="0"/>
              <w:left w:val="nil"/>
              <w:bottom w:val="single" w:color="auto" w:sz="4" w:space="0"/>
              <w:right w:val="single" w:color="auto" w:sz="4" w:space="0"/>
            </w:tcBorders>
            <w:vAlign w:val="center"/>
          </w:tcPr>
          <w:p>
            <w:pPr>
              <w:widowControl/>
              <w:jc w:val="center"/>
              <w:rPr>
                <w:rFonts w:eastAsiaTheme="minorEastAsia"/>
                <w:kern w:val="0"/>
                <w:szCs w:val="21"/>
              </w:rPr>
            </w:pPr>
            <w:r>
              <w:rPr>
                <w:rFonts w:eastAsiaTheme="minorEastAsia"/>
                <w:kern w:val="0"/>
                <w:szCs w:val="21"/>
              </w:rPr>
              <w:t>水平6</w:t>
            </w:r>
          </w:p>
        </w:tc>
      </w:tr>
      <w:tr>
        <w:tblPrEx>
          <w:tblCellMar>
            <w:top w:w="0" w:type="dxa"/>
            <w:left w:w="108" w:type="dxa"/>
            <w:bottom w:w="0" w:type="dxa"/>
            <w:right w:w="108" w:type="dxa"/>
          </w:tblCellMar>
        </w:tblPrEx>
        <w:trPr>
          <w:trHeight w:val="340" w:hRule="atLeast"/>
          <w:jc w:val="center"/>
        </w:trPr>
        <w:tc>
          <w:tcPr>
            <w:tcW w:w="85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eastAsiaTheme="minorEastAsia"/>
                <w:kern w:val="0"/>
                <w:szCs w:val="21"/>
              </w:rPr>
            </w:pPr>
            <w:r>
              <w:rPr>
                <w:rFonts w:eastAsiaTheme="minorEastAsia"/>
                <w:kern w:val="0"/>
                <w:szCs w:val="21"/>
              </w:rPr>
              <w:t>国合通测1</w:t>
            </w:r>
          </w:p>
        </w:tc>
        <w:tc>
          <w:tcPr>
            <w:tcW w:w="647" w:type="pct"/>
            <w:tcBorders>
              <w:top w:val="nil"/>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 xml:space="preserve">0.00019 </w:t>
            </w:r>
          </w:p>
        </w:tc>
        <w:tc>
          <w:tcPr>
            <w:tcW w:w="703" w:type="pct"/>
            <w:tcBorders>
              <w:top w:val="nil"/>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 xml:space="preserve">0.00035 </w:t>
            </w:r>
          </w:p>
        </w:tc>
        <w:tc>
          <w:tcPr>
            <w:tcW w:w="790" w:type="pct"/>
            <w:tcBorders>
              <w:top w:val="nil"/>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 xml:space="preserve">0.00055 </w:t>
            </w:r>
          </w:p>
        </w:tc>
        <w:tc>
          <w:tcPr>
            <w:tcW w:w="883" w:type="pct"/>
            <w:tcBorders>
              <w:top w:val="nil"/>
              <w:left w:val="nil"/>
              <w:bottom w:val="single" w:color="auto" w:sz="4" w:space="0"/>
              <w:right w:val="single" w:color="auto" w:sz="4" w:space="0"/>
            </w:tcBorders>
            <w:vAlign w:val="center"/>
          </w:tcPr>
          <w:p>
            <w:pPr>
              <w:jc w:val="center"/>
              <w:rPr>
                <w:color w:val="000000"/>
                <w:szCs w:val="21"/>
              </w:rPr>
            </w:pPr>
            <w:r>
              <w:rPr>
                <w:color w:val="000000"/>
                <w:szCs w:val="21"/>
              </w:rPr>
              <w:t xml:space="preserve">0.0037 </w:t>
            </w:r>
          </w:p>
        </w:tc>
        <w:tc>
          <w:tcPr>
            <w:tcW w:w="545" w:type="pct"/>
            <w:tcBorders>
              <w:top w:val="nil"/>
              <w:left w:val="nil"/>
              <w:bottom w:val="single" w:color="auto" w:sz="4" w:space="0"/>
              <w:right w:val="single" w:color="auto" w:sz="4" w:space="0"/>
            </w:tcBorders>
            <w:vAlign w:val="center"/>
          </w:tcPr>
          <w:p>
            <w:pPr>
              <w:jc w:val="center"/>
              <w:rPr>
                <w:color w:val="000000"/>
                <w:szCs w:val="21"/>
              </w:rPr>
            </w:pPr>
            <w:r>
              <w:rPr>
                <w:color w:val="000000"/>
                <w:szCs w:val="21"/>
              </w:rPr>
              <w:t xml:space="preserve">0.0062 </w:t>
            </w:r>
          </w:p>
        </w:tc>
        <w:tc>
          <w:tcPr>
            <w:tcW w:w="574" w:type="pct"/>
            <w:tcBorders>
              <w:top w:val="nil"/>
              <w:left w:val="nil"/>
              <w:bottom w:val="single" w:color="auto" w:sz="4" w:space="0"/>
              <w:right w:val="single" w:color="auto" w:sz="4" w:space="0"/>
            </w:tcBorders>
            <w:vAlign w:val="center"/>
          </w:tcPr>
          <w:p>
            <w:pPr>
              <w:jc w:val="center"/>
              <w:rPr>
                <w:color w:val="000000"/>
                <w:szCs w:val="21"/>
              </w:rPr>
            </w:pPr>
            <w:r>
              <w:rPr>
                <w:color w:val="000000"/>
                <w:szCs w:val="21"/>
              </w:rPr>
              <w:t xml:space="preserve">0.010 </w:t>
            </w:r>
          </w:p>
        </w:tc>
      </w:tr>
      <w:tr>
        <w:tblPrEx>
          <w:tblCellMar>
            <w:top w:w="0" w:type="dxa"/>
            <w:left w:w="108" w:type="dxa"/>
            <w:bottom w:w="0" w:type="dxa"/>
            <w:right w:w="108" w:type="dxa"/>
          </w:tblCellMar>
        </w:tblPrEx>
        <w:trPr>
          <w:trHeight w:val="340" w:hRule="atLeast"/>
          <w:jc w:val="center"/>
        </w:trPr>
        <w:tc>
          <w:tcPr>
            <w:tcW w:w="85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eastAsiaTheme="minorEastAsia"/>
                <w:kern w:val="0"/>
                <w:szCs w:val="21"/>
              </w:rPr>
            </w:pPr>
            <w:r>
              <w:rPr>
                <w:rFonts w:eastAsiaTheme="minorEastAsia"/>
                <w:kern w:val="0"/>
                <w:szCs w:val="21"/>
              </w:rPr>
              <w:t>包头稀土2</w:t>
            </w:r>
          </w:p>
        </w:tc>
        <w:tc>
          <w:tcPr>
            <w:tcW w:w="647" w:type="pct"/>
            <w:tcBorders>
              <w:top w:val="nil"/>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0.00088</w:t>
            </w:r>
          </w:p>
        </w:tc>
        <w:tc>
          <w:tcPr>
            <w:tcW w:w="703" w:type="pct"/>
            <w:tcBorders>
              <w:top w:val="nil"/>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0.00062</w:t>
            </w:r>
          </w:p>
        </w:tc>
        <w:tc>
          <w:tcPr>
            <w:tcW w:w="790" w:type="pct"/>
            <w:tcBorders>
              <w:top w:val="nil"/>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0.00068</w:t>
            </w:r>
          </w:p>
        </w:tc>
        <w:tc>
          <w:tcPr>
            <w:tcW w:w="883" w:type="pct"/>
            <w:tcBorders>
              <w:top w:val="nil"/>
              <w:left w:val="nil"/>
              <w:bottom w:val="single" w:color="auto" w:sz="4" w:space="0"/>
              <w:right w:val="single" w:color="auto" w:sz="4" w:space="0"/>
            </w:tcBorders>
            <w:vAlign w:val="center"/>
          </w:tcPr>
          <w:p>
            <w:pPr>
              <w:jc w:val="center"/>
              <w:rPr>
                <w:color w:val="000000"/>
                <w:szCs w:val="21"/>
              </w:rPr>
            </w:pPr>
            <w:r>
              <w:rPr>
                <w:color w:val="000000"/>
                <w:szCs w:val="21"/>
              </w:rPr>
              <w:t>0.0014</w:t>
            </w:r>
          </w:p>
        </w:tc>
        <w:tc>
          <w:tcPr>
            <w:tcW w:w="545" w:type="pct"/>
            <w:tcBorders>
              <w:top w:val="nil"/>
              <w:left w:val="nil"/>
              <w:bottom w:val="single" w:color="auto" w:sz="4" w:space="0"/>
              <w:right w:val="single" w:color="auto" w:sz="4" w:space="0"/>
            </w:tcBorders>
            <w:vAlign w:val="center"/>
          </w:tcPr>
          <w:p>
            <w:pPr>
              <w:jc w:val="center"/>
              <w:rPr>
                <w:color w:val="000000"/>
                <w:szCs w:val="21"/>
              </w:rPr>
            </w:pPr>
            <w:r>
              <w:rPr>
                <w:color w:val="000000"/>
                <w:szCs w:val="21"/>
              </w:rPr>
              <w:t>0.0081</w:t>
            </w:r>
          </w:p>
        </w:tc>
        <w:tc>
          <w:tcPr>
            <w:tcW w:w="574" w:type="pct"/>
            <w:tcBorders>
              <w:top w:val="nil"/>
              <w:left w:val="nil"/>
              <w:bottom w:val="single" w:color="auto" w:sz="4" w:space="0"/>
              <w:right w:val="single" w:color="auto" w:sz="4" w:space="0"/>
            </w:tcBorders>
            <w:vAlign w:val="center"/>
          </w:tcPr>
          <w:p>
            <w:pPr>
              <w:jc w:val="center"/>
              <w:rPr>
                <w:color w:val="000000"/>
                <w:szCs w:val="21"/>
              </w:rPr>
            </w:pPr>
            <w:r>
              <w:rPr>
                <w:color w:val="000000"/>
                <w:szCs w:val="21"/>
              </w:rPr>
              <w:t>0.028</w:t>
            </w:r>
          </w:p>
        </w:tc>
      </w:tr>
      <w:tr>
        <w:tblPrEx>
          <w:tblCellMar>
            <w:top w:w="0" w:type="dxa"/>
            <w:left w:w="108" w:type="dxa"/>
            <w:bottom w:w="0" w:type="dxa"/>
            <w:right w:w="108" w:type="dxa"/>
          </w:tblCellMar>
        </w:tblPrEx>
        <w:trPr>
          <w:trHeight w:val="340" w:hRule="atLeast"/>
          <w:jc w:val="center"/>
        </w:trPr>
        <w:tc>
          <w:tcPr>
            <w:tcW w:w="85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eastAsiaTheme="minorEastAsia"/>
                <w:kern w:val="0"/>
                <w:szCs w:val="21"/>
              </w:rPr>
            </w:pPr>
            <w:r>
              <w:rPr>
                <w:rFonts w:eastAsiaTheme="minorEastAsia"/>
                <w:kern w:val="0"/>
                <w:szCs w:val="21"/>
              </w:rPr>
              <w:t>国标检验3</w:t>
            </w:r>
          </w:p>
        </w:tc>
        <w:tc>
          <w:tcPr>
            <w:tcW w:w="647" w:type="pct"/>
            <w:tcBorders>
              <w:top w:val="nil"/>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0.00022 </w:t>
            </w:r>
          </w:p>
        </w:tc>
        <w:tc>
          <w:tcPr>
            <w:tcW w:w="703" w:type="pct"/>
            <w:tcBorders>
              <w:top w:val="nil"/>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0.00056</w:t>
            </w:r>
          </w:p>
        </w:tc>
        <w:tc>
          <w:tcPr>
            <w:tcW w:w="790" w:type="pct"/>
            <w:tcBorders>
              <w:top w:val="nil"/>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0.00066</w:t>
            </w:r>
          </w:p>
        </w:tc>
        <w:tc>
          <w:tcPr>
            <w:tcW w:w="883" w:type="pct"/>
            <w:tcBorders>
              <w:top w:val="nil"/>
              <w:left w:val="nil"/>
              <w:bottom w:val="single" w:color="auto" w:sz="4" w:space="0"/>
              <w:right w:val="single" w:color="auto" w:sz="4" w:space="0"/>
            </w:tcBorders>
            <w:vAlign w:val="center"/>
          </w:tcPr>
          <w:p>
            <w:pPr>
              <w:jc w:val="center"/>
              <w:rPr>
                <w:color w:val="000000"/>
                <w:szCs w:val="21"/>
              </w:rPr>
            </w:pPr>
            <w:r>
              <w:rPr>
                <w:color w:val="000000"/>
                <w:szCs w:val="21"/>
              </w:rPr>
              <w:t>0.0092</w:t>
            </w:r>
          </w:p>
        </w:tc>
        <w:tc>
          <w:tcPr>
            <w:tcW w:w="545" w:type="pct"/>
            <w:tcBorders>
              <w:top w:val="nil"/>
              <w:left w:val="nil"/>
              <w:bottom w:val="single" w:color="auto" w:sz="4" w:space="0"/>
              <w:right w:val="single" w:color="auto" w:sz="4" w:space="0"/>
            </w:tcBorders>
            <w:vAlign w:val="center"/>
          </w:tcPr>
          <w:p>
            <w:pPr>
              <w:jc w:val="center"/>
              <w:rPr>
                <w:color w:val="000000"/>
                <w:szCs w:val="21"/>
              </w:rPr>
            </w:pPr>
            <w:r>
              <w:rPr>
                <w:color w:val="000000"/>
                <w:szCs w:val="21"/>
              </w:rPr>
              <w:t>0.0054</w:t>
            </w:r>
          </w:p>
        </w:tc>
        <w:tc>
          <w:tcPr>
            <w:tcW w:w="574" w:type="pct"/>
            <w:tcBorders>
              <w:top w:val="nil"/>
              <w:left w:val="nil"/>
              <w:bottom w:val="single" w:color="auto" w:sz="4" w:space="0"/>
              <w:right w:val="single" w:color="auto" w:sz="4" w:space="0"/>
            </w:tcBorders>
            <w:vAlign w:val="center"/>
          </w:tcPr>
          <w:p>
            <w:pPr>
              <w:jc w:val="center"/>
              <w:rPr>
                <w:color w:val="000000"/>
                <w:szCs w:val="21"/>
              </w:rPr>
            </w:pPr>
            <w:r>
              <w:rPr>
                <w:color w:val="000000"/>
                <w:szCs w:val="21"/>
              </w:rPr>
              <w:t>0.014</w:t>
            </w:r>
          </w:p>
        </w:tc>
      </w:tr>
      <w:tr>
        <w:tblPrEx>
          <w:tblCellMar>
            <w:top w:w="0" w:type="dxa"/>
            <w:left w:w="108" w:type="dxa"/>
            <w:bottom w:w="0" w:type="dxa"/>
            <w:right w:w="108" w:type="dxa"/>
          </w:tblCellMar>
        </w:tblPrEx>
        <w:trPr>
          <w:trHeight w:val="340" w:hRule="atLeast"/>
          <w:jc w:val="center"/>
        </w:trPr>
        <w:tc>
          <w:tcPr>
            <w:tcW w:w="85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eastAsiaTheme="minorEastAsia"/>
                <w:kern w:val="0"/>
                <w:szCs w:val="21"/>
              </w:rPr>
            </w:pPr>
            <w:r>
              <w:rPr>
                <w:rFonts w:eastAsiaTheme="minorEastAsia"/>
                <w:kern w:val="0"/>
                <w:szCs w:val="21"/>
              </w:rPr>
              <w:t>赣州有色4</w:t>
            </w:r>
          </w:p>
        </w:tc>
        <w:tc>
          <w:tcPr>
            <w:tcW w:w="647" w:type="pct"/>
            <w:tcBorders>
              <w:top w:val="nil"/>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 xml:space="preserve">0.00028 </w:t>
            </w:r>
          </w:p>
        </w:tc>
        <w:tc>
          <w:tcPr>
            <w:tcW w:w="703" w:type="pct"/>
            <w:tcBorders>
              <w:top w:val="nil"/>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 xml:space="preserve">0.00062 </w:t>
            </w:r>
          </w:p>
        </w:tc>
        <w:tc>
          <w:tcPr>
            <w:tcW w:w="790" w:type="pct"/>
            <w:tcBorders>
              <w:top w:val="nil"/>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 xml:space="preserve">0.00170 </w:t>
            </w:r>
          </w:p>
        </w:tc>
        <w:tc>
          <w:tcPr>
            <w:tcW w:w="883" w:type="pct"/>
            <w:tcBorders>
              <w:top w:val="nil"/>
              <w:left w:val="nil"/>
              <w:bottom w:val="single" w:color="auto" w:sz="4" w:space="0"/>
              <w:right w:val="single" w:color="auto" w:sz="4" w:space="0"/>
            </w:tcBorders>
            <w:vAlign w:val="center"/>
          </w:tcPr>
          <w:p>
            <w:pPr>
              <w:jc w:val="center"/>
              <w:rPr>
                <w:color w:val="000000"/>
                <w:szCs w:val="21"/>
              </w:rPr>
            </w:pPr>
            <w:r>
              <w:rPr>
                <w:color w:val="000000"/>
                <w:szCs w:val="21"/>
              </w:rPr>
              <w:t xml:space="preserve">0.0069 </w:t>
            </w:r>
          </w:p>
        </w:tc>
        <w:tc>
          <w:tcPr>
            <w:tcW w:w="545" w:type="pct"/>
            <w:tcBorders>
              <w:top w:val="nil"/>
              <w:left w:val="nil"/>
              <w:bottom w:val="single" w:color="auto" w:sz="4" w:space="0"/>
              <w:right w:val="single" w:color="auto" w:sz="4" w:space="0"/>
            </w:tcBorders>
            <w:vAlign w:val="center"/>
          </w:tcPr>
          <w:p>
            <w:pPr>
              <w:jc w:val="center"/>
              <w:rPr>
                <w:color w:val="000000"/>
                <w:szCs w:val="21"/>
              </w:rPr>
            </w:pPr>
            <w:r>
              <w:rPr>
                <w:color w:val="000000"/>
                <w:szCs w:val="21"/>
              </w:rPr>
              <w:t xml:space="preserve">0.0040 </w:t>
            </w:r>
          </w:p>
        </w:tc>
        <w:tc>
          <w:tcPr>
            <w:tcW w:w="574" w:type="pct"/>
            <w:tcBorders>
              <w:top w:val="nil"/>
              <w:left w:val="nil"/>
              <w:bottom w:val="single" w:color="auto" w:sz="4" w:space="0"/>
              <w:right w:val="single" w:color="auto" w:sz="4" w:space="0"/>
            </w:tcBorders>
            <w:vAlign w:val="center"/>
          </w:tcPr>
          <w:p>
            <w:pPr>
              <w:jc w:val="center"/>
              <w:rPr>
                <w:color w:val="000000"/>
                <w:szCs w:val="21"/>
              </w:rPr>
            </w:pPr>
            <w:r>
              <w:rPr>
                <w:color w:val="000000"/>
                <w:szCs w:val="21"/>
              </w:rPr>
              <w:t xml:space="preserve">0.0049 </w:t>
            </w:r>
          </w:p>
        </w:tc>
      </w:tr>
      <w:tr>
        <w:tblPrEx>
          <w:tblCellMar>
            <w:top w:w="0" w:type="dxa"/>
            <w:left w:w="108" w:type="dxa"/>
            <w:bottom w:w="0" w:type="dxa"/>
            <w:right w:w="108" w:type="dxa"/>
          </w:tblCellMar>
        </w:tblPrEx>
        <w:trPr>
          <w:trHeight w:val="340" w:hRule="atLeast"/>
          <w:jc w:val="center"/>
        </w:trPr>
        <w:tc>
          <w:tcPr>
            <w:tcW w:w="85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eastAsiaTheme="minorEastAsia"/>
                <w:kern w:val="0"/>
                <w:szCs w:val="21"/>
              </w:rPr>
            </w:pPr>
            <w:r>
              <w:rPr>
                <w:rFonts w:eastAsiaTheme="minorEastAsia"/>
                <w:kern w:val="0"/>
                <w:szCs w:val="21"/>
              </w:rPr>
              <w:t>乐山锐丰5</w:t>
            </w:r>
          </w:p>
        </w:tc>
        <w:tc>
          <w:tcPr>
            <w:tcW w:w="647" w:type="pct"/>
            <w:tcBorders>
              <w:top w:val="nil"/>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0.00025</w:t>
            </w:r>
          </w:p>
        </w:tc>
        <w:tc>
          <w:tcPr>
            <w:tcW w:w="703" w:type="pct"/>
            <w:tcBorders>
              <w:top w:val="nil"/>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0.00095</w:t>
            </w:r>
          </w:p>
        </w:tc>
        <w:tc>
          <w:tcPr>
            <w:tcW w:w="790" w:type="pct"/>
            <w:tcBorders>
              <w:top w:val="nil"/>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0.00082</w:t>
            </w:r>
          </w:p>
        </w:tc>
        <w:tc>
          <w:tcPr>
            <w:tcW w:w="883" w:type="pct"/>
            <w:tcBorders>
              <w:top w:val="nil"/>
              <w:left w:val="nil"/>
              <w:bottom w:val="single" w:color="auto" w:sz="4" w:space="0"/>
              <w:right w:val="single" w:color="auto" w:sz="4" w:space="0"/>
            </w:tcBorders>
            <w:vAlign w:val="center"/>
          </w:tcPr>
          <w:p>
            <w:pPr>
              <w:jc w:val="center"/>
              <w:rPr>
                <w:color w:val="000000"/>
                <w:szCs w:val="21"/>
              </w:rPr>
            </w:pPr>
            <w:r>
              <w:rPr>
                <w:color w:val="000000"/>
                <w:szCs w:val="21"/>
              </w:rPr>
              <w:t>0.0011</w:t>
            </w:r>
          </w:p>
        </w:tc>
        <w:tc>
          <w:tcPr>
            <w:tcW w:w="545" w:type="pct"/>
            <w:tcBorders>
              <w:top w:val="nil"/>
              <w:left w:val="nil"/>
              <w:bottom w:val="single" w:color="auto" w:sz="4" w:space="0"/>
              <w:right w:val="single" w:color="auto" w:sz="4" w:space="0"/>
            </w:tcBorders>
            <w:vAlign w:val="center"/>
          </w:tcPr>
          <w:p>
            <w:pPr>
              <w:jc w:val="center"/>
              <w:rPr>
                <w:color w:val="000000"/>
                <w:szCs w:val="21"/>
              </w:rPr>
            </w:pPr>
            <w:r>
              <w:rPr>
                <w:color w:val="000000"/>
                <w:szCs w:val="21"/>
              </w:rPr>
              <w:t>0.0041</w:t>
            </w:r>
          </w:p>
        </w:tc>
        <w:tc>
          <w:tcPr>
            <w:tcW w:w="574" w:type="pct"/>
            <w:tcBorders>
              <w:top w:val="nil"/>
              <w:left w:val="nil"/>
              <w:bottom w:val="single" w:color="auto" w:sz="4" w:space="0"/>
              <w:right w:val="single" w:color="auto" w:sz="4" w:space="0"/>
            </w:tcBorders>
            <w:vAlign w:val="center"/>
          </w:tcPr>
          <w:p>
            <w:pPr>
              <w:jc w:val="center"/>
              <w:rPr>
                <w:color w:val="000000"/>
                <w:szCs w:val="21"/>
              </w:rPr>
            </w:pPr>
            <w:r>
              <w:rPr>
                <w:color w:val="000000"/>
                <w:szCs w:val="21"/>
              </w:rPr>
              <w:t>0.013</w:t>
            </w:r>
          </w:p>
        </w:tc>
      </w:tr>
      <w:tr>
        <w:tblPrEx>
          <w:tblCellMar>
            <w:top w:w="0" w:type="dxa"/>
            <w:left w:w="108" w:type="dxa"/>
            <w:bottom w:w="0" w:type="dxa"/>
            <w:right w:w="108" w:type="dxa"/>
          </w:tblCellMar>
        </w:tblPrEx>
        <w:trPr>
          <w:trHeight w:val="340" w:hRule="atLeast"/>
          <w:jc w:val="center"/>
        </w:trPr>
        <w:tc>
          <w:tcPr>
            <w:tcW w:w="85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eastAsiaTheme="minorEastAsia"/>
                <w:kern w:val="0"/>
                <w:szCs w:val="21"/>
              </w:rPr>
            </w:pPr>
            <w:r>
              <w:rPr>
                <w:rFonts w:eastAsiaTheme="minorEastAsia"/>
                <w:kern w:val="0"/>
                <w:szCs w:val="21"/>
              </w:rPr>
              <w:t>南方稀土6</w:t>
            </w:r>
          </w:p>
        </w:tc>
        <w:tc>
          <w:tcPr>
            <w:tcW w:w="647" w:type="pct"/>
            <w:tcBorders>
              <w:top w:val="nil"/>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 xml:space="preserve">0.00016 </w:t>
            </w:r>
          </w:p>
        </w:tc>
        <w:tc>
          <w:tcPr>
            <w:tcW w:w="703" w:type="pct"/>
            <w:tcBorders>
              <w:top w:val="nil"/>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 xml:space="preserve">0.00041 </w:t>
            </w:r>
          </w:p>
        </w:tc>
        <w:tc>
          <w:tcPr>
            <w:tcW w:w="790" w:type="pct"/>
            <w:tcBorders>
              <w:top w:val="nil"/>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 xml:space="preserve">0.00056 </w:t>
            </w:r>
          </w:p>
        </w:tc>
        <w:tc>
          <w:tcPr>
            <w:tcW w:w="883" w:type="pct"/>
            <w:tcBorders>
              <w:top w:val="nil"/>
              <w:left w:val="nil"/>
              <w:bottom w:val="single" w:color="auto" w:sz="4" w:space="0"/>
              <w:right w:val="single" w:color="auto" w:sz="4" w:space="0"/>
            </w:tcBorders>
            <w:vAlign w:val="center"/>
          </w:tcPr>
          <w:p>
            <w:pPr>
              <w:jc w:val="center"/>
              <w:rPr>
                <w:color w:val="000000"/>
                <w:szCs w:val="21"/>
              </w:rPr>
            </w:pPr>
            <w:r>
              <w:rPr>
                <w:color w:val="000000"/>
                <w:szCs w:val="21"/>
              </w:rPr>
              <w:t xml:space="preserve">0.0026 </w:t>
            </w:r>
          </w:p>
        </w:tc>
        <w:tc>
          <w:tcPr>
            <w:tcW w:w="545" w:type="pct"/>
            <w:tcBorders>
              <w:top w:val="nil"/>
              <w:left w:val="nil"/>
              <w:bottom w:val="single" w:color="auto" w:sz="4" w:space="0"/>
              <w:right w:val="single" w:color="auto" w:sz="4" w:space="0"/>
            </w:tcBorders>
            <w:vAlign w:val="center"/>
          </w:tcPr>
          <w:p>
            <w:pPr>
              <w:jc w:val="center"/>
              <w:rPr>
                <w:color w:val="000000"/>
                <w:szCs w:val="21"/>
              </w:rPr>
            </w:pPr>
            <w:r>
              <w:rPr>
                <w:color w:val="000000"/>
                <w:szCs w:val="21"/>
              </w:rPr>
              <w:t xml:space="preserve">0.0046 </w:t>
            </w:r>
          </w:p>
        </w:tc>
        <w:tc>
          <w:tcPr>
            <w:tcW w:w="574" w:type="pct"/>
            <w:tcBorders>
              <w:top w:val="nil"/>
              <w:left w:val="nil"/>
              <w:bottom w:val="single" w:color="auto" w:sz="4" w:space="0"/>
              <w:right w:val="single" w:color="auto" w:sz="4" w:space="0"/>
            </w:tcBorders>
            <w:vAlign w:val="center"/>
          </w:tcPr>
          <w:p>
            <w:pPr>
              <w:jc w:val="center"/>
              <w:rPr>
                <w:color w:val="000000"/>
                <w:szCs w:val="21"/>
              </w:rPr>
            </w:pPr>
            <w:r>
              <w:rPr>
                <w:color w:val="000000"/>
                <w:szCs w:val="21"/>
              </w:rPr>
              <w:t xml:space="preserve">0.0047 </w:t>
            </w:r>
          </w:p>
        </w:tc>
      </w:tr>
      <w:tr>
        <w:tblPrEx>
          <w:tblCellMar>
            <w:top w:w="0" w:type="dxa"/>
            <w:left w:w="108" w:type="dxa"/>
            <w:bottom w:w="0" w:type="dxa"/>
            <w:right w:w="108" w:type="dxa"/>
          </w:tblCellMar>
        </w:tblPrEx>
        <w:trPr>
          <w:trHeight w:val="340" w:hRule="atLeast"/>
          <w:jc w:val="center"/>
        </w:trPr>
        <w:tc>
          <w:tcPr>
            <w:tcW w:w="856" w:type="pct"/>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eastAsiaTheme="minorEastAsia"/>
                <w:kern w:val="0"/>
                <w:szCs w:val="21"/>
              </w:rPr>
            </w:pPr>
            <w:r>
              <w:rPr>
                <w:rFonts w:eastAsiaTheme="minorEastAsia"/>
                <w:kern w:val="0"/>
                <w:szCs w:val="21"/>
              </w:rPr>
              <w:t>有研稀土7</w:t>
            </w:r>
          </w:p>
        </w:tc>
        <w:tc>
          <w:tcPr>
            <w:tcW w:w="647" w:type="pct"/>
            <w:tcBorders>
              <w:top w:val="nil"/>
              <w:left w:val="nil"/>
              <w:bottom w:val="single" w:color="auto" w:sz="4" w:space="0"/>
              <w:right w:val="single" w:color="auto" w:sz="4" w:space="0"/>
            </w:tcBorders>
            <w:shd w:val="clear" w:color="auto" w:fill="auto"/>
            <w:noWrap/>
            <w:vAlign w:val="center"/>
          </w:tcPr>
          <w:p>
            <w:pPr>
              <w:jc w:val="center"/>
              <w:rPr>
                <w:szCs w:val="21"/>
              </w:rPr>
            </w:pPr>
            <w:r>
              <w:rPr>
                <w:szCs w:val="21"/>
              </w:rPr>
              <w:t xml:space="preserve">0.00043 </w:t>
            </w:r>
          </w:p>
        </w:tc>
        <w:tc>
          <w:tcPr>
            <w:tcW w:w="703" w:type="pct"/>
            <w:tcBorders>
              <w:top w:val="nil"/>
              <w:left w:val="nil"/>
              <w:bottom w:val="single" w:color="auto" w:sz="4" w:space="0"/>
              <w:right w:val="single" w:color="auto" w:sz="4" w:space="0"/>
            </w:tcBorders>
            <w:shd w:val="clear" w:color="auto" w:fill="auto"/>
            <w:noWrap/>
            <w:vAlign w:val="center"/>
          </w:tcPr>
          <w:p>
            <w:pPr>
              <w:jc w:val="center"/>
              <w:rPr>
                <w:szCs w:val="21"/>
              </w:rPr>
            </w:pPr>
            <w:r>
              <w:rPr>
                <w:szCs w:val="21"/>
              </w:rPr>
              <w:t xml:space="preserve">0.00094 </w:t>
            </w:r>
          </w:p>
        </w:tc>
        <w:tc>
          <w:tcPr>
            <w:tcW w:w="790" w:type="pct"/>
            <w:tcBorders>
              <w:top w:val="nil"/>
              <w:left w:val="nil"/>
              <w:bottom w:val="single" w:color="auto" w:sz="4" w:space="0"/>
              <w:right w:val="single" w:color="auto" w:sz="4" w:space="0"/>
            </w:tcBorders>
            <w:shd w:val="clear" w:color="auto" w:fill="auto"/>
            <w:noWrap/>
            <w:vAlign w:val="center"/>
          </w:tcPr>
          <w:p>
            <w:pPr>
              <w:jc w:val="center"/>
              <w:rPr>
                <w:szCs w:val="21"/>
              </w:rPr>
            </w:pPr>
            <w:r>
              <w:rPr>
                <w:szCs w:val="21"/>
              </w:rPr>
              <w:t xml:space="preserve">0.00130 </w:t>
            </w:r>
          </w:p>
        </w:tc>
        <w:tc>
          <w:tcPr>
            <w:tcW w:w="883" w:type="pct"/>
            <w:tcBorders>
              <w:top w:val="nil"/>
              <w:left w:val="nil"/>
              <w:bottom w:val="single" w:color="auto" w:sz="4" w:space="0"/>
              <w:right w:val="single" w:color="auto" w:sz="4" w:space="0"/>
            </w:tcBorders>
            <w:vAlign w:val="center"/>
          </w:tcPr>
          <w:p>
            <w:pPr>
              <w:jc w:val="center"/>
              <w:rPr>
                <w:szCs w:val="21"/>
              </w:rPr>
            </w:pPr>
            <w:r>
              <w:rPr>
                <w:szCs w:val="21"/>
              </w:rPr>
              <w:t xml:space="preserve">0.0033 </w:t>
            </w:r>
          </w:p>
        </w:tc>
        <w:tc>
          <w:tcPr>
            <w:tcW w:w="545" w:type="pct"/>
            <w:tcBorders>
              <w:top w:val="nil"/>
              <w:left w:val="nil"/>
              <w:bottom w:val="single" w:color="auto" w:sz="4" w:space="0"/>
              <w:right w:val="single" w:color="auto" w:sz="4" w:space="0"/>
            </w:tcBorders>
            <w:vAlign w:val="center"/>
          </w:tcPr>
          <w:p>
            <w:pPr>
              <w:jc w:val="center"/>
              <w:rPr>
                <w:szCs w:val="21"/>
              </w:rPr>
            </w:pPr>
            <w:r>
              <w:rPr>
                <w:szCs w:val="21"/>
              </w:rPr>
              <w:t xml:space="preserve">0.0047 </w:t>
            </w:r>
          </w:p>
        </w:tc>
        <w:tc>
          <w:tcPr>
            <w:tcW w:w="574" w:type="pct"/>
            <w:tcBorders>
              <w:top w:val="nil"/>
              <w:left w:val="nil"/>
              <w:bottom w:val="single" w:color="auto" w:sz="4" w:space="0"/>
              <w:right w:val="single" w:color="auto" w:sz="4" w:space="0"/>
            </w:tcBorders>
            <w:vAlign w:val="center"/>
          </w:tcPr>
          <w:p>
            <w:pPr>
              <w:jc w:val="center"/>
              <w:rPr>
                <w:szCs w:val="21"/>
              </w:rPr>
            </w:pPr>
            <w:r>
              <w:rPr>
                <w:szCs w:val="21"/>
              </w:rPr>
              <w:t xml:space="preserve">0.012 </w:t>
            </w:r>
          </w:p>
        </w:tc>
      </w:tr>
    </w:tbl>
    <w:p>
      <w:pPr>
        <w:spacing w:line="300" w:lineRule="auto"/>
        <w:rPr>
          <w:rFonts w:eastAsia="黑体"/>
          <w:szCs w:val="21"/>
        </w:rPr>
      </w:pPr>
      <w:r>
        <w:rPr>
          <w:rFonts w:eastAsia="黑体"/>
          <w:szCs w:val="21"/>
        </w:rPr>
        <w:t>2  一致性和离群值的检查</w:t>
      </w:r>
    </w:p>
    <w:p>
      <w:pPr>
        <w:spacing w:line="300" w:lineRule="auto"/>
        <w:rPr>
          <w:rFonts w:eastAsia="黑体"/>
          <w:szCs w:val="21"/>
        </w:rPr>
      </w:pPr>
      <w:r>
        <w:rPr>
          <w:rFonts w:eastAsia="黑体"/>
          <w:szCs w:val="21"/>
        </w:rPr>
        <w:t>2.1  柯克伦检验</w:t>
      </w:r>
    </w:p>
    <w:p>
      <w:pPr>
        <w:spacing w:line="300" w:lineRule="auto"/>
        <w:ind w:firstLine="420" w:firstLineChars="200"/>
        <w:rPr>
          <w:szCs w:val="21"/>
        </w:rPr>
      </w:pPr>
      <w:r>
        <w:rPr>
          <w:szCs w:val="21"/>
        </w:rPr>
        <w:t>按柯克伦检验统计量计算结果如表A.4。</w:t>
      </w:r>
    </w:p>
    <w:p>
      <w:pPr>
        <w:spacing w:line="300" w:lineRule="auto"/>
        <w:jc w:val="center"/>
        <w:rPr>
          <w:szCs w:val="21"/>
        </w:rPr>
      </w:pPr>
      <w:r>
        <w:rPr>
          <w:szCs w:val="21"/>
        </w:rPr>
        <w:t>表A.</w:t>
      </w:r>
      <w:r>
        <w:rPr>
          <w:rFonts w:hint="eastAsia"/>
          <w:szCs w:val="21"/>
          <w:lang w:val="en-US" w:eastAsia="zh-CN"/>
        </w:rPr>
        <w:t>3</w:t>
      </w:r>
      <w:r>
        <w:rPr>
          <w:szCs w:val="21"/>
        </w:rPr>
        <w:t xml:space="preserve"> 柯克伦检验</w:t>
      </w:r>
    </w:p>
    <w:tbl>
      <w:tblPr>
        <w:tblStyle w:val="8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0"/>
        <w:gridCol w:w="1612"/>
        <w:gridCol w:w="1320"/>
        <w:gridCol w:w="1467"/>
        <w:gridCol w:w="1611"/>
        <w:gridCol w:w="1168"/>
        <w:gridCol w:w="1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2" w:type="pct"/>
            <w:vAlign w:val="center"/>
          </w:tcPr>
          <w:p>
            <w:pPr>
              <w:spacing w:line="300" w:lineRule="auto"/>
              <w:jc w:val="center"/>
              <w:rPr>
                <w:szCs w:val="21"/>
              </w:rPr>
            </w:pPr>
            <w:r>
              <w:rPr>
                <w:szCs w:val="21"/>
              </w:rPr>
              <w:t>实验室i</w:t>
            </w:r>
          </w:p>
        </w:tc>
        <w:tc>
          <w:tcPr>
            <w:tcW w:w="808" w:type="pct"/>
            <w:vAlign w:val="center"/>
          </w:tcPr>
          <w:p>
            <w:pPr>
              <w:widowControl/>
              <w:jc w:val="center"/>
              <w:rPr>
                <w:rFonts w:eastAsiaTheme="minorEastAsia"/>
                <w:kern w:val="0"/>
                <w:szCs w:val="21"/>
              </w:rPr>
            </w:pPr>
            <w:r>
              <w:rPr>
                <w:rFonts w:eastAsiaTheme="minorEastAsia"/>
                <w:kern w:val="0"/>
                <w:szCs w:val="21"/>
              </w:rPr>
              <w:t>水平1</w:t>
            </w:r>
          </w:p>
        </w:tc>
        <w:tc>
          <w:tcPr>
            <w:tcW w:w="662" w:type="pct"/>
            <w:vAlign w:val="center"/>
          </w:tcPr>
          <w:p>
            <w:pPr>
              <w:widowControl/>
              <w:jc w:val="center"/>
              <w:rPr>
                <w:rFonts w:eastAsiaTheme="minorEastAsia"/>
                <w:kern w:val="0"/>
                <w:szCs w:val="21"/>
              </w:rPr>
            </w:pPr>
            <w:r>
              <w:rPr>
                <w:rFonts w:eastAsiaTheme="minorEastAsia"/>
                <w:kern w:val="0"/>
                <w:szCs w:val="21"/>
              </w:rPr>
              <w:t>水平2</w:t>
            </w:r>
          </w:p>
        </w:tc>
        <w:tc>
          <w:tcPr>
            <w:tcW w:w="736" w:type="pct"/>
            <w:vAlign w:val="center"/>
          </w:tcPr>
          <w:p>
            <w:pPr>
              <w:widowControl/>
              <w:jc w:val="center"/>
              <w:rPr>
                <w:rFonts w:eastAsiaTheme="minorEastAsia"/>
                <w:kern w:val="0"/>
                <w:szCs w:val="21"/>
              </w:rPr>
            </w:pPr>
            <w:r>
              <w:rPr>
                <w:rFonts w:eastAsiaTheme="minorEastAsia"/>
                <w:kern w:val="0"/>
                <w:szCs w:val="21"/>
              </w:rPr>
              <w:t>水平3</w:t>
            </w:r>
          </w:p>
        </w:tc>
        <w:tc>
          <w:tcPr>
            <w:tcW w:w="808" w:type="pct"/>
            <w:vAlign w:val="center"/>
          </w:tcPr>
          <w:p>
            <w:pPr>
              <w:widowControl/>
              <w:jc w:val="center"/>
              <w:rPr>
                <w:rFonts w:eastAsiaTheme="minorEastAsia"/>
                <w:kern w:val="0"/>
                <w:szCs w:val="21"/>
              </w:rPr>
            </w:pPr>
            <w:r>
              <w:rPr>
                <w:rFonts w:eastAsiaTheme="minorEastAsia"/>
                <w:kern w:val="0"/>
                <w:szCs w:val="21"/>
              </w:rPr>
              <w:t>水平4</w:t>
            </w:r>
          </w:p>
        </w:tc>
        <w:tc>
          <w:tcPr>
            <w:tcW w:w="586" w:type="pct"/>
            <w:vAlign w:val="center"/>
          </w:tcPr>
          <w:p>
            <w:pPr>
              <w:widowControl/>
              <w:jc w:val="center"/>
              <w:rPr>
                <w:rFonts w:eastAsiaTheme="minorEastAsia"/>
                <w:kern w:val="0"/>
                <w:szCs w:val="21"/>
              </w:rPr>
            </w:pPr>
            <w:r>
              <w:rPr>
                <w:rFonts w:eastAsiaTheme="minorEastAsia"/>
                <w:kern w:val="0"/>
                <w:szCs w:val="21"/>
              </w:rPr>
              <w:t>水平5</w:t>
            </w:r>
          </w:p>
        </w:tc>
        <w:tc>
          <w:tcPr>
            <w:tcW w:w="606" w:type="pct"/>
            <w:vAlign w:val="center"/>
          </w:tcPr>
          <w:p>
            <w:pPr>
              <w:widowControl/>
              <w:jc w:val="center"/>
              <w:rPr>
                <w:rFonts w:eastAsiaTheme="minorEastAsia"/>
                <w:kern w:val="0"/>
                <w:szCs w:val="21"/>
              </w:rPr>
            </w:pPr>
            <w:r>
              <w:rPr>
                <w:rFonts w:eastAsiaTheme="minorEastAsia"/>
                <w:kern w:val="0"/>
                <w:szCs w:val="21"/>
              </w:rPr>
              <w:t>水平6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2" w:type="pct"/>
            <w:vAlign w:val="center"/>
          </w:tcPr>
          <w:p>
            <w:pPr>
              <w:spacing w:line="300" w:lineRule="auto"/>
              <w:jc w:val="center"/>
              <w:rPr>
                <w:szCs w:val="21"/>
              </w:rPr>
            </w:pPr>
            <w:r>
              <w:rPr>
                <w:szCs w:val="21"/>
              </w:rPr>
              <w:t>Smax实验室</w:t>
            </w:r>
          </w:p>
        </w:tc>
        <w:tc>
          <w:tcPr>
            <w:tcW w:w="808" w:type="pct"/>
            <w:vAlign w:val="center"/>
          </w:tcPr>
          <w:p>
            <w:pPr>
              <w:spacing w:line="300" w:lineRule="auto"/>
              <w:jc w:val="center"/>
              <w:rPr>
                <w:szCs w:val="21"/>
              </w:rPr>
            </w:pPr>
            <w:r>
              <w:rPr>
                <w:szCs w:val="21"/>
              </w:rPr>
              <w:t>2</w:t>
            </w:r>
          </w:p>
        </w:tc>
        <w:tc>
          <w:tcPr>
            <w:tcW w:w="662" w:type="pct"/>
            <w:vAlign w:val="center"/>
          </w:tcPr>
          <w:p>
            <w:pPr>
              <w:spacing w:line="300" w:lineRule="auto"/>
              <w:jc w:val="center"/>
              <w:rPr>
                <w:szCs w:val="21"/>
              </w:rPr>
            </w:pPr>
            <w:r>
              <w:rPr>
                <w:szCs w:val="21"/>
              </w:rPr>
              <w:t>5</w:t>
            </w:r>
          </w:p>
        </w:tc>
        <w:tc>
          <w:tcPr>
            <w:tcW w:w="736" w:type="pct"/>
            <w:vAlign w:val="center"/>
          </w:tcPr>
          <w:p>
            <w:pPr>
              <w:widowControl/>
              <w:jc w:val="center"/>
              <w:rPr>
                <w:rFonts w:eastAsiaTheme="minorEastAsia"/>
                <w:kern w:val="0"/>
                <w:szCs w:val="21"/>
              </w:rPr>
            </w:pPr>
            <w:r>
              <w:rPr>
                <w:rFonts w:eastAsiaTheme="minorEastAsia"/>
                <w:kern w:val="0"/>
                <w:szCs w:val="21"/>
              </w:rPr>
              <w:t>4</w:t>
            </w:r>
          </w:p>
        </w:tc>
        <w:tc>
          <w:tcPr>
            <w:tcW w:w="808" w:type="pct"/>
            <w:vAlign w:val="center"/>
          </w:tcPr>
          <w:p>
            <w:pPr>
              <w:widowControl/>
              <w:jc w:val="center"/>
              <w:rPr>
                <w:rFonts w:eastAsiaTheme="minorEastAsia"/>
                <w:kern w:val="0"/>
                <w:szCs w:val="21"/>
              </w:rPr>
            </w:pPr>
            <w:r>
              <w:rPr>
                <w:rFonts w:eastAsiaTheme="minorEastAsia"/>
                <w:kern w:val="0"/>
                <w:szCs w:val="21"/>
              </w:rPr>
              <w:t>3</w:t>
            </w:r>
          </w:p>
        </w:tc>
        <w:tc>
          <w:tcPr>
            <w:tcW w:w="586" w:type="pct"/>
            <w:vAlign w:val="center"/>
          </w:tcPr>
          <w:p>
            <w:pPr>
              <w:spacing w:line="300" w:lineRule="auto"/>
              <w:jc w:val="center"/>
              <w:rPr>
                <w:szCs w:val="21"/>
              </w:rPr>
            </w:pPr>
            <w:r>
              <w:rPr>
                <w:szCs w:val="21"/>
              </w:rPr>
              <w:t>2</w:t>
            </w:r>
          </w:p>
        </w:tc>
        <w:tc>
          <w:tcPr>
            <w:tcW w:w="606" w:type="pct"/>
            <w:vAlign w:val="center"/>
          </w:tcPr>
          <w:p>
            <w:pPr>
              <w:widowControl/>
              <w:jc w:val="center"/>
              <w:rPr>
                <w:rFonts w:eastAsiaTheme="minorEastAsia"/>
                <w:kern w:val="0"/>
                <w:szCs w:val="21"/>
              </w:rPr>
            </w:pPr>
            <w:r>
              <w:rPr>
                <w:rFonts w:eastAsiaTheme="minorEastAsia"/>
                <w:kern w:val="0"/>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2" w:type="pct"/>
            <w:vAlign w:val="center"/>
          </w:tcPr>
          <w:p>
            <w:pPr>
              <w:spacing w:line="300" w:lineRule="auto"/>
              <w:jc w:val="center"/>
              <w:rPr>
                <w:szCs w:val="21"/>
              </w:rPr>
            </w:pPr>
            <w:r>
              <w:rPr>
                <w:szCs w:val="21"/>
              </w:rPr>
              <w:t>Smax值</w:t>
            </w:r>
          </w:p>
        </w:tc>
        <w:tc>
          <w:tcPr>
            <w:tcW w:w="808" w:type="pct"/>
            <w:vAlign w:val="center"/>
          </w:tcPr>
          <w:p>
            <w:pPr>
              <w:spacing w:line="300" w:lineRule="auto"/>
              <w:jc w:val="center"/>
              <w:rPr>
                <w:szCs w:val="21"/>
              </w:rPr>
            </w:pPr>
            <w:r>
              <w:rPr>
                <w:szCs w:val="21"/>
              </w:rPr>
              <w:t>0.00088</w:t>
            </w:r>
          </w:p>
        </w:tc>
        <w:tc>
          <w:tcPr>
            <w:tcW w:w="662" w:type="pct"/>
            <w:vAlign w:val="center"/>
          </w:tcPr>
          <w:p>
            <w:pPr>
              <w:spacing w:line="300" w:lineRule="auto"/>
              <w:jc w:val="center"/>
              <w:rPr>
                <w:szCs w:val="21"/>
              </w:rPr>
            </w:pPr>
            <w:r>
              <w:rPr>
                <w:szCs w:val="21"/>
              </w:rPr>
              <w:t>0.00095</w:t>
            </w:r>
          </w:p>
        </w:tc>
        <w:tc>
          <w:tcPr>
            <w:tcW w:w="736" w:type="pct"/>
            <w:vAlign w:val="center"/>
          </w:tcPr>
          <w:p>
            <w:pPr>
              <w:spacing w:line="300" w:lineRule="auto"/>
              <w:jc w:val="center"/>
              <w:rPr>
                <w:szCs w:val="21"/>
              </w:rPr>
            </w:pPr>
            <w:r>
              <w:rPr>
                <w:szCs w:val="21"/>
              </w:rPr>
              <w:t>0.00170</w:t>
            </w:r>
          </w:p>
        </w:tc>
        <w:tc>
          <w:tcPr>
            <w:tcW w:w="808" w:type="pct"/>
            <w:vAlign w:val="center"/>
          </w:tcPr>
          <w:p>
            <w:pPr>
              <w:spacing w:line="300" w:lineRule="auto"/>
              <w:jc w:val="center"/>
              <w:rPr>
                <w:szCs w:val="21"/>
              </w:rPr>
            </w:pPr>
            <w:r>
              <w:rPr>
                <w:szCs w:val="21"/>
              </w:rPr>
              <w:t>0.0092</w:t>
            </w:r>
          </w:p>
        </w:tc>
        <w:tc>
          <w:tcPr>
            <w:tcW w:w="586" w:type="pct"/>
            <w:vAlign w:val="center"/>
          </w:tcPr>
          <w:p>
            <w:pPr>
              <w:spacing w:line="300" w:lineRule="auto"/>
              <w:jc w:val="center"/>
              <w:rPr>
                <w:szCs w:val="21"/>
              </w:rPr>
            </w:pPr>
            <w:r>
              <w:rPr>
                <w:szCs w:val="21"/>
              </w:rPr>
              <w:t>0.0081</w:t>
            </w:r>
          </w:p>
        </w:tc>
        <w:tc>
          <w:tcPr>
            <w:tcW w:w="606" w:type="pct"/>
            <w:vAlign w:val="center"/>
          </w:tcPr>
          <w:p>
            <w:pPr>
              <w:spacing w:line="300" w:lineRule="auto"/>
              <w:jc w:val="center"/>
              <w:rPr>
                <w:szCs w:val="21"/>
              </w:rPr>
            </w:pPr>
            <w:r>
              <w:rPr>
                <w:szCs w:val="21"/>
              </w:rPr>
              <w:t>0.028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2" w:type="pct"/>
            <w:vAlign w:val="center"/>
          </w:tcPr>
          <w:p>
            <w:pPr>
              <w:spacing w:line="300" w:lineRule="auto"/>
              <w:jc w:val="center"/>
              <w:rPr>
                <w:szCs w:val="21"/>
              </w:rPr>
            </w:pPr>
            <w:r>
              <w:rPr>
                <w:szCs w:val="21"/>
              </w:rPr>
              <w:t>∑S</w:t>
            </w:r>
            <w:r>
              <w:rPr>
                <w:szCs w:val="21"/>
                <w:vertAlign w:val="superscript"/>
              </w:rPr>
              <w:t>2</w:t>
            </w:r>
          </w:p>
        </w:tc>
        <w:tc>
          <w:tcPr>
            <w:tcW w:w="808" w:type="pct"/>
            <w:vAlign w:val="center"/>
          </w:tcPr>
          <w:p>
            <w:pPr>
              <w:jc w:val="center"/>
              <w:rPr>
                <w:szCs w:val="21"/>
              </w:rPr>
            </w:pPr>
            <w:r>
              <w:rPr>
                <w:szCs w:val="21"/>
              </w:rPr>
              <w:t>1.21E-06</w:t>
            </w:r>
          </w:p>
        </w:tc>
        <w:tc>
          <w:tcPr>
            <w:tcW w:w="662" w:type="pct"/>
            <w:vAlign w:val="center"/>
          </w:tcPr>
          <w:p>
            <w:pPr>
              <w:jc w:val="center"/>
              <w:rPr>
                <w:szCs w:val="21"/>
              </w:rPr>
            </w:pPr>
            <w:r>
              <w:rPr>
                <w:szCs w:val="21"/>
              </w:rPr>
              <w:t>3.16E-06</w:t>
            </w:r>
          </w:p>
        </w:tc>
        <w:tc>
          <w:tcPr>
            <w:tcW w:w="736" w:type="pct"/>
            <w:vAlign w:val="center"/>
          </w:tcPr>
          <w:p>
            <w:pPr>
              <w:jc w:val="center"/>
              <w:rPr>
                <w:szCs w:val="21"/>
              </w:rPr>
            </w:pPr>
            <w:r>
              <w:rPr>
                <w:szCs w:val="21"/>
              </w:rPr>
              <w:t>6.77E-06</w:t>
            </w:r>
          </w:p>
        </w:tc>
        <w:tc>
          <w:tcPr>
            <w:tcW w:w="808" w:type="pct"/>
            <w:vAlign w:val="center"/>
          </w:tcPr>
          <w:p>
            <w:pPr>
              <w:jc w:val="center"/>
              <w:rPr>
                <w:szCs w:val="21"/>
              </w:rPr>
            </w:pPr>
            <w:r>
              <w:rPr>
                <w:szCs w:val="21"/>
              </w:rPr>
              <w:t>1.668E-04</w:t>
            </w:r>
          </w:p>
        </w:tc>
        <w:tc>
          <w:tcPr>
            <w:tcW w:w="586" w:type="pct"/>
            <w:vAlign w:val="center"/>
          </w:tcPr>
          <w:p>
            <w:pPr>
              <w:jc w:val="center"/>
              <w:rPr>
                <w:szCs w:val="21"/>
              </w:rPr>
            </w:pPr>
            <w:r>
              <w:rPr>
                <w:szCs w:val="21"/>
              </w:rPr>
              <w:t>2.093E-04</w:t>
            </w:r>
          </w:p>
        </w:tc>
        <w:tc>
          <w:tcPr>
            <w:tcW w:w="606" w:type="pct"/>
            <w:vAlign w:val="center"/>
          </w:tcPr>
          <w:p>
            <w:pPr>
              <w:jc w:val="center"/>
              <w:rPr>
                <w:szCs w:val="21"/>
              </w:rPr>
            </w:pPr>
            <w:r>
              <w:rPr>
                <w:szCs w:val="21"/>
              </w:rPr>
              <w:t>1.439E-03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2" w:type="pct"/>
            <w:vAlign w:val="center"/>
          </w:tcPr>
          <w:p>
            <w:pPr>
              <w:spacing w:line="300" w:lineRule="auto"/>
              <w:jc w:val="center"/>
              <w:rPr>
                <w:szCs w:val="21"/>
              </w:rPr>
            </w:pPr>
            <w:r>
              <w:rPr>
                <w:szCs w:val="21"/>
              </w:rPr>
              <w:t>C</w:t>
            </w:r>
          </w:p>
        </w:tc>
        <w:tc>
          <w:tcPr>
            <w:tcW w:w="808" w:type="pct"/>
            <w:vAlign w:val="center"/>
          </w:tcPr>
          <w:p>
            <w:pPr>
              <w:jc w:val="center"/>
              <w:rPr>
                <w:szCs w:val="21"/>
              </w:rPr>
            </w:pPr>
            <w:r>
              <w:rPr>
                <w:szCs w:val="21"/>
              </w:rPr>
              <w:t>0.6398</w:t>
            </w:r>
          </w:p>
        </w:tc>
        <w:tc>
          <w:tcPr>
            <w:tcW w:w="662" w:type="pct"/>
            <w:vAlign w:val="center"/>
          </w:tcPr>
          <w:p>
            <w:pPr>
              <w:jc w:val="center"/>
              <w:rPr>
                <w:szCs w:val="21"/>
              </w:rPr>
            </w:pPr>
            <w:r>
              <w:rPr>
                <w:szCs w:val="21"/>
              </w:rPr>
              <w:t>0.2857</w:t>
            </w:r>
          </w:p>
        </w:tc>
        <w:tc>
          <w:tcPr>
            <w:tcW w:w="736" w:type="pct"/>
            <w:vAlign w:val="center"/>
          </w:tcPr>
          <w:p>
            <w:pPr>
              <w:jc w:val="center"/>
              <w:rPr>
                <w:szCs w:val="21"/>
              </w:rPr>
            </w:pPr>
            <w:r>
              <w:rPr>
                <w:szCs w:val="21"/>
              </w:rPr>
              <w:t>0.4271</w:t>
            </w:r>
          </w:p>
        </w:tc>
        <w:tc>
          <w:tcPr>
            <w:tcW w:w="808" w:type="pct"/>
            <w:vAlign w:val="center"/>
          </w:tcPr>
          <w:p>
            <w:pPr>
              <w:jc w:val="center"/>
              <w:rPr>
                <w:szCs w:val="21"/>
              </w:rPr>
            </w:pPr>
            <w:r>
              <w:rPr>
                <w:szCs w:val="21"/>
              </w:rPr>
              <w:t>0.5076</w:t>
            </w:r>
          </w:p>
        </w:tc>
        <w:tc>
          <w:tcPr>
            <w:tcW w:w="586" w:type="pct"/>
            <w:vAlign w:val="center"/>
          </w:tcPr>
          <w:p>
            <w:pPr>
              <w:jc w:val="center"/>
              <w:rPr>
                <w:szCs w:val="21"/>
              </w:rPr>
            </w:pPr>
            <w:r>
              <w:rPr>
                <w:szCs w:val="21"/>
              </w:rPr>
              <w:t>0.3135</w:t>
            </w:r>
          </w:p>
        </w:tc>
        <w:tc>
          <w:tcPr>
            <w:tcW w:w="606" w:type="pct"/>
            <w:vAlign w:val="center"/>
          </w:tcPr>
          <w:p>
            <w:pPr>
              <w:jc w:val="center"/>
              <w:rPr>
                <w:szCs w:val="21"/>
              </w:rPr>
            </w:pPr>
            <w:r>
              <w:rPr>
                <w:szCs w:val="21"/>
              </w:rPr>
              <w:t>0.5448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2" w:type="pct"/>
            <w:vAlign w:val="center"/>
          </w:tcPr>
          <w:p>
            <w:pPr>
              <w:spacing w:line="300" w:lineRule="auto"/>
              <w:jc w:val="center"/>
              <w:rPr>
                <w:szCs w:val="21"/>
              </w:rPr>
            </w:pPr>
            <w:r>
              <w:rPr>
                <w:szCs w:val="21"/>
              </w:rPr>
              <w:t>离群值（Y/N）</w:t>
            </w:r>
          </w:p>
        </w:tc>
        <w:tc>
          <w:tcPr>
            <w:tcW w:w="808" w:type="pct"/>
            <w:vAlign w:val="center"/>
          </w:tcPr>
          <w:p>
            <w:pPr>
              <w:spacing w:line="300" w:lineRule="auto"/>
              <w:jc w:val="center"/>
              <w:rPr>
                <w:szCs w:val="21"/>
              </w:rPr>
            </w:pPr>
            <w:r>
              <w:rPr>
                <w:szCs w:val="21"/>
              </w:rPr>
              <w:t>Y</w:t>
            </w:r>
          </w:p>
        </w:tc>
        <w:tc>
          <w:tcPr>
            <w:tcW w:w="662" w:type="pct"/>
            <w:vAlign w:val="center"/>
          </w:tcPr>
          <w:p>
            <w:pPr>
              <w:spacing w:line="300" w:lineRule="auto"/>
              <w:jc w:val="center"/>
              <w:rPr>
                <w:szCs w:val="21"/>
              </w:rPr>
            </w:pPr>
            <w:r>
              <w:rPr>
                <w:szCs w:val="21"/>
              </w:rPr>
              <w:t>N</w:t>
            </w:r>
          </w:p>
        </w:tc>
        <w:tc>
          <w:tcPr>
            <w:tcW w:w="736" w:type="pct"/>
            <w:vAlign w:val="center"/>
          </w:tcPr>
          <w:p>
            <w:pPr>
              <w:jc w:val="center"/>
              <w:rPr>
                <w:szCs w:val="21"/>
              </w:rPr>
            </w:pPr>
            <w:r>
              <w:rPr>
                <w:szCs w:val="21"/>
              </w:rPr>
              <w:t>Y</w:t>
            </w:r>
          </w:p>
        </w:tc>
        <w:tc>
          <w:tcPr>
            <w:tcW w:w="808" w:type="pct"/>
            <w:vAlign w:val="center"/>
          </w:tcPr>
          <w:p>
            <w:pPr>
              <w:jc w:val="center"/>
              <w:rPr>
                <w:szCs w:val="21"/>
              </w:rPr>
            </w:pPr>
            <w:r>
              <w:rPr>
                <w:szCs w:val="21"/>
              </w:rPr>
              <w:t>Y</w:t>
            </w:r>
          </w:p>
        </w:tc>
        <w:tc>
          <w:tcPr>
            <w:tcW w:w="586" w:type="pct"/>
            <w:vAlign w:val="center"/>
          </w:tcPr>
          <w:p>
            <w:pPr>
              <w:spacing w:line="300" w:lineRule="auto"/>
              <w:jc w:val="center"/>
              <w:rPr>
                <w:szCs w:val="21"/>
              </w:rPr>
            </w:pPr>
            <w:r>
              <w:rPr>
                <w:szCs w:val="21"/>
              </w:rPr>
              <w:t>N</w:t>
            </w:r>
          </w:p>
        </w:tc>
        <w:tc>
          <w:tcPr>
            <w:tcW w:w="606" w:type="pct"/>
            <w:vAlign w:val="center"/>
          </w:tcPr>
          <w:p>
            <w:pPr>
              <w:spacing w:line="300" w:lineRule="auto"/>
              <w:jc w:val="center"/>
              <w:rPr>
                <w:szCs w:val="21"/>
              </w:rPr>
            </w:pPr>
            <w:r>
              <w:rPr>
                <w:szCs w:val="21"/>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2" w:type="pct"/>
            <w:vAlign w:val="center"/>
          </w:tcPr>
          <w:p>
            <w:pPr>
              <w:spacing w:line="300" w:lineRule="auto"/>
              <w:jc w:val="center"/>
              <w:rPr>
                <w:szCs w:val="21"/>
              </w:rPr>
            </w:pPr>
            <w:r>
              <w:rPr>
                <w:szCs w:val="21"/>
              </w:rPr>
              <w:t>歧离值（Y/N）</w:t>
            </w:r>
          </w:p>
        </w:tc>
        <w:tc>
          <w:tcPr>
            <w:tcW w:w="808" w:type="pct"/>
            <w:vAlign w:val="center"/>
          </w:tcPr>
          <w:p>
            <w:pPr>
              <w:spacing w:line="300" w:lineRule="auto"/>
              <w:jc w:val="center"/>
              <w:rPr>
                <w:szCs w:val="21"/>
              </w:rPr>
            </w:pPr>
            <w:r>
              <w:rPr>
                <w:szCs w:val="21"/>
              </w:rPr>
              <w:t>N</w:t>
            </w:r>
          </w:p>
        </w:tc>
        <w:tc>
          <w:tcPr>
            <w:tcW w:w="662" w:type="pct"/>
            <w:vAlign w:val="center"/>
          </w:tcPr>
          <w:p>
            <w:pPr>
              <w:spacing w:line="300" w:lineRule="auto"/>
              <w:jc w:val="center"/>
              <w:rPr>
                <w:szCs w:val="21"/>
              </w:rPr>
            </w:pPr>
            <w:r>
              <w:rPr>
                <w:szCs w:val="21"/>
              </w:rPr>
              <w:t>N</w:t>
            </w:r>
          </w:p>
        </w:tc>
        <w:tc>
          <w:tcPr>
            <w:tcW w:w="736" w:type="pct"/>
            <w:vAlign w:val="center"/>
          </w:tcPr>
          <w:p>
            <w:pPr>
              <w:jc w:val="center"/>
              <w:rPr>
                <w:szCs w:val="21"/>
              </w:rPr>
            </w:pPr>
            <w:r>
              <w:rPr>
                <w:b/>
                <w:bCs/>
                <w:szCs w:val="21"/>
              </w:rPr>
              <w:t>N</w:t>
            </w:r>
          </w:p>
        </w:tc>
        <w:tc>
          <w:tcPr>
            <w:tcW w:w="808" w:type="pct"/>
            <w:vAlign w:val="center"/>
          </w:tcPr>
          <w:p>
            <w:pPr>
              <w:jc w:val="center"/>
              <w:rPr>
                <w:szCs w:val="21"/>
              </w:rPr>
            </w:pPr>
            <w:r>
              <w:rPr>
                <w:szCs w:val="21"/>
              </w:rPr>
              <w:t>N</w:t>
            </w:r>
          </w:p>
        </w:tc>
        <w:tc>
          <w:tcPr>
            <w:tcW w:w="586" w:type="pct"/>
            <w:vAlign w:val="center"/>
          </w:tcPr>
          <w:p>
            <w:pPr>
              <w:spacing w:line="300" w:lineRule="auto"/>
              <w:jc w:val="center"/>
              <w:rPr>
                <w:szCs w:val="21"/>
              </w:rPr>
            </w:pPr>
            <w:r>
              <w:rPr>
                <w:szCs w:val="21"/>
              </w:rPr>
              <w:t>N</w:t>
            </w:r>
          </w:p>
        </w:tc>
        <w:tc>
          <w:tcPr>
            <w:tcW w:w="606" w:type="pct"/>
            <w:vAlign w:val="center"/>
          </w:tcPr>
          <w:p>
            <w:pPr>
              <w:spacing w:line="300" w:lineRule="auto"/>
              <w:jc w:val="center"/>
              <w:rPr>
                <w:szCs w:val="21"/>
              </w:rPr>
            </w:pPr>
            <w:r>
              <w:rPr>
                <w:szCs w:val="21"/>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792" w:type="pct"/>
            <w:vAlign w:val="center"/>
          </w:tcPr>
          <w:p>
            <w:pPr>
              <w:jc w:val="center"/>
              <w:rPr>
                <w:szCs w:val="21"/>
              </w:rPr>
            </w:pPr>
            <w:r>
              <w:rPr>
                <w:szCs w:val="21"/>
              </w:rPr>
              <w:t>C临界</w:t>
            </w:r>
          </w:p>
        </w:tc>
        <w:tc>
          <w:tcPr>
            <w:tcW w:w="4207" w:type="pct"/>
            <w:gridSpan w:val="6"/>
            <w:vAlign w:val="center"/>
          </w:tcPr>
          <w:p>
            <w:pPr>
              <w:jc w:val="left"/>
              <w:rPr>
                <w:szCs w:val="21"/>
              </w:rPr>
            </w:pPr>
            <w:r>
              <w:rPr>
                <w:szCs w:val="21"/>
              </w:rPr>
              <w:t>实验室数p=7时，科克伦检验5%临界值为0.315，1%临界值为0.362。</w:t>
            </w:r>
          </w:p>
        </w:tc>
      </w:tr>
    </w:tbl>
    <w:p>
      <w:pPr>
        <w:spacing w:line="300" w:lineRule="auto"/>
        <w:ind w:firstLine="420" w:firstLineChars="200"/>
        <w:rPr>
          <w:szCs w:val="21"/>
        </w:rPr>
      </w:pPr>
      <w:r>
        <w:rPr>
          <w:szCs w:val="21"/>
        </w:rPr>
        <w:t>柯克伦检验的结果表明，实验室2的水平1、水平6，实验室4的水平3和实验室3的水平4为离群值，舍弃。</w:t>
      </w:r>
    </w:p>
    <w:p>
      <w:pPr>
        <w:spacing w:line="300" w:lineRule="auto"/>
        <w:jc w:val="center"/>
        <w:rPr>
          <w:szCs w:val="21"/>
        </w:rPr>
      </w:pPr>
      <w:r>
        <w:rPr>
          <w:szCs w:val="21"/>
        </w:rPr>
        <w:t>表A.</w:t>
      </w:r>
      <w:r>
        <w:rPr>
          <w:rFonts w:hint="eastAsia"/>
          <w:szCs w:val="21"/>
          <w:lang w:val="en-US" w:eastAsia="zh-CN"/>
        </w:rPr>
        <w:t>4</w:t>
      </w:r>
      <w:r>
        <w:rPr>
          <w:szCs w:val="21"/>
        </w:rPr>
        <w:t xml:space="preserve"> 各单元的标准差</w:t>
      </w:r>
    </w:p>
    <w:tbl>
      <w:tblPr>
        <w:tblStyle w:val="88"/>
        <w:tblW w:w="5000" w:type="pct"/>
        <w:tblInd w:w="0" w:type="dxa"/>
        <w:tblLayout w:type="autofit"/>
        <w:tblCellMar>
          <w:top w:w="0" w:type="dxa"/>
          <w:left w:w="108" w:type="dxa"/>
          <w:bottom w:w="0" w:type="dxa"/>
          <w:right w:w="108" w:type="dxa"/>
        </w:tblCellMar>
      </w:tblPr>
      <w:tblGrid>
        <w:gridCol w:w="1993"/>
        <w:gridCol w:w="1993"/>
        <w:gridCol w:w="1994"/>
        <w:gridCol w:w="1994"/>
        <w:gridCol w:w="1994"/>
      </w:tblGrid>
      <w:tr>
        <w:trPr>
          <w:trHeight w:val="340" w:hRule="atLeast"/>
        </w:trPr>
        <w:tc>
          <w:tcPr>
            <w:tcW w:w="193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szCs w:val="21"/>
              </w:rPr>
            </w:pPr>
            <w:r>
              <w:rPr>
                <w:kern w:val="0"/>
                <w:szCs w:val="21"/>
              </w:rPr>
              <w:t>实验室</w:t>
            </w:r>
          </w:p>
        </w:tc>
        <w:tc>
          <w:tcPr>
            <w:tcW w:w="1936"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szCs w:val="21"/>
              </w:rPr>
            </w:pPr>
            <w:r>
              <w:rPr>
                <w:kern w:val="0"/>
                <w:szCs w:val="21"/>
              </w:rPr>
              <w:t>水平</w:t>
            </w:r>
            <w:r>
              <w:rPr>
                <w:rStyle w:val="254"/>
                <w:color w:val="auto"/>
                <w:sz w:val="21"/>
                <w:szCs w:val="21"/>
              </w:rPr>
              <w:t>1</w:t>
            </w:r>
          </w:p>
        </w:tc>
        <w:tc>
          <w:tcPr>
            <w:tcW w:w="1936"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szCs w:val="21"/>
              </w:rPr>
            </w:pPr>
            <w:r>
              <w:rPr>
                <w:kern w:val="0"/>
                <w:szCs w:val="21"/>
              </w:rPr>
              <w:t>水平</w:t>
            </w:r>
            <w:r>
              <w:rPr>
                <w:rStyle w:val="254"/>
                <w:color w:val="auto"/>
                <w:sz w:val="21"/>
                <w:szCs w:val="21"/>
              </w:rPr>
              <w:t>3</w:t>
            </w:r>
          </w:p>
        </w:tc>
        <w:tc>
          <w:tcPr>
            <w:tcW w:w="1936"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水平</w:t>
            </w:r>
            <w:r>
              <w:rPr>
                <w:rStyle w:val="254"/>
                <w:color w:val="auto"/>
                <w:sz w:val="21"/>
                <w:szCs w:val="21"/>
              </w:rPr>
              <w:t>4</w:t>
            </w:r>
          </w:p>
        </w:tc>
        <w:tc>
          <w:tcPr>
            <w:tcW w:w="1936"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水平</w:t>
            </w:r>
            <w:r>
              <w:rPr>
                <w:rStyle w:val="254"/>
                <w:color w:val="auto"/>
                <w:sz w:val="21"/>
                <w:szCs w:val="21"/>
              </w:rPr>
              <w:t>6</w:t>
            </w:r>
          </w:p>
        </w:tc>
      </w:tr>
      <w:tr>
        <w:tblPrEx>
          <w:tblCellMar>
            <w:top w:w="0" w:type="dxa"/>
            <w:left w:w="108" w:type="dxa"/>
            <w:bottom w:w="0" w:type="dxa"/>
            <w:right w:w="108" w:type="dxa"/>
          </w:tblCellMar>
        </w:tblPrEx>
        <w:trPr>
          <w:trHeight w:val="34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szCs w:val="21"/>
              </w:rPr>
            </w:pPr>
            <w:r>
              <w:rPr>
                <w:kern w:val="0"/>
                <w:szCs w:val="21"/>
              </w:rPr>
              <w:t>国合通测</w:t>
            </w:r>
            <w:r>
              <w:rPr>
                <w:rStyle w:val="254"/>
                <w:color w:val="auto"/>
                <w:sz w:val="21"/>
                <w:szCs w:val="21"/>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szCs w:val="21"/>
              </w:rPr>
            </w:pPr>
            <w:r>
              <w:rPr>
                <w:kern w:val="0"/>
                <w:szCs w:val="21"/>
              </w:rPr>
              <w:t>0.00019</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szCs w:val="21"/>
              </w:rPr>
            </w:pPr>
            <w:r>
              <w:rPr>
                <w:kern w:val="0"/>
                <w:szCs w:val="21"/>
              </w:rPr>
              <w:t>0.00055</w:t>
            </w:r>
          </w:p>
        </w:tc>
        <w:tc>
          <w:tcPr>
            <w:tcW w:w="19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0.0037</w:t>
            </w:r>
          </w:p>
        </w:tc>
        <w:tc>
          <w:tcPr>
            <w:tcW w:w="19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0.010</w:t>
            </w:r>
          </w:p>
        </w:tc>
      </w:tr>
      <w:tr>
        <w:tblPrEx>
          <w:tblCellMar>
            <w:top w:w="0" w:type="dxa"/>
            <w:left w:w="108" w:type="dxa"/>
            <w:bottom w:w="0" w:type="dxa"/>
            <w:right w:w="108" w:type="dxa"/>
          </w:tblCellMar>
        </w:tblPrEx>
        <w:trPr>
          <w:trHeight w:val="34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szCs w:val="21"/>
              </w:rPr>
            </w:pPr>
            <w:r>
              <w:rPr>
                <w:kern w:val="0"/>
                <w:szCs w:val="21"/>
              </w:rPr>
              <w:t>包头稀土</w:t>
            </w:r>
            <w:r>
              <w:rPr>
                <w:rStyle w:val="254"/>
                <w:color w:val="auto"/>
                <w:sz w:val="21"/>
                <w:szCs w:val="21"/>
              </w:rPr>
              <w:t>2</w:t>
            </w:r>
          </w:p>
        </w:tc>
        <w:tc>
          <w:tcPr>
            <w:tcW w:w="0" w:type="auto"/>
            <w:tcBorders>
              <w:top w:val="nil"/>
              <w:left w:val="nil"/>
              <w:bottom w:val="single" w:color="000000" w:sz="8" w:space="0"/>
              <w:right w:val="single" w:color="000000" w:sz="8" w:space="0"/>
            </w:tcBorders>
            <w:shd w:val="clear" w:color="auto" w:fill="auto"/>
            <w:noWrap/>
            <w:vAlign w:val="center"/>
          </w:tcPr>
          <w:p>
            <w:pPr>
              <w:jc w:val="center"/>
              <w:rPr>
                <w:szCs w:val="21"/>
              </w:rPr>
            </w:pPr>
            <w:r>
              <w:rPr>
                <w:rFonts w:hint="eastAsia"/>
                <w:szCs w:val="21"/>
              </w:rPr>
              <w:t>--</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szCs w:val="21"/>
              </w:rPr>
            </w:pPr>
            <w:r>
              <w:rPr>
                <w:kern w:val="0"/>
                <w:szCs w:val="21"/>
              </w:rPr>
              <w:t>0.00068</w:t>
            </w:r>
          </w:p>
        </w:tc>
        <w:tc>
          <w:tcPr>
            <w:tcW w:w="19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0.0014</w:t>
            </w:r>
          </w:p>
        </w:tc>
        <w:tc>
          <w:tcPr>
            <w:tcW w:w="1936" w:type="dxa"/>
            <w:tcBorders>
              <w:top w:val="nil"/>
              <w:left w:val="nil"/>
              <w:bottom w:val="single" w:color="000000" w:sz="8" w:space="0"/>
              <w:right w:val="single" w:color="000000" w:sz="8" w:space="0"/>
            </w:tcBorders>
            <w:shd w:val="clear" w:color="auto" w:fill="auto"/>
            <w:vAlign w:val="center"/>
          </w:tcPr>
          <w:p>
            <w:pPr>
              <w:jc w:val="center"/>
              <w:rPr>
                <w:szCs w:val="21"/>
              </w:rPr>
            </w:pPr>
            <w:r>
              <w:rPr>
                <w:rFonts w:hint="eastAsia"/>
                <w:szCs w:val="21"/>
              </w:rPr>
              <w:t>--</w:t>
            </w:r>
          </w:p>
        </w:tc>
      </w:tr>
      <w:tr>
        <w:tblPrEx>
          <w:tblCellMar>
            <w:top w:w="0" w:type="dxa"/>
            <w:left w:w="108" w:type="dxa"/>
            <w:bottom w:w="0" w:type="dxa"/>
            <w:right w:w="108" w:type="dxa"/>
          </w:tblCellMar>
        </w:tblPrEx>
        <w:trPr>
          <w:trHeight w:val="34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szCs w:val="21"/>
              </w:rPr>
            </w:pPr>
            <w:r>
              <w:rPr>
                <w:kern w:val="0"/>
                <w:szCs w:val="21"/>
              </w:rPr>
              <w:t>国标检验</w:t>
            </w:r>
            <w:r>
              <w:rPr>
                <w:rStyle w:val="254"/>
                <w:color w:val="auto"/>
                <w:sz w:val="21"/>
                <w:szCs w:val="21"/>
              </w:rPr>
              <w:t>3</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szCs w:val="21"/>
              </w:rPr>
            </w:pPr>
            <w:r>
              <w:rPr>
                <w:kern w:val="0"/>
                <w:szCs w:val="21"/>
              </w:rPr>
              <w:t>0.00022</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szCs w:val="21"/>
              </w:rPr>
            </w:pPr>
            <w:r>
              <w:rPr>
                <w:kern w:val="0"/>
                <w:szCs w:val="21"/>
              </w:rPr>
              <w:t>0.00066</w:t>
            </w:r>
          </w:p>
        </w:tc>
        <w:tc>
          <w:tcPr>
            <w:tcW w:w="1936" w:type="dxa"/>
            <w:tcBorders>
              <w:top w:val="nil"/>
              <w:left w:val="nil"/>
              <w:bottom w:val="single" w:color="000000" w:sz="8" w:space="0"/>
              <w:right w:val="single" w:color="000000" w:sz="8" w:space="0"/>
            </w:tcBorders>
            <w:shd w:val="clear" w:color="auto" w:fill="auto"/>
            <w:vAlign w:val="center"/>
          </w:tcPr>
          <w:p>
            <w:pPr>
              <w:jc w:val="center"/>
              <w:rPr>
                <w:szCs w:val="21"/>
              </w:rPr>
            </w:pPr>
            <w:r>
              <w:rPr>
                <w:rFonts w:hint="eastAsia"/>
                <w:szCs w:val="21"/>
              </w:rPr>
              <w:t>--</w:t>
            </w:r>
          </w:p>
        </w:tc>
        <w:tc>
          <w:tcPr>
            <w:tcW w:w="19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0.014</w:t>
            </w:r>
          </w:p>
        </w:tc>
      </w:tr>
      <w:tr>
        <w:tblPrEx>
          <w:tblCellMar>
            <w:top w:w="0" w:type="dxa"/>
            <w:left w:w="108" w:type="dxa"/>
            <w:bottom w:w="0" w:type="dxa"/>
            <w:right w:w="108" w:type="dxa"/>
          </w:tblCellMar>
        </w:tblPrEx>
        <w:trPr>
          <w:trHeight w:val="34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szCs w:val="21"/>
              </w:rPr>
            </w:pPr>
            <w:r>
              <w:rPr>
                <w:kern w:val="0"/>
                <w:szCs w:val="21"/>
              </w:rPr>
              <w:t>赣州有色</w:t>
            </w:r>
            <w:r>
              <w:rPr>
                <w:rStyle w:val="254"/>
                <w:color w:val="auto"/>
                <w:sz w:val="21"/>
                <w:szCs w:val="21"/>
              </w:rPr>
              <w:t>4</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szCs w:val="21"/>
              </w:rPr>
            </w:pPr>
            <w:r>
              <w:rPr>
                <w:kern w:val="0"/>
                <w:szCs w:val="21"/>
              </w:rPr>
              <w:t>0.00028</w:t>
            </w:r>
          </w:p>
        </w:tc>
        <w:tc>
          <w:tcPr>
            <w:tcW w:w="0" w:type="auto"/>
            <w:tcBorders>
              <w:top w:val="nil"/>
              <w:left w:val="nil"/>
              <w:bottom w:val="single" w:color="000000" w:sz="8" w:space="0"/>
              <w:right w:val="single" w:color="000000" w:sz="8" w:space="0"/>
            </w:tcBorders>
            <w:shd w:val="clear" w:color="auto" w:fill="auto"/>
            <w:noWrap/>
            <w:vAlign w:val="center"/>
          </w:tcPr>
          <w:p>
            <w:pPr>
              <w:jc w:val="center"/>
              <w:rPr>
                <w:szCs w:val="21"/>
              </w:rPr>
            </w:pPr>
            <w:r>
              <w:rPr>
                <w:rFonts w:hint="eastAsia"/>
                <w:szCs w:val="21"/>
              </w:rPr>
              <w:t>--</w:t>
            </w:r>
          </w:p>
        </w:tc>
        <w:tc>
          <w:tcPr>
            <w:tcW w:w="19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0.0069</w:t>
            </w:r>
          </w:p>
        </w:tc>
        <w:tc>
          <w:tcPr>
            <w:tcW w:w="19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0.0049</w:t>
            </w:r>
          </w:p>
        </w:tc>
      </w:tr>
      <w:tr>
        <w:tblPrEx>
          <w:tblCellMar>
            <w:top w:w="0" w:type="dxa"/>
            <w:left w:w="108" w:type="dxa"/>
            <w:bottom w:w="0" w:type="dxa"/>
            <w:right w:w="108" w:type="dxa"/>
          </w:tblCellMar>
        </w:tblPrEx>
        <w:trPr>
          <w:trHeight w:val="34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szCs w:val="21"/>
              </w:rPr>
            </w:pPr>
            <w:r>
              <w:rPr>
                <w:kern w:val="0"/>
                <w:szCs w:val="21"/>
              </w:rPr>
              <w:t>乐山锐丰</w:t>
            </w:r>
            <w:r>
              <w:rPr>
                <w:rStyle w:val="254"/>
                <w:color w:val="auto"/>
                <w:sz w:val="21"/>
                <w:szCs w:val="21"/>
              </w:rPr>
              <w:t>5</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szCs w:val="21"/>
              </w:rPr>
            </w:pPr>
            <w:r>
              <w:rPr>
                <w:kern w:val="0"/>
                <w:szCs w:val="21"/>
              </w:rPr>
              <w:t>0.00025</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szCs w:val="21"/>
              </w:rPr>
            </w:pPr>
            <w:r>
              <w:rPr>
                <w:kern w:val="0"/>
                <w:szCs w:val="21"/>
              </w:rPr>
              <w:t>0.00082</w:t>
            </w:r>
          </w:p>
        </w:tc>
        <w:tc>
          <w:tcPr>
            <w:tcW w:w="19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0.0011</w:t>
            </w:r>
          </w:p>
        </w:tc>
        <w:tc>
          <w:tcPr>
            <w:tcW w:w="19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0.013</w:t>
            </w:r>
          </w:p>
        </w:tc>
      </w:tr>
      <w:tr>
        <w:tblPrEx>
          <w:tblCellMar>
            <w:top w:w="0" w:type="dxa"/>
            <w:left w:w="108" w:type="dxa"/>
            <w:bottom w:w="0" w:type="dxa"/>
            <w:right w:w="108" w:type="dxa"/>
          </w:tblCellMar>
        </w:tblPrEx>
        <w:trPr>
          <w:trHeight w:val="34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szCs w:val="21"/>
              </w:rPr>
            </w:pPr>
            <w:r>
              <w:rPr>
                <w:kern w:val="0"/>
                <w:szCs w:val="21"/>
              </w:rPr>
              <w:t>南方稀土</w:t>
            </w:r>
            <w:r>
              <w:rPr>
                <w:rStyle w:val="254"/>
                <w:color w:val="auto"/>
                <w:sz w:val="21"/>
                <w:szCs w:val="21"/>
              </w:rPr>
              <w:t>6</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szCs w:val="21"/>
              </w:rPr>
            </w:pPr>
            <w:r>
              <w:rPr>
                <w:kern w:val="0"/>
                <w:szCs w:val="21"/>
              </w:rPr>
              <w:t>0.00016</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szCs w:val="21"/>
              </w:rPr>
            </w:pPr>
            <w:r>
              <w:rPr>
                <w:kern w:val="0"/>
                <w:szCs w:val="21"/>
              </w:rPr>
              <w:t>0.00056</w:t>
            </w:r>
          </w:p>
        </w:tc>
        <w:tc>
          <w:tcPr>
            <w:tcW w:w="19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0.0026</w:t>
            </w:r>
          </w:p>
        </w:tc>
        <w:tc>
          <w:tcPr>
            <w:tcW w:w="19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0.0047</w:t>
            </w:r>
          </w:p>
        </w:tc>
      </w:tr>
      <w:tr>
        <w:tblPrEx>
          <w:tblCellMar>
            <w:top w:w="0" w:type="dxa"/>
            <w:left w:w="108" w:type="dxa"/>
            <w:bottom w:w="0" w:type="dxa"/>
            <w:right w:w="108" w:type="dxa"/>
          </w:tblCellMar>
        </w:tblPrEx>
        <w:trPr>
          <w:trHeight w:val="34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szCs w:val="21"/>
              </w:rPr>
            </w:pPr>
            <w:r>
              <w:rPr>
                <w:kern w:val="0"/>
                <w:szCs w:val="21"/>
              </w:rPr>
              <w:t>有研稀土</w:t>
            </w:r>
            <w:r>
              <w:rPr>
                <w:rStyle w:val="254"/>
                <w:color w:val="auto"/>
                <w:sz w:val="21"/>
                <w:szCs w:val="21"/>
              </w:rPr>
              <w:t>7</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szCs w:val="21"/>
              </w:rPr>
            </w:pPr>
            <w:r>
              <w:rPr>
                <w:kern w:val="0"/>
                <w:szCs w:val="21"/>
              </w:rPr>
              <w:t>0.00043</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szCs w:val="21"/>
              </w:rPr>
            </w:pPr>
            <w:r>
              <w:rPr>
                <w:kern w:val="0"/>
                <w:szCs w:val="21"/>
              </w:rPr>
              <w:t>0.0013</w:t>
            </w:r>
          </w:p>
        </w:tc>
        <w:tc>
          <w:tcPr>
            <w:tcW w:w="19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0.0033</w:t>
            </w:r>
          </w:p>
        </w:tc>
        <w:tc>
          <w:tcPr>
            <w:tcW w:w="1936" w:type="dxa"/>
            <w:tcBorders>
              <w:top w:val="nil"/>
              <w:left w:val="nil"/>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0.012</w:t>
            </w:r>
          </w:p>
        </w:tc>
      </w:tr>
    </w:tbl>
    <w:p>
      <w:pPr>
        <w:spacing w:line="300" w:lineRule="auto"/>
        <w:jc w:val="center"/>
        <w:rPr>
          <w:szCs w:val="21"/>
        </w:rPr>
      </w:pPr>
    </w:p>
    <w:p>
      <w:pPr>
        <w:spacing w:line="300" w:lineRule="auto"/>
        <w:jc w:val="center"/>
        <w:rPr>
          <w:szCs w:val="21"/>
        </w:rPr>
      </w:pPr>
      <w:r>
        <w:rPr>
          <w:szCs w:val="21"/>
        </w:rPr>
        <w:t>表A.</w:t>
      </w:r>
      <w:r>
        <w:rPr>
          <w:rFonts w:hint="eastAsia"/>
          <w:szCs w:val="21"/>
          <w:lang w:val="en-US" w:eastAsia="zh-CN"/>
        </w:rPr>
        <w:t>5</w:t>
      </w:r>
      <w:r>
        <w:rPr>
          <w:szCs w:val="21"/>
        </w:rPr>
        <w:t xml:space="preserve"> 柯克伦检验</w:t>
      </w:r>
    </w:p>
    <w:tbl>
      <w:tblPr>
        <w:tblStyle w:val="88"/>
        <w:tblW w:w="5000" w:type="pct"/>
        <w:jc w:val="center"/>
        <w:tblLayout w:type="autofit"/>
        <w:tblCellMar>
          <w:top w:w="0" w:type="dxa"/>
          <w:left w:w="108" w:type="dxa"/>
          <w:bottom w:w="0" w:type="dxa"/>
          <w:right w:w="108" w:type="dxa"/>
        </w:tblCellMar>
      </w:tblPr>
      <w:tblGrid>
        <w:gridCol w:w="1845"/>
        <w:gridCol w:w="2588"/>
        <w:gridCol w:w="1845"/>
        <w:gridCol w:w="1845"/>
        <w:gridCol w:w="1845"/>
      </w:tblGrid>
      <w:tr>
        <w:tblPrEx>
          <w:tblCellMar>
            <w:top w:w="0" w:type="dxa"/>
            <w:left w:w="108" w:type="dxa"/>
            <w:bottom w:w="0" w:type="dxa"/>
            <w:right w:w="108" w:type="dxa"/>
          </w:tblCellMar>
        </w:tblPrEx>
        <w:trPr>
          <w:trHeight w:val="340" w:hRule="atLeast"/>
          <w:jc w:val="center"/>
        </w:trPr>
        <w:tc>
          <w:tcPr>
            <w:tcW w:w="1695"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kern w:val="0"/>
                <w:szCs w:val="21"/>
              </w:rPr>
            </w:pPr>
            <w:r>
              <w:rPr>
                <w:kern w:val="0"/>
                <w:szCs w:val="21"/>
              </w:rPr>
              <w:t>实验室</w:t>
            </w:r>
          </w:p>
        </w:tc>
        <w:tc>
          <w:tcPr>
            <w:tcW w:w="2378"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top"/>
              <w:rPr>
                <w:kern w:val="0"/>
                <w:szCs w:val="21"/>
              </w:rPr>
            </w:pPr>
            <w:r>
              <w:rPr>
                <w:kern w:val="0"/>
                <w:szCs w:val="21"/>
              </w:rPr>
              <w:t>水平1</w:t>
            </w:r>
          </w:p>
        </w:tc>
        <w:tc>
          <w:tcPr>
            <w:tcW w:w="1695"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top"/>
              <w:rPr>
                <w:kern w:val="0"/>
                <w:szCs w:val="21"/>
              </w:rPr>
            </w:pPr>
            <w:r>
              <w:rPr>
                <w:kern w:val="0"/>
                <w:szCs w:val="21"/>
              </w:rPr>
              <w:t>水平3</w:t>
            </w:r>
          </w:p>
        </w:tc>
        <w:tc>
          <w:tcPr>
            <w:tcW w:w="1695"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top"/>
              <w:rPr>
                <w:kern w:val="0"/>
                <w:szCs w:val="21"/>
              </w:rPr>
            </w:pPr>
            <w:r>
              <w:rPr>
                <w:kern w:val="0"/>
                <w:szCs w:val="21"/>
              </w:rPr>
              <w:t>水平4</w:t>
            </w:r>
          </w:p>
        </w:tc>
        <w:tc>
          <w:tcPr>
            <w:tcW w:w="1695"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top"/>
              <w:rPr>
                <w:kern w:val="0"/>
                <w:szCs w:val="21"/>
              </w:rPr>
            </w:pPr>
            <w:r>
              <w:rPr>
                <w:kern w:val="0"/>
                <w:szCs w:val="21"/>
              </w:rPr>
              <w:t>水平6</w:t>
            </w:r>
          </w:p>
        </w:tc>
      </w:tr>
      <w:tr>
        <w:tblPrEx>
          <w:tblCellMar>
            <w:top w:w="0" w:type="dxa"/>
            <w:left w:w="108" w:type="dxa"/>
            <w:bottom w:w="0" w:type="dxa"/>
            <w:right w:w="108" w:type="dxa"/>
          </w:tblCellMar>
        </w:tblPrEx>
        <w:trPr>
          <w:trHeight w:val="340" w:hRule="atLeast"/>
          <w:jc w:val="center"/>
        </w:trPr>
        <w:tc>
          <w:tcPr>
            <w:tcW w:w="169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top"/>
              <w:rPr>
                <w:kern w:val="0"/>
                <w:szCs w:val="21"/>
              </w:rPr>
            </w:pPr>
            <w:r>
              <w:rPr>
                <w:kern w:val="0"/>
                <w:szCs w:val="21"/>
              </w:rPr>
              <w:t>Smax实验室</w:t>
            </w:r>
          </w:p>
        </w:tc>
        <w:tc>
          <w:tcPr>
            <w:tcW w:w="2378" w:type="dxa"/>
            <w:tcBorders>
              <w:top w:val="nil"/>
              <w:left w:val="nil"/>
              <w:bottom w:val="single" w:color="000000" w:sz="8" w:space="0"/>
              <w:right w:val="single" w:color="000000" w:sz="8" w:space="0"/>
            </w:tcBorders>
            <w:shd w:val="clear" w:color="auto" w:fill="auto"/>
            <w:vAlign w:val="center"/>
          </w:tcPr>
          <w:p>
            <w:pPr>
              <w:widowControl/>
              <w:jc w:val="center"/>
              <w:textAlignment w:val="top"/>
              <w:rPr>
                <w:kern w:val="0"/>
                <w:szCs w:val="21"/>
              </w:rPr>
            </w:pPr>
            <w:r>
              <w:rPr>
                <w:kern w:val="0"/>
                <w:szCs w:val="21"/>
              </w:rPr>
              <w:t>7</w:t>
            </w:r>
          </w:p>
        </w:tc>
        <w:tc>
          <w:tcPr>
            <w:tcW w:w="1695" w:type="dxa"/>
            <w:tcBorders>
              <w:top w:val="nil"/>
              <w:left w:val="nil"/>
              <w:bottom w:val="single" w:color="000000" w:sz="8" w:space="0"/>
              <w:right w:val="single" w:color="000000" w:sz="8" w:space="0"/>
            </w:tcBorders>
            <w:shd w:val="clear" w:color="auto" w:fill="auto"/>
            <w:vAlign w:val="center"/>
          </w:tcPr>
          <w:p>
            <w:pPr>
              <w:widowControl/>
              <w:jc w:val="center"/>
              <w:textAlignment w:val="top"/>
              <w:rPr>
                <w:kern w:val="0"/>
                <w:szCs w:val="21"/>
              </w:rPr>
            </w:pPr>
            <w:r>
              <w:rPr>
                <w:kern w:val="0"/>
                <w:szCs w:val="21"/>
              </w:rPr>
              <w:t>7</w:t>
            </w:r>
          </w:p>
        </w:tc>
        <w:tc>
          <w:tcPr>
            <w:tcW w:w="1695" w:type="dxa"/>
            <w:tcBorders>
              <w:top w:val="nil"/>
              <w:left w:val="nil"/>
              <w:bottom w:val="single" w:color="000000" w:sz="8" w:space="0"/>
              <w:right w:val="single" w:color="000000" w:sz="8" w:space="0"/>
            </w:tcBorders>
            <w:shd w:val="clear" w:color="auto" w:fill="auto"/>
            <w:vAlign w:val="center"/>
          </w:tcPr>
          <w:p>
            <w:pPr>
              <w:widowControl/>
              <w:jc w:val="center"/>
              <w:textAlignment w:val="top"/>
              <w:rPr>
                <w:kern w:val="0"/>
                <w:szCs w:val="21"/>
              </w:rPr>
            </w:pPr>
            <w:r>
              <w:rPr>
                <w:kern w:val="0"/>
                <w:szCs w:val="21"/>
              </w:rPr>
              <w:t>4</w:t>
            </w:r>
          </w:p>
        </w:tc>
        <w:tc>
          <w:tcPr>
            <w:tcW w:w="1695" w:type="dxa"/>
            <w:tcBorders>
              <w:top w:val="nil"/>
              <w:left w:val="nil"/>
              <w:bottom w:val="single" w:color="000000" w:sz="8" w:space="0"/>
              <w:right w:val="single" w:color="000000" w:sz="8" w:space="0"/>
            </w:tcBorders>
            <w:shd w:val="clear" w:color="auto" w:fill="auto"/>
            <w:vAlign w:val="center"/>
          </w:tcPr>
          <w:p>
            <w:pPr>
              <w:widowControl/>
              <w:jc w:val="center"/>
              <w:textAlignment w:val="top"/>
              <w:rPr>
                <w:kern w:val="0"/>
                <w:szCs w:val="21"/>
              </w:rPr>
            </w:pPr>
            <w:r>
              <w:rPr>
                <w:kern w:val="0"/>
                <w:szCs w:val="21"/>
              </w:rPr>
              <w:t>3</w:t>
            </w:r>
          </w:p>
        </w:tc>
      </w:tr>
      <w:tr>
        <w:tblPrEx>
          <w:tblCellMar>
            <w:top w:w="0" w:type="dxa"/>
            <w:left w:w="108" w:type="dxa"/>
            <w:bottom w:w="0" w:type="dxa"/>
            <w:right w:w="108" w:type="dxa"/>
          </w:tblCellMar>
        </w:tblPrEx>
        <w:trPr>
          <w:trHeight w:val="340" w:hRule="atLeast"/>
          <w:jc w:val="center"/>
        </w:trPr>
        <w:tc>
          <w:tcPr>
            <w:tcW w:w="169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top"/>
              <w:rPr>
                <w:kern w:val="0"/>
                <w:szCs w:val="21"/>
              </w:rPr>
            </w:pPr>
            <w:r>
              <w:rPr>
                <w:kern w:val="0"/>
                <w:szCs w:val="21"/>
              </w:rPr>
              <w:t>Smax值</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top"/>
              <w:rPr>
                <w:kern w:val="0"/>
                <w:szCs w:val="21"/>
              </w:rPr>
            </w:pPr>
            <w:r>
              <w:rPr>
                <w:kern w:val="0"/>
                <w:szCs w:val="21"/>
              </w:rPr>
              <w:t>0.00043</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top"/>
              <w:rPr>
                <w:kern w:val="0"/>
                <w:szCs w:val="21"/>
              </w:rPr>
            </w:pPr>
            <w:r>
              <w:rPr>
                <w:kern w:val="0"/>
                <w:szCs w:val="21"/>
              </w:rPr>
              <w:t>0.0013</w:t>
            </w:r>
          </w:p>
        </w:tc>
        <w:tc>
          <w:tcPr>
            <w:tcW w:w="1695" w:type="dxa"/>
            <w:tcBorders>
              <w:top w:val="nil"/>
              <w:left w:val="nil"/>
              <w:bottom w:val="single" w:color="000000" w:sz="8" w:space="0"/>
              <w:right w:val="single" w:color="000000" w:sz="8" w:space="0"/>
            </w:tcBorders>
            <w:shd w:val="clear" w:color="auto" w:fill="auto"/>
            <w:vAlign w:val="center"/>
          </w:tcPr>
          <w:p>
            <w:pPr>
              <w:widowControl/>
              <w:jc w:val="center"/>
              <w:textAlignment w:val="top"/>
              <w:rPr>
                <w:kern w:val="0"/>
                <w:szCs w:val="21"/>
              </w:rPr>
            </w:pPr>
            <w:r>
              <w:rPr>
                <w:kern w:val="0"/>
                <w:szCs w:val="21"/>
              </w:rPr>
              <w:t>0.0069</w:t>
            </w:r>
          </w:p>
        </w:tc>
        <w:tc>
          <w:tcPr>
            <w:tcW w:w="1695" w:type="dxa"/>
            <w:tcBorders>
              <w:top w:val="nil"/>
              <w:left w:val="nil"/>
              <w:bottom w:val="single" w:color="000000" w:sz="8" w:space="0"/>
              <w:right w:val="single" w:color="000000" w:sz="8" w:space="0"/>
            </w:tcBorders>
            <w:shd w:val="clear" w:color="auto" w:fill="auto"/>
            <w:vAlign w:val="center"/>
          </w:tcPr>
          <w:p>
            <w:pPr>
              <w:widowControl/>
              <w:jc w:val="center"/>
              <w:textAlignment w:val="top"/>
              <w:rPr>
                <w:kern w:val="0"/>
                <w:szCs w:val="21"/>
              </w:rPr>
            </w:pPr>
            <w:r>
              <w:rPr>
                <w:kern w:val="0"/>
                <w:szCs w:val="21"/>
              </w:rPr>
              <w:t>0.014</w:t>
            </w:r>
          </w:p>
        </w:tc>
      </w:tr>
      <w:tr>
        <w:tblPrEx>
          <w:tblCellMar>
            <w:top w:w="0" w:type="dxa"/>
            <w:left w:w="108" w:type="dxa"/>
            <w:bottom w:w="0" w:type="dxa"/>
            <w:right w:w="108" w:type="dxa"/>
          </w:tblCellMar>
        </w:tblPrEx>
        <w:trPr>
          <w:trHeight w:val="340" w:hRule="atLeast"/>
          <w:jc w:val="center"/>
        </w:trPr>
        <w:tc>
          <w:tcPr>
            <w:tcW w:w="169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top"/>
              <w:rPr>
                <w:kern w:val="0"/>
                <w:szCs w:val="21"/>
              </w:rPr>
            </w:pPr>
            <w:r>
              <w:rPr>
                <w:kern w:val="0"/>
                <w:szCs w:val="21"/>
              </w:rPr>
              <w:t>∑S</w:t>
            </w:r>
            <w:r>
              <w:rPr>
                <w:kern w:val="0"/>
                <w:szCs w:val="21"/>
                <w:vertAlign w:val="superscript"/>
              </w:rPr>
              <w:t>2</w:t>
            </w:r>
          </w:p>
        </w:tc>
        <w:tc>
          <w:tcPr>
            <w:tcW w:w="2378" w:type="dxa"/>
            <w:tcBorders>
              <w:top w:val="nil"/>
              <w:left w:val="nil"/>
              <w:bottom w:val="single" w:color="000000" w:sz="8" w:space="0"/>
              <w:right w:val="single" w:color="000000" w:sz="8" w:space="0"/>
            </w:tcBorders>
            <w:shd w:val="clear" w:color="auto" w:fill="auto"/>
            <w:vAlign w:val="center"/>
          </w:tcPr>
          <w:p>
            <w:pPr>
              <w:widowControl/>
              <w:jc w:val="center"/>
              <w:textAlignment w:val="top"/>
              <w:rPr>
                <w:kern w:val="0"/>
                <w:szCs w:val="21"/>
              </w:rPr>
            </w:pPr>
            <w:r>
              <w:rPr>
                <w:kern w:val="0"/>
                <w:szCs w:val="21"/>
              </w:rPr>
              <w:t>4.36E-07</w:t>
            </w:r>
          </w:p>
        </w:tc>
        <w:tc>
          <w:tcPr>
            <w:tcW w:w="1695" w:type="dxa"/>
            <w:tcBorders>
              <w:top w:val="nil"/>
              <w:left w:val="nil"/>
              <w:bottom w:val="single" w:color="000000" w:sz="8" w:space="0"/>
              <w:right w:val="single" w:color="000000" w:sz="8" w:space="0"/>
            </w:tcBorders>
            <w:shd w:val="clear" w:color="auto" w:fill="auto"/>
            <w:vAlign w:val="center"/>
          </w:tcPr>
          <w:p>
            <w:pPr>
              <w:widowControl/>
              <w:jc w:val="center"/>
              <w:textAlignment w:val="top"/>
              <w:rPr>
                <w:kern w:val="0"/>
                <w:szCs w:val="21"/>
              </w:rPr>
            </w:pPr>
            <w:r>
              <w:rPr>
                <w:kern w:val="0"/>
                <w:szCs w:val="21"/>
              </w:rPr>
              <w:t>3.88E-06</w:t>
            </w:r>
          </w:p>
        </w:tc>
        <w:tc>
          <w:tcPr>
            <w:tcW w:w="1695" w:type="dxa"/>
            <w:tcBorders>
              <w:top w:val="nil"/>
              <w:left w:val="nil"/>
              <w:bottom w:val="single" w:color="000000" w:sz="8" w:space="0"/>
              <w:right w:val="single" w:color="000000" w:sz="8" w:space="0"/>
            </w:tcBorders>
            <w:shd w:val="clear" w:color="auto" w:fill="auto"/>
            <w:vAlign w:val="center"/>
          </w:tcPr>
          <w:p>
            <w:pPr>
              <w:widowControl/>
              <w:jc w:val="center"/>
              <w:textAlignment w:val="top"/>
              <w:rPr>
                <w:kern w:val="0"/>
                <w:szCs w:val="21"/>
              </w:rPr>
            </w:pPr>
            <w:r>
              <w:rPr>
                <w:kern w:val="0"/>
                <w:szCs w:val="21"/>
              </w:rPr>
              <w:t>8.21E-05</w:t>
            </w:r>
          </w:p>
        </w:tc>
        <w:tc>
          <w:tcPr>
            <w:tcW w:w="1695" w:type="dxa"/>
            <w:tcBorders>
              <w:top w:val="nil"/>
              <w:left w:val="nil"/>
              <w:bottom w:val="single" w:color="000000" w:sz="8" w:space="0"/>
              <w:right w:val="single" w:color="000000" w:sz="8" w:space="0"/>
            </w:tcBorders>
            <w:shd w:val="clear" w:color="auto" w:fill="auto"/>
            <w:vAlign w:val="center"/>
          </w:tcPr>
          <w:p>
            <w:pPr>
              <w:widowControl/>
              <w:jc w:val="center"/>
              <w:textAlignment w:val="top"/>
              <w:rPr>
                <w:kern w:val="0"/>
                <w:szCs w:val="21"/>
              </w:rPr>
            </w:pPr>
            <w:r>
              <w:rPr>
                <w:kern w:val="0"/>
                <w:szCs w:val="21"/>
              </w:rPr>
              <w:t>6.55E-04</w:t>
            </w:r>
          </w:p>
        </w:tc>
      </w:tr>
      <w:tr>
        <w:tblPrEx>
          <w:tblCellMar>
            <w:top w:w="0" w:type="dxa"/>
            <w:left w:w="108" w:type="dxa"/>
            <w:bottom w:w="0" w:type="dxa"/>
            <w:right w:w="108" w:type="dxa"/>
          </w:tblCellMar>
        </w:tblPrEx>
        <w:trPr>
          <w:trHeight w:val="340" w:hRule="atLeast"/>
          <w:jc w:val="center"/>
        </w:trPr>
        <w:tc>
          <w:tcPr>
            <w:tcW w:w="169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top"/>
              <w:rPr>
                <w:kern w:val="0"/>
                <w:szCs w:val="21"/>
              </w:rPr>
            </w:pPr>
            <w:r>
              <w:rPr>
                <w:kern w:val="0"/>
                <w:szCs w:val="21"/>
              </w:rPr>
              <w:t>C</w:t>
            </w:r>
          </w:p>
        </w:tc>
        <w:tc>
          <w:tcPr>
            <w:tcW w:w="2378" w:type="dxa"/>
            <w:tcBorders>
              <w:top w:val="nil"/>
              <w:left w:val="nil"/>
              <w:bottom w:val="single" w:color="000000" w:sz="8" w:space="0"/>
              <w:right w:val="single" w:color="000000" w:sz="8" w:space="0"/>
            </w:tcBorders>
            <w:shd w:val="clear" w:color="auto" w:fill="auto"/>
            <w:vAlign w:val="center"/>
          </w:tcPr>
          <w:p>
            <w:pPr>
              <w:widowControl/>
              <w:jc w:val="center"/>
              <w:textAlignment w:val="top"/>
              <w:rPr>
                <w:kern w:val="0"/>
                <w:szCs w:val="21"/>
              </w:rPr>
            </w:pPr>
            <w:r>
              <w:rPr>
                <w:kern w:val="0"/>
                <w:szCs w:val="21"/>
              </w:rPr>
              <w:t>0.4242</w:t>
            </w:r>
          </w:p>
        </w:tc>
        <w:tc>
          <w:tcPr>
            <w:tcW w:w="1695" w:type="dxa"/>
            <w:tcBorders>
              <w:top w:val="nil"/>
              <w:left w:val="nil"/>
              <w:bottom w:val="single" w:color="000000" w:sz="8" w:space="0"/>
              <w:right w:val="single" w:color="000000" w:sz="8" w:space="0"/>
            </w:tcBorders>
            <w:shd w:val="clear" w:color="auto" w:fill="auto"/>
            <w:vAlign w:val="center"/>
          </w:tcPr>
          <w:p>
            <w:pPr>
              <w:widowControl/>
              <w:jc w:val="center"/>
              <w:textAlignment w:val="top"/>
              <w:rPr>
                <w:kern w:val="0"/>
                <w:szCs w:val="21"/>
              </w:rPr>
            </w:pPr>
            <w:r>
              <w:rPr>
                <w:kern w:val="0"/>
                <w:szCs w:val="21"/>
              </w:rPr>
              <w:t>0.4360</w:t>
            </w:r>
          </w:p>
        </w:tc>
        <w:tc>
          <w:tcPr>
            <w:tcW w:w="1695" w:type="dxa"/>
            <w:tcBorders>
              <w:top w:val="nil"/>
              <w:left w:val="nil"/>
              <w:bottom w:val="single" w:color="000000" w:sz="8" w:space="0"/>
              <w:right w:val="single" w:color="000000" w:sz="8" w:space="0"/>
            </w:tcBorders>
            <w:shd w:val="clear" w:color="auto" w:fill="auto"/>
            <w:vAlign w:val="center"/>
          </w:tcPr>
          <w:p>
            <w:pPr>
              <w:widowControl/>
              <w:jc w:val="center"/>
              <w:textAlignment w:val="top"/>
              <w:rPr>
                <w:kern w:val="0"/>
                <w:szCs w:val="21"/>
              </w:rPr>
            </w:pPr>
            <w:r>
              <w:rPr>
                <w:kern w:val="0"/>
                <w:szCs w:val="21"/>
              </w:rPr>
              <w:t>0.5798</w:t>
            </w:r>
          </w:p>
        </w:tc>
        <w:tc>
          <w:tcPr>
            <w:tcW w:w="1695" w:type="dxa"/>
            <w:tcBorders>
              <w:top w:val="nil"/>
              <w:left w:val="nil"/>
              <w:bottom w:val="single" w:color="000000" w:sz="8" w:space="0"/>
              <w:right w:val="single" w:color="000000" w:sz="8" w:space="0"/>
            </w:tcBorders>
            <w:shd w:val="clear" w:color="auto" w:fill="auto"/>
            <w:vAlign w:val="center"/>
          </w:tcPr>
          <w:p>
            <w:pPr>
              <w:widowControl/>
              <w:jc w:val="center"/>
              <w:textAlignment w:val="top"/>
              <w:rPr>
                <w:kern w:val="0"/>
                <w:szCs w:val="21"/>
              </w:rPr>
            </w:pPr>
            <w:r>
              <w:rPr>
                <w:kern w:val="0"/>
                <w:szCs w:val="21"/>
              </w:rPr>
              <w:t>0.2992</w:t>
            </w:r>
          </w:p>
        </w:tc>
      </w:tr>
      <w:tr>
        <w:tblPrEx>
          <w:tblCellMar>
            <w:top w:w="0" w:type="dxa"/>
            <w:left w:w="108" w:type="dxa"/>
            <w:bottom w:w="0" w:type="dxa"/>
            <w:right w:w="108" w:type="dxa"/>
          </w:tblCellMar>
        </w:tblPrEx>
        <w:trPr>
          <w:trHeight w:val="340" w:hRule="atLeast"/>
          <w:jc w:val="center"/>
        </w:trPr>
        <w:tc>
          <w:tcPr>
            <w:tcW w:w="169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top"/>
              <w:rPr>
                <w:kern w:val="0"/>
                <w:szCs w:val="21"/>
              </w:rPr>
            </w:pPr>
            <w:r>
              <w:rPr>
                <w:kern w:val="0"/>
                <w:szCs w:val="21"/>
              </w:rPr>
              <w:t>离群值（Y/N）</w:t>
            </w:r>
          </w:p>
        </w:tc>
        <w:tc>
          <w:tcPr>
            <w:tcW w:w="2378" w:type="dxa"/>
            <w:tcBorders>
              <w:top w:val="nil"/>
              <w:left w:val="nil"/>
              <w:bottom w:val="single" w:color="000000" w:sz="8" w:space="0"/>
              <w:right w:val="single" w:color="000000" w:sz="8" w:space="0"/>
            </w:tcBorders>
            <w:shd w:val="clear" w:color="auto" w:fill="auto"/>
            <w:vAlign w:val="center"/>
          </w:tcPr>
          <w:p>
            <w:pPr>
              <w:widowControl/>
              <w:jc w:val="center"/>
              <w:textAlignment w:val="top"/>
              <w:rPr>
                <w:kern w:val="0"/>
                <w:szCs w:val="21"/>
              </w:rPr>
            </w:pPr>
            <w:r>
              <w:rPr>
                <w:kern w:val="0"/>
                <w:szCs w:val="21"/>
              </w:rPr>
              <w:t>Y</w:t>
            </w:r>
          </w:p>
        </w:tc>
        <w:tc>
          <w:tcPr>
            <w:tcW w:w="1695" w:type="dxa"/>
            <w:tcBorders>
              <w:top w:val="nil"/>
              <w:left w:val="nil"/>
              <w:bottom w:val="single" w:color="000000" w:sz="8" w:space="0"/>
              <w:right w:val="single" w:color="000000" w:sz="8" w:space="0"/>
            </w:tcBorders>
            <w:shd w:val="clear" w:color="auto" w:fill="auto"/>
            <w:vAlign w:val="center"/>
          </w:tcPr>
          <w:p>
            <w:pPr>
              <w:widowControl/>
              <w:jc w:val="center"/>
              <w:textAlignment w:val="top"/>
              <w:rPr>
                <w:kern w:val="0"/>
                <w:szCs w:val="21"/>
              </w:rPr>
            </w:pPr>
            <w:r>
              <w:rPr>
                <w:kern w:val="0"/>
                <w:szCs w:val="21"/>
              </w:rPr>
              <w:t>Y</w:t>
            </w:r>
          </w:p>
        </w:tc>
        <w:tc>
          <w:tcPr>
            <w:tcW w:w="1695" w:type="dxa"/>
            <w:tcBorders>
              <w:top w:val="nil"/>
              <w:left w:val="nil"/>
              <w:bottom w:val="single" w:color="000000" w:sz="8" w:space="0"/>
              <w:right w:val="single" w:color="000000" w:sz="8" w:space="0"/>
            </w:tcBorders>
            <w:shd w:val="clear" w:color="auto" w:fill="auto"/>
            <w:vAlign w:val="center"/>
          </w:tcPr>
          <w:p>
            <w:pPr>
              <w:widowControl/>
              <w:jc w:val="center"/>
              <w:textAlignment w:val="top"/>
              <w:rPr>
                <w:kern w:val="0"/>
                <w:szCs w:val="21"/>
              </w:rPr>
            </w:pPr>
            <w:r>
              <w:rPr>
                <w:kern w:val="0"/>
                <w:szCs w:val="21"/>
              </w:rPr>
              <w:t>Y</w:t>
            </w:r>
          </w:p>
        </w:tc>
        <w:tc>
          <w:tcPr>
            <w:tcW w:w="1695" w:type="dxa"/>
            <w:tcBorders>
              <w:top w:val="nil"/>
              <w:left w:val="nil"/>
              <w:bottom w:val="single" w:color="000000" w:sz="8" w:space="0"/>
              <w:right w:val="single" w:color="000000" w:sz="8" w:space="0"/>
            </w:tcBorders>
            <w:shd w:val="clear" w:color="auto" w:fill="auto"/>
            <w:vAlign w:val="center"/>
          </w:tcPr>
          <w:p>
            <w:pPr>
              <w:widowControl/>
              <w:jc w:val="center"/>
              <w:textAlignment w:val="top"/>
              <w:rPr>
                <w:kern w:val="0"/>
                <w:szCs w:val="21"/>
              </w:rPr>
            </w:pPr>
            <w:r>
              <w:rPr>
                <w:kern w:val="0"/>
                <w:szCs w:val="21"/>
              </w:rPr>
              <w:t>N</w:t>
            </w:r>
          </w:p>
        </w:tc>
      </w:tr>
      <w:tr>
        <w:tblPrEx>
          <w:tblCellMar>
            <w:top w:w="0" w:type="dxa"/>
            <w:left w:w="108" w:type="dxa"/>
            <w:bottom w:w="0" w:type="dxa"/>
            <w:right w:w="108" w:type="dxa"/>
          </w:tblCellMar>
        </w:tblPrEx>
        <w:trPr>
          <w:trHeight w:val="90" w:hRule="atLeast"/>
          <w:jc w:val="center"/>
        </w:trPr>
        <w:tc>
          <w:tcPr>
            <w:tcW w:w="169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top"/>
              <w:rPr>
                <w:kern w:val="0"/>
                <w:szCs w:val="21"/>
              </w:rPr>
            </w:pPr>
            <w:r>
              <w:rPr>
                <w:kern w:val="0"/>
                <w:szCs w:val="21"/>
              </w:rPr>
              <w:t>歧离值（Y/N）</w:t>
            </w:r>
          </w:p>
        </w:tc>
        <w:tc>
          <w:tcPr>
            <w:tcW w:w="2378" w:type="dxa"/>
            <w:tcBorders>
              <w:top w:val="nil"/>
              <w:left w:val="nil"/>
              <w:bottom w:val="single" w:color="000000" w:sz="8" w:space="0"/>
              <w:right w:val="single" w:color="000000" w:sz="8" w:space="0"/>
            </w:tcBorders>
            <w:shd w:val="clear" w:color="auto" w:fill="auto"/>
            <w:vAlign w:val="center"/>
          </w:tcPr>
          <w:p>
            <w:pPr>
              <w:widowControl/>
              <w:jc w:val="center"/>
              <w:textAlignment w:val="top"/>
              <w:rPr>
                <w:kern w:val="0"/>
                <w:szCs w:val="21"/>
              </w:rPr>
            </w:pPr>
            <w:r>
              <w:rPr>
                <w:kern w:val="0"/>
                <w:szCs w:val="21"/>
              </w:rPr>
              <w:t>N</w:t>
            </w:r>
          </w:p>
        </w:tc>
        <w:tc>
          <w:tcPr>
            <w:tcW w:w="1695" w:type="dxa"/>
            <w:tcBorders>
              <w:top w:val="nil"/>
              <w:left w:val="nil"/>
              <w:bottom w:val="single" w:color="000000" w:sz="8" w:space="0"/>
              <w:right w:val="single" w:color="000000" w:sz="8" w:space="0"/>
            </w:tcBorders>
            <w:shd w:val="clear" w:color="auto" w:fill="auto"/>
            <w:vAlign w:val="center"/>
          </w:tcPr>
          <w:p>
            <w:pPr>
              <w:widowControl/>
              <w:jc w:val="center"/>
              <w:textAlignment w:val="top"/>
              <w:rPr>
                <w:kern w:val="0"/>
                <w:szCs w:val="21"/>
              </w:rPr>
            </w:pPr>
            <w:r>
              <w:rPr>
                <w:kern w:val="0"/>
                <w:szCs w:val="21"/>
              </w:rPr>
              <w:t>N</w:t>
            </w:r>
          </w:p>
        </w:tc>
        <w:tc>
          <w:tcPr>
            <w:tcW w:w="1695" w:type="dxa"/>
            <w:tcBorders>
              <w:top w:val="nil"/>
              <w:left w:val="nil"/>
              <w:bottom w:val="single" w:color="000000" w:sz="8" w:space="0"/>
              <w:right w:val="single" w:color="000000" w:sz="8" w:space="0"/>
            </w:tcBorders>
            <w:shd w:val="clear" w:color="auto" w:fill="auto"/>
            <w:vAlign w:val="center"/>
          </w:tcPr>
          <w:p>
            <w:pPr>
              <w:widowControl/>
              <w:jc w:val="center"/>
              <w:textAlignment w:val="top"/>
              <w:rPr>
                <w:kern w:val="0"/>
                <w:szCs w:val="21"/>
              </w:rPr>
            </w:pPr>
            <w:r>
              <w:rPr>
                <w:rFonts w:hint="eastAsia"/>
                <w:b/>
                <w:bCs/>
                <w:kern w:val="0"/>
                <w:szCs w:val="21"/>
              </w:rPr>
              <w:t>N</w:t>
            </w:r>
          </w:p>
        </w:tc>
        <w:tc>
          <w:tcPr>
            <w:tcW w:w="1695" w:type="dxa"/>
            <w:tcBorders>
              <w:top w:val="nil"/>
              <w:left w:val="nil"/>
              <w:bottom w:val="single" w:color="000000" w:sz="8" w:space="0"/>
              <w:right w:val="single" w:color="000000" w:sz="8" w:space="0"/>
            </w:tcBorders>
            <w:shd w:val="clear" w:color="auto" w:fill="auto"/>
            <w:vAlign w:val="center"/>
          </w:tcPr>
          <w:p>
            <w:pPr>
              <w:widowControl/>
              <w:jc w:val="center"/>
              <w:textAlignment w:val="top"/>
              <w:rPr>
                <w:kern w:val="0"/>
                <w:szCs w:val="21"/>
              </w:rPr>
            </w:pPr>
            <w:r>
              <w:rPr>
                <w:kern w:val="0"/>
                <w:szCs w:val="21"/>
              </w:rPr>
              <w:t>N</w:t>
            </w:r>
          </w:p>
        </w:tc>
      </w:tr>
      <w:tr>
        <w:tblPrEx>
          <w:tblCellMar>
            <w:top w:w="0" w:type="dxa"/>
            <w:left w:w="108" w:type="dxa"/>
            <w:bottom w:w="0" w:type="dxa"/>
            <w:right w:w="108" w:type="dxa"/>
          </w:tblCellMar>
        </w:tblPrEx>
        <w:trPr>
          <w:trHeight w:val="340" w:hRule="atLeast"/>
          <w:jc w:val="center"/>
        </w:trPr>
        <w:tc>
          <w:tcPr>
            <w:tcW w:w="1695"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top"/>
              <w:rPr>
                <w:kern w:val="0"/>
                <w:szCs w:val="21"/>
              </w:rPr>
            </w:pPr>
            <w:r>
              <w:rPr>
                <w:kern w:val="0"/>
                <w:szCs w:val="21"/>
              </w:rPr>
              <w:t>C临界</w:t>
            </w:r>
          </w:p>
        </w:tc>
        <w:tc>
          <w:tcPr>
            <w:tcW w:w="7463" w:type="dxa"/>
            <w:gridSpan w:val="4"/>
            <w:tcBorders>
              <w:top w:val="nil"/>
              <w:left w:val="nil"/>
              <w:bottom w:val="single" w:color="000000" w:sz="8" w:space="0"/>
              <w:right w:val="single" w:color="000000" w:sz="8" w:space="0"/>
            </w:tcBorders>
            <w:shd w:val="clear" w:color="auto" w:fill="auto"/>
            <w:vAlign w:val="center"/>
          </w:tcPr>
          <w:p>
            <w:pPr>
              <w:widowControl/>
              <w:jc w:val="center"/>
              <w:textAlignment w:val="top"/>
              <w:rPr>
                <w:kern w:val="0"/>
                <w:szCs w:val="21"/>
              </w:rPr>
            </w:pPr>
            <w:r>
              <w:rPr>
                <w:kern w:val="0"/>
                <w:szCs w:val="21"/>
              </w:rPr>
              <w:t>实验室数p=6时，科克伦检验5%临界值为0.357，1%临界值为0.408。</w:t>
            </w:r>
          </w:p>
        </w:tc>
      </w:tr>
    </w:tbl>
    <w:p>
      <w:pPr>
        <w:spacing w:line="300" w:lineRule="auto"/>
        <w:ind w:firstLine="420" w:firstLineChars="200"/>
        <w:rPr>
          <w:color w:val="FF0000"/>
          <w:szCs w:val="21"/>
        </w:rPr>
      </w:pPr>
      <w:r>
        <w:rPr>
          <w:szCs w:val="21"/>
        </w:rPr>
        <w:t>柯克伦检验的结果表明，实验室7的水平1、水平3和实验室4的水平4为离群值，舍弃。</w:t>
      </w:r>
    </w:p>
    <w:p>
      <w:pPr>
        <w:spacing w:line="300" w:lineRule="auto"/>
        <w:ind w:firstLine="420" w:firstLineChars="200"/>
        <w:rPr>
          <w:color w:val="FF0000"/>
          <w:szCs w:val="21"/>
        </w:rPr>
      </w:pPr>
    </w:p>
    <w:p>
      <w:pPr>
        <w:spacing w:line="300" w:lineRule="auto"/>
        <w:jc w:val="center"/>
        <w:rPr>
          <w:szCs w:val="21"/>
        </w:rPr>
      </w:pPr>
      <w:r>
        <w:rPr>
          <w:color w:val="FF0000"/>
          <w:szCs w:val="21"/>
        </w:rPr>
        <w:t xml:space="preserve"> </w:t>
      </w:r>
      <w:r>
        <w:rPr>
          <w:szCs w:val="21"/>
        </w:rPr>
        <w:t>表A.</w:t>
      </w:r>
      <w:r>
        <w:rPr>
          <w:rFonts w:hint="eastAsia"/>
          <w:szCs w:val="21"/>
          <w:lang w:val="en-US" w:eastAsia="zh-CN"/>
        </w:rPr>
        <w:t>6</w:t>
      </w:r>
      <w:r>
        <w:rPr>
          <w:szCs w:val="21"/>
        </w:rPr>
        <w:t xml:space="preserve"> 各单元的标准差</w:t>
      </w:r>
    </w:p>
    <w:tbl>
      <w:tblPr>
        <w:tblStyle w:val="88"/>
        <w:tblW w:w="5000" w:type="pct"/>
        <w:jc w:val="center"/>
        <w:tblLayout w:type="autofit"/>
        <w:tblCellMar>
          <w:top w:w="0" w:type="dxa"/>
          <w:left w:w="108" w:type="dxa"/>
          <w:bottom w:w="0" w:type="dxa"/>
          <w:right w:w="108" w:type="dxa"/>
        </w:tblCellMar>
      </w:tblPr>
      <w:tblGrid>
        <w:gridCol w:w="2491"/>
        <w:gridCol w:w="2491"/>
        <w:gridCol w:w="2493"/>
        <w:gridCol w:w="2493"/>
      </w:tblGrid>
      <w:tr>
        <w:tblPrEx>
          <w:tblCellMar>
            <w:top w:w="0" w:type="dxa"/>
            <w:left w:w="108" w:type="dxa"/>
            <w:bottom w:w="0" w:type="dxa"/>
            <w:right w:w="108" w:type="dxa"/>
          </w:tblCellMar>
        </w:tblPrEx>
        <w:trPr>
          <w:trHeight w:val="340" w:hRule="atLeast"/>
          <w:jc w:val="center"/>
        </w:trPr>
        <w:tc>
          <w:tcPr>
            <w:tcW w:w="1993"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Cs w:val="21"/>
              </w:rPr>
            </w:pPr>
            <w:r>
              <w:rPr>
                <w:kern w:val="0"/>
                <w:szCs w:val="21"/>
              </w:rPr>
              <w:t>实验室</w:t>
            </w:r>
          </w:p>
        </w:tc>
        <w:tc>
          <w:tcPr>
            <w:tcW w:w="1993"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szCs w:val="21"/>
              </w:rPr>
            </w:pPr>
            <w:r>
              <w:rPr>
                <w:kern w:val="0"/>
                <w:szCs w:val="21"/>
              </w:rPr>
              <w:t>水平</w:t>
            </w:r>
            <w:r>
              <w:rPr>
                <w:rStyle w:val="254"/>
                <w:color w:val="auto"/>
                <w:sz w:val="21"/>
                <w:szCs w:val="21"/>
              </w:rPr>
              <w:t>1</w:t>
            </w:r>
          </w:p>
        </w:tc>
        <w:tc>
          <w:tcPr>
            <w:tcW w:w="1994"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szCs w:val="21"/>
              </w:rPr>
            </w:pPr>
            <w:r>
              <w:rPr>
                <w:kern w:val="0"/>
                <w:szCs w:val="21"/>
              </w:rPr>
              <w:t>水平</w:t>
            </w:r>
            <w:r>
              <w:rPr>
                <w:rStyle w:val="254"/>
                <w:color w:val="auto"/>
                <w:sz w:val="21"/>
                <w:szCs w:val="21"/>
              </w:rPr>
              <w:t>3</w:t>
            </w:r>
          </w:p>
        </w:tc>
        <w:tc>
          <w:tcPr>
            <w:tcW w:w="1994"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水平</w:t>
            </w:r>
            <w:r>
              <w:rPr>
                <w:rStyle w:val="254"/>
                <w:color w:val="auto"/>
                <w:sz w:val="21"/>
                <w:szCs w:val="21"/>
              </w:rPr>
              <w:t>4</w:t>
            </w:r>
          </w:p>
        </w:tc>
      </w:tr>
      <w:tr>
        <w:tblPrEx>
          <w:tblCellMar>
            <w:top w:w="0" w:type="dxa"/>
            <w:left w:w="108" w:type="dxa"/>
            <w:bottom w:w="0" w:type="dxa"/>
            <w:right w:w="108" w:type="dxa"/>
          </w:tblCellMar>
        </w:tblPrEx>
        <w:trPr>
          <w:trHeight w:val="340"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Cs w:val="21"/>
              </w:rPr>
            </w:pPr>
            <w:r>
              <w:rPr>
                <w:kern w:val="0"/>
                <w:szCs w:val="21"/>
              </w:rPr>
              <w:t>国合通测</w:t>
            </w:r>
            <w:r>
              <w:rPr>
                <w:rStyle w:val="254"/>
                <w:color w:val="auto"/>
                <w:sz w:val="21"/>
                <w:szCs w:val="21"/>
              </w:rPr>
              <w:t>1</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szCs w:val="21"/>
              </w:rPr>
            </w:pPr>
            <w:r>
              <w:rPr>
                <w:kern w:val="0"/>
                <w:szCs w:val="21"/>
              </w:rPr>
              <w:t>0.00019</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szCs w:val="21"/>
              </w:rPr>
            </w:pPr>
            <w:r>
              <w:rPr>
                <w:kern w:val="0"/>
                <w:szCs w:val="21"/>
              </w:rPr>
              <w:t>0.00055</w:t>
            </w:r>
          </w:p>
        </w:tc>
        <w:tc>
          <w:tcPr>
            <w:tcW w:w="1994" w:type="dxa"/>
            <w:tcBorders>
              <w:top w:val="nil"/>
              <w:left w:val="nil"/>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0.0037</w:t>
            </w:r>
          </w:p>
        </w:tc>
      </w:tr>
      <w:tr>
        <w:tblPrEx>
          <w:tblCellMar>
            <w:top w:w="0" w:type="dxa"/>
            <w:left w:w="108" w:type="dxa"/>
            <w:bottom w:w="0" w:type="dxa"/>
            <w:right w:w="108" w:type="dxa"/>
          </w:tblCellMar>
        </w:tblPrEx>
        <w:trPr>
          <w:trHeight w:val="340"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Cs w:val="21"/>
              </w:rPr>
            </w:pPr>
            <w:r>
              <w:rPr>
                <w:kern w:val="0"/>
                <w:szCs w:val="21"/>
              </w:rPr>
              <w:t>包头稀土</w:t>
            </w:r>
            <w:r>
              <w:rPr>
                <w:rStyle w:val="254"/>
                <w:color w:val="auto"/>
                <w:sz w:val="21"/>
                <w:szCs w:val="21"/>
              </w:rPr>
              <w:t>2</w:t>
            </w:r>
          </w:p>
        </w:tc>
        <w:tc>
          <w:tcPr>
            <w:tcW w:w="0" w:type="auto"/>
            <w:tcBorders>
              <w:top w:val="nil"/>
              <w:left w:val="nil"/>
              <w:bottom w:val="single" w:color="000000" w:sz="8" w:space="0"/>
              <w:right w:val="single" w:color="000000" w:sz="8" w:space="0"/>
            </w:tcBorders>
            <w:shd w:val="clear" w:color="auto" w:fill="auto"/>
            <w:noWrap/>
            <w:vAlign w:val="center"/>
          </w:tcPr>
          <w:p>
            <w:pPr>
              <w:jc w:val="center"/>
              <w:rPr>
                <w:szCs w:val="21"/>
              </w:rPr>
            </w:pPr>
            <w:r>
              <w:rPr>
                <w:szCs w:val="21"/>
              </w:rPr>
              <w:t>--</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szCs w:val="21"/>
              </w:rPr>
            </w:pPr>
            <w:r>
              <w:rPr>
                <w:kern w:val="0"/>
                <w:szCs w:val="21"/>
              </w:rPr>
              <w:t>0.00068</w:t>
            </w:r>
          </w:p>
        </w:tc>
        <w:tc>
          <w:tcPr>
            <w:tcW w:w="1994" w:type="dxa"/>
            <w:tcBorders>
              <w:top w:val="nil"/>
              <w:left w:val="nil"/>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0.0014</w:t>
            </w:r>
          </w:p>
        </w:tc>
      </w:tr>
      <w:tr>
        <w:tblPrEx>
          <w:tblCellMar>
            <w:top w:w="0" w:type="dxa"/>
            <w:left w:w="108" w:type="dxa"/>
            <w:bottom w:w="0" w:type="dxa"/>
            <w:right w:w="108" w:type="dxa"/>
          </w:tblCellMar>
        </w:tblPrEx>
        <w:trPr>
          <w:trHeight w:val="340"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Cs w:val="21"/>
              </w:rPr>
            </w:pPr>
            <w:r>
              <w:rPr>
                <w:kern w:val="0"/>
                <w:szCs w:val="21"/>
              </w:rPr>
              <w:t>国标检验</w:t>
            </w:r>
            <w:r>
              <w:rPr>
                <w:rStyle w:val="254"/>
                <w:color w:val="auto"/>
                <w:sz w:val="21"/>
                <w:szCs w:val="21"/>
              </w:rPr>
              <w:t>3</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szCs w:val="21"/>
              </w:rPr>
            </w:pPr>
            <w:r>
              <w:rPr>
                <w:kern w:val="0"/>
                <w:szCs w:val="21"/>
              </w:rPr>
              <w:t>0.00022</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szCs w:val="21"/>
              </w:rPr>
            </w:pPr>
            <w:r>
              <w:rPr>
                <w:kern w:val="0"/>
                <w:szCs w:val="21"/>
              </w:rPr>
              <w:t>0.00066</w:t>
            </w:r>
          </w:p>
        </w:tc>
        <w:tc>
          <w:tcPr>
            <w:tcW w:w="1994" w:type="dxa"/>
            <w:tcBorders>
              <w:top w:val="nil"/>
              <w:left w:val="nil"/>
              <w:bottom w:val="single" w:color="000000" w:sz="8" w:space="0"/>
              <w:right w:val="single" w:color="000000" w:sz="8" w:space="0"/>
            </w:tcBorders>
            <w:shd w:val="clear" w:color="auto" w:fill="auto"/>
            <w:vAlign w:val="center"/>
          </w:tcPr>
          <w:p>
            <w:pPr>
              <w:jc w:val="center"/>
              <w:rPr>
                <w:szCs w:val="21"/>
              </w:rPr>
            </w:pPr>
            <w:r>
              <w:rPr>
                <w:szCs w:val="21"/>
              </w:rPr>
              <w:t>--</w:t>
            </w:r>
          </w:p>
        </w:tc>
      </w:tr>
      <w:tr>
        <w:tblPrEx>
          <w:tblCellMar>
            <w:top w:w="0" w:type="dxa"/>
            <w:left w:w="108" w:type="dxa"/>
            <w:bottom w:w="0" w:type="dxa"/>
            <w:right w:w="108" w:type="dxa"/>
          </w:tblCellMar>
        </w:tblPrEx>
        <w:trPr>
          <w:trHeight w:val="340"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Cs w:val="21"/>
              </w:rPr>
            </w:pPr>
            <w:r>
              <w:rPr>
                <w:kern w:val="0"/>
                <w:szCs w:val="21"/>
              </w:rPr>
              <w:t>赣州有色</w:t>
            </w:r>
            <w:r>
              <w:rPr>
                <w:rStyle w:val="254"/>
                <w:color w:val="auto"/>
                <w:sz w:val="21"/>
                <w:szCs w:val="21"/>
              </w:rPr>
              <w:t>4</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szCs w:val="21"/>
              </w:rPr>
            </w:pPr>
            <w:r>
              <w:rPr>
                <w:kern w:val="0"/>
                <w:szCs w:val="21"/>
              </w:rPr>
              <w:t>0.00028</w:t>
            </w:r>
          </w:p>
        </w:tc>
        <w:tc>
          <w:tcPr>
            <w:tcW w:w="0" w:type="auto"/>
            <w:tcBorders>
              <w:top w:val="nil"/>
              <w:left w:val="nil"/>
              <w:bottom w:val="single" w:color="000000" w:sz="8" w:space="0"/>
              <w:right w:val="single" w:color="000000" w:sz="8" w:space="0"/>
            </w:tcBorders>
            <w:shd w:val="clear" w:color="auto" w:fill="auto"/>
            <w:noWrap/>
            <w:vAlign w:val="center"/>
          </w:tcPr>
          <w:p>
            <w:pPr>
              <w:jc w:val="center"/>
              <w:rPr>
                <w:szCs w:val="21"/>
              </w:rPr>
            </w:pPr>
            <w:r>
              <w:rPr>
                <w:szCs w:val="21"/>
              </w:rPr>
              <w:t>--</w:t>
            </w:r>
          </w:p>
        </w:tc>
        <w:tc>
          <w:tcPr>
            <w:tcW w:w="1994" w:type="dxa"/>
            <w:tcBorders>
              <w:top w:val="nil"/>
              <w:left w:val="nil"/>
              <w:bottom w:val="single" w:color="000000" w:sz="8" w:space="0"/>
              <w:right w:val="single" w:color="000000" w:sz="8" w:space="0"/>
            </w:tcBorders>
            <w:shd w:val="clear" w:color="auto" w:fill="auto"/>
            <w:vAlign w:val="center"/>
          </w:tcPr>
          <w:p>
            <w:pPr>
              <w:widowControl/>
              <w:jc w:val="center"/>
              <w:textAlignment w:val="center"/>
              <w:rPr>
                <w:b/>
                <w:bCs/>
                <w:szCs w:val="21"/>
              </w:rPr>
            </w:pPr>
            <w:r>
              <w:rPr>
                <w:szCs w:val="21"/>
              </w:rPr>
              <w:t>--</w:t>
            </w:r>
          </w:p>
        </w:tc>
      </w:tr>
      <w:tr>
        <w:tblPrEx>
          <w:tblCellMar>
            <w:top w:w="0" w:type="dxa"/>
            <w:left w:w="108" w:type="dxa"/>
            <w:bottom w:w="0" w:type="dxa"/>
            <w:right w:w="108" w:type="dxa"/>
          </w:tblCellMar>
        </w:tblPrEx>
        <w:trPr>
          <w:trHeight w:val="340"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Cs w:val="21"/>
              </w:rPr>
            </w:pPr>
            <w:r>
              <w:rPr>
                <w:kern w:val="0"/>
                <w:szCs w:val="21"/>
              </w:rPr>
              <w:t>乐山锐丰</w:t>
            </w:r>
            <w:r>
              <w:rPr>
                <w:rStyle w:val="254"/>
                <w:color w:val="auto"/>
                <w:sz w:val="21"/>
                <w:szCs w:val="21"/>
              </w:rPr>
              <w:t>5</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szCs w:val="21"/>
              </w:rPr>
            </w:pPr>
            <w:r>
              <w:rPr>
                <w:kern w:val="0"/>
                <w:szCs w:val="21"/>
              </w:rPr>
              <w:t>0.00025</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szCs w:val="21"/>
              </w:rPr>
            </w:pPr>
            <w:r>
              <w:rPr>
                <w:kern w:val="0"/>
                <w:szCs w:val="21"/>
              </w:rPr>
              <w:t>0.00082</w:t>
            </w:r>
          </w:p>
        </w:tc>
        <w:tc>
          <w:tcPr>
            <w:tcW w:w="1994" w:type="dxa"/>
            <w:tcBorders>
              <w:top w:val="nil"/>
              <w:left w:val="nil"/>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0.0011</w:t>
            </w:r>
          </w:p>
        </w:tc>
      </w:tr>
      <w:tr>
        <w:tblPrEx>
          <w:tblCellMar>
            <w:top w:w="0" w:type="dxa"/>
            <w:left w:w="108" w:type="dxa"/>
            <w:bottom w:w="0" w:type="dxa"/>
            <w:right w:w="108" w:type="dxa"/>
          </w:tblCellMar>
        </w:tblPrEx>
        <w:trPr>
          <w:trHeight w:val="340"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Cs w:val="21"/>
              </w:rPr>
            </w:pPr>
            <w:r>
              <w:rPr>
                <w:kern w:val="0"/>
                <w:szCs w:val="21"/>
              </w:rPr>
              <w:t>南方稀土</w:t>
            </w:r>
            <w:r>
              <w:rPr>
                <w:rStyle w:val="254"/>
                <w:color w:val="auto"/>
                <w:sz w:val="21"/>
                <w:szCs w:val="21"/>
              </w:rPr>
              <w:t>6</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szCs w:val="21"/>
              </w:rPr>
            </w:pPr>
            <w:r>
              <w:rPr>
                <w:kern w:val="0"/>
                <w:szCs w:val="21"/>
              </w:rPr>
              <w:t>0.00016</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szCs w:val="21"/>
              </w:rPr>
            </w:pPr>
            <w:r>
              <w:rPr>
                <w:kern w:val="0"/>
                <w:szCs w:val="21"/>
              </w:rPr>
              <w:t>0.00056</w:t>
            </w:r>
          </w:p>
        </w:tc>
        <w:tc>
          <w:tcPr>
            <w:tcW w:w="1994" w:type="dxa"/>
            <w:tcBorders>
              <w:top w:val="nil"/>
              <w:left w:val="nil"/>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0.0026</w:t>
            </w:r>
          </w:p>
        </w:tc>
      </w:tr>
      <w:tr>
        <w:tblPrEx>
          <w:tblCellMar>
            <w:top w:w="0" w:type="dxa"/>
            <w:left w:w="108" w:type="dxa"/>
            <w:bottom w:w="0" w:type="dxa"/>
            <w:right w:w="108" w:type="dxa"/>
          </w:tblCellMar>
        </w:tblPrEx>
        <w:trPr>
          <w:trHeight w:val="340" w:hRule="atLeast"/>
          <w:jc w:val="center"/>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Cs w:val="21"/>
              </w:rPr>
            </w:pPr>
            <w:r>
              <w:rPr>
                <w:kern w:val="0"/>
                <w:szCs w:val="21"/>
              </w:rPr>
              <w:t>有研稀土</w:t>
            </w:r>
            <w:r>
              <w:rPr>
                <w:rStyle w:val="254"/>
                <w:color w:val="auto"/>
                <w:sz w:val="21"/>
                <w:szCs w:val="21"/>
              </w:rPr>
              <w:t>7</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b/>
                <w:bCs/>
                <w:szCs w:val="21"/>
              </w:rPr>
            </w:pPr>
            <w:r>
              <w:rPr>
                <w:szCs w:val="21"/>
              </w:rPr>
              <w:t>--</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b/>
                <w:bCs/>
                <w:szCs w:val="21"/>
              </w:rPr>
            </w:pPr>
            <w:r>
              <w:rPr>
                <w:szCs w:val="21"/>
              </w:rPr>
              <w:t>--</w:t>
            </w:r>
          </w:p>
        </w:tc>
        <w:tc>
          <w:tcPr>
            <w:tcW w:w="1994" w:type="dxa"/>
            <w:tcBorders>
              <w:top w:val="nil"/>
              <w:left w:val="nil"/>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0.0033</w:t>
            </w:r>
          </w:p>
        </w:tc>
      </w:tr>
    </w:tbl>
    <w:p>
      <w:pPr>
        <w:spacing w:line="300" w:lineRule="auto"/>
        <w:rPr>
          <w:szCs w:val="21"/>
        </w:rPr>
      </w:pPr>
    </w:p>
    <w:p>
      <w:pPr>
        <w:spacing w:line="300" w:lineRule="auto"/>
        <w:jc w:val="center"/>
        <w:rPr>
          <w:szCs w:val="21"/>
        </w:rPr>
      </w:pPr>
      <w:r>
        <w:rPr>
          <w:szCs w:val="21"/>
        </w:rPr>
        <w:t>表A.</w:t>
      </w:r>
      <w:r>
        <w:rPr>
          <w:rFonts w:hint="eastAsia"/>
          <w:szCs w:val="21"/>
          <w:lang w:val="en-US" w:eastAsia="zh-CN"/>
        </w:rPr>
        <w:t>7</w:t>
      </w:r>
      <w:r>
        <w:rPr>
          <w:szCs w:val="21"/>
        </w:rPr>
        <w:t xml:space="preserve"> 柯克伦检验</w:t>
      </w:r>
    </w:p>
    <w:tbl>
      <w:tblPr>
        <w:tblStyle w:val="88"/>
        <w:tblW w:w="5000" w:type="pct"/>
        <w:jc w:val="center"/>
        <w:tblLayout w:type="autofit"/>
        <w:tblCellMar>
          <w:top w:w="0" w:type="dxa"/>
          <w:left w:w="108" w:type="dxa"/>
          <w:bottom w:w="0" w:type="dxa"/>
          <w:right w:w="108" w:type="dxa"/>
        </w:tblCellMar>
      </w:tblPr>
      <w:tblGrid>
        <w:gridCol w:w="1948"/>
        <w:gridCol w:w="2302"/>
        <w:gridCol w:w="3221"/>
        <w:gridCol w:w="2497"/>
      </w:tblGrid>
      <w:tr>
        <w:tblPrEx>
          <w:tblCellMar>
            <w:top w:w="0" w:type="dxa"/>
            <w:left w:w="108" w:type="dxa"/>
            <w:bottom w:w="0" w:type="dxa"/>
            <w:right w:w="108" w:type="dxa"/>
          </w:tblCellMar>
        </w:tblPrEx>
        <w:trPr>
          <w:trHeight w:val="340" w:hRule="atLeast"/>
          <w:jc w:val="center"/>
        </w:trPr>
        <w:tc>
          <w:tcPr>
            <w:tcW w:w="194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kern w:val="0"/>
                <w:szCs w:val="21"/>
              </w:rPr>
            </w:pPr>
            <w:r>
              <w:rPr>
                <w:kern w:val="0"/>
                <w:szCs w:val="21"/>
              </w:rPr>
              <w:t>实验室</w:t>
            </w:r>
            <w:r>
              <w:rPr>
                <w:rFonts w:hint="eastAsia"/>
                <w:kern w:val="0"/>
                <w:szCs w:val="21"/>
              </w:rPr>
              <w:t xml:space="preserve"> </w:t>
            </w:r>
          </w:p>
        </w:tc>
        <w:tc>
          <w:tcPr>
            <w:tcW w:w="2302"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kern w:val="0"/>
                <w:szCs w:val="21"/>
              </w:rPr>
            </w:pPr>
            <w:r>
              <w:rPr>
                <w:kern w:val="0"/>
                <w:szCs w:val="21"/>
              </w:rPr>
              <w:t>水平1</w:t>
            </w:r>
          </w:p>
        </w:tc>
        <w:tc>
          <w:tcPr>
            <w:tcW w:w="3221"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kern w:val="0"/>
                <w:szCs w:val="21"/>
              </w:rPr>
            </w:pPr>
            <w:r>
              <w:rPr>
                <w:kern w:val="0"/>
                <w:szCs w:val="21"/>
              </w:rPr>
              <w:t>水平3</w:t>
            </w:r>
          </w:p>
        </w:tc>
        <w:tc>
          <w:tcPr>
            <w:tcW w:w="2497"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kern w:val="0"/>
                <w:szCs w:val="21"/>
              </w:rPr>
            </w:pPr>
            <w:r>
              <w:rPr>
                <w:kern w:val="0"/>
                <w:szCs w:val="21"/>
              </w:rPr>
              <w:t>水平4</w:t>
            </w:r>
          </w:p>
        </w:tc>
      </w:tr>
      <w:tr>
        <w:tblPrEx>
          <w:tblCellMar>
            <w:top w:w="0" w:type="dxa"/>
            <w:left w:w="108" w:type="dxa"/>
            <w:bottom w:w="0" w:type="dxa"/>
            <w:right w:w="108" w:type="dxa"/>
          </w:tblCellMar>
        </w:tblPrEx>
        <w:trPr>
          <w:trHeight w:val="340" w:hRule="atLeast"/>
          <w:jc w:val="center"/>
        </w:trPr>
        <w:tc>
          <w:tcPr>
            <w:tcW w:w="194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kern w:val="0"/>
                <w:szCs w:val="21"/>
              </w:rPr>
            </w:pPr>
            <w:r>
              <w:rPr>
                <w:kern w:val="0"/>
                <w:szCs w:val="21"/>
              </w:rPr>
              <w:t>Smax实验室</w:t>
            </w:r>
          </w:p>
        </w:tc>
        <w:tc>
          <w:tcPr>
            <w:tcW w:w="2302" w:type="dxa"/>
            <w:tcBorders>
              <w:top w:val="nil"/>
              <w:left w:val="nil"/>
              <w:bottom w:val="single" w:color="000000" w:sz="8" w:space="0"/>
              <w:right w:val="single" w:color="000000" w:sz="8" w:space="0"/>
            </w:tcBorders>
            <w:shd w:val="clear" w:color="auto" w:fill="auto"/>
            <w:vAlign w:val="center"/>
          </w:tcPr>
          <w:p>
            <w:pPr>
              <w:widowControl/>
              <w:jc w:val="center"/>
              <w:textAlignment w:val="center"/>
              <w:rPr>
                <w:kern w:val="0"/>
                <w:szCs w:val="21"/>
              </w:rPr>
            </w:pPr>
            <w:r>
              <w:rPr>
                <w:kern w:val="0"/>
                <w:szCs w:val="21"/>
              </w:rPr>
              <w:t>4</w:t>
            </w:r>
          </w:p>
        </w:tc>
        <w:tc>
          <w:tcPr>
            <w:tcW w:w="3221" w:type="dxa"/>
            <w:tcBorders>
              <w:top w:val="nil"/>
              <w:left w:val="nil"/>
              <w:bottom w:val="single" w:color="000000" w:sz="8" w:space="0"/>
              <w:right w:val="single" w:color="000000" w:sz="8" w:space="0"/>
            </w:tcBorders>
            <w:shd w:val="clear" w:color="auto" w:fill="auto"/>
            <w:vAlign w:val="center"/>
          </w:tcPr>
          <w:p>
            <w:pPr>
              <w:widowControl/>
              <w:jc w:val="center"/>
              <w:textAlignment w:val="center"/>
              <w:rPr>
                <w:kern w:val="0"/>
                <w:szCs w:val="21"/>
              </w:rPr>
            </w:pPr>
            <w:r>
              <w:rPr>
                <w:kern w:val="0"/>
                <w:szCs w:val="21"/>
              </w:rPr>
              <w:t>5</w:t>
            </w:r>
          </w:p>
        </w:tc>
        <w:tc>
          <w:tcPr>
            <w:tcW w:w="2497" w:type="dxa"/>
            <w:tcBorders>
              <w:top w:val="nil"/>
              <w:left w:val="nil"/>
              <w:bottom w:val="single" w:color="000000" w:sz="8" w:space="0"/>
              <w:right w:val="single" w:color="000000" w:sz="8" w:space="0"/>
            </w:tcBorders>
            <w:shd w:val="clear" w:color="auto" w:fill="auto"/>
            <w:vAlign w:val="center"/>
          </w:tcPr>
          <w:p>
            <w:pPr>
              <w:widowControl/>
              <w:jc w:val="center"/>
              <w:textAlignment w:val="center"/>
              <w:rPr>
                <w:kern w:val="0"/>
                <w:szCs w:val="21"/>
              </w:rPr>
            </w:pPr>
            <w:r>
              <w:rPr>
                <w:kern w:val="0"/>
                <w:szCs w:val="21"/>
              </w:rPr>
              <w:t>1</w:t>
            </w:r>
          </w:p>
        </w:tc>
      </w:tr>
      <w:tr>
        <w:tblPrEx>
          <w:tblCellMar>
            <w:top w:w="0" w:type="dxa"/>
            <w:left w:w="108" w:type="dxa"/>
            <w:bottom w:w="0" w:type="dxa"/>
            <w:right w:w="108" w:type="dxa"/>
          </w:tblCellMar>
        </w:tblPrEx>
        <w:trPr>
          <w:trHeight w:val="340" w:hRule="atLeast"/>
          <w:jc w:val="center"/>
        </w:trPr>
        <w:tc>
          <w:tcPr>
            <w:tcW w:w="194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kern w:val="0"/>
                <w:szCs w:val="21"/>
              </w:rPr>
            </w:pPr>
            <w:r>
              <w:rPr>
                <w:kern w:val="0"/>
                <w:szCs w:val="21"/>
              </w:rPr>
              <w:t>Smax值</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kern w:val="0"/>
                <w:szCs w:val="21"/>
              </w:rPr>
            </w:pPr>
            <w:r>
              <w:rPr>
                <w:kern w:val="0"/>
                <w:szCs w:val="21"/>
              </w:rPr>
              <w:t>0.00028</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textAlignment w:val="center"/>
              <w:rPr>
                <w:kern w:val="0"/>
                <w:szCs w:val="21"/>
              </w:rPr>
            </w:pPr>
            <w:r>
              <w:rPr>
                <w:kern w:val="0"/>
                <w:szCs w:val="21"/>
              </w:rPr>
              <w:t>0.00082</w:t>
            </w:r>
          </w:p>
        </w:tc>
        <w:tc>
          <w:tcPr>
            <w:tcW w:w="2497" w:type="dxa"/>
            <w:tcBorders>
              <w:top w:val="nil"/>
              <w:left w:val="nil"/>
              <w:bottom w:val="single" w:color="000000" w:sz="8" w:space="0"/>
              <w:right w:val="single" w:color="000000" w:sz="8" w:space="0"/>
            </w:tcBorders>
            <w:shd w:val="clear" w:color="auto" w:fill="auto"/>
            <w:vAlign w:val="center"/>
          </w:tcPr>
          <w:p>
            <w:pPr>
              <w:widowControl/>
              <w:jc w:val="center"/>
              <w:textAlignment w:val="center"/>
              <w:rPr>
                <w:kern w:val="0"/>
                <w:szCs w:val="21"/>
              </w:rPr>
            </w:pPr>
            <w:r>
              <w:rPr>
                <w:kern w:val="0"/>
                <w:szCs w:val="21"/>
              </w:rPr>
              <w:t>0.0037</w:t>
            </w:r>
          </w:p>
        </w:tc>
      </w:tr>
      <w:tr>
        <w:tblPrEx>
          <w:tblCellMar>
            <w:top w:w="0" w:type="dxa"/>
            <w:left w:w="108" w:type="dxa"/>
            <w:bottom w:w="0" w:type="dxa"/>
            <w:right w:w="108" w:type="dxa"/>
          </w:tblCellMar>
        </w:tblPrEx>
        <w:trPr>
          <w:trHeight w:val="340" w:hRule="atLeast"/>
          <w:jc w:val="center"/>
        </w:trPr>
        <w:tc>
          <w:tcPr>
            <w:tcW w:w="194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kern w:val="0"/>
                <w:szCs w:val="21"/>
              </w:rPr>
            </w:pPr>
            <w:r>
              <w:rPr>
                <w:kern w:val="0"/>
                <w:szCs w:val="21"/>
              </w:rPr>
              <w:t>∑S</w:t>
            </w:r>
            <w:r>
              <w:rPr>
                <w:kern w:val="0"/>
                <w:szCs w:val="21"/>
                <w:vertAlign w:val="superscript"/>
              </w:rPr>
              <w:t>2</w:t>
            </w:r>
          </w:p>
        </w:tc>
        <w:tc>
          <w:tcPr>
            <w:tcW w:w="2302" w:type="dxa"/>
            <w:tcBorders>
              <w:top w:val="nil"/>
              <w:left w:val="nil"/>
              <w:bottom w:val="single" w:color="000000" w:sz="8" w:space="0"/>
              <w:right w:val="single" w:color="000000" w:sz="8" w:space="0"/>
            </w:tcBorders>
            <w:shd w:val="clear" w:color="auto" w:fill="auto"/>
            <w:vAlign w:val="center"/>
          </w:tcPr>
          <w:p>
            <w:pPr>
              <w:widowControl/>
              <w:jc w:val="center"/>
              <w:textAlignment w:val="center"/>
              <w:rPr>
                <w:kern w:val="0"/>
                <w:szCs w:val="21"/>
              </w:rPr>
            </w:pPr>
            <w:r>
              <w:rPr>
                <w:kern w:val="0"/>
                <w:szCs w:val="21"/>
              </w:rPr>
              <w:t>2.51E-07</w:t>
            </w:r>
          </w:p>
        </w:tc>
        <w:tc>
          <w:tcPr>
            <w:tcW w:w="3221" w:type="dxa"/>
            <w:tcBorders>
              <w:top w:val="nil"/>
              <w:left w:val="nil"/>
              <w:bottom w:val="single" w:color="000000" w:sz="8" w:space="0"/>
              <w:right w:val="single" w:color="000000" w:sz="8" w:space="0"/>
            </w:tcBorders>
            <w:shd w:val="clear" w:color="auto" w:fill="auto"/>
            <w:vAlign w:val="center"/>
          </w:tcPr>
          <w:p>
            <w:pPr>
              <w:widowControl/>
              <w:jc w:val="center"/>
              <w:textAlignment w:val="center"/>
              <w:rPr>
                <w:kern w:val="0"/>
                <w:szCs w:val="21"/>
              </w:rPr>
            </w:pPr>
            <w:r>
              <w:rPr>
                <w:kern w:val="0"/>
                <w:szCs w:val="21"/>
              </w:rPr>
              <w:t>2.19E-06</w:t>
            </w:r>
          </w:p>
        </w:tc>
        <w:tc>
          <w:tcPr>
            <w:tcW w:w="2497" w:type="dxa"/>
            <w:tcBorders>
              <w:top w:val="nil"/>
              <w:left w:val="nil"/>
              <w:bottom w:val="single" w:color="000000" w:sz="8" w:space="0"/>
              <w:right w:val="single" w:color="000000" w:sz="8" w:space="0"/>
            </w:tcBorders>
            <w:shd w:val="clear" w:color="auto" w:fill="auto"/>
            <w:vAlign w:val="center"/>
          </w:tcPr>
          <w:p>
            <w:pPr>
              <w:widowControl/>
              <w:jc w:val="center"/>
              <w:textAlignment w:val="center"/>
              <w:rPr>
                <w:kern w:val="0"/>
                <w:szCs w:val="21"/>
              </w:rPr>
            </w:pPr>
            <w:r>
              <w:rPr>
                <w:kern w:val="0"/>
                <w:szCs w:val="21"/>
              </w:rPr>
              <w:t>3.45E-05</w:t>
            </w:r>
          </w:p>
        </w:tc>
      </w:tr>
      <w:tr>
        <w:tblPrEx>
          <w:tblCellMar>
            <w:top w:w="0" w:type="dxa"/>
            <w:left w:w="108" w:type="dxa"/>
            <w:bottom w:w="0" w:type="dxa"/>
            <w:right w:w="108" w:type="dxa"/>
          </w:tblCellMar>
        </w:tblPrEx>
        <w:trPr>
          <w:trHeight w:val="340" w:hRule="atLeast"/>
          <w:jc w:val="center"/>
        </w:trPr>
        <w:tc>
          <w:tcPr>
            <w:tcW w:w="194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kern w:val="0"/>
                <w:szCs w:val="21"/>
              </w:rPr>
            </w:pPr>
            <w:r>
              <w:rPr>
                <w:kern w:val="0"/>
                <w:szCs w:val="21"/>
              </w:rPr>
              <w:t>C</w:t>
            </w:r>
          </w:p>
        </w:tc>
        <w:tc>
          <w:tcPr>
            <w:tcW w:w="2302" w:type="dxa"/>
            <w:tcBorders>
              <w:top w:val="nil"/>
              <w:left w:val="nil"/>
              <w:bottom w:val="single" w:color="000000" w:sz="8" w:space="0"/>
              <w:right w:val="single" w:color="000000" w:sz="8" w:space="0"/>
            </w:tcBorders>
            <w:shd w:val="clear" w:color="auto" w:fill="auto"/>
            <w:vAlign w:val="center"/>
          </w:tcPr>
          <w:p>
            <w:pPr>
              <w:widowControl/>
              <w:jc w:val="center"/>
              <w:textAlignment w:val="center"/>
              <w:rPr>
                <w:kern w:val="0"/>
                <w:szCs w:val="21"/>
              </w:rPr>
            </w:pPr>
            <w:r>
              <w:rPr>
                <w:kern w:val="0"/>
                <w:szCs w:val="21"/>
              </w:rPr>
              <w:t>0.312</w:t>
            </w:r>
          </w:p>
        </w:tc>
        <w:tc>
          <w:tcPr>
            <w:tcW w:w="3221" w:type="dxa"/>
            <w:tcBorders>
              <w:top w:val="nil"/>
              <w:left w:val="nil"/>
              <w:bottom w:val="single" w:color="000000" w:sz="8" w:space="0"/>
              <w:right w:val="single" w:color="000000" w:sz="8" w:space="0"/>
            </w:tcBorders>
            <w:shd w:val="clear" w:color="auto" w:fill="auto"/>
            <w:vAlign w:val="center"/>
          </w:tcPr>
          <w:p>
            <w:pPr>
              <w:widowControl/>
              <w:jc w:val="center"/>
              <w:textAlignment w:val="center"/>
              <w:rPr>
                <w:kern w:val="0"/>
                <w:szCs w:val="21"/>
              </w:rPr>
            </w:pPr>
            <w:r>
              <w:rPr>
                <w:kern w:val="0"/>
                <w:szCs w:val="21"/>
              </w:rPr>
              <w:t>0.308</w:t>
            </w:r>
          </w:p>
        </w:tc>
        <w:tc>
          <w:tcPr>
            <w:tcW w:w="2497" w:type="dxa"/>
            <w:tcBorders>
              <w:top w:val="nil"/>
              <w:left w:val="nil"/>
              <w:bottom w:val="single" w:color="000000" w:sz="8" w:space="0"/>
              <w:right w:val="single" w:color="000000" w:sz="8" w:space="0"/>
            </w:tcBorders>
            <w:shd w:val="clear" w:color="auto" w:fill="auto"/>
            <w:vAlign w:val="center"/>
          </w:tcPr>
          <w:p>
            <w:pPr>
              <w:widowControl/>
              <w:jc w:val="center"/>
              <w:textAlignment w:val="center"/>
              <w:rPr>
                <w:kern w:val="0"/>
                <w:szCs w:val="21"/>
              </w:rPr>
            </w:pPr>
            <w:r>
              <w:rPr>
                <w:kern w:val="0"/>
                <w:szCs w:val="21"/>
              </w:rPr>
              <w:t>0.397</w:t>
            </w:r>
          </w:p>
        </w:tc>
      </w:tr>
      <w:tr>
        <w:tblPrEx>
          <w:tblCellMar>
            <w:top w:w="0" w:type="dxa"/>
            <w:left w:w="108" w:type="dxa"/>
            <w:bottom w:w="0" w:type="dxa"/>
            <w:right w:w="108" w:type="dxa"/>
          </w:tblCellMar>
        </w:tblPrEx>
        <w:trPr>
          <w:trHeight w:val="340" w:hRule="atLeast"/>
          <w:jc w:val="center"/>
        </w:trPr>
        <w:tc>
          <w:tcPr>
            <w:tcW w:w="1948" w:type="dxa"/>
            <w:tcBorders>
              <w:top w:val="nil"/>
              <w:left w:val="single" w:color="000000" w:sz="8" w:space="0"/>
              <w:bottom w:val="single" w:color="auto" w:sz="4" w:space="0"/>
              <w:right w:val="single" w:color="000000" w:sz="8" w:space="0"/>
            </w:tcBorders>
            <w:shd w:val="clear" w:color="auto" w:fill="auto"/>
            <w:vAlign w:val="center"/>
          </w:tcPr>
          <w:p>
            <w:pPr>
              <w:widowControl/>
              <w:jc w:val="center"/>
              <w:textAlignment w:val="center"/>
              <w:rPr>
                <w:kern w:val="0"/>
                <w:szCs w:val="21"/>
              </w:rPr>
            </w:pPr>
            <w:r>
              <w:rPr>
                <w:kern w:val="0"/>
                <w:szCs w:val="21"/>
              </w:rPr>
              <w:t>离群值（Y/N）</w:t>
            </w:r>
          </w:p>
        </w:tc>
        <w:tc>
          <w:tcPr>
            <w:tcW w:w="2302" w:type="dxa"/>
            <w:tcBorders>
              <w:top w:val="nil"/>
              <w:left w:val="nil"/>
              <w:bottom w:val="single" w:color="auto" w:sz="4" w:space="0"/>
              <w:right w:val="single" w:color="000000" w:sz="8" w:space="0"/>
            </w:tcBorders>
            <w:shd w:val="clear" w:color="auto" w:fill="auto"/>
            <w:vAlign w:val="center"/>
          </w:tcPr>
          <w:p>
            <w:pPr>
              <w:widowControl/>
              <w:jc w:val="center"/>
              <w:textAlignment w:val="center"/>
              <w:rPr>
                <w:kern w:val="0"/>
                <w:szCs w:val="21"/>
              </w:rPr>
            </w:pPr>
            <w:r>
              <w:rPr>
                <w:kern w:val="0"/>
                <w:szCs w:val="21"/>
              </w:rPr>
              <w:t>N</w:t>
            </w:r>
          </w:p>
        </w:tc>
        <w:tc>
          <w:tcPr>
            <w:tcW w:w="3221" w:type="dxa"/>
            <w:tcBorders>
              <w:top w:val="nil"/>
              <w:left w:val="nil"/>
              <w:bottom w:val="single" w:color="auto" w:sz="4" w:space="0"/>
              <w:right w:val="single" w:color="000000" w:sz="8" w:space="0"/>
            </w:tcBorders>
            <w:shd w:val="clear" w:color="auto" w:fill="auto"/>
            <w:vAlign w:val="center"/>
          </w:tcPr>
          <w:p>
            <w:pPr>
              <w:widowControl/>
              <w:jc w:val="center"/>
              <w:textAlignment w:val="center"/>
              <w:rPr>
                <w:kern w:val="0"/>
                <w:szCs w:val="21"/>
              </w:rPr>
            </w:pPr>
            <w:r>
              <w:rPr>
                <w:kern w:val="0"/>
                <w:szCs w:val="21"/>
              </w:rPr>
              <w:t>N</w:t>
            </w:r>
          </w:p>
        </w:tc>
        <w:tc>
          <w:tcPr>
            <w:tcW w:w="2497" w:type="dxa"/>
            <w:tcBorders>
              <w:top w:val="nil"/>
              <w:left w:val="nil"/>
              <w:bottom w:val="single" w:color="auto" w:sz="4" w:space="0"/>
              <w:right w:val="single" w:color="000000" w:sz="8" w:space="0"/>
            </w:tcBorders>
            <w:shd w:val="clear" w:color="auto" w:fill="auto"/>
            <w:vAlign w:val="center"/>
          </w:tcPr>
          <w:p>
            <w:pPr>
              <w:widowControl/>
              <w:jc w:val="center"/>
              <w:textAlignment w:val="center"/>
              <w:rPr>
                <w:kern w:val="0"/>
                <w:szCs w:val="21"/>
              </w:rPr>
            </w:pPr>
            <w:r>
              <w:rPr>
                <w:kern w:val="0"/>
                <w:szCs w:val="21"/>
              </w:rPr>
              <w:t>N</w:t>
            </w:r>
          </w:p>
        </w:tc>
      </w:tr>
      <w:tr>
        <w:tblPrEx>
          <w:tblCellMar>
            <w:top w:w="0" w:type="dxa"/>
            <w:left w:w="108" w:type="dxa"/>
            <w:bottom w:w="0" w:type="dxa"/>
            <w:right w:w="108" w:type="dxa"/>
          </w:tblCellMar>
        </w:tblPrEx>
        <w:trPr>
          <w:trHeight w:val="340" w:hRule="atLeast"/>
          <w:jc w:val="center"/>
        </w:trPr>
        <w:tc>
          <w:tcPr>
            <w:tcW w:w="194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kern w:val="0"/>
                <w:szCs w:val="21"/>
              </w:rPr>
            </w:pPr>
            <w:r>
              <w:rPr>
                <w:kern w:val="0"/>
                <w:szCs w:val="21"/>
              </w:rPr>
              <w:t>歧离值（Y/N）</w:t>
            </w:r>
          </w:p>
        </w:tc>
        <w:tc>
          <w:tcPr>
            <w:tcW w:w="230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kern w:val="0"/>
                <w:szCs w:val="21"/>
              </w:rPr>
            </w:pPr>
            <w:r>
              <w:rPr>
                <w:kern w:val="0"/>
                <w:szCs w:val="21"/>
              </w:rPr>
              <w:t>N</w:t>
            </w:r>
          </w:p>
        </w:tc>
        <w:tc>
          <w:tcPr>
            <w:tcW w:w="32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kern w:val="0"/>
                <w:szCs w:val="21"/>
              </w:rPr>
            </w:pPr>
            <w:r>
              <w:rPr>
                <w:kern w:val="0"/>
                <w:szCs w:val="21"/>
              </w:rPr>
              <w:t>N</w:t>
            </w:r>
          </w:p>
        </w:tc>
        <w:tc>
          <w:tcPr>
            <w:tcW w:w="24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kern w:val="0"/>
                <w:szCs w:val="21"/>
              </w:rPr>
            </w:pPr>
            <w:r>
              <w:rPr>
                <w:kern w:val="0"/>
                <w:szCs w:val="21"/>
              </w:rPr>
              <w:t>N</w:t>
            </w:r>
          </w:p>
        </w:tc>
      </w:tr>
      <w:tr>
        <w:tblPrEx>
          <w:tblCellMar>
            <w:top w:w="0" w:type="dxa"/>
            <w:left w:w="108" w:type="dxa"/>
            <w:bottom w:w="0" w:type="dxa"/>
            <w:right w:w="108" w:type="dxa"/>
          </w:tblCellMar>
        </w:tblPrEx>
        <w:trPr>
          <w:trHeight w:val="340" w:hRule="atLeast"/>
          <w:jc w:val="center"/>
        </w:trPr>
        <w:tc>
          <w:tcPr>
            <w:tcW w:w="1948" w:type="dxa"/>
            <w:tcBorders>
              <w:top w:val="single" w:color="auto" w:sz="4" w:space="0"/>
              <w:left w:val="single" w:color="000000" w:sz="8" w:space="0"/>
              <w:bottom w:val="single" w:color="000000" w:sz="8" w:space="0"/>
              <w:right w:val="single" w:color="000000" w:sz="8" w:space="0"/>
            </w:tcBorders>
            <w:shd w:val="clear" w:color="auto" w:fill="auto"/>
            <w:vAlign w:val="center"/>
          </w:tcPr>
          <w:p>
            <w:pPr>
              <w:jc w:val="center"/>
              <w:rPr>
                <w:kern w:val="0"/>
                <w:szCs w:val="21"/>
              </w:rPr>
            </w:pPr>
            <w:r>
              <w:rPr>
                <w:szCs w:val="21"/>
              </w:rPr>
              <w:t>C临界</w:t>
            </w:r>
          </w:p>
        </w:tc>
        <w:tc>
          <w:tcPr>
            <w:tcW w:w="8020" w:type="dxa"/>
            <w:gridSpan w:val="3"/>
            <w:tcBorders>
              <w:top w:val="single" w:color="auto" w:sz="4" w:space="0"/>
              <w:left w:val="nil"/>
              <w:bottom w:val="single" w:color="000000" w:sz="8" w:space="0"/>
              <w:right w:val="single" w:color="000000" w:sz="8" w:space="0"/>
            </w:tcBorders>
            <w:shd w:val="clear" w:color="auto" w:fill="auto"/>
            <w:vAlign w:val="center"/>
          </w:tcPr>
          <w:p>
            <w:pPr>
              <w:jc w:val="center"/>
              <w:rPr>
                <w:kern w:val="0"/>
                <w:szCs w:val="21"/>
              </w:rPr>
            </w:pPr>
            <w:r>
              <w:rPr>
                <w:szCs w:val="21"/>
              </w:rPr>
              <w:t>实验室数p=5时，科克伦检验5%临界值为0.412，1%临界值为0.470。</w:t>
            </w:r>
          </w:p>
        </w:tc>
      </w:tr>
    </w:tbl>
    <w:p>
      <w:pPr>
        <w:widowControl/>
        <w:jc w:val="left"/>
        <w:rPr>
          <w:color w:val="FF0000"/>
          <w:szCs w:val="21"/>
        </w:rPr>
      </w:pPr>
    </w:p>
    <w:p>
      <w:pPr>
        <w:widowControl/>
        <w:ind w:firstLine="420" w:firstLineChars="200"/>
        <w:jc w:val="left"/>
        <w:rPr>
          <w:szCs w:val="21"/>
        </w:rPr>
      </w:pPr>
      <w:r>
        <w:rPr>
          <w:szCs w:val="21"/>
        </w:rPr>
        <w:t>柯克伦检验的结果表明，无离群值，无歧离值。</w:t>
      </w:r>
    </w:p>
    <w:p>
      <w:pPr>
        <w:spacing w:line="300" w:lineRule="auto"/>
        <w:rPr>
          <w:rFonts w:eastAsia="黑体"/>
          <w:szCs w:val="21"/>
        </w:rPr>
      </w:pPr>
    </w:p>
    <w:p>
      <w:pPr>
        <w:spacing w:line="300" w:lineRule="auto"/>
        <w:rPr>
          <w:rFonts w:eastAsia="黑体"/>
          <w:szCs w:val="21"/>
        </w:rPr>
      </w:pPr>
      <w:r>
        <w:rPr>
          <w:rFonts w:eastAsia="黑体"/>
          <w:szCs w:val="21"/>
        </w:rPr>
        <w:t>2.2  格拉布斯检验</w:t>
      </w:r>
    </w:p>
    <w:p>
      <w:pPr>
        <w:spacing w:line="300" w:lineRule="auto"/>
        <w:rPr>
          <w:rFonts w:eastAsia="黑体"/>
          <w:szCs w:val="21"/>
        </w:rPr>
      </w:pPr>
    </w:p>
    <w:tbl>
      <w:tblPr>
        <w:tblStyle w:val="88"/>
        <w:tblpPr w:leftFromText="180" w:rightFromText="180" w:vertAnchor="text" w:horzAnchor="page" w:tblpX="1067" w:tblpY="364"/>
        <w:tblOverlap w:val="never"/>
        <w:tblW w:w="5000" w:type="pct"/>
        <w:tblInd w:w="0" w:type="dxa"/>
        <w:tblLayout w:type="autofit"/>
        <w:tblCellMar>
          <w:top w:w="0" w:type="dxa"/>
          <w:left w:w="108" w:type="dxa"/>
          <w:bottom w:w="0" w:type="dxa"/>
          <w:right w:w="108" w:type="dxa"/>
        </w:tblCellMar>
      </w:tblPr>
      <w:tblGrid>
        <w:gridCol w:w="1712"/>
        <w:gridCol w:w="1291"/>
        <w:gridCol w:w="1400"/>
        <w:gridCol w:w="1390"/>
        <w:gridCol w:w="1440"/>
        <w:gridCol w:w="1436"/>
        <w:gridCol w:w="1299"/>
      </w:tblGrid>
      <w:tr>
        <w:tblPrEx>
          <w:tblCellMar>
            <w:top w:w="0" w:type="dxa"/>
            <w:left w:w="108" w:type="dxa"/>
            <w:bottom w:w="0" w:type="dxa"/>
            <w:right w:w="108" w:type="dxa"/>
          </w:tblCellMar>
        </w:tblPrEx>
        <w:trPr>
          <w:trHeight w:val="340" w:hRule="atLeast"/>
        </w:trPr>
        <w:tc>
          <w:tcPr>
            <w:tcW w:w="858"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color w:val="auto"/>
                <w:kern w:val="0"/>
                <w:szCs w:val="21"/>
              </w:rPr>
            </w:pPr>
            <w:r>
              <w:rPr>
                <w:rFonts w:eastAsiaTheme="minorEastAsia"/>
                <w:color w:val="auto"/>
                <w:kern w:val="0"/>
                <w:szCs w:val="21"/>
              </w:rPr>
              <w:t>实验室</w:t>
            </w:r>
          </w:p>
        </w:tc>
        <w:tc>
          <w:tcPr>
            <w:tcW w:w="64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color w:val="auto"/>
                <w:kern w:val="0"/>
                <w:szCs w:val="21"/>
              </w:rPr>
            </w:pPr>
            <w:r>
              <w:rPr>
                <w:rFonts w:eastAsiaTheme="minorEastAsia"/>
                <w:color w:val="auto"/>
                <w:kern w:val="0"/>
                <w:szCs w:val="21"/>
              </w:rPr>
              <w:t>水平1</w:t>
            </w:r>
          </w:p>
        </w:tc>
        <w:tc>
          <w:tcPr>
            <w:tcW w:w="702"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color w:val="auto"/>
                <w:kern w:val="0"/>
                <w:szCs w:val="21"/>
              </w:rPr>
            </w:pPr>
            <w:r>
              <w:rPr>
                <w:rFonts w:eastAsiaTheme="minorEastAsia"/>
                <w:color w:val="auto"/>
                <w:kern w:val="0"/>
                <w:szCs w:val="21"/>
              </w:rPr>
              <w:t>水平2</w:t>
            </w:r>
          </w:p>
        </w:tc>
        <w:tc>
          <w:tcPr>
            <w:tcW w:w="697"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eastAsiaTheme="minorEastAsia"/>
                <w:color w:val="auto"/>
                <w:kern w:val="0"/>
                <w:szCs w:val="21"/>
              </w:rPr>
            </w:pPr>
            <w:r>
              <w:rPr>
                <w:rFonts w:eastAsiaTheme="minorEastAsia"/>
                <w:color w:val="auto"/>
                <w:kern w:val="0"/>
                <w:szCs w:val="21"/>
              </w:rPr>
              <w:t>水平3</w:t>
            </w:r>
          </w:p>
        </w:tc>
        <w:tc>
          <w:tcPr>
            <w:tcW w:w="722" w:type="pct"/>
            <w:tcBorders>
              <w:top w:val="single" w:color="auto" w:sz="4" w:space="0"/>
              <w:left w:val="nil"/>
              <w:bottom w:val="single" w:color="auto" w:sz="4" w:space="0"/>
              <w:right w:val="single" w:color="auto" w:sz="4" w:space="0"/>
            </w:tcBorders>
            <w:vAlign w:val="center"/>
          </w:tcPr>
          <w:p>
            <w:pPr>
              <w:widowControl/>
              <w:jc w:val="center"/>
              <w:rPr>
                <w:rFonts w:eastAsiaTheme="minorEastAsia"/>
                <w:color w:val="auto"/>
                <w:kern w:val="0"/>
                <w:szCs w:val="21"/>
              </w:rPr>
            </w:pPr>
            <w:r>
              <w:rPr>
                <w:rFonts w:eastAsiaTheme="minorEastAsia"/>
                <w:color w:val="auto"/>
                <w:kern w:val="0"/>
                <w:szCs w:val="21"/>
              </w:rPr>
              <w:t>水平4</w:t>
            </w:r>
          </w:p>
        </w:tc>
        <w:tc>
          <w:tcPr>
            <w:tcW w:w="720" w:type="pct"/>
            <w:tcBorders>
              <w:top w:val="single" w:color="auto" w:sz="4" w:space="0"/>
              <w:left w:val="nil"/>
              <w:bottom w:val="single" w:color="auto" w:sz="4" w:space="0"/>
              <w:right w:val="single" w:color="auto" w:sz="4" w:space="0"/>
            </w:tcBorders>
            <w:vAlign w:val="center"/>
          </w:tcPr>
          <w:p>
            <w:pPr>
              <w:widowControl/>
              <w:jc w:val="center"/>
              <w:rPr>
                <w:rFonts w:eastAsiaTheme="minorEastAsia"/>
                <w:color w:val="auto"/>
                <w:kern w:val="0"/>
                <w:szCs w:val="21"/>
              </w:rPr>
            </w:pPr>
            <w:r>
              <w:rPr>
                <w:rFonts w:eastAsiaTheme="minorEastAsia"/>
                <w:color w:val="auto"/>
                <w:kern w:val="0"/>
                <w:szCs w:val="21"/>
              </w:rPr>
              <w:t>水平5</w:t>
            </w:r>
          </w:p>
        </w:tc>
        <w:tc>
          <w:tcPr>
            <w:tcW w:w="651" w:type="pct"/>
            <w:tcBorders>
              <w:top w:val="single" w:color="auto" w:sz="4" w:space="0"/>
              <w:left w:val="nil"/>
              <w:bottom w:val="single" w:color="auto" w:sz="4" w:space="0"/>
              <w:right w:val="single" w:color="auto" w:sz="4" w:space="0"/>
            </w:tcBorders>
            <w:vAlign w:val="center"/>
          </w:tcPr>
          <w:p>
            <w:pPr>
              <w:widowControl/>
              <w:jc w:val="center"/>
              <w:rPr>
                <w:rFonts w:eastAsiaTheme="minorEastAsia"/>
                <w:color w:val="auto"/>
                <w:kern w:val="0"/>
                <w:szCs w:val="21"/>
              </w:rPr>
            </w:pPr>
            <w:r>
              <w:rPr>
                <w:rFonts w:eastAsiaTheme="minorEastAsia"/>
                <w:color w:val="auto"/>
                <w:kern w:val="0"/>
                <w:szCs w:val="21"/>
              </w:rPr>
              <w:t>水平6</w:t>
            </w:r>
          </w:p>
        </w:tc>
      </w:tr>
      <w:tr>
        <w:tblPrEx>
          <w:tblCellMar>
            <w:top w:w="0" w:type="dxa"/>
            <w:left w:w="108" w:type="dxa"/>
            <w:bottom w:w="0" w:type="dxa"/>
            <w:right w:w="108" w:type="dxa"/>
          </w:tblCellMar>
        </w:tblPrEx>
        <w:trPr>
          <w:trHeight w:val="340" w:hRule="atLeast"/>
        </w:trPr>
        <w:tc>
          <w:tcPr>
            <w:tcW w:w="85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color w:val="auto"/>
                <w:kern w:val="0"/>
                <w:szCs w:val="21"/>
              </w:rPr>
            </w:pPr>
            <w:r>
              <w:rPr>
                <w:rFonts w:eastAsiaTheme="minorEastAsia"/>
                <w:color w:val="auto"/>
                <w:kern w:val="0"/>
                <w:szCs w:val="21"/>
              </w:rPr>
              <w:t>国合通测1</w:t>
            </w:r>
          </w:p>
        </w:tc>
        <w:tc>
          <w:tcPr>
            <w:tcW w:w="647" w:type="pct"/>
            <w:tcBorders>
              <w:top w:val="nil"/>
              <w:left w:val="nil"/>
              <w:bottom w:val="single" w:color="auto" w:sz="4" w:space="0"/>
              <w:right w:val="single" w:color="auto" w:sz="4" w:space="0"/>
            </w:tcBorders>
            <w:shd w:val="clear" w:color="auto" w:fill="auto"/>
            <w:noWrap/>
            <w:vAlign w:val="center"/>
          </w:tcPr>
          <w:p>
            <w:pPr>
              <w:jc w:val="center"/>
              <w:rPr>
                <w:color w:val="auto"/>
                <w:szCs w:val="21"/>
              </w:rPr>
            </w:pPr>
            <w:r>
              <w:rPr>
                <w:color w:val="auto"/>
                <w:szCs w:val="21"/>
              </w:rPr>
              <w:t>0.0021</w:t>
            </w:r>
          </w:p>
        </w:tc>
        <w:tc>
          <w:tcPr>
            <w:tcW w:w="702" w:type="pct"/>
            <w:tcBorders>
              <w:top w:val="nil"/>
              <w:left w:val="nil"/>
              <w:bottom w:val="single" w:color="auto" w:sz="4" w:space="0"/>
              <w:right w:val="single" w:color="auto" w:sz="4" w:space="0"/>
            </w:tcBorders>
            <w:shd w:val="clear" w:color="auto" w:fill="auto"/>
            <w:noWrap/>
            <w:vAlign w:val="center"/>
          </w:tcPr>
          <w:p>
            <w:pPr>
              <w:jc w:val="center"/>
              <w:rPr>
                <w:color w:val="auto"/>
                <w:szCs w:val="21"/>
              </w:rPr>
            </w:pPr>
            <w:r>
              <w:rPr>
                <w:color w:val="auto"/>
                <w:szCs w:val="21"/>
              </w:rPr>
              <w:t>0.011</w:t>
            </w:r>
          </w:p>
        </w:tc>
        <w:tc>
          <w:tcPr>
            <w:tcW w:w="697" w:type="pct"/>
            <w:tcBorders>
              <w:top w:val="nil"/>
              <w:left w:val="nil"/>
              <w:bottom w:val="single" w:color="auto" w:sz="4" w:space="0"/>
              <w:right w:val="single" w:color="auto" w:sz="4" w:space="0"/>
            </w:tcBorders>
            <w:shd w:val="clear" w:color="auto" w:fill="auto"/>
            <w:noWrap/>
            <w:vAlign w:val="center"/>
          </w:tcPr>
          <w:p>
            <w:pPr>
              <w:jc w:val="center"/>
              <w:rPr>
                <w:color w:val="auto"/>
                <w:szCs w:val="21"/>
              </w:rPr>
            </w:pPr>
            <w:r>
              <w:rPr>
                <w:color w:val="auto"/>
                <w:szCs w:val="21"/>
              </w:rPr>
              <w:t>0.0318</w:t>
            </w:r>
          </w:p>
        </w:tc>
        <w:tc>
          <w:tcPr>
            <w:tcW w:w="722" w:type="pct"/>
            <w:tcBorders>
              <w:top w:val="nil"/>
              <w:left w:val="nil"/>
              <w:bottom w:val="single" w:color="auto" w:sz="4" w:space="0"/>
              <w:right w:val="single" w:color="auto" w:sz="4" w:space="0"/>
            </w:tcBorders>
            <w:vAlign w:val="center"/>
          </w:tcPr>
          <w:p>
            <w:pPr>
              <w:jc w:val="center"/>
              <w:rPr>
                <w:color w:val="auto"/>
                <w:szCs w:val="21"/>
              </w:rPr>
            </w:pPr>
            <w:r>
              <w:rPr>
                <w:color w:val="auto"/>
                <w:szCs w:val="21"/>
              </w:rPr>
              <w:t>0.135</w:t>
            </w:r>
          </w:p>
        </w:tc>
        <w:tc>
          <w:tcPr>
            <w:tcW w:w="720" w:type="pct"/>
            <w:tcBorders>
              <w:top w:val="nil"/>
              <w:left w:val="nil"/>
              <w:bottom w:val="single" w:color="auto" w:sz="4" w:space="0"/>
              <w:right w:val="single" w:color="auto" w:sz="4" w:space="0"/>
            </w:tcBorders>
            <w:vAlign w:val="center"/>
          </w:tcPr>
          <w:p>
            <w:pPr>
              <w:jc w:val="center"/>
              <w:rPr>
                <w:color w:val="auto"/>
                <w:szCs w:val="21"/>
              </w:rPr>
            </w:pPr>
            <w:r>
              <w:rPr>
                <w:color w:val="auto"/>
                <w:szCs w:val="21"/>
              </w:rPr>
              <w:t>0.383</w:t>
            </w:r>
          </w:p>
        </w:tc>
        <w:tc>
          <w:tcPr>
            <w:tcW w:w="651" w:type="pct"/>
            <w:tcBorders>
              <w:top w:val="nil"/>
              <w:left w:val="nil"/>
              <w:bottom w:val="single" w:color="auto" w:sz="4" w:space="0"/>
              <w:right w:val="single" w:color="auto" w:sz="4" w:space="0"/>
            </w:tcBorders>
            <w:vAlign w:val="center"/>
          </w:tcPr>
          <w:p>
            <w:pPr>
              <w:jc w:val="center"/>
              <w:rPr>
                <w:color w:val="auto"/>
                <w:szCs w:val="21"/>
              </w:rPr>
            </w:pPr>
            <w:r>
              <w:rPr>
                <w:color w:val="auto"/>
                <w:szCs w:val="21"/>
              </w:rPr>
              <w:t>0.903</w:t>
            </w:r>
          </w:p>
        </w:tc>
      </w:tr>
      <w:tr>
        <w:tblPrEx>
          <w:tblCellMar>
            <w:top w:w="0" w:type="dxa"/>
            <w:left w:w="108" w:type="dxa"/>
            <w:bottom w:w="0" w:type="dxa"/>
            <w:right w:w="108" w:type="dxa"/>
          </w:tblCellMar>
        </w:tblPrEx>
        <w:trPr>
          <w:trHeight w:val="340" w:hRule="atLeast"/>
        </w:trPr>
        <w:tc>
          <w:tcPr>
            <w:tcW w:w="85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color w:val="auto"/>
                <w:kern w:val="0"/>
                <w:szCs w:val="21"/>
              </w:rPr>
            </w:pPr>
            <w:r>
              <w:rPr>
                <w:rFonts w:eastAsiaTheme="minorEastAsia"/>
                <w:color w:val="auto"/>
                <w:kern w:val="0"/>
                <w:szCs w:val="21"/>
              </w:rPr>
              <w:t>包头稀土2</w:t>
            </w:r>
          </w:p>
        </w:tc>
        <w:tc>
          <w:tcPr>
            <w:tcW w:w="647" w:type="pct"/>
            <w:tcBorders>
              <w:top w:val="nil"/>
              <w:left w:val="nil"/>
              <w:bottom w:val="single" w:color="auto" w:sz="4" w:space="0"/>
              <w:right w:val="single" w:color="auto" w:sz="4" w:space="0"/>
            </w:tcBorders>
            <w:shd w:val="clear" w:color="auto" w:fill="auto"/>
            <w:noWrap/>
            <w:vAlign w:val="center"/>
          </w:tcPr>
          <w:p>
            <w:pPr>
              <w:jc w:val="center"/>
              <w:rPr>
                <w:color w:val="auto"/>
                <w:szCs w:val="21"/>
              </w:rPr>
            </w:pPr>
            <w:r>
              <w:rPr>
                <w:color w:val="auto"/>
                <w:kern w:val="0"/>
                <w:szCs w:val="21"/>
              </w:rPr>
              <w:t>--</w:t>
            </w:r>
          </w:p>
        </w:tc>
        <w:tc>
          <w:tcPr>
            <w:tcW w:w="702" w:type="pct"/>
            <w:tcBorders>
              <w:top w:val="nil"/>
              <w:left w:val="nil"/>
              <w:bottom w:val="single" w:color="auto" w:sz="4" w:space="0"/>
              <w:right w:val="single" w:color="auto" w:sz="4" w:space="0"/>
            </w:tcBorders>
            <w:shd w:val="clear" w:color="auto" w:fill="auto"/>
            <w:noWrap/>
            <w:vAlign w:val="center"/>
          </w:tcPr>
          <w:p>
            <w:pPr>
              <w:jc w:val="center"/>
              <w:rPr>
                <w:color w:val="auto"/>
                <w:szCs w:val="21"/>
              </w:rPr>
            </w:pPr>
            <w:r>
              <w:rPr>
                <w:color w:val="auto"/>
                <w:szCs w:val="21"/>
              </w:rPr>
              <w:t>0.0128</w:t>
            </w:r>
          </w:p>
        </w:tc>
        <w:tc>
          <w:tcPr>
            <w:tcW w:w="697" w:type="pct"/>
            <w:tcBorders>
              <w:top w:val="nil"/>
              <w:left w:val="nil"/>
              <w:bottom w:val="single" w:color="auto" w:sz="4" w:space="0"/>
              <w:right w:val="single" w:color="auto" w:sz="4" w:space="0"/>
            </w:tcBorders>
            <w:shd w:val="clear" w:color="auto" w:fill="auto"/>
            <w:noWrap/>
            <w:vAlign w:val="center"/>
          </w:tcPr>
          <w:p>
            <w:pPr>
              <w:jc w:val="center"/>
              <w:rPr>
                <w:color w:val="auto"/>
                <w:szCs w:val="21"/>
              </w:rPr>
            </w:pPr>
            <w:r>
              <w:rPr>
                <w:color w:val="auto"/>
                <w:szCs w:val="21"/>
              </w:rPr>
              <w:t>0.0336</w:t>
            </w:r>
          </w:p>
        </w:tc>
        <w:tc>
          <w:tcPr>
            <w:tcW w:w="722" w:type="pct"/>
            <w:tcBorders>
              <w:top w:val="nil"/>
              <w:left w:val="nil"/>
              <w:bottom w:val="single" w:color="auto" w:sz="4" w:space="0"/>
              <w:right w:val="single" w:color="auto" w:sz="4" w:space="0"/>
            </w:tcBorders>
            <w:vAlign w:val="center"/>
          </w:tcPr>
          <w:p>
            <w:pPr>
              <w:jc w:val="center"/>
              <w:rPr>
                <w:color w:val="auto"/>
                <w:szCs w:val="21"/>
              </w:rPr>
            </w:pPr>
            <w:r>
              <w:rPr>
                <w:color w:val="auto"/>
                <w:szCs w:val="21"/>
              </w:rPr>
              <w:t>0.104</w:t>
            </w:r>
          </w:p>
        </w:tc>
        <w:tc>
          <w:tcPr>
            <w:tcW w:w="720" w:type="pct"/>
            <w:tcBorders>
              <w:top w:val="nil"/>
              <w:left w:val="nil"/>
              <w:bottom w:val="single" w:color="auto" w:sz="4" w:space="0"/>
              <w:right w:val="single" w:color="auto" w:sz="4" w:space="0"/>
            </w:tcBorders>
            <w:vAlign w:val="center"/>
          </w:tcPr>
          <w:p>
            <w:pPr>
              <w:jc w:val="center"/>
              <w:rPr>
                <w:color w:val="auto"/>
                <w:szCs w:val="21"/>
              </w:rPr>
            </w:pPr>
            <w:r>
              <w:rPr>
                <w:color w:val="auto"/>
                <w:szCs w:val="21"/>
                <w:highlight w:val="none"/>
              </w:rPr>
              <w:t>0.466</w:t>
            </w:r>
          </w:p>
        </w:tc>
        <w:tc>
          <w:tcPr>
            <w:tcW w:w="651" w:type="pct"/>
            <w:tcBorders>
              <w:top w:val="nil"/>
              <w:left w:val="nil"/>
              <w:bottom w:val="single" w:color="auto" w:sz="4" w:space="0"/>
              <w:right w:val="single" w:color="auto" w:sz="4" w:space="0"/>
            </w:tcBorders>
            <w:vAlign w:val="center"/>
          </w:tcPr>
          <w:p>
            <w:pPr>
              <w:jc w:val="center"/>
              <w:rPr>
                <w:color w:val="auto"/>
                <w:szCs w:val="21"/>
              </w:rPr>
            </w:pPr>
            <w:r>
              <w:rPr>
                <w:color w:val="auto"/>
                <w:kern w:val="0"/>
                <w:szCs w:val="21"/>
              </w:rPr>
              <w:t>--</w:t>
            </w:r>
          </w:p>
        </w:tc>
      </w:tr>
      <w:tr>
        <w:tblPrEx>
          <w:tblCellMar>
            <w:top w:w="0" w:type="dxa"/>
            <w:left w:w="108" w:type="dxa"/>
            <w:bottom w:w="0" w:type="dxa"/>
            <w:right w:w="108" w:type="dxa"/>
          </w:tblCellMar>
        </w:tblPrEx>
        <w:trPr>
          <w:trHeight w:val="90" w:hRule="atLeast"/>
        </w:trPr>
        <w:tc>
          <w:tcPr>
            <w:tcW w:w="85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color w:val="auto"/>
                <w:kern w:val="0"/>
                <w:szCs w:val="21"/>
              </w:rPr>
            </w:pPr>
            <w:r>
              <w:rPr>
                <w:rFonts w:eastAsiaTheme="minorEastAsia"/>
                <w:color w:val="auto"/>
                <w:kern w:val="0"/>
                <w:szCs w:val="21"/>
              </w:rPr>
              <w:t>国标检验3</w:t>
            </w:r>
          </w:p>
        </w:tc>
        <w:tc>
          <w:tcPr>
            <w:tcW w:w="647" w:type="pct"/>
            <w:tcBorders>
              <w:top w:val="nil"/>
              <w:left w:val="nil"/>
              <w:bottom w:val="single" w:color="auto" w:sz="4" w:space="0"/>
              <w:right w:val="single" w:color="auto" w:sz="4" w:space="0"/>
            </w:tcBorders>
            <w:shd w:val="clear" w:color="auto" w:fill="auto"/>
            <w:noWrap/>
            <w:vAlign w:val="center"/>
          </w:tcPr>
          <w:p>
            <w:pPr>
              <w:jc w:val="center"/>
              <w:rPr>
                <w:color w:val="auto"/>
                <w:szCs w:val="21"/>
              </w:rPr>
            </w:pPr>
            <w:r>
              <w:rPr>
                <w:color w:val="auto"/>
                <w:szCs w:val="21"/>
              </w:rPr>
              <w:t>0.0021</w:t>
            </w:r>
          </w:p>
        </w:tc>
        <w:tc>
          <w:tcPr>
            <w:tcW w:w="702" w:type="pct"/>
            <w:tcBorders>
              <w:top w:val="nil"/>
              <w:left w:val="nil"/>
              <w:bottom w:val="single" w:color="auto" w:sz="4" w:space="0"/>
              <w:right w:val="single" w:color="auto" w:sz="4" w:space="0"/>
            </w:tcBorders>
            <w:shd w:val="clear" w:color="auto" w:fill="auto"/>
            <w:noWrap/>
            <w:vAlign w:val="center"/>
          </w:tcPr>
          <w:p>
            <w:pPr>
              <w:jc w:val="center"/>
              <w:rPr>
                <w:color w:val="auto"/>
                <w:szCs w:val="21"/>
              </w:rPr>
            </w:pPr>
            <w:r>
              <w:rPr>
                <w:color w:val="auto"/>
                <w:szCs w:val="21"/>
              </w:rPr>
              <w:t>0.011</w:t>
            </w:r>
          </w:p>
        </w:tc>
        <w:tc>
          <w:tcPr>
            <w:tcW w:w="697" w:type="pct"/>
            <w:tcBorders>
              <w:top w:val="nil"/>
              <w:left w:val="nil"/>
              <w:bottom w:val="single" w:color="auto" w:sz="4" w:space="0"/>
              <w:right w:val="single" w:color="auto" w:sz="4" w:space="0"/>
            </w:tcBorders>
            <w:shd w:val="clear" w:color="auto" w:fill="auto"/>
            <w:noWrap/>
            <w:vAlign w:val="center"/>
          </w:tcPr>
          <w:p>
            <w:pPr>
              <w:jc w:val="center"/>
              <w:rPr>
                <w:rFonts w:hint="default" w:eastAsia="宋体"/>
                <w:color w:val="auto"/>
                <w:szCs w:val="21"/>
                <w:lang w:val="en-US" w:eastAsia="zh-CN"/>
              </w:rPr>
            </w:pPr>
            <w:r>
              <w:rPr>
                <w:rFonts w:hint="eastAsia"/>
                <w:color w:val="auto"/>
                <w:szCs w:val="21"/>
                <w:lang w:val="en-US" w:eastAsia="zh-CN"/>
              </w:rPr>
              <w:t>0.0317</w:t>
            </w:r>
          </w:p>
        </w:tc>
        <w:tc>
          <w:tcPr>
            <w:tcW w:w="722" w:type="pct"/>
            <w:tcBorders>
              <w:top w:val="nil"/>
              <w:left w:val="nil"/>
              <w:bottom w:val="single" w:color="auto" w:sz="4" w:space="0"/>
              <w:right w:val="single" w:color="auto" w:sz="4" w:space="0"/>
            </w:tcBorders>
            <w:vAlign w:val="center"/>
          </w:tcPr>
          <w:p>
            <w:pPr>
              <w:jc w:val="center"/>
              <w:rPr>
                <w:color w:val="auto"/>
                <w:szCs w:val="21"/>
              </w:rPr>
            </w:pPr>
            <w:r>
              <w:rPr>
                <w:color w:val="auto"/>
                <w:kern w:val="0"/>
                <w:szCs w:val="21"/>
              </w:rPr>
              <w:t>--</w:t>
            </w:r>
          </w:p>
        </w:tc>
        <w:tc>
          <w:tcPr>
            <w:tcW w:w="720" w:type="pct"/>
            <w:tcBorders>
              <w:top w:val="nil"/>
              <w:left w:val="nil"/>
              <w:bottom w:val="single" w:color="auto" w:sz="4" w:space="0"/>
              <w:right w:val="single" w:color="auto" w:sz="4" w:space="0"/>
            </w:tcBorders>
            <w:vAlign w:val="center"/>
          </w:tcPr>
          <w:p>
            <w:pPr>
              <w:jc w:val="center"/>
              <w:rPr>
                <w:rFonts w:hint="default"/>
                <w:color w:val="auto"/>
                <w:szCs w:val="21"/>
                <w:lang w:val="en-US"/>
              </w:rPr>
            </w:pPr>
            <w:r>
              <w:rPr>
                <w:rFonts w:hint="eastAsia"/>
                <w:color w:val="auto"/>
                <w:szCs w:val="21"/>
                <w:lang w:val="en-US" w:eastAsia="zh-CN"/>
              </w:rPr>
              <w:t>0.379</w:t>
            </w:r>
          </w:p>
        </w:tc>
        <w:tc>
          <w:tcPr>
            <w:tcW w:w="651" w:type="pct"/>
            <w:tcBorders>
              <w:top w:val="nil"/>
              <w:left w:val="nil"/>
              <w:bottom w:val="single" w:color="auto" w:sz="4" w:space="0"/>
              <w:right w:val="single" w:color="auto" w:sz="4" w:space="0"/>
            </w:tcBorders>
            <w:vAlign w:val="center"/>
          </w:tcPr>
          <w:p>
            <w:pPr>
              <w:jc w:val="center"/>
              <w:rPr>
                <w:color w:val="auto"/>
                <w:szCs w:val="21"/>
              </w:rPr>
            </w:pPr>
            <w:r>
              <w:rPr>
                <w:color w:val="auto"/>
                <w:szCs w:val="21"/>
              </w:rPr>
              <w:t>0.906</w:t>
            </w:r>
          </w:p>
        </w:tc>
      </w:tr>
      <w:tr>
        <w:tblPrEx>
          <w:tblCellMar>
            <w:top w:w="0" w:type="dxa"/>
            <w:left w:w="108" w:type="dxa"/>
            <w:bottom w:w="0" w:type="dxa"/>
            <w:right w:w="108" w:type="dxa"/>
          </w:tblCellMar>
        </w:tblPrEx>
        <w:trPr>
          <w:trHeight w:val="340" w:hRule="atLeast"/>
        </w:trPr>
        <w:tc>
          <w:tcPr>
            <w:tcW w:w="85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color w:val="auto"/>
                <w:kern w:val="0"/>
                <w:szCs w:val="21"/>
              </w:rPr>
            </w:pPr>
            <w:r>
              <w:rPr>
                <w:rFonts w:eastAsiaTheme="minorEastAsia"/>
                <w:color w:val="auto"/>
                <w:kern w:val="0"/>
                <w:szCs w:val="21"/>
              </w:rPr>
              <w:t>赣州有色4</w:t>
            </w:r>
          </w:p>
        </w:tc>
        <w:tc>
          <w:tcPr>
            <w:tcW w:w="647" w:type="pct"/>
            <w:tcBorders>
              <w:top w:val="nil"/>
              <w:left w:val="nil"/>
              <w:bottom w:val="single" w:color="auto" w:sz="4" w:space="0"/>
              <w:right w:val="single" w:color="auto" w:sz="4" w:space="0"/>
            </w:tcBorders>
            <w:shd w:val="clear" w:color="auto" w:fill="auto"/>
            <w:noWrap/>
            <w:vAlign w:val="center"/>
          </w:tcPr>
          <w:p>
            <w:pPr>
              <w:jc w:val="center"/>
              <w:rPr>
                <w:color w:val="auto"/>
                <w:szCs w:val="21"/>
              </w:rPr>
            </w:pPr>
            <w:r>
              <w:rPr>
                <w:color w:val="auto"/>
                <w:szCs w:val="21"/>
              </w:rPr>
              <w:t>0.0026</w:t>
            </w:r>
          </w:p>
        </w:tc>
        <w:tc>
          <w:tcPr>
            <w:tcW w:w="702" w:type="pct"/>
            <w:tcBorders>
              <w:top w:val="nil"/>
              <w:left w:val="nil"/>
              <w:bottom w:val="single" w:color="auto" w:sz="4" w:space="0"/>
              <w:right w:val="single" w:color="auto" w:sz="4" w:space="0"/>
            </w:tcBorders>
            <w:shd w:val="clear" w:color="auto" w:fill="auto"/>
            <w:noWrap/>
            <w:vAlign w:val="center"/>
          </w:tcPr>
          <w:p>
            <w:pPr>
              <w:jc w:val="center"/>
              <w:rPr>
                <w:color w:val="auto"/>
                <w:szCs w:val="21"/>
              </w:rPr>
            </w:pPr>
            <w:r>
              <w:rPr>
                <w:color w:val="auto"/>
                <w:szCs w:val="21"/>
              </w:rPr>
              <w:t>0.0151</w:t>
            </w:r>
          </w:p>
        </w:tc>
        <w:tc>
          <w:tcPr>
            <w:tcW w:w="697" w:type="pct"/>
            <w:tcBorders>
              <w:top w:val="nil"/>
              <w:left w:val="nil"/>
              <w:bottom w:val="single" w:color="auto" w:sz="4" w:space="0"/>
              <w:right w:val="single" w:color="auto" w:sz="4" w:space="0"/>
            </w:tcBorders>
            <w:shd w:val="clear" w:color="auto" w:fill="auto"/>
            <w:noWrap/>
            <w:vAlign w:val="center"/>
          </w:tcPr>
          <w:p>
            <w:pPr>
              <w:jc w:val="center"/>
              <w:rPr>
                <w:color w:val="auto"/>
                <w:szCs w:val="21"/>
                <w:u w:val="single"/>
              </w:rPr>
            </w:pPr>
            <w:r>
              <w:rPr>
                <w:color w:val="auto"/>
                <w:kern w:val="0"/>
                <w:szCs w:val="21"/>
              </w:rPr>
              <w:t>--</w:t>
            </w:r>
          </w:p>
        </w:tc>
        <w:tc>
          <w:tcPr>
            <w:tcW w:w="722" w:type="pct"/>
            <w:tcBorders>
              <w:top w:val="nil"/>
              <w:left w:val="nil"/>
              <w:bottom w:val="single" w:color="auto" w:sz="4" w:space="0"/>
              <w:right w:val="single" w:color="auto" w:sz="4" w:space="0"/>
            </w:tcBorders>
            <w:vAlign w:val="center"/>
          </w:tcPr>
          <w:p>
            <w:pPr>
              <w:jc w:val="center"/>
              <w:rPr>
                <w:color w:val="auto"/>
                <w:szCs w:val="21"/>
                <w:u w:val="single"/>
              </w:rPr>
            </w:pPr>
            <w:r>
              <w:rPr>
                <w:color w:val="auto"/>
                <w:szCs w:val="21"/>
              </w:rPr>
              <w:t>--</w:t>
            </w:r>
          </w:p>
        </w:tc>
        <w:tc>
          <w:tcPr>
            <w:tcW w:w="720" w:type="pct"/>
            <w:tcBorders>
              <w:top w:val="nil"/>
              <w:left w:val="nil"/>
              <w:bottom w:val="single" w:color="auto" w:sz="4" w:space="0"/>
              <w:right w:val="single" w:color="auto" w:sz="4" w:space="0"/>
            </w:tcBorders>
            <w:vAlign w:val="center"/>
          </w:tcPr>
          <w:p>
            <w:pPr>
              <w:jc w:val="center"/>
              <w:rPr>
                <w:color w:val="auto"/>
                <w:szCs w:val="21"/>
              </w:rPr>
            </w:pPr>
            <w:r>
              <w:rPr>
                <w:color w:val="auto"/>
                <w:szCs w:val="21"/>
              </w:rPr>
              <w:t>0.382</w:t>
            </w:r>
          </w:p>
        </w:tc>
        <w:tc>
          <w:tcPr>
            <w:tcW w:w="651" w:type="pct"/>
            <w:tcBorders>
              <w:top w:val="nil"/>
              <w:left w:val="nil"/>
              <w:bottom w:val="single" w:color="auto" w:sz="4" w:space="0"/>
              <w:right w:val="single" w:color="auto" w:sz="4" w:space="0"/>
            </w:tcBorders>
            <w:vAlign w:val="center"/>
          </w:tcPr>
          <w:p>
            <w:pPr>
              <w:jc w:val="center"/>
              <w:rPr>
                <w:color w:val="auto"/>
                <w:szCs w:val="21"/>
              </w:rPr>
            </w:pPr>
            <w:r>
              <w:rPr>
                <w:color w:val="auto"/>
                <w:szCs w:val="21"/>
              </w:rPr>
              <w:t>0.884</w:t>
            </w:r>
          </w:p>
        </w:tc>
      </w:tr>
      <w:tr>
        <w:tblPrEx>
          <w:tblCellMar>
            <w:top w:w="0" w:type="dxa"/>
            <w:left w:w="108" w:type="dxa"/>
            <w:bottom w:w="0" w:type="dxa"/>
            <w:right w:w="108" w:type="dxa"/>
          </w:tblCellMar>
        </w:tblPrEx>
        <w:trPr>
          <w:trHeight w:val="340" w:hRule="atLeast"/>
        </w:trPr>
        <w:tc>
          <w:tcPr>
            <w:tcW w:w="85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color w:val="auto"/>
                <w:kern w:val="0"/>
                <w:szCs w:val="21"/>
              </w:rPr>
            </w:pPr>
            <w:r>
              <w:rPr>
                <w:rFonts w:eastAsiaTheme="minorEastAsia"/>
                <w:color w:val="auto"/>
                <w:kern w:val="0"/>
                <w:szCs w:val="21"/>
              </w:rPr>
              <w:t>乐山锐丰5</w:t>
            </w:r>
          </w:p>
        </w:tc>
        <w:tc>
          <w:tcPr>
            <w:tcW w:w="647" w:type="pct"/>
            <w:tcBorders>
              <w:top w:val="nil"/>
              <w:left w:val="nil"/>
              <w:bottom w:val="single" w:color="auto" w:sz="4" w:space="0"/>
              <w:right w:val="single" w:color="auto" w:sz="4" w:space="0"/>
            </w:tcBorders>
            <w:shd w:val="clear" w:color="auto" w:fill="auto"/>
            <w:noWrap/>
            <w:vAlign w:val="center"/>
          </w:tcPr>
          <w:p>
            <w:pPr>
              <w:jc w:val="center"/>
              <w:rPr>
                <w:color w:val="auto"/>
                <w:szCs w:val="21"/>
              </w:rPr>
            </w:pPr>
            <w:r>
              <w:rPr>
                <w:color w:val="auto"/>
                <w:szCs w:val="21"/>
              </w:rPr>
              <w:t>0.0041</w:t>
            </w:r>
          </w:p>
        </w:tc>
        <w:tc>
          <w:tcPr>
            <w:tcW w:w="702" w:type="pct"/>
            <w:tcBorders>
              <w:top w:val="nil"/>
              <w:left w:val="nil"/>
              <w:bottom w:val="single" w:color="auto" w:sz="4" w:space="0"/>
              <w:right w:val="single" w:color="auto" w:sz="4" w:space="0"/>
            </w:tcBorders>
            <w:shd w:val="clear" w:color="auto" w:fill="auto"/>
            <w:noWrap/>
            <w:vAlign w:val="center"/>
          </w:tcPr>
          <w:p>
            <w:pPr>
              <w:jc w:val="center"/>
              <w:rPr>
                <w:color w:val="auto"/>
                <w:szCs w:val="21"/>
              </w:rPr>
            </w:pPr>
            <w:r>
              <w:rPr>
                <w:color w:val="auto"/>
                <w:szCs w:val="21"/>
              </w:rPr>
              <w:t>0.0138</w:t>
            </w:r>
          </w:p>
        </w:tc>
        <w:tc>
          <w:tcPr>
            <w:tcW w:w="697" w:type="pct"/>
            <w:tcBorders>
              <w:top w:val="nil"/>
              <w:left w:val="nil"/>
              <w:bottom w:val="single" w:color="auto" w:sz="4" w:space="0"/>
              <w:right w:val="single" w:color="auto" w:sz="4" w:space="0"/>
            </w:tcBorders>
            <w:shd w:val="clear" w:color="auto" w:fill="auto"/>
            <w:noWrap/>
            <w:vAlign w:val="center"/>
          </w:tcPr>
          <w:p>
            <w:pPr>
              <w:jc w:val="center"/>
              <w:rPr>
                <w:color w:val="auto"/>
                <w:szCs w:val="21"/>
              </w:rPr>
            </w:pPr>
            <w:r>
              <w:rPr>
                <w:color w:val="auto"/>
                <w:szCs w:val="21"/>
              </w:rPr>
              <w:t>0.0400</w:t>
            </w:r>
          </w:p>
        </w:tc>
        <w:tc>
          <w:tcPr>
            <w:tcW w:w="722" w:type="pct"/>
            <w:tcBorders>
              <w:top w:val="nil"/>
              <w:left w:val="nil"/>
              <w:bottom w:val="single" w:color="auto" w:sz="4" w:space="0"/>
              <w:right w:val="single" w:color="auto" w:sz="4" w:space="0"/>
            </w:tcBorders>
            <w:vAlign w:val="center"/>
          </w:tcPr>
          <w:p>
            <w:pPr>
              <w:jc w:val="center"/>
              <w:rPr>
                <w:color w:val="auto"/>
                <w:szCs w:val="21"/>
              </w:rPr>
            </w:pPr>
            <w:r>
              <w:rPr>
                <w:color w:val="auto"/>
                <w:szCs w:val="21"/>
              </w:rPr>
              <w:t>0.132</w:t>
            </w:r>
          </w:p>
        </w:tc>
        <w:tc>
          <w:tcPr>
            <w:tcW w:w="720" w:type="pct"/>
            <w:tcBorders>
              <w:top w:val="nil"/>
              <w:left w:val="nil"/>
              <w:bottom w:val="single" w:color="auto" w:sz="4" w:space="0"/>
              <w:right w:val="single" w:color="auto" w:sz="4" w:space="0"/>
            </w:tcBorders>
            <w:vAlign w:val="center"/>
          </w:tcPr>
          <w:p>
            <w:pPr>
              <w:jc w:val="center"/>
              <w:rPr>
                <w:color w:val="auto"/>
                <w:szCs w:val="21"/>
              </w:rPr>
            </w:pPr>
            <w:r>
              <w:rPr>
                <w:color w:val="auto"/>
                <w:szCs w:val="21"/>
              </w:rPr>
              <w:t>0.386</w:t>
            </w:r>
          </w:p>
        </w:tc>
        <w:tc>
          <w:tcPr>
            <w:tcW w:w="651" w:type="pct"/>
            <w:tcBorders>
              <w:top w:val="nil"/>
              <w:left w:val="nil"/>
              <w:bottom w:val="single" w:color="auto" w:sz="4" w:space="0"/>
              <w:right w:val="single" w:color="auto" w:sz="4" w:space="0"/>
            </w:tcBorders>
            <w:vAlign w:val="center"/>
          </w:tcPr>
          <w:p>
            <w:pPr>
              <w:jc w:val="center"/>
              <w:rPr>
                <w:color w:val="auto"/>
                <w:szCs w:val="21"/>
              </w:rPr>
            </w:pPr>
            <w:r>
              <w:rPr>
                <w:color w:val="auto"/>
                <w:szCs w:val="21"/>
              </w:rPr>
              <w:t>0.853</w:t>
            </w:r>
          </w:p>
        </w:tc>
      </w:tr>
      <w:tr>
        <w:tblPrEx>
          <w:tblCellMar>
            <w:top w:w="0" w:type="dxa"/>
            <w:left w:w="108" w:type="dxa"/>
            <w:bottom w:w="0" w:type="dxa"/>
            <w:right w:w="108" w:type="dxa"/>
          </w:tblCellMar>
        </w:tblPrEx>
        <w:trPr>
          <w:trHeight w:val="340" w:hRule="atLeast"/>
        </w:trPr>
        <w:tc>
          <w:tcPr>
            <w:tcW w:w="85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color w:val="auto"/>
                <w:kern w:val="0"/>
                <w:szCs w:val="21"/>
              </w:rPr>
            </w:pPr>
            <w:r>
              <w:rPr>
                <w:rFonts w:eastAsiaTheme="minorEastAsia"/>
                <w:color w:val="auto"/>
                <w:kern w:val="0"/>
                <w:szCs w:val="21"/>
              </w:rPr>
              <w:t>南方稀土6</w:t>
            </w:r>
          </w:p>
        </w:tc>
        <w:tc>
          <w:tcPr>
            <w:tcW w:w="647" w:type="pct"/>
            <w:tcBorders>
              <w:top w:val="nil"/>
              <w:left w:val="nil"/>
              <w:bottom w:val="single" w:color="auto" w:sz="4" w:space="0"/>
              <w:right w:val="single" w:color="auto" w:sz="4" w:space="0"/>
            </w:tcBorders>
            <w:shd w:val="clear" w:color="auto" w:fill="auto"/>
            <w:noWrap/>
            <w:vAlign w:val="center"/>
          </w:tcPr>
          <w:p>
            <w:pPr>
              <w:jc w:val="center"/>
              <w:rPr>
                <w:color w:val="auto"/>
                <w:szCs w:val="21"/>
              </w:rPr>
            </w:pPr>
            <w:r>
              <w:rPr>
                <w:color w:val="auto"/>
                <w:szCs w:val="21"/>
              </w:rPr>
              <w:t>0.0029</w:t>
            </w:r>
          </w:p>
        </w:tc>
        <w:tc>
          <w:tcPr>
            <w:tcW w:w="702" w:type="pct"/>
            <w:tcBorders>
              <w:top w:val="nil"/>
              <w:left w:val="nil"/>
              <w:bottom w:val="single" w:color="auto" w:sz="4" w:space="0"/>
              <w:right w:val="single" w:color="auto" w:sz="4" w:space="0"/>
            </w:tcBorders>
            <w:shd w:val="clear" w:color="auto" w:fill="auto"/>
            <w:noWrap/>
            <w:vAlign w:val="center"/>
          </w:tcPr>
          <w:p>
            <w:pPr>
              <w:jc w:val="center"/>
              <w:rPr>
                <w:color w:val="auto"/>
                <w:szCs w:val="21"/>
              </w:rPr>
            </w:pPr>
            <w:r>
              <w:rPr>
                <w:color w:val="auto"/>
                <w:szCs w:val="21"/>
              </w:rPr>
              <w:t>0.013</w:t>
            </w:r>
          </w:p>
        </w:tc>
        <w:tc>
          <w:tcPr>
            <w:tcW w:w="697" w:type="pct"/>
            <w:tcBorders>
              <w:top w:val="nil"/>
              <w:left w:val="nil"/>
              <w:bottom w:val="single" w:color="auto" w:sz="4" w:space="0"/>
              <w:right w:val="single" w:color="auto" w:sz="4" w:space="0"/>
            </w:tcBorders>
            <w:shd w:val="clear" w:color="auto" w:fill="auto"/>
            <w:noWrap/>
            <w:vAlign w:val="center"/>
          </w:tcPr>
          <w:p>
            <w:pPr>
              <w:jc w:val="center"/>
              <w:rPr>
                <w:color w:val="auto"/>
                <w:szCs w:val="21"/>
              </w:rPr>
            </w:pPr>
            <w:r>
              <w:rPr>
                <w:color w:val="auto"/>
                <w:szCs w:val="21"/>
              </w:rPr>
              <w:t>0.0323</w:t>
            </w:r>
          </w:p>
        </w:tc>
        <w:tc>
          <w:tcPr>
            <w:tcW w:w="722" w:type="pct"/>
            <w:tcBorders>
              <w:top w:val="nil"/>
              <w:left w:val="nil"/>
              <w:bottom w:val="single" w:color="auto" w:sz="4" w:space="0"/>
              <w:right w:val="single" w:color="auto" w:sz="4" w:space="0"/>
            </w:tcBorders>
            <w:vAlign w:val="center"/>
          </w:tcPr>
          <w:p>
            <w:pPr>
              <w:jc w:val="center"/>
              <w:rPr>
                <w:color w:val="auto"/>
                <w:szCs w:val="21"/>
              </w:rPr>
            </w:pPr>
            <w:r>
              <w:rPr>
                <w:color w:val="auto"/>
                <w:szCs w:val="21"/>
              </w:rPr>
              <w:t>0.131</w:t>
            </w:r>
          </w:p>
        </w:tc>
        <w:tc>
          <w:tcPr>
            <w:tcW w:w="720" w:type="pct"/>
            <w:tcBorders>
              <w:top w:val="nil"/>
              <w:left w:val="nil"/>
              <w:bottom w:val="single" w:color="auto" w:sz="4" w:space="0"/>
              <w:right w:val="single" w:color="auto" w:sz="4" w:space="0"/>
            </w:tcBorders>
            <w:vAlign w:val="center"/>
          </w:tcPr>
          <w:p>
            <w:pPr>
              <w:jc w:val="center"/>
              <w:rPr>
                <w:color w:val="auto"/>
                <w:szCs w:val="21"/>
              </w:rPr>
            </w:pPr>
            <w:r>
              <w:rPr>
                <w:color w:val="auto"/>
                <w:szCs w:val="21"/>
              </w:rPr>
              <w:t>0.378</w:t>
            </w:r>
          </w:p>
        </w:tc>
        <w:tc>
          <w:tcPr>
            <w:tcW w:w="651" w:type="pct"/>
            <w:tcBorders>
              <w:top w:val="nil"/>
              <w:left w:val="nil"/>
              <w:bottom w:val="single" w:color="auto" w:sz="4" w:space="0"/>
              <w:right w:val="single" w:color="auto" w:sz="4" w:space="0"/>
            </w:tcBorders>
            <w:vAlign w:val="center"/>
          </w:tcPr>
          <w:p>
            <w:pPr>
              <w:jc w:val="center"/>
              <w:rPr>
                <w:color w:val="auto"/>
                <w:szCs w:val="21"/>
              </w:rPr>
            </w:pPr>
            <w:r>
              <w:rPr>
                <w:color w:val="auto"/>
                <w:szCs w:val="21"/>
              </w:rPr>
              <w:t>0.878</w:t>
            </w:r>
          </w:p>
        </w:tc>
      </w:tr>
      <w:tr>
        <w:tblPrEx>
          <w:tblCellMar>
            <w:top w:w="0" w:type="dxa"/>
            <w:left w:w="108" w:type="dxa"/>
            <w:bottom w:w="0" w:type="dxa"/>
            <w:right w:w="108" w:type="dxa"/>
          </w:tblCellMar>
        </w:tblPrEx>
        <w:trPr>
          <w:trHeight w:val="340" w:hRule="atLeast"/>
        </w:trPr>
        <w:tc>
          <w:tcPr>
            <w:tcW w:w="858"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eastAsiaTheme="minorEastAsia"/>
                <w:color w:val="auto"/>
                <w:kern w:val="0"/>
                <w:szCs w:val="21"/>
              </w:rPr>
            </w:pPr>
            <w:r>
              <w:rPr>
                <w:rFonts w:eastAsiaTheme="minorEastAsia"/>
                <w:color w:val="auto"/>
                <w:kern w:val="0"/>
                <w:szCs w:val="21"/>
              </w:rPr>
              <w:t>有研稀土7</w:t>
            </w:r>
          </w:p>
        </w:tc>
        <w:tc>
          <w:tcPr>
            <w:tcW w:w="647" w:type="pct"/>
            <w:tcBorders>
              <w:top w:val="nil"/>
              <w:left w:val="nil"/>
              <w:bottom w:val="single" w:color="auto" w:sz="4" w:space="0"/>
              <w:right w:val="single" w:color="auto" w:sz="4" w:space="0"/>
            </w:tcBorders>
            <w:shd w:val="clear" w:color="auto" w:fill="auto"/>
            <w:noWrap/>
            <w:vAlign w:val="center"/>
          </w:tcPr>
          <w:p>
            <w:pPr>
              <w:jc w:val="center"/>
              <w:rPr>
                <w:color w:val="auto"/>
                <w:szCs w:val="21"/>
              </w:rPr>
            </w:pPr>
            <w:r>
              <w:rPr>
                <w:color w:val="auto"/>
                <w:kern w:val="0"/>
                <w:szCs w:val="21"/>
              </w:rPr>
              <w:t>--</w:t>
            </w:r>
          </w:p>
        </w:tc>
        <w:tc>
          <w:tcPr>
            <w:tcW w:w="702" w:type="pct"/>
            <w:tcBorders>
              <w:top w:val="nil"/>
              <w:left w:val="nil"/>
              <w:bottom w:val="single" w:color="auto" w:sz="4" w:space="0"/>
              <w:right w:val="single" w:color="auto" w:sz="4" w:space="0"/>
            </w:tcBorders>
            <w:shd w:val="clear" w:color="auto" w:fill="auto"/>
            <w:noWrap/>
            <w:vAlign w:val="center"/>
          </w:tcPr>
          <w:p>
            <w:pPr>
              <w:jc w:val="center"/>
              <w:rPr>
                <w:color w:val="auto"/>
                <w:szCs w:val="21"/>
              </w:rPr>
            </w:pPr>
            <w:r>
              <w:rPr>
                <w:color w:val="auto"/>
                <w:szCs w:val="21"/>
              </w:rPr>
              <w:t>0.0122</w:t>
            </w:r>
          </w:p>
        </w:tc>
        <w:tc>
          <w:tcPr>
            <w:tcW w:w="697" w:type="pct"/>
            <w:tcBorders>
              <w:top w:val="nil"/>
              <w:left w:val="nil"/>
              <w:bottom w:val="single" w:color="auto" w:sz="4" w:space="0"/>
              <w:right w:val="single" w:color="auto" w:sz="4" w:space="0"/>
            </w:tcBorders>
            <w:shd w:val="clear" w:color="auto" w:fill="auto"/>
            <w:noWrap/>
            <w:vAlign w:val="center"/>
          </w:tcPr>
          <w:p>
            <w:pPr>
              <w:jc w:val="center"/>
              <w:rPr>
                <w:color w:val="auto"/>
                <w:szCs w:val="21"/>
              </w:rPr>
            </w:pPr>
            <w:r>
              <w:rPr>
                <w:color w:val="auto"/>
                <w:szCs w:val="21"/>
              </w:rPr>
              <w:t>--</w:t>
            </w:r>
          </w:p>
        </w:tc>
        <w:tc>
          <w:tcPr>
            <w:tcW w:w="722" w:type="pct"/>
            <w:tcBorders>
              <w:top w:val="nil"/>
              <w:left w:val="nil"/>
              <w:bottom w:val="single" w:color="auto" w:sz="4" w:space="0"/>
              <w:right w:val="single" w:color="auto" w:sz="4" w:space="0"/>
            </w:tcBorders>
            <w:vAlign w:val="center"/>
          </w:tcPr>
          <w:p>
            <w:pPr>
              <w:jc w:val="center"/>
              <w:rPr>
                <w:color w:val="auto"/>
                <w:szCs w:val="21"/>
              </w:rPr>
            </w:pPr>
            <w:r>
              <w:rPr>
                <w:color w:val="auto"/>
                <w:szCs w:val="21"/>
              </w:rPr>
              <w:t>0.126</w:t>
            </w:r>
          </w:p>
        </w:tc>
        <w:tc>
          <w:tcPr>
            <w:tcW w:w="720" w:type="pct"/>
            <w:tcBorders>
              <w:top w:val="nil"/>
              <w:left w:val="nil"/>
              <w:bottom w:val="single" w:color="auto" w:sz="4" w:space="0"/>
              <w:right w:val="single" w:color="auto" w:sz="4" w:space="0"/>
            </w:tcBorders>
            <w:vAlign w:val="center"/>
          </w:tcPr>
          <w:p>
            <w:pPr>
              <w:jc w:val="center"/>
              <w:rPr>
                <w:color w:val="auto"/>
                <w:szCs w:val="21"/>
              </w:rPr>
            </w:pPr>
            <w:r>
              <w:rPr>
                <w:color w:val="auto"/>
                <w:szCs w:val="21"/>
              </w:rPr>
              <w:t>0.364</w:t>
            </w:r>
          </w:p>
        </w:tc>
        <w:tc>
          <w:tcPr>
            <w:tcW w:w="651" w:type="pct"/>
            <w:tcBorders>
              <w:top w:val="nil"/>
              <w:left w:val="nil"/>
              <w:bottom w:val="single" w:color="auto" w:sz="4" w:space="0"/>
              <w:right w:val="single" w:color="auto" w:sz="4" w:space="0"/>
            </w:tcBorders>
            <w:vAlign w:val="center"/>
          </w:tcPr>
          <w:p>
            <w:pPr>
              <w:jc w:val="center"/>
              <w:rPr>
                <w:color w:val="auto"/>
                <w:szCs w:val="21"/>
              </w:rPr>
            </w:pPr>
            <w:r>
              <w:rPr>
                <w:color w:val="auto"/>
                <w:szCs w:val="21"/>
              </w:rPr>
              <w:t>0.879</w:t>
            </w:r>
          </w:p>
        </w:tc>
      </w:tr>
    </w:tbl>
    <w:p>
      <w:pPr>
        <w:spacing w:line="300" w:lineRule="auto"/>
        <w:jc w:val="center"/>
        <w:rPr>
          <w:szCs w:val="21"/>
        </w:rPr>
      </w:pPr>
      <w:r>
        <w:rPr>
          <w:szCs w:val="21"/>
        </w:rPr>
        <w:t>表A.</w:t>
      </w:r>
      <w:r>
        <w:rPr>
          <w:rFonts w:hint="eastAsia"/>
          <w:szCs w:val="21"/>
          <w:lang w:val="en-US" w:eastAsia="zh-CN"/>
        </w:rPr>
        <w:t>8</w:t>
      </w:r>
      <w:r>
        <w:rPr>
          <w:szCs w:val="21"/>
        </w:rPr>
        <w:t xml:space="preserve"> 各单元平均值（%）</w:t>
      </w:r>
    </w:p>
    <w:p>
      <w:pPr>
        <w:spacing w:line="300" w:lineRule="auto"/>
        <w:jc w:val="center"/>
        <w:rPr>
          <w:szCs w:val="21"/>
        </w:rPr>
      </w:pPr>
    </w:p>
    <w:p>
      <w:pPr>
        <w:spacing w:line="300" w:lineRule="auto"/>
        <w:rPr>
          <w:szCs w:val="21"/>
        </w:rPr>
      </w:pPr>
    </w:p>
    <w:p>
      <w:pPr>
        <w:spacing w:line="300" w:lineRule="auto"/>
        <w:jc w:val="center"/>
        <w:rPr>
          <w:szCs w:val="21"/>
        </w:rPr>
      </w:pPr>
      <w:r>
        <w:rPr>
          <w:szCs w:val="21"/>
        </w:rPr>
        <w:t>表A.1</w:t>
      </w:r>
      <w:r>
        <w:rPr>
          <w:rFonts w:hint="eastAsia"/>
          <w:szCs w:val="21"/>
          <w:lang w:val="en-US" w:eastAsia="zh-CN"/>
        </w:rPr>
        <w:t>0</w:t>
      </w:r>
      <w:r>
        <w:rPr>
          <w:szCs w:val="21"/>
        </w:rPr>
        <w:t xml:space="preserve"> 格拉布斯检验</w:t>
      </w:r>
    </w:p>
    <w:tbl>
      <w:tblPr>
        <w:tblStyle w:val="88"/>
        <w:tblW w:w="5000" w:type="pct"/>
        <w:tblInd w:w="91" w:type="dxa"/>
        <w:shd w:val="clear" w:color="auto" w:fill="auto"/>
        <w:tblLayout w:type="autofit"/>
        <w:tblCellMar>
          <w:top w:w="0" w:type="dxa"/>
          <w:left w:w="108" w:type="dxa"/>
          <w:bottom w:w="0" w:type="dxa"/>
          <w:right w:w="108" w:type="dxa"/>
        </w:tblCellMar>
      </w:tblPr>
      <w:tblGrid>
        <w:gridCol w:w="1698"/>
        <w:gridCol w:w="1578"/>
        <w:gridCol w:w="1414"/>
        <w:gridCol w:w="1395"/>
        <w:gridCol w:w="1294"/>
        <w:gridCol w:w="1294"/>
        <w:gridCol w:w="1295"/>
      </w:tblGrid>
      <w:tr>
        <w:tblPrEx>
          <w:shd w:val="clear" w:color="auto" w:fill="auto"/>
          <w:tblCellMar>
            <w:top w:w="0" w:type="dxa"/>
            <w:left w:w="108" w:type="dxa"/>
            <w:bottom w:w="0" w:type="dxa"/>
            <w:right w:w="108" w:type="dxa"/>
          </w:tblCellMar>
        </w:tblPrEx>
        <w:trPr>
          <w:trHeight w:val="300" w:hRule="atLeast"/>
        </w:trPr>
        <w:tc>
          <w:tcPr>
            <w:tcW w:w="1698" w:type="dxa"/>
            <w:tcBorders>
              <w:top w:val="single" w:color="auto" w:sz="4" w:space="0"/>
              <w:left w:val="single" w:color="auto" w:sz="4" w:space="0"/>
              <w:bottom w:val="single" w:color="auto" w:sz="4" w:space="0"/>
              <w:right w:val="single" w:color="000000" w:sz="8" w:space="0"/>
            </w:tcBorders>
            <w:shd w:val="clear" w:color="auto" w:fill="auto"/>
            <w:vAlign w:val="center"/>
          </w:tcPr>
          <w:p>
            <w:pPr>
              <w:widowControl/>
              <w:jc w:val="center"/>
              <w:rPr>
                <w:rFonts w:hint="default" w:eastAsiaTheme="minorEastAsia"/>
                <w:color w:val="auto"/>
                <w:kern w:val="0"/>
                <w:szCs w:val="21"/>
              </w:rPr>
            </w:pPr>
            <w:r>
              <w:rPr>
                <w:rFonts w:hint="default" w:eastAsiaTheme="minorEastAsia"/>
                <w:color w:val="auto"/>
                <w:kern w:val="0"/>
                <w:szCs w:val="21"/>
                <w:lang w:val="en-US" w:eastAsia="zh-CN"/>
              </w:rPr>
              <w:t>统计量</w:t>
            </w:r>
          </w:p>
        </w:tc>
        <w:tc>
          <w:tcPr>
            <w:tcW w:w="1578"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hint="eastAsia" w:eastAsiaTheme="minorEastAsia"/>
                <w:color w:val="auto"/>
                <w:kern w:val="0"/>
                <w:szCs w:val="21"/>
              </w:rPr>
            </w:pPr>
            <w:r>
              <w:rPr>
                <w:rFonts w:hint="eastAsia" w:eastAsiaTheme="minorEastAsia"/>
                <w:color w:val="auto"/>
                <w:kern w:val="0"/>
                <w:szCs w:val="21"/>
                <w:lang w:val="en-US" w:eastAsia="zh-CN"/>
              </w:rPr>
              <w:t>水平</w:t>
            </w:r>
            <w:r>
              <w:rPr>
                <w:rFonts w:hint="default" w:eastAsiaTheme="minorEastAsia"/>
                <w:color w:val="auto"/>
                <w:kern w:val="0"/>
                <w:szCs w:val="21"/>
                <w:lang w:val="en-US" w:eastAsia="zh-CN"/>
              </w:rPr>
              <w:t>1</w:t>
            </w:r>
            <w:r>
              <w:rPr>
                <w:rFonts w:hint="eastAsia" w:eastAsiaTheme="minorEastAsia"/>
                <w:color w:val="auto"/>
                <w:kern w:val="0"/>
                <w:szCs w:val="21"/>
                <w:lang w:val="en-US" w:eastAsia="zh-CN"/>
              </w:rPr>
              <w:t>（</w:t>
            </w:r>
            <w:r>
              <w:rPr>
                <w:rFonts w:hint="default" w:eastAsiaTheme="minorEastAsia"/>
                <w:color w:val="auto"/>
                <w:kern w:val="0"/>
                <w:szCs w:val="21"/>
                <w:lang w:val="en-US" w:eastAsia="zh-CN"/>
              </w:rPr>
              <w:t>5</w:t>
            </w:r>
            <w:r>
              <w:rPr>
                <w:rFonts w:hint="eastAsia" w:eastAsiaTheme="minorEastAsia"/>
                <w:color w:val="auto"/>
                <w:kern w:val="0"/>
                <w:szCs w:val="21"/>
                <w:lang w:val="en-US" w:eastAsia="zh-CN"/>
              </w:rPr>
              <w:t>家）</w:t>
            </w:r>
          </w:p>
        </w:tc>
        <w:tc>
          <w:tcPr>
            <w:tcW w:w="1414"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hint="default" w:eastAsiaTheme="minorEastAsia"/>
                <w:color w:val="auto"/>
                <w:kern w:val="0"/>
                <w:szCs w:val="21"/>
              </w:rPr>
            </w:pPr>
            <w:r>
              <w:rPr>
                <w:rFonts w:hint="default" w:eastAsiaTheme="minorEastAsia"/>
                <w:color w:val="auto"/>
                <w:kern w:val="0"/>
                <w:szCs w:val="21"/>
                <w:lang w:val="en-US" w:eastAsia="zh-CN"/>
              </w:rPr>
              <w:t>水平2</w:t>
            </w:r>
            <w:r>
              <w:rPr>
                <w:rFonts w:hint="eastAsia" w:eastAsiaTheme="minorEastAsia"/>
                <w:color w:val="auto"/>
                <w:kern w:val="0"/>
                <w:szCs w:val="21"/>
                <w:lang w:val="en-US" w:eastAsia="zh-CN"/>
              </w:rPr>
              <w:t>（</w:t>
            </w:r>
            <w:r>
              <w:rPr>
                <w:rFonts w:hint="default" w:eastAsiaTheme="minorEastAsia"/>
                <w:color w:val="auto"/>
                <w:kern w:val="0"/>
                <w:szCs w:val="21"/>
                <w:lang w:val="en-US" w:eastAsia="zh-CN"/>
              </w:rPr>
              <w:t>7</w:t>
            </w:r>
            <w:r>
              <w:rPr>
                <w:rFonts w:hint="eastAsia" w:eastAsiaTheme="minorEastAsia"/>
                <w:color w:val="auto"/>
                <w:kern w:val="0"/>
                <w:szCs w:val="21"/>
                <w:lang w:val="en-US" w:eastAsia="zh-CN"/>
              </w:rPr>
              <w:t>家</w:t>
            </w:r>
            <w:r>
              <w:rPr>
                <w:rFonts w:hint="default" w:eastAsiaTheme="minorEastAsia"/>
                <w:color w:val="auto"/>
                <w:kern w:val="0"/>
                <w:szCs w:val="21"/>
                <w:lang w:val="en-US" w:eastAsia="zh-CN"/>
              </w:rPr>
              <w:t>）</w:t>
            </w:r>
          </w:p>
        </w:tc>
        <w:tc>
          <w:tcPr>
            <w:tcW w:w="1395"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hint="default" w:eastAsiaTheme="minorEastAsia"/>
                <w:color w:val="auto"/>
                <w:kern w:val="0"/>
                <w:szCs w:val="21"/>
              </w:rPr>
            </w:pPr>
            <w:r>
              <w:rPr>
                <w:rFonts w:hint="default" w:eastAsiaTheme="minorEastAsia"/>
                <w:color w:val="auto"/>
                <w:kern w:val="0"/>
                <w:szCs w:val="21"/>
                <w:lang w:val="en-US" w:eastAsia="zh-CN"/>
              </w:rPr>
              <w:t>水平3</w:t>
            </w:r>
            <w:r>
              <w:rPr>
                <w:rFonts w:hint="eastAsia" w:eastAsiaTheme="minorEastAsia"/>
                <w:color w:val="auto"/>
                <w:kern w:val="0"/>
                <w:szCs w:val="21"/>
                <w:lang w:val="en-US" w:eastAsia="zh-CN"/>
              </w:rPr>
              <w:t>（</w:t>
            </w:r>
            <w:r>
              <w:rPr>
                <w:rFonts w:hint="default" w:eastAsiaTheme="minorEastAsia"/>
                <w:color w:val="auto"/>
                <w:kern w:val="0"/>
                <w:szCs w:val="21"/>
                <w:lang w:val="en-US" w:eastAsia="zh-CN"/>
              </w:rPr>
              <w:t>5</w:t>
            </w:r>
            <w:r>
              <w:rPr>
                <w:rFonts w:hint="eastAsia" w:eastAsiaTheme="minorEastAsia"/>
                <w:color w:val="auto"/>
                <w:kern w:val="0"/>
                <w:szCs w:val="21"/>
                <w:lang w:val="en-US" w:eastAsia="zh-CN"/>
              </w:rPr>
              <w:t>家</w:t>
            </w:r>
            <w:r>
              <w:rPr>
                <w:rFonts w:hint="default" w:eastAsiaTheme="minorEastAsia"/>
                <w:color w:val="auto"/>
                <w:kern w:val="0"/>
                <w:szCs w:val="21"/>
                <w:lang w:val="en-US" w:eastAsia="zh-CN"/>
              </w:rPr>
              <w:t>）</w:t>
            </w:r>
          </w:p>
        </w:tc>
        <w:tc>
          <w:tcPr>
            <w:tcW w:w="1294"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hint="eastAsia" w:eastAsiaTheme="minorEastAsia"/>
                <w:color w:val="auto"/>
                <w:kern w:val="0"/>
                <w:szCs w:val="21"/>
              </w:rPr>
            </w:pPr>
            <w:r>
              <w:rPr>
                <w:rFonts w:hint="eastAsia" w:eastAsiaTheme="minorEastAsia"/>
                <w:color w:val="auto"/>
                <w:kern w:val="0"/>
                <w:szCs w:val="21"/>
                <w:lang w:val="en-US" w:eastAsia="zh-CN"/>
              </w:rPr>
              <w:t>水平</w:t>
            </w:r>
            <w:r>
              <w:rPr>
                <w:rFonts w:hint="default" w:eastAsiaTheme="minorEastAsia"/>
                <w:color w:val="auto"/>
                <w:kern w:val="0"/>
                <w:szCs w:val="21"/>
                <w:lang w:val="en-US" w:eastAsia="zh-CN"/>
              </w:rPr>
              <w:t>4</w:t>
            </w:r>
            <w:r>
              <w:rPr>
                <w:rFonts w:hint="eastAsia" w:eastAsiaTheme="minorEastAsia"/>
                <w:color w:val="auto"/>
                <w:kern w:val="0"/>
                <w:szCs w:val="21"/>
                <w:lang w:val="en-US" w:eastAsia="zh-CN"/>
              </w:rPr>
              <w:t>（</w:t>
            </w:r>
            <w:r>
              <w:rPr>
                <w:rFonts w:hint="default" w:eastAsiaTheme="minorEastAsia"/>
                <w:color w:val="auto"/>
                <w:kern w:val="0"/>
                <w:szCs w:val="21"/>
                <w:lang w:val="en-US" w:eastAsia="zh-CN"/>
              </w:rPr>
              <w:t>5</w:t>
            </w:r>
            <w:r>
              <w:rPr>
                <w:rFonts w:hint="eastAsia" w:eastAsiaTheme="minorEastAsia"/>
                <w:color w:val="auto"/>
                <w:kern w:val="0"/>
                <w:szCs w:val="21"/>
                <w:lang w:val="en-US" w:eastAsia="zh-CN"/>
              </w:rPr>
              <w:t>家）</w:t>
            </w:r>
          </w:p>
        </w:tc>
        <w:tc>
          <w:tcPr>
            <w:tcW w:w="1294" w:type="dxa"/>
            <w:tcBorders>
              <w:top w:val="single" w:color="auto" w:sz="4" w:space="0"/>
              <w:left w:val="nil"/>
              <w:bottom w:val="single" w:color="auto" w:sz="4" w:space="0"/>
              <w:right w:val="single" w:color="000000" w:sz="8" w:space="0"/>
            </w:tcBorders>
            <w:shd w:val="clear" w:color="auto" w:fill="auto"/>
            <w:vAlign w:val="center"/>
          </w:tcPr>
          <w:p>
            <w:pPr>
              <w:widowControl/>
              <w:jc w:val="center"/>
              <w:rPr>
                <w:rFonts w:hint="default" w:eastAsiaTheme="minorEastAsia"/>
                <w:color w:val="auto"/>
                <w:kern w:val="0"/>
                <w:szCs w:val="21"/>
              </w:rPr>
            </w:pPr>
            <w:r>
              <w:rPr>
                <w:rFonts w:hint="default" w:eastAsiaTheme="minorEastAsia"/>
                <w:color w:val="auto"/>
                <w:kern w:val="0"/>
                <w:szCs w:val="21"/>
                <w:lang w:val="en-US" w:eastAsia="zh-CN"/>
              </w:rPr>
              <w:t>水平5</w:t>
            </w:r>
            <w:r>
              <w:rPr>
                <w:rFonts w:hint="eastAsia" w:eastAsiaTheme="minorEastAsia"/>
                <w:color w:val="auto"/>
                <w:kern w:val="0"/>
                <w:szCs w:val="21"/>
                <w:lang w:val="en-US" w:eastAsia="zh-CN"/>
              </w:rPr>
              <w:t>（</w:t>
            </w:r>
            <w:r>
              <w:rPr>
                <w:rFonts w:hint="default" w:eastAsiaTheme="minorEastAsia"/>
                <w:color w:val="auto"/>
                <w:kern w:val="0"/>
                <w:szCs w:val="21"/>
                <w:lang w:val="en-US" w:eastAsia="zh-CN"/>
              </w:rPr>
              <w:t>7</w:t>
            </w:r>
            <w:r>
              <w:rPr>
                <w:rFonts w:hint="eastAsia" w:eastAsiaTheme="minorEastAsia"/>
                <w:color w:val="auto"/>
                <w:kern w:val="0"/>
                <w:szCs w:val="21"/>
                <w:lang w:val="en-US" w:eastAsia="zh-CN"/>
              </w:rPr>
              <w:t>家</w:t>
            </w:r>
            <w:r>
              <w:rPr>
                <w:rFonts w:hint="default" w:eastAsiaTheme="minorEastAsia"/>
                <w:color w:val="auto"/>
                <w:kern w:val="0"/>
                <w:szCs w:val="21"/>
                <w:lang w:val="en-US" w:eastAsia="zh-CN"/>
              </w:rPr>
              <w:t>）</w:t>
            </w:r>
          </w:p>
        </w:tc>
        <w:tc>
          <w:tcPr>
            <w:tcW w:w="129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default" w:eastAsiaTheme="minorEastAsia"/>
                <w:color w:val="auto"/>
                <w:kern w:val="0"/>
                <w:szCs w:val="21"/>
              </w:rPr>
            </w:pPr>
            <w:r>
              <w:rPr>
                <w:rFonts w:hint="default" w:eastAsiaTheme="minorEastAsia"/>
                <w:color w:val="auto"/>
                <w:kern w:val="0"/>
                <w:szCs w:val="21"/>
                <w:lang w:val="en-US" w:eastAsia="zh-CN"/>
              </w:rPr>
              <w:t>水平6</w:t>
            </w:r>
            <w:r>
              <w:rPr>
                <w:rFonts w:hint="eastAsia" w:eastAsiaTheme="minorEastAsia"/>
                <w:color w:val="auto"/>
                <w:kern w:val="0"/>
                <w:szCs w:val="21"/>
                <w:lang w:val="en-US" w:eastAsia="zh-CN"/>
              </w:rPr>
              <w:t>（</w:t>
            </w:r>
            <w:r>
              <w:rPr>
                <w:rFonts w:hint="default" w:eastAsiaTheme="minorEastAsia"/>
                <w:color w:val="auto"/>
                <w:kern w:val="0"/>
                <w:szCs w:val="21"/>
                <w:lang w:val="en-US" w:eastAsia="zh-CN"/>
              </w:rPr>
              <w:t>6</w:t>
            </w:r>
            <w:r>
              <w:rPr>
                <w:rFonts w:hint="eastAsia" w:eastAsiaTheme="minorEastAsia"/>
                <w:color w:val="auto"/>
                <w:kern w:val="0"/>
                <w:szCs w:val="21"/>
                <w:lang w:val="en-US" w:eastAsia="zh-CN"/>
              </w:rPr>
              <w:t>家</w:t>
            </w:r>
            <w:r>
              <w:rPr>
                <w:rFonts w:hint="default" w:eastAsiaTheme="minorEastAsia"/>
                <w:color w:val="auto"/>
                <w:kern w:val="0"/>
                <w:szCs w:val="21"/>
                <w:lang w:val="en-US" w:eastAsia="zh-CN"/>
              </w:rPr>
              <w:t>）</w:t>
            </w:r>
          </w:p>
        </w:tc>
      </w:tr>
      <w:tr>
        <w:tblPrEx>
          <w:shd w:val="clear" w:color="auto" w:fill="auto"/>
          <w:tblCellMar>
            <w:top w:w="0" w:type="dxa"/>
            <w:left w:w="108" w:type="dxa"/>
            <w:bottom w:w="0" w:type="dxa"/>
            <w:right w:w="108" w:type="dxa"/>
          </w:tblCellMar>
        </w:tblPrEx>
        <w:trPr>
          <w:trHeight w:val="300" w:hRule="atLeast"/>
        </w:trPr>
        <w:tc>
          <w:tcPr>
            <w:tcW w:w="1698" w:type="dxa"/>
            <w:tcBorders>
              <w:top w:val="single" w:color="auto" w:sz="4" w:space="0"/>
              <w:left w:val="single" w:color="000000" w:sz="8" w:space="0"/>
              <w:bottom w:val="single" w:color="000000" w:sz="8" w:space="0"/>
              <w:right w:val="single" w:color="000000" w:sz="8" w:space="0"/>
            </w:tcBorders>
            <w:shd w:val="clear" w:color="auto" w:fill="auto"/>
            <w:vAlign w:val="center"/>
          </w:tcPr>
          <w:p>
            <w:pPr>
              <w:widowControl/>
              <w:jc w:val="center"/>
              <w:rPr>
                <w:rFonts w:hint="default" w:eastAsiaTheme="minorEastAsia"/>
                <w:color w:val="auto"/>
                <w:kern w:val="0"/>
                <w:szCs w:val="21"/>
              </w:rPr>
            </w:pPr>
            <w:r>
              <w:rPr>
                <w:rFonts w:hint="default" w:eastAsiaTheme="minorEastAsia"/>
                <w:color w:val="auto"/>
                <w:kern w:val="0"/>
                <w:szCs w:val="21"/>
                <w:lang w:val="en-US" w:eastAsia="zh-CN"/>
              </w:rPr>
              <w:t>均值的平均值</w:t>
            </w:r>
          </w:p>
        </w:tc>
        <w:tc>
          <w:tcPr>
            <w:tcW w:w="1578" w:type="dxa"/>
            <w:tcBorders>
              <w:top w:val="single" w:color="auto" w:sz="4" w:space="0"/>
              <w:left w:val="nil"/>
              <w:bottom w:val="single" w:color="000000" w:sz="8" w:space="0"/>
              <w:right w:val="single" w:color="000000" w:sz="8" w:space="0"/>
            </w:tcBorders>
            <w:shd w:val="clear" w:color="auto" w:fill="auto"/>
            <w:vAlign w:val="center"/>
          </w:tcPr>
          <w:p>
            <w:pPr>
              <w:widowControl/>
              <w:jc w:val="center"/>
              <w:rPr>
                <w:rFonts w:hint="default" w:eastAsiaTheme="minorEastAsia"/>
                <w:color w:val="auto"/>
                <w:kern w:val="0"/>
                <w:szCs w:val="21"/>
              </w:rPr>
            </w:pPr>
            <w:r>
              <w:rPr>
                <w:rFonts w:hint="default" w:eastAsiaTheme="minorEastAsia"/>
                <w:color w:val="auto"/>
                <w:kern w:val="0"/>
                <w:szCs w:val="21"/>
                <w:lang w:val="en-US" w:eastAsia="zh-CN"/>
              </w:rPr>
              <w:t>0.00276</w:t>
            </w:r>
          </w:p>
        </w:tc>
        <w:tc>
          <w:tcPr>
            <w:tcW w:w="1414" w:type="dxa"/>
            <w:tcBorders>
              <w:top w:val="single" w:color="auto" w:sz="4" w:space="0"/>
              <w:left w:val="nil"/>
              <w:bottom w:val="single" w:color="000000" w:sz="8" w:space="0"/>
              <w:right w:val="single" w:color="000000" w:sz="8" w:space="0"/>
            </w:tcBorders>
            <w:shd w:val="clear" w:color="auto" w:fill="auto"/>
            <w:vAlign w:val="center"/>
          </w:tcPr>
          <w:p>
            <w:pPr>
              <w:widowControl/>
              <w:jc w:val="center"/>
              <w:rPr>
                <w:rFonts w:hint="default" w:eastAsiaTheme="minorEastAsia"/>
                <w:color w:val="auto"/>
                <w:kern w:val="0"/>
                <w:szCs w:val="21"/>
              </w:rPr>
            </w:pPr>
            <w:r>
              <w:rPr>
                <w:rFonts w:hint="default" w:eastAsiaTheme="minorEastAsia"/>
                <w:color w:val="auto"/>
                <w:kern w:val="0"/>
                <w:szCs w:val="21"/>
                <w:lang w:val="en-US" w:eastAsia="zh-CN"/>
              </w:rPr>
              <w:t>0.0127</w:t>
            </w:r>
          </w:p>
        </w:tc>
        <w:tc>
          <w:tcPr>
            <w:tcW w:w="1395" w:type="dxa"/>
            <w:tcBorders>
              <w:top w:val="single" w:color="auto" w:sz="4" w:space="0"/>
              <w:left w:val="nil"/>
              <w:bottom w:val="single" w:color="000000" w:sz="8" w:space="0"/>
              <w:right w:val="single" w:color="000000" w:sz="8" w:space="0"/>
            </w:tcBorders>
            <w:shd w:val="clear" w:color="auto" w:fill="auto"/>
            <w:vAlign w:val="center"/>
          </w:tcPr>
          <w:p>
            <w:pPr>
              <w:widowControl/>
              <w:jc w:val="center"/>
              <w:rPr>
                <w:rFonts w:hint="default" w:eastAsiaTheme="minorEastAsia"/>
                <w:color w:val="auto"/>
                <w:kern w:val="0"/>
                <w:szCs w:val="21"/>
              </w:rPr>
            </w:pPr>
            <w:r>
              <w:rPr>
                <w:rFonts w:hint="default" w:eastAsiaTheme="minorEastAsia"/>
                <w:color w:val="auto"/>
                <w:kern w:val="0"/>
                <w:szCs w:val="21"/>
                <w:lang w:val="en-US" w:eastAsia="zh-CN"/>
              </w:rPr>
              <w:t>0.0339</w:t>
            </w:r>
          </w:p>
        </w:tc>
        <w:tc>
          <w:tcPr>
            <w:tcW w:w="0" w:type="auto"/>
            <w:tcBorders>
              <w:top w:val="single" w:color="auto" w:sz="4" w:space="0"/>
              <w:left w:val="nil"/>
              <w:bottom w:val="single" w:color="000000" w:sz="8" w:space="0"/>
              <w:right w:val="single" w:color="000000" w:sz="8" w:space="0"/>
            </w:tcBorders>
            <w:shd w:val="clear" w:color="auto" w:fill="auto"/>
            <w:noWrap/>
            <w:vAlign w:val="center"/>
          </w:tcPr>
          <w:p>
            <w:pPr>
              <w:widowControl/>
              <w:jc w:val="center"/>
              <w:rPr>
                <w:rFonts w:hint="default" w:eastAsiaTheme="minorEastAsia"/>
                <w:color w:val="auto"/>
                <w:kern w:val="0"/>
                <w:szCs w:val="21"/>
              </w:rPr>
            </w:pPr>
            <w:r>
              <w:rPr>
                <w:rFonts w:hint="default" w:eastAsiaTheme="minorEastAsia"/>
                <w:color w:val="auto"/>
                <w:kern w:val="0"/>
                <w:szCs w:val="21"/>
                <w:lang w:val="en-US" w:eastAsia="zh-CN"/>
              </w:rPr>
              <w:t>0.126</w:t>
            </w:r>
          </w:p>
        </w:tc>
        <w:tc>
          <w:tcPr>
            <w:tcW w:w="1294" w:type="dxa"/>
            <w:tcBorders>
              <w:top w:val="single" w:color="auto" w:sz="4" w:space="0"/>
              <w:left w:val="nil"/>
              <w:bottom w:val="single" w:color="000000" w:sz="8" w:space="0"/>
              <w:right w:val="single" w:color="000000" w:sz="8" w:space="0"/>
            </w:tcBorders>
            <w:shd w:val="clear" w:color="auto" w:fill="auto"/>
            <w:vAlign w:val="center"/>
          </w:tcPr>
          <w:p>
            <w:pPr>
              <w:widowControl/>
              <w:jc w:val="center"/>
              <w:rPr>
                <w:rFonts w:hint="default" w:eastAsiaTheme="minorEastAsia"/>
                <w:color w:val="auto"/>
                <w:kern w:val="0"/>
                <w:szCs w:val="21"/>
              </w:rPr>
            </w:pPr>
            <w:r>
              <w:rPr>
                <w:rFonts w:hint="default" w:eastAsiaTheme="minorEastAsia"/>
                <w:color w:val="auto"/>
                <w:kern w:val="0"/>
                <w:szCs w:val="21"/>
                <w:lang w:val="en-US" w:eastAsia="zh-CN"/>
              </w:rPr>
              <w:t>0.391</w:t>
            </w:r>
          </w:p>
        </w:tc>
        <w:tc>
          <w:tcPr>
            <w:tcW w:w="0" w:type="auto"/>
            <w:tcBorders>
              <w:top w:val="single" w:color="auto" w:sz="4" w:space="0"/>
              <w:left w:val="nil"/>
              <w:bottom w:val="single" w:color="000000" w:sz="8" w:space="0"/>
              <w:right w:val="single" w:color="000000" w:sz="8" w:space="0"/>
            </w:tcBorders>
            <w:shd w:val="clear" w:color="auto" w:fill="auto"/>
            <w:noWrap/>
            <w:vAlign w:val="center"/>
          </w:tcPr>
          <w:p>
            <w:pPr>
              <w:widowControl/>
              <w:jc w:val="center"/>
              <w:rPr>
                <w:rFonts w:hint="default" w:eastAsiaTheme="minorEastAsia"/>
                <w:color w:val="auto"/>
                <w:kern w:val="0"/>
                <w:szCs w:val="21"/>
              </w:rPr>
            </w:pPr>
            <w:r>
              <w:rPr>
                <w:rFonts w:hint="default" w:eastAsiaTheme="minorEastAsia"/>
                <w:color w:val="auto"/>
                <w:kern w:val="0"/>
                <w:szCs w:val="21"/>
                <w:lang w:val="en-US" w:eastAsia="zh-CN"/>
              </w:rPr>
              <w:t>0.884</w:t>
            </w:r>
          </w:p>
        </w:tc>
      </w:tr>
      <w:tr>
        <w:tblPrEx>
          <w:shd w:val="clear" w:color="auto" w:fill="auto"/>
          <w:tblCellMar>
            <w:top w:w="0" w:type="dxa"/>
            <w:left w:w="108" w:type="dxa"/>
            <w:bottom w:w="0" w:type="dxa"/>
            <w:right w:w="108" w:type="dxa"/>
          </w:tblCellMar>
        </w:tblPrEx>
        <w:trPr>
          <w:trHeight w:val="300" w:hRule="atLeast"/>
        </w:trPr>
        <w:tc>
          <w:tcPr>
            <w:tcW w:w="1698"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eastAsiaTheme="minorEastAsia"/>
                <w:color w:val="auto"/>
                <w:kern w:val="0"/>
                <w:szCs w:val="21"/>
              </w:rPr>
            </w:pPr>
            <w:r>
              <w:rPr>
                <w:rFonts w:hint="default" w:eastAsiaTheme="minorEastAsia"/>
                <w:color w:val="auto"/>
                <w:kern w:val="0"/>
                <w:szCs w:val="21"/>
                <w:lang w:val="en-US" w:eastAsia="zh-CN"/>
              </w:rPr>
              <w:t>均值的标准差</w:t>
            </w:r>
          </w:p>
        </w:tc>
        <w:tc>
          <w:tcPr>
            <w:tcW w:w="1578" w:type="dxa"/>
            <w:tcBorders>
              <w:top w:val="nil"/>
              <w:left w:val="nil"/>
              <w:bottom w:val="single" w:color="000000" w:sz="8" w:space="0"/>
              <w:right w:val="single" w:color="000000" w:sz="8" w:space="0"/>
            </w:tcBorders>
            <w:shd w:val="clear" w:color="auto" w:fill="auto"/>
            <w:vAlign w:val="center"/>
          </w:tcPr>
          <w:p>
            <w:pPr>
              <w:widowControl/>
              <w:jc w:val="center"/>
              <w:rPr>
                <w:rFonts w:hint="default" w:eastAsiaTheme="minorEastAsia"/>
                <w:color w:val="auto"/>
                <w:kern w:val="0"/>
                <w:szCs w:val="21"/>
              </w:rPr>
            </w:pPr>
            <w:r>
              <w:rPr>
                <w:rFonts w:hint="default" w:eastAsiaTheme="minorEastAsia"/>
                <w:color w:val="auto"/>
                <w:kern w:val="0"/>
                <w:szCs w:val="21"/>
                <w:lang w:val="en-US" w:eastAsia="zh-CN"/>
              </w:rPr>
              <w:t>8.23E-04</w:t>
            </w:r>
          </w:p>
        </w:tc>
        <w:tc>
          <w:tcPr>
            <w:tcW w:w="1414" w:type="dxa"/>
            <w:tcBorders>
              <w:top w:val="nil"/>
              <w:left w:val="nil"/>
              <w:bottom w:val="single" w:color="000000" w:sz="8" w:space="0"/>
              <w:right w:val="single" w:color="000000" w:sz="8" w:space="0"/>
            </w:tcBorders>
            <w:shd w:val="clear" w:color="auto" w:fill="auto"/>
            <w:vAlign w:val="center"/>
          </w:tcPr>
          <w:p>
            <w:pPr>
              <w:widowControl/>
              <w:jc w:val="center"/>
              <w:rPr>
                <w:rFonts w:hint="default" w:eastAsiaTheme="minorEastAsia"/>
                <w:color w:val="auto"/>
                <w:kern w:val="0"/>
                <w:szCs w:val="21"/>
              </w:rPr>
            </w:pPr>
            <w:r>
              <w:rPr>
                <w:rFonts w:hint="default" w:eastAsiaTheme="minorEastAsia"/>
                <w:color w:val="auto"/>
                <w:kern w:val="0"/>
                <w:szCs w:val="21"/>
                <w:lang w:val="en-US" w:eastAsia="zh-CN"/>
              </w:rPr>
              <w:t>1.48E-03</w:t>
            </w:r>
          </w:p>
        </w:tc>
        <w:tc>
          <w:tcPr>
            <w:tcW w:w="1395" w:type="dxa"/>
            <w:tcBorders>
              <w:top w:val="nil"/>
              <w:left w:val="nil"/>
              <w:bottom w:val="single" w:color="000000" w:sz="8" w:space="0"/>
              <w:right w:val="single" w:color="000000" w:sz="8" w:space="0"/>
            </w:tcBorders>
            <w:shd w:val="clear" w:color="auto" w:fill="auto"/>
            <w:vAlign w:val="center"/>
          </w:tcPr>
          <w:p>
            <w:pPr>
              <w:widowControl/>
              <w:jc w:val="center"/>
              <w:rPr>
                <w:rFonts w:hint="default" w:eastAsiaTheme="minorEastAsia"/>
                <w:color w:val="auto"/>
                <w:kern w:val="0"/>
                <w:szCs w:val="21"/>
              </w:rPr>
            </w:pPr>
            <w:r>
              <w:rPr>
                <w:rFonts w:hint="default" w:eastAsiaTheme="minorEastAsia"/>
                <w:color w:val="auto"/>
                <w:kern w:val="0"/>
                <w:szCs w:val="21"/>
                <w:lang w:val="en-US" w:eastAsia="zh-CN"/>
              </w:rPr>
              <w:t>3.50E-03</w:t>
            </w:r>
          </w:p>
        </w:tc>
        <w:tc>
          <w:tcPr>
            <w:tcW w:w="1294" w:type="dxa"/>
            <w:tcBorders>
              <w:top w:val="nil"/>
              <w:left w:val="nil"/>
              <w:bottom w:val="single" w:color="000000" w:sz="8" w:space="0"/>
              <w:right w:val="single" w:color="000000" w:sz="8" w:space="0"/>
            </w:tcBorders>
            <w:shd w:val="clear" w:color="auto" w:fill="auto"/>
            <w:vAlign w:val="center"/>
          </w:tcPr>
          <w:p>
            <w:pPr>
              <w:widowControl/>
              <w:jc w:val="center"/>
              <w:rPr>
                <w:rFonts w:hint="default" w:eastAsiaTheme="minorEastAsia"/>
                <w:color w:val="auto"/>
                <w:kern w:val="0"/>
                <w:szCs w:val="21"/>
              </w:rPr>
            </w:pPr>
            <w:r>
              <w:rPr>
                <w:rFonts w:hint="default" w:eastAsiaTheme="minorEastAsia"/>
                <w:color w:val="auto"/>
                <w:kern w:val="0"/>
                <w:szCs w:val="21"/>
                <w:lang w:val="en-US" w:eastAsia="zh-CN"/>
              </w:rPr>
              <w:t>1.25E-02</w:t>
            </w:r>
          </w:p>
        </w:tc>
        <w:tc>
          <w:tcPr>
            <w:tcW w:w="1294" w:type="dxa"/>
            <w:tcBorders>
              <w:top w:val="nil"/>
              <w:left w:val="nil"/>
              <w:bottom w:val="single" w:color="000000" w:sz="8" w:space="0"/>
              <w:right w:val="single" w:color="000000" w:sz="8" w:space="0"/>
            </w:tcBorders>
            <w:shd w:val="clear" w:color="auto" w:fill="auto"/>
            <w:vAlign w:val="center"/>
          </w:tcPr>
          <w:p>
            <w:pPr>
              <w:widowControl/>
              <w:jc w:val="center"/>
              <w:rPr>
                <w:rFonts w:hint="default" w:eastAsiaTheme="minorEastAsia"/>
                <w:color w:val="auto"/>
                <w:kern w:val="0"/>
                <w:szCs w:val="21"/>
              </w:rPr>
            </w:pPr>
            <w:r>
              <w:rPr>
                <w:rFonts w:hint="default" w:eastAsiaTheme="minorEastAsia"/>
                <w:color w:val="auto"/>
                <w:kern w:val="0"/>
                <w:szCs w:val="21"/>
                <w:lang w:val="en-US" w:eastAsia="zh-CN"/>
              </w:rPr>
              <w:t>3.38E-02</w:t>
            </w:r>
          </w:p>
        </w:tc>
        <w:tc>
          <w:tcPr>
            <w:tcW w:w="1295" w:type="dxa"/>
            <w:tcBorders>
              <w:top w:val="nil"/>
              <w:left w:val="nil"/>
              <w:bottom w:val="single" w:color="000000" w:sz="8" w:space="0"/>
              <w:right w:val="single" w:color="000000" w:sz="8" w:space="0"/>
            </w:tcBorders>
            <w:shd w:val="clear" w:color="auto" w:fill="auto"/>
            <w:vAlign w:val="center"/>
          </w:tcPr>
          <w:p>
            <w:pPr>
              <w:widowControl/>
              <w:jc w:val="center"/>
              <w:rPr>
                <w:rFonts w:hint="default" w:eastAsiaTheme="minorEastAsia"/>
                <w:color w:val="auto"/>
                <w:kern w:val="0"/>
                <w:szCs w:val="21"/>
              </w:rPr>
            </w:pPr>
            <w:r>
              <w:rPr>
                <w:rFonts w:hint="default" w:eastAsiaTheme="minorEastAsia"/>
                <w:color w:val="auto"/>
                <w:kern w:val="0"/>
                <w:szCs w:val="21"/>
                <w:lang w:val="en-US" w:eastAsia="zh-CN"/>
              </w:rPr>
              <w:t>1.93E-02</w:t>
            </w:r>
          </w:p>
        </w:tc>
      </w:tr>
      <w:tr>
        <w:tblPrEx>
          <w:shd w:val="clear" w:color="auto" w:fill="auto"/>
          <w:tblCellMar>
            <w:top w:w="0" w:type="dxa"/>
            <w:left w:w="108" w:type="dxa"/>
            <w:bottom w:w="0" w:type="dxa"/>
            <w:right w:w="108" w:type="dxa"/>
          </w:tblCellMar>
        </w:tblPrEx>
        <w:trPr>
          <w:trHeight w:val="300" w:hRule="atLeast"/>
        </w:trPr>
        <w:tc>
          <w:tcPr>
            <w:tcW w:w="1698"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eastAsiaTheme="minorEastAsia"/>
                <w:color w:val="auto"/>
                <w:kern w:val="0"/>
                <w:szCs w:val="21"/>
              </w:rPr>
            </w:pPr>
            <w:r>
              <w:rPr>
                <w:rFonts w:hint="default" w:eastAsiaTheme="minorEastAsia"/>
                <w:color w:val="auto"/>
                <w:kern w:val="0"/>
                <w:szCs w:val="21"/>
                <w:lang w:val="en-US" w:eastAsia="zh-CN"/>
              </w:rPr>
              <w:t>最大均值</w:t>
            </w:r>
          </w:p>
        </w:tc>
        <w:tc>
          <w:tcPr>
            <w:tcW w:w="1578" w:type="dxa"/>
            <w:tcBorders>
              <w:top w:val="nil"/>
              <w:left w:val="nil"/>
              <w:bottom w:val="single" w:color="000000" w:sz="8" w:space="0"/>
              <w:right w:val="single" w:color="000000" w:sz="8" w:space="0"/>
            </w:tcBorders>
            <w:shd w:val="clear" w:color="auto" w:fill="auto"/>
            <w:vAlign w:val="center"/>
          </w:tcPr>
          <w:p>
            <w:pPr>
              <w:widowControl/>
              <w:jc w:val="center"/>
              <w:rPr>
                <w:rFonts w:hint="default" w:eastAsiaTheme="minorEastAsia"/>
                <w:color w:val="auto"/>
                <w:kern w:val="0"/>
                <w:szCs w:val="21"/>
              </w:rPr>
            </w:pPr>
            <w:r>
              <w:rPr>
                <w:rFonts w:hint="default" w:eastAsiaTheme="minorEastAsia"/>
                <w:color w:val="auto"/>
                <w:kern w:val="0"/>
                <w:szCs w:val="21"/>
                <w:lang w:val="en-US" w:eastAsia="zh-CN"/>
              </w:rPr>
              <w:t>0.0041</w:t>
            </w:r>
          </w:p>
        </w:tc>
        <w:tc>
          <w:tcPr>
            <w:tcW w:w="1414" w:type="dxa"/>
            <w:tcBorders>
              <w:top w:val="nil"/>
              <w:left w:val="nil"/>
              <w:bottom w:val="single" w:color="000000" w:sz="8" w:space="0"/>
              <w:right w:val="single" w:color="000000" w:sz="8" w:space="0"/>
            </w:tcBorders>
            <w:shd w:val="clear" w:color="auto" w:fill="auto"/>
            <w:vAlign w:val="center"/>
          </w:tcPr>
          <w:p>
            <w:pPr>
              <w:widowControl/>
              <w:jc w:val="center"/>
              <w:rPr>
                <w:rFonts w:hint="default" w:eastAsiaTheme="minorEastAsia"/>
                <w:color w:val="auto"/>
                <w:kern w:val="0"/>
                <w:szCs w:val="21"/>
              </w:rPr>
            </w:pPr>
            <w:r>
              <w:rPr>
                <w:rFonts w:hint="default" w:eastAsiaTheme="minorEastAsia"/>
                <w:color w:val="auto"/>
                <w:kern w:val="0"/>
                <w:szCs w:val="21"/>
                <w:lang w:val="en-US" w:eastAsia="zh-CN"/>
              </w:rPr>
              <w:t>0.0151</w:t>
            </w:r>
          </w:p>
        </w:tc>
        <w:tc>
          <w:tcPr>
            <w:tcW w:w="1395" w:type="dxa"/>
            <w:tcBorders>
              <w:top w:val="nil"/>
              <w:left w:val="nil"/>
              <w:bottom w:val="single" w:color="000000" w:sz="8" w:space="0"/>
              <w:right w:val="single" w:color="000000" w:sz="8" w:space="0"/>
            </w:tcBorders>
            <w:shd w:val="clear" w:color="auto" w:fill="auto"/>
            <w:vAlign w:val="center"/>
          </w:tcPr>
          <w:p>
            <w:pPr>
              <w:widowControl/>
              <w:jc w:val="center"/>
              <w:rPr>
                <w:rFonts w:hint="default" w:eastAsiaTheme="minorEastAsia"/>
                <w:color w:val="auto"/>
                <w:kern w:val="0"/>
                <w:szCs w:val="21"/>
                <w:lang w:val="en-US"/>
              </w:rPr>
            </w:pPr>
            <w:r>
              <w:rPr>
                <w:rFonts w:hint="default" w:eastAsiaTheme="minorEastAsia"/>
                <w:color w:val="auto"/>
                <w:kern w:val="0"/>
                <w:szCs w:val="21"/>
                <w:lang w:val="en-US" w:eastAsia="zh-CN"/>
              </w:rPr>
              <w:t>0.04</w:t>
            </w:r>
            <w:r>
              <w:rPr>
                <w:rFonts w:hint="eastAsia" w:eastAsiaTheme="minorEastAsia"/>
                <w:color w:val="auto"/>
                <w:kern w:val="0"/>
                <w:szCs w:val="21"/>
                <w:lang w:val="en-US" w:eastAsia="zh-CN"/>
              </w:rPr>
              <w:t>00</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hint="default" w:eastAsiaTheme="minorEastAsia"/>
                <w:color w:val="auto"/>
                <w:kern w:val="0"/>
                <w:szCs w:val="21"/>
              </w:rPr>
            </w:pPr>
            <w:r>
              <w:rPr>
                <w:rFonts w:hint="default" w:eastAsiaTheme="minorEastAsia"/>
                <w:color w:val="auto"/>
                <w:kern w:val="0"/>
                <w:szCs w:val="21"/>
                <w:lang w:val="en-US" w:eastAsia="zh-CN"/>
              </w:rPr>
              <w:t>0.135</w:t>
            </w:r>
          </w:p>
        </w:tc>
        <w:tc>
          <w:tcPr>
            <w:tcW w:w="1294" w:type="dxa"/>
            <w:tcBorders>
              <w:top w:val="nil"/>
              <w:left w:val="nil"/>
              <w:bottom w:val="single" w:color="000000" w:sz="8" w:space="0"/>
              <w:right w:val="single" w:color="000000" w:sz="8" w:space="0"/>
            </w:tcBorders>
            <w:shd w:val="clear" w:color="auto" w:fill="auto"/>
            <w:vAlign w:val="center"/>
          </w:tcPr>
          <w:p>
            <w:pPr>
              <w:widowControl/>
              <w:jc w:val="center"/>
              <w:rPr>
                <w:rFonts w:hint="default" w:eastAsiaTheme="minorEastAsia"/>
                <w:color w:val="auto"/>
                <w:kern w:val="0"/>
                <w:szCs w:val="21"/>
              </w:rPr>
            </w:pPr>
            <w:r>
              <w:rPr>
                <w:rFonts w:hint="default" w:eastAsiaTheme="minorEastAsia"/>
                <w:color w:val="auto"/>
                <w:kern w:val="0"/>
                <w:szCs w:val="21"/>
                <w:lang w:val="en-US" w:eastAsia="zh-CN"/>
              </w:rPr>
              <w:t>0.466</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hint="default" w:eastAsiaTheme="minorEastAsia"/>
                <w:color w:val="auto"/>
                <w:kern w:val="0"/>
                <w:szCs w:val="21"/>
              </w:rPr>
            </w:pPr>
            <w:r>
              <w:rPr>
                <w:rFonts w:hint="default" w:eastAsiaTheme="minorEastAsia"/>
                <w:color w:val="auto"/>
                <w:kern w:val="0"/>
                <w:szCs w:val="21"/>
                <w:lang w:val="en-US" w:eastAsia="zh-CN"/>
              </w:rPr>
              <w:t>0.906</w:t>
            </w:r>
          </w:p>
        </w:tc>
      </w:tr>
      <w:tr>
        <w:tblPrEx>
          <w:shd w:val="clear" w:color="auto" w:fill="auto"/>
          <w:tblCellMar>
            <w:top w:w="0" w:type="dxa"/>
            <w:left w:w="108" w:type="dxa"/>
            <w:bottom w:w="0" w:type="dxa"/>
            <w:right w:w="108" w:type="dxa"/>
          </w:tblCellMar>
        </w:tblPrEx>
        <w:trPr>
          <w:trHeight w:val="300" w:hRule="atLeast"/>
        </w:trPr>
        <w:tc>
          <w:tcPr>
            <w:tcW w:w="1698"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eastAsiaTheme="minorEastAsia"/>
                <w:color w:val="auto"/>
                <w:kern w:val="0"/>
                <w:szCs w:val="21"/>
              </w:rPr>
            </w:pPr>
            <w:r>
              <w:rPr>
                <w:rFonts w:hint="default" w:eastAsiaTheme="minorEastAsia"/>
                <w:color w:val="auto"/>
                <w:kern w:val="0"/>
                <w:szCs w:val="21"/>
                <w:lang w:val="en-US" w:eastAsia="zh-CN"/>
              </w:rPr>
              <w:t>最小均值</w:t>
            </w:r>
          </w:p>
        </w:tc>
        <w:tc>
          <w:tcPr>
            <w:tcW w:w="1578" w:type="dxa"/>
            <w:tcBorders>
              <w:top w:val="nil"/>
              <w:left w:val="nil"/>
              <w:bottom w:val="single" w:color="000000" w:sz="8" w:space="0"/>
              <w:right w:val="single" w:color="000000" w:sz="8" w:space="0"/>
            </w:tcBorders>
            <w:shd w:val="clear" w:color="auto" w:fill="auto"/>
            <w:vAlign w:val="center"/>
          </w:tcPr>
          <w:p>
            <w:pPr>
              <w:widowControl/>
              <w:jc w:val="center"/>
              <w:rPr>
                <w:rFonts w:hint="default" w:eastAsiaTheme="minorEastAsia"/>
                <w:color w:val="auto"/>
                <w:kern w:val="0"/>
                <w:szCs w:val="21"/>
              </w:rPr>
            </w:pPr>
            <w:r>
              <w:rPr>
                <w:rFonts w:hint="default" w:eastAsiaTheme="minorEastAsia"/>
                <w:color w:val="auto"/>
                <w:kern w:val="0"/>
                <w:szCs w:val="21"/>
                <w:lang w:val="en-US" w:eastAsia="zh-CN"/>
              </w:rPr>
              <w:t>0.0021</w:t>
            </w:r>
          </w:p>
        </w:tc>
        <w:tc>
          <w:tcPr>
            <w:tcW w:w="1414" w:type="dxa"/>
            <w:tcBorders>
              <w:top w:val="nil"/>
              <w:left w:val="nil"/>
              <w:bottom w:val="single" w:color="000000" w:sz="8" w:space="0"/>
              <w:right w:val="single" w:color="000000" w:sz="8" w:space="0"/>
            </w:tcBorders>
            <w:shd w:val="clear" w:color="auto" w:fill="auto"/>
            <w:vAlign w:val="center"/>
          </w:tcPr>
          <w:p>
            <w:pPr>
              <w:widowControl/>
              <w:jc w:val="center"/>
              <w:rPr>
                <w:rFonts w:hint="default" w:eastAsiaTheme="minorEastAsia"/>
                <w:color w:val="auto"/>
                <w:kern w:val="0"/>
                <w:szCs w:val="21"/>
              </w:rPr>
            </w:pPr>
            <w:r>
              <w:rPr>
                <w:rFonts w:hint="default" w:eastAsiaTheme="minorEastAsia"/>
                <w:color w:val="auto"/>
                <w:kern w:val="0"/>
                <w:szCs w:val="21"/>
                <w:lang w:val="en-US" w:eastAsia="zh-CN"/>
              </w:rPr>
              <w:t>0.011</w:t>
            </w:r>
          </w:p>
        </w:tc>
        <w:tc>
          <w:tcPr>
            <w:tcW w:w="1395" w:type="dxa"/>
            <w:tcBorders>
              <w:top w:val="nil"/>
              <w:left w:val="nil"/>
              <w:bottom w:val="single" w:color="000000" w:sz="8" w:space="0"/>
              <w:right w:val="single" w:color="000000" w:sz="8" w:space="0"/>
            </w:tcBorders>
            <w:shd w:val="clear" w:color="auto" w:fill="auto"/>
            <w:vAlign w:val="center"/>
          </w:tcPr>
          <w:p>
            <w:pPr>
              <w:widowControl/>
              <w:jc w:val="center"/>
              <w:rPr>
                <w:rFonts w:hint="default" w:eastAsiaTheme="minorEastAsia"/>
                <w:color w:val="auto"/>
                <w:kern w:val="0"/>
                <w:szCs w:val="21"/>
              </w:rPr>
            </w:pPr>
            <w:r>
              <w:rPr>
                <w:rFonts w:hint="default" w:eastAsiaTheme="minorEastAsia"/>
                <w:color w:val="auto"/>
                <w:kern w:val="0"/>
                <w:szCs w:val="21"/>
                <w:lang w:val="en-US" w:eastAsia="zh-CN"/>
              </w:rPr>
              <w:t>0.0317</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hint="default" w:eastAsiaTheme="minorEastAsia"/>
                <w:color w:val="auto"/>
                <w:kern w:val="0"/>
                <w:szCs w:val="21"/>
              </w:rPr>
            </w:pPr>
            <w:r>
              <w:rPr>
                <w:rFonts w:hint="default" w:eastAsiaTheme="minorEastAsia"/>
                <w:color w:val="auto"/>
                <w:kern w:val="0"/>
                <w:szCs w:val="21"/>
                <w:lang w:val="en-US" w:eastAsia="zh-CN"/>
              </w:rPr>
              <w:t>0.104</w:t>
            </w:r>
          </w:p>
        </w:tc>
        <w:tc>
          <w:tcPr>
            <w:tcW w:w="1294" w:type="dxa"/>
            <w:tcBorders>
              <w:top w:val="nil"/>
              <w:left w:val="nil"/>
              <w:bottom w:val="single" w:color="000000" w:sz="8" w:space="0"/>
              <w:right w:val="single" w:color="000000" w:sz="8" w:space="0"/>
            </w:tcBorders>
            <w:shd w:val="clear" w:color="auto" w:fill="auto"/>
            <w:vAlign w:val="center"/>
          </w:tcPr>
          <w:p>
            <w:pPr>
              <w:widowControl/>
              <w:jc w:val="center"/>
              <w:rPr>
                <w:rFonts w:hint="default" w:eastAsiaTheme="minorEastAsia"/>
                <w:color w:val="auto"/>
                <w:kern w:val="0"/>
                <w:szCs w:val="21"/>
              </w:rPr>
            </w:pPr>
            <w:r>
              <w:rPr>
                <w:rFonts w:hint="default" w:eastAsiaTheme="minorEastAsia"/>
                <w:color w:val="auto"/>
                <w:kern w:val="0"/>
                <w:szCs w:val="21"/>
                <w:lang w:val="en-US" w:eastAsia="zh-CN"/>
              </w:rPr>
              <w:t>0.364</w:t>
            </w:r>
          </w:p>
        </w:tc>
        <w:tc>
          <w:tcPr>
            <w:tcW w:w="0" w:type="auto"/>
            <w:tcBorders>
              <w:top w:val="nil"/>
              <w:left w:val="nil"/>
              <w:bottom w:val="single" w:color="000000" w:sz="8" w:space="0"/>
              <w:right w:val="single" w:color="000000" w:sz="8" w:space="0"/>
            </w:tcBorders>
            <w:shd w:val="clear" w:color="auto" w:fill="auto"/>
            <w:noWrap/>
            <w:vAlign w:val="center"/>
          </w:tcPr>
          <w:p>
            <w:pPr>
              <w:widowControl/>
              <w:jc w:val="center"/>
              <w:rPr>
                <w:rFonts w:hint="default" w:eastAsiaTheme="minorEastAsia"/>
                <w:color w:val="auto"/>
                <w:kern w:val="0"/>
                <w:szCs w:val="21"/>
              </w:rPr>
            </w:pPr>
            <w:r>
              <w:rPr>
                <w:rFonts w:hint="default" w:eastAsiaTheme="minorEastAsia"/>
                <w:color w:val="auto"/>
                <w:kern w:val="0"/>
                <w:szCs w:val="21"/>
                <w:lang w:val="en-US" w:eastAsia="zh-CN"/>
              </w:rPr>
              <w:t>0.853</w:t>
            </w:r>
          </w:p>
        </w:tc>
      </w:tr>
      <w:tr>
        <w:tblPrEx>
          <w:shd w:val="clear" w:color="auto" w:fill="auto"/>
          <w:tblCellMar>
            <w:top w:w="0" w:type="dxa"/>
            <w:left w:w="108" w:type="dxa"/>
            <w:bottom w:w="0" w:type="dxa"/>
            <w:right w:w="108" w:type="dxa"/>
          </w:tblCellMar>
        </w:tblPrEx>
        <w:trPr>
          <w:trHeight w:val="300" w:hRule="atLeast"/>
        </w:trPr>
        <w:tc>
          <w:tcPr>
            <w:tcW w:w="1698"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eastAsiaTheme="minorEastAsia"/>
                <w:color w:val="auto"/>
                <w:kern w:val="0"/>
                <w:szCs w:val="21"/>
              </w:rPr>
            </w:pPr>
            <w:r>
              <w:rPr>
                <w:rFonts w:hint="default" w:eastAsiaTheme="minorEastAsia"/>
                <w:color w:val="auto"/>
                <w:kern w:val="0"/>
                <w:szCs w:val="21"/>
                <w:lang w:val="en-US" w:eastAsia="zh-CN"/>
              </w:rPr>
              <w:t>Gmax</w:t>
            </w:r>
          </w:p>
        </w:tc>
        <w:tc>
          <w:tcPr>
            <w:tcW w:w="1578" w:type="dxa"/>
            <w:tcBorders>
              <w:top w:val="nil"/>
              <w:left w:val="nil"/>
              <w:bottom w:val="single" w:color="000000" w:sz="8" w:space="0"/>
              <w:right w:val="single" w:color="000000" w:sz="8" w:space="0"/>
            </w:tcBorders>
            <w:shd w:val="clear" w:color="auto" w:fill="auto"/>
            <w:vAlign w:val="center"/>
          </w:tcPr>
          <w:p>
            <w:pPr>
              <w:widowControl/>
              <w:jc w:val="center"/>
              <w:rPr>
                <w:rFonts w:hint="default" w:eastAsiaTheme="minorEastAsia"/>
                <w:color w:val="auto"/>
                <w:kern w:val="0"/>
                <w:szCs w:val="21"/>
              </w:rPr>
            </w:pPr>
            <w:r>
              <w:rPr>
                <w:rFonts w:hint="default" w:eastAsiaTheme="minorEastAsia"/>
                <w:color w:val="auto"/>
                <w:kern w:val="0"/>
                <w:szCs w:val="21"/>
                <w:lang w:val="en-US" w:eastAsia="zh-CN"/>
              </w:rPr>
              <w:t>1.63</w:t>
            </w:r>
          </w:p>
        </w:tc>
        <w:tc>
          <w:tcPr>
            <w:tcW w:w="1414" w:type="dxa"/>
            <w:tcBorders>
              <w:top w:val="nil"/>
              <w:left w:val="nil"/>
              <w:bottom w:val="single" w:color="000000" w:sz="8" w:space="0"/>
              <w:right w:val="single" w:color="000000" w:sz="8" w:space="0"/>
            </w:tcBorders>
            <w:shd w:val="clear" w:color="auto" w:fill="auto"/>
            <w:vAlign w:val="center"/>
          </w:tcPr>
          <w:p>
            <w:pPr>
              <w:widowControl/>
              <w:jc w:val="center"/>
              <w:rPr>
                <w:rFonts w:hint="default" w:eastAsiaTheme="minorEastAsia"/>
                <w:color w:val="auto"/>
                <w:kern w:val="0"/>
                <w:szCs w:val="21"/>
              </w:rPr>
            </w:pPr>
            <w:r>
              <w:rPr>
                <w:rFonts w:hint="default" w:eastAsiaTheme="minorEastAsia"/>
                <w:color w:val="auto"/>
                <w:kern w:val="0"/>
                <w:szCs w:val="21"/>
                <w:lang w:val="en-US" w:eastAsia="zh-CN"/>
              </w:rPr>
              <w:t>1.62</w:t>
            </w:r>
          </w:p>
        </w:tc>
        <w:tc>
          <w:tcPr>
            <w:tcW w:w="1395" w:type="dxa"/>
            <w:tcBorders>
              <w:top w:val="nil"/>
              <w:left w:val="nil"/>
              <w:bottom w:val="single" w:color="000000" w:sz="8" w:space="0"/>
              <w:right w:val="single" w:color="000000" w:sz="8" w:space="0"/>
            </w:tcBorders>
            <w:shd w:val="clear" w:color="auto" w:fill="auto"/>
            <w:vAlign w:val="center"/>
          </w:tcPr>
          <w:p>
            <w:pPr>
              <w:widowControl/>
              <w:jc w:val="center"/>
              <w:rPr>
                <w:rFonts w:hint="default" w:eastAsiaTheme="minorEastAsia"/>
                <w:color w:val="auto"/>
                <w:kern w:val="0"/>
                <w:szCs w:val="21"/>
              </w:rPr>
            </w:pPr>
            <w:r>
              <w:rPr>
                <w:rFonts w:hint="default" w:eastAsiaTheme="minorEastAsia"/>
                <w:color w:val="auto"/>
                <w:kern w:val="0"/>
                <w:szCs w:val="21"/>
                <w:lang w:val="en-US" w:eastAsia="zh-CN"/>
              </w:rPr>
              <w:t>1.75</w:t>
            </w:r>
          </w:p>
        </w:tc>
        <w:tc>
          <w:tcPr>
            <w:tcW w:w="1294" w:type="dxa"/>
            <w:tcBorders>
              <w:top w:val="nil"/>
              <w:left w:val="nil"/>
              <w:bottom w:val="single" w:color="000000" w:sz="8" w:space="0"/>
              <w:right w:val="single" w:color="000000" w:sz="8" w:space="0"/>
            </w:tcBorders>
            <w:shd w:val="clear" w:color="auto" w:fill="auto"/>
            <w:vAlign w:val="center"/>
          </w:tcPr>
          <w:p>
            <w:pPr>
              <w:widowControl/>
              <w:jc w:val="center"/>
              <w:rPr>
                <w:rFonts w:hint="default" w:eastAsiaTheme="minorEastAsia"/>
                <w:color w:val="auto"/>
                <w:kern w:val="0"/>
                <w:szCs w:val="21"/>
              </w:rPr>
            </w:pPr>
            <w:r>
              <w:rPr>
                <w:rFonts w:hint="default" w:eastAsiaTheme="minorEastAsia"/>
                <w:color w:val="auto"/>
                <w:kern w:val="0"/>
                <w:szCs w:val="21"/>
                <w:lang w:val="en-US" w:eastAsia="zh-CN"/>
              </w:rPr>
              <w:t>0.75</w:t>
            </w:r>
          </w:p>
        </w:tc>
        <w:tc>
          <w:tcPr>
            <w:tcW w:w="1294" w:type="dxa"/>
            <w:tcBorders>
              <w:top w:val="nil"/>
              <w:left w:val="nil"/>
              <w:bottom w:val="single" w:color="000000" w:sz="8" w:space="0"/>
              <w:right w:val="single" w:color="000000" w:sz="8" w:space="0"/>
            </w:tcBorders>
            <w:shd w:val="clear" w:color="auto" w:fill="auto"/>
            <w:vAlign w:val="center"/>
          </w:tcPr>
          <w:p>
            <w:pPr>
              <w:widowControl/>
              <w:jc w:val="center"/>
              <w:rPr>
                <w:rFonts w:hint="default" w:eastAsiaTheme="minorEastAsia"/>
                <w:color w:val="auto"/>
                <w:kern w:val="0"/>
                <w:szCs w:val="21"/>
              </w:rPr>
            </w:pPr>
            <w:r>
              <w:rPr>
                <w:rFonts w:hint="default" w:eastAsiaTheme="minorEastAsia"/>
                <w:color w:val="auto"/>
                <w:kern w:val="0"/>
                <w:szCs w:val="21"/>
                <w:lang w:val="en-US" w:eastAsia="zh-CN"/>
              </w:rPr>
              <w:t>2.22</w:t>
            </w:r>
          </w:p>
        </w:tc>
        <w:tc>
          <w:tcPr>
            <w:tcW w:w="1295" w:type="dxa"/>
            <w:tcBorders>
              <w:top w:val="nil"/>
              <w:left w:val="nil"/>
              <w:bottom w:val="single" w:color="000000" w:sz="8" w:space="0"/>
              <w:right w:val="single" w:color="000000" w:sz="8" w:space="0"/>
            </w:tcBorders>
            <w:shd w:val="clear" w:color="auto" w:fill="auto"/>
            <w:vAlign w:val="center"/>
          </w:tcPr>
          <w:p>
            <w:pPr>
              <w:widowControl/>
              <w:jc w:val="center"/>
              <w:rPr>
                <w:rFonts w:hint="default" w:eastAsiaTheme="minorEastAsia"/>
                <w:color w:val="auto"/>
                <w:kern w:val="0"/>
                <w:szCs w:val="21"/>
              </w:rPr>
            </w:pPr>
            <w:r>
              <w:rPr>
                <w:rFonts w:hint="default" w:eastAsiaTheme="minorEastAsia"/>
                <w:color w:val="auto"/>
                <w:kern w:val="0"/>
                <w:szCs w:val="21"/>
                <w:lang w:val="en-US" w:eastAsia="zh-CN"/>
              </w:rPr>
              <w:t>1.15</w:t>
            </w:r>
          </w:p>
        </w:tc>
      </w:tr>
      <w:tr>
        <w:tblPrEx>
          <w:shd w:val="clear" w:color="auto" w:fill="auto"/>
          <w:tblCellMar>
            <w:top w:w="0" w:type="dxa"/>
            <w:left w:w="108" w:type="dxa"/>
            <w:bottom w:w="0" w:type="dxa"/>
            <w:right w:w="108" w:type="dxa"/>
          </w:tblCellMar>
        </w:tblPrEx>
        <w:trPr>
          <w:trHeight w:val="300" w:hRule="atLeast"/>
        </w:trPr>
        <w:tc>
          <w:tcPr>
            <w:tcW w:w="1698"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eastAsiaTheme="minorEastAsia"/>
                <w:color w:val="auto"/>
                <w:kern w:val="0"/>
                <w:szCs w:val="21"/>
              </w:rPr>
            </w:pPr>
            <w:r>
              <w:rPr>
                <w:rFonts w:hint="default" w:eastAsiaTheme="minorEastAsia"/>
                <w:color w:val="auto"/>
                <w:kern w:val="0"/>
                <w:szCs w:val="21"/>
                <w:lang w:val="en-US" w:eastAsia="zh-CN"/>
              </w:rPr>
              <w:t>Gmin</w:t>
            </w:r>
          </w:p>
        </w:tc>
        <w:tc>
          <w:tcPr>
            <w:tcW w:w="1578" w:type="dxa"/>
            <w:tcBorders>
              <w:top w:val="nil"/>
              <w:left w:val="nil"/>
              <w:bottom w:val="single" w:color="000000" w:sz="8" w:space="0"/>
              <w:right w:val="single" w:color="000000" w:sz="8" w:space="0"/>
            </w:tcBorders>
            <w:shd w:val="clear" w:color="auto" w:fill="auto"/>
            <w:vAlign w:val="center"/>
          </w:tcPr>
          <w:p>
            <w:pPr>
              <w:widowControl/>
              <w:jc w:val="center"/>
              <w:rPr>
                <w:rFonts w:hint="default" w:eastAsiaTheme="minorEastAsia"/>
                <w:color w:val="auto"/>
                <w:kern w:val="0"/>
                <w:szCs w:val="21"/>
              </w:rPr>
            </w:pPr>
            <w:r>
              <w:rPr>
                <w:rFonts w:hint="default" w:eastAsiaTheme="minorEastAsia"/>
                <w:color w:val="auto"/>
                <w:kern w:val="0"/>
                <w:szCs w:val="21"/>
                <w:lang w:val="en-US" w:eastAsia="zh-CN"/>
              </w:rPr>
              <w:t>0.80</w:t>
            </w:r>
          </w:p>
        </w:tc>
        <w:tc>
          <w:tcPr>
            <w:tcW w:w="1414" w:type="dxa"/>
            <w:tcBorders>
              <w:top w:val="nil"/>
              <w:left w:val="nil"/>
              <w:bottom w:val="single" w:color="000000" w:sz="8" w:space="0"/>
              <w:right w:val="single" w:color="000000" w:sz="8" w:space="0"/>
            </w:tcBorders>
            <w:shd w:val="clear" w:color="auto" w:fill="auto"/>
            <w:vAlign w:val="center"/>
          </w:tcPr>
          <w:p>
            <w:pPr>
              <w:widowControl/>
              <w:jc w:val="center"/>
              <w:rPr>
                <w:rFonts w:hint="default" w:eastAsiaTheme="minorEastAsia"/>
                <w:color w:val="auto"/>
                <w:kern w:val="0"/>
                <w:szCs w:val="21"/>
              </w:rPr>
            </w:pPr>
            <w:r>
              <w:rPr>
                <w:rFonts w:hint="default" w:eastAsiaTheme="minorEastAsia"/>
                <w:color w:val="auto"/>
                <w:kern w:val="0"/>
                <w:szCs w:val="21"/>
                <w:lang w:val="en-US" w:eastAsia="zh-CN"/>
              </w:rPr>
              <w:t>1.15</w:t>
            </w:r>
          </w:p>
        </w:tc>
        <w:tc>
          <w:tcPr>
            <w:tcW w:w="1395" w:type="dxa"/>
            <w:tcBorders>
              <w:top w:val="nil"/>
              <w:left w:val="nil"/>
              <w:bottom w:val="single" w:color="000000" w:sz="8" w:space="0"/>
              <w:right w:val="single" w:color="000000" w:sz="8" w:space="0"/>
            </w:tcBorders>
            <w:shd w:val="clear" w:color="auto" w:fill="auto"/>
            <w:vAlign w:val="center"/>
          </w:tcPr>
          <w:p>
            <w:pPr>
              <w:widowControl/>
              <w:jc w:val="center"/>
              <w:rPr>
                <w:rFonts w:hint="default" w:eastAsiaTheme="minorEastAsia"/>
                <w:color w:val="auto"/>
                <w:kern w:val="0"/>
                <w:szCs w:val="21"/>
              </w:rPr>
            </w:pPr>
            <w:r>
              <w:rPr>
                <w:rFonts w:hint="default" w:eastAsiaTheme="minorEastAsia"/>
                <w:color w:val="auto"/>
                <w:kern w:val="0"/>
                <w:szCs w:val="21"/>
                <w:lang w:val="en-US" w:eastAsia="zh-CN"/>
              </w:rPr>
              <w:t>0.62</w:t>
            </w:r>
          </w:p>
        </w:tc>
        <w:tc>
          <w:tcPr>
            <w:tcW w:w="1294" w:type="dxa"/>
            <w:tcBorders>
              <w:top w:val="nil"/>
              <w:left w:val="nil"/>
              <w:bottom w:val="single" w:color="000000" w:sz="8" w:space="0"/>
              <w:right w:val="single" w:color="000000" w:sz="8" w:space="0"/>
            </w:tcBorders>
            <w:shd w:val="clear" w:color="auto" w:fill="auto"/>
            <w:vAlign w:val="center"/>
          </w:tcPr>
          <w:p>
            <w:pPr>
              <w:widowControl/>
              <w:jc w:val="center"/>
              <w:rPr>
                <w:rFonts w:hint="default" w:eastAsiaTheme="minorEastAsia"/>
                <w:color w:val="auto"/>
                <w:kern w:val="0"/>
                <w:szCs w:val="21"/>
              </w:rPr>
            </w:pPr>
            <w:r>
              <w:rPr>
                <w:rFonts w:hint="default" w:eastAsiaTheme="minorEastAsia"/>
                <w:color w:val="auto"/>
                <w:kern w:val="0"/>
                <w:szCs w:val="21"/>
                <w:lang w:val="en-US" w:eastAsia="zh-CN"/>
              </w:rPr>
              <w:t>1.73</w:t>
            </w:r>
          </w:p>
        </w:tc>
        <w:tc>
          <w:tcPr>
            <w:tcW w:w="1294" w:type="dxa"/>
            <w:tcBorders>
              <w:top w:val="nil"/>
              <w:left w:val="nil"/>
              <w:bottom w:val="single" w:color="000000" w:sz="8" w:space="0"/>
              <w:right w:val="single" w:color="000000" w:sz="8" w:space="0"/>
            </w:tcBorders>
            <w:shd w:val="clear" w:color="auto" w:fill="auto"/>
            <w:vAlign w:val="center"/>
          </w:tcPr>
          <w:p>
            <w:pPr>
              <w:widowControl/>
              <w:jc w:val="center"/>
              <w:rPr>
                <w:rFonts w:hint="default" w:eastAsiaTheme="minorEastAsia"/>
                <w:color w:val="auto"/>
                <w:kern w:val="0"/>
                <w:szCs w:val="21"/>
              </w:rPr>
            </w:pPr>
            <w:r>
              <w:rPr>
                <w:rFonts w:hint="default" w:eastAsiaTheme="minorEastAsia"/>
                <w:color w:val="auto"/>
                <w:kern w:val="0"/>
                <w:szCs w:val="21"/>
                <w:lang w:val="en-US" w:eastAsia="zh-CN"/>
              </w:rPr>
              <w:t>0.80</w:t>
            </w:r>
          </w:p>
        </w:tc>
        <w:tc>
          <w:tcPr>
            <w:tcW w:w="1295" w:type="dxa"/>
            <w:tcBorders>
              <w:top w:val="nil"/>
              <w:left w:val="nil"/>
              <w:bottom w:val="single" w:color="000000" w:sz="8" w:space="0"/>
              <w:right w:val="single" w:color="000000" w:sz="8" w:space="0"/>
            </w:tcBorders>
            <w:shd w:val="clear" w:color="auto" w:fill="auto"/>
            <w:vAlign w:val="center"/>
          </w:tcPr>
          <w:p>
            <w:pPr>
              <w:widowControl/>
              <w:jc w:val="center"/>
              <w:rPr>
                <w:rFonts w:hint="default" w:eastAsiaTheme="minorEastAsia"/>
                <w:color w:val="auto"/>
                <w:kern w:val="0"/>
                <w:szCs w:val="21"/>
              </w:rPr>
            </w:pPr>
            <w:r>
              <w:rPr>
                <w:rFonts w:hint="default" w:eastAsiaTheme="minorEastAsia"/>
                <w:color w:val="auto"/>
                <w:kern w:val="0"/>
                <w:szCs w:val="21"/>
                <w:lang w:val="en-US" w:eastAsia="zh-CN"/>
              </w:rPr>
              <w:t>1.60</w:t>
            </w:r>
          </w:p>
        </w:tc>
      </w:tr>
      <w:tr>
        <w:tblPrEx>
          <w:shd w:val="clear" w:color="auto" w:fill="auto"/>
          <w:tblCellMar>
            <w:top w:w="0" w:type="dxa"/>
            <w:left w:w="108" w:type="dxa"/>
            <w:bottom w:w="0" w:type="dxa"/>
            <w:right w:w="108" w:type="dxa"/>
          </w:tblCellMar>
        </w:tblPrEx>
        <w:trPr>
          <w:trHeight w:val="300" w:hRule="atLeast"/>
        </w:trPr>
        <w:tc>
          <w:tcPr>
            <w:tcW w:w="1698" w:type="dxa"/>
            <w:vMerge w:val="restart"/>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eastAsiaTheme="minorEastAsia"/>
                <w:color w:val="auto"/>
                <w:kern w:val="0"/>
                <w:szCs w:val="21"/>
              </w:rPr>
            </w:pPr>
            <w:r>
              <w:rPr>
                <w:rFonts w:hint="default" w:eastAsiaTheme="minorEastAsia"/>
                <w:color w:val="auto"/>
                <w:kern w:val="0"/>
                <w:szCs w:val="21"/>
                <w:lang w:val="en-US" w:eastAsia="zh-CN"/>
              </w:rPr>
              <w:t>G</w:t>
            </w:r>
            <w:r>
              <w:rPr>
                <w:rFonts w:hint="eastAsia" w:eastAsiaTheme="minorEastAsia"/>
                <w:color w:val="auto"/>
                <w:kern w:val="0"/>
                <w:szCs w:val="21"/>
                <w:lang w:val="en-US" w:eastAsia="zh-CN"/>
              </w:rPr>
              <w:t>临界值</w:t>
            </w:r>
          </w:p>
        </w:tc>
        <w:tc>
          <w:tcPr>
            <w:tcW w:w="8270" w:type="dxa"/>
            <w:gridSpan w:val="6"/>
            <w:tcBorders>
              <w:top w:val="nil"/>
              <w:left w:val="nil"/>
              <w:bottom w:val="nil"/>
              <w:right w:val="single" w:color="000000" w:sz="8" w:space="0"/>
            </w:tcBorders>
            <w:shd w:val="clear" w:color="auto" w:fill="auto"/>
            <w:vAlign w:val="center"/>
          </w:tcPr>
          <w:p>
            <w:pPr>
              <w:widowControl/>
              <w:jc w:val="center"/>
              <w:rPr>
                <w:rFonts w:hint="eastAsia" w:eastAsiaTheme="minorEastAsia"/>
                <w:color w:val="auto"/>
                <w:kern w:val="0"/>
                <w:szCs w:val="21"/>
              </w:rPr>
            </w:pPr>
            <w:r>
              <w:rPr>
                <w:rFonts w:hint="eastAsia" w:eastAsiaTheme="minorEastAsia"/>
                <w:color w:val="auto"/>
                <w:kern w:val="0"/>
                <w:szCs w:val="21"/>
                <w:lang w:val="en-US" w:eastAsia="zh-CN"/>
              </w:rPr>
              <w:t>实验室数</w:t>
            </w:r>
            <w:r>
              <w:rPr>
                <w:rFonts w:hint="default" w:eastAsiaTheme="minorEastAsia"/>
                <w:color w:val="auto"/>
                <w:kern w:val="0"/>
                <w:szCs w:val="21"/>
                <w:lang w:val="en-US" w:eastAsia="zh-CN"/>
              </w:rPr>
              <w:t>p=5</w:t>
            </w:r>
            <w:r>
              <w:rPr>
                <w:rFonts w:hint="eastAsia" w:eastAsiaTheme="minorEastAsia"/>
                <w:color w:val="auto"/>
                <w:kern w:val="0"/>
                <w:szCs w:val="21"/>
                <w:lang w:val="en-US" w:eastAsia="zh-CN"/>
              </w:rPr>
              <w:t>时，</w:t>
            </w:r>
            <w:r>
              <w:rPr>
                <w:rFonts w:hint="default" w:eastAsiaTheme="minorEastAsia"/>
                <w:color w:val="auto"/>
                <w:kern w:val="0"/>
                <w:szCs w:val="21"/>
                <w:lang w:val="en-US" w:eastAsia="zh-CN"/>
              </w:rPr>
              <w:t>G</w:t>
            </w:r>
            <w:r>
              <w:rPr>
                <w:rFonts w:hint="eastAsia" w:eastAsiaTheme="minorEastAsia"/>
                <w:color w:val="auto"/>
                <w:kern w:val="0"/>
                <w:szCs w:val="21"/>
                <w:lang w:val="en-US" w:eastAsia="zh-CN"/>
              </w:rPr>
              <w:t>临界值：</w:t>
            </w:r>
            <w:r>
              <w:rPr>
                <w:rFonts w:hint="default" w:eastAsiaTheme="minorEastAsia"/>
                <w:color w:val="auto"/>
                <w:kern w:val="0"/>
                <w:szCs w:val="21"/>
                <w:lang w:val="en-US" w:eastAsia="zh-CN"/>
              </w:rPr>
              <w:t xml:space="preserve"> 1%</w:t>
            </w:r>
            <w:r>
              <w:rPr>
                <w:rFonts w:hint="eastAsia" w:eastAsiaTheme="minorEastAsia"/>
                <w:color w:val="auto"/>
                <w:kern w:val="0"/>
                <w:szCs w:val="21"/>
                <w:lang w:val="en-US" w:eastAsia="zh-CN"/>
              </w:rPr>
              <w:t>点时为</w:t>
            </w:r>
            <w:r>
              <w:rPr>
                <w:rFonts w:hint="default" w:eastAsiaTheme="minorEastAsia"/>
                <w:color w:val="auto"/>
                <w:kern w:val="0"/>
                <w:szCs w:val="21"/>
                <w:lang w:val="en-US" w:eastAsia="zh-CN"/>
              </w:rPr>
              <w:t>1.749</w:t>
            </w:r>
            <w:r>
              <w:rPr>
                <w:rFonts w:hint="eastAsia" w:eastAsiaTheme="minorEastAsia"/>
                <w:color w:val="auto"/>
                <w:kern w:val="0"/>
                <w:szCs w:val="21"/>
                <w:lang w:val="en-US" w:eastAsia="zh-CN"/>
              </w:rPr>
              <w:t>；</w:t>
            </w:r>
            <w:r>
              <w:rPr>
                <w:rFonts w:hint="default" w:eastAsiaTheme="minorEastAsia"/>
                <w:color w:val="auto"/>
                <w:kern w:val="0"/>
                <w:szCs w:val="21"/>
                <w:lang w:val="en-US" w:eastAsia="zh-CN"/>
              </w:rPr>
              <w:t>5%</w:t>
            </w:r>
            <w:r>
              <w:rPr>
                <w:rFonts w:hint="eastAsia" w:eastAsiaTheme="minorEastAsia"/>
                <w:color w:val="auto"/>
                <w:kern w:val="0"/>
                <w:szCs w:val="21"/>
                <w:lang w:val="en-US" w:eastAsia="zh-CN"/>
              </w:rPr>
              <w:t>点时为</w:t>
            </w:r>
            <w:r>
              <w:rPr>
                <w:rFonts w:hint="default" w:eastAsiaTheme="minorEastAsia"/>
                <w:color w:val="auto"/>
                <w:kern w:val="0"/>
                <w:szCs w:val="21"/>
                <w:lang w:val="en-US" w:eastAsia="zh-CN"/>
              </w:rPr>
              <w:t>1.672</w:t>
            </w:r>
            <w:r>
              <w:rPr>
                <w:rFonts w:hint="eastAsia" w:eastAsiaTheme="minorEastAsia"/>
                <w:color w:val="auto"/>
                <w:kern w:val="0"/>
                <w:szCs w:val="21"/>
                <w:lang w:val="en-US" w:eastAsia="zh-CN"/>
              </w:rPr>
              <w:t>。</w:t>
            </w:r>
          </w:p>
        </w:tc>
      </w:tr>
      <w:tr>
        <w:tblPrEx>
          <w:shd w:val="clear" w:color="auto" w:fill="auto"/>
          <w:tblCellMar>
            <w:top w:w="0" w:type="dxa"/>
            <w:left w:w="108" w:type="dxa"/>
            <w:bottom w:w="0" w:type="dxa"/>
            <w:right w:w="108" w:type="dxa"/>
          </w:tblCellMar>
        </w:tblPrEx>
        <w:trPr>
          <w:trHeight w:val="300" w:hRule="atLeast"/>
        </w:trPr>
        <w:tc>
          <w:tcPr>
            <w:tcW w:w="1698"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eastAsiaTheme="minorEastAsia"/>
                <w:color w:val="auto"/>
                <w:kern w:val="0"/>
                <w:szCs w:val="21"/>
              </w:rPr>
            </w:pPr>
          </w:p>
        </w:tc>
        <w:tc>
          <w:tcPr>
            <w:tcW w:w="8270" w:type="dxa"/>
            <w:gridSpan w:val="6"/>
            <w:tcBorders>
              <w:top w:val="nil"/>
              <w:left w:val="nil"/>
              <w:bottom w:val="nil"/>
              <w:right w:val="single" w:color="000000" w:sz="8" w:space="0"/>
            </w:tcBorders>
            <w:shd w:val="clear" w:color="auto" w:fill="auto"/>
            <w:vAlign w:val="center"/>
          </w:tcPr>
          <w:p>
            <w:pPr>
              <w:widowControl/>
              <w:jc w:val="center"/>
              <w:rPr>
                <w:rFonts w:hint="eastAsia" w:eastAsiaTheme="minorEastAsia"/>
                <w:color w:val="auto"/>
                <w:kern w:val="0"/>
                <w:szCs w:val="21"/>
              </w:rPr>
            </w:pPr>
            <w:r>
              <w:rPr>
                <w:rFonts w:hint="eastAsia" w:eastAsiaTheme="minorEastAsia"/>
                <w:color w:val="auto"/>
                <w:kern w:val="0"/>
                <w:szCs w:val="21"/>
                <w:lang w:val="en-US" w:eastAsia="zh-CN"/>
              </w:rPr>
              <w:t>实验室数</w:t>
            </w:r>
            <w:r>
              <w:rPr>
                <w:rFonts w:hint="default" w:eastAsiaTheme="minorEastAsia"/>
                <w:color w:val="auto"/>
                <w:kern w:val="0"/>
                <w:szCs w:val="21"/>
                <w:lang w:val="en-US" w:eastAsia="zh-CN"/>
              </w:rPr>
              <w:t>p=6</w:t>
            </w:r>
            <w:r>
              <w:rPr>
                <w:rFonts w:hint="eastAsia" w:eastAsiaTheme="minorEastAsia"/>
                <w:color w:val="auto"/>
                <w:kern w:val="0"/>
                <w:szCs w:val="21"/>
                <w:lang w:val="en-US" w:eastAsia="zh-CN"/>
              </w:rPr>
              <w:t>时，</w:t>
            </w:r>
            <w:r>
              <w:rPr>
                <w:rFonts w:hint="default" w:eastAsiaTheme="minorEastAsia"/>
                <w:color w:val="auto"/>
                <w:kern w:val="0"/>
                <w:szCs w:val="21"/>
                <w:lang w:val="en-US" w:eastAsia="zh-CN"/>
              </w:rPr>
              <w:t>G</w:t>
            </w:r>
            <w:r>
              <w:rPr>
                <w:rFonts w:hint="eastAsia" w:eastAsiaTheme="minorEastAsia"/>
                <w:color w:val="auto"/>
                <w:kern w:val="0"/>
                <w:szCs w:val="21"/>
                <w:lang w:val="en-US" w:eastAsia="zh-CN"/>
              </w:rPr>
              <w:t>临界值：</w:t>
            </w:r>
            <w:r>
              <w:rPr>
                <w:rFonts w:hint="default" w:eastAsiaTheme="minorEastAsia"/>
                <w:color w:val="auto"/>
                <w:kern w:val="0"/>
                <w:szCs w:val="21"/>
                <w:lang w:val="en-US" w:eastAsia="zh-CN"/>
              </w:rPr>
              <w:t xml:space="preserve"> 1%</w:t>
            </w:r>
            <w:r>
              <w:rPr>
                <w:rFonts w:hint="eastAsia" w:eastAsiaTheme="minorEastAsia"/>
                <w:color w:val="auto"/>
                <w:kern w:val="0"/>
                <w:szCs w:val="21"/>
                <w:lang w:val="en-US" w:eastAsia="zh-CN"/>
              </w:rPr>
              <w:t>点时为</w:t>
            </w:r>
            <w:r>
              <w:rPr>
                <w:rFonts w:hint="default" w:eastAsiaTheme="minorEastAsia"/>
                <w:color w:val="auto"/>
                <w:kern w:val="0"/>
                <w:szCs w:val="21"/>
                <w:lang w:val="en-US" w:eastAsia="zh-CN"/>
              </w:rPr>
              <w:t>1.944</w:t>
            </w:r>
            <w:r>
              <w:rPr>
                <w:rFonts w:hint="eastAsia" w:eastAsiaTheme="minorEastAsia"/>
                <w:color w:val="auto"/>
                <w:kern w:val="0"/>
                <w:szCs w:val="21"/>
                <w:lang w:val="en-US" w:eastAsia="zh-CN"/>
              </w:rPr>
              <w:t>；</w:t>
            </w:r>
            <w:r>
              <w:rPr>
                <w:rFonts w:hint="default" w:eastAsiaTheme="minorEastAsia"/>
                <w:color w:val="auto"/>
                <w:kern w:val="0"/>
                <w:szCs w:val="21"/>
                <w:lang w:val="en-US" w:eastAsia="zh-CN"/>
              </w:rPr>
              <w:t>5%</w:t>
            </w:r>
            <w:r>
              <w:rPr>
                <w:rFonts w:hint="eastAsia" w:eastAsiaTheme="minorEastAsia"/>
                <w:color w:val="auto"/>
                <w:kern w:val="0"/>
                <w:szCs w:val="21"/>
                <w:lang w:val="en-US" w:eastAsia="zh-CN"/>
              </w:rPr>
              <w:t>点时为</w:t>
            </w:r>
            <w:r>
              <w:rPr>
                <w:rFonts w:hint="default" w:eastAsiaTheme="minorEastAsia"/>
                <w:color w:val="auto"/>
                <w:kern w:val="0"/>
                <w:szCs w:val="21"/>
                <w:lang w:val="en-US" w:eastAsia="zh-CN"/>
              </w:rPr>
              <w:t>1.822</w:t>
            </w:r>
            <w:r>
              <w:rPr>
                <w:rFonts w:hint="eastAsia" w:eastAsiaTheme="minorEastAsia"/>
                <w:color w:val="auto"/>
                <w:kern w:val="0"/>
                <w:szCs w:val="21"/>
                <w:lang w:val="en-US" w:eastAsia="zh-CN"/>
              </w:rPr>
              <w:t>。</w:t>
            </w:r>
          </w:p>
        </w:tc>
      </w:tr>
      <w:tr>
        <w:tblPrEx>
          <w:shd w:val="clear" w:color="auto" w:fill="auto"/>
          <w:tblCellMar>
            <w:top w:w="0" w:type="dxa"/>
            <w:left w:w="108" w:type="dxa"/>
            <w:bottom w:w="0" w:type="dxa"/>
            <w:right w:w="108" w:type="dxa"/>
          </w:tblCellMar>
        </w:tblPrEx>
        <w:trPr>
          <w:trHeight w:val="300" w:hRule="atLeast"/>
        </w:trPr>
        <w:tc>
          <w:tcPr>
            <w:tcW w:w="1698" w:type="dxa"/>
            <w:vMerge w:val="continue"/>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eastAsiaTheme="minorEastAsia"/>
                <w:color w:val="auto"/>
                <w:kern w:val="0"/>
                <w:szCs w:val="21"/>
              </w:rPr>
            </w:pPr>
          </w:p>
        </w:tc>
        <w:tc>
          <w:tcPr>
            <w:tcW w:w="8270" w:type="dxa"/>
            <w:gridSpan w:val="6"/>
            <w:tcBorders>
              <w:top w:val="nil"/>
              <w:left w:val="nil"/>
              <w:bottom w:val="single" w:color="000000" w:sz="8" w:space="0"/>
              <w:right w:val="single" w:color="000000" w:sz="8" w:space="0"/>
            </w:tcBorders>
            <w:shd w:val="clear" w:color="auto" w:fill="auto"/>
            <w:vAlign w:val="center"/>
          </w:tcPr>
          <w:p>
            <w:pPr>
              <w:widowControl/>
              <w:jc w:val="center"/>
              <w:rPr>
                <w:rFonts w:hint="eastAsia" w:eastAsiaTheme="minorEastAsia"/>
                <w:color w:val="auto"/>
                <w:kern w:val="0"/>
                <w:szCs w:val="21"/>
              </w:rPr>
            </w:pPr>
            <w:r>
              <w:rPr>
                <w:rFonts w:hint="eastAsia" w:eastAsiaTheme="minorEastAsia"/>
                <w:color w:val="auto"/>
                <w:kern w:val="0"/>
                <w:szCs w:val="21"/>
                <w:lang w:val="en-US" w:eastAsia="zh-CN"/>
              </w:rPr>
              <w:t>实验室数</w:t>
            </w:r>
            <w:r>
              <w:rPr>
                <w:rFonts w:hint="default" w:eastAsiaTheme="minorEastAsia"/>
                <w:color w:val="auto"/>
                <w:kern w:val="0"/>
                <w:szCs w:val="21"/>
                <w:lang w:val="en-US" w:eastAsia="zh-CN"/>
              </w:rPr>
              <w:t>p=7</w:t>
            </w:r>
            <w:r>
              <w:rPr>
                <w:rFonts w:hint="eastAsia" w:eastAsiaTheme="minorEastAsia"/>
                <w:color w:val="auto"/>
                <w:kern w:val="0"/>
                <w:szCs w:val="21"/>
                <w:lang w:val="en-US" w:eastAsia="zh-CN"/>
              </w:rPr>
              <w:t>时，</w:t>
            </w:r>
            <w:r>
              <w:rPr>
                <w:rFonts w:hint="default" w:eastAsiaTheme="minorEastAsia"/>
                <w:color w:val="auto"/>
                <w:kern w:val="0"/>
                <w:szCs w:val="21"/>
                <w:lang w:val="en-US" w:eastAsia="zh-CN"/>
              </w:rPr>
              <w:t>G</w:t>
            </w:r>
            <w:r>
              <w:rPr>
                <w:rFonts w:hint="eastAsia" w:eastAsiaTheme="minorEastAsia"/>
                <w:color w:val="auto"/>
                <w:kern w:val="0"/>
                <w:szCs w:val="21"/>
                <w:lang w:val="en-US" w:eastAsia="zh-CN"/>
              </w:rPr>
              <w:t>临界值：</w:t>
            </w:r>
            <w:r>
              <w:rPr>
                <w:rFonts w:hint="default" w:eastAsiaTheme="minorEastAsia"/>
                <w:color w:val="auto"/>
                <w:kern w:val="0"/>
                <w:szCs w:val="21"/>
                <w:lang w:val="en-US" w:eastAsia="zh-CN"/>
              </w:rPr>
              <w:t xml:space="preserve"> 1%</w:t>
            </w:r>
            <w:r>
              <w:rPr>
                <w:rFonts w:hint="eastAsia" w:eastAsiaTheme="minorEastAsia"/>
                <w:color w:val="auto"/>
                <w:kern w:val="0"/>
                <w:szCs w:val="21"/>
                <w:lang w:val="en-US" w:eastAsia="zh-CN"/>
              </w:rPr>
              <w:t>点时为</w:t>
            </w:r>
            <w:r>
              <w:rPr>
                <w:rFonts w:hint="default" w:eastAsiaTheme="minorEastAsia"/>
                <w:color w:val="auto"/>
                <w:kern w:val="0"/>
                <w:szCs w:val="21"/>
                <w:lang w:val="en-US" w:eastAsia="zh-CN"/>
              </w:rPr>
              <w:t>2.097</w:t>
            </w:r>
            <w:r>
              <w:rPr>
                <w:rFonts w:hint="eastAsia" w:eastAsiaTheme="minorEastAsia"/>
                <w:color w:val="auto"/>
                <w:kern w:val="0"/>
                <w:szCs w:val="21"/>
                <w:lang w:val="en-US" w:eastAsia="zh-CN"/>
              </w:rPr>
              <w:t>；</w:t>
            </w:r>
            <w:r>
              <w:rPr>
                <w:rFonts w:hint="default" w:eastAsiaTheme="minorEastAsia"/>
                <w:color w:val="auto"/>
                <w:kern w:val="0"/>
                <w:szCs w:val="21"/>
                <w:lang w:val="en-US" w:eastAsia="zh-CN"/>
              </w:rPr>
              <w:t>5%</w:t>
            </w:r>
            <w:r>
              <w:rPr>
                <w:rFonts w:hint="eastAsia" w:eastAsiaTheme="minorEastAsia"/>
                <w:color w:val="auto"/>
                <w:kern w:val="0"/>
                <w:szCs w:val="21"/>
                <w:lang w:val="en-US" w:eastAsia="zh-CN"/>
              </w:rPr>
              <w:t>点时为</w:t>
            </w:r>
            <w:r>
              <w:rPr>
                <w:rFonts w:hint="default" w:eastAsiaTheme="minorEastAsia"/>
                <w:color w:val="auto"/>
                <w:kern w:val="0"/>
                <w:szCs w:val="21"/>
                <w:lang w:val="en-US" w:eastAsia="zh-CN"/>
              </w:rPr>
              <w:t>1.938</w:t>
            </w:r>
            <w:r>
              <w:rPr>
                <w:rFonts w:hint="eastAsia" w:eastAsiaTheme="minorEastAsia"/>
                <w:color w:val="auto"/>
                <w:kern w:val="0"/>
                <w:szCs w:val="21"/>
                <w:lang w:val="en-US" w:eastAsia="zh-CN"/>
              </w:rPr>
              <w:t>。</w:t>
            </w:r>
          </w:p>
        </w:tc>
      </w:tr>
    </w:tbl>
    <w:p>
      <w:pPr>
        <w:spacing w:line="300" w:lineRule="auto"/>
        <w:jc w:val="left"/>
        <w:rPr>
          <w:szCs w:val="21"/>
        </w:rPr>
      </w:pPr>
    </w:p>
    <w:p>
      <w:pPr>
        <w:spacing w:line="300" w:lineRule="auto"/>
        <w:jc w:val="left"/>
        <w:rPr>
          <w:szCs w:val="21"/>
        </w:rPr>
      </w:pPr>
      <w:r>
        <w:rPr>
          <w:szCs w:val="21"/>
        </w:rPr>
        <w:t>格拉布斯检验显示，实验室</w:t>
      </w:r>
      <w:r>
        <w:rPr>
          <w:rFonts w:hint="eastAsia"/>
          <w:szCs w:val="21"/>
          <w:lang w:val="en-US" w:eastAsia="zh-CN"/>
        </w:rPr>
        <w:t>5</w:t>
      </w:r>
      <w:r>
        <w:rPr>
          <w:szCs w:val="21"/>
        </w:rPr>
        <w:t>的水平</w:t>
      </w:r>
      <w:r>
        <w:rPr>
          <w:rFonts w:hint="eastAsia"/>
          <w:szCs w:val="21"/>
          <w:lang w:val="en-US" w:eastAsia="zh-CN"/>
        </w:rPr>
        <w:t>3和</w:t>
      </w:r>
      <w:r>
        <w:rPr>
          <w:szCs w:val="21"/>
        </w:rPr>
        <w:t>实验室</w:t>
      </w:r>
      <w:r>
        <w:rPr>
          <w:rFonts w:hint="eastAsia"/>
          <w:szCs w:val="21"/>
          <w:lang w:val="en-US" w:eastAsia="zh-CN"/>
        </w:rPr>
        <w:t>2</w:t>
      </w:r>
      <w:r>
        <w:rPr>
          <w:szCs w:val="21"/>
        </w:rPr>
        <w:t>的水平</w:t>
      </w:r>
      <w:r>
        <w:rPr>
          <w:rFonts w:hint="eastAsia"/>
          <w:szCs w:val="21"/>
          <w:lang w:val="en-US" w:eastAsia="zh-CN"/>
        </w:rPr>
        <w:t>5</w:t>
      </w:r>
      <w:r>
        <w:rPr>
          <w:szCs w:val="21"/>
        </w:rPr>
        <w:t>为</w:t>
      </w:r>
      <w:r>
        <w:rPr>
          <w:rFonts w:hint="eastAsia"/>
          <w:szCs w:val="21"/>
          <w:lang w:val="en-US" w:eastAsia="zh-CN"/>
        </w:rPr>
        <w:t>离群值，舍弃。</w:t>
      </w:r>
    </w:p>
    <w:p>
      <w:pPr>
        <w:spacing w:line="300" w:lineRule="auto"/>
        <w:jc w:val="center"/>
        <w:rPr>
          <w:szCs w:val="21"/>
        </w:rPr>
      </w:pPr>
    </w:p>
    <w:p>
      <w:pPr>
        <w:spacing w:line="300" w:lineRule="auto"/>
        <w:jc w:val="center"/>
        <w:rPr>
          <w:szCs w:val="21"/>
        </w:rPr>
      </w:pPr>
      <w:r>
        <w:rPr>
          <w:szCs w:val="21"/>
        </w:rPr>
        <w:t>表A.</w:t>
      </w:r>
      <w:r>
        <w:rPr>
          <w:rFonts w:hint="eastAsia"/>
          <w:szCs w:val="21"/>
          <w:lang w:val="en-US" w:eastAsia="zh-CN"/>
        </w:rPr>
        <w:t>11</w:t>
      </w:r>
      <w:r>
        <w:rPr>
          <w:szCs w:val="21"/>
        </w:rPr>
        <w:t xml:space="preserve"> 各单元平均值（%）</w:t>
      </w:r>
    </w:p>
    <w:tbl>
      <w:tblPr>
        <w:tblStyle w:val="88"/>
        <w:tblW w:w="5000" w:type="pct"/>
        <w:tblInd w:w="0" w:type="dxa"/>
        <w:tblLayout w:type="autofit"/>
        <w:tblCellMar>
          <w:top w:w="0" w:type="dxa"/>
          <w:left w:w="108" w:type="dxa"/>
          <w:bottom w:w="0" w:type="dxa"/>
          <w:right w:w="108" w:type="dxa"/>
        </w:tblCellMar>
      </w:tblPr>
      <w:tblGrid>
        <w:gridCol w:w="2884"/>
        <w:gridCol w:w="3929"/>
        <w:gridCol w:w="3155"/>
      </w:tblGrid>
      <w:tr>
        <w:tblPrEx>
          <w:tblCellMar>
            <w:top w:w="0" w:type="dxa"/>
            <w:left w:w="108" w:type="dxa"/>
            <w:bottom w:w="0" w:type="dxa"/>
            <w:right w:w="108" w:type="dxa"/>
          </w:tblCellMar>
        </w:tblPrEx>
        <w:trPr>
          <w:trHeight w:val="340" w:hRule="atLeast"/>
        </w:trPr>
        <w:tc>
          <w:tcPr>
            <w:tcW w:w="1446"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default" w:eastAsiaTheme="minorEastAsia"/>
                <w:color w:val="auto"/>
                <w:kern w:val="0"/>
                <w:szCs w:val="21"/>
              </w:rPr>
            </w:pPr>
            <w:r>
              <w:rPr>
                <w:rFonts w:hint="default" w:eastAsiaTheme="minorEastAsia"/>
                <w:color w:val="auto"/>
                <w:kern w:val="0"/>
                <w:szCs w:val="21"/>
              </w:rPr>
              <w:t>实验室</w:t>
            </w:r>
          </w:p>
        </w:tc>
        <w:tc>
          <w:tcPr>
            <w:tcW w:w="1970"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default" w:eastAsiaTheme="minorEastAsia"/>
                <w:color w:val="auto"/>
                <w:kern w:val="0"/>
                <w:szCs w:val="21"/>
              </w:rPr>
            </w:pPr>
            <w:r>
              <w:rPr>
                <w:rFonts w:hint="default" w:eastAsiaTheme="minorEastAsia"/>
                <w:color w:val="auto"/>
                <w:kern w:val="0"/>
                <w:szCs w:val="21"/>
              </w:rPr>
              <w:t>水平3</w:t>
            </w:r>
          </w:p>
        </w:tc>
        <w:tc>
          <w:tcPr>
            <w:tcW w:w="1582" w:type="pct"/>
            <w:tcBorders>
              <w:top w:val="single" w:color="auto" w:sz="4" w:space="0"/>
              <w:left w:val="nil"/>
              <w:bottom w:val="single" w:color="auto" w:sz="4" w:space="0"/>
              <w:right w:val="single" w:color="auto" w:sz="4" w:space="0"/>
            </w:tcBorders>
            <w:vAlign w:val="center"/>
          </w:tcPr>
          <w:p>
            <w:pPr>
              <w:widowControl/>
              <w:jc w:val="center"/>
              <w:rPr>
                <w:rFonts w:hint="default" w:eastAsiaTheme="minorEastAsia"/>
                <w:color w:val="auto"/>
                <w:kern w:val="0"/>
                <w:szCs w:val="21"/>
              </w:rPr>
            </w:pPr>
            <w:r>
              <w:rPr>
                <w:rFonts w:hint="default" w:eastAsiaTheme="minorEastAsia"/>
                <w:color w:val="auto"/>
                <w:kern w:val="0"/>
                <w:szCs w:val="21"/>
              </w:rPr>
              <w:t>水平5</w:t>
            </w:r>
          </w:p>
        </w:tc>
      </w:tr>
      <w:tr>
        <w:tblPrEx>
          <w:tblCellMar>
            <w:top w:w="0" w:type="dxa"/>
            <w:left w:w="108" w:type="dxa"/>
            <w:bottom w:w="0" w:type="dxa"/>
            <w:right w:w="108" w:type="dxa"/>
          </w:tblCellMar>
        </w:tblPrEx>
        <w:trPr>
          <w:trHeight w:val="340" w:hRule="atLeast"/>
        </w:trPr>
        <w:tc>
          <w:tcPr>
            <w:tcW w:w="144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eastAsiaTheme="minorEastAsia"/>
                <w:color w:val="auto"/>
                <w:kern w:val="0"/>
                <w:szCs w:val="21"/>
              </w:rPr>
            </w:pPr>
            <w:r>
              <w:rPr>
                <w:rFonts w:hint="default" w:eastAsiaTheme="minorEastAsia"/>
                <w:color w:val="auto"/>
                <w:kern w:val="0"/>
                <w:szCs w:val="21"/>
              </w:rPr>
              <w:t>国合通测1</w:t>
            </w:r>
          </w:p>
        </w:tc>
        <w:tc>
          <w:tcPr>
            <w:tcW w:w="1970" w:type="pct"/>
            <w:tcBorders>
              <w:top w:val="nil"/>
              <w:left w:val="nil"/>
              <w:bottom w:val="single" w:color="auto" w:sz="4" w:space="0"/>
              <w:right w:val="single" w:color="auto" w:sz="4" w:space="0"/>
            </w:tcBorders>
            <w:shd w:val="clear" w:color="auto" w:fill="auto"/>
            <w:noWrap/>
            <w:vAlign w:val="center"/>
          </w:tcPr>
          <w:p>
            <w:pPr>
              <w:widowControl/>
              <w:jc w:val="center"/>
              <w:rPr>
                <w:rFonts w:hint="default" w:eastAsiaTheme="minorEastAsia"/>
                <w:color w:val="auto"/>
                <w:kern w:val="0"/>
                <w:szCs w:val="21"/>
              </w:rPr>
            </w:pPr>
            <w:r>
              <w:rPr>
                <w:rFonts w:hint="default" w:eastAsiaTheme="minorEastAsia"/>
                <w:color w:val="auto"/>
                <w:kern w:val="0"/>
                <w:szCs w:val="21"/>
              </w:rPr>
              <w:t>0.0318</w:t>
            </w:r>
          </w:p>
        </w:tc>
        <w:tc>
          <w:tcPr>
            <w:tcW w:w="1582" w:type="pct"/>
            <w:tcBorders>
              <w:top w:val="nil"/>
              <w:left w:val="nil"/>
              <w:bottom w:val="single" w:color="auto" w:sz="4" w:space="0"/>
              <w:right w:val="single" w:color="auto" w:sz="4" w:space="0"/>
            </w:tcBorders>
            <w:vAlign w:val="center"/>
          </w:tcPr>
          <w:p>
            <w:pPr>
              <w:widowControl/>
              <w:jc w:val="center"/>
              <w:rPr>
                <w:rFonts w:hint="default" w:eastAsiaTheme="minorEastAsia"/>
                <w:color w:val="auto"/>
                <w:kern w:val="0"/>
                <w:szCs w:val="21"/>
              </w:rPr>
            </w:pPr>
            <w:r>
              <w:rPr>
                <w:rFonts w:hint="default" w:eastAsiaTheme="minorEastAsia"/>
                <w:color w:val="auto"/>
                <w:kern w:val="0"/>
                <w:szCs w:val="21"/>
              </w:rPr>
              <w:t>0.383</w:t>
            </w:r>
          </w:p>
        </w:tc>
      </w:tr>
      <w:tr>
        <w:tblPrEx>
          <w:tblCellMar>
            <w:top w:w="0" w:type="dxa"/>
            <w:left w:w="108" w:type="dxa"/>
            <w:bottom w:w="0" w:type="dxa"/>
            <w:right w:w="108" w:type="dxa"/>
          </w:tblCellMar>
        </w:tblPrEx>
        <w:trPr>
          <w:trHeight w:val="340" w:hRule="atLeast"/>
        </w:trPr>
        <w:tc>
          <w:tcPr>
            <w:tcW w:w="144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eastAsiaTheme="minorEastAsia"/>
                <w:color w:val="auto"/>
                <w:kern w:val="0"/>
                <w:szCs w:val="21"/>
              </w:rPr>
            </w:pPr>
            <w:r>
              <w:rPr>
                <w:rFonts w:hint="default" w:eastAsiaTheme="minorEastAsia"/>
                <w:color w:val="auto"/>
                <w:kern w:val="0"/>
                <w:szCs w:val="21"/>
              </w:rPr>
              <w:t>包头稀土2</w:t>
            </w:r>
          </w:p>
        </w:tc>
        <w:tc>
          <w:tcPr>
            <w:tcW w:w="1970" w:type="pct"/>
            <w:tcBorders>
              <w:top w:val="nil"/>
              <w:left w:val="nil"/>
              <w:bottom w:val="single" w:color="auto" w:sz="4" w:space="0"/>
              <w:right w:val="single" w:color="auto" w:sz="4" w:space="0"/>
            </w:tcBorders>
            <w:shd w:val="clear" w:color="auto" w:fill="auto"/>
            <w:noWrap/>
            <w:vAlign w:val="center"/>
          </w:tcPr>
          <w:p>
            <w:pPr>
              <w:widowControl/>
              <w:jc w:val="center"/>
              <w:rPr>
                <w:rFonts w:hint="default" w:eastAsiaTheme="minorEastAsia"/>
                <w:color w:val="auto"/>
                <w:kern w:val="0"/>
                <w:szCs w:val="21"/>
              </w:rPr>
            </w:pPr>
            <w:r>
              <w:rPr>
                <w:rFonts w:hint="default" w:eastAsiaTheme="minorEastAsia"/>
                <w:color w:val="auto"/>
                <w:kern w:val="0"/>
                <w:szCs w:val="21"/>
              </w:rPr>
              <w:t>0.0336</w:t>
            </w:r>
          </w:p>
        </w:tc>
        <w:tc>
          <w:tcPr>
            <w:tcW w:w="1582" w:type="pct"/>
            <w:tcBorders>
              <w:top w:val="nil"/>
              <w:left w:val="nil"/>
              <w:bottom w:val="single" w:color="auto" w:sz="4" w:space="0"/>
              <w:right w:val="single" w:color="auto" w:sz="4" w:space="0"/>
            </w:tcBorders>
            <w:vAlign w:val="center"/>
          </w:tcPr>
          <w:p>
            <w:pPr>
              <w:widowControl/>
              <w:jc w:val="center"/>
              <w:rPr>
                <w:rFonts w:hint="default" w:eastAsiaTheme="minorEastAsia"/>
                <w:color w:val="auto"/>
                <w:kern w:val="0"/>
                <w:szCs w:val="21"/>
                <w:lang w:val="en-US" w:eastAsia="zh-CN"/>
              </w:rPr>
            </w:pPr>
            <w:r>
              <w:rPr>
                <w:rFonts w:hint="eastAsia" w:eastAsiaTheme="minorEastAsia"/>
                <w:color w:val="auto"/>
                <w:kern w:val="0"/>
                <w:szCs w:val="21"/>
                <w:lang w:val="en-US" w:eastAsia="zh-CN"/>
              </w:rPr>
              <w:t>--</w:t>
            </w:r>
          </w:p>
        </w:tc>
      </w:tr>
      <w:tr>
        <w:tblPrEx>
          <w:tblCellMar>
            <w:top w:w="0" w:type="dxa"/>
            <w:left w:w="108" w:type="dxa"/>
            <w:bottom w:w="0" w:type="dxa"/>
            <w:right w:w="108" w:type="dxa"/>
          </w:tblCellMar>
        </w:tblPrEx>
        <w:trPr>
          <w:trHeight w:val="340" w:hRule="atLeast"/>
        </w:trPr>
        <w:tc>
          <w:tcPr>
            <w:tcW w:w="144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eastAsiaTheme="minorEastAsia"/>
                <w:color w:val="auto"/>
                <w:kern w:val="0"/>
                <w:szCs w:val="21"/>
              </w:rPr>
            </w:pPr>
            <w:r>
              <w:rPr>
                <w:rFonts w:hint="default" w:eastAsiaTheme="minorEastAsia"/>
                <w:color w:val="auto"/>
                <w:kern w:val="0"/>
                <w:szCs w:val="21"/>
              </w:rPr>
              <w:t>国标检验3</w:t>
            </w:r>
          </w:p>
        </w:tc>
        <w:tc>
          <w:tcPr>
            <w:tcW w:w="1970" w:type="pct"/>
            <w:tcBorders>
              <w:top w:val="nil"/>
              <w:left w:val="nil"/>
              <w:bottom w:val="single" w:color="auto" w:sz="4" w:space="0"/>
              <w:right w:val="single" w:color="auto" w:sz="4" w:space="0"/>
            </w:tcBorders>
            <w:shd w:val="clear" w:color="auto" w:fill="auto"/>
            <w:noWrap/>
            <w:vAlign w:val="center"/>
          </w:tcPr>
          <w:p>
            <w:pPr>
              <w:widowControl/>
              <w:jc w:val="center"/>
              <w:rPr>
                <w:rFonts w:hint="default" w:eastAsiaTheme="minorEastAsia"/>
                <w:color w:val="auto"/>
                <w:kern w:val="0"/>
                <w:szCs w:val="21"/>
                <w:lang w:val="en-US" w:eastAsia="zh-CN"/>
              </w:rPr>
            </w:pPr>
            <w:r>
              <w:rPr>
                <w:rFonts w:hint="eastAsia" w:eastAsiaTheme="minorEastAsia"/>
                <w:color w:val="auto"/>
                <w:kern w:val="0"/>
                <w:szCs w:val="21"/>
                <w:lang w:val="en-US" w:eastAsia="zh-CN"/>
              </w:rPr>
              <w:t>0.0317</w:t>
            </w:r>
          </w:p>
        </w:tc>
        <w:tc>
          <w:tcPr>
            <w:tcW w:w="1582" w:type="pct"/>
            <w:tcBorders>
              <w:top w:val="nil"/>
              <w:left w:val="nil"/>
              <w:bottom w:val="single" w:color="auto" w:sz="4" w:space="0"/>
              <w:right w:val="single" w:color="auto" w:sz="4" w:space="0"/>
            </w:tcBorders>
            <w:vAlign w:val="center"/>
          </w:tcPr>
          <w:p>
            <w:pPr>
              <w:widowControl/>
              <w:jc w:val="center"/>
              <w:rPr>
                <w:rFonts w:hint="default" w:eastAsiaTheme="minorEastAsia"/>
                <w:color w:val="auto"/>
                <w:kern w:val="0"/>
                <w:szCs w:val="21"/>
                <w:lang w:val="en-US"/>
              </w:rPr>
            </w:pPr>
            <w:r>
              <w:rPr>
                <w:rFonts w:hint="eastAsia" w:eastAsiaTheme="minorEastAsia"/>
                <w:color w:val="auto"/>
                <w:kern w:val="0"/>
                <w:szCs w:val="21"/>
                <w:lang w:val="en-US" w:eastAsia="zh-CN"/>
              </w:rPr>
              <w:t>0.0379</w:t>
            </w:r>
          </w:p>
        </w:tc>
      </w:tr>
      <w:tr>
        <w:tblPrEx>
          <w:tblCellMar>
            <w:top w:w="0" w:type="dxa"/>
            <w:left w:w="108" w:type="dxa"/>
            <w:bottom w:w="0" w:type="dxa"/>
            <w:right w:w="108" w:type="dxa"/>
          </w:tblCellMar>
        </w:tblPrEx>
        <w:trPr>
          <w:trHeight w:val="340" w:hRule="atLeast"/>
        </w:trPr>
        <w:tc>
          <w:tcPr>
            <w:tcW w:w="144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eastAsiaTheme="minorEastAsia"/>
                <w:color w:val="auto"/>
                <w:kern w:val="0"/>
                <w:szCs w:val="21"/>
              </w:rPr>
            </w:pPr>
            <w:r>
              <w:rPr>
                <w:rFonts w:hint="default" w:eastAsiaTheme="minorEastAsia"/>
                <w:color w:val="auto"/>
                <w:kern w:val="0"/>
                <w:szCs w:val="21"/>
              </w:rPr>
              <w:t>赣州有色4</w:t>
            </w:r>
          </w:p>
        </w:tc>
        <w:tc>
          <w:tcPr>
            <w:tcW w:w="1970" w:type="pct"/>
            <w:tcBorders>
              <w:top w:val="nil"/>
              <w:left w:val="nil"/>
              <w:bottom w:val="single" w:color="auto" w:sz="4" w:space="0"/>
              <w:right w:val="single" w:color="auto" w:sz="4" w:space="0"/>
            </w:tcBorders>
            <w:shd w:val="clear" w:color="auto" w:fill="auto"/>
            <w:noWrap/>
            <w:vAlign w:val="center"/>
          </w:tcPr>
          <w:p>
            <w:pPr>
              <w:widowControl/>
              <w:jc w:val="center"/>
              <w:rPr>
                <w:rFonts w:hint="default" w:eastAsiaTheme="minorEastAsia"/>
                <w:color w:val="auto"/>
                <w:kern w:val="0"/>
                <w:szCs w:val="21"/>
              </w:rPr>
            </w:pPr>
            <w:r>
              <w:rPr>
                <w:rFonts w:hint="default" w:eastAsiaTheme="minorEastAsia"/>
                <w:color w:val="auto"/>
                <w:kern w:val="0"/>
                <w:szCs w:val="21"/>
              </w:rPr>
              <w:t>--</w:t>
            </w:r>
          </w:p>
        </w:tc>
        <w:tc>
          <w:tcPr>
            <w:tcW w:w="1582" w:type="pct"/>
            <w:tcBorders>
              <w:top w:val="nil"/>
              <w:left w:val="nil"/>
              <w:bottom w:val="single" w:color="auto" w:sz="4" w:space="0"/>
              <w:right w:val="single" w:color="auto" w:sz="4" w:space="0"/>
            </w:tcBorders>
            <w:vAlign w:val="center"/>
          </w:tcPr>
          <w:p>
            <w:pPr>
              <w:widowControl/>
              <w:jc w:val="center"/>
              <w:rPr>
                <w:rFonts w:hint="default" w:eastAsiaTheme="minorEastAsia"/>
                <w:color w:val="auto"/>
                <w:kern w:val="0"/>
                <w:szCs w:val="21"/>
              </w:rPr>
            </w:pPr>
            <w:r>
              <w:rPr>
                <w:rFonts w:hint="default" w:eastAsiaTheme="minorEastAsia"/>
                <w:color w:val="auto"/>
                <w:kern w:val="0"/>
                <w:szCs w:val="21"/>
              </w:rPr>
              <w:t>0.382</w:t>
            </w:r>
          </w:p>
        </w:tc>
      </w:tr>
      <w:tr>
        <w:tblPrEx>
          <w:tblCellMar>
            <w:top w:w="0" w:type="dxa"/>
            <w:left w:w="108" w:type="dxa"/>
            <w:bottom w:w="0" w:type="dxa"/>
            <w:right w:w="108" w:type="dxa"/>
          </w:tblCellMar>
        </w:tblPrEx>
        <w:trPr>
          <w:trHeight w:val="340" w:hRule="atLeast"/>
        </w:trPr>
        <w:tc>
          <w:tcPr>
            <w:tcW w:w="144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eastAsiaTheme="minorEastAsia"/>
                <w:color w:val="auto"/>
                <w:kern w:val="0"/>
                <w:szCs w:val="21"/>
              </w:rPr>
            </w:pPr>
            <w:r>
              <w:rPr>
                <w:rFonts w:hint="default" w:eastAsiaTheme="minorEastAsia"/>
                <w:color w:val="auto"/>
                <w:kern w:val="0"/>
                <w:szCs w:val="21"/>
              </w:rPr>
              <w:t>乐山锐丰5</w:t>
            </w:r>
          </w:p>
        </w:tc>
        <w:tc>
          <w:tcPr>
            <w:tcW w:w="1970" w:type="pct"/>
            <w:tcBorders>
              <w:top w:val="nil"/>
              <w:left w:val="nil"/>
              <w:bottom w:val="single" w:color="auto" w:sz="4" w:space="0"/>
              <w:right w:val="single" w:color="auto" w:sz="4" w:space="0"/>
            </w:tcBorders>
            <w:shd w:val="clear" w:color="auto" w:fill="auto"/>
            <w:noWrap/>
            <w:vAlign w:val="center"/>
          </w:tcPr>
          <w:p>
            <w:pPr>
              <w:widowControl/>
              <w:jc w:val="center"/>
              <w:rPr>
                <w:rFonts w:hint="default" w:eastAsiaTheme="minorEastAsia"/>
                <w:color w:val="auto"/>
                <w:kern w:val="0"/>
                <w:szCs w:val="21"/>
              </w:rPr>
            </w:pPr>
            <w:r>
              <w:rPr>
                <w:rFonts w:hint="default" w:eastAsiaTheme="minorEastAsia"/>
                <w:color w:val="auto"/>
                <w:kern w:val="0"/>
                <w:szCs w:val="21"/>
              </w:rPr>
              <w:t>--</w:t>
            </w:r>
          </w:p>
        </w:tc>
        <w:tc>
          <w:tcPr>
            <w:tcW w:w="1582" w:type="pct"/>
            <w:tcBorders>
              <w:top w:val="nil"/>
              <w:left w:val="nil"/>
              <w:bottom w:val="single" w:color="auto" w:sz="4" w:space="0"/>
              <w:right w:val="single" w:color="auto" w:sz="4" w:space="0"/>
            </w:tcBorders>
            <w:vAlign w:val="center"/>
          </w:tcPr>
          <w:p>
            <w:pPr>
              <w:widowControl/>
              <w:jc w:val="center"/>
              <w:rPr>
                <w:rFonts w:hint="default" w:eastAsiaTheme="minorEastAsia"/>
                <w:color w:val="auto"/>
                <w:kern w:val="0"/>
                <w:szCs w:val="21"/>
              </w:rPr>
            </w:pPr>
            <w:r>
              <w:rPr>
                <w:rFonts w:hint="default" w:eastAsiaTheme="minorEastAsia"/>
                <w:color w:val="auto"/>
                <w:kern w:val="0"/>
                <w:szCs w:val="21"/>
              </w:rPr>
              <w:t>0.386</w:t>
            </w:r>
          </w:p>
        </w:tc>
      </w:tr>
      <w:tr>
        <w:tblPrEx>
          <w:tblCellMar>
            <w:top w:w="0" w:type="dxa"/>
            <w:left w:w="108" w:type="dxa"/>
            <w:bottom w:w="0" w:type="dxa"/>
            <w:right w:w="108" w:type="dxa"/>
          </w:tblCellMar>
        </w:tblPrEx>
        <w:trPr>
          <w:trHeight w:val="340" w:hRule="atLeast"/>
        </w:trPr>
        <w:tc>
          <w:tcPr>
            <w:tcW w:w="144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eastAsiaTheme="minorEastAsia"/>
                <w:color w:val="auto"/>
                <w:kern w:val="0"/>
                <w:szCs w:val="21"/>
              </w:rPr>
            </w:pPr>
            <w:r>
              <w:rPr>
                <w:rFonts w:hint="default" w:eastAsiaTheme="minorEastAsia"/>
                <w:color w:val="auto"/>
                <w:kern w:val="0"/>
                <w:szCs w:val="21"/>
              </w:rPr>
              <w:t>南方稀土6</w:t>
            </w:r>
          </w:p>
        </w:tc>
        <w:tc>
          <w:tcPr>
            <w:tcW w:w="1970" w:type="pct"/>
            <w:tcBorders>
              <w:top w:val="nil"/>
              <w:left w:val="nil"/>
              <w:bottom w:val="single" w:color="auto" w:sz="4" w:space="0"/>
              <w:right w:val="single" w:color="auto" w:sz="4" w:space="0"/>
            </w:tcBorders>
            <w:shd w:val="clear" w:color="auto" w:fill="auto"/>
            <w:noWrap/>
            <w:vAlign w:val="center"/>
          </w:tcPr>
          <w:p>
            <w:pPr>
              <w:widowControl/>
              <w:jc w:val="center"/>
              <w:rPr>
                <w:rFonts w:hint="default" w:eastAsiaTheme="minorEastAsia"/>
                <w:color w:val="auto"/>
                <w:kern w:val="0"/>
                <w:szCs w:val="21"/>
              </w:rPr>
            </w:pPr>
            <w:r>
              <w:rPr>
                <w:rFonts w:hint="default" w:eastAsiaTheme="minorEastAsia"/>
                <w:color w:val="auto"/>
                <w:kern w:val="0"/>
                <w:szCs w:val="21"/>
              </w:rPr>
              <w:t>0.0323</w:t>
            </w:r>
          </w:p>
        </w:tc>
        <w:tc>
          <w:tcPr>
            <w:tcW w:w="1582" w:type="pct"/>
            <w:tcBorders>
              <w:top w:val="nil"/>
              <w:left w:val="nil"/>
              <w:bottom w:val="single" w:color="auto" w:sz="4" w:space="0"/>
              <w:right w:val="single" w:color="auto" w:sz="4" w:space="0"/>
            </w:tcBorders>
            <w:vAlign w:val="center"/>
          </w:tcPr>
          <w:p>
            <w:pPr>
              <w:widowControl/>
              <w:jc w:val="center"/>
              <w:rPr>
                <w:rFonts w:hint="default" w:eastAsiaTheme="minorEastAsia"/>
                <w:color w:val="auto"/>
                <w:kern w:val="0"/>
                <w:szCs w:val="21"/>
              </w:rPr>
            </w:pPr>
            <w:r>
              <w:rPr>
                <w:rFonts w:hint="default" w:eastAsiaTheme="minorEastAsia"/>
                <w:color w:val="auto"/>
                <w:kern w:val="0"/>
                <w:szCs w:val="21"/>
              </w:rPr>
              <w:t>0.378</w:t>
            </w:r>
          </w:p>
        </w:tc>
      </w:tr>
      <w:tr>
        <w:tblPrEx>
          <w:tblCellMar>
            <w:top w:w="0" w:type="dxa"/>
            <w:left w:w="108" w:type="dxa"/>
            <w:bottom w:w="0" w:type="dxa"/>
            <w:right w:w="108" w:type="dxa"/>
          </w:tblCellMar>
        </w:tblPrEx>
        <w:trPr>
          <w:trHeight w:val="340" w:hRule="atLeast"/>
        </w:trPr>
        <w:tc>
          <w:tcPr>
            <w:tcW w:w="1446" w:type="pc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eastAsiaTheme="minorEastAsia"/>
                <w:color w:val="auto"/>
                <w:kern w:val="0"/>
                <w:szCs w:val="21"/>
              </w:rPr>
            </w:pPr>
            <w:r>
              <w:rPr>
                <w:rFonts w:hint="default" w:eastAsiaTheme="minorEastAsia"/>
                <w:color w:val="auto"/>
                <w:kern w:val="0"/>
                <w:szCs w:val="21"/>
              </w:rPr>
              <w:t>有研稀土7</w:t>
            </w:r>
          </w:p>
        </w:tc>
        <w:tc>
          <w:tcPr>
            <w:tcW w:w="1970" w:type="pct"/>
            <w:tcBorders>
              <w:top w:val="nil"/>
              <w:left w:val="nil"/>
              <w:bottom w:val="single" w:color="auto" w:sz="4" w:space="0"/>
              <w:right w:val="single" w:color="auto" w:sz="4" w:space="0"/>
            </w:tcBorders>
            <w:shd w:val="clear" w:color="auto" w:fill="auto"/>
            <w:noWrap/>
            <w:vAlign w:val="center"/>
          </w:tcPr>
          <w:p>
            <w:pPr>
              <w:widowControl/>
              <w:jc w:val="center"/>
              <w:rPr>
                <w:rFonts w:hint="default" w:eastAsiaTheme="minorEastAsia"/>
                <w:color w:val="auto"/>
                <w:kern w:val="0"/>
                <w:szCs w:val="21"/>
              </w:rPr>
            </w:pPr>
            <w:r>
              <w:rPr>
                <w:rFonts w:hint="default" w:eastAsiaTheme="minorEastAsia"/>
                <w:color w:val="auto"/>
                <w:kern w:val="0"/>
                <w:szCs w:val="21"/>
              </w:rPr>
              <w:t>--</w:t>
            </w:r>
          </w:p>
        </w:tc>
        <w:tc>
          <w:tcPr>
            <w:tcW w:w="1582" w:type="pct"/>
            <w:tcBorders>
              <w:top w:val="nil"/>
              <w:left w:val="nil"/>
              <w:bottom w:val="single" w:color="auto" w:sz="4" w:space="0"/>
              <w:right w:val="single" w:color="auto" w:sz="4" w:space="0"/>
            </w:tcBorders>
            <w:vAlign w:val="center"/>
          </w:tcPr>
          <w:p>
            <w:pPr>
              <w:widowControl/>
              <w:jc w:val="center"/>
              <w:rPr>
                <w:rFonts w:hint="default" w:eastAsiaTheme="minorEastAsia"/>
                <w:color w:val="auto"/>
                <w:kern w:val="0"/>
                <w:szCs w:val="21"/>
              </w:rPr>
            </w:pPr>
            <w:r>
              <w:rPr>
                <w:rFonts w:hint="default" w:eastAsiaTheme="minorEastAsia"/>
                <w:color w:val="auto"/>
                <w:kern w:val="0"/>
                <w:szCs w:val="21"/>
              </w:rPr>
              <w:t>0.364</w:t>
            </w:r>
          </w:p>
        </w:tc>
      </w:tr>
    </w:tbl>
    <w:p>
      <w:pPr>
        <w:spacing w:line="300" w:lineRule="auto"/>
        <w:jc w:val="both"/>
        <w:rPr>
          <w:rFonts w:hint="eastAsia"/>
          <w:szCs w:val="21"/>
          <w:lang w:val="en-US" w:eastAsia="zh-CN"/>
        </w:rPr>
      </w:pPr>
      <w:r>
        <w:rPr>
          <w:rFonts w:hint="eastAsia"/>
          <w:szCs w:val="21"/>
          <w:lang w:val="en-US" w:eastAsia="zh-CN"/>
        </w:rPr>
        <w:t>.</w:t>
      </w:r>
    </w:p>
    <w:p>
      <w:pPr>
        <w:spacing w:line="300" w:lineRule="auto"/>
        <w:jc w:val="center"/>
        <w:rPr>
          <w:szCs w:val="21"/>
        </w:rPr>
      </w:pPr>
      <w:r>
        <w:rPr>
          <w:szCs w:val="21"/>
        </w:rPr>
        <w:t>表A.1</w:t>
      </w:r>
      <w:r>
        <w:rPr>
          <w:rFonts w:hint="eastAsia"/>
          <w:szCs w:val="21"/>
          <w:lang w:val="en-US" w:eastAsia="zh-CN"/>
        </w:rPr>
        <w:t>2</w:t>
      </w:r>
      <w:r>
        <w:rPr>
          <w:szCs w:val="21"/>
        </w:rPr>
        <w:t xml:space="preserve"> 格拉布斯检验</w:t>
      </w:r>
    </w:p>
    <w:tbl>
      <w:tblPr>
        <w:tblStyle w:val="88"/>
        <w:tblW w:w="5000" w:type="pct"/>
        <w:tblInd w:w="91" w:type="dxa"/>
        <w:shd w:val="clear" w:color="auto" w:fill="auto"/>
        <w:tblLayout w:type="autofit"/>
        <w:tblCellMar>
          <w:top w:w="0" w:type="dxa"/>
          <w:left w:w="108" w:type="dxa"/>
          <w:bottom w:w="0" w:type="dxa"/>
          <w:right w:w="108" w:type="dxa"/>
        </w:tblCellMar>
      </w:tblPr>
      <w:tblGrid>
        <w:gridCol w:w="3607"/>
        <w:gridCol w:w="3355"/>
        <w:gridCol w:w="3006"/>
      </w:tblGrid>
      <w:tr>
        <w:tblPrEx>
          <w:shd w:val="clear" w:color="auto" w:fill="auto"/>
          <w:tblCellMar>
            <w:top w:w="0" w:type="dxa"/>
            <w:left w:w="108" w:type="dxa"/>
            <w:bottom w:w="0" w:type="dxa"/>
            <w:right w:w="108" w:type="dxa"/>
          </w:tblCellMar>
        </w:tblPrEx>
        <w:trPr>
          <w:trHeight w:val="421" w:hRule="atLeast"/>
        </w:trPr>
        <w:tc>
          <w:tcPr>
            <w:tcW w:w="3322"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rPr>
                <w:rFonts w:hint="default" w:eastAsiaTheme="minorEastAsia"/>
                <w:color w:val="auto"/>
                <w:kern w:val="0"/>
                <w:szCs w:val="21"/>
              </w:rPr>
            </w:pPr>
            <w:r>
              <w:rPr>
                <w:rFonts w:hint="default" w:eastAsiaTheme="minorEastAsia"/>
                <w:color w:val="auto"/>
                <w:kern w:val="0"/>
                <w:szCs w:val="21"/>
                <w:lang w:val="en-US" w:eastAsia="zh-CN"/>
              </w:rPr>
              <w:t>统计量</w:t>
            </w:r>
          </w:p>
        </w:tc>
        <w:tc>
          <w:tcPr>
            <w:tcW w:w="3089" w:type="dxa"/>
            <w:tcBorders>
              <w:top w:val="single" w:color="000000" w:sz="8" w:space="0"/>
              <w:left w:val="nil"/>
              <w:bottom w:val="single" w:color="000000" w:sz="8" w:space="0"/>
              <w:right w:val="single" w:color="000000" w:sz="8" w:space="0"/>
            </w:tcBorders>
            <w:shd w:val="clear" w:color="auto" w:fill="auto"/>
            <w:vAlign w:val="center"/>
          </w:tcPr>
          <w:p>
            <w:pPr>
              <w:widowControl/>
              <w:jc w:val="center"/>
              <w:rPr>
                <w:rFonts w:hint="eastAsia" w:eastAsiaTheme="minorEastAsia"/>
                <w:color w:val="auto"/>
                <w:kern w:val="0"/>
                <w:szCs w:val="21"/>
              </w:rPr>
            </w:pPr>
            <w:r>
              <w:rPr>
                <w:rFonts w:hint="eastAsia" w:eastAsiaTheme="minorEastAsia"/>
                <w:color w:val="auto"/>
                <w:kern w:val="0"/>
                <w:szCs w:val="21"/>
                <w:lang w:val="en-US" w:eastAsia="zh-CN"/>
              </w:rPr>
              <w:t>水平</w:t>
            </w:r>
            <w:r>
              <w:rPr>
                <w:rFonts w:hint="default" w:eastAsiaTheme="minorEastAsia"/>
                <w:color w:val="auto"/>
                <w:kern w:val="0"/>
                <w:szCs w:val="21"/>
                <w:lang w:val="en-US" w:eastAsia="zh-CN"/>
              </w:rPr>
              <w:t>3(4)</w:t>
            </w:r>
          </w:p>
        </w:tc>
        <w:tc>
          <w:tcPr>
            <w:tcW w:w="2768" w:type="dxa"/>
            <w:tcBorders>
              <w:top w:val="single" w:color="000000" w:sz="8" w:space="0"/>
              <w:left w:val="nil"/>
              <w:bottom w:val="single" w:color="000000" w:sz="8" w:space="0"/>
              <w:right w:val="single" w:color="auto" w:sz="4" w:space="0"/>
            </w:tcBorders>
            <w:shd w:val="clear" w:color="auto" w:fill="auto"/>
            <w:vAlign w:val="center"/>
          </w:tcPr>
          <w:p>
            <w:pPr>
              <w:widowControl/>
              <w:jc w:val="center"/>
              <w:rPr>
                <w:rFonts w:hint="default" w:eastAsiaTheme="minorEastAsia"/>
                <w:color w:val="auto"/>
                <w:kern w:val="0"/>
                <w:szCs w:val="21"/>
              </w:rPr>
            </w:pPr>
            <w:r>
              <w:rPr>
                <w:rFonts w:hint="eastAsia" w:eastAsiaTheme="minorEastAsia"/>
                <w:color w:val="auto"/>
                <w:kern w:val="0"/>
                <w:szCs w:val="21"/>
                <w:lang w:val="en-US" w:eastAsia="zh-CN"/>
              </w:rPr>
              <w:t>水平</w:t>
            </w:r>
            <w:r>
              <w:rPr>
                <w:rFonts w:hint="default" w:eastAsiaTheme="minorEastAsia"/>
                <w:color w:val="auto"/>
                <w:kern w:val="0"/>
                <w:szCs w:val="21"/>
                <w:lang w:val="en-US" w:eastAsia="zh-CN"/>
              </w:rPr>
              <w:t>5(6)</w:t>
            </w:r>
          </w:p>
        </w:tc>
      </w:tr>
      <w:tr>
        <w:tblPrEx>
          <w:tblCellMar>
            <w:top w:w="0" w:type="dxa"/>
            <w:left w:w="108" w:type="dxa"/>
            <w:bottom w:w="0" w:type="dxa"/>
            <w:right w:w="108" w:type="dxa"/>
          </w:tblCellMar>
        </w:tblPrEx>
        <w:trPr>
          <w:trHeight w:val="421" w:hRule="atLeast"/>
        </w:trPr>
        <w:tc>
          <w:tcPr>
            <w:tcW w:w="3322"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eastAsiaTheme="minorEastAsia"/>
                <w:color w:val="auto"/>
                <w:kern w:val="0"/>
                <w:szCs w:val="21"/>
              </w:rPr>
            </w:pPr>
            <w:r>
              <w:rPr>
                <w:rFonts w:hint="default" w:eastAsiaTheme="minorEastAsia"/>
                <w:color w:val="auto"/>
                <w:kern w:val="0"/>
                <w:szCs w:val="21"/>
                <w:lang w:val="en-US" w:eastAsia="zh-CN"/>
              </w:rPr>
              <w:t>均值的平均值</w:t>
            </w:r>
          </w:p>
        </w:tc>
        <w:tc>
          <w:tcPr>
            <w:tcW w:w="3089" w:type="dxa"/>
            <w:tcBorders>
              <w:top w:val="nil"/>
              <w:left w:val="nil"/>
              <w:bottom w:val="single" w:color="000000" w:sz="8" w:space="0"/>
              <w:right w:val="single" w:color="000000" w:sz="8" w:space="0"/>
            </w:tcBorders>
            <w:shd w:val="clear" w:color="auto" w:fill="auto"/>
            <w:vAlign w:val="center"/>
          </w:tcPr>
          <w:p>
            <w:pPr>
              <w:widowControl/>
              <w:jc w:val="center"/>
              <w:rPr>
                <w:rFonts w:hint="default" w:eastAsiaTheme="minorEastAsia"/>
                <w:color w:val="auto"/>
                <w:kern w:val="0"/>
                <w:szCs w:val="21"/>
              </w:rPr>
            </w:pPr>
            <w:r>
              <w:rPr>
                <w:rFonts w:hint="default" w:eastAsiaTheme="minorEastAsia"/>
                <w:color w:val="auto"/>
                <w:kern w:val="0"/>
                <w:szCs w:val="21"/>
                <w:lang w:val="en-US" w:eastAsia="zh-CN"/>
              </w:rPr>
              <w:t xml:space="preserve">0.0324 </w:t>
            </w:r>
          </w:p>
        </w:tc>
        <w:tc>
          <w:tcPr>
            <w:tcW w:w="2768" w:type="dxa"/>
            <w:tcBorders>
              <w:top w:val="nil"/>
              <w:left w:val="nil"/>
              <w:bottom w:val="single" w:color="000000" w:sz="8" w:space="0"/>
              <w:right w:val="single" w:color="000000" w:sz="8" w:space="0"/>
            </w:tcBorders>
            <w:shd w:val="clear" w:color="auto" w:fill="auto"/>
            <w:vAlign w:val="center"/>
          </w:tcPr>
          <w:p>
            <w:pPr>
              <w:widowControl/>
              <w:jc w:val="center"/>
              <w:rPr>
                <w:rFonts w:hint="default" w:eastAsiaTheme="minorEastAsia"/>
                <w:color w:val="auto"/>
                <w:kern w:val="0"/>
                <w:szCs w:val="21"/>
              </w:rPr>
            </w:pPr>
            <w:r>
              <w:rPr>
                <w:rFonts w:hint="default" w:eastAsiaTheme="minorEastAsia"/>
                <w:color w:val="auto"/>
                <w:kern w:val="0"/>
                <w:szCs w:val="21"/>
                <w:lang w:val="en-US" w:eastAsia="zh-CN"/>
              </w:rPr>
              <w:t xml:space="preserve">0.379 </w:t>
            </w:r>
          </w:p>
        </w:tc>
      </w:tr>
      <w:tr>
        <w:tblPrEx>
          <w:shd w:val="clear" w:color="auto" w:fill="auto"/>
          <w:tblCellMar>
            <w:top w:w="0" w:type="dxa"/>
            <w:left w:w="108" w:type="dxa"/>
            <w:bottom w:w="0" w:type="dxa"/>
            <w:right w:w="108" w:type="dxa"/>
          </w:tblCellMar>
        </w:tblPrEx>
        <w:trPr>
          <w:trHeight w:val="421" w:hRule="atLeast"/>
        </w:trPr>
        <w:tc>
          <w:tcPr>
            <w:tcW w:w="3322"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eastAsiaTheme="minorEastAsia"/>
                <w:color w:val="auto"/>
                <w:kern w:val="0"/>
                <w:szCs w:val="21"/>
              </w:rPr>
            </w:pPr>
            <w:r>
              <w:rPr>
                <w:rFonts w:hint="default" w:eastAsiaTheme="minorEastAsia"/>
                <w:color w:val="auto"/>
                <w:kern w:val="0"/>
                <w:szCs w:val="21"/>
                <w:lang w:val="en-US" w:eastAsia="zh-CN"/>
              </w:rPr>
              <w:t>均值的标准差</w:t>
            </w:r>
          </w:p>
        </w:tc>
        <w:tc>
          <w:tcPr>
            <w:tcW w:w="3089" w:type="dxa"/>
            <w:tcBorders>
              <w:top w:val="nil"/>
              <w:left w:val="nil"/>
              <w:bottom w:val="single" w:color="000000" w:sz="8" w:space="0"/>
              <w:right w:val="single" w:color="000000" w:sz="8" w:space="0"/>
            </w:tcBorders>
            <w:shd w:val="clear" w:color="auto" w:fill="auto"/>
            <w:vAlign w:val="center"/>
          </w:tcPr>
          <w:p>
            <w:pPr>
              <w:widowControl/>
              <w:jc w:val="center"/>
              <w:rPr>
                <w:rFonts w:hint="default" w:eastAsiaTheme="minorEastAsia"/>
                <w:color w:val="auto"/>
                <w:kern w:val="0"/>
                <w:szCs w:val="21"/>
              </w:rPr>
            </w:pPr>
            <w:r>
              <w:rPr>
                <w:rFonts w:hint="default" w:eastAsiaTheme="minorEastAsia"/>
                <w:color w:val="auto"/>
                <w:kern w:val="0"/>
                <w:szCs w:val="21"/>
                <w:lang w:val="en-US" w:eastAsia="zh-CN"/>
              </w:rPr>
              <w:t>8.74E-04</w:t>
            </w:r>
          </w:p>
        </w:tc>
        <w:tc>
          <w:tcPr>
            <w:tcW w:w="2768" w:type="dxa"/>
            <w:tcBorders>
              <w:top w:val="nil"/>
              <w:left w:val="nil"/>
              <w:bottom w:val="single" w:color="000000" w:sz="8" w:space="0"/>
              <w:right w:val="single" w:color="000000" w:sz="8" w:space="0"/>
            </w:tcBorders>
            <w:shd w:val="clear" w:color="auto" w:fill="auto"/>
            <w:vAlign w:val="center"/>
          </w:tcPr>
          <w:p>
            <w:pPr>
              <w:widowControl/>
              <w:jc w:val="center"/>
              <w:rPr>
                <w:rFonts w:hint="default" w:eastAsiaTheme="minorEastAsia"/>
                <w:color w:val="auto"/>
                <w:kern w:val="0"/>
                <w:szCs w:val="21"/>
              </w:rPr>
            </w:pPr>
            <w:r>
              <w:rPr>
                <w:rFonts w:hint="default" w:eastAsiaTheme="minorEastAsia"/>
                <w:color w:val="auto"/>
                <w:kern w:val="0"/>
                <w:szCs w:val="21"/>
                <w:lang w:val="en-US" w:eastAsia="zh-CN"/>
              </w:rPr>
              <w:t>7.74E-03</w:t>
            </w:r>
          </w:p>
        </w:tc>
      </w:tr>
      <w:tr>
        <w:tblPrEx>
          <w:shd w:val="clear" w:color="auto" w:fill="auto"/>
          <w:tblCellMar>
            <w:top w:w="0" w:type="dxa"/>
            <w:left w:w="108" w:type="dxa"/>
            <w:bottom w:w="0" w:type="dxa"/>
            <w:right w:w="108" w:type="dxa"/>
          </w:tblCellMar>
        </w:tblPrEx>
        <w:trPr>
          <w:trHeight w:val="421" w:hRule="atLeast"/>
        </w:trPr>
        <w:tc>
          <w:tcPr>
            <w:tcW w:w="3322"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eastAsiaTheme="minorEastAsia"/>
                <w:color w:val="auto"/>
                <w:kern w:val="0"/>
                <w:szCs w:val="21"/>
              </w:rPr>
            </w:pPr>
            <w:r>
              <w:rPr>
                <w:rFonts w:hint="default" w:eastAsiaTheme="minorEastAsia"/>
                <w:color w:val="auto"/>
                <w:kern w:val="0"/>
                <w:szCs w:val="21"/>
                <w:lang w:val="en-US" w:eastAsia="zh-CN"/>
              </w:rPr>
              <w:t>最大均值</w:t>
            </w:r>
          </w:p>
        </w:tc>
        <w:tc>
          <w:tcPr>
            <w:tcW w:w="3089" w:type="dxa"/>
            <w:tcBorders>
              <w:top w:val="nil"/>
              <w:left w:val="nil"/>
              <w:bottom w:val="single" w:color="000000" w:sz="8" w:space="0"/>
              <w:right w:val="single" w:color="000000" w:sz="8" w:space="0"/>
            </w:tcBorders>
            <w:shd w:val="clear" w:color="auto" w:fill="auto"/>
            <w:vAlign w:val="center"/>
          </w:tcPr>
          <w:p>
            <w:pPr>
              <w:widowControl/>
              <w:jc w:val="center"/>
              <w:rPr>
                <w:rFonts w:hint="default" w:eastAsiaTheme="minorEastAsia"/>
                <w:color w:val="auto"/>
                <w:kern w:val="0"/>
                <w:szCs w:val="21"/>
              </w:rPr>
            </w:pPr>
            <w:r>
              <w:rPr>
                <w:rFonts w:hint="default" w:eastAsiaTheme="minorEastAsia"/>
                <w:color w:val="auto"/>
                <w:kern w:val="0"/>
                <w:szCs w:val="21"/>
                <w:lang w:val="en-US" w:eastAsia="zh-CN"/>
              </w:rPr>
              <w:t>0.0336</w:t>
            </w:r>
          </w:p>
        </w:tc>
        <w:tc>
          <w:tcPr>
            <w:tcW w:w="2768" w:type="dxa"/>
            <w:tcBorders>
              <w:top w:val="nil"/>
              <w:left w:val="nil"/>
              <w:bottom w:val="single" w:color="000000" w:sz="8" w:space="0"/>
              <w:right w:val="single" w:color="000000" w:sz="8" w:space="0"/>
            </w:tcBorders>
            <w:shd w:val="clear" w:color="auto" w:fill="auto"/>
            <w:vAlign w:val="center"/>
          </w:tcPr>
          <w:p>
            <w:pPr>
              <w:widowControl/>
              <w:jc w:val="center"/>
              <w:rPr>
                <w:rFonts w:hint="default" w:eastAsiaTheme="minorEastAsia"/>
                <w:color w:val="auto"/>
                <w:kern w:val="0"/>
                <w:szCs w:val="21"/>
              </w:rPr>
            </w:pPr>
            <w:r>
              <w:rPr>
                <w:rFonts w:hint="default" w:eastAsiaTheme="minorEastAsia"/>
                <w:color w:val="auto"/>
                <w:kern w:val="0"/>
                <w:szCs w:val="21"/>
                <w:lang w:val="en-US" w:eastAsia="zh-CN"/>
              </w:rPr>
              <w:t>0.386</w:t>
            </w:r>
          </w:p>
        </w:tc>
      </w:tr>
      <w:tr>
        <w:tblPrEx>
          <w:shd w:val="clear" w:color="auto" w:fill="auto"/>
          <w:tblCellMar>
            <w:top w:w="0" w:type="dxa"/>
            <w:left w:w="108" w:type="dxa"/>
            <w:bottom w:w="0" w:type="dxa"/>
            <w:right w:w="108" w:type="dxa"/>
          </w:tblCellMar>
        </w:tblPrEx>
        <w:trPr>
          <w:trHeight w:val="421" w:hRule="atLeast"/>
        </w:trPr>
        <w:tc>
          <w:tcPr>
            <w:tcW w:w="3322"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eastAsiaTheme="minorEastAsia"/>
                <w:color w:val="auto"/>
                <w:kern w:val="0"/>
                <w:szCs w:val="21"/>
              </w:rPr>
            </w:pPr>
            <w:r>
              <w:rPr>
                <w:rFonts w:hint="default" w:eastAsiaTheme="minorEastAsia"/>
                <w:color w:val="auto"/>
                <w:kern w:val="0"/>
                <w:szCs w:val="21"/>
                <w:lang w:val="en-US" w:eastAsia="zh-CN"/>
              </w:rPr>
              <w:t>最小均值</w:t>
            </w:r>
          </w:p>
        </w:tc>
        <w:tc>
          <w:tcPr>
            <w:tcW w:w="3089" w:type="dxa"/>
            <w:tcBorders>
              <w:top w:val="nil"/>
              <w:left w:val="nil"/>
              <w:bottom w:val="single" w:color="000000" w:sz="8" w:space="0"/>
              <w:right w:val="single" w:color="000000" w:sz="8" w:space="0"/>
            </w:tcBorders>
            <w:shd w:val="clear" w:color="auto" w:fill="auto"/>
            <w:vAlign w:val="center"/>
          </w:tcPr>
          <w:p>
            <w:pPr>
              <w:widowControl/>
              <w:jc w:val="center"/>
              <w:rPr>
                <w:rFonts w:hint="default" w:eastAsiaTheme="minorEastAsia"/>
                <w:color w:val="auto"/>
                <w:kern w:val="0"/>
                <w:szCs w:val="21"/>
              </w:rPr>
            </w:pPr>
            <w:r>
              <w:rPr>
                <w:rFonts w:hint="default" w:eastAsiaTheme="minorEastAsia"/>
                <w:color w:val="auto"/>
                <w:kern w:val="0"/>
                <w:szCs w:val="21"/>
                <w:lang w:val="en-US" w:eastAsia="zh-CN"/>
              </w:rPr>
              <w:t xml:space="preserve">0.0317 </w:t>
            </w:r>
          </w:p>
        </w:tc>
        <w:tc>
          <w:tcPr>
            <w:tcW w:w="2768" w:type="dxa"/>
            <w:tcBorders>
              <w:top w:val="nil"/>
              <w:left w:val="nil"/>
              <w:bottom w:val="single" w:color="000000" w:sz="8" w:space="0"/>
              <w:right w:val="single" w:color="000000" w:sz="8" w:space="0"/>
            </w:tcBorders>
            <w:shd w:val="clear" w:color="auto" w:fill="auto"/>
            <w:vAlign w:val="center"/>
          </w:tcPr>
          <w:p>
            <w:pPr>
              <w:widowControl/>
              <w:jc w:val="center"/>
              <w:rPr>
                <w:rFonts w:hint="default" w:eastAsiaTheme="minorEastAsia"/>
                <w:color w:val="auto"/>
                <w:kern w:val="0"/>
                <w:szCs w:val="21"/>
              </w:rPr>
            </w:pPr>
            <w:r>
              <w:rPr>
                <w:rFonts w:hint="default" w:eastAsiaTheme="minorEastAsia"/>
                <w:color w:val="auto"/>
                <w:kern w:val="0"/>
                <w:szCs w:val="21"/>
                <w:lang w:val="en-US" w:eastAsia="zh-CN"/>
              </w:rPr>
              <w:t xml:space="preserve">0.364 </w:t>
            </w:r>
          </w:p>
        </w:tc>
      </w:tr>
      <w:tr>
        <w:tblPrEx>
          <w:shd w:val="clear" w:color="auto" w:fill="auto"/>
          <w:tblCellMar>
            <w:top w:w="0" w:type="dxa"/>
            <w:left w:w="108" w:type="dxa"/>
            <w:bottom w:w="0" w:type="dxa"/>
            <w:right w:w="108" w:type="dxa"/>
          </w:tblCellMar>
        </w:tblPrEx>
        <w:trPr>
          <w:trHeight w:val="421" w:hRule="atLeast"/>
        </w:trPr>
        <w:tc>
          <w:tcPr>
            <w:tcW w:w="3322"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eastAsiaTheme="minorEastAsia"/>
                <w:color w:val="auto"/>
                <w:kern w:val="0"/>
                <w:szCs w:val="21"/>
              </w:rPr>
            </w:pPr>
            <w:r>
              <w:rPr>
                <w:rFonts w:hint="default" w:eastAsiaTheme="minorEastAsia"/>
                <w:color w:val="auto"/>
                <w:kern w:val="0"/>
                <w:szCs w:val="21"/>
                <w:lang w:val="en-US" w:eastAsia="zh-CN"/>
              </w:rPr>
              <w:t>Gmax</w:t>
            </w:r>
          </w:p>
        </w:tc>
        <w:tc>
          <w:tcPr>
            <w:tcW w:w="3089" w:type="dxa"/>
            <w:tcBorders>
              <w:top w:val="nil"/>
              <w:left w:val="nil"/>
              <w:bottom w:val="single" w:color="000000" w:sz="8" w:space="0"/>
              <w:right w:val="single" w:color="000000" w:sz="8" w:space="0"/>
            </w:tcBorders>
            <w:shd w:val="clear" w:color="auto" w:fill="auto"/>
            <w:vAlign w:val="center"/>
          </w:tcPr>
          <w:p>
            <w:pPr>
              <w:widowControl/>
              <w:jc w:val="center"/>
              <w:rPr>
                <w:rFonts w:hint="default" w:eastAsiaTheme="minorEastAsia"/>
                <w:color w:val="auto"/>
                <w:kern w:val="0"/>
                <w:szCs w:val="21"/>
              </w:rPr>
            </w:pPr>
            <w:r>
              <w:rPr>
                <w:rFonts w:hint="default" w:eastAsiaTheme="minorEastAsia"/>
                <w:color w:val="auto"/>
                <w:kern w:val="0"/>
                <w:szCs w:val="21"/>
                <w:lang w:val="en-US" w:eastAsia="zh-CN"/>
              </w:rPr>
              <w:t xml:space="preserve">1.43 </w:t>
            </w:r>
          </w:p>
        </w:tc>
        <w:tc>
          <w:tcPr>
            <w:tcW w:w="2768" w:type="dxa"/>
            <w:tcBorders>
              <w:top w:val="nil"/>
              <w:left w:val="nil"/>
              <w:bottom w:val="single" w:color="000000" w:sz="8" w:space="0"/>
              <w:right w:val="single" w:color="000000" w:sz="8" w:space="0"/>
            </w:tcBorders>
            <w:shd w:val="clear" w:color="auto" w:fill="auto"/>
            <w:vAlign w:val="center"/>
          </w:tcPr>
          <w:p>
            <w:pPr>
              <w:widowControl/>
              <w:jc w:val="center"/>
              <w:rPr>
                <w:rFonts w:hint="default" w:eastAsiaTheme="minorEastAsia"/>
                <w:color w:val="auto"/>
                <w:kern w:val="0"/>
                <w:szCs w:val="21"/>
              </w:rPr>
            </w:pPr>
            <w:r>
              <w:rPr>
                <w:rFonts w:hint="default" w:eastAsiaTheme="minorEastAsia"/>
                <w:color w:val="auto"/>
                <w:kern w:val="0"/>
                <w:szCs w:val="21"/>
                <w:lang w:val="en-US" w:eastAsia="zh-CN"/>
              </w:rPr>
              <w:t xml:space="preserve">0.95 </w:t>
            </w:r>
          </w:p>
        </w:tc>
      </w:tr>
      <w:tr>
        <w:tblPrEx>
          <w:tblCellMar>
            <w:top w:w="0" w:type="dxa"/>
            <w:left w:w="108" w:type="dxa"/>
            <w:bottom w:w="0" w:type="dxa"/>
            <w:right w:w="108" w:type="dxa"/>
          </w:tblCellMar>
        </w:tblPrEx>
        <w:trPr>
          <w:trHeight w:val="751" w:hRule="atLeast"/>
        </w:trPr>
        <w:tc>
          <w:tcPr>
            <w:tcW w:w="3322" w:type="dxa"/>
            <w:tcBorders>
              <w:top w:val="nil"/>
              <w:left w:val="single" w:color="000000" w:sz="8" w:space="0"/>
              <w:bottom w:val="single" w:color="000000" w:sz="8" w:space="0"/>
              <w:right w:val="single" w:color="000000" w:sz="8" w:space="0"/>
            </w:tcBorders>
            <w:shd w:val="clear" w:color="auto" w:fill="auto"/>
            <w:vAlign w:val="center"/>
          </w:tcPr>
          <w:p>
            <w:pPr>
              <w:widowControl/>
              <w:jc w:val="center"/>
              <w:rPr>
                <w:rFonts w:hint="default" w:eastAsiaTheme="minorEastAsia"/>
                <w:color w:val="auto"/>
                <w:kern w:val="0"/>
                <w:szCs w:val="21"/>
                <w:lang w:val="en-US" w:eastAsia="zh-CN"/>
              </w:rPr>
            </w:pPr>
            <w:r>
              <w:rPr>
                <w:rFonts w:hint="default" w:eastAsiaTheme="minorEastAsia"/>
                <w:color w:val="auto"/>
                <w:kern w:val="0"/>
                <w:szCs w:val="21"/>
                <w:lang w:val="en-US" w:eastAsia="zh-CN"/>
              </w:rPr>
              <w:t>G</w:t>
            </w:r>
            <w:r>
              <w:rPr>
                <w:rFonts w:hint="eastAsia" w:eastAsiaTheme="minorEastAsia"/>
                <w:color w:val="auto"/>
                <w:kern w:val="0"/>
                <w:szCs w:val="21"/>
                <w:lang w:val="en-US" w:eastAsia="zh-CN"/>
              </w:rPr>
              <w:t>临界值</w:t>
            </w:r>
          </w:p>
        </w:tc>
        <w:tc>
          <w:tcPr>
            <w:tcW w:w="5857" w:type="dxa"/>
            <w:gridSpan w:val="2"/>
            <w:tcBorders>
              <w:top w:val="nil"/>
              <w:left w:val="nil"/>
              <w:bottom w:val="single" w:color="000000" w:sz="8" w:space="0"/>
              <w:right w:val="single" w:color="000000" w:sz="8" w:space="0"/>
            </w:tcBorders>
            <w:shd w:val="clear" w:color="auto" w:fill="auto"/>
            <w:vAlign w:val="center"/>
          </w:tcPr>
          <w:p>
            <w:pPr>
              <w:widowControl/>
              <w:jc w:val="center"/>
              <w:rPr>
                <w:rFonts w:hint="default" w:eastAsiaTheme="minorEastAsia"/>
                <w:color w:val="auto"/>
                <w:kern w:val="0"/>
                <w:szCs w:val="21"/>
                <w:lang w:val="en-US" w:eastAsia="zh-CN"/>
              </w:rPr>
            </w:pPr>
            <w:r>
              <w:rPr>
                <w:rFonts w:hint="eastAsia" w:eastAsiaTheme="minorEastAsia"/>
                <w:color w:val="auto"/>
                <w:kern w:val="0"/>
                <w:szCs w:val="21"/>
                <w:lang w:val="en-US" w:eastAsia="zh-CN"/>
              </w:rPr>
              <w:t>实验室数</w:t>
            </w:r>
            <w:r>
              <w:rPr>
                <w:rFonts w:hint="default" w:eastAsiaTheme="minorEastAsia"/>
                <w:color w:val="auto"/>
                <w:kern w:val="0"/>
                <w:szCs w:val="21"/>
                <w:lang w:val="en-US" w:eastAsia="zh-CN"/>
              </w:rPr>
              <w:t>p=4</w:t>
            </w:r>
            <w:r>
              <w:rPr>
                <w:rFonts w:hint="eastAsia" w:eastAsiaTheme="minorEastAsia"/>
                <w:color w:val="auto"/>
                <w:kern w:val="0"/>
                <w:szCs w:val="21"/>
                <w:lang w:val="en-US" w:eastAsia="zh-CN"/>
              </w:rPr>
              <w:t>时，</w:t>
            </w:r>
            <w:r>
              <w:rPr>
                <w:rFonts w:hint="default" w:eastAsiaTheme="minorEastAsia"/>
                <w:color w:val="auto"/>
                <w:kern w:val="0"/>
                <w:szCs w:val="21"/>
                <w:lang w:val="en-US" w:eastAsia="zh-CN"/>
              </w:rPr>
              <w:t>G</w:t>
            </w:r>
            <w:r>
              <w:rPr>
                <w:rFonts w:hint="eastAsia" w:eastAsiaTheme="minorEastAsia"/>
                <w:color w:val="auto"/>
                <w:kern w:val="0"/>
                <w:szCs w:val="21"/>
                <w:lang w:val="en-US" w:eastAsia="zh-CN"/>
              </w:rPr>
              <w:t>临界值：</w:t>
            </w:r>
            <w:r>
              <w:rPr>
                <w:rFonts w:hint="default" w:eastAsiaTheme="minorEastAsia"/>
                <w:color w:val="auto"/>
                <w:kern w:val="0"/>
                <w:szCs w:val="21"/>
                <w:lang w:val="en-US" w:eastAsia="zh-CN"/>
              </w:rPr>
              <w:t>1%</w:t>
            </w:r>
            <w:r>
              <w:rPr>
                <w:rFonts w:hint="eastAsia" w:eastAsiaTheme="minorEastAsia"/>
                <w:color w:val="auto"/>
                <w:kern w:val="0"/>
                <w:szCs w:val="21"/>
                <w:lang w:val="en-US" w:eastAsia="zh-CN"/>
              </w:rPr>
              <w:t>点时为1.492；</w:t>
            </w:r>
            <w:r>
              <w:rPr>
                <w:rFonts w:hint="default" w:eastAsiaTheme="minorEastAsia"/>
                <w:color w:val="auto"/>
                <w:kern w:val="0"/>
                <w:szCs w:val="21"/>
                <w:lang w:val="en-US" w:eastAsia="zh-CN"/>
              </w:rPr>
              <w:t>5%</w:t>
            </w:r>
            <w:r>
              <w:rPr>
                <w:rFonts w:hint="eastAsia" w:eastAsiaTheme="minorEastAsia"/>
                <w:color w:val="auto"/>
                <w:kern w:val="0"/>
                <w:szCs w:val="21"/>
                <w:lang w:val="en-US" w:eastAsia="zh-CN"/>
              </w:rPr>
              <w:t>点时为1.463。实验室数</w:t>
            </w:r>
            <w:r>
              <w:rPr>
                <w:rFonts w:hint="default" w:eastAsiaTheme="minorEastAsia"/>
                <w:color w:val="auto"/>
                <w:kern w:val="0"/>
                <w:szCs w:val="21"/>
                <w:lang w:val="en-US" w:eastAsia="zh-CN"/>
              </w:rPr>
              <w:t>p=6</w:t>
            </w:r>
            <w:r>
              <w:rPr>
                <w:rFonts w:hint="eastAsia" w:eastAsiaTheme="minorEastAsia"/>
                <w:color w:val="auto"/>
                <w:kern w:val="0"/>
                <w:szCs w:val="21"/>
                <w:lang w:val="en-US" w:eastAsia="zh-CN"/>
              </w:rPr>
              <w:t>时，</w:t>
            </w:r>
            <w:r>
              <w:rPr>
                <w:rFonts w:hint="default" w:eastAsiaTheme="minorEastAsia"/>
                <w:color w:val="auto"/>
                <w:kern w:val="0"/>
                <w:szCs w:val="21"/>
                <w:lang w:val="en-US" w:eastAsia="zh-CN"/>
              </w:rPr>
              <w:t>G</w:t>
            </w:r>
            <w:r>
              <w:rPr>
                <w:rFonts w:hint="eastAsia" w:eastAsiaTheme="minorEastAsia"/>
                <w:color w:val="auto"/>
                <w:kern w:val="0"/>
                <w:szCs w:val="21"/>
                <w:lang w:val="en-US" w:eastAsia="zh-CN"/>
              </w:rPr>
              <w:t>临界值：</w:t>
            </w:r>
            <w:r>
              <w:rPr>
                <w:rFonts w:hint="default" w:eastAsiaTheme="minorEastAsia"/>
                <w:color w:val="auto"/>
                <w:kern w:val="0"/>
                <w:szCs w:val="21"/>
                <w:lang w:val="en-US" w:eastAsia="zh-CN"/>
              </w:rPr>
              <w:t>1%</w:t>
            </w:r>
            <w:r>
              <w:rPr>
                <w:rFonts w:hint="eastAsia" w:eastAsiaTheme="minorEastAsia"/>
                <w:color w:val="auto"/>
                <w:kern w:val="0"/>
                <w:szCs w:val="21"/>
                <w:lang w:val="en-US" w:eastAsia="zh-CN"/>
              </w:rPr>
              <w:t>点时为</w:t>
            </w:r>
            <w:r>
              <w:rPr>
                <w:rFonts w:hint="default" w:eastAsiaTheme="minorEastAsia"/>
                <w:color w:val="auto"/>
                <w:kern w:val="0"/>
                <w:szCs w:val="21"/>
                <w:lang w:val="en-US" w:eastAsia="zh-CN"/>
              </w:rPr>
              <w:t>1.944</w:t>
            </w:r>
            <w:r>
              <w:rPr>
                <w:rFonts w:hint="eastAsia" w:eastAsiaTheme="minorEastAsia"/>
                <w:color w:val="auto"/>
                <w:kern w:val="0"/>
                <w:szCs w:val="21"/>
                <w:lang w:val="en-US" w:eastAsia="zh-CN"/>
              </w:rPr>
              <w:t>；</w:t>
            </w:r>
            <w:r>
              <w:rPr>
                <w:rFonts w:hint="default" w:eastAsiaTheme="minorEastAsia"/>
                <w:color w:val="auto"/>
                <w:kern w:val="0"/>
                <w:szCs w:val="21"/>
                <w:lang w:val="en-US" w:eastAsia="zh-CN"/>
              </w:rPr>
              <w:t>5%</w:t>
            </w:r>
            <w:r>
              <w:rPr>
                <w:rFonts w:hint="eastAsia" w:eastAsiaTheme="minorEastAsia"/>
                <w:color w:val="auto"/>
                <w:kern w:val="0"/>
                <w:szCs w:val="21"/>
                <w:lang w:val="en-US" w:eastAsia="zh-CN"/>
              </w:rPr>
              <w:t>点时为</w:t>
            </w:r>
            <w:r>
              <w:rPr>
                <w:rFonts w:hint="default" w:eastAsiaTheme="minorEastAsia"/>
                <w:color w:val="auto"/>
                <w:kern w:val="0"/>
                <w:szCs w:val="21"/>
                <w:lang w:val="en-US" w:eastAsia="zh-CN"/>
              </w:rPr>
              <w:t>1.822</w:t>
            </w:r>
            <w:r>
              <w:rPr>
                <w:rFonts w:hint="eastAsia" w:eastAsiaTheme="minorEastAsia"/>
                <w:color w:val="auto"/>
                <w:kern w:val="0"/>
                <w:szCs w:val="21"/>
                <w:lang w:val="en-US" w:eastAsia="zh-CN"/>
              </w:rPr>
              <w:t>。</w:t>
            </w:r>
          </w:p>
        </w:tc>
      </w:tr>
    </w:tbl>
    <w:p>
      <w:pPr>
        <w:spacing w:line="300" w:lineRule="auto"/>
        <w:jc w:val="left"/>
        <w:rPr>
          <w:szCs w:val="21"/>
        </w:rPr>
      </w:pPr>
    </w:p>
    <w:p>
      <w:pPr>
        <w:spacing w:line="300" w:lineRule="auto"/>
        <w:jc w:val="left"/>
        <w:rPr>
          <w:rFonts w:hint="eastAsia"/>
          <w:szCs w:val="21"/>
          <w:lang w:val="en-US" w:eastAsia="zh-CN"/>
        </w:rPr>
      </w:pPr>
      <w:r>
        <w:rPr>
          <w:szCs w:val="21"/>
        </w:rPr>
        <w:t>格拉布斯检验显示，</w:t>
      </w:r>
      <w:r>
        <w:rPr>
          <w:rFonts w:hint="eastAsia"/>
          <w:szCs w:val="21"/>
          <w:lang w:val="en-US" w:eastAsia="zh-CN"/>
        </w:rPr>
        <w:t>无离群值，无歧离值。</w:t>
      </w:r>
    </w:p>
    <w:p>
      <w:pPr>
        <w:spacing w:line="300" w:lineRule="auto"/>
        <w:jc w:val="left"/>
        <w:rPr>
          <w:szCs w:val="21"/>
        </w:rPr>
      </w:pPr>
    </w:p>
    <w:p>
      <w:pPr>
        <w:spacing w:line="300" w:lineRule="auto"/>
        <w:jc w:val="left"/>
        <w:rPr>
          <w:szCs w:val="21"/>
        </w:rPr>
      </w:pPr>
    </w:p>
    <w:p>
      <w:pPr>
        <w:widowControl/>
        <w:jc w:val="left"/>
        <w:rPr>
          <w:b/>
          <w:szCs w:val="21"/>
        </w:rPr>
      </w:pPr>
    </w:p>
    <w:p>
      <w:pPr>
        <w:widowControl/>
        <w:jc w:val="left"/>
        <w:rPr>
          <w:b/>
          <w:szCs w:val="21"/>
        </w:rPr>
      </w:pPr>
    </w:p>
    <w:p>
      <w:pPr>
        <w:widowControl/>
        <w:jc w:val="left"/>
        <w:rPr>
          <w:b/>
          <w:szCs w:val="21"/>
        </w:rPr>
      </w:pPr>
    </w:p>
    <w:p>
      <w:pPr>
        <w:widowControl/>
        <w:jc w:val="left"/>
        <w:rPr>
          <w:b/>
          <w:szCs w:val="21"/>
        </w:rPr>
      </w:pPr>
    </w:p>
    <w:p>
      <w:pPr>
        <w:widowControl/>
        <w:jc w:val="left"/>
        <w:rPr>
          <w:szCs w:val="21"/>
        </w:rPr>
      </w:pPr>
      <w:r>
        <w:rPr>
          <w:b/>
          <w:szCs w:val="21"/>
        </w:rPr>
        <w:t>3、</w:t>
      </w:r>
      <w:r>
        <w:rPr>
          <w:rFonts w:eastAsia="黑体"/>
          <w:szCs w:val="21"/>
        </w:rPr>
        <w:t>各实验室硫的实验数据</w:t>
      </w:r>
    </w:p>
    <w:p>
      <w:pPr>
        <w:spacing w:line="300" w:lineRule="auto"/>
        <w:jc w:val="center"/>
        <w:rPr>
          <w:szCs w:val="21"/>
        </w:rPr>
      </w:pPr>
      <w:r>
        <w:rPr>
          <w:szCs w:val="21"/>
        </w:rPr>
        <w:t>表B.1</w:t>
      </w:r>
      <w:r>
        <w:rPr>
          <w:szCs w:val="21"/>
        </w:rPr>
        <w:tab/>
      </w:r>
      <w:r>
        <w:rPr>
          <w:szCs w:val="21"/>
        </w:rPr>
        <w:t xml:space="preserve"> 各实验室原始测定数据（%）</w:t>
      </w:r>
    </w:p>
    <w:tbl>
      <w:tblPr>
        <w:tblStyle w:val="88"/>
        <w:tblW w:w="5000" w:type="pct"/>
        <w:tblInd w:w="0" w:type="dxa"/>
        <w:tblLayout w:type="autofit"/>
        <w:tblCellMar>
          <w:top w:w="0" w:type="dxa"/>
          <w:left w:w="108" w:type="dxa"/>
          <w:bottom w:w="0" w:type="dxa"/>
          <w:right w:w="108" w:type="dxa"/>
        </w:tblCellMar>
      </w:tblPr>
      <w:tblGrid>
        <w:gridCol w:w="2743"/>
        <w:gridCol w:w="1871"/>
        <w:gridCol w:w="1743"/>
        <w:gridCol w:w="1805"/>
        <w:gridCol w:w="1806"/>
      </w:tblGrid>
      <w:tr>
        <w:tblPrEx>
          <w:tblCellMar>
            <w:top w:w="0" w:type="dxa"/>
            <w:left w:w="108" w:type="dxa"/>
            <w:bottom w:w="0" w:type="dxa"/>
            <w:right w:w="108" w:type="dxa"/>
          </w:tblCellMar>
        </w:tblPrEx>
        <w:trPr>
          <w:trHeight w:val="340" w:hRule="atLeast"/>
        </w:trPr>
        <w:tc>
          <w:tcPr>
            <w:tcW w:w="1375"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kern w:val="0"/>
                <w:szCs w:val="21"/>
              </w:rPr>
            </w:pPr>
            <w:r>
              <w:rPr>
                <w:kern w:val="0"/>
                <w:szCs w:val="21"/>
              </w:rPr>
              <w:t>实验室</w:t>
            </w:r>
          </w:p>
        </w:tc>
        <w:tc>
          <w:tcPr>
            <w:tcW w:w="938"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kern w:val="0"/>
                <w:szCs w:val="21"/>
              </w:rPr>
            </w:pPr>
            <w:r>
              <w:rPr>
                <w:kern w:val="0"/>
                <w:szCs w:val="21"/>
              </w:rPr>
              <w:t>水平1</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kern w:val="0"/>
                <w:szCs w:val="21"/>
              </w:rPr>
            </w:pPr>
            <w:r>
              <w:rPr>
                <w:kern w:val="0"/>
                <w:szCs w:val="21"/>
              </w:rPr>
              <w:t>水平2</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widowControl/>
              <w:jc w:val="center"/>
              <w:rPr>
                <w:kern w:val="0"/>
                <w:szCs w:val="21"/>
              </w:rPr>
            </w:pPr>
            <w:r>
              <w:rPr>
                <w:kern w:val="0"/>
                <w:szCs w:val="21"/>
              </w:rPr>
              <w:t>水平3</w:t>
            </w:r>
          </w:p>
        </w:tc>
        <w:tc>
          <w:tcPr>
            <w:tcW w:w="905" w:type="pct"/>
            <w:tcBorders>
              <w:top w:val="single" w:color="auto" w:sz="4" w:space="0"/>
              <w:left w:val="nil"/>
              <w:bottom w:val="single" w:color="auto" w:sz="4" w:space="0"/>
              <w:right w:val="single" w:color="auto" w:sz="4" w:space="0"/>
            </w:tcBorders>
            <w:vAlign w:val="center"/>
          </w:tcPr>
          <w:p>
            <w:pPr>
              <w:widowControl/>
              <w:jc w:val="center"/>
              <w:rPr>
                <w:kern w:val="0"/>
                <w:szCs w:val="21"/>
              </w:rPr>
            </w:pPr>
            <w:r>
              <w:rPr>
                <w:kern w:val="0"/>
                <w:szCs w:val="21"/>
              </w:rPr>
              <w:t>水平4</w:t>
            </w:r>
          </w:p>
        </w:tc>
      </w:tr>
      <w:tr>
        <w:tblPrEx>
          <w:tblCellMar>
            <w:top w:w="0" w:type="dxa"/>
            <w:left w:w="108" w:type="dxa"/>
            <w:bottom w:w="0" w:type="dxa"/>
            <w:right w:w="108" w:type="dxa"/>
          </w:tblCellMar>
        </w:tblPrEx>
        <w:trPr>
          <w:trHeight w:val="340" w:hRule="atLeast"/>
        </w:trPr>
        <w:tc>
          <w:tcPr>
            <w:tcW w:w="1375" w:type="pct"/>
            <w:vMerge w:val="restart"/>
            <w:tcBorders>
              <w:top w:val="nil"/>
              <w:left w:val="single" w:color="auto" w:sz="4" w:space="0"/>
              <w:right w:val="single" w:color="auto" w:sz="4" w:space="0"/>
            </w:tcBorders>
            <w:shd w:val="clear" w:color="auto" w:fill="auto"/>
            <w:noWrap/>
            <w:vAlign w:val="center"/>
          </w:tcPr>
          <w:p>
            <w:pPr>
              <w:widowControl/>
              <w:jc w:val="center"/>
              <w:rPr>
                <w:kern w:val="0"/>
                <w:szCs w:val="21"/>
              </w:rPr>
            </w:pPr>
            <w:r>
              <w:rPr>
                <w:kern w:val="0"/>
                <w:szCs w:val="21"/>
              </w:rPr>
              <w:t>国合通测1</w:t>
            </w: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0.0026</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0.0128</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0.0171</w:t>
            </w:r>
          </w:p>
        </w:tc>
        <w:tc>
          <w:tcPr>
            <w:tcW w:w="90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0.205</w:t>
            </w:r>
          </w:p>
        </w:tc>
      </w:tr>
      <w:tr>
        <w:tblPrEx>
          <w:tblCellMar>
            <w:top w:w="0" w:type="dxa"/>
            <w:left w:w="108" w:type="dxa"/>
            <w:bottom w:w="0" w:type="dxa"/>
            <w:right w:w="108" w:type="dxa"/>
          </w:tblCellMar>
        </w:tblPrEx>
        <w:trPr>
          <w:trHeight w:val="340" w:hRule="atLeast"/>
        </w:trPr>
        <w:tc>
          <w:tcPr>
            <w:tcW w:w="1375" w:type="pct"/>
            <w:vMerge w:val="continue"/>
            <w:tcBorders>
              <w:left w:val="single" w:color="auto" w:sz="4" w:space="0"/>
              <w:right w:val="single" w:color="auto" w:sz="4" w:space="0"/>
            </w:tcBorders>
            <w:shd w:val="clear" w:color="auto" w:fill="auto"/>
            <w:noWrap/>
            <w:vAlign w:val="center"/>
          </w:tcPr>
          <w:p>
            <w:pPr>
              <w:jc w:val="center"/>
              <w:rPr>
                <w:kern w:val="0"/>
                <w:szCs w:val="21"/>
              </w:rPr>
            </w:pP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0.0026</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0.0136</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0.0164</w:t>
            </w:r>
          </w:p>
        </w:tc>
        <w:tc>
          <w:tcPr>
            <w:tcW w:w="90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0.204</w:t>
            </w:r>
          </w:p>
        </w:tc>
      </w:tr>
      <w:tr>
        <w:tblPrEx>
          <w:tblCellMar>
            <w:top w:w="0" w:type="dxa"/>
            <w:left w:w="108" w:type="dxa"/>
            <w:bottom w:w="0" w:type="dxa"/>
            <w:right w:w="108" w:type="dxa"/>
          </w:tblCellMar>
        </w:tblPrEx>
        <w:trPr>
          <w:trHeight w:val="340" w:hRule="atLeast"/>
        </w:trPr>
        <w:tc>
          <w:tcPr>
            <w:tcW w:w="1375" w:type="pct"/>
            <w:vMerge w:val="continue"/>
            <w:tcBorders>
              <w:left w:val="single" w:color="auto" w:sz="4" w:space="0"/>
              <w:right w:val="single" w:color="auto" w:sz="4" w:space="0"/>
            </w:tcBorders>
            <w:shd w:val="clear" w:color="auto" w:fill="auto"/>
            <w:noWrap/>
            <w:vAlign w:val="center"/>
          </w:tcPr>
          <w:p>
            <w:pPr>
              <w:jc w:val="center"/>
              <w:rPr>
                <w:kern w:val="0"/>
                <w:szCs w:val="21"/>
              </w:rPr>
            </w:pP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0.0027</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0.0133</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0.0172</w:t>
            </w:r>
          </w:p>
        </w:tc>
        <w:tc>
          <w:tcPr>
            <w:tcW w:w="90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0.199</w:t>
            </w:r>
          </w:p>
        </w:tc>
      </w:tr>
      <w:tr>
        <w:tblPrEx>
          <w:tblCellMar>
            <w:top w:w="0" w:type="dxa"/>
            <w:left w:w="108" w:type="dxa"/>
            <w:bottom w:w="0" w:type="dxa"/>
            <w:right w:w="108" w:type="dxa"/>
          </w:tblCellMar>
        </w:tblPrEx>
        <w:trPr>
          <w:trHeight w:val="340" w:hRule="atLeast"/>
        </w:trPr>
        <w:tc>
          <w:tcPr>
            <w:tcW w:w="1375" w:type="pct"/>
            <w:vMerge w:val="continue"/>
            <w:tcBorders>
              <w:left w:val="single" w:color="auto" w:sz="4" w:space="0"/>
              <w:right w:val="single" w:color="auto" w:sz="4" w:space="0"/>
            </w:tcBorders>
            <w:shd w:val="clear" w:color="auto" w:fill="auto"/>
            <w:noWrap/>
            <w:vAlign w:val="center"/>
          </w:tcPr>
          <w:p>
            <w:pPr>
              <w:jc w:val="center"/>
              <w:rPr>
                <w:kern w:val="0"/>
                <w:szCs w:val="21"/>
              </w:rPr>
            </w:pP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0.0024</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0.0135</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0.0161</w:t>
            </w:r>
          </w:p>
        </w:tc>
        <w:tc>
          <w:tcPr>
            <w:tcW w:w="90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0.205</w:t>
            </w:r>
          </w:p>
        </w:tc>
      </w:tr>
      <w:tr>
        <w:tblPrEx>
          <w:tblCellMar>
            <w:top w:w="0" w:type="dxa"/>
            <w:left w:w="108" w:type="dxa"/>
            <w:bottom w:w="0" w:type="dxa"/>
            <w:right w:w="108" w:type="dxa"/>
          </w:tblCellMar>
        </w:tblPrEx>
        <w:trPr>
          <w:trHeight w:val="340" w:hRule="atLeast"/>
        </w:trPr>
        <w:tc>
          <w:tcPr>
            <w:tcW w:w="1375" w:type="pct"/>
            <w:vMerge w:val="continue"/>
            <w:tcBorders>
              <w:left w:val="single" w:color="auto" w:sz="4" w:space="0"/>
              <w:right w:val="single" w:color="auto" w:sz="4" w:space="0"/>
            </w:tcBorders>
            <w:shd w:val="clear" w:color="auto" w:fill="auto"/>
            <w:noWrap/>
            <w:vAlign w:val="center"/>
          </w:tcPr>
          <w:p>
            <w:pPr>
              <w:jc w:val="center"/>
              <w:rPr>
                <w:kern w:val="0"/>
                <w:szCs w:val="21"/>
              </w:rPr>
            </w:pP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0.0025</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0.0128</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0.0162</w:t>
            </w:r>
          </w:p>
        </w:tc>
        <w:tc>
          <w:tcPr>
            <w:tcW w:w="90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0.206</w:t>
            </w:r>
          </w:p>
        </w:tc>
      </w:tr>
      <w:tr>
        <w:tblPrEx>
          <w:tblCellMar>
            <w:top w:w="0" w:type="dxa"/>
            <w:left w:w="108" w:type="dxa"/>
            <w:bottom w:w="0" w:type="dxa"/>
            <w:right w:w="108" w:type="dxa"/>
          </w:tblCellMar>
        </w:tblPrEx>
        <w:trPr>
          <w:trHeight w:val="340" w:hRule="atLeast"/>
        </w:trPr>
        <w:tc>
          <w:tcPr>
            <w:tcW w:w="1375" w:type="pct"/>
            <w:vMerge w:val="continue"/>
            <w:tcBorders>
              <w:left w:val="single" w:color="auto" w:sz="4" w:space="0"/>
              <w:right w:val="single" w:color="auto" w:sz="4" w:space="0"/>
            </w:tcBorders>
            <w:shd w:val="clear" w:color="auto" w:fill="auto"/>
            <w:noWrap/>
            <w:vAlign w:val="center"/>
          </w:tcPr>
          <w:p>
            <w:pPr>
              <w:jc w:val="center"/>
              <w:rPr>
                <w:kern w:val="0"/>
                <w:szCs w:val="21"/>
              </w:rPr>
            </w:pP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0.0027</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0.0128</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0.0164</w:t>
            </w:r>
          </w:p>
        </w:tc>
        <w:tc>
          <w:tcPr>
            <w:tcW w:w="90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0.196</w:t>
            </w:r>
          </w:p>
        </w:tc>
      </w:tr>
      <w:tr>
        <w:tblPrEx>
          <w:tblCellMar>
            <w:top w:w="0" w:type="dxa"/>
            <w:left w:w="108" w:type="dxa"/>
            <w:bottom w:w="0" w:type="dxa"/>
            <w:right w:w="108" w:type="dxa"/>
          </w:tblCellMar>
        </w:tblPrEx>
        <w:trPr>
          <w:trHeight w:val="340" w:hRule="atLeast"/>
        </w:trPr>
        <w:tc>
          <w:tcPr>
            <w:tcW w:w="1375" w:type="pct"/>
            <w:vMerge w:val="continue"/>
            <w:tcBorders>
              <w:left w:val="single" w:color="auto" w:sz="4" w:space="0"/>
              <w:right w:val="single" w:color="auto" w:sz="4" w:space="0"/>
            </w:tcBorders>
            <w:shd w:val="clear" w:color="auto" w:fill="auto"/>
            <w:noWrap/>
            <w:vAlign w:val="center"/>
          </w:tcPr>
          <w:p>
            <w:pPr>
              <w:jc w:val="center"/>
              <w:rPr>
                <w:kern w:val="0"/>
                <w:szCs w:val="21"/>
              </w:rPr>
            </w:pP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0.0026</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0.0137</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0.0162</w:t>
            </w:r>
          </w:p>
        </w:tc>
        <w:tc>
          <w:tcPr>
            <w:tcW w:w="90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0.198</w:t>
            </w:r>
          </w:p>
        </w:tc>
      </w:tr>
      <w:tr>
        <w:tblPrEx>
          <w:tblCellMar>
            <w:top w:w="0" w:type="dxa"/>
            <w:left w:w="108" w:type="dxa"/>
            <w:bottom w:w="0" w:type="dxa"/>
            <w:right w:w="108" w:type="dxa"/>
          </w:tblCellMar>
        </w:tblPrEx>
        <w:trPr>
          <w:trHeight w:val="340" w:hRule="atLeast"/>
        </w:trPr>
        <w:tc>
          <w:tcPr>
            <w:tcW w:w="1375" w:type="pct"/>
            <w:vMerge w:val="continue"/>
            <w:tcBorders>
              <w:left w:val="single" w:color="auto" w:sz="4" w:space="0"/>
              <w:right w:val="single" w:color="auto" w:sz="4" w:space="0"/>
            </w:tcBorders>
            <w:shd w:val="clear" w:color="auto" w:fill="auto"/>
            <w:noWrap/>
            <w:vAlign w:val="center"/>
          </w:tcPr>
          <w:p>
            <w:pPr>
              <w:jc w:val="center"/>
              <w:rPr>
                <w:kern w:val="0"/>
                <w:szCs w:val="21"/>
              </w:rPr>
            </w:pP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0.0024</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0.0131</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0.0164</w:t>
            </w:r>
          </w:p>
        </w:tc>
        <w:tc>
          <w:tcPr>
            <w:tcW w:w="90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0.209</w:t>
            </w:r>
          </w:p>
        </w:tc>
      </w:tr>
      <w:tr>
        <w:tblPrEx>
          <w:tblCellMar>
            <w:top w:w="0" w:type="dxa"/>
            <w:left w:w="108" w:type="dxa"/>
            <w:bottom w:w="0" w:type="dxa"/>
            <w:right w:w="108" w:type="dxa"/>
          </w:tblCellMar>
        </w:tblPrEx>
        <w:trPr>
          <w:trHeight w:val="340" w:hRule="atLeast"/>
        </w:trPr>
        <w:tc>
          <w:tcPr>
            <w:tcW w:w="1375" w:type="pct"/>
            <w:vMerge w:val="continue"/>
            <w:tcBorders>
              <w:left w:val="single" w:color="auto" w:sz="4" w:space="0"/>
              <w:right w:val="single" w:color="auto" w:sz="4" w:space="0"/>
            </w:tcBorders>
            <w:shd w:val="clear" w:color="auto" w:fill="auto"/>
            <w:noWrap/>
            <w:vAlign w:val="center"/>
          </w:tcPr>
          <w:p>
            <w:pPr>
              <w:jc w:val="center"/>
              <w:rPr>
                <w:kern w:val="0"/>
                <w:szCs w:val="21"/>
              </w:rPr>
            </w:pP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0.0025</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0.0138</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0.0169</w:t>
            </w:r>
          </w:p>
        </w:tc>
        <w:tc>
          <w:tcPr>
            <w:tcW w:w="90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0.205</w:t>
            </w:r>
          </w:p>
        </w:tc>
      </w:tr>
      <w:tr>
        <w:trPr>
          <w:trHeight w:val="340" w:hRule="atLeast"/>
        </w:trPr>
        <w:tc>
          <w:tcPr>
            <w:tcW w:w="1375" w:type="pct"/>
            <w:vMerge w:val="continue"/>
            <w:tcBorders>
              <w:left w:val="single" w:color="auto" w:sz="4" w:space="0"/>
              <w:right w:val="single" w:color="auto" w:sz="4" w:space="0"/>
            </w:tcBorders>
            <w:shd w:val="clear" w:color="auto" w:fill="auto"/>
            <w:noWrap/>
            <w:vAlign w:val="center"/>
          </w:tcPr>
          <w:p>
            <w:pPr>
              <w:jc w:val="center"/>
              <w:rPr>
                <w:kern w:val="0"/>
                <w:szCs w:val="21"/>
              </w:rPr>
            </w:pP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0.0027</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0.0135</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0.0165</w:t>
            </w:r>
          </w:p>
        </w:tc>
        <w:tc>
          <w:tcPr>
            <w:tcW w:w="90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0.198</w:t>
            </w:r>
          </w:p>
        </w:tc>
      </w:tr>
      <w:tr>
        <w:tblPrEx>
          <w:tblCellMar>
            <w:top w:w="0" w:type="dxa"/>
            <w:left w:w="108" w:type="dxa"/>
            <w:bottom w:w="0" w:type="dxa"/>
            <w:right w:w="108" w:type="dxa"/>
          </w:tblCellMar>
        </w:tblPrEx>
        <w:trPr>
          <w:trHeight w:val="340" w:hRule="atLeast"/>
        </w:trPr>
        <w:tc>
          <w:tcPr>
            <w:tcW w:w="1375" w:type="pct"/>
            <w:vMerge w:val="continue"/>
            <w:tcBorders>
              <w:left w:val="single" w:color="auto" w:sz="4" w:space="0"/>
              <w:bottom w:val="nil"/>
              <w:right w:val="single" w:color="auto" w:sz="4" w:space="0"/>
            </w:tcBorders>
            <w:shd w:val="clear" w:color="auto" w:fill="auto"/>
            <w:noWrap/>
            <w:vAlign w:val="center"/>
          </w:tcPr>
          <w:p>
            <w:pPr>
              <w:widowControl/>
              <w:jc w:val="center"/>
              <w:rPr>
                <w:kern w:val="0"/>
                <w:szCs w:val="21"/>
              </w:rPr>
            </w:pP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0.0026</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0.0131</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0.0173</w:t>
            </w:r>
          </w:p>
        </w:tc>
        <w:tc>
          <w:tcPr>
            <w:tcW w:w="90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0.197</w:t>
            </w:r>
          </w:p>
        </w:tc>
      </w:tr>
      <w:tr>
        <w:tblPrEx>
          <w:tblCellMar>
            <w:top w:w="0" w:type="dxa"/>
            <w:left w:w="108" w:type="dxa"/>
            <w:bottom w:w="0" w:type="dxa"/>
            <w:right w:w="108" w:type="dxa"/>
          </w:tblCellMar>
        </w:tblPrEx>
        <w:trPr>
          <w:trHeight w:val="340" w:hRule="atLeast"/>
        </w:trPr>
        <w:tc>
          <w:tcPr>
            <w:tcW w:w="1375" w:type="pct"/>
            <w:vMerge w:val="restart"/>
            <w:tcBorders>
              <w:top w:val="single" w:color="auto" w:sz="4" w:space="0"/>
              <w:left w:val="single" w:color="auto" w:sz="4" w:space="0"/>
              <w:right w:val="single" w:color="auto" w:sz="4" w:space="0"/>
            </w:tcBorders>
            <w:shd w:val="clear" w:color="auto" w:fill="auto"/>
            <w:noWrap/>
            <w:vAlign w:val="center"/>
          </w:tcPr>
          <w:p>
            <w:pPr>
              <w:widowControl/>
              <w:jc w:val="center"/>
              <w:rPr>
                <w:kern w:val="0"/>
                <w:szCs w:val="21"/>
              </w:rPr>
            </w:pPr>
            <w:r>
              <w:rPr>
                <w:kern w:val="0"/>
                <w:szCs w:val="21"/>
              </w:rPr>
              <w:t>包头稀土2</w:t>
            </w:r>
          </w:p>
          <w:p>
            <w:pPr>
              <w:jc w:val="center"/>
              <w:rPr>
                <w:kern w:val="0"/>
                <w:szCs w:val="21"/>
              </w:rPr>
            </w:pPr>
            <w:r>
              <w:rPr>
                <w:kern w:val="0"/>
                <w:szCs w:val="21"/>
              </w:rPr>
              <w:t xml:space="preserve"> </w:t>
            </w: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0.00062</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0.00842</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0.0186</w:t>
            </w:r>
          </w:p>
        </w:tc>
        <w:tc>
          <w:tcPr>
            <w:tcW w:w="905" w:type="pct"/>
            <w:tcBorders>
              <w:top w:val="single" w:color="auto" w:sz="4" w:space="0"/>
              <w:left w:val="nil"/>
              <w:bottom w:val="single" w:color="auto" w:sz="4" w:space="0"/>
              <w:right w:val="single" w:color="auto" w:sz="4" w:space="0"/>
            </w:tcBorders>
            <w:vAlign w:val="center"/>
          </w:tcPr>
          <w:p>
            <w:pPr>
              <w:jc w:val="center"/>
              <w:rPr>
                <w:color w:val="000000"/>
                <w:szCs w:val="21"/>
              </w:rPr>
            </w:pPr>
          </w:p>
        </w:tc>
      </w:tr>
      <w:tr>
        <w:tblPrEx>
          <w:tblCellMar>
            <w:top w:w="0" w:type="dxa"/>
            <w:left w:w="108" w:type="dxa"/>
            <w:bottom w:w="0" w:type="dxa"/>
            <w:right w:w="108" w:type="dxa"/>
          </w:tblCellMar>
        </w:tblPrEx>
        <w:trPr>
          <w:trHeight w:val="340" w:hRule="atLeast"/>
        </w:trPr>
        <w:tc>
          <w:tcPr>
            <w:tcW w:w="1375" w:type="pct"/>
            <w:vMerge w:val="continue"/>
            <w:tcBorders>
              <w:left w:val="single" w:color="auto" w:sz="4" w:space="0"/>
              <w:right w:val="single" w:color="auto" w:sz="4" w:space="0"/>
            </w:tcBorders>
            <w:shd w:val="clear" w:color="auto" w:fill="auto"/>
            <w:noWrap/>
            <w:vAlign w:val="center"/>
          </w:tcPr>
          <w:p>
            <w:pPr>
              <w:jc w:val="center"/>
              <w:rPr>
                <w:kern w:val="0"/>
                <w:szCs w:val="21"/>
              </w:rPr>
            </w:pP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0.00037</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0.00756</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0.0177</w:t>
            </w:r>
          </w:p>
        </w:tc>
        <w:tc>
          <w:tcPr>
            <w:tcW w:w="905" w:type="pct"/>
            <w:tcBorders>
              <w:top w:val="single" w:color="auto" w:sz="4" w:space="0"/>
              <w:left w:val="nil"/>
              <w:bottom w:val="single" w:color="auto" w:sz="4" w:space="0"/>
              <w:right w:val="single" w:color="auto" w:sz="4" w:space="0"/>
            </w:tcBorders>
            <w:vAlign w:val="center"/>
          </w:tcPr>
          <w:p>
            <w:pPr>
              <w:jc w:val="center"/>
              <w:rPr>
                <w:color w:val="000000"/>
                <w:szCs w:val="21"/>
              </w:rPr>
            </w:pPr>
          </w:p>
        </w:tc>
      </w:tr>
      <w:tr>
        <w:tblPrEx>
          <w:tblCellMar>
            <w:top w:w="0" w:type="dxa"/>
            <w:left w:w="108" w:type="dxa"/>
            <w:bottom w:w="0" w:type="dxa"/>
            <w:right w:w="108" w:type="dxa"/>
          </w:tblCellMar>
        </w:tblPrEx>
        <w:trPr>
          <w:trHeight w:val="340" w:hRule="atLeast"/>
        </w:trPr>
        <w:tc>
          <w:tcPr>
            <w:tcW w:w="1375" w:type="pct"/>
            <w:vMerge w:val="continue"/>
            <w:tcBorders>
              <w:left w:val="single" w:color="auto" w:sz="4" w:space="0"/>
              <w:right w:val="single" w:color="auto" w:sz="4" w:space="0"/>
            </w:tcBorders>
            <w:shd w:val="clear" w:color="auto" w:fill="auto"/>
            <w:noWrap/>
            <w:vAlign w:val="center"/>
          </w:tcPr>
          <w:p>
            <w:pPr>
              <w:jc w:val="center"/>
              <w:rPr>
                <w:kern w:val="0"/>
                <w:szCs w:val="21"/>
              </w:rPr>
            </w:pP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0.00013</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0.00917</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0.0182</w:t>
            </w:r>
          </w:p>
        </w:tc>
        <w:tc>
          <w:tcPr>
            <w:tcW w:w="905" w:type="pct"/>
            <w:tcBorders>
              <w:top w:val="single" w:color="auto" w:sz="4" w:space="0"/>
              <w:left w:val="nil"/>
              <w:bottom w:val="single" w:color="auto" w:sz="4" w:space="0"/>
              <w:right w:val="single" w:color="auto" w:sz="4" w:space="0"/>
            </w:tcBorders>
            <w:vAlign w:val="center"/>
          </w:tcPr>
          <w:p>
            <w:pPr>
              <w:jc w:val="center"/>
              <w:rPr>
                <w:color w:val="000000"/>
                <w:szCs w:val="21"/>
              </w:rPr>
            </w:pPr>
          </w:p>
        </w:tc>
      </w:tr>
      <w:tr>
        <w:tblPrEx>
          <w:tblCellMar>
            <w:top w:w="0" w:type="dxa"/>
            <w:left w:w="108" w:type="dxa"/>
            <w:bottom w:w="0" w:type="dxa"/>
            <w:right w:w="108" w:type="dxa"/>
          </w:tblCellMar>
        </w:tblPrEx>
        <w:trPr>
          <w:trHeight w:val="340" w:hRule="atLeast"/>
        </w:trPr>
        <w:tc>
          <w:tcPr>
            <w:tcW w:w="1375" w:type="pct"/>
            <w:vMerge w:val="continue"/>
            <w:tcBorders>
              <w:left w:val="single" w:color="auto" w:sz="4" w:space="0"/>
              <w:right w:val="single" w:color="auto" w:sz="4" w:space="0"/>
            </w:tcBorders>
            <w:shd w:val="clear" w:color="auto" w:fill="auto"/>
            <w:noWrap/>
            <w:vAlign w:val="center"/>
          </w:tcPr>
          <w:p>
            <w:pPr>
              <w:jc w:val="center"/>
              <w:rPr>
                <w:kern w:val="0"/>
                <w:szCs w:val="21"/>
              </w:rPr>
            </w:pP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0.00045</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0.00767</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0.0176</w:t>
            </w:r>
          </w:p>
        </w:tc>
        <w:tc>
          <w:tcPr>
            <w:tcW w:w="905" w:type="pct"/>
            <w:tcBorders>
              <w:top w:val="single" w:color="auto" w:sz="4" w:space="0"/>
              <w:left w:val="nil"/>
              <w:bottom w:val="single" w:color="auto" w:sz="4" w:space="0"/>
              <w:right w:val="single" w:color="auto" w:sz="4" w:space="0"/>
            </w:tcBorders>
            <w:vAlign w:val="center"/>
          </w:tcPr>
          <w:p>
            <w:pPr>
              <w:jc w:val="center"/>
              <w:rPr>
                <w:color w:val="000000"/>
                <w:szCs w:val="21"/>
              </w:rPr>
            </w:pPr>
          </w:p>
        </w:tc>
      </w:tr>
      <w:tr>
        <w:tblPrEx>
          <w:tblCellMar>
            <w:top w:w="0" w:type="dxa"/>
            <w:left w:w="108" w:type="dxa"/>
            <w:bottom w:w="0" w:type="dxa"/>
            <w:right w:w="108" w:type="dxa"/>
          </w:tblCellMar>
        </w:tblPrEx>
        <w:trPr>
          <w:trHeight w:val="340" w:hRule="atLeast"/>
        </w:trPr>
        <w:tc>
          <w:tcPr>
            <w:tcW w:w="1375" w:type="pct"/>
            <w:vMerge w:val="continue"/>
            <w:tcBorders>
              <w:left w:val="single" w:color="auto" w:sz="4" w:space="0"/>
              <w:right w:val="single" w:color="auto" w:sz="4" w:space="0"/>
            </w:tcBorders>
            <w:shd w:val="clear" w:color="auto" w:fill="auto"/>
            <w:noWrap/>
            <w:vAlign w:val="center"/>
          </w:tcPr>
          <w:p>
            <w:pPr>
              <w:jc w:val="center"/>
              <w:rPr>
                <w:kern w:val="0"/>
                <w:szCs w:val="21"/>
              </w:rPr>
            </w:pP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0.00026</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0.00782</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0.0153</w:t>
            </w:r>
          </w:p>
        </w:tc>
        <w:tc>
          <w:tcPr>
            <w:tcW w:w="905" w:type="pct"/>
            <w:tcBorders>
              <w:top w:val="single" w:color="auto" w:sz="4" w:space="0"/>
              <w:left w:val="nil"/>
              <w:bottom w:val="single" w:color="auto" w:sz="4" w:space="0"/>
              <w:right w:val="single" w:color="auto" w:sz="4" w:space="0"/>
            </w:tcBorders>
            <w:vAlign w:val="center"/>
          </w:tcPr>
          <w:p>
            <w:pPr>
              <w:jc w:val="center"/>
              <w:rPr>
                <w:color w:val="000000"/>
                <w:szCs w:val="21"/>
              </w:rPr>
            </w:pPr>
          </w:p>
        </w:tc>
      </w:tr>
      <w:tr>
        <w:tblPrEx>
          <w:tblCellMar>
            <w:top w:w="0" w:type="dxa"/>
            <w:left w:w="108" w:type="dxa"/>
            <w:bottom w:w="0" w:type="dxa"/>
            <w:right w:w="108" w:type="dxa"/>
          </w:tblCellMar>
        </w:tblPrEx>
        <w:trPr>
          <w:trHeight w:val="340" w:hRule="atLeast"/>
        </w:trPr>
        <w:tc>
          <w:tcPr>
            <w:tcW w:w="1375" w:type="pct"/>
            <w:vMerge w:val="continue"/>
            <w:tcBorders>
              <w:left w:val="single" w:color="auto" w:sz="4" w:space="0"/>
              <w:right w:val="single" w:color="auto" w:sz="4" w:space="0"/>
            </w:tcBorders>
            <w:shd w:val="clear" w:color="auto" w:fill="auto"/>
            <w:noWrap/>
            <w:vAlign w:val="center"/>
          </w:tcPr>
          <w:p>
            <w:pPr>
              <w:jc w:val="center"/>
              <w:rPr>
                <w:kern w:val="0"/>
                <w:szCs w:val="21"/>
              </w:rPr>
            </w:pP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0.00005</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0.0078</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0.0146</w:t>
            </w:r>
          </w:p>
        </w:tc>
        <w:tc>
          <w:tcPr>
            <w:tcW w:w="905" w:type="pct"/>
            <w:tcBorders>
              <w:top w:val="single" w:color="auto" w:sz="4" w:space="0"/>
              <w:left w:val="nil"/>
              <w:bottom w:val="single" w:color="auto" w:sz="4" w:space="0"/>
              <w:right w:val="single" w:color="auto" w:sz="4" w:space="0"/>
            </w:tcBorders>
            <w:vAlign w:val="center"/>
          </w:tcPr>
          <w:p>
            <w:pPr>
              <w:jc w:val="center"/>
              <w:rPr>
                <w:color w:val="000000"/>
                <w:szCs w:val="21"/>
              </w:rPr>
            </w:pPr>
          </w:p>
        </w:tc>
      </w:tr>
      <w:tr>
        <w:tblPrEx>
          <w:tblCellMar>
            <w:top w:w="0" w:type="dxa"/>
            <w:left w:w="108" w:type="dxa"/>
            <w:bottom w:w="0" w:type="dxa"/>
            <w:right w:w="108" w:type="dxa"/>
          </w:tblCellMar>
        </w:tblPrEx>
        <w:trPr>
          <w:trHeight w:val="340" w:hRule="atLeast"/>
        </w:trPr>
        <w:tc>
          <w:tcPr>
            <w:tcW w:w="1375" w:type="pct"/>
            <w:vMerge w:val="continue"/>
            <w:tcBorders>
              <w:left w:val="single" w:color="auto" w:sz="4" w:space="0"/>
              <w:right w:val="single" w:color="auto" w:sz="4" w:space="0"/>
            </w:tcBorders>
            <w:shd w:val="clear" w:color="auto" w:fill="auto"/>
            <w:noWrap/>
            <w:vAlign w:val="center"/>
          </w:tcPr>
          <w:p>
            <w:pPr>
              <w:jc w:val="center"/>
              <w:rPr>
                <w:kern w:val="0"/>
                <w:szCs w:val="21"/>
              </w:rPr>
            </w:pP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0.00013</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0.00777</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0.014</w:t>
            </w:r>
          </w:p>
        </w:tc>
        <w:tc>
          <w:tcPr>
            <w:tcW w:w="905" w:type="pct"/>
            <w:tcBorders>
              <w:top w:val="single" w:color="auto" w:sz="4" w:space="0"/>
              <w:left w:val="nil"/>
              <w:bottom w:val="single" w:color="auto" w:sz="4" w:space="0"/>
              <w:right w:val="single" w:color="auto" w:sz="4" w:space="0"/>
            </w:tcBorders>
            <w:vAlign w:val="center"/>
          </w:tcPr>
          <w:p>
            <w:pPr>
              <w:jc w:val="center"/>
              <w:rPr>
                <w:color w:val="000000"/>
                <w:szCs w:val="21"/>
              </w:rPr>
            </w:pPr>
          </w:p>
        </w:tc>
      </w:tr>
      <w:tr>
        <w:tblPrEx>
          <w:tblCellMar>
            <w:top w:w="0" w:type="dxa"/>
            <w:left w:w="108" w:type="dxa"/>
            <w:bottom w:w="0" w:type="dxa"/>
            <w:right w:w="108" w:type="dxa"/>
          </w:tblCellMar>
        </w:tblPrEx>
        <w:trPr>
          <w:trHeight w:val="340" w:hRule="atLeast"/>
        </w:trPr>
        <w:tc>
          <w:tcPr>
            <w:tcW w:w="1375" w:type="pct"/>
            <w:vMerge w:val="continue"/>
            <w:tcBorders>
              <w:left w:val="single" w:color="auto" w:sz="4" w:space="0"/>
              <w:right w:val="single" w:color="auto" w:sz="4" w:space="0"/>
            </w:tcBorders>
            <w:shd w:val="clear" w:color="auto" w:fill="auto"/>
            <w:noWrap/>
            <w:vAlign w:val="center"/>
          </w:tcPr>
          <w:p>
            <w:pPr>
              <w:jc w:val="center"/>
              <w:rPr>
                <w:kern w:val="0"/>
                <w:szCs w:val="21"/>
              </w:rPr>
            </w:pP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0.00004</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0.00635</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0.0161</w:t>
            </w:r>
          </w:p>
        </w:tc>
        <w:tc>
          <w:tcPr>
            <w:tcW w:w="905" w:type="pct"/>
            <w:tcBorders>
              <w:top w:val="single" w:color="auto" w:sz="4" w:space="0"/>
              <w:left w:val="nil"/>
              <w:bottom w:val="single" w:color="auto" w:sz="4" w:space="0"/>
              <w:right w:val="single" w:color="auto" w:sz="4" w:space="0"/>
            </w:tcBorders>
            <w:vAlign w:val="center"/>
          </w:tcPr>
          <w:p>
            <w:pPr>
              <w:jc w:val="center"/>
              <w:rPr>
                <w:color w:val="000000"/>
                <w:szCs w:val="21"/>
              </w:rPr>
            </w:pPr>
          </w:p>
        </w:tc>
      </w:tr>
      <w:tr>
        <w:trPr>
          <w:trHeight w:val="340" w:hRule="atLeast"/>
        </w:trPr>
        <w:tc>
          <w:tcPr>
            <w:tcW w:w="1375" w:type="pct"/>
            <w:vMerge w:val="continue"/>
            <w:tcBorders>
              <w:left w:val="single" w:color="auto" w:sz="4" w:space="0"/>
              <w:right w:val="single" w:color="auto" w:sz="4" w:space="0"/>
            </w:tcBorders>
            <w:shd w:val="clear" w:color="auto" w:fill="auto"/>
            <w:noWrap/>
            <w:vAlign w:val="center"/>
          </w:tcPr>
          <w:p>
            <w:pPr>
              <w:jc w:val="center"/>
              <w:rPr>
                <w:kern w:val="0"/>
                <w:szCs w:val="21"/>
              </w:rPr>
            </w:pP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0.00036</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0.00754</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0.0157</w:t>
            </w:r>
          </w:p>
        </w:tc>
        <w:tc>
          <w:tcPr>
            <w:tcW w:w="905" w:type="pct"/>
            <w:tcBorders>
              <w:top w:val="single" w:color="auto" w:sz="4" w:space="0"/>
              <w:left w:val="nil"/>
              <w:bottom w:val="single" w:color="auto" w:sz="4" w:space="0"/>
              <w:right w:val="single" w:color="auto" w:sz="4" w:space="0"/>
            </w:tcBorders>
            <w:vAlign w:val="center"/>
          </w:tcPr>
          <w:p>
            <w:pPr>
              <w:jc w:val="center"/>
              <w:rPr>
                <w:color w:val="000000"/>
                <w:szCs w:val="21"/>
              </w:rPr>
            </w:pPr>
          </w:p>
        </w:tc>
      </w:tr>
      <w:tr>
        <w:tblPrEx>
          <w:tblCellMar>
            <w:top w:w="0" w:type="dxa"/>
            <w:left w:w="108" w:type="dxa"/>
            <w:bottom w:w="0" w:type="dxa"/>
            <w:right w:w="108" w:type="dxa"/>
          </w:tblCellMar>
        </w:tblPrEx>
        <w:trPr>
          <w:trHeight w:val="340" w:hRule="atLeast"/>
        </w:trPr>
        <w:tc>
          <w:tcPr>
            <w:tcW w:w="1375" w:type="pct"/>
            <w:vMerge w:val="continue"/>
            <w:tcBorders>
              <w:left w:val="single" w:color="auto" w:sz="4" w:space="0"/>
              <w:right w:val="single" w:color="auto" w:sz="4" w:space="0"/>
            </w:tcBorders>
            <w:shd w:val="clear" w:color="auto" w:fill="auto"/>
            <w:noWrap/>
            <w:vAlign w:val="center"/>
          </w:tcPr>
          <w:p>
            <w:pPr>
              <w:jc w:val="center"/>
              <w:rPr>
                <w:kern w:val="0"/>
                <w:szCs w:val="21"/>
              </w:rPr>
            </w:pP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0.00065</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0.00695</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0.0165</w:t>
            </w:r>
          </w:p>
        </w:tc>
        <w:tc>
          <w:tcPr>
            <w:tcW w:w="905" w:type="pct"/>
            <w:tcBorders>
              <w:top w:val="single" w:color="auto" w:sz="4" w:space="0"/>
              <w:left w:val="nil"/>
              <w:bottom w:val="single" w:color="auto" w:sz="4" w:space="0"/>
              <w:right w:val="single" w:color="auto" w:sz="4" w:space="0"/>
            </w:tcBorders>
            <w:vAlign w:val="center"/>
          </w:tcPr>
          <w:p>
            <w:pPr>
              <w:jc w:val="center"/>
              <w:rPr>
                <w:color w:val="000000"/>
                <w:szCs w:val="21"/>
              </w:rPr>
            </w:pPr>
          </w:p>
        </w:tc>
      </w:tr>
      <w:tr>
        <w:tblPrEx>
          <w:tblCellMar>
            <w:top w:w="0" w:type="dxa"/>
            <w:left w:w="108" w:type="dxa"/>
            <w:bottom w:w="0" w:type="dxa"/>
            <w:right w:w="108" w:type="dxa"/>
          </w:tblCellMar>
        </w:tblPrEx>
        <w:trPr>
          <w:trHeight w:val="340" w:hRule="atLeast"/>
        </w:trPr>
        <w:tc>
          <w:tcPr>
            <w:tcW w:w="1375" w:type="pct"/>
            <w:vMerge w:val="continue"/>
            <w:tcBorders>
              <w:left w:val="single" w:color="auto" w:sz="4" w:space="0"/>
              <w:bottom w:val="single" w:color="auto" w:sz="4" w:space="0"/>
              <w:right w:val="single" w:color="auto" w:sz="4" w:space="0"/>
            </w:tcBorders>
            <w:shd w:val="clear" w:color="auto" w:fill="auto"/>
            <w:noWrap/>
            <w:vAlign w:val="center"/>
          </w:tcPr>
          <w:p>
            <w:pPr>
              <w:widowControl/>
              <w:rPr>
                <w:kern w:val="0"/>
                <w:szCs w:val="21"/>
              </w:rPr>
            </w:pP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0.00001</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0.00591</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0.0173</w:t>
            </w:r>
          </w:p>
        </w:tc>
        <w:tc>
          <w:tcPr>
            <w:tcW w:w="905" w:type="pct"/>
            <w:tcBorders>
              <w:top w:val="single" w:color="auto" w:sz="4" w:space="0"/>
              <w:left w:val="nil"/>
              <w:bottom w:val="single" w:color="auto" w:sz="4" w:space="0"/>
              <w:right w:val="single" w:color="auto" w:sz="4" w:space="0"/>
            </w:tcBorders>
            <w:vAlign w:val="center"/>
          </w:tcPr>
          <w:p>
            <w:pPr>
              <w:jc w:val="center"/>
              <w:rPr>
                <w:color w:val="000000"/>
                <w:szCs w:val="21"/>
              </w:rPr>
            </w:pPr>
          </w:p>
        </w:tc>
      </w:tr>
      <w:tr>
        <w:tblPrEx>
          <w:tblCellMar>
            <w:top w:w="0" w:type="dxa"/>
            <w:left w:w="108" w:type="dxa"/>
            <w:bottom w:w="0" w:type="dxa"/>
            <w:right w:w="108" w:type="dxa"/>
          </w:tblCellMar>
        </w:tblPrEx>
        <w:trPr>
          <w:trHeight w:val="340" w:hRule="atLeast"/>
        </w:trPr>
        <w:tc>
          <w:tcPr>
            <w:tcW w:w="1375" w:type="pct"/>
            <w:vMerge w:val="restart"/>
            <w:tcBorders>
              <w:left w:val="single" w:color="auto" w:sz="4" w:space="0"/>
              <w:right w:val="single" w:color="auto" w:sz="4" w:space="0"/>
            </w:tcBorders>
            <w:shd w:val="clear" w:color="auto" w:fill="auto"/>
            <w:noWrap/>
            <w:vAlign w:val="center"/>
          </w:tcPr>
          <w:p>
            <w:pPr>
              <w:widowControl/>
              <w:jc w:val="center"/>
              <w:rPr>
                <w:kern w:val="0"/>
                <w:szCs w:val="21"/>
              </w:rPr>
            </w:pPr>
            <w:r>
              <w:rPr>
                <w:kern w:val="0"/>
                <w:szCs w:val="21"/>
              </w:rPr>
              <w:t>国标检验3</w:t>
            </w: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0.0025</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0.0138</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0.0162</w:t>
            </w:r>
          </w:p>
        </w:tc>
        <w:tc>
          <w:tcPr>
            <w:tcW w:w="90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0.216</w:t>
            </w:r>
          </w:p>
        </w:tc>
      </w:tr>
      <w:tr>
        <w:tblPrEx>
          <w:tblCellMar>
            <w:top w:w="0" w:type="dxa"/>
            <w:left w:w="108" w:type="dxa"/>
            <w:bottom w:w="0" w:type="dxa"/>
            <w:right w:w="108" w:type="dxa"/>
          </w:tblCellMar>
        </w:tblPrEx>
        <w:trPr>
          <w:trHeight w:val="340" w:hRule="atLeast"/>
        </w:trPr>
        <w:tc>
          <w:tcPr>
            <w:tcW w:w="1375" w:type="pct"/>
            <w:vMerge w:val="continue"/>
            <w:tcBorders>
              <w:left w:val="single" w:color="auto" w:sz="4" w:space="0"/>
              <w:right w:val="single" w:color="auto" w:sz="4" w:space="0"/>
            </w:tcBorders>
            <w:shd w:val="clear" w:color="auto" w:fill="auto"/>
            <w:noWrap/>
            <w:vAlign w:val="center"/>
          </w:tcPr>
          <w:p>
            <w:pPr>
              <w:widowControl/>
              <w:jc w:val="center"/>
              <w:rPr>
                <w:kern w:val="0"/>
                <w:szCs w:val="21"/>
              </w:rPr>
            </w:pP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0.0023</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0.0129</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0.0164</w:t>
            </w:r>
          </w:p>
        </w:tc>
        <w:tc>
          <w:tcPr>
            <w:tcW w:w="90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0.196</w:t>
            </w:r>
          </w:p>
        </w:tc>
      </w:tr>
      <w:tr>
        <w:tblPrEx>
          <w:tblCellMar>
            <w:top w:w="0" w:type="dxa"/>
            <w:left w:w="108" w:type="dxa"/>
            <w:bottom w:w="0" w:type="dxa"/>
            <w:right w:w="108" w:type="dxa"/>
          </w:tblCellMar>
        </w:tblPrEx>
        <w:trPr>
          <w:trHeight w:val="340" w:hRule="atLeast"/>
        </w:trPr>
        <w:tc>
          <w:tcPr>
            <w:tcW w:w="1375" w:type="pct"/>
            <w:vMerge w:val="continue"/>
            <w:tcBorders>
              <w:left w:val="single" w:color="auto" w:sz="4" w:space="0"/>
              <w:right w:val="single" w:color="auto" w:sz="4" w:space="0"/>
            </w:tcBorders>
            <w:shd w:val="clear" w:color="auto" w:fill="auto"/>
            <w:noWrap/>
            <w:vAlign w:val="center"/>
          </w:tcPr>
          <w:p>
            <w:pPr>
              <w:widowControl/>
              <w:jc w:val="center"/>
              <w:rPr>
                <w:kern w:val="0"/>
                <w:szCs w:val="21"/>
              </w:rPr>
            </w:pP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0.0026</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0.0128</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0.0171</w:t>
            </w:r>
          </w:p>
        </w:tc>
        <w:tc>
          <w:tcPr>
            <w:tcW w:w="90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0.205</w:t>
            </w:r>
          </w:p>
        </w:tc>
      </w:tr>
      <w:tr>
        <w:tblPrEx>
          <w:tblCellMar>
            <w:top w:w="0" w:type="dxa"/>
            <w:left w:w="108" w:type="dxa"/>
            <w:bottom w:w="0" w:type="dxa"/>
            <w:right w:w="108" w:type="dxa"/>
          </w:tblCellMar>
        </w:tblPrEx>
        <w:trPr>
          <w:trHeight w:val="340" w:hRule="atLeast"/>
        </w:trPr>
        <w:tc>
          <w:tcPr>
            <w:tcW w:w="1375" w:type="pct"/>
            <w:vMerge w:val="continue"/>
            <w:tcBorders>
              <w:left w:val="single" w:color="auto" w:sz="4" w:space="0"/>
              <w:right w:val="single" w:color="auto" w:sz="4" w:space="0"/>
            </w:tcBorders>
            <w:shd w:val="clear" w:color="auto" w:fill="auto"/>
            <w:noWrap/>
            <w:vAlign w:val="center"/>
          </w:tcPr>
          <w:p>
            <w:pPr>
              <w:widowControl/>
              <w:jc w:val="center"/>
              <w:rPr>
                <w:kern w:val="0"/>
                <w:szCs w:val="21"/>
              </w:rPr>
            </w:pP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0.0026</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0.0136</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0.0154</w:t>
            </w:r>
          </w:p>
        </w:tc>
        <w:tc>
          <w:tcPr>
            <w:tcW w:w="90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0.204</w:t>
            </w:r>
          </w:p>
        </w:tc>
      </w:tr>
      <w:tr>
        <w:tblPrEx>
          <w:tblCellMar>
            <w:top w:w="0" w:type="dxa"/>
            <w:left w:w="108" w:type="dxa"/>
            <w:bottom w:w="0" w:type="dxa"/>
            <w:right w:w="108" w:type="dxa"/>
          </w:tblCellMar>
        </w:tblPrEx>
        <w:trPr>
          <w:trHeight w:val="340" w:hRule="atLeast"/>
        </w:trPr>
        <w:tc>
          <w:tcPr>
            <w:tcW w:w="1375" w:type="pct"/>
            <w:vMerge w:val="continue"/>
            <w:tcBorders>
              <w:left w:val="single" w:color="auto" w:sz="4" w:space="0"/>
              <w:right w:val="single" w:color="auto" w:sz="4" w:space="0"/>
            </w:tcBorders>
            <w:shd w:val="clear" w:color="auto" w:fill="auto"/>
            <w:noWrap/>
            <w:vAlign w:val="center"/>
          </w:tcPr>
          <w:p>
            <w:pPr>
              <w:widowControl/>
              <w:jc w:val="center"/>
              <w:rPr>
                <w:kern w:val="0"/>
                <w:szCs w:val="21"/>
              </w:rPr>
            </w:pP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0.0023</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0.0133</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0.0172</w:t>
            </w:r>
          </w:p>
        </w:tc>
        <w:tc>
          <w:tcPr>
            <w:tcW w:w="90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0.209</w:t>
            </w:r>
          </w:p>
        </w:tc>
      </w:tr>
      <w:tr>
        <w:tblPrEx>
          <w:tblCellMar>
            <w:top w:w="0" w:type="dxa"/>
            <w:left w:w="108" w:type="dxa"/>
            <w:bottom w:w="0" w:type="dxa"/>
            <w:right w:w="108" w:type="dxa"/>
          </w:tblCellMar>
        </w:tblPrEx>
        <w:trPr>
          <w:trHeight w:val="340" w:hRule="atLeast"/>
        </w:trPr>
        <w:tc>
          <w:tcPr>
            <w:tcW w:w="1375" w:type="pct"/>
            <w:vMerge w:val="continue"/>
            <w:tcBorders>
              <w:left w:val="single" w:color="auto" w:sz="4" w:space="0"/>
              <w:right w:val="single" w:color="auto" w:sz="4" w:space="0"/>
            </w:tcBorders>
            <w:shd w:val="clear" w:color="auto" w:fill="auto"/>
            <w:noWrap/>
            <w:vAlign w:val="center"/>
          </w:tcPr>
          <w:p>
            <w:pPr>
              <w:widowControl/>
              <w:jc w:val="center"/>
              <w:rPr>
                <w:kern w:val="0"/>
                <w:szCs w:val="21"/>
              </w:rPr>
            </w:pP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0.0024</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0.0125</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0.0161</w:t>
            </w:r>
          </w:p>
        </w:tc>
        <w:tc>
          <w:tcPr>
            <w:tcW w:w="90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0.205</w:t>
            </w:r>
          </w:p>
        </w:tc>
      </w:tr>
      <w:tr>
        <w:tblPrEx>
          <w:tblCellMar>
            <w:top w:w="0" w:type="dxa"/>
            <w:left w:w="108" w:type="dxa"/>
            <w:bottom w:w="0" w:type="dxa"/>
            <w:right w:w="108" w:type="dxa"/>
          </w:tblCellMar>
        </w:tblPrEx>
        <w:trPr>
          <w:trHeight w:val="340" w:hRule="atLeast"/>
        </w:trPr>
        <w:tc>
          <w:tcPr>
            <w:tcW w:w="1375" w:type="pct"/>
            <w:vMerge w:val="continue"/>
            <w:tcBorders>
              <w:left w:val="single" w:color="auto" w:sz="4" w:space="0"/>
              <w:right w:val="single" w:color="auto" w:sz="4" w:space="0"/>
            </w:tcBorders>
            <w:shd w:val="clear" w:color="auto" w:fill="auto"/>
            <w:noWrap/>
            <w:vAlign w:val="center"/>
          </w:tcPr>
          <w:p>
            <w:pPr>
              <w:widowControl/>
              <w:jc w:val="center"/>
              <w:rPr>
                <w:kern w:val="0"/>
                <w:szCs w:val="21"/>
              </w:rPr>
            </w:pP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0.0026</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0.0137</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0.0162</w:t>
            </w:r>
          </w:p>
        </w:tc>
        <w:tc>
          <w:tcPr>
            <w:tcW w:w="90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0.198</w:t>
            </w:r>
          </w:p>
        </w:tc>
      </w:tr>
      <w:tr>
        <w:tblPrEx>
          <w:tblCellMar>
            <w:top w:w="0" w:type="dxa"/>
            <w:left w:w="108" w:type="dxa"/>
            <w:bottom w:w="0" w:type="dxa"/>
            <w:right w:w="108" w:type="dxa"/>
          </w:tblCellMar>
        </w:tblPrEx>
        <w:trPr>
          <w:trHeight w:val="340" w:hRule="atLeast"/>
        </w:trPr>
        <w:tc>
          <w:tcPr>
            <w:tcW w:w="1375" w:type="pct"/>
            <w:vMerge w:val="continue"/>
            <w:tcBorders>
              <w:left w:val="single" w:color="auto" w:sz="4" w:space="0"/>
              <w:right w:val="single" w:color="auto" w:sz="4" w:space="0"/>
            </w:tcBorders>
            <w:shd w:val="clear" w:color="auto" w:fill="auto"/>
            <w:noWrap/>
            <w:vAlign w:val="center"/>
          </w:tcPr>
          <w:p>
            <w:pPr>
              <w:widowControl/>
              <w:jc w:val="center"/>
              <w:rPr>
                <w:kern w:val="0"/>
                <w:szCs w:val="21"/>
              </w:rPr>
            </w:pP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0.0024</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0.0131</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0.0154</w:t>
            </w:r>
          </w:p>
        </w:tc>
        <w:tc>
          <w:tcPr>
            <w:tcW w:w="90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0.209</w:t>
            </w:r>
          </w:p>
        </w:tc>
      </w:tr>
      <w:tr>
        <w:trPr>
          <w:trHeight w:val="340" w:hRule="atLeast"/>
        </w:trPr>
        <w:tc>
          <w:tcPr>
            <w:tcW w:w="1375" w:type="pct"/>
            <w:vMerge w:val="continue"/>
            <w:tcBorders>
              <w:left w:val="single" w:color="auto" w:sz="4" w:space="0"/>
              <w:right w:val="single" w:color="auto" w:sz="4" w:space="0"/>
            </w:tcBorders>
            <w:shd w:val="clear" w:color="auto" w:fill="auto"/>
            <w:noWrap/>
            <w:vAlign w:val="center"/>
          </w:tcPr>
          <w:p>
            <w:pPr>
              <w:widowControl/>
              <w:jc w:val="center"/>
              <w:rPr>
                <w:kern w:val="0"/>
                <w:szCs w:val="21"/>
              </w:rPr>
            </w:pP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0.0025</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0.0138</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0.0169</w:t>
            </w:r>
          </w:p>
        </w:tc>
        <w:tc>
          <w:tcPr>
            <w:tcW w:w="90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0.201</w:t>
            </w:r>
          </w:p>
        </w:tc>
      </w:tr>
      <w:tr>
        <w:tblPrEx>
          <w:tblCellMar>
            <w:top w:w="0" w:type="dxa"/>
            <w:left w:w="108" w:type="dxa"/>
            <w:bottom w:w="0" w:type="dxa"/>
            <w:right w:w="108" w:type="dxa"/>
          </w:tblCellMar>
        </w:tblPrEx>
        <w:trPr>
          <w:trHeight w:val="340" w:hRule="atLeast"/>
        </w:trPr>
        <w:tc>
          <w:tcPr>
            <w:tcW w:w="1375" w:type="pct"/>
            <w:vMerge w:val="continue"/>
            <w:tcBorders>
              <w:left w:val="single" w:color="auto" w:sz="4" w:space="0"/>
              <w:right w:val="single" w:color="auto" w:sz="4" w:space="0"/>
            </w:tcBorders>
            <w:shd w:val="clear" w:color="auto" w:fill="auto"/>
            <w:noWrap/>
            <w:vAlign w:val="center"/>
          </w:tcPr>
          <w:p>
            <w:pPr>
              <w:widowControl/>
              <w:jc w:val="center"/>
              <w:rPr>
                <w:kern w:val="0"/>
                <w:szCs w:val="21"/>
              </w:rPr>
            </w:pP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0.0027</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0.0145</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0.0165</w:t>
            </w:r>
          </w:p>
        </w:tc>
        <w:tc>
          <w:tcPr>
            <w:tcW w:w="90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0.198</w:t>
            </w:r>
          </w:p>
        </w:tc>
      </w:tr>
      <w:tr>
        <w:tblPrEx>
          <w:tblCellMar>
            <w:top w:w="0" w:type="dxa"/>
            <w:left w:w="108" w:type="dxa"/>
            <w:bottom w:w="0" w:type="dxa"/>
            <w:right w:w="108" w:type="dxa"/>
          </w:tblCellMar>
        </w:tblPrEx>
        <w:trPr>
          <w:trHeight w:val="340" w:hRule="atLeast"/>
        </w:trPr>
        <w:tc>
          <w:tcPr>
            <w:tcW w:w="1375" w:type="pct"/>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kern w:val="0"/>
                <w:szCs w:val="21"/>
              </w:rPr>
            </w:pP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0.0022</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0.0131</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0.0174</w:t>
            </w:r>
          </w:p>
        </w:tc>
        <w:tc>
          <w:tcPr>
            <w:tcW w:w="90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0.197</w:t>
            </w:r>
          </w:p>
        </w:tc>
      </w:tr>
      <w:tr>
        <w:tblPrEx>
          <w:tblCellMar>
            <w:top w:w="0" w:type="dxa"/>
            <w:left w:w="108" w:type="dxa"/>
            <w:bottom w:w="0" w:type="dxa"/>
            <w:right w:w="108" w:type="dxa"/>
          </w:tblCellMar>
        </w:tblPrEx>
        <w:trPr>
          <w:trHeight w:val="340" w:hRule="atLeast"/>
        </w:trPr>
        <w:tc>
          <w:tcPr>
            <w:tcW w:w="1375" w:type="pct"/>
            <w:vMerge w:val="restart"/>
            <w:tcBorders>
              <w:left w:val="single" w:color="auto" w:sz="4" w:space="0"/>
              <w:right w:val="single" w:color="auto" w:sz="4" w:space="0"/>
            </w:tcBorders>
            <w:shd w:val="clear" w:color="auto" w:fill="auto"/>
            <w:noWrap/>
            <w:vAlign w:val="center"/>
          </w:tcPr>
          <w:p>
            <w:pPr>
              <w:widowControl/>
              <w:jc w:val="center"/>
              <w:rPr>
                <w:kern w:val="0"/>
                <w:szCs w:val="21"/>
              </w:rPr>
            </w:pPr>
            <w:r>
              <w:rPr>
                <w:kern w:val="0"/>
                <w:szCs w:val="21"/>
              </w:rPr>
              <w:t>赣州有色4</w:t>
            </w: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0.0026</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0.0115</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0.0165</w:t>
            </w:r>
          </w:p>
        </w:tc>
        <w:tc>
          <w:tcPr>
            <w:tcW w:w="905" w:type="pct"/>
            <w:tcBorders>
              <w:top w:val="single" w:color="auto" w:sz="4" w:space="0"/>
              <w:left w:val="nil"/>
              <w:bottom w:val="single" w:color="auto" w:sz="4" w:space="0"/>
              <w:right w:val="single" w:color="auto" w:sz="4" w:space="0"/>
            </w:tcBorders>
            <w:vAlign w:val="center"/>
          </w:tcPr>
          <w:p>
            <w:pPr>
              <w:jc w:val="center"/>
              <w:rPr>
                <w:i/>
                <w:iCs/>
                <w:color w:val="000000"/>
                <w:szCs w:val="21"/>
              </w:rPr>
            </w:pPr>
            <w:r>
              <w:rPr>
                <w:i/>
                <w:iCs/>
                <w:color w:val="000000"/>
                <w:szCs w:val="21"/>
              </w:rPr>
              <w:t>0.136</w:t>
            </w:r>
          </w:p>
        </w:tc>
      </w:tr>
      <w:tr>
        <w:tblPrEx>
          <w:tblCellMar>
            <w:top w:w="0" w:type="dxa"/>
            <w:left w:w="108" w:type="dxa"/>
            <w:bottom w:w="0" w:type="dxa"/>
            <w:right w:w="108" w:type="dxa"/>
          </w:tblCellMar>
        </w:tblPrEx>
        <w:trPr>
          <w:trHeight w:val="340" w:hRule="atLeast"/>
        </w:trPr>
        <w:tc>
          <w:tcPr>
            <w:tcW w:w="1375" w:type="pct"/>
            <w:vMerge w:val="continue"/>
            <w:tcBorders>
              <w:left w:val="single" w:color="auto" w:sz="4" w:space="0"/>
              <w:right w:val="single" w:color="auto" w:sz="4" w:space="0"/>
            </w:tcBorders>
            <w:shd w:val="clear" w:color="auto" w:fill="auto"/>
            <w:noWrap/>
            <w:vAlign w:val="center"/>
          </w:tcPr>
          <w:p>
            <w:pPr>
              <w:widowControl/>
              <w:jc w:val="center"/>
              <w:rPr>
                <w:kern w:val="0"/>
                <w:szCs w:val="21"/>
              </w:rPr>
            </w:pP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0.0028</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0.0105</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0.0167</w:t>
            </w:r>
          </w:p>
        </w:tc>
        <w:tc>
          <w:tcPr>
            <w:tcW w:w="905" w:type="pct"/>
            <w:tcBorders>
              <w:top w:val="single" w:color="auto" w:sz="4" w:space="0"/>
              <w:left w:val="nil"/>
              <w:bottom w:val="single" w:color="auto" w:sz="4" w:space="0"/>
              <w:right w:val="single" w:color="auto" w:sz="4" w:space="0"/>
            </w:tcBorders>
            <w:vAlign w:val="center"/>
          </w:tcPr>
          <w:p>
            <w:pPr>
              <w:jc w:val="center"/>
              <w:rPr>
                <w:i/>
                <w:iCs/>
                <w:color w:val="000000"/>
                <w:szCs w:val="21"/>
              </w:rPr>
            </w:pPr>
            <w:r>
              <w:rPr>
                <w:i/>
                <w:iCs/>
                <w:color w:val="000000"/>
                <w:szCs w:val="21"/>
              </w:rPr>
              <w:t>0.129</w:t>
            </w:r>
          </w:p>
        </w:tc>
      </w:tr>
      <w:tr>
        <w:tblPrEx>
          <w:tblCellMar>
            <w:top w:w="0" w:type="dxa"/>
            <w:left w:w="108" w:type="dxa"/>
            <w:bottom w:w="0" w:type="dxa"/>
            <w:right w:w="108" w:type="dxa"/>
          </w:tblCellMar>
        </w:tblPrEx>
        <w:trPr>
          <w:trHeight w:val="340" w:hRule="atLeast"/>
        </w:trPr>
        <w:tc>
          <w:tcPr>
            <w:tcW w:w="1375" w:type="pct"/>
            <w:vMerge w:val="continue"/>
            <w:tcBorders>
              <w:left w:val="single" w:color="auto" w:sz="4" w:space="0"/>
              <w:right w:val="single" w:color="auto" w:sz="4" w:space="0"/>
            </w:tcBorders>
            <w:shd w:val="clear" w:color="auto" w:fill="auto"/>
            <w:noWrap/>
            <w:vAlign w:val="center"/>
          </w:tcPr>
          <w:p>
            <w:pPr>
              <w:widowControl/>
              <w:jc w:val="center"/>
              <w:rPr>
                <w:kern w:val="0"/>
                <w:szCs w:val="21"/>
              </w:rPr>
            </w:pP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0.0025</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0.0118</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0.0177</w:t>
            </w:r>
          </w:p>
        </w:tc>
        <w:tc>
          <w:tcPr>
            <w:tcW w:w="905" w:type="pct"/>
            <w:tcBorders>
              <w:top w:val="single" w:color="auto" w:sz="4" w:space="0"/>
              <w:left w:val="nil"/>
              <w:bottom w:val="single" w:color="auto" w:sz="4" w:space="0"/>
              <w:right w:val="single" w:color="auto" w:sz="4" w:space="0"/>
            </w:tcBorders>
            <w:vAlign w:val="center"/>
          </w:tcPr>
          <w:p>
            <w:pPr>
              <w:jc w:val="center"/>
              <w:rPr>
                <w:i/>
                <w:iCs/>
                <w:color w:val="000000"/>
                <w:szCs w:val="21"/>
              </w:rPr>
            </w:pPr>
            <w:r>
              <w:rPr>
                <w:i/>
                <w:iCs/>
                <w:color w:val="000000"/>
                <w:szCs w:val="21"/>
              </w:rPr>
              <w:t>0.127</w:t>
            </w:r>
          </w:p>
        </w:tc>
      </w:tr>
      <w:tr>
        <w:tblPrEx>
          <w:tblCellMar>
            <w:top w:w="0" w:type="dxa"/>
            <w:left w:w="108" w:type="dxa"/>
            <w:bottom w:w="0" w:type="dxa"/>
            <w:right w:w="108" w:type="dxa"/>
          </w:tblCellMar>
        </w:tblPrEx>
        <w:trPr>
          <w:trHeight w:val="340" w:hRule="atLeast"/>
        </w:trPr>
        <w:tc>
          <w:tcPr>
            <w:tcW w:w="1375" w:type="pct"/>
            <w:vMerge w:val="continue"/>
            <w:tcBorders>
              <w:left w:val="single" w:color="auto" w:sz="4" w:space="0"/>
              <w:right w:val="single" w:color="auto" w:sz="4" w:space="0"/>
            </w:tcBorders>
            <w:shd w:val="clear" w:color="auto" w:fill="auto"/>
            <w:noWrap/>
            <w:vAlign w:val="center"/>
          </w:tcPr>
          <w:p>
            <w:pPr>
              <w:widowControl/>
              <w:jc w:val="center"/>
              <w:rPr>
                <w:kern w:val="0"/>
                <w:szCs w:val="21"/>
              </w:rPr>
            </w:pP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0.0024</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0.0109</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0.0179</w:t>
            </w:r>
          </w:p>
        </w:tc>
        <w:tc>
          <w:tcPr>
            <w:tcW w:w="905" w:type="pct"/>
            <w:tcBorders>
              <w:top w:val="single" w:color="auto" w:sz="4" w:space="0"/>
              <w:left w:val="nil"/>
              <w:bottom w:val="single" w:color="auto" w:sz="4" w:space="0"/>
              <w:right w:val="single" w:color="auto" w:sz="4" w:space="0"/>
            </w:tcBorders>
            <w:vAlign w:val="center"/>
          </w:tcPr>
          <w:p>
            <w:pPr>
              <w:jc w:val="center"/>
              <w:rPr>
                <w:i/>
                <w:iCs/>
                <w:color w:val="000000"/>
                <w:szCs w:val="21"/>
              </w:rPr>
            </w:pPr>
            <w:r>
              <w:rPr>
                <w:i/>
                <w:iCs/>
                <w:color w:val="000000"/>
                <w:szCs w:val="21"/>
              </w:rPr>
              <w:t>0.134</w:t>
            </w:r>
          </w:p>
        </w:tc>
      </w:tr>
      <w:tr>
        <w:tblPrEx>
          <w:tblCellMar>
            <w:top w:w="0" w:type="dxa"/>
            <w:left w:w="108" w:type="dxa"/>
            <w:bottom w:w="0" w:type="dxa"/>
            <w:right w:w="108" w:type="dxa"/>
          </w:tblCellMar>
        </w:tblPrEx>
        <w:trPr>
          <w:trHeight w:val="340" w:hRule="atLeast"/>
        </w:trPr>
        <w:tc>
          <w:tcPr>
            <w:tcW w:w="1375" w:type="pct"/>
            <w:vMerge w:val="continue"/>
            <w:tcBorders>
              <w:left w:val="single" w:color="auto" w:sz="4" w:space="0"/>
              <w:right w:val="single" w:color="auto" w:sz="4" w:space="0"/>
            </w:tcBorders>
            <w:shd w:val="clear" w:color="auto" w:fill="auto"/>
            <w:noWrap/>
            <w:vAlign w:val="center"/>
          </w:tcPr>
          <w:p>
            <w:pPr>
              <w:widowControl/>
              <w:jc w:val="center"/>
              <w:rPr>
                <w:kern w:val="0"/>
                <w:szCs w:val="21"/>
              </w:rPr>
            </w:pP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0.0022</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0.011</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0.0176</w:t>
            </w:r>
          </w:p>
        </w:tc>
        <w:tc>
          <w:tcPr>
            <w:tcW w:w="905" w:type="pct"/>
            <w:tcBorders>
              <w:top w:val="single" w:color="auto" w:sz="4" w:space="0"/>
              <w:left w:val="nil"/>
              <w:bottom w:val="single" w:color="auto" w:sz="4" w:space="0"/>
              <w:right w:val="single" w:color="auto" w:sz="4" w:space="0"/>
            </w:tcBorders>
            <w:vAlign w:val="center"/>
          </w:tcPr>
          <w:p>
            <w:pPr>
              <w:jc w:val="center"/>
              <w:rPr>
                <w:i/>
                <w:iCs/>
                <w:color w:val="000000"/>
                <w:szCs w:val="21"/>
              </w:rPr>
            </w:pPr>
            <w:r>
              <w:rPr>
                <w:i/>
                <w:iCs/>
                <w:color w:val="000000"/>
                <w:szCs w:val="21"/>
              </w:rPr>
              <w:t>0.132</w:t>
            </w:r>
          </w:p>
        </w:tc>
      </w:tr>
      <w:tr>
        <w:tblPrEx>
          <w:tblCellMar>
            <w:top w:w="0" w:type="dxa"/>
            <w:left w:w="108" w:type="dxa"/>
            <w:bottom w:w="0" w:type="dxa"/>
            <w:right w:w="108" w:type="dxa"/>
          </w:tblCellMar>
        </w:tblPrEx>
        <w:trPr>
          <w:trHeight w:val="340" w:hRule="atLeast"/>
        </w:trPr>
        <w:tc>
          <w:tcPr>
            <w:tcW w:w="1375" w:type="pct"/>
            <w:vMerge w:val="continue"/>
            <w:tcBorders>
              <w:left w:val="single" w:color="auto" w:sz="4" w:space="0"/>
              <w:right w:val="single" w:color="auto" w:sz="4" w:space="0"/>
            </w:tcBorders>
            <w:shd w:val="clear" w:color="auto" w:fill="auto"/>
            <w:noWrap/>
            <w:vAlign w:val="center"/>
          </w:tcPr>
          <w:p>
            <w:pPr>
              <w:widowControl/>
              <w:jc w:val="center"/>
              <w:rPr>
                <w:kern w:val="0"/>
                <w:szCs w:val="21"/>
              </w:rPr>
            </w:pP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0.0028</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0.0118</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0.0165</w:t>
            </w:r>
          </w:p>
        </w:tc>
        <w:tc>
          <w:tcPr>
            <w:tcW w:w="905" w:type="pct"/>
            <w:tcBorders>
              <w:top w:val="single" w:color="auto" w:sz="4" w:space="0"/>
              <w:left w:val="nil"/>
              <w:bottom w:val="single" w:color="auto" w:sz="4" w:space="0"/>
              <w:right w:val="single" w:color="auto" w:sz="4" w:space="0"/>
            </w:tcBorders>
            <w:vAlign w:val="center"/>
          </w:tcPr>
          <w:p>
            <w:pPr>
              <w:jc w:val="center"/>
              <w:rPr>
                <w:i/>
                <w:iCs/>
                <w:color w:val="000000"/>
                <w:szCs w:val="21"/>
              </w:rPr>
            </w:pPr>
            <w:r>
              <w:rPr>
                <w:i/>
                <w:iCs/>
                <w:color w:val="000000"/>
                <w:szCs w:val="21"/>
              </w:rPr>
              <w:t>0.137</w:t>
            </w:r>
          </w:p>
        </w:tc>
      </w:tr>
      <w:tr>
        <w:tblPrEx>
          <w:tblCellMar>
            <w:top w:w="0" w:type="dxa"/>
            <w:left w:w="108" w:type="dxa"/>
            <w:bottom w:w="0" w:type="dxa"/>
            <w:right w:w="108" w:type="dxa"/>
          </w:tblCellMar>
        </w:tblPrEx>
        <w:trPr>
          <w:trHeight w:val="340" w:hRule="atLeast"/>
        </w:trPr>
        <w:tc>
          <w:tcPr>
            <w:tcW w:w="1375" w:type="pct"/>
            <w:vMerge w:val="continue"/>
            <w:tcBorders>
              <w:left w:val="single" w:color="auto" w:sz="4" w:space="0"/>
              <w:right w:val="single" w:color="auto" w:sz="4" w:space="0"/>
            </w:tcBorders>
            <w:shd w:val="clear" w:color="auto" w:fill="auto"/>
            <w:noWrap/>
            <w:vAlign w:val="center"/>
          </w:tcPr>
          <w:p>
            <w:pPr>
              <w:widowControl/>
              <w:jc w:val="center"/>
              <w:rPr>
                <w:kern w:val="0"/>
                <w:szCs w:val="21"/>
              </w:rPr>
            </w:pP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0.0026</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0.0112</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0.0178</w:t>
            </w:r>
          </w:p>
        </w:tc>
        <w:tc>
          <w:tcPr>
            <w:tcW w:w="905" w:type="pct"/>
            <w:tcBorders>
              <w:top w:val="single" w:color="auto" w:sz="4" w:space="0"/>
              <w:left w:val="nil"/>
              <w:bottom w:val="single" w:color="auto" w:sz="4" w:space="0"/>
              <w:right w:val="single" w:color="auto" w:sz="4" w:space="0"/>
            </w:tcBorders>
            <w:vAlign w:val="center"/>
          </w:tcPr>
          <w:p>
            <w:pPr>
              <w:jc w:val="center"/>
              <w:rPr>
                <w:i/>
                <w:iCs/>
                <w:color w:val="000000"/>
                <w:szCs w:val="21"/>
              </w:rPr>
            </w:pPr>
            <w:r>
              <w:rPr>
                <w:i/>
                <w:iCs/>
                <w:color w:val="000000"/>
                <w:szCs w:val="21"/>
              </w:rPr>
              <w:t>0.127</w:t>
            </w:r>
          </w:p>
        </w:tc>
      </w:tr>
      <w:tr>
        <w:tblPrEx>
          <w:tblCellMar>
            <w:top w:w="0" w:type="dxa"/>
            <w:left w:w="108" w:type="dxa"/>
            <w:bottom w:w="0" w:type="dxa"/>
            <w:right w:w="108" w:type="dxa"/>
          </w:tblCellMar>
        </w:tblPrEx>
        <w:trPr>
          <w:trHeight w:val="340" w:hRule="atLeast"/>
        </w:trPr>
        <w:tc>
          <w:tcPr>
            <w:tcW w:w="1375" w:type="pct"/>
            <w:vMerge w:val="continue"/>
            <w:tcBorders>
              <w:left w:val="single" w:color="auto" w:sz="4" w:space="0"/>
              <w:right w:val="single" w:color="auto" w:sz="4" w:space="0"/>
            </w:tcBorders>
            <w:shd w:val="clear" w:color="auto" w:fill="auto"/>
            <w:noWrap/>
            <w:vAlign w:val="center"/>
          </w:tcPr>
          <w:p>
            <w:pPr>
              <w:widowControl/>
              <w:jc w:val="center"/>
              <w:rPr>
                <w:kern w:val="0"/>
                <w:szCs w:val="21"/>
              </w:rPr>
            </w:pP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0.0025</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0.0107</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0.018</w:t>
            </w:r>
          </w:p>
        </w:tc>
        <w:tc>
          <w:tcPr>
            <w:tcW w:w="905" w:type="pct"/>
            <w:tcBorders>
              <w:top w:val="single" w:color="auto" w:sz="4" w:space="0"/>
              <w:left w:val="nil"/>
              <w:bottom w:val="single" w:color="auto" w:sz="4" w:space="0"/>
              <w:right w:val="single" w:color="auto" w:sz="4" w:space="0"/>
            </w:tcBorders>
            <w:vAlign w:val="center"/>
          </w:tcPr>
          <w:p>
            <w:pPr>
              <w:jc w:val="center"/>
              <w:rPr>
                <w:i/>
                <w:iCs/>
                <w:color w:val="000000"/>
                <w:szCs w:val="21"/>
              </w:rPr>
            </w:pPr>
            <w:r>
              <w:rPr>
                <w:i/>
                <w:iCs/>
                <w:color w:val="000000"/>
                <w:szCs w:val="21"/>
              </w:rPr>
              <w:t>0.136</w:t>
            </w:r>
          </w:p>
        </w:tc>
      </w:tr>
      <w:tr>
        <w:tblPrEx>
          <w:tblCellMar>
            <w:top w:w="0" w:type="dxa"/>
            <w:left w:w="108" w:type="dxa"/>
            <w:bottom w:w="0" w:type="dxa"/>
            <w:right w:w="108" w:type="dxa"/>
          </w:tblCellMar>
        </w:tblPrEx>
        <w:trPr>
          <w:trHeight w:val="340" w:hRule="atLeast"/>
        </w:trPr>
        <w:tc>
          <w:tcPr>
            <w:tcW w:w="1375" w:type="pct"/>
            <w:vMerge w:val="continue"/>
            <w:tcBorders>
              <w:left w:val="single" w:color="auto" w:sz="4" w:space="0"/>
              <w:right w:val="single" w:color="auto" w:sz="4" w:space="0"/>
            </w:tcBorders>
            <w:shd w:val="clear" w:color="auto" w:fill="auto"/>
            <w:noWrap/>
            <w:vAlign w:val="center"/>
          </w:tcPr>
          <w:p>
            <w:pPr>
              <w:widowControl/>
              <w:jc w:val="center"/>
              <w:rPr>
                <w:kern w:val="0"/>
                <w:szCs w:val="21"/>
              </w:rPr>
            </w:pP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0.0029</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0.0112</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0.0166</w:t>
            </w:r>
          </w:p>
        </w:tc>
        <w:tc>
          <w:tcPr>
            <w:tcW w:w="905" w:type="pct"/>
            <w:tcBorders>
              <w:top w:val="single" w:color="auto" w:sz="4" w:space="0"/>
              <w:left w:val="nil"/>
              <w:bottom w:val="single" w:color="auto" w:sz="4" w:space="0"/>
              <w:right w:val="single" w:color="auto" w:sz="4" w:space="0"/>
            </w:tcBorders>
            <w:vAlign w:val="center"/>
          </w:tcPr>
          <w:p>
            <w:pPr>
              <w:jc w:val="center"/>
              <w:rPr>
                <w:i/>
                <w:iCs/>
                <w:color w:val="000000"/>
                <w:szCs w:val="21"/>
              </w:rPr>
            </w:pPr>
            <w:r>
              <w:rPr>
                <w:i/>
                <w:iCs/>
                <w:color w:val="000000"/>
                <w:szCs w:val="21"/>
              </w:rPr>
              <w:t>0.128</w:t>
            </w:r>
          </w:p>
        </w:tc>
      </w:tr>
      <w:tr>
        <w:tblPrEx>
          <w:tblCellMar>
            <w:top w:w="0" w:type="dxa"/>
            <w:left w:w="108" w:type="dxa"/>
            <w:bottom w:w="0" w:type="dxa"/>
            <w:right w:w="108" w:type="dxa"/>
          </w:tblCellMar>
        </w:tblPrEx>
        <w:trPr>
          <w:trHeight w:val="340" w:hRule="atLeast"/>
        </w:trPr>
        <w:tc>
          <w:tcPr>
            <w:tcW w:w="1375" w:type="pct"/>
            <w:vMerge w:val="continue"/>
            <w:tcBorders>
              <w:left w:val="single" w:color="auto" w:sz="4" w:space="0"/>
              <w:right w:val="single" w:color="auto" w:sz="4" w:space="0"/>
            </w:tcBorders>
            <w:shd w:val="clear" w:color="auto" w:fill="auto"/>
            <w:noWrap/>
            <w:vAlign w:val="center"/>
          </w:tcPr>
          <w:p>
            <w:pPr>
              <w:widowControl/>
              <w:jc w:val="center"/>
              <w:rPr>
                <w:kern w:val="0"/>
                <w:szCs w:val="21"/>
              </w:rPr>
            </w:pP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0.0024</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0.0109</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0.0168</w:t>
            </w:r>
          </w:p>
        </w:tc>
        <w:tc>
          <w:tcPr>
            <w:tcW w:w="905" w:type="pct"/>
            <w:tcBorders>
              <w:top w:val="single" w:color="auto" w:sz="4" w:space="0"/>
              <w:left w:val="nil"/>
              <w:bottom w:val="single" w:color="auto" w:sz="4" w:space="0"/>
              <w:right w:val="single" w:color="auto" w:sz="4" w:space="0"/>
            </w:tcBorders>
            <w:vAlign w:val="center"/>
          </w:tcPr>
          <w:p>
            <w:pPr>
              <w:jc w:val="center"/>
              <w:rPr>
                <w:i/>
                <w:iCs/>
                <w:color w:val="000000"/>
                <w:szCs w:val="21"/>
              </w:rPr>
            </w:pPr>
            <w:r>
              <w:rPr>
                <w:i/>
                <w:iCs/>
                <w:color w:val="000000"/>
                <w:szCs w:val="21"/>
              </w:rPr>
              <w:t>0.126</w:t>
            </w:r>
          </w:p>
        </w:tc>
      </w:tr>
      <w:tr>
        <w:tblPrEx>
          <w:tblCellMar>
            <w:top w:w="0" w:type="dxa"/>
            <w:left w:w="108" w:type="dxa"/>
            <w:bottom w:w="0" w:type="dxa"/>
            <w:right w:w="108" w:type="dxa"/>
          </w:tblCellMar>
        </w:tblPrEx>
        <w:trPr>
          <w:trHeight w:val="340" w:hRule="atLeast"/>
        </w:trPr>
        <w:tc>
          <w:tcPr>
            <w:tcW w:w="1375" w:type="pct"/>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kern w:val="0"/>
                <w:szCs w:val="21"/>
              </w:rPr>
            </w:pP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0.0025</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0.0113</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0.0179</w:t>
            </w:r>
          </w:p>
        </w:tc>
        <w:tc>
          <w:tcPr>
            <w:tcW w:w="905" w:type="pct"/>
            <w:tcBorders>
              <w:top w:val="single" w:color="auto" w:sz="4" w:space="0"/>
              <w:left w:val="nil"/>
              <w:bottom w:val="single" w:color="auto" w:sz="4" w:space="0"/>
              <w:right w:val="single" w:color="auto" w:sz="4" w:space="0"/>
            </w:tcBorders>
            <w:vAlign w:val="center"/>
          </w:tcPr>
          <w:p>
            <w:pPr>
              <w:jc w:val="center"/>
              <w:rPr>
                <w:i/>
                <w:iCs/>
                <w:color w:val="000000"/>
                <w:szCs w:val="21"/>
              </w:rPr>
            </w:pPr>
            <w:r>
              <w:rPr>
                <w:i/>
                <w:iCs/>
                <w:color w:val="000000"/>
                <w:szCs w:val="21"/>
              </w:rPr>
              <w:t>0.135</w:t>
            </w:r>
          </w:p>
        </w:tc>
      </w:tr>
      <w:tr>
        <w:tblPrEx>
          <w:tblCellMar>
            <w:top w:w="0" w:type="dxa"/>
            <w:left w:w="108" w:type="dxa"/>
            <w:bottom w:w="0" w:type="dxa"/>
            <w:right w:w="108" w:type="dxa"/>
          </w:tblCellMar>
        </w:tblPrEx>
        <w:trPr>
          <w:trHeight w:val="340" w:hRule="atLeast"/>
        </w:trPr>
        <w:tc>
          <w:tcPr>
            <w:tcW w:w="1375" w:type="pct"/>
            <w:vMerge w:val="restart"/>
            <w:tcBorders>
              <w:left w:val="single" w:color="auto" w:sz="4" w:space="0"/>
              <w:right w:val="single" w:color="auto" w:sz="4" w:space="0"/>
            </w:tcBorders>
            <w:shd w:val="clear" w:color="auto" w:fill="auto"/>
            <w:noWrap/>
            <w:vAlign w:val="center"/>
          </w:tcPr>
          <w:p>
            <w:pPr>
              <w:widowControl/>
              <w:jc w:val="center"/>
              <w:rPr>
                <w:kern w:val="0"/>
                <w:szCs w:val="21"/>
              </w:rPr>
            </w:pPr>
            <w:r>
              <w:rPr>
                <w:kern w:val="0"/>
                <w:szCs w:val="21"/>
              </w:rPr>
              <w:t>乐山锐丰5</w:t>
            </w:r>
          </w:p>
          <w:p>
            <w:pPr>
              <w:widowControl/>
              <w:jc w:val="center"/>
              <w:rPr>
                <w:kern w:val="0"/>
                <w:szCs w:val="21"/>
              </w:rPr>
            </w:pP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0.0022</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szCs w:val="21"/>
              </w:rPr>
            </w:pPr>
            <w:r>
              <w:rPr>
                <w:szCs w:val="21"/>
              </w:rPr>
              <w:t>0.0108</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szCs w:val="21"/>
              </w:rPr>
            </w:pPr>
            <w:r>
              <w:rPr>
                <w:szCs w:val="21"/>
              </w:rPr>
              <w:t>0.0198</w:t>
            </w:r>
          </w:p>
        </w:tc>
        <w:tc>
          <w:tcPr>
            <w:tcW w:w="90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0.199</w:t>
            </w:r>
          </w:p>
        </w:tc>
      </w:tr>
      <w:tr>
        <w:tblPrEx>
          <w:tblCellMar>
            <w:top w:w="0" w:type="dxa"/>
            <w:left w:w="108" w:type="dxa"/>
            <w:bottom w:w="0" w:type="dxa"/>
            <w:right w:w="108" w:type="dxa"/>
          </w:tblCellMar>
        </w:tblPrEx>
        <w:trPr>
          <w:trHeight w:val="340" w:hRule="atLeast"/>
        </w:trPr>
        <w:tc>
          <w:tcPr>
            <w:tcW w:w="1375" w:type="pct"/>
            <w:vMerge w:val="continue"/>
            <w:tcBorders>
              <w:left w:val="single" w:color="auto" w:sz="4" w:space="0"/>
              <w:right w:val="single" w:color="auto" w:sz="4" w:space="0"/>
            </w:tcBorders>
            <w:shd w:val="clear" w:color="auto" w:fill="auto"/>
            <w:noWrap/>
            <w:vAlign w:val="center"/>
          </w:tcPr>
          <w:p>
            <w:pPr>
              <w:widowControl/>
              <w:jc w:val="center"/>
              <w:rPr>
                <w:kern w:val="0"/>
                <w:szCs w:val="21"/>
              </w:rPr>
            </w:pP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0.0022</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szCs w:val="21"/>
              </w:rPr>
            </w:pPr>
            <w:r>
              <w:rPr>
                <w:szCs w:val="21"/>
              </w:rPr>
              <w:t>0.0104</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szCs w:val="21"/>
              </w:rPr>
            </w:pPr>
            <w:r>
              <w:rPr>
                <w:szCs w:val="21"/>
              </w:rPr>
              <w:t>0.0201</w:t>
            </w:r>
          </w:p>
        </w:tc>
        <w:tc>
          <w:tcPr>
            <w:tcW w:w="905" w:type="pct"/>
            <w:tcBorders>
              <w:top w:val="single" w:color="auto" w:sz="4" w:space="0"/>
              <w:left w:val="nil"/>
              <w:bottom w:val="single" w:color="auto" w:sz="4" w:space="0"/>
              <w:right w:val="single" w:color="auto" w:sz="4" w:space="0"/>
            </w:tcBorders>
            <w:vAlign w:val="center"/>
          </w:tcPr>
          <w:p>
            <w:pPr>
              <w:jc w:val="center"/>
              <w:rPr>
                <w:rFonts w:hint="default" w:eastAsia="宋体"/>
                <w:color w:val="000000"/>
                <w:szCs w:val="21"/>
                <w:lang w:val="en-US" w:eastAsia="zh-CN"/>
              </w:rPr>
            </w:pPr>
            <w:r>
              <w:rPr>
                <w:color w:val="000000"/>
                <w:szCs w:val="21"/>
              </w:rPr>
              <w:t>0.2</w:t>
            </w:r>
            <w:r>
              <w:rPr>
                <w:rFonts w:hint="eastAsia"/>
                <w:color w:val="000000"/>
                <w:szCs w:val="21"/>
                <w:lang w:val="en-US" w:eastAsia="zh-CN"/>
              </w:rPr>
              <w:t>00</w:t>
            </w:r>
          </w:p>
        </w:tc>
      </w:tr>
      <w:tr>
        <w:tblPrEx>
          <w:tblCellMar>
            <w:top w:w="0" w:type="dxa"/>
            <w:left w:w="108" w:type="dxa"/>
            <w:bottom w:w="0" w:type="dxa"/>
            <w:right w:w="108" w:type="dxa"/>
          </w:tblCellMar>
        </w:tblPrEx>
        <w:trPr>
          <w:trHeight w:val="340" w:hRule="atLeast"/>
        </w:trPr>
        <w:tc>
          <w:tcPr>
            <w:tcW w:w="1375" w:type="pct"/>
            <w:vMerge w:val="continue"/>
            <w:tcBorders>
              <w:left w:val="single" w:color="auto" w:sz="4" w:space="0"/>
              <w:right w:val="single" w:color="auto" w:sz="4" w:space="0"/>
            </w:tcBorders>
            <w:shd w:val="clear" w:color="auto" w:fill="auto"/>
            <w:noWrap/>
            <w:vAlign w:val="center"/>
          </w:tcPr>
          <w:p>
            <w:pPr>
              <w:widowControl/>
              <w:jc w:val="center"/>
              <w:rPr>
                <w:kern w:val="0"/>
                <w:szCs w:val="21"/>
              </w:rPr>
            </w:pP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0.0024</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szCs w:val="21"/>
              </w:rPr>
            </w:pPr>
            <w:r>
              <w:rPr>
                <w:szCs w:val="21"/>
              </w:rPr>
              <w:t>0.0108</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eastAsia="宋体"/>
                <w:szCs w:val="21"/>
                <w:lang w:val="en-US" w:eastAsia="zh-CN"/>
              </w:rPr>
            </w:pPr>
            <w:r>
              <w:rPr>
                <w:szCs w:val="21"/>
              </w:rPr>
              <w:t>0.02</w:t>
            </w:r>
            <w:r>
              <w:rPr>
                <w:rFonts w:hint="eastAsia"/>
                <w:szCs w:val="21"/>
                <w:lang w:val="en-US" w:eastAsia="zh-CN"/>
              </w:rPr>
              <w:t>00</w:t>
            </w:r>
          </w:p>
        </w:tc>
        <w:tc>
          <w:tcPr>
            <w:tcW w:w="90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0.203</w:t>
            </w:r>
          </w:p>
        </w:tc>
      </w:tr>
      <w:tr>
        <w:tblPrEx>
          <w:tblCellMar>
            <w:top w:w="0" w:type="dxa"/>
            <w:left w:w="108" w:type="dxa"/>
            <w:bottom w:w="0" w:type="dxa"/>
            <w:right w:w="108" w:type="dxa"/>
          </w:tblCellMar>
        </w:tblPrEx>
        <w:trPr>
          <w:trHeight w:val="340" w:hRule="atLeast"/>
        </w:trPr>
        <w:tc>
          <w:tcPr>
            <w:tcW w:w="1375" w:type="pct"/>
            <w:vMerge w:val="continue"/>
            <w:tcBorders>
              <w:left w:val="single" w:color="auto" w:sz="4" w:space="0"/>
              <w:right w:val="single" w:color="auto" w:sz="4" w:space="0"/>
            </w:tcBorders>
            <w:shd w:val="clear" w:color="auto" w:fill="auto"/>
            <w:noWrap/>
            <w:vAlign w:val="center"/>
          </w:tcPr>
          <w:p>
            <w:pPr>
              <w:widowControl/>
              <w:jc w:val="center"/>
              <w:rPr>
                <w:kern w:val="0"/>
                <w:szCs w:val="21"/>
              </w:rPr>
            </w:pP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0.0022</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szCs w:val="21"/>
              </w:rPr>
            </w:pPr>
            <w:r>
              <w:rPr>
                <w:szCs w:val="21"/>
              </w:rPr>
              <w:t>0.0106</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szCs w:val="21"/>
              </w:rPr>
            </w:pPr>
            <w:r>
              <w:rPr>
                <w:szCs w:val="21"/>
              </w:rPr>
              <w:t>0.0199</w:t>
            </w:r>
          </w:p>
        </w:tc>
        <w:tc>
          <w:tcPr>
            <w:tcW w:w="90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0.198</w:t>
            </w:r>
          </w:p>
        </w:tc>
      </w:tr>
      <w:tr>
        <w:tblPrEx>
          <w:tblCellMar>
            <w:top w:w="0" w:type="dxa"/>
            <w:left w:w="108" w:type="dxa"/>
            <w:bottom w:w="0" w:type="dxa"/>
            <w:right w:w="108" w:type="dxa"/>
          </w:tblCellMar>
        </w:tblPrEx>
        <w:trPr>
          <w:trHeight w:val="340" w:hRule="atLeast"/>
        </w:trPr>
        <w:tc>
          <w:tcPr>
            <w:tcW w:w="1375" w:type="pct"/>
            <w:vMerge w:val="continue"/>
            <w:tcBorders>
              <w:left w:val="single" w:color="auto" w:sz="4" w:space="0"/>
              <w:right w:val="single" w:color="auto" w:sz="4" w:space="0"/>
            </w:tcBorders>
            <w:shd w:val="clear" w:color="auto" w:fill="auto"/>
            <w:noWrap/>
            <w:vAlign w:val="center"/>
          </w:tcPr>
          <w:p>
            <w:pPr>
              <w:widowControl/>
              <w:jc w:val="center"/>
              <w:rPr>
                <w:kern w:val="0"/>
                <w:szCs w:val="21"/>
              </w:rPr>
            </w:pP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0.0024</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szCs w:val="21"/>
              </w:rPr>
            </w:pPr>
            <w:r>
              <w:rPr>
                <w:szCs w:val="21"/>
              </w:rPr>
              <w:t>0.0105</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szCs w:val="21"/>
              </w:rPr>
            </w:pPr>
            <w:r>
              <w:rPr>
                <w:szCs w:val="21"/>
              </w:rPr>
              <w:t>0.0199</w:t>
            </w:r>
          </w:p>
        </w:tc>
        <w:tc>
          <w:tcPr>
            <w:tcW w:w="90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0.204</w:t>
            </w:r>
          </w:p>
        </w:tc>
      </w:tr>
      <w:tr>
        <w:tblPrEx>
          <w:tblCellMar>
            <w:top w:w="0" w:type="dxa"/>
            <w:left w:w="108" w:type="dxa"/>
            <w:bottom w:w="0" w:type="dxa"/>
            <w:right w:w="108" w:type="dxa"/>
          </w:tblCellMar>
        </w:tblPrEx>
        <w:trPr>
          <w:trHeight w:val="340" w:hRule="atLeast"/>
        </w:trPr>
        <w:tc>
          <w:tcPr>
            <w:tcW w:w="1375" w:type="pct"/>
            <w:vMerge w:val="continue"/>
            <w:tcBorders>
              <w:left w:val="single" w:color="auto" w:sz="4" w:space="0"/>
              <w:right w:val="single" w:color="auto" w:sz="4" w:space="0"/>
            </w:tcBorders>
            <w:shd w:val="clear" w:color="auto" w:fill="auto"/>
            <w:noWrap/>
            <w:vAlign w:val="center"/>
          </w:tcPr>
          <w:p>
            <w:pPr>
              <w:widowControl/>
              <w:jc w:val="center"/>
              <w:rPr>
                <w:kern w:val="0"/>
                <w:szCs w:val="21"/>
              </w:rPr>
            </w:pP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0.0023</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szCs w:val="21"/>
              </w:rPr>
            </w:pPr>
            <w:r>
              <w:rPr>
                <w:szCs w:val="21"/>
              </w:rPr>
              <w:t>0.0105</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szCs w:val="21"/>
              </w:rPr>
            </w:pPr>
            <w:r>
              <w:rPr>
                <w:szCs w:val="21"/>
              </w:rPr>
              <w:t>0.0201</w:t>
            </w:r>
          </w:p>
        </w:tc>
        <w:tc>
          <w:tcPr>
            <w:tcW w:w="90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0.209</w:t>
            </w:r>
          </w:p>
        </w:tc>
      </w:tr>
      <w:tr>
        <w:trPr>
          <w:trHeight w:val="340" w:hRule="atLeast"/>
        </w:trPr>
        <w:tc>
          <w:tcPr>
            <w:tcW w:w="1375" w:type="pct"/>
            <w:vMerge w:val="continue"/>
            <w:tcBorders>
              <w:left w:val="single" w:color="auto" w:sz="4" w:space="0"/>
              <w:right w:val="single" w:color="auto" w:sz="4" w:space="0"/>
            </w:tcBorders>
            <w:shd w:val="clear" w:color="auto" w:fill="auto"/>
            <w:noWrap/>
            <w:vAlign w:val="center"/>
          </w:tcPr>
          <w:p>
            <w:pPr>
              <w:widowControl/>
              <w:jc w:val="center"/>
              <w:rPr>
                <w:kern w:val="0"/>
                <w:szCs w:val="21"/>
              </w:rPr>
            </w:pP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0.0021</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szCs w:val="21"/>
              </w:rPr>
            </w:pPr>
            <w:r>
              <w:rPr>
                <w:szCs w:val="21"/>
              </w:rPr>
              <w:t>0.0105</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eastAsia="宋体"/>
                <w:szCs w:val="21"/>
                <w:lang w:val="en-US" w:eastAsia="zh-CN"/>
              </w:rPr>
            </w:pPr>
            <w:r>
              <w:rPr>
                <w:szCs w:val="21"/>
              </w:rPr>
              <w:t>0.02</w:t>
            </w:r>
            <w:r>
              <w:rPr>
                <w:rFonts w:hint="eastAsia"/>
                <w:szCs w:val="21"/>
                <w:lang w:val="en-US" w:eastAsia="zh-CN"/>
              </w:rPr>
              <w:t>00</w:t>
            </w:r>
          </w:p>
        </w:tc>
        <w:tc>
          <w:tcPr>
            <w:tcW w:w="90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0.204</w:t>
            </w:r>
          </w:p>
        </w:tc>
      </w:tr>
      <w:tr>
        <w:tblPrEx>
          <w:tblCellMar>
            <w:top w:w="0" w:type="dxa"/>
            <w:left w:w="108" w:type="dxa"/>
            <w:bottom w:w="0" w:type="dxa"/>
            <w:right w:w="108" w:type="dxa"/>
          </w:tblCellMar>
        </w:tblPrEx>
        <w:trPr>
          <w:trHeight w:val="340" w:hRule="atLeast"/>
        </w:trPr>
        <w:tc>
          <w:tcPr>
            <w:tcW w:w="1375" w:type="pct"/>
            <w:vMerge w:val="continue"/>
            <w:tcBorders>
              <w:left w:val="single" w:color="auto" w:sz="4" w:space="0"/>
              <w:right w:val="single" w:color="auto" w:sz="4" w:space="0"/>
            </w:tcBorders>
            <w:shd w:val="clear" w:color="auto" w:fill="auto"/>
            <w:noWrap/>
            <w:vAlign w:val="center"/>
          </w:tcPr>
          <w:p>
            <w:pPr>
              <w:widowControl/>
              <w:jc w:val="center"/>
              <w:rPr>
                <w:kern w:val="0"/>
                <w:szCs w:val="21"/>
              </w:rPr>
            </w:pP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0.0024</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szCs w:val="21"/>
              </w:rPr>
            </w:pPr>
            <w:r>
              <w:rPr>
                <w:szCs w:val="21"/>
              </w:rPr>
              <w:t>0.0105</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szCs w:val="21"/>
              </w:rPr>
            </w:pPr>
            <w:r>
              <w:rPr>
                <w:szCs w:val="21"/>
              </w:rPr>
              <w:t>0.0203</w:t>
            </w:r>
          </w:p>
        </w:tc>
        <w:tc>
          <w:tcPr>
            <w:tcW w:w="90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0.208</w:t>
            </w:r>
          </w:p>
        </w:tc>
      </w:tr>
      <w:tr>
        <w:tblPrEx>
          <w:tblCellMar>
            <w:top w:w="0" w:type="dxa"/>
            <w:left w:w="108" w:type="dxa"/>
            <w:bottom w:w="0" w:type="dxa"/>
            <w:right w:w="108" w:type="dxa"/>
          </w:tblCellMar>
        </w:tblPrEx>
        <w:trPr>
          <w:trHeight w:val="340" w:hRule="atLeast"/>
        </w:trPr>
        <w:tc>
          <w:tcPr>
            <w:tcW w:w="1375" w:type="pct"/>
            <w:vMerge w:val="continue"/>
            <w:tcBorders>
              <w:left w:val="single" w:color="auto" w:sz="4" w:space="0"/>
              <w:right w:val="single" w:color="auto" w:sz="4" w:space="0"/>
            </w:tcBorders>
            <w:shd w:val="clear" w:color="auto" w:fill="auto"/>
            <w:noWrap/>
            <w:vAlign w:val="center"/>
          </w:tcPr>
          <w:p>
            <w:pPr>
              <w:widowControl/>
              <w:jc w:val="center"/>
              <w:rPr>
                <w:kern w:val="0"/>
                <w:szCs w:val="21"/>
              </w:rPr>
            </w:pP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0.0023</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szCs w:val="21"/>
              </w:rPr>
            </w:pPr>
            <w:r>
              <w:rPr>
                <w:szCs w:val="21"/>
              </w:rPr>
              <w:t>0.0106</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rFonts w:hint="default" w:eastAsia="宋体"/>
                <w:szCs w:val="21"/>
                <w:lang w:val="en-US" w:eastAsia="zh-CN"/>
              </w:rPr>
            </w:pPr>
            <w:r>
              <w:rPr>
                <w:szCs w:val="21"/>
              </w:rPr>
              <w:t>0.02</w:t>
            </w:r>
            <w:r>
              <w:rPr>
                <w:rFonts w:hint="eastAsia"/>
                <w:szCs w:val="21"/>
                <w:lang w:val="en-US" w:eastAsia="zh-CN"/>
              </w:rPr>
              <w:t>00</w:t>
            </w:r>
          </w:p>
        </w:tc>
        <w:tc>
          <w:tcPr>
            <w:tcW w:w="90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0.202</w:t>
            </w:r>
          </w:p>
        </w:tc>
      </w:tr>
      <w:tr>
        <w:tblPrEx>
          <w:tblCellMar>
            <w:top w:w="0" w:type="dxa"/>
            <w:left w:w="108" w:type="dxa"/>
            <w:bottom w:w="0" w:type="dxa"/>
            <w:right w:w="108" w:type="dxa"/>
          </w:tblCellMar>
        </w:tblPrEx>
        <w:trPr>
          <w:trHeight w:val="340" w:hRule="atLeast"/>
        </w:trPr>
        <w:tc>
          <w:tcPr>
            <w:tcW w:w="1375" w:type="pct"/>
            <w:vMerge w:val="continue"/>
            <w:tcBorders>
              <w:left w:val="single" w:color="auto" w:sz="4" w:space="0"/>
              <w:right w:val="single" w:color="auto" w:sz="4" w:space="0"/>
            </w:tcBorders>
            <w:shd w:val="clear" w:color="auto" w:fill="auto"/>
            <w:noWrap/>
            <w:vAlign w:val="center"/>
          </w:tcPr>
          <w:p>
            <w:pPr>
              <w:widowControl/>
              <w:jc w:val="center"/>
              <w:rPr>
                <w:kern w:val="0"/>
                <w:szCs w:val="21"/>
              </w:rPr>
            </w:pP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0.0023</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szCs w:val="21"/>
              </w:rPr>
            </w:pPr>
            <w:r>
              <w:rPr>
                <w:szCs w:val="21"/>
              </w:rPr>
              <w:t>0.0104</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szCs w:val="21"/>
              </w:rPr>
            </w:pPr>
            <w:r>
              <w:rPr>
                <w:szCs w:val="21"/>
              </w:rPr>
              <w:t>0.0202</w:t>
            </w:r>
          </w:p>
        </w:tc>
        <w:tc>
          <w:tcPr>
            <w:tcW w:w="90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0.206</w:t>
            </w:r>
          </w:p>
        </w:tc>
      </w:tr>
      <w:tr>
        <w:tblPrEx>
          <w:tblCellMar>
            <w:top w:w="0" w:type="dxa"/>
            <w:left w:w="108" w:type="dxa"/>
            <w:bottom w:w="0" w:type="dxa"/>
            <w:right w:w="108" w:type="dxa"/>
          </w:tblCellMar>
        </w:tblPrEx>
        <w:trPr>
          <w:trHeight w:val="340" w:hRule="atLeast"/>
        </w:trPr>
        <w:tc>
          <w:tcPr>
            <w:tcW w:w="1375" w:type="pct"/>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kern w:val="0"/>
                <w:szCs w:val="21"/>
              </w:rPr>
            </w:pP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0.0023</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szCs w:val="21"/>
              </w:rPr>
            </w:pPr>
            <w:r>
              <w:rPr>
                <w:szCs w:val="21"/>
              </w:rPr>
              <w:t>0.0104</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szCs w:val="21"/>
              </w:rPr>
            </w:pPr>
            <w:r>
              <w:rPr>
                <w:szCs w:val="21"/>
              </w:rPr>
              <w:t>0.0201</w:t>
            </w:r>
          </w:p>
        </w:tc>
        <w:tc>
          <w:tcPr>
            <w:tcW w:w="90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0.203</w:t>
            </w:r>
          </w:p>
        </w:tc>
      </w:tr>
      <w:tr>
        <w:tblPrEx>
          <w:tblCellMar>
            <w:top w:w="0" w:type="dxa"/>
            <w:left w:w="108" w:type="dxa"/>
            <w:bottom w:w="0" w:type="dxa"/>
            <w:right w:w="108" w:type="dxa"/>
          </w:tblCellMar>
        </w:tblPrEx>
        <w:trPr>
          <w:trHeight w:val="340" w:hRule="atLeast"/>
        </w:trPr>
        <w:tc>
          <w:tcPr>
            <w:tcW w:w="1375" w:type="pct"/>
            <w:vMerge w:val="restart"/>
            <w:tcBorders>
              <w:left w:val="single" w:color="auto" w:sz="4" w:space="0"/>
              <w:right w:val="single" w:color="auto" w:sz="4" w:space="0"/>
            </w:tcBorders>
            <w:shd w:val="clear" w:color="auto" w:fill="auto"/>
            <w:noWrap/>
            <w:vAlign w:val="center"/>
          </w:tcPr>
          <w:p>
            <w:pPr>
              <w:widowControl/>
              <w:jc w:val="center"/>
              <w:rPr>
                <w:kern w:val="0"/>
                <w:szCs w:val="21"/>
              </w:rPr>
            </w:pPr>
            <w:r>
              <w:rPr>
                <w:kern w:val="0"/>
                <w:szCs w:val="21"/>
              </w:rPr>
              <w:t>南方稀土6</w:t>
            </w: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0.0032</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0.0109</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0.0201</w:t>
            </w:r>
          </w:p>
        </w:tc>
        <w:tc>
          <w:tcPr>
            <w:tcW w:w="905" w:type="pct"/>
            <w:tcBorders>
              <w:top w:val="single" w:color="auto" w:sz="4" w:space="0"/>
              <w:left w:val="nil"/>
              <w:bottom w:val="single" w:color="auto" w:sz="4" w:space="0"/>
              <w:right w:val="single" w:color="auto" w:sz="4" w:space="0"/>
            </w:tcBorders>
            <w:vAlign w:val="center"/>
          </w:tcPr>
          <w:p>
            <w:pPr>
              <w:jc w:val="center"/>
              <w:rPr>
                <w:i/>
                <w:iCs/>
                <w:color w:val="000000"/>
                <w:szCs w:val="21"/>
              </w:rPr>
            </w:pPr>
            <w:r>
              <w:rPr>
                <w:i/>
                <w:iCs/>
                <w:color w:val="000000"/>
                <w:szCs w:val="21"/>
              </w:rPr>
              <w:t>0.0474</w:t>
            </w:r>
          </w:p>
        </w:tc>
      </w:tr>
      <w:tr>
        <w:tblPrEx>
          <w:tblCellMar>
            <w:top w:w="0" w:type="dxa"/>
            <w:left w:w="108" w:type="dxa"/>
            <w:bottom w:w="0" w:type="dxa"/>
            <w:right w:w="108" w:type="dxa"/>
          </w:tblCellMar>
        </w:tblPrEx>
        <w:trPr>
          <w:trHeight w:val="340" w:hRule="atLeast"/>
        </w:trPr>
        <w:tc>
          <w:tcPr>
            <w:tcW w:w="1375" w:type="pct"/>
            <w:vMerge w:val="continue"/>
            <w:tcBorders>
              <w:left w:val="single" w:color="auto" w:sz="4" w:space="0"/>
              <w:right w:val="single" w:color="auto" w:sz="4" w:space="0"/>
            </w:tcBorders>
            <w:shd w:val="clear" w:color="auto" w:fill="auto"/>
            <w:noWrap/>
            <w:vAlign w:val="center"/>
          </w:tcPr>
          <w:p>
            <w:pPr>
              <w:widowControl/>
              <w:jc w:val="center"/>
              <w:rPr>
                <w:kern w:val="0"/>
                <w:szCs w:val="21"/>
              </w:rPr>
            </w:pP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0.0029</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0.0113</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0.0211</w:t>
            </w:r>
          </w:p>
        </w:tc>
        <w:tc>
          <w:tcPr>
            <w:tcW w:w="905" w:type="pct"/>
            <w:tcBorders>
              <w:top w:val="single" w:color="auto" w:sz="4" w:space="0"/>
              <w:left w:val="nil"/>
              <w:bottom w:val="single" w:color="auto" w:sz="4" w:space="0"/>
              <w:right w:val="single" w:color="auto" w:sz="4" w:space="0"/>
            </w:tcBorders>
            <w:vAlign w:val="center"/>
          </w:tcPr>
          <w:p>
            <w:pPr>
              <w:jc w:val="center"/>
              <w:rPr>
                <w:i/>
                <w:iCs/>
                <w:color w:val="000000"/>
                <w:szCs w:val="21"/>
              </w:rPr>
            </w:pPr>
            <w:r>
              <w:rPr>
                <w:i/>
                <w:iCs/>
                <w:color w:val="000000"/>
                <w:szCs w:val="21"/>
              </w:rPr>
              <w:t>0.0469</w:t>
            </w:r>
          </w:p>
        </w:tc>
      </w:tr>
      <w:tr>
        <w:tblPrEx>
          <w:tblCellMar>
            <w:top w:w="0" w:type="dxa"/>
            <w:left w:w="108" w:type="dxa"/>
            <w:bottom w:w="0" w:type="dxa"/>
            <w:right w:w="108" w:type="dxa"/>
          </w:tblCellMar>
        </w:tblPrEx>
        <w:trPr>
          <w:trHeight w:val="340" w:hRule="atLeast"/>
        </w:trPr>
        <w:tc>
          <w:tcPr>
            <w:tcW w:w="1375" w:type="pct"/>
            <w:vMerge w:val="continue"/>
            <w:tcBorders>
              <w:left w:val="single" w:color="auto" w:sz="4" w:space="0"/>
              <w:right w:val="single" w:color="auto" w:sz="4" w:space="0"/>
            </w:tcBorders>
            <w:shd w:val="clear" w:color="auto" w:fill="auto"/>
            <w:noWrap/>
            <w:vAlign w:val="center"/>
          </w:tcPr>
          <w:p>
            <w:pPr>
              <w:widowControl/>
              <w:jc w:val="center"/>
              <w:rPr>
                <w:kern w:val="0"/>
                <w:szCs w:val="21"/>
              </w:rPr>
            </w:pP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0.0025</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0.0112</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0.0198</w:t>
            </w:r>
          </w:p>
        </w:tc>
        <w:tc>
          <w:tcPr>
            <w:tcW w:w="905" w:type="pct"/>
            <w:tcBorders>
              <w:top w:val="single" w:color="auto" w:sz="4" w:space="0"/>
              <w:left w:val="nil"/>
              <w:bottom w:val="single" w:color="auto" w:sz="4" w:space="0"/>
              <w:right w:val="single" w:color="auto" w:sz="4" w:space="0"/>
            </w:tcBorders>
            <w:vAlign w:val="center"/>
          </w:tcPr>
          <w:p>
            <w:pPr>
              <w:jc w:val="center"/>
              <w:rPr>
                <w:i/>
                <w:iCs/>
                <w:color w:val="000000"/>
                <w:szCs w:val="21"/>
              </w:rPr>
            </w:pPr>
            <w:r>
              <w:rPr>
                <w:i/>
                <w:iCs/>
                <w:color w:val="000000"/>
                <w:szCs w:val="21"/>
              </w:rPr>
              <w:t>0.0463</w:t>
            </w:r>
          </w:p>
        </w:tc>
      </w:tr>
      <w:tr>
        <w:tblPrEx>
          <w:tblCellMar>
            <w:top w:w="0" w:type="dxa"/>
            <w:left w:w="108" w:type="dxa"/>
            <w:bottom w:w="0" w:type="dxa"/>
            <w:right w:w="108" w:type="dxa"/>
          </w:tblCellMar>
        </w:tblPrEx>
        <w:trPr>
          <w:trHeight w:val="340" w:hRule="atLeast"/>
        </w:trPr>
        <w:tc>
          <w:tcPr>
            <w:tcW w:w="1375" w:type="pct"/>
            <w:vMerge w:val="continue"/>
            <w:tcBorders>
              <w:left w:val="single" w:color="auto" w:sz="4" w:space="0"/>
              <w:right w:val="single" w:color="auto" w:sz="4" w:space="0"/>
            </w:tcBorders>
            <w:shd w:val="clear" w:color="auto" w:fill="auto"/>
            <w:noWrap/>
            <w:vAlign w:val="center"/>
          </w:tcPr>
          <w:p>
            <w:pPr>
              <w:widowControl/>
              <w:jc w:val="center"/>
              <w:rPr>
                <w:kern w:val="0"/>
                <w:szCs w:val="21"/>
              </w:rPr>
            </w:pP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0.0030</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0.0113</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0.0209</w:t>
            </w:r>
          </w:p>
        </w:tc>
        <w:tc>
          <w:tcPr>
            <w:tcW w:w="905" w:type="pct"/>
            <w:tcBorders>
              <w:top w:val="single" w:color="auto" w:sz="4" w:space="0"/>
              <w:left w:val="nil"/>
              <w:bottom w:val="single" w:color="auto" w:sz="4" w:space="0"/>
              <w:right w:val="single" w:color="auto" w:sz="4" w:space="0"/>
            </w:tcBorders>
            <w:vAlign w:val="center"/>
          </w:tcPr>
          <w:p>
            <w:pPr>
              <w:jc w:val="center"/>
              <w:rPr>
                <w:i/>
                <w:iCs/>
                <w:color w:val="000000"/>
                <w:szCs w:val="21"/>
              </w:rPr>
            </w:pPr>
            <w:r>
              <w:rPr>
                <w:i/>
                <w:iCs/>
                <w:color w:val="000000"/>
                <w:szCs w:val="21"/>
              </w:rPr>
              <w:t>0.0465</w:t>
            </w:r>
          </w:p>
        </w:tc>
      </w:tr>
      <w:tr>
        <w:tblPrEx>
          <w:tblCellMar>
            <w:top w:w="0" w:type="dxa"/>
            <w:left w:w="108" w:type="dxa"/>
            <w:bottom w:w="0" w:type="dxa"/>
            <w:right w:w="108" w:type="dxa"/>
          </w:tblCellMar>
        </w:tblPrEx>
        <w:trPr>
          <w:trHeight w:val="340" w:hRule="atLeast"/>
        </w:trPr>
        <w:tc>
          <w:tcPr>
            <w:tcW w:w="1375" w:type="pct"/>
            <w:vMerge w:val="continue"/>
            <w:tcBorders>
              <w:left w:val="single" w:color="auto" w:sz="4" w:space="0"/>
              <w:right w:val="single" w:color="auto" w:sz="4" w:space="0"/>
            </w:tcBorders>
            <w:shd w:val="clear" w:color="auto" w:fill="auto"/>
            <w:noWrap/>
            <w:vAlign w:val="center"/>
          </w:tcPr>
          <w:p>
            <w:pPr>
              <w:widowControl/>
              <w:jc w:val="center"/>
              <w:rPr>
                <w:kern w:val="0"/>
                <w:szCs w:val="21"/>
              </w:rPr>
            </w:pP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0.0026</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0.0112</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0.0203</w:t>
            </w:r>
          </w:p>
        </w:tc>
        <w:tc>
          <w:tcPr>
            <w:tcW w:w="905" w:type="pct"/>
            <w:tcBorders>
              <w:top w:val="single" w:color="auto" w:sz="4" w:space="0"/>
              <w:left w:val="nil"/>
              <w:bottom w:val="single" w:color="auto" w:sz="4" w:space="0"/>
              <w:right w:val="single" w:color="auto" w:sz="4" w:space="0"/>
            </w:tcBorders>
            <w:vAlign w:val="center"/>
          </w:tcPr>
          <w:p>
            <w:pPr>
              <w:jc w:val="center"/>
              <w:rPr>
                <w:i/>
                <w:iCs/>
                <w:color w:val="000000"/>
                <w:szCs w:val="21"/>
              </w:rPr>
            </w:pPr>
            <w:r>
              <w:rPr>
                <w:i/>
                <w:iCs/>
                <w:color w:val="000000"/>
                <w:szCs w:val="21"/>
              </w:rPr>
              <w:t>0.0476</w:t>
            </w:r>
          </w:p>
        </w:tc>
      </w:tr>
      <w:tr>
        <w:tblPrEx>
          <w:tblCellMar>
            <w:top w:w="0" w:type="dxa"/>
            <w:left w:w="108" w:type="dxa"/>
            <w:bottom w:w="0" w:type="dxa"/>
            <w:right w:w="108" w:type="dxa"/>
          </w:tblCellMar>
        </w:tblPrEx>
        <w:trPr>
          <w:trHeight w:val="340" w:hRule="atLeast"/>
        </w:trPr>
        <w:tc>
          <w:tcPr>
            <w:tcW w:w="1375" w:type="pct"/>
            <w:vMerge w:val="continue"/>
            <w:tcBorders>
              <w:left w:val="single" w:color="auto" w:sz="4" w:space="0"/>
              <w:right w:val="single" w:color="auto" w:sz="4" w:space="0"/>
            </w:tcBorders>
            <w:shd w:val="clear" w:color="auto" w:fill="auto"/>
            <w:noWrap/>
            <w:vAlign w:val="center"/>
          </w:tcPr>
          <w:p>
            <w:pPr>
              <w:widowControl/>
              <w:jc w:val="center"/>
              <w:rPr>
                <w:kern w:val="0"/>
                <w:szCs w:val="21"/>
              </w:rPr>
            </w:pP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0.0028</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0.0117</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0.0207</w:t>
            </w:r>
          </w:p>
        </w:tc>
        <w:tc>
          <w:tcPr>
            <w:tcW w:w="905" w:type="pct"/>
            <w:tcBorders>
              <w:top w:val="single" w:color="auto" w:sz="4" w:space="0"/>
              <w:left w:val="nil"/>
              <w:bottom w:val="single" w:color="auto" w:sz="4" w:space="0"/>
              <w:right w:val="single" w:color="auto" w:sz="4" w:space="0"/>
            </w:tcBorders>
            <w:vAlign w:val="center"/>
          </w:tcPr>
          <w:p>
            <w:pPr>
              <w:jc w:val="center"/>
              <w:rPr>
                <w:i/>
                <w:iCs/>
                <w:color w:val="000000"/>
                <w:szCs w:val="21"/>
              </w:rPr>
            </w:pPr>
            <w:r>
              <w:rPr>
                <w:i/>
                <w:iCs/>
                <w:color w:val="000000"/>
                <w:szCs w:val="21"/>
              </w:rPr>
              <w:t>0.0454</w:t>
            </w:r>
          </w:p>
        </w:tc>
      </w:tr>
      <w:tr>
        <w:tblPrEx>
          <w:tblCellMar>
            <w:top w:w="0" w:type="dxa"/>
            <w:left w:w="108" w:type="dxa"/>
            <w:bottom w:w="0" w:type="dxa"/>
            <w:right w:w="108" w:type="dxa"/>
          </w:tblCellMar>
        </w:tblPrEx>
        <w:trPr>
          <w:trHeight w:val="340" w:hRule="atLeast"/>
        </w:trPr>
        <w:tc>
          <w:tcPr>
            <w:tcW w:w="1375" w:type="pct"/>
            <w:vMerge w:val="continue"/>
            <w:tcBorders>
              <w:left w:val="single" w:color="auto" w:sz="4" w:space="0"/>
              <w:right w:val="single" w:color="auto" w:sz="4" w:space="0"/>
            </w:tcBorders>
            <w:shd w:val="clear" w:color="auto" w:fill="auto"/>
            <w:noWrap/>
            <w:vAlign w:val="center"/>
          </w:tcPr>
          <w:p>
            <w:pPr>
              <w:widowControl/>
              <w:jc w:val="center"/>
              <w:rPr>
                <w:kern w:val="0"/>
                <w:szCs w:val="21"/>
              </w:rPr>
            </w:pP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0.0030</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0.0114</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0.0208</w:t>
            </w:r>
          </w:p>
        </w:tc>
        <w:tc>
          <w:tcPr>
            <w:tcW w:w="905" w:type="pct"/>
            <w:tcBorders>
              <w:top w:val="single" w:color="auto" w:sz="4" w:space="0"/>
              <w:left w:val="nil"/>
              <w:bottom w:val="single" w:color="auto" w:sz="4" w:space="0"/>
              <w:right w:val="single" w:color="auto" w:sz="4" w:space="0"/>
            </w:tcBorders>
            <w:vAlign w:val="center"/>
          </w:tcPr>
          <w:p>
            <w:pPr>
              <w:jc w:val="center"/>
              <w:rPr>
                <w:i/>
                <w:iCs/>
                <w:color w:val="000000"/>
                <w:szCs w:val="21"/>
              </w:rPr>
            </w:pPr>
            <w:r>
              <w:rPr>
                <w:i/>
                <w:iCs/>
                <w:color w:val="000000"/>
                <w:szCs w:val="21"/>
              </w:rPr>
              <w:t>0.0472</w:t>
            </w:r>
          </w:p>
        </w:tc>
      </w:tr>
      <w:tr>
        <w:tblPrEx>
          <w:tblCellMar>
            <w:top w:w="0" w:type="dxa"/>
            <w:left w:w="108" w:type="dxa"/>
            <w:bottom w:w="0" w:type="dxa"/>
            <w:right w:w="108" w:type="dxa"/>
          </w:tblCellMar>
        </w:tblPrEx>
        <w:trPr>
          <w:trHeight w:val="340" w:hRule="atLeast"/>
        </w:trPr>
        <w:tc>
          <w:tcPr>
            <w:tcW w:w="1375" w:type="pct"/>
            <w:vMerge w:val="continue"/>
            <w:tcBorders>
              <w:left w:val="single" w:color="auto" w:sz="4" w:space="0"/>
              <w:right w:val="single" w:color="auto" w:sz="4" w:space="0"/>
            </w:tcBorders>
            <w:shd w:val="clear" w:color="auto" w:fill="auto"/>
            <w:noWrap/>
            <w:vAlign w:val="center"/>
          </w:tcPr>
          <w:p>
            <w:pPr>
              <w:widowControl/>
              <w:jc w:val="center"/>
              <w:rPr>
                <w:kern w:val="0"/>
                <w:szCs w:val="21"/>
              </w:rPr>
            </w:pP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0.0031</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0.0108</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0.0206</w:t>
            </w:r>
          </w:p>
        </w:tc>
        <w:tc>
          <w:tcPr>
            <w:tcW w:w="905" w:type="pct"/>
            <w:tcBorders>
              <w:top w:val="single" w:color="auto" w:sz="4" w:space="0"/>
              <w:left w:val="nil"/>
              <w:bottom w:val="single" w:color="auto" w:sz="4" w:space="0"/>
              <w:right w:val="single" w:color="auto" w:sz="4" w:space="0"/>
            </w:tcBorders>
            <w:vAlign w:val="center"/>
          </w:tcPr>
          <w:p>
            <w:pPr>
              <w:jc w:val="center"/>
              <w:rPr>
                <w:i/>
                <w:iCs/>
                <w:color w:val="000000"/>
                <w:szCs w:val="21"/>
              </w:rPr>
            </w:pPr>
            <w:r>
              <w:rPr>
                <w:i/>
                <w:iCs/>
                <w:color w:val="000000"/>
                <w:szCs w:val="21"/>
              </w:rPr>
              <w:t>0.0465</w:t>
            </w:r>
          </w:p>
        </w:tc>
      </w:tr>
      <w:tr>
        <w:tblPrEx>
          <w:tblCellMar>
            <w:top w:w="0" w:type="dxa"/>
            <w:left w:w="108" w:type="dxa"/>
            <w:bottom w:w="0" w:type="dxa"/>
            <w:right w:w="108" w:type="dxa"/>
          </w:tblCellMar>
        </w:tblPrEx>
        <w:trPr>
          <w:trHeight w:val="340" w:hRule="atLeast"/>
        </w:trPr>
        <w:tc>
          <w:tcPr>
            <w:tcW w:w="1375" w:type="pct"/>
            <w:vMerge w:val="continue"/>
            <w:tcBorders>
              <w:left w:val="single" w:color="auto" w:sz="4" w:space="0"/>
              <w:right w:val="single" w:color="auto" w:sz="4" w:space="0"/>
            </w:tcBorders>
            <w:shd w:val="clear" w:color="auto" w:fill="auto"/>
            <w:noWrap/>
            <w:vAlign w:val="center"/>
          </w:tcPr>
          <w:p>
            <w:pPr>
              <w:widowControl/>
              <w:jc w:val="center"/>
              <w:rPr>
                <w:kern w:val="0"/>
                <w:szCs w:val="21"/>
              </w:rPr>
            </w:pP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0.0026</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0.0108</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0.0211</w:t>
            </w:r>
          </w:p>
        </w:tc>
        <w:tc>
          <w:tcPr>
            <w:tcW w:w="905" w:type="pct"/>
            <w:tcBorders>
              <w:top w:val="single" w:color="auto" w:sz="4" w:space="0"/>
              <w:left w:val="nil"/>
              <w:bottom w:val="single" w:color="auto" w:sz="4" w:space="0"/>
              <w:right w:val="single" w:color="auto" w:sz="4" w:space="0"/>
            </w:tcBorders>
            <w:vAlign w:val="center"/>
          </w:tcPr>
          <w:p>
            <w:pPr>
              <w:jc w:val="center"/>
              <w:rPr>
                <w:i/>
                <w:iCs/>
                <w:color w:val="000000"/>
                <w:szCs w:val="21"/>
              </w:rPr>
            </w:pPr>
            <w:r>
              <w:rPr>
                <w:i/>
                <w:iCs/>
                <w:color w:val="000000"/>
                <w:szCs w:val="21"/>
              </w:rPr>
              <w:t>0.0457</w:t>
            </w:r>
          </w:p>
        </w:tc>
      </w:tr>
      <w:tr>
        <w:tblPrEx>
          <w:tblCellMar>
            <w:top w:w="0" w:type="dxa"/>
            <w:left w:w="108" w:type="dxa"/>
            <w:bottom w:w="0" w:type="dxa"/>
            <w:right w:w="108" w:type="dxa"/>
          </w:tblCellMar>
        </w:tblPrEx>
        <w:trPr>
          <w:trHeight w:val="340" w:hRule="atLeast"/>
        </w:trPr>
        <w:tc>
          <w:tcPr>
            <w:tcW w:w="1375" w:type="pct"/>
            <w:vMerge w:val="continue"/>
            <w:tcBorders>
              <w:left w:val="single" w:color="auto" w:sz="4" w:space="0"/>
              <w:right w:val="single" w:color="auto" w:sz="4" w:space="0"/>
            </w:tcBorders>
            <w:shd w:val="clear" w:color="auto" w:fill="auto"/>
            <w:noWrap/>
            <w:vAlign w:val="center"/>
          </w:tcPr>
          <w:p>
            <w:pPr>
              <w:widowControl/>
              <w:jc w:val="center"/>
              <w:rPr>
                <w:kern w:val="0"/>
                <w:szCs w:val="21"/>
              </w:rPr>
            </w:pP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0.0027</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0.0113</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0.0197</w:t>
            </w:r>
          </w:p>
        </w:tc>
        <w:tc>
          <w:tcPr>
            <w:tcW w:w="905" w:type="pct"/>
            <w:tcBorders>
              <w:top w:val="single" w:color="auto" w:sz="4" w:space="0"/>
              <w:left w:val="nil"/>
              <w:bottom w:val="single" w:color="auto" w:sz="4" w:space="0"/>
              <w:right w:val="single" w:color="auto" w:sz="4" w:space="0"/>
            </w:tcBorders>
            <w:vAlign w:val="center"/>
          </w:tcPr>
          <w:p>
            <w:pPr>
              <w:jc w:val="center"/>
              <w:rPr>
                <w:i/>
                <w:iCs/>
                <w:color w:val="000000"/>
                <w:szCs w:val="21"/>
              </w:rPr>
            </w:pPr>
            <w:r>
              <w:rPr>
                <w:i/>
                <w:iCs/>
                <w:color w:val="000000"/>
                <w:szCs w:val="21"/>
              </w:rPr>
              <w:t>0.0472</w:t>
            </w:r>
          </w:p>
        </w:tc>
      </w:tr>
      <w:tr>
        <w:tblPrEx>
          <w:tblCellMar>
            <w:top w:w="0" w:type="dxa"/>
            <w:left w:w="108" w:type="dxa"/>
            <w:bottom w:w="0" w:type="dxa"/>
            <w:right w:w="108" w:type="dxa"/>
          </w:tblCellMar>
        </w:tblPrEx>
        <w:trPr>
          <w:trHeight w:val="340" w:hRule="atLeast"/>
        </w:trPr>
        <w:tc>
          <w:tcPr>
            <w:tcW w:w="1375" w:type="pct"/>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kern w:val="0"/>
                <w:szCs w:val="21"/>
              </w:rPr>
            </w:pP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0.0030</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0.0109</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0.0207</w:t>
            </w:r>
          </w:p>
        </w:tc>
        <w:tc>
          <w:tcPr>
            <w:tcW w:w="905" w:type="pct"/>
            <w:tcBorders>
              <w:top w:val="single" w:color="auto" w:sz="4" w:space="0"/>
              <w:left w:val="nil"/>
              <w:bottom w:val="single" w:color="auto" w:sz="4" w:space="0"/>
              <w:right w:val="single" w:color="auto" w:sz="4" w:space="0"/>
            </w:tcBorders>
            <w:vAlign w:val="center"/>
          </w:tcPr>
          <w:p>
            <w:pPr>
              <w:jc w:val="center"/>
              <w:rPr>
                <w:i/>
                <w:iCs/>
                <w:color w:val="000000"/>
                <w:szCs w:val="21"/>
              </w:rPr>
            </w:pPr>
            <w:r>
              <w:rPr>
                <w:i/>
                <w:iCs/>
                <w:color w:val="000000"/>
                <w:szCs w:val="21"/>
              </w:rPr>
              <w:t>0.0454</w:t>
            </w:r>
          </w:p>
        </w:tc>
      </w:tr>
      <w:tr>
        <w:tblPrEx>
          <w:tblCellMar>
            <w:top w:w="0" w:type="dxa"/>
            <w:left w:w="108" w:type="dxa"/>
            <w:bottom w:w="0" w:type="dxa"/>
            <w:right w:w="108" w:type="dxa"/>
          </w:tblCellMar>
        </w:tblPrEx>
        <w:trPr>
          <w:trHeight w:val="340" w:hRule="atLeast"/>
        </w:trPr>
        <w:tc>
          <w:tcPr>
            <w:tcW w:w="137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kern w:val="0"/>
                <w:szCs w:val="21"/>
              </w:rPr>
            </w:pPr>
            <w:r>
              <w:rPr>
                <w:kern w:val="0"/>
                <w:szCs w:val="21"/>
              </w:rPr>
              <w:t>有研稀土7</w:t>
            </w:r>
          </w:p>
        </w:tc>
        <w:tc>
          <w:tcPr>
            <w:tcW w:w="938"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0.0031</w:t>
            </w:r>
          </w:p>
        </w:tc>
        <w:tc>
          <w:tcPr>
            <w:tcW w:w="874"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0.0146</w:t>
            </w:r>
          </w:p>
        </w:tc>
        <w:tc>
          <w:tcPr>
            <w:tcW w:w="905" w:type="pct"/>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0.0184</w:t>
            </w:r>
          </w:p>
        </w:tc>
        <w:tc>
          <w:tcPr>
            <w:tcW w:w="905" w:type="pct"/>
            <w:tcBorders>
              <w:top w:val="single" w:color="auto" w:sz="4" w:space="0"/>
              <w:left w:val="single" w:color="auto" w:sz="4" w:space="0"/>
              <w:bottom w:val="single" w:color="auto" w:sz="4" w:space="0"/>
              <w:right w:val="single" w:color="auto" w:sz="4" w:space="0"/>
            </w:tcBorders>
            <w:vAlign w:val="center"/>
          </w:tcPr>
          <w:p>
            <w:pPr>
              <w:jc w:val="center"/>
              <w:rPr>
                <w:color w:val="000000"/>
                <w:szCs w:val="21"/>
              </w:rPr>
            </w:pPr>
            <w:r>
              <w:rPr>
                <w:color w:val="000000"/>
                <w:szCs w:val="21"/>
              </w:rPr>
              <w:t>0.1891</w:t>
            </w:r>
          </w:p>
        </w:tc>
      </w:tr>
      <w:tr>
        <w:tblPrEx>
          <w:tblCellMar>
            <w:top w:w="0" w:type="dxa"/>
            <w:left w:w="108" w:type="dxa"/>
            <w:bottom w:w="0" w:type="dxa"/>
            <w:right w:w="108" w:type="dxa"/>
          </w:tblCellMar>
        </w:tblPrEx>
        <w:trPr>
          <w:trHeight w:val="340" w:hRule="atLeast"/>
        </w:trPr>
        <w:tc>
          <w:tcPr>
            <w:tcW w:w="1375" w:type="pct"/>
            <w:vMerge w:val="continue"/>
            <w:tcBorders>
              <w:top w:val="single" w:color="auto" w:sz="4" w:space="0"/>
              <w:left w:val="single" w:color="auto" w:sz="4" w:space="0"/>
              <w:right w:val="single" w:color="auto" w:sz="4" w:space="0"/>
            </w:tcBorders>
            <w:shd w:val="clear" w:color="auto" w:fill="auto"/>
            <w:noWrap/>
            <w:vAlign w:val="center"/>
          </w:tcPr>
          <w:p>
            <w:pPr>
              <w:jc w:val="center"/>
              <w:rPr>
                <w:kern w:val="0"/>
                <w:szCs w:val="21"/>
              </w:rPr>
            </w:pP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0.0037</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0.0153</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0.0176</w:t>
            </w:r>
          </w:p>
        </w:tc>
        <w:tc>
          <w:tcPr>
            <w:tcW w:w="90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0.1854</w:t>
            </w:r>
          </w:p>
        </w:tc>
      </w:tr>
      <w:tr>
        <w:tblPrEx>
          <w:tblCellMar>
            <w:top w:w="0" w:type="dxa"/>
            <w:left w:w="108" w:type="dxa"/>
            <w:bottom w:w="0" w:type="dxa"/>
            <w:right w:w="108" w:type="dxa"/>
          </w:tblCellMar>
        </w:tblPrEx>
        <w:trPr>
          <w:trHeight w:val="340" w:hRule="atLeast"/>
        </w:trPr>
        <w:tc>
          <w:tcPr>
            <w:tcW w:w="1375" w:type="pct"/>
            <w:vMerge w:val="continue"/>
            <w:tcBorders>
              <w:left w:val="single" w:color="auto" w:sz="4" w:space="0"/>
              <w:right w:val="single" w:color="auto" w:sz="4" w:space="0"/>
            </w:tcBorders>
            <w:shd w:val="clear" w:color="auto" w:fill="auto"/>
            <w:noWrap/>
            <w:vAlign w:val="center"/>
          </w:tcPr>
          <w:p>
            <w:pPr>
              <w:jc w:val="center"/>
              <w:rPr>
                <w:kern w:val="0"/>
                <w:szCs w:val="21"/>
              </w:rPr>
            </w:pP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0.0034</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0.0145</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0.0162</w:t>
            </w:r>
          </w:p>
        </w:tc>
        <w:tc>
          <w:tcPr>
            <w:tcW w:w="90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0.1901</w:t>
            </w:r>
          </w:p>
        </w:tc>
      </w:tr>
      <w:tr>
        <w:tblPrEx>
          <w:tblCellMar>
            <w:top w:w="0" w:type="dxa"/>
            <w:left w:w="108" w:type="dxa"/>
            <w:bottom w:w="0" w:type="dxa"/>
            <w:right w:w="108" w:type="dxa"/>
          </w:tblCellMar>
        </w:tblPrEx>
        <w:trPr>
          <w:trHeight w:val="340" w:hRule="atLeast"/>
        </w:trPr>
        <w:tc>
          <w:tcPr>
            <w:tcW w:w="1375" w:type="pct"/>
            <w:vMerge w:val="continue"/>
            <w:tcBorders>
              <w:left w:val="single" w:color="auto" w:sz="4" w:space="0"/>
              <w:right w:val="single" w:color="auto" w:sz="4" w:space="0"/>
            </w:tcBorders>
            <w:shd w:val="clear" w:color="auto" w:fill="auto"/>
            <w:noWrap/>
            <w:vAlign w:val="center"/>
          </w:tcPr>
          <w:p>
            <w:pPr>
              <w:jc w:val="center"/>
              <w:rPr>
                <w:kern w:val="0"/>
                <w:szCs w:val="21"/>
              </w:rPr>
            </w:pP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0.0045</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0.0138</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0.0156</w:t>
            </w:r>
          </w:p>
        </w:tc>
        <w:tc>
          <w:tcPr>
            <w:tcW w:w="90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0.1951</w:t>
            </w:r>
          </w:p>
        </w:tc>
      </w:tr>
      <w:tr>
        <w:tblPrEx>
          <w:tblCellMar>
            <w:top w:w="0" w:type="dxa"/>
            <w:left w:w="108" w:type="dxa"/>
            <w:bottom w:w="0" w:type="dxa"/>
            <w:right w:w="108" w:type="dxa"/>
          </w:tblCellMar>
        </w:tblPrEx>
        <w:trPr>
          <w:trHeight w:val="340" w:hRule="atLeast"/>
        </w:trPr>
        <w:tc>
          <w:tcPr>
            <w:tcW w:w="1375" w:type="pct"/>
            <w:vMerge w:val="continue"/>
            <w:tcBorders>
              <w:left w:val="single" w:color="auto" w:sz="4" w:space="0"/>
              <w:right w:val="single" w:color="auto" w:sz="4" w:space="0"/>
            </w:tcBorders>
            <w:shd w:val="clear" w:color="auto" w:fill="auto"/>
            <w:noWrap/>
            <w:vAlign w:val="center"/>
          </w:tcPr>
          <w:p>
            <w:pPr>
              <w:jc w:val="center"/>
              <w:rPr>
                <w:kern w:val="0"/>
                <w:szCs w:val="21"/>
              </w:rPr>
            </w:pP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0.0037</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0.0133</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0.0164</w:t>
            </w:r>
          </w:p>
        </w:tc>
        <w:tc>
          <w:tcPr>
            <w:tcW w:w="90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0.1891</w:t>
            </w:r>
          </w:p>
        </w:tc>
      </w:tr>
      <w:tr>
        <w:tblPrEx>
          <w:tblCellMar>
            <w:top w:w="0" w:type="dxa"/>
            <w:left w:w="108" w:type="dxa"/>
            <w:bottom w:w="0" w:type="dxa"/>
            <w:right w:w="108" w:type="dxa"/>
          </w:tblCellMar>
        </w:tblPrEx>
        <w:trPr>
          <w:trHeight w:val="340" w:hRule="atLeast"/>
        </w:trPr>
        <w:tc>
          <w:tcPr>
            <w:tcW w:w="1375" w:type="pct"/>
            <w:vMerge w:val="continue"/>
            <w:tcBorders>
              <w:left w:val="single" w:color="auto" w:sz="4" w:space="0"/>
              <w:right w:val="single" w:color="auto" w:sz="4" w:space="0"/>
            </w:tcBorders>
            <w:shd w:val="clear" w:color="auto" w:fill="auto"/>
            <w:noWrap/>
            <w:vAlign w:val="center"/>
          </w:tcPr>
          <w:p>
            <w:pPr>
              <w:jc w:val="center"/>
              <w:rPr>
                <w:kern w:val="0"/>
                <w:szCs w:val="21"/>
              </w:rPr>
            </w:pP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0.0043</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0.0157</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0.0168</w:t>
            </w:r>
          </w:p>
        </w:tc>
        <w:tc>
          <w:tcPr>
            <w:tcW w:w="90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0.1803</w:t>
            </w:r>
          </w:p>
        </w:tc>
      </w:tr>
      <w:tr>
        <w:tblPrEx>
          <w:tblCellMar>
            <w:top w:w="0" w:type="dxa"/>
            <w:left w:w="108" w:type="dxa"/>
            <w:bottom w:w="0" w:type="dxa"/>
            <w:right w:w="108" w:type="dxa"/>
          </w:tblCellMar>
        </w:tblPrEx>
        <w:trPr>
          <w:trHeight w:val="340" w:hRule="atLeast"/>
        </w:trPr>
        <w:tc>
          <w:tcPr>
            <w:tcW w:w="1375" w:type="pct"/>
            <w:vMerge w:val="continue"/>
            <w:tcBorders>
              <w:left w:val="single" w:color="auto" w:sz="4" w:space="0"/>
              <w:right w:val="single" w:color="auto" w:sz="4" w:space="0"/>
            </w:tcBorders>
            <w:shd w:val="clear" w:color="auto" w:fill="auto"/>
            <w:noWrap/>
            <w:vAlign w:val="center"/>
          </w:tcPr>
          <w:p>
            <w:pPr>
              <w:widowControl/>
              <w:jc w:val="center"/>
              <w:rPr>
                <w:kern w:val="0"/>
                <w:szCs w:val="21"/>
              </w:rPr>
            </w:pP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0.0032</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0.0152</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0.0165</w:t>
            </w:r>
          </w:p>
        </w:tc>
        <w:tc>
          <w:tcPr>
            <w:tcW w:w="90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0.1924</w:t>
            </w:r>
          </w:p>
        </w:tc>
      </w:tr>
      <w:tr>
        <w:tblPrEx>
          <w:tblCellMar>
            <w:top w:w="0" w:type="dxa"/>
            <w:left w:w="108" w:type="dxa"/>
            <w:bottom w:w="0" w:type="dxa"/>
            <w:right w:w="108" w:type="dxa"/>
          </w:tblCellMar>
        </w:tblPrEx>
        <w:trPr>
          <w:trHeight w:val="340" w:hRule="atLeast"/>
        </w:trPr>
        <w:tc>
          <w:tcPr>
            <w:tcW w:w="1375" w:type="pct"/>
            <w:vMerge w:val="continue"/>
            <w:tcBorders>
              <w:left w:val="single" w:color="auto" w:sz="4" w:space="0"/>
              <w:right w:val="single" w:color="auto" w:sz="4" w:space="0"/>
            </w:tcBorders>
            <w:shd w:val="clear" w:color="auto" w:fill="auto"/>
            <w:noWrap/>
            <w:vAlign w:val="center"/>
          </w:tcPr>
          <w:p>
            <w:pPr>
              <w:widowControl/>
              <w:jc w:val="center"/>
              <w:rPr>
                <w:kern w:val="0"/>
                <w:szCs w:val="21"/>
              </w:rPr>
            </w:pP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0.0044</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0.0144</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0.0169</w:t>
            </w:r>
          </w:p>
        </w:tc>
        <w:tc>
          <w:tcPr>
            <w:tcW w:w="90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0.1975</w:t>
            </w:r>
          </w:p>
        </w:tc>
      </w:tr>
      <w:tr>
        <w:tblPrEx>
          <w:tblCellMar>
            <w:top w:w="0" w:type="dxa"/>
            <w:left w:w="108" w:type="dxa"/>
            <w:bottom w:w="0" w:type="dxa"/>
            <w:right w:w="108" w:type="dxa"/>
          </w:tblCellMar>
        </w:tblPrEx>
        <w:trPr>
          <w:trHeight w:val="340" w:hRule="atLeast"/>
        </w:trPr>
        <w:tc>
          <w:tcPr>
            <w:tcW w:w="1375" w:type="pct"/>
            <w:vMerge w:val="continue"/>
            <w:tcBorders>
              <w:left w:val="single" w:color="auto" w:sz="4" w:space="0"/>
              <w:right w:val="single" w:color="auto" w:sz="4" w:space="0"/>
            </w:tcBorders>
            <w:shd w:val="clear" w:color="auto" w:fill="auto"/>
            <w:noWrap/>
            <w:vAlign w:val="center"/>
          </w:tcPr>
          <w:p>
            <w:pPr>
              <w:widowControl/>
              <w:jc w:val="center"/>
              <w:rPr>
                <w:kern w:val="0"/>
                <w:szCs w:val="21"/>
              </w:rPr>
            </w:pP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0.0033</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0.0135</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0.0177</w:t>
            </w:r>
          </w:p>
        </w:tc>
        <w:tc>
          <w:tcPr>
            <w:tcW w:w="90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0.1863</w:t>
            </w:r>
          </w:p>
        </w:tc>
      </w:tr>
      <w:tr>
        <w:tblPrEx>
          <w:tblCellMar>
            <w:top w:w="0" w:type="dxa"/>
            <w:left w:w="108" w:type="dxa"/>
            <w:bottom w:w="0" w:type="dxa"/>
            <w:right w:w="108" w:type="dxa"/>
          </w:tblCellMar>
        </w:tblPrEx>
        <w:trPr>
          <w:trHeight w:val="340" w:hRule="atLeast"/>
        </w:trPr>
        <w:tc>
          <w:tcPr>
            <w:tcW w:w="1375" w:type="pct"/>
            <w:vMerge w:val="continue"/>
            <w:tcBorders>
              <w:left w:val="single" w:color="auto" w:sz="4" w:space="0"/>
              <w:right w:val="single" w:color="auto" w:sz="4" w:space="0"/>
            </w:tcBorders>
            <w:shd w:val="clear" w:color="auto" w:fill="auto"/>
            <w:noWrap/>
            <w:vAlign w:val="center"/>
          </w:tcPr>
          <w:p>
            <w:pPr>
              <w:widowControl/>
              <w:jc w:val="center"/>
              <w:rPr>
                <w:kern w:val="0"/>
                <w:szCs w:val="21"/>
              </w:rPr>
            </w:pP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0.004</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0.0131</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0.0173</w:t>
            </w:r>
          </w:p>
        </w:tc>
        <w:tc>
          <w:tcPr>
            <w:tcW w:w="90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0.1872</w:t>
            </w:r>
          </w:p>
        </w:tc>
      </w:tr>
      <w:tr>
        <w:trPr>
          <w:trHeight w:val="340" w:hRule="atLeast"/>
        </w:trPr>
        <w:tc>
          <w:tcPr>
            <w:tcW w:w="1375" w:type="pct"/>
            <w:vMerge w:val="continue"/>
            <w:tcBorders>
              <w:left w:val="single" w:color="auto" w:sz="4" w:space="0"/>
              <w:right w:val="single" w:color="auto" w:sz="4" w:space="0"/>
            </w:tcBorders>
            <w:shd w:val="clear" w:color="auto" w:fill="auto"/>
            <w:noWrap/>
            <w:vAlign w:val="center"/>
          </w:tcPr>
          <w:p>
            <w:pPr>
              <w:widowControl/>
              <w:jc w:val="center"/>
              <w:rPr>
                <w:kern w:val="0"/>
                <w:szCs w:val="21"/>
              </w:rPr>
            </w:pPr>
          </w:p>
        </w:tc>
        <w:tc>
          <w:tcPr>
            <w:tcW w:w="938"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0.0046</w:t>
            </w:r>
          </w:p>
        </w:tc>
        <w:tc>
          <w:tcPr>
            <w:tcW w:w="874"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0.0132</w:t>
            </w:r>
          </w:p>
        </w:tc>
        <w:tc>
          <w:tcPr>
            <w:tcW w:w="905" w:type="pct"/>
            <w:tcBorders>
              <w:top w:val="single" w:color="auto" w:sz="4" w:space="0"/>
              <w:left w:val="nil"/>
              <w:bottom w:val="single" w:color="auto" w:sz="4" w:space="0"/>
              <w:right w:val="single" w:color="auto" w:sz="4" w:space="0"/>
            </w:tcBorders>
            <w:shd w:val="clear" w:color="auto" w:fill="auto"/>
            <w:noWrap/>
            <w:vAlign w:val="center"/>
          </w:tcPr>
          <w:p>
            <w:pPr>
              <w:jc w:val="center"/>
              <w:rPr>
                <w:color w:val="000000"/>
                <w:szCs w:val="21"/>
              </w:rPr>
            </w:pPr>
            <w:r>
              <w:rPr>
                <w:color w:val="000000"/>
                <w:szCs w:val="21"/>
              </w:rPr>
              <w:t>0.0178</w:t>
            </w:r>
          </w:p>
        </w:tc>
        <w:tc>
          <w:tcPr>
            <w:tcW w:w="905" w:type="pct"/>
            <w:tcBorders>
              <w:top w:val="single" w:color="auto" w:sz="4" w:space="0"/>
              <w:left w:val="nil"/>
              <w:bottom w:val="single" w:color="auto" w:sz="4" w:space="0"/>
              <w:right w:val="single" w:color="auto" w:sz="4" w:space="0"/>
            </w:tcBorders>
            <w:vAlign w:val="center"/>
          </w:tcPr>
          <w:p>
            <w:pPr>
              <w:jc w:val="center"/>
              <w:rPr>
                <w:color w:val="000000"/>
                <w:szCs w:val="21"/>
              </w:rPr>
            </w:pPr>
            <w:r>
              <w:rPr>
                <w:color w:val="000000"/>
                <w:szCs w:val="21"/>
              </w:rPr>
              <w:t>0.1835</w:t>
            </w:r>
          </w:p>
        </w:tc>
      </w:tr>
    </w:tbl>
    <w:p>
      <w:pPr>
        <w:jc w:val="center"/>
        <w:rPr>
          <w:szCs w:val="21"/>
        </w:rPr>
      </w:pPr>
    </w:p>
    <w:p>
      <w:pPr>
        <w:jc w:val="center"/>
        <w:rPr>
          <w:szCs w:val="21"/>
        </w:rPr>
      </w:pPr>
    </w:p>
    <w:p>
      <w:pPr>
        <w:spacing w:line="300" w:lineRule="auto"/>
        <w:jc w:val="center"/>
        <w:rPr>
          <w:szCs w:val="21"/>
        </w:rPr>
      </w:pPr>
      <w:r>
        <w:rPr>
          <w:szCs w:val="21"/>
        </w:rPr>
        <w:t>表B.3 各单元的标准差</w:t>
      </w:r>
    </w:p>
    <w:tbl>
      <w:tblPr>
        <w:tblStyle w:val="88"/>
        <w:tblW w:w="5000" w:type="pct"/>
        <w:tblInd w:w="0" w:type="dxa"/>
        <w:tblLayout w:type="autofit"/>
        <w:tblCellMar>
          <w:top w:w="0" w:type="dxa"/>
          <w:left w:w="108" w:type="dxa"/>
          <w:bottom w:w="0" w:type="dxa"/>
          <w:right w:w="108" w:type="dxa"/>
        </w:tblCellMar>
      </w:tblPr>
      <w:tblGrid>
        <w:gridCol w:w="1846"/>
        <w:gridCol w:w="2030"/>
        <w:gridCol w:w="2030"/>
        <w:gridCol w:w="2031"/>
        <w:gridCol w:w="2031"/>
      </w:tblGrid>
      <w:tr>
        <w:tblPrEx>
          <w:tblCellMar>
            <w:top w:w="0" w:type="dxa"/>
            <w:left w:w="108" w:type="dxa"/>
            <w:bottom w:w="0" w:type="dxa"/>
            <w:right w:w="108" w:type="dxa"/>
          </w:tblCellMar>
        </w:tblPrEx>
        <w:trPr>
          <w:trHeight w:val="340" w:hRule="atLeast"/>
        </w:trPr>
        <w:tc>
          <w:tcPr>
            <w:tcW w:w="184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szCs w:val="21"/>
              </w:rPr>
            </w:pPr>
            <w:r>
              <w:rPr>
                <w:kern w:val="0"/>
                <w:szCs w:val="21"/>
              </w:rPr>
              <w:t>实验室</w:t>
            </w:r>
          </w:p>
        </w:tc>
        <w:tc>
          <w:tcPr>
            <w:tcW w:w="2030"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szCs w:val="21"/>
              </w:rPr>
            </w:pPr>
            <w:r>
              <w:rPr>
                <w:kern w:val="0"/>
                <w:szCs w:val="21"/>
              </w:rPr>
              <w:t>水平1</w:t>
            </w:r>
          </w:p>
        </w:tc>
        <w:tc>
          <w:tcPr>
            <w:tcW w:w="2030"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szCs w:val="21"/>
              </w:rPr>
            </w:pPr>
            <w:r>
              <w:rPr>
                <w:kern w:val="0"/>
                <w:szCs w:val="21"/>
              </w:rPr>
              <w:t>水平2</w:t>
            </w:r>
          </w:p>
        </w:tc>
        <w:tc>
          <w:tcPr>
            <w:tcW w:w="2031"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szCs w:val="21"/>
              </w:rPr>
            </w:pPr>
            <w:r>
              <w:rPr>
                <w:kern w:val="0"/>
                <w:szCs w:val="21"/>
              </w:rPr>
              <w:t>水平3</w:t>
            </w:r>
          </w:p>
        </w:tc>
        <w:tc>
          <w:tcPr>
            <w:tcW w:w="2031"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szCs w:val="21"/>
              </w:rPr>
            </w:pPr>
            <w:r>
              <w:rPr>
                <w:kern w:val="0"/>
                <w:szCs w:val="21"/>
              </w:rPr>
              <w:t>水平4</w:t>
            </w:r>
          </w:p>
        </w:tc>
      </w:tr>
      <w:tr>
        <w:tblPrEx>
          <w:tblCellMar>
            <w:top w:w="0" w:type="dxa"/>
            <w:left w:w="108" w:type="dxa"/>
            <w:bottom w:w="0" w:type="dxa"/>
            <w:right w:w="108" w:type="dxa"/>
          </w:tblCellMar>
        </w:tblPrEx>
        <w:trPr>
          <w:trHeight w:val="34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szCs w:val="21"/>
              </w:rPr>
            </w:pPr>
            <w:r>
              <w:rPr>
                <w:kern w:val="0"/>
                <w:szCs w:val="21"/>
              </w:rPr>
              <w:t>国合通测1</w:t>
            </w:r>
          </w:p>
        </w:tc>
        <w:tc>
          <w:tcPr>
            <w:tcW w:w="2030" w:type="dxa"/>
            <w:tcBorders>
              <w:top w:val="nil"/>
              <w:left w:val="nil"/>
              <w:bottom w:val="single" w:color="000000" w:sz="8" w:space="0"/>
              <w:right w:val="single" w:color="000000" w:sz="8" w:space="0"/>
            </w:tcBorders>
            <w:shd w:val="clear" w:color="auto" w:fill="auto"/>
            <w:vAlign w:val="center"/>
          </w:tcPr>
          <w:p>
            <w:pPr>
              <w:widowControl/>
              <w:jc w:val="center"/>
              <w:textAlignment w:val="center"/>
              <w:rPr>
                <w:kern w:val="0"/>
                <w:szCs w:val="21"/>
              </w:rPr>
            </w:pPr>
            <w:r>
              <w:rPr>
                <w:kern w:val="0"/>
                <w:szCs w:val="21"/>
              </w:rPr>
              <w:t xml:space="preserve">0.00011 </w:t>
            </w:r>
          </w:p>
        </w:tc>
        <w:tc>
          <w:tcPr>
            <w:tcW w:w="2030" w:type="dxa"/>
            <w:tcBorders>
              <w:top w:val="nil"/>
              <w:left w:val="nil"/>
              <w:bottom w:val="single" w:color="000000" w:sz="8" w:space="0"/>
              <w:right w:val="single" w:color="000000" w:sz="8" w:space="0"/>
            </w:tcBorders>
            <w:shd w:val="clear" w:color="auto" w:fill="auto"/>
            <w:vAlign w:val="center"/>
          </w:tcPr>
          <w:p>
            <w:pPr>
              <w:widowControl/>
              <w:jc w:val="center"/>
              <w:textAlignment w:val="center"/>
              <w:rPr>
                <w:kern w:val="0"/>
                <w:szCs w:val="21"/>
              </w:rPr>
            </w:pPr>
            <w:r>
              <w:rPr>
                <w:kern w:val="0"/>
                <w:szCs w:val="21"/>
              </w:rPr>
              <w:t xml:space="preserve">0.00037 </w:t>
            </w:r>
          </w:p>
        </w:tc>
        <w:tc>
          <w:tcPr>
            <w:tcW w:w="2031" w:type="dxa"/>
            <w:tcBorders>
              <w:top w:val="nil"/>
              <w:left w:val="nil"/>
              <w:bottom w:val="single" w:color="000000" w:sz="8" w:space="0"/>
              <w:right w:val="single" w:color="000000" w:sz="8" w:space="0"/>
            </w:tcBorders>
            <w:shd w:val="clear" w:color="auto" w:fill="auto"/>
            <w:vAlign w:val="center"/>
          </w:tcPr>
          <w:p>
            <w:pPr>
              <w:widowControl/>
              <w:jc w:val="center"/>
              <w:textAlignment w:val="center"/>
              <w:rPr>
                <w:kern w:val="0"/>
                <w:szCs w:val="21"/>
              </w:rPr>
            </w:pPr>
            <w:r>
              <w:rPr>
                <w:kern w:val="0"/>
                <w:szCs w:val="21"/>
              </w:rPr>
              <w:t xml:space="preserve">0.00043 </w:t>
            </w:r>
          </w:p>
        </w:tc>
        <w:tc>
          <w:tcPr>
            <w:tcW w:w="2031" w:type="dxa"/>
            <w:tcBorders>
              <w:top w:val="nil"/>
              <w:left w:val="nil"/>
              <w:bottom w:val="single" w:color="000000" w:sz="8" w:space="0"/>
              <w:right w:val="single" w:color="000000" w:sz="8" w:space="0"/>
            </w:tcBorders>
            <w:shd w:val="clear" w:color="auto" w:fill="auto"/>
            <w:vAlign w:val="center"/>
          </w:tcPr>
          <w:p>
            <w:pPr>
              <w:widowControl/>
              <w:jc w:val="center"/>
              <w:textAlignment w:val="center"/>
              <w:rPr>
                <w:kern w:val="0"/>
                <w:szCs w:val="21"/>
              </w:rPr>
            </w:pPr>
            <w:r>
              <w:rPr>
                <w:kern w:val="0"/>
                <w:szCs w:val="21"/>
              </w:rPr>
              <w:t xml:space="preserve">0.0044 </w:t>
            </w:r>
          </w:p>
        </w:tc>
      </w:tr>
      <w:tr>
        <w:tblPrEx>
          <w:tblCellMar>
            <w:top w:w="0" w:type="dxa"/>
            <w:left w:w="108" w:type="dxa"/>
            <w:bottom w:w="0" w:type="dxa"/>
            <w:right w:w="108" w:type="dxa"/>
          </w:tblCellMar>
        </w:tblPrEx>
        <w:trPr>
          <w:trHeight w:val="34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szCs w:val="21"/>
              </w:rPr>
            </w:pPr>
            <w:r>
              <w:rPr>
                <w:kern w:val="0"/>
                <w:szCs w:val="21"/>
              </w:rPr>
              <w:t>包头稀土2</w:t>
            </w:r>
          </w:p>
        </w:tc>
        <w:tc>
          <w:tcPr>
            <w:tcW w:w="2030" w:type="dxa"/>
            <w:tcBorders>
              <w:top w:val="nil"/>
              <w:left w:val="nil"/>
              <w:bottom w:val="single" w:color="000000" w:sz="8" w:space="0"/>
              <w:right w:val="single" w:color="000000" w:sz="8" w:space="0"/>
            </w:tcBorders>
            <w:shd w:val="clear" w:color="auto" w:fill="auto"/>
            <w:vAlign w:val="center"/>
          </w:tcPr>
          <w:p>
            <w:pPr>
              <w:widowControl/>
              <w:jc w:val="center"/>
              <w:textAlignment w:val="center"/>
              <w:rPr>
                <w:kern w:val="0"/>
                <w:szCs w:val="21"/>
              </w:rPr>
            </w:pPr>
            <w:r>
              <w:rPr>
                <w:kern w:val="0"/>
                <w:szCs w:val="21"/>
              </w:rPr>
              <w:t xml:space="preserve">0.00023 </w:t>
            </w:r>
          </w:p>
        </w:tc>
        <w:tc>
          <w:tcPr>
            <w:tcW w:w="2030" w:type="dxa"/>
            <w:tcBorders>
              <w:top w:val="nil"/>
              <w:left w:val="nil"/>
              <w:bottom w:val="single" w:color="000000" w:sz="8" w:space="0"/>
              <w:right w:val="single" w:color="000000" w:sz="8" w:space="0"/>
            </w:tcBorders>
            <w:shd w:val="clear" w:color="auto" w:fill="auto"/>
            <w:vAlign w:val="center"/>
          </w:tcPr>
          <w:p>
            <w:pPr>
              <w:widowControl/>
              <w:jc w:val="center"/>
              <w:textAlignment w:val="center"/>
              <w:rPr>
                <w:kern w:val="0"/>
                <w:szCs w:val="21"/>
              </w:rPr>
            </w:pPr>
            <w:r>
              <w:rPr>
                <w:kern w:val="0"/>
                <w:szCs w:val="21"/>
              </w:rPr>
              <w:t xml:space="preserve">0.00090 </w:t>
            </w:r>
          </w:p>
        </w:tc>
        <w:tc>
          <w:tcPr>
            <w:tcW w:w="2031" w:type="dxa"/>
            <w:tcBorders>
              <w:top w:val="nil"/>
              <w:left w:val="nil"/>
              <w:bottom w:val="single" w:color="000000" w:sz="8" w:space="0"/>
              <w:right w:val="single" w:color="000000" w:sz="8" w:space="0"/>
            </w:tcBorders>
            <w:shd w:val="clear" w:color="auto" w:fill="auto"/>
            <w:vAlign w:val="center"/>
          </w:tcPr>
          <w:p>
            <w:pPr>
              <w:widowControl/>
              <w:jc w:val="center"/>
              <w:textAlignment w:val="center"/>
              <w:rPr>
                <w:kern w:val="0"/>
                <w:szCs w:val="21"/>
              </w:rPr>
            </w:pPr>
            <w:r>
              <w:rPr>
                <w:kern w:val="0"/>
                <w:szCs w:val="21"/>
              </w:rPr>
              <w:t xml:space="preserve">0.00151 </w:t>
            </w:r>
          </w:p>
        </w:tc>
        <w:tc>
          <w:tcPr>
            <w:tcW w:w="2031" w:type="dxa"/>
            <w:tcBorders>
              <w:top w:val="nil"/>
              <w:left w:val="nil"/>
              <w:bottom w:val="single" w:color="000000" w:sz="8" w:space="0"/>
              <w:right w:val="single" w:color="000000" w:sz="8" w:space="0"/>
            </w:tcBorders>
            <w:shd w:val="clear" w:color="auto" w:fill="auto"/>
            <w:vAlign w:val="center"/>
          </w:tcPr>
          <w:p>
            <w:pPr>
              <w:widowControl/>
              <w:jc w:val="center"/>
              <w:textAlignment w:val="center"/>
              <w:rPr>
                <w:kern w:val="0"/>
                <w:szCs w:val="21"/>
              </w:rPr>
            </w:pPr>
          </w:p>
        </w:tc>
      </w:tr>
      <w:tr>
        <w:tblPrEx>
          <w:tblCellMar>
            <w:top w:w="0" w:type="dxa"/>
            <w:left w:w="108" w:type="dxa"/>
            <w:bottom w:w="0" w:type="dxa"/>
            <w:right w:w="108" w:type="dxa"/>
          </w:tblCellMar>
        </w:tblPrEx>
        <w:trPr>
          <w:trHeight w:val="34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szCs w:val="21"/>
              </w:rPr>
            </w:pPr>
            <w:r>
              <w:rPr>
                <w:kern w:val="0"/>
                <w:szCs w:val="21"/>
              </w:rPr>
              <w:t>国标检验3</w:t>
            </w:r>
          </w:p>
        </w:tc>
        <w:tc>
          <w:tcPr>
            <w:tcW w:w="2030" w:type="dxa"/>
            <w:tcBorders>
              <w:top w:val="nil"/>
              <w:left w:val="nil"/>
              <w:bottom w:val="single" w:color="000000" w:sz="8" w:space="0"/>
              <w:right w:val="single" w:color="000000" w:sz="8" w:space="0"/>
            </w:tcBorders>
            <w:shd w:val="clear" w:color="auto" w:fill="auto"/>
            <w:vAlign w:val="center"/>
          </w:tcPr>
          <w:p>
            <w:pPr>
              <w:widowControl/>
              <w:jc w:val="center"/>
              <w:textAlignment w:val="center"/>
              <w:rPr>
                <w:kern w:val="0"/>
                <w:szCs w:val="21"/>
              </w:rPr>
            </w:pPr>
            <w:r>
              <w:rPr>
                <w:kern w:val="0"/>
                <w:szCs w:val="21"/>
              </w:rPr>
              <w:t xml:space="preserve">0.00016 </w:t>
            </w:r>
          </w:p>
        </w:tc>
        <w:tc>
          <w:tcPr>
            <w:tcW w:w="2030" w:type="dxa"/>
            <w:tcBorders>
              <w:top w:val="nil"/>
              <w:left w:val="nil"/>
              <w:bottom w:val="single" w:color="000000" w:sz="8" w:space="0"/>
              <w:right w:val="single" w:color="000000" w:sz="8" w:space="0"/>
            </w:tcBorders>
            <w:shd w:val="clear" w:color="auto" w:fill="auto"/>
            <w:vAlign w:val="center"/>
          </w:tcPr>
          <w:p>
            <w:pPr>
              <w:widowControl/>
              <w:jc w:val="center"/>
              <w:textAlignment w:val="center"/>
              <w:rPr>
                <w:kern w:val="0"/>
                <w:szCs w:val="21"/>
              </w:rPr>
            </w:pPr>
            <w:r>
              <w:rPr>
                <w:kern w:val="0"/>
                <w:szCs w:val="21"/>
              </w:rPr>
              <w:t xml:space="preserve">0.00057 </w:t>
            </w:r>
          </w:p>
        </w:tc>
        <w:tc>
          <w:tcPr>
            <w:tcW w:w="2031" w:type="dxa"/>
            <w:tcBorders>
              <w:top w:val="nil"/>
              <w:left w:val="nil"/>
              <w:bottom w:val="single" w:color="000000" w:sz="8" w:space="0"/>
              <w:right w:val="single" w:color="000000" w:sz="8" w:space="0"/>
            </w:tcBorders>
            <w:shd w:val="clear" w:color="auto" w:fill="auto"/>
            <w:vAlign w:val="center"/>
          </w:tcPr>
          <w:p>
            <w:pPr>
              <w:widowControl/>
              <w:jc w:val="center"/>
              <w:textAlignment w:val="center"/>
              <w:rPr>
                <w:kern w:val="0"/>
                <w:szCs w:val="21"/>
              </w:rPr>
            </w:pPr>
            <w:r>
              <w:rPr>
                <w:kern w:val="0"/>
                <w:szCs w:val="21"/>
              </w:rPr>
              <w:t xml:space="preserve">0.00067 </w:t>
            </w:r>
          </w:p>
        </w:tc>
        <w:tc>
          <w:tcPr>
            <w:tcW w:w="2031" w:type="dxa"/>
            <w:tcBorders>
              <w:top w:val="nil"/>
              <w:left w:val="nil"/>
              <w:bottom w:val="single" w:color="000000" w:sz="8" w:space="0"/>
              <w:right w:val="single" w:color="000000" w:sz="8" w:space="0"/>
            </w:tcBorders>
            <w:shd w:val="clear" w:color="auto" w:fill="auto"/>
            <w:vAlign w:val="center"/>
          </w:tcPr>
          <w:p>
            <w:pPr>
              <w:widowControl/>
              <w:jc w:val="center"/>
              <w:textAlignment w:val="center"/>
              <w:rPr>
                <w:kern w:val="0"/>
                <w:szCs w:val="21"/>
              </w:rPr>
            </w:pPr>
            <w:r>
              <w:rPr>
                <w:kern w:val="0"/>
                <w:szCs w:val="21"/>
              </w:rPr>
              <w:t xml:space="preserve">0.0062 </w:t>
            </w:r>
          </w:p>
        </w:tc>
      </w:tr>
      <w:tr>
        <w:tblPrEx>
          <w:tblCellMar>
            <w:top w:w="0" w:type="dxa"/>
            <w:left w:w="108" w:type="dxa"/>
            <w:bottom w:w="0" w:type="dxa"/>
            <w:right w:w="108" w:type="dxa"/>
          </w:tblCellMar>
        </w:tblPrEx>
        <w:trPr>
          <w:trHeight w:val="34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szCs w:val="21"/>
              </w:rPr>
            </w:pPr>
            <w:r>
              <w:rPr>
                <w:kern w:val="0"/>
                <w:szCs w:val="21"/>
              </w:rPr>
              <w:t>赣州有色4</w:t>
            </w:r>
          </w:p>
        </w:tc>
        <w:tc>
          <w:tcPr>
            <w:tcW w:w="2030" w:type="dxa"/>
            <w:tcBorders>
              <w:top w:val="nil"/>
              <w:left w:val="nil"/>
              <w:bottom w:val="single" w:color="000000" w:sz="8" w:space="0"/>
              <w:right w:val="single" w:color="000000" w:sz="8" w:space="0"/>
            </w:tcBorders>
            <w:shd w:val="clear" w:color="auto" w:fill="auto"/>
            <w:vAlign w:val="center"/>
          </w:tcPr>
          <w:p>
            <w:pPr>
              <w:widowControl/>
              <w:jc w:val="center"/>
              <w:textAlignment w:val="center"/>
              <w:rPr>
                <w:kern w:val="0"/>
                <w:szCs w:val="21"/>
              </w:rPr>
            </w:pPr>
            <w:r>
              <w:rPr>
                <w:kern w:val="0"/>
                <w:szCs w:val="21"/>
              </w:rPr>
              <w:t xml:space="preserve">0.00021 </w:t>
            </w:r>
          </w:p>
        </w:tc>
        <w:tc>
          <w:tcPr>
            <w:tcW w:w="2030" w:type="dxa"/>
            <w:tcBorders>
              <w:top w:val="nil"/>
              <w:left w:val="nil"/>
              <w:bottom w:val="single" w:color="000000" w:sz="8" w:space="0"/>
              <w:right w:val="single" w:color="000000" w:sz="8" w:space="0"/>
            </w:tcBorders>
            <w:shd w:val="clear" w:color="auto" w:fill="auto"/>
            <w:vAlign w:val="center"/>
          </w:tcPr>
          <w:p>
            <w:pPr>
              <w:widowControl/>
              <w:jc w:val="center"/>
              <w:textAlignment w:val="center"/>
              <w:rPr>
                <w:kern w:val="0"/>
                <w:szCs w:val="21"/>
              </w:rPr>
            </w:pPr>
            <w:r>
              <w:rPr>
                <w:kern w:val="0"/>
                <w:szCs w:val="21"/>
              </w:rPr>
              <w:t xml:space="preserve">0.00042 </w:t>
            </w:r>
          </w:p>
        </w:tc>
        <w:tc>
          <w:tcPr>
            <w:tcW w:w="2031" w:type="dxa"/>
            <w:tcBorders>
              <w:top w:val="nil"/>
              <w:left w:val="nil"/>
              <w:bottom w:val="single" w:color="000000" w:sz="8" w:space="0"/>
              <w:right w:val="single" w:color="000000" w:sz="8" w:space="0"/>
            </w:tcBorders>
            <w:shd w:val="clear" w:color="auto" w:fill="auto"/>
            <w:vAlign w:val="center"/>
          </w:tcPr>
          <w:p>
            <w:pPr>
              <w:widowControl/>
              <w:jc w:val="center"/>
              <w:textAlignment w:val="center"/>
              <w:rPr>
                <w:kern w:val="0"/>
                <w:szCs w:val="21"/>
              </w:rPr>
            </w:pPr>
            <w:r>
              <w:rPr>
                <w:kern w:val="0"/>
                <w:szCs w:val="21"/>
              </w:rPr>
              <w:t xml:space="preserve">0.00064 </w:t>
            </w:r>
          </w:p>
        </w:tc>
        <w:tc>
          <w:tcPr>
            <w:tcW w:w="2031" w:type="dxa"/>
            <w:tcBorders>
              <w:top w:val="nil"/>
              <w:left w:val="nil"/>
              <w:bottom w:val="single" w:color="000000" w:sz="8" w:space="0"/>
              <w:right w:val="single" w:color="000000" w:sz="8" w:space="0"/>
            </w:tcBorders>
            <w:shd w:val="clear" w:color="auto" w:fill="auto"/>
            <w:vAlign w:val="center"/>
          </w:tcPr>
          <w:p>
            <w:pPr>
              <w:widowControl/>
              <w:jc w:val="center"/>
              <w:textAlignment w:val="center"/>
              <w:rPr>
                <w:kern w:val="0"/>
                <w:szCs w:val="21"/>
              </w:rPr>
            </w:pPr>
            <w:r>
              <w:rPr>
                <w:kern w:val="0"/>
                <w:szCs w:val="21"/>
              </w:rPr>
              <w:t xml:space="preserve"> </w:t>
            </w:r>
          </w:p>
        </w:tc>
      </w:tr>
      <w:tr>
        <w:tblPrEx>
          <w:tblCellMar>
            <w:top w:w="0" w:type="dxa"/>
            <w:left w:w="108" w:type="dxa"/>
            <w:bottom w:w="0" w:type="dxa"/>
            <w:right w:w="108" w:type="dxa"/>
          </w:tblCellMar>
        </w:tblPrEx>
        <w:trPr>
          <w:trHeight w:val="34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szCs w:val="21"/>
              </w:rPr>
            </w:pPr>
            <w:r>
              <w:rPr>
                <w:kern w:val="0"/>
                <w:szCs w:val="21"/>
              </w:rPr>
              <w:t>乐山锐丰5</w:t>
            </w:r>
          </w:p>
        </w:tc>
        <w:tc>
          <w:tcPr>
            <w:tcW w:w="2030" w:type="dxa"/>
            <w:tcBorders>
              <w:top w:val="nil"/>
              <w:left w:val="nil"/>
              <w:bottom w:val="single" w:color="000000" w:sz="8" w:space="0"/>
              <w:right w:val="single" w:color="000000" w:sz="8" w:space="0"/>
            </w:tcBorders>
            <w:shd w:val="clear" w:color="auto" w:fill="auto"/>
            <w:vAlign w:val="center"/>
          </w:tcPr>
          <w:p>
            <w:pPr>
              <w:widowControl/>
              <w:jc w:val="center"/>
              <w:textAlignment w:val="center"/>
              <w:rPr>
                <w:kern w:val="0"/>
                <w:szCs w:val="21"/>
              </w:rPr>
            </w:pPr>
            <w:r>
              <w:rPr>
                <w:kern w:val="0"/>
                <w:szCs w:val="21"/>
              </w:rPr>
              <w:t xml:space="preserve">0.00010 </w:t>
            </w:r>
          </w:p>
        </w:tc>
        <w:tc>
          <w:tcPr>
            <w:tcW w:w="2030" w:type="dxa"/>
            <w:tcBorders>
              <w:top w:val="nil"/>
              <w:left w:val="nil"/>
              <w:bottom w:val="single" w:color="000000" w:sz="8" w:space="0"/>
              <w:right w:val="single" w:color="000000" w:sz="8" w:space="0"/>
            </w:tcBorders>
            <w:shd w:val="clear" w:color="auto" w:fill="auto"/>
            <w:vAlign w:val="center"/>
          </w:tcPr>
          <w:p>
            <w:pPr>
              <w:widowControl/>
              <w:jc w:val="center"/>
              <w:textAlignment w:val="center"/>
              <w:rPr>
                <w:kern w:val="0"/>
                <w:szCs w:val="21"/>
              </w:rPr>
            </w:pPr>
            <w:r>
              <w:rPr>
                <w:kern w:val="0"/>
                <w:szCs w:val="21"/>
              </w:rPr>
              <w:t xml:space="preserve">0.00014 </w:t>
            </w:r>
          </w:p>
        </w:tc>
        <w:tc>
          <w:tcPr>
            <w:tcW w:w="2031" w:type="dxa"/>
            <w:tcBorders>
              <w:top w:val="nil"/>
              <w:left w:val="nil"/>
              <w:bottom w:val="single" w:color="000000" w:sz="8" w:space="0"/>
              <w:right w:val="single" w:color="000000" w:sz="8" w:space="0"/>
            </w:tcBorders>
            <w:shd w:val="clear" w:color="auto" w:fill="auto"/>
            <w:vAlign w:val="center"/>
          </w:tcPr>
          <w:p>
            <w:pPr>
              <w:widowControl/>
              <w:jc w:val="center"/>
              <w:textAlignment w:val="center"/>
              <w:rPr>
                <w:kern w:val="0"/>
                <w:szCs w:val="21"/>
              </w:rPr>
            </w:pPr>
            <w:r>
              <w:rPr>
                <w:kern w:val="0"/>
                <w:szCs w:val="21"/>
              </w:rPr>
              <w:t xml:space="preserve">0.00014 </w:t>
            </w:r>
          </w:p>
        </w:tc>
        <w:tc>
          <w:tcPr>
            <w:tcW w:w="2031" w:type="dxa"/>
            <w:tcBorders>
              <w:top w:val="nil"/>
              <w:left w:val="nil"/>
              <w:bottom w:val="single" w:color="000000" w:sz="8" w:space="0"/>
              <w:right w:val="single" w:color="000000" w:sz="8" w:space="0"/>
            </w:tcBorders>
            <w:shd w:val="clear" w:color="auto" w:fill="auto"/>
            <w:vAlign w:val="center"/>
          </w:tcPr>
          <w:p>
            <w:pPr>
              <w:widowControl/>
              <w:jc w:val="center"/>
              <w:textAlignment w:val="center"/>
              <w:rPr>
                <w:kern w:val="0"/>
                <w:szCs w:val="21"/>
              </w:rPr>
            </w:pPr>
            <w:r>
              <w:rPr>
                <w:kern w:val="0"/>
                <w:szCs w:val="21"/>
              </w:rPr>
              <w:t xml:space="preserve">0.0035 </w:t>
            </w:r>
          </w:p>
        </w:tc>
      </w:tr>
      <w:tr>
        <w:tblPrEx>
          <w:tblCellMar>
            <w:top w:w="0" w:type="dxa"/>
            <w:left w:w="108" w:type="dxa"/>
            <w:bottom w:w="0" w:type="dxa"/>
            <w:right w:w="108" w:type="dxa"/>
          </w:tblCellMar>
        </w:tblPrEx>
        <w:trPr>
          <w:trHeight w:val="34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szCs w:val="21"/>
              </w:rPr>
            </w:pPr>
            <w:r>
              <w:rPr>
                <w:kern w:val="0"/>
                <w:szCs w:val="21"/>
              </w:rPr>
              <w:t>南方稀土6</w:t>
            </w:r>
          </w:p>
        </w:tc>
        <w:tc>
          <w:tcPr>
            <w:tcW w:w="2030" w:type="dxa"/>
            <w:tcBorders>
              <w:top w:val="nil"/>
              <w:left w:val="nil"/>
              <w:bottom w:val="single" w:color="000000" w:sz="8" w:space="0"/>
              <w:right w:val="single" w:color="000000" w:sz="8" w:space="0"/>
            </w:tcBorders>
            <w:shd w:val="clear" w:color="auto" w:fill="auto"/>
            <w:vAlign w:val="center"/>
          </w:tcPr>
          <w:p>
            <w:pPr>
              <w:widowControl/>
              <w:jc w:val="center"/>
              <w:textAlignment w:val="center"/>
              <w:rPr>
                <w:kern w:val="0"/>
                <w:szCs w:val="21"/>
              </w:rPr>
            </w:pPr>
            <w:r>
              <w:rPr>
                <w:kern w:val="0"/>
                <w:szCs w:val="21"/>
              </w:rPr>
              <w:t xml:space="preserve">0.00023 </w:t>
            </w:r>
          </w:p>
        </w:tc>
        <w:tc>
          <w:tcPr>
            <w:tcW w:w="2030" w:type="dxa"/>
            <w:tcBorders>
              <w:top w:val="nil"/>
              <w:left w:val="nil"/>
              <w:bottom w:val="single" w:color="000000" w:sz="8" w:space="0"/>
              <w:right w:val="single" w:color="000000" w:sz="8" w:space="0"/>
            </w:tcBorders>
            <w:shd w:val="clear" w:color="auto" w:fill="auto"/>
            <w:vAlign w:val="center"/>
          </w:tcPr>
          <w:p>
            <w:pPr>
              <w:widowControl/>
              <w:jc w:val="center"/>
              <w:textAlignment w:val="center"/>
              <w:rPr>
                <w:kern w:val="0"/>
                <w:szCs w:val="21"/>
              </w:rPr>
            </w:pPr>
            <w:r>
              <w:rPr>
                <w:kern w:val="0"/>
                <w:szCs w:val="21"/>
              </w:rPr>
              <w:t xml:space="preserve">0.00028 </w:t>
            </w:r>
          </w:p>
        </w:tc>
        <w:tc>
          <w:tcPr>
            <w:tcW w:w="2031" w:type="dxa"/>
            <w:tcBorders>
              <w:top w:val="nil"/>
              <w:left w:val="nil"/>
              <w:bottom w:val="single" w:color="000000" w:sz="8" w:space="0"/>
              <w:right w:val="single" w:color="000000" w:sz="8" w:space="0"/>
            </w:tcBorders>
            <w:shd w:val="clear" w:color="auto" w:fill="auto"/>
            <w:vAlign w:val="center"/>
          </w:tcPr>
          <w:p>
            <w:pPr>
              <w:widowControl/>
              <w:jc w:val="center"/>
              <w:textAlignment w:val="center"/>
              <w:rPr>
                <w:kern w:val="0"/>
                <w:szCs w:val="21"/>
              </w:rPr>
            </w:pPr>
            <w:r>
              <w:rPr>
                <w:kern w:val="0"/>
                <w:szCs w:val="21"/>
              </w:rPr>
              <w:t xml:space="preserve">0.00049 </w:t>
            </w:r>
          </w:p>
        </w:tc>
        <w:tc>
          <w:tcPr>
            <w:tcW w:w="2031" w:type="dxa"/>
            <w:tcBorders>
              <w:top w:val="nil"/>
              <w:left w:val="nil"/>
              <w:bottom w:val="single" w:color="000000" w:sz="8" w:space="0"/>
              <w:right w:val="single" w:color="000000" w:sz="8" w:space="0"/>
            </w:tcBorders>
            <w:shd w:val="clear" w:color="auto" w:fill="auto"/>
            <w:vAlign w:val="center"/>
          </w:tcPr>
          <w:p>
            <w:pPr>
              <w:widowControl/>
              <w:jc w:val="center"/>
              <w:textAlignment w:val="center"/>
              <w:rPr>
                <w:kern w:val="0"/>
                <w:szCs w:val="21"/>
              </w:rPr>
            </w:pPr>
            <w:r>
              <w:rPr>
                <w:kern w:val="0"/>
                <w:szCs w:val="21"/>
              </w:rPr>
              <w:t xml:space="preserve"> </w:t>
            </w:r>
          </w:p>
        </w:tc>
      </w:tr>
      <w:tr>
        <w:tblPrEx>
          <w:tblCellMar>
            <w:top w:w="0" w:type="dxa"/>
            <w:left w:w="108" w:type="dxa"/>
            <w:bottom w:w="0" w:type="dxa"/>
            <w:right w:w="108" w:type="dxa"/>
          </w:tblCellMar>
        </w:tblPrEx>
        <w:trPr>
          <w:trHeight w:val="34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left"/>
              <w:textAlignment w:val="center"/>
              <w:rPr>
                <w:szCs w:val="21"/>
              </w:rPr>
            </w:pPr>
            <w:r>
              <w:rPr>
                <w:kern w:val="0"/>
                <w:szCs w:val="21"/>
              </w:rPr>
              <w:t>有研稀土7</w:t>
            </w:r>
          </w:p>
        </w:tc>
        <w:tc>
          <w:tcPr>
            <w:tcW w:w="2030" w:type="dxa"/>
            <w:tcBorders>
              <w:top w:val="nil"/>
              <w:left w:val="nil"/>
              <w:bottom w:val="single" w:color="000000" w:sz="8" w:space="0"/>
              <w:right w:val="single" w:color="000000" w:sz="8" w:space="0"/>
            </w:tcBorders>
            <w:shd w:val="clear" w:color="auto" w:fill="auto"/>
            <w:vAlign w:val="center"/>
          </w:tcPr>
          <w:p>
            <w:pPr>
              <w:widowControl/>
              <w:jc w:val="center"/>
              <w:textAlignment w:val="center"/>
              <w:rPr>
                <w:kern w:val="0"/>
                <w:szCs w:val="21"/>
              </w:rPr>
            </w:pPr>
            <w:r>
              <w:rPr>
                <w:kern w:val="0"/>
                <w:szCs w:val="21"/>
              </w:rPr>
              <w:t xml:space="preserve">0.00055 </w:t>
            </w:r>
          </w:p>
        </w:tc>
        <w:tc>
          <w:tcPr>
            <w:tcW w:w="2030" w:type="dxa"/>
            <w:tcBorders>
              <w:top w:val="nil"/>
              <w:left w:val="nil"/>
              <w:bottom w:val="single" w:color="000000" w:sz="8" w:space="0"/>
              <w:right w:val="single" w:color="000000" w:sz="8" w:space="0"/>
            </w:tcBorders>
            <w:shd w:val="clear" w:color="auto" w:fill="auto"/>
            <w:vAlign w:val="center"/>
          </w:tcPr>
          <w:p>
            <w:pPr>
              <w:widowControl/>
              <w:jc w:val="center"/>
              <w:textAlignment w:val="center"/>
              <w:rPr>
                <w:kern w:val="0"/>
                <w:szCs w:val="21"/>
              </w:rPr>
            </w:pPr>
            <w:r>
              <w:rPr>
                <w:kern w:val="0"/>
                <w:szCs w:val="21"/>
              </w:rPr>
              <w:t xml:space="preserve">0.00092 </w:t>
            </w:r>
          </w:p>
        </w:tc>
        <w:tc>
          <w:tcPr>
            <w:tcW w:w="2031" w:type="dxa"/>
            <w:tcBorders>
              <w:top w:val="nil"/>
              <w:left w:val="nil"/>
              <w:bottom w:val="single" w:color="000000" w:sz="8" w:space="0"/>
              <w:right w:val="single" w:color="000000" w:sz="8" w:space="0"/>
            </w:tcBorders>
            <w:shd w:val="clear" w:color="auto" w:fill="auto"/>
            <w:vAlign w:val="center"/>
          </w:tcPr>
          <w:p>
            <w:pPr>
              <w:widowControl/>
              <w:jc w:val="center"/>
              <w:textAlignment w:val="center"/>
              <w:rPr>
                <w:kern w:val="0"/>
                <w:szCs w:val="21"/>
              </w:rPr>
            </w:pPr>
            <w:r>
              <w:rPr>
                <w:kern w:val="0"/>
                <w:szCs w:val="21"/>
              </w:rPr>
              <w:t xml:space="preserve">0.00082 </w:t>
            </w:r>
          </w:p>
        </w:tc>
        <w:tc>
          <w:tcPr>
            <w:tcW w:w="2031" w:type="dxa"/>
            <w:tcBorders>
              <w:top w:val="nil"/>
              <w:left w:val="nil"/>
              <w:bottom w:val="single" w:color="000000" w:sz="8" w:space="0"/>
              <w:right w:val="single" w:color="000000" w:sz="8" w:space="0"/>
            </w:tcBorders>
            <w:shd w:val="clear" w:color="auto" w:fill="auto"/>
            <w:vAlign w:val="center"/>
          </w:tcPr>
          <w:p>
            <w:pPr>
              <w:widowControl/>
              <w:jc w:val="center"/>
              <w:textAlignment w:val="center"/>
              <w:rPr>
                <w:kern w:val="0"/>
                <w:szCs w:val="21"/>
              </w:rPr>
            </w:pPr>
            <w:r>
              <w:rPr>
                <w:kern w:val="0"/>
                <w:szCs w:val="21"/>
              </w:rPr>
              <w:t xml:space="preserve">0.0050 </w:t>
            </w:r>
          </w:p>
        </w:tc>
      </w:tr>
    </w:tbl>
    <w:p>
      <w:pPr>
        <w:spacing w:line="300" w:lineRule="auto"/>
        <w:jc w:val="center"/>
        <w:rPr>
          <w:szCs w:val="21"/>
        </w:rPr>
      </w:pPr>
    </w:p>
    <w:p>
      <w:pPr>
        <w:spacing w:line="300" w:lineRule="auto"/>
        <w:jc w:val="center"/>
        <w:rPr>
          <w:szCs w:val="21"/>
        </w:rPr>
      </w:pPr>
    </w:p>
    <w:p>
      <w:pPr>
        <w:spacing w:line="300" w:lineRule="auto"/>
        <w:rPr>
          <w:rFonts w:eastAsia="黑体"/>
          <w:szCs w:val="21"/>
        </w:rPr>
      </w:pPr>
      <w:r>
        <w:rPr>
          <w:rFonts w:eastAsia="黑体"/>
          <w:szCs w:val="21"/>
        </w:rPr>
        <w:t>4  硫一致性和离群值的检查</w:t>
      </w:r>
    </w:p>
    <w:p>
      <w:pPr>
        <w:spacing w:line="300" w:lineRule="auto"/>
        <w:rPr>
          <w:rFonts w:eastAsia="黑体"/>
          <w:szCs w:val="21"/>
        </w:rPr>
      </w:pPr>
      <w:r>
        <w:rPr>
          <w:rFonts w:eastAsia="黑体"/>
          <w:szCs w:val="21"/>
        </w:rPr>
        <w:t>4.1  柯克伦检验</w:t>
      </w:r>
    </w:p>
    <w:p>
      <w:pPr>
        <w:spacing w:line="300" w:lineRule="auto"/>
        <w:ind w:firstLine="420" w:firstLineChars="200"/>
        <w:rPr>
          <w:szCs w:val="21"/>
        </w:rPr>
      </w:pPr>
      <w:r>
        <w:rPr>
          <w:szCs w:val="21"/>
        </w:rPr>
        <w:t>按柯克伦检验统计量计算结果如表B.4。</w:t>
      </w:r>
    </w:p>
    <w:p>
      <w:pPr>
        <w:spacing w:line="300" w:lineRule="auto"/>
        <w:jc w:val="center"/>
        <w:rPr>
          <w:szCs w:val="21"/>
        </w:rPr>
      </w:pPr>
      <w:r>
        <w:rPr>
          <w:szCs w:val="21"/>
        </w:rPr>
        <w:t>表B.4 柯克伦检验</w:t>
      </w:r>
    </w:p>
    <w:p>
      <w:pPr>
        <w:spacing w:line="300" w:lineRule="auto"/>
        <w:jc w:val="center"/>
        <w:rPr>
          <w:szCs w:val="21"/>
        </w:rPr>
      </w:pPr>
    </w:p>
    <w:tbl>
      <w:tblPr>
        <w:tblStyle w:val="88"/>
        <w:tblW w:w="5000" w:type="pct"/>
        <w:tblInd w:w="0" w:type="dxa"/>
        <w:tblLayout w:type="autofit"/>
        <w:tblCellMar>
          <w:top w:w="0" w:type="dxa"/>
          <w:left w:w="108" w:type="dxa"/>
          <w:bottom w:w="0" w:type="dxa"/>
          <w:right w:w="108" w:type="dxa"/>
        </w:tblCellMar>
      </w:tblPr>
      <w:tblGrid>
        <w:gridCol w:w="1676"/>
        <w:gridCol w:w="2073"/>
        <w:gridCol w:w="2073"/>
        <w:gridCol w:w="2073"/>
        <w:gridCol w:w="2073"/>
      </w:tblGrid>
      <w:tr>
        <w:tblPrEx>
          <w:tblCellMar>
            <w:top w:w="0" w:type="dxa"/>
            <w:left w:w="108" w:type="dxa"/>
            <w:bottom w:w="0" w:type="dxa"/>
            <w:right w:w="108" w:type="dxa"/>
          </w:tblCellMar>
        </w:tblPrEx>
        <w:trPr>
          <w:trHeight w:val="340" w:hRule="atLeast"/>
        </w:trPr>
        <w:tc>
          <w:tcPr>
            <w:tcW w:w="167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szCs w:val="21"/>
              </w:rPr>
            </w:pPr>
            <w:r>
              <w:rPr>
                <w:kern w:val="0"/>
                <w:szCs w:val="21"/>
              </w:rPr>
              <w:t>实验室</w:t>
            </w:r>
          </w:p>
        </w:tc>
        <w:tc>
          <w:tcPr>
            <w:tcW w:w="2073"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水平1</w:t>
            </w:r>
          </w:p>
        </w:tc>
        <w:tc>
          <w:tcPr>
            <w:tcW w:w="2073"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水平2</w:t>
            </w:r>
          </w:p>
        </w:tc>
        <w:tc>
          <w:tcPr>
            <w:tcW w:w="2073"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水平3</w:t>
            </w:r>
          </w:p>
        </w:tc>
        <w:tc>
          <w:tcPr>
            <w:tcW w:w="2073"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szCs w:val="21"/>
              </w:rPr>
            </w:pPr>
            <w:r>
              <w:rPr>
                <w:kern w:val="0"/>
                <w:szCs w:val="21"/>
              </w:rPr>
              <w:t>水平4</w:t>
            </w:r>
          </w:p>
        </w:tc>
      </w:tr>
      <w:tr>
        <w:tblPrEx>
          <w:tblCellMar>
            <w:top w:w="0" w:type="dxa"/>
            <w:left w:w="108" w:type="dxa"/>
            <w:bottom w:w="0" w:type="dxa"/>
            <w:right w:w="108" w:type="dxa"/>
          </w:tblCellMar>
        </w:tblPrEx>
        <w:trPr>
          <w:trHeight w:val="340" w:hRule="atLeast"/>
        </w:trPr>
        <w:tc>
          <w:tcPr>
            <w:tcW w:w="16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top"/>
              <w:rPr>
                <w:szCs w:val="21"/>
              </w:rPr>
            </w:pPr>
            <w:r>
              <w:rPr>
                <w:kern w:val="0"/>
                <w:szCs w:val="21"/>
              </w:rPr>
              <w:t>Smax</w:t>
            </w:r>
            <w:r>
              <w:rPr>
                <w:rStyle w:val="261"/>
                <w:rFonts w:hint="default" w:ascii="Times New Roman" w:hAnsi="Times New Roman" w:cs="Times New Roman"/>
                <w:color w:val="auto"/>
                <w:sz w:val="21"/>
                <w:szCs w:val="21"/>
              </w:rPr>
              <w:t>实验室</w:t>
            </w:r>
          </w:p>
        </w:tc>
        <w:tc>
          <w:tcPr>
            <w:tcW w:w="2073" w:type="dxa"/>
            <w:tcBorders>
              <w:top w:val="nil"/>
              <w:left w:val="nil"/>
              <w:bottom w:val="single" w:color="000000" w:sz="8" w:space="0"/>
              <w:right w:val="single" w:color="000000" w:sz="8" w:space="0"/>
            </w:tcBorders>
            <w:shd w:val="clear" w:color="auto" w:fill="auto"/>
            <w:vAlign w:val="center"/>
          </w:tcPr>
          <w:p>
            <w:pPr>
              <w:widowControl/>
              <w:jc w:val="center"/>
              <w:textAlignment w:val="top"/>
              <w:rPr>
                <w:szCs w:val="21"/>
              </w:rPr>
            </w:pPr>
            <w:r>
              <w:rPr>
                <w:kern w:val="0"/>
                <w:szCs w:val="21"/>
              </w:rPr>
              <w:t>7</w:t>
            </w:r>
          </w:p>
        </w:tc>
        <w:tc>
          <w:tcPr>
            <w:tcW w:w="2073" w:type="dxa"/>
            <w:tcBorders>
              <w:top w:val="nil"/>
              <w:left w:val="nil"/>
              <w:bottom w:val="single" w:color="000000" w:sz="8" w:space="0"/>
              <w:right w:val="single" w:color="000000" w:sz="8" w:space="0"/>
            </w:tcBorders>
            <w:shd w:val="clear" w:color="auto" w:fill="auto"/>
            <w:vAlign w:val="center"/>
          </w:tcPr>
          <w:p>
            <w:pPr>
              <w:widowControl/>
              <w:jc w:val="center"/>
              <w:textAlignment w:val="top"/>
              <w:rPr>
                <w:szCs w:val="21"/>
              </w:rPr>
            </w:pPr>
            <w:r>
              <w:rPr>
                <w:kern w:val="0"/>
                <w:szCs w:val="21"/>
              </w:rPr>
              <w:t>7</w:t>
            </w:r>
          </w:p>
        </w:tc>
        <w:tc>
          <w:tcPr>
            <w:tcW w:w="2073" w:type="dxa"/>
            <w:tcBorders>
              <w:top w:val="nil"/>
              <w:left w:val="nil"/>
              <w:bottom w:val="single" w:color="000000" w:sz="8" w:space="0"/>
              <w:right w:val="single" w:color="000000" w:sz="8" w:space="0"/>
            </w:tcBorders>
            <w:shd w:val="clear" w:color="auto" w:fill="auto"/>
            <w:vAlign w:val="center"/>
          </w:tcPr>
          <w:p>
            <w:pPr>
              <w:widowControl/>
              <w:jc w:val="center"/>
              <w:textAlignment w:val="top"/>
              <w:rPr>
                <w:szCs w:val="21"/>
              </w:rPr>
            </w:pPr>
            <w:r>
              <w:rPr>
                <w:kern w:val="0"/>
                <w:szCs w:val="21"/>
              </w:rPr>
              <w:t>2</w:t>
            </w:r>
          </w:p>
        </w:tc>
        <w:tc>
          <w:tcPr>
            <w:tcW w:w="2073" w:type="dxa"/>
            <w:tcBorders>
              <w:top w:val="nil"/>
              <w:left w:val="nil"/>
              <w:bottom w:val="single" w:color="000000" w:sz="8" w:space="0"/>
              <w:right w:val="single" w:color="000000" w:sz="8" w:space="0"/>
            </w:tcBorders>
            <w:shd w:val="clear" w:color="auto" w:fill="auto"/>
            <w:vAlign w:val="center"/>
          </w:tcPr>
          <w:p>
            <w:pPr>
              <w:widowControl/>
              <w:jc w:val="center"/>
              <w:textAlignment w:val="top"/>
              <w:rPr>
                <w:szCs w:val="21"/>
              </w:rPr>
            </w:pPr>
            <w:r>
              <w:rPr>
                <w:kern w:val="0"/>
                <w:szCs w:val="21"/>
              </w:rPr>
              <w:t>3</w:t>
            </w:r>
          </w:p>
        </w:tc>
      </w:tr>
      <w:tr>
        <w:tblPrEx>
          <w:tblCellMar>
            <w:top w:w="0" w:type="dxa"/>
            <w:left w:w="108" w:type="dxa"/>
            <w:bottom w:w="0" w:type="dxa"/>
            <w:right w:w="108" w:type="dxa"/>
          </w:tblCellMar>
        </w:tblPrEx>
        <w:trPr>
          <w:trHeight w:val="340" w:hRule="atLeast"/>
        </w:trPr>
        <w:tc>
          <w:tcPr>
            <w:tcW w:w="16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top"/>
              <w:rPr>
                <w:szCs w:val="21"/>
              </w:rPr>
            </w:pPr>
            <w:r>
              <w:rPr>
                <w:kern w:val="0"/>
                <w:szCs w:val="21"/>
              </w:rPr>
              <w:t>Smax</w:t>
            </w:r>
            <w:r>
              <w:rPr>
                <w:rStyle w:val="261"/>
                <w:rFonts w:hint="default" w:ascii="Times New Roman" w:hAnsi="Times New Roman" w:cs="Times New Roman"/>
                <w:color w:val="auto"/>
                <w:sz w:val="21"/>
                <w:szCs w:val="21"/>
              </w:rPr>
              <w:t>值</w:t>
            </w:r>
          </w:p>
        </w:tc>
        <w:tc>
          <w:tcPr>
            <w:tcW w:w="2073" w:type="dxa"/>
            <w:tcBorders>
              <w:top w:val="nil"/>
              <w:left w:val="nil"/>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0.00055</w:t>
            </w:r>
          </w:p>
        </w:tc>
        <w:tc>
          <w:tcPr>
            <w:tcW w:w="2073" w:type="dxa"/>
            <w:tcBorders>
              <w:top w:val="nil"/>
              <w:left w:val="nil"/>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0.00092</w:t>
            </w:r>
          </w:p>
        </w:tc>
        <w:tc>
          <w:tcPr>
            <w:tcW w:w="2073" w:type="dxa"/>
            <w:tcBorders>
              <w:top w:val="nil"/>
              <w:left w:val="nil"/>
              <w:bottom w:val="single" w:color="000000" w:sz="8" w:space="0"/>
              <w:right w:val="single" w:color="000000" w:sz="8" w:space="0"/>
            </w:tcBorders>
            <w:shd w:val="clear" w:color="auto" w:fill="auto"/>
            <w:vAlign w:val="center"/>
          </w:tcPr>
          <w:p>
            <w:pPr>
              <w:widowControl/>
              <w:jc w:val="center"/>
              <w:textAlignment w:val="top"/>
              <w:rPr>
                <w:szCs w:val="21"/>
              </w:rPr>
            </w:pPr>
            <w:r>
              <w:rPr>
                <w:kern w:val="0"/>
                <w:szCs w:val="21"/>
              </w:rPr>
              <w:t>0.00151</w:t>
            </w:r>
          </w:p>
        </w:tc>
        <w:tc>
          <w:tcPr>
            <w:tcW w:w="2073" w:type="dxa"/>
            <w:tcBorders>
              <w:top w:val="nil"/>
              <w:left w:val="nil"/>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0.0062</w:t>
            </w:r>
          </w:p>
        </w:tc>
      </w:tr>
      <w:tr>
        <w:tblPrEx>
          <w:tblCellMar>
            <w:top w:w="0" w:type="dxa"/>
            <w:left w:w="108" w:type="dxa"/>
            <w:bottom w:w="0" w:type="dxa"/>
            <w:right w:w="108" w:type="dxa"/>
          </w:tblCellMar>
        </w:tblPrEx>
        <w:trPr>
          <w:trHeight w:val="340" w:hRule="atLeast"/>
        </w:trPr>
        <w:tc>
          <w:tcPr>
            <w:tcW w:w="16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top"/>
              <w:rPr>
                <w:szCs w:val="21"/>
              </w:rPr>
            </w:pPr>
            <w:r>
              <w:rPr>
                <w:kern w:val="0"/>
                <w:szCs w:val="21"/>
              </w:rPr>
              <w:t>∑S</w:t>
            </w:r>
            <w:r>
              <w:rPr>
                <w:rStyle w:val="262"/>
                <w:color w:val="auto"/>
                <w:sz w:val="21"/>
                <w:szCs w:val="21"/>
              </w:rPr>
              <w:t>2</w:t>
            </w:r>
          </w:p>
        </w:tc>
        <w:tc>
          <w:tcPr>
            <w:tcW w:w="2073" w:type="dxa"/>
            <w:tcBorders>
              <w:top w:val="nil"/>
              <w:left w:val="nil"/>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5.00E-07</w:t>
            </w:r>
          </w:p>
        </w:tc>
        <w:tc>
          <w:tcPr>
            <w:tcW w:w="2073" w:type="dxa"/>
            <w:tcBorders>
              <w:top w:val="nil"/>
              <w:left w:val="nil"/>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2.39E-06</w:t>
            </w:r>
          </w:p>
        </w:tc>
        <w:tc>
          <w:tcPr>
            <w:tcW w:w="2073" w:type="dxa"/>
            <w:tcBorders>
              <w:top w:val="nil"/>
              <w:left w:val="nil"/>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4.26E-06</w:t>
            </w:r>
          </w:p>
        </w:tc>
        <w:tc>
          <w:tcPr>
            <w:tcW w:w="2073" w:type="dxa"/>
            <w:tcBorders>
              <w:top w:val="nil"/>
              <w:left w:val="nil"/>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9.51E-05</w:t>
            </w:r>
          </w:p>
        </w:tc>
      </w:tr>
      <w:tr>
        <w:tblPrEx>
          <w:tblCellMar>
            <w:top w:w="0" w:type="dxa"/>
            <w:left w:w="108" w:type="dxa"/>
            <w:bottom w:w="0" w:type="dxa"/>
            <w:right w:w="108" w:type="dxa"/>
          </w:tblCellMar>
        </w:tblPrEx>
        <w:trPr>
          <w:trHeight w:val="340" w:hRule="atLeast"/>
        </w:trPr>
        <w:tc>
          <w:tcPr>
            <w:tcW w:w="16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top"/>
              <w:rPr>
                <w:szCs w:val="21"/>
              </w:rPr>
            </w:pPr>
            <w:r>
              <w:rPr>
                <w:kern w:val="0"/>
                <w:szCs w:val="21"/>
              </w:rPr>
              <w:t>C</w:t>
            </w:r>
          </w:p>
        </w:tc>
        <w:tc>
          <w:tcPr>
            <w:tcW w:w="2073" w:type="dxa"/>
            <w:tcBorders>
              <w:top w:val="nil"/>
              <w:left w:val="nil"/>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0.6049</w:t>
            </w:r>
          </w:p>
        </w:tc>
        <w:tc>
          <w:tcPr>
            <w:tcW w:w="2073" w:type="dxa"/>
            <w:tcBorders>
              <w:top w:val="nil"/>
              <w:left w:val="nil"/>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0.3538</w:t>
            </w:r>
          </w:p>
        </w:tc>
        <w:tc>
          <w:tcPr>
            <w:tcW w:w="2073" w:type="dxa"/>
            <w:tcBorders>
              <w:top w:val="nil"/>
              <w:left w:val="nil"/>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0.5358</w:t>
            </w:r>
          </w:p>
        </w:tc>
        <w:tc>
          <w:tcPr>
            <w:tcW w:w="2073" w:type="dxa"/>
            <w:tcBorders>
              <w:top w:val="nil"/>
              <w:left w:val="nil"/>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0.4044</w:t>
            </w:r>
          </w:p>
        </w:tc>
      </w:tr>
      <w:tr>
        <w:tblPrEx>
          <w:tblCellMar>
            <w:top w:w="0" w:type="dxa"/>
            <w:left w:w="108" w:type="dxa"/>
            <w:bottom w:w="0" w:type="dxa"/>
            <w:right w:w="108" w:type="dxa"/>
          </w:tblCellMar>
        </w:tblPrEx>
        <w:trPr>
          <w:trHeight w:val="340" w:hRule="atLeast"/>
        </w:trPr>
        <w:tc>
          <w:tcPr>
            <w:tcW w:w="16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top"/>
              <w:rPr>
                <w:szCs w:val="21"/>
              </w:rPr>
            </w:pPr>
            <w:r>
              <w:rPr>
                <w:kern w:val="0"/>
                <w:szCs w:val="21"/>
              </w:rPr>
              <w:t>离群值（Y/N</w:t>
            </w:r>
            <w:r>
              <w:rPr>
                <w:rStyle w:val="261"/>
                <w:rFonts w:hint="default" w:ascii="Times New Roman" w:hAnsi="Times New Roman" w:cs="Times New Roman"/>
                <w:color w:val="auto"/>
                <w:sz w:val="21"/>
                <w:szCs w:val="21"/>
              </w:rPr>
              <w:t>）</w:t>
            </w:r>
          </w:p>
        </w:tc>
        <w:tc>
          <w:tcPr>
            <w:tcW w:w="2073" w:type="dxa"/>
            <w:tcBorders>
              <w:top w:val="nil"/>
              <w:left w:val="nil"/>
              <w:bottom w:val="single" w:color="000000" w:sz="8" w:space="0"/>
              <w:right w:val="single" w:color="000000" w:sz="8" w:space="0"/>
            </w:tcBorders>
            <w:shd w:val="clear" w:color="auto" w:fill="auto"/>
            <w:vAlign w:val="center"/>
          </w:tcPr>
          <w:p>
            <w:pPr>
              <w:widowControl/>
              <w:jc w:val="center"/>
              <w:textAlignment w:val="top"/>
              <w:rPr>
                <w:szCs w:val="21"/>
              </w:rPr>
            </w:pPr>
            <w:r>
              <w:rPr>
                <w:kern w:val="0"/>
                <w:szCs w:val="21"/>
              </w:rPr>
              <w:t>Y</w:t>
            </w:r>
          </w:p>
        </w:tc>
        <w:tc>
          <w:tcPr>
            <w:tcW w:w="2073" w:type="dxa"/>
            <w:tcBorders>
              <w:top w:val="nil"/>
              <w:left w:val="nil"/>
              <w:bottom w:val="single" w:color="000000" w:sz="8" w:space="0"/>
              <w:right w:val="single" w:color="000000" w:sz="8" w:space="0"/>
            </w:tcBorders>
            <w:shd w:val="clear" w:color="auto" w:fill="auto"/>
            <w:vAlign w:val="center"/>
          </w:tcPr>
          <w:p>
            <w:pPr>
              <w:widowControl/>
              <w:jc w:val="center"/>
              <w:textAlignment w:val="top"/>
              <w:rPr>
                <w:szCs w:val="21"/>
              </w:rPr>
            </w:pPr>
            <w:r>
              <w:rPr>
                <w:kern w:val="0"/>
                <w:szCs w:val="21"/>
              </w:rPr>
              <w:t>N</w:t>
            </w:r>
          </w:p>
        </w:tc>
        <w:tc>
          <w:tcPr>
            <w:tcW w:w="2073" w:type="dxa"/>
            <w:tcBorders>
              <w:top w:val="nil"/>
              <w:left w:val="nil"/>
              <w:bottom w:val="single" w:color="000000" w:sz="8" w:space="0"/>
              <w:right w:val="nil"/>
            </w:tcBorders>
            <w:shd w:val="clear" w:color="auto" w:fill="auto"/>
            <w:vAlign w:val="center"/>
          </w:tcPr>
          <w:p>
            <w:pPr>
              <w:widowControl/>
              <w:jc w:val="center"/>
              <w:textAlignment w:val="top"/>
              <w:rPr>
                <w:szCs w:val="21"/>
              </w:rPr>
            </w:pPr>
            <w:r>
              <w:rPr>
                <w:kern w:val="0"/>
                <w:szCs w:val="21"/>
              </w:rPr>
              <w:t>Y</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Y</w:t>
            </w:r>
          </w:p>
        </w:tc>
      </w:tr>
      <w:tr>
        <w:tblPrEx>
          <w:tblCellMar>
            <w:top w:w="0" w:type="dxa"/>
            <w:left w:w="108" w:type="dxa"/>
            <w:bottom w:w="0" w:type="dxa"/>
            <w:right w:w="108" w:type="dxa"/>
          </w:tblCellMar>
        </w:tblPrEx>
        <w:trPr>
          <w:trHeight w:val="340" w:hRule="atLeast"/>
        </w:trPr>
        <w:tc>
          <w:tcPr>
            <w:tcW w:w="16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top"/>
              <w:rPr>
                <w:szCs w:val="21"/>
              </w:rPr>
            </w:pPr>
            <w:r>
              <w:rPr>
                <w:kern w:val="0"/>
                <w:szCs w:val="21"/>
              </w:rPr>
              <w:t>歧离值（Y/N</w:t>
            </w:r>
            <w:r>
              <w:rPr>
                <w:rStyle w:val="261"/>
                <w:rFonts w:hint="default" w:ascii="Times New Roman" w:hAnsi="Times New Roman" w:cs="Times New Roman"/>
                <w:color w:val="auto"/>
                <w:sz w:val="21"/>
                <w:szCs w:val="21"/>
              </w:rPr>
              <w:t>）</w:t>
            </w:r>
          </w:p>
        </w:tc>
        <w:tc>
          <w:tcPr>
            <w:tcW w:w="2073" w:type="dxa"/>
            <w:tcBorders>
              <w:top w:val="nil"/>
              <w:left w:val="nil"/>
              <w:bottom w:val="single" w:color="000000" w:sz="8" w:space="0"/>
              <w:right w:val="single" w:color="000000" w:sz="8" w:space="0"/>
            </w:tcBorders>
            <w:shd w:val="clear" w:color="auto" w:fill="auto"/>
            <w:vAlign w:val="center"/>
          </w:tcPr>
          <w:p>
            <w:pPr>
              <w:widowControl/>
              <w:jc w:val="center"/>
              <w:textAlignment w:val="top"/>
              <w:rPr>
                <w:szCs w:val="21"/>
              </w:rPr>
            </w:pPr>
            <w:r>
              <w:rPr>
                <w:kern w:val="0"/>
                <w:szCs w:val="21"/>
              </w:rPr>
              <w:t>N</w:t>
            </w:r>
          </w:p>
        </w:tc>
        <w:tc>
          <w:tcPr>
            <w:tcW w:w="2073" w:type="dxa"/>
            <w:tcBorders>
              <w:top w:val="nil"/>
              <w:left w:val="nil"/>
              <w:bottom w:val="single" w:color="000000" w:sz="8" w:space="0"/>
              <w:right w:val="single" w:color="000000" w:sz="8" w:space="0"/>
            </w:tcBorders>
            <w:shd w:val="clear" w:color="auto" w:fill="auto"/>
            <w:vAlign w:val="center"/>
          </w:tcPr>
          <w:p>
            <w:pPr>
              <w:widowControl/>
              <w:jc w:val="center"/>
              <w:textAlignment w:val="top"/>
              <w:rPr>
                <w:szCs w:val="21"/>
              </w:rPr>
            </w:pPr>
            <w:r>
              <w:rPr>
                <w:kern w:val="0"/>
                <w:szCs w:val="21"/>
              </w:rPr>
              <w:t>Y</w:t>
            </w:r>
          </w:p>
        </w:tc>
        <w:tc>
          <w:tcPr>
            <w:tcW w:w="2073" w:type="dxa"/>
            <w:tcBorders>
              <w:top w:val="nil"/>
              <w:left w:val="nil"/>
              <w:bottom w:val="single" w:color="000000" w:sz="8" w:space="0"/>
              <w:right w:val="nil"/>
            </w:tcBorders>
            <w:shd w:val="clear" w:color="auto" w:fill="auto"/>
            <w:vAlign w:val="center"/>
          </w:tcPr>
          <w:p>
            <w:pPr>
              <w:widowControl/>
              <w:jc w:val="center"/>
              <w:textAlignment w:val="top"/>
              <w:rPr>
                <w:szCs w:val="21"/>
              </w:rPr>
            </w:pPr>
            <w:r>
              <w:rPr>
                <w:kern w:val="0"/>
                <w:szCs w:val="21"/>
              </w:rPr>
              <w:t>N</w:t>
            </w:r>
          </w:p>
        </w:tc>
        <w:tc>
          <w:tcPr>
            <w:tcW w:w="20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top"/>
              <w:rPr>
                <w:szCs w:val="21"/>
              </w:rPr>
            </w:pPr>
            <w:r>
              <w:rPr>
                <w:kern w:val="0"/>
                <w:szCs w:val="21"/>
              </w:rPr>
              <w:t>N</w:t>
            </w:r>
          </w:p>
        </w:tc>
      </w:tr>
      <w:tr>
        <w:tblPrEx>
          <w:tblCellMar>
            <w:top w:w="0" w:type="dxa"/>
            <w:left w:w="108" w:type="dxa"/>
            <w:bottom w:w="0" w:type="dxa"/>
            <w:right w:w="108" w:type="dxa"/>
          </w:tblCellMar>
        </w:tblPrEx>
        <w:trPr>
          <w:trHeight w:val="340" w:hRule="atLeast"/>
        </w:trPr>
        <w:tc>
          <w:tcPr>
            <w:tcW w:w="167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top"/>
              <w:rPr>
                <w:szCs w:val="21"/>
              </w:rPr>
            </w:pPr>
            <w:r>
              <w:rPr>
                <w:kern w:val="0"/>
                <w:szCs w:val="21"/>
              </w:rPr>
              <w:t>C</w:t>
            </w:r>
            <w:r>
              <w:rPr>
                <w:rStyle w:val="261"/>
                <w:rFonts w:hint="default" w:ascii="Times New Roman" w:hAnsi="Times New Roman" w:cs="Times New Roman"/>
                <w:color w:val="auto"/>
                <w:sz w:val="21"/>
                <w:szCs w:val="21"/>
              </w:rPr>
              <w:t>临界</w:t>
            </w:r>
          </w:p>
        </w:tc>
        <w:tc>
          <w:tcPr>
            <w:tcW w:w="8292" w:type="dxa"/>
            <w:gridSpan w:val="4"/>
            <w:tcBorders>
              <w:top w:val="nil"/>
              <w:left w:val="nil"/>
              <w:bottom w:val="single" w:color="000000" w:sz="8" w:space="0"/>
              <w:right w:val="single" w:color="000000" w:sz="4" w:space="0"/>
            </w:tcBorders>
            <w:shd w:val="clear" w:color="auto" w:fill="auto"/>
            <w:vAlign w:val="center"/>
          </w:tcPr>
          <w:p>
            <w:pPr>
              <w:jc w:val="center"/>
              <w:rPr>
                <w:szCs w:val="21"/>
              </w:rPr>
            </w:pPr>
            <w:r>
              <w:rPr>
                <w:kern w:val="0"/>
                <w:szCs w:val="21"/>
              </w:rPr>
              <w:t>实验室数p=7</w:t>
            </w:r>
            <w:r>
              <w:rPr>
                <w:rStyle w:val="261"/>
                <w:rFonts w:hint="default" w:ascii="Times New Roman" w:hAnsi="Times New Roman" w:cs="Times New Roman"/>
                <w:color w:val="auto"/>
                <w:sz w:val="21"/>
                <w:szCs w:val="21"/>
              </w:rPr>
              <w:t>时，科克伦检验</w:t>
            </w:r>
            <w:r>
              <w:rPr>
                <w:kern w:val="0"/>
                <w:szCs w:val="21"/>
              </w:rPr>
              <w:t>5%</w:t>
            </w:r>
            <w:r>
              <w:rPr>
                <w:rStyle w:val="261"/>
                <w:rFonts w:hint="default" w:ascii="Times New Roman" w:hAnsi="Times New Roman" w:cs="Times New Roman"/>
                <w:color w:val="auto"/>
                <w:sz w:val="21"/>
                <w:szCs w:val="21"/>
              </w:rPr>
              <w:t>临界值为</w:t>
            </w:r>
            <w:r>
              <w:rPr>
                <w:kern w:val="0"/>
                <w:szCs w:val="21"/>
              </w:rPr>
              <w:t>0.315</w:t>
            </w:r>
            <w:r>
              <w:rPr>
                <w:rStyle w:val="261"/>
                <w:rFonts w:hint="default" w:ascii="Times New Roman" w:hAnsi="Times New Roman" w:cs="Times New Roman"/>
                <w:color w:val="auto"/>
                <w:sz w:val="21"/>
                <w:szCs w:val="21"/>
              </w:rPr>
              <w:t>，</w:t>
            </w:r>
            <w:r>
              <w:rPr>
                <w:kern w:val="0"/>
                <w:szCs w:val="21"/>
              </w:rPr>
              <w:t>1%</w:t>
            </w:r>
            <w:r>
              <w:rPr>
                <w:rStyle w:val="261"/>
                <w:rFonts w:hint="default" w:ascii="Times New Roman" w:hAnsi="Times New Roman" w:cs="Times New Roman"/>
                <w:color w:val="auto"/>
                <w:sz w:val="21"/>
                <w:szCs w:val="21"/>
              </w:rPr>
              <w:t>临界值为</w:t>
            </w:r>
            <w:r>
              <w:rPr>
                <w:kern w:val="0"/>
                <w:szCs w:val="21"/>
              </w:rPr>
              <w:t>0.362</w:t>
            </w:r>
            <w:r>
              <w:rPr>
                <w:rStyle w:val="261"/>
                <w:rFonts w:hint="default" w:ascii="Times New Roman" w:hAnsi="Times New Roman" w:cs="Times New Roman"/>
                <w:color w:val="auto"/>
                <w:sz w:val="21"/>
                <w:szCs w:val="21"/>
              </w:rPr>
              <w:t>。</w:t>
            </w:r>
          </w:p>
        </w:tc>
      </w:tr>
    </w:tbl>
    <w:p>
      <w:pPr>
        <w:spacing w:line="300" w:lineRule="auto"/>
        <w:jc w:val="center"/>
        <w:rPr>
          <w:szCs w:val="21"/>
        </w:rPr>
      </w:pPr>
    </w:p>
    <w:p>
      <w:pPr>
        <w:spacing w:line="300" w:lineRule="auto"/>
        <w:ind w:firstLine="420" w:firstLineChars="200"/>
        <w:rPr>
          <w:szCs w:val="21"/>
        </w:rPr>
      </w:pPr>
      <w:r>
        <w:rPr>
          <w:szCs w:val="21"/>
        </w:rPr>
        <w:t>柯克伦检验的结果表明，实验室7的水平</w:t>
      </w:r>
      <w:r>
        <w:rPr>
          <w:rFonts w:hint="eastAsia"/>
          <w:szCs w:val="21"/>
        </w:rPr>
        <w:t>1和</w:t>
      </w:r>
      <w:r>
        <w:rPr>
          <w:szCs w:val="21"/>
        </w:rPr>
        <w:t>实验室2的水平3</w:t>
      </w:r>
      <w:r>
        <w:rPr>
          <w:rFonts w:hint="eastAsia"/>
          <w:szCs w:val="21"/>
        </w:rPr>
        <w:t>以及</w:t>
      </w:r>
      <w:r>
        <w:rPr>
          <w:szCs w:val="21"/>
        </w:rPr>
        <w:t>为实验室3的水平4离群值，舍弃。实验室7的水平2为歧离值，留用。</w:t>
      </w:r>
    </w:p>
    <w:p>
      <w:pPr>
        <w:spacing w:line="300" w:lineRule="auto"/>
        <w:jc w:val="center"/>
        <w:rPr>
          <w:szCs w:val="21"/>
        </w:rPr>
      </w:pPr>
      <w:r>
        <w:rPr>
          <w:szCs w:val="21"/>
        </w:rPr>
        <w:t>表B.5 各单元的标准差</w:t>
      </w:r>
    </w:p>
    <w:tbl>
      <w:tblPr>
        <w:tblStyle w:val="88"/>
        <w:tblW w:w="5000" w:type="pct"/>
        <w:tblInd w:w="0" w:type="dxa"/>
        <w:tblLayout w:type="autofit"/>
        <w:tblCellMar>
          <w:top w:w="0" w:type="dxa"/>
          <w:left w:w="108" w:type="dxa"/>
          <w:bottom w:w="0" w:type="dxa"/>
          <w:right w:w="108" w:type="dxa"/>
        </w:tblCellMar>
      </w:tblPr>
      <w:tblGrid>
        <w:gridCol w:w="2116"/>
        <w:gridCol w:w="2617"/>
        <w:gridCol w:w="2617"/>
        <w:gridCol w:w="2618"/>
      </w:tblGrid>
      <w:tr>
        <w:tblPrEx>
          <w:tblCellMar>
            <w:top w:w="0" w:type="dxa"/>
            <w:left w:w="108" w:type="dxa"/>
            <w:bottom w:w="0" w:type="dxa"/>
            <w:right w:w="108" w:type="dxa"/>
          </w:tblCellMar>
        </w:tblPrEx>
        <w:trPr>
          <w:trHeight w:val="340" w:hRule="atLeast"/>
        </w:trPr>
        <w:tc>
          <w:tcPr>
            <w:tcW w:w="2116"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Cs w:val="21"/>
              </w:rPr>
            </w:pPr>
            <w:r>
              <w:rPr>
                <w:kern w:val="0"/>
                <w:szCs w:val="21"/>
              </w:rPr>
              <w:t>实验室S</w:t>
            </w:r>
          </w:p>
        </w:tc>
        <w:tc>
          <w:tcPr>
            <w:tcW w:w="2617"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szCs w:val="21"/>
              </w:rPr>
            </w:pPr>
            <w:r>
              <w:rPr>
                <w:kern w:val="0"/>
                <w:szCs w:val="21"/>
              </w:rPr>
              <w:t>水平1</w:t>
            </w:r>
          </w:p>
        </w:tc>
        <w:tc>
          <w:tcPr>
            <w:tcW w:w="2617"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szCs w:val="21"/>
              </w:rPr>
            </w:pPr>
            <w:r>
              <w:rPr>
                <w:kern w:val="0"/>
                <w:szCs w:val="21"/>
              </w:rPr>
              <w:t>水平3</w:t>
            </w:r>
          </w:p>
        </w:tc>
        <w:tc>
          <w:tcPr>
            <w:tcW w:w="2618"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szCs w:val="21"/>
              </w:rPr>
            </w:pPr>
            <w:r>
              <w:rPr>
                <w:kern w:val="0"/>
                <w:szCs w:val="21"/>
              </w:rPr>
              <w:t>水平4</w:t>
            </w:r>
          </w:p>
        </w:tc>
      </w:tr>
      <w:tr>
        <w:tblPrEx>
          <w:tblCellMar>
            <w:top w:w="0" w:type="dxa"/>
            <w:left w:w="108" w:type="dxa"/>
            <w:bottom w:w="0" w:type="dxa"/>
            <w:right w:w="108" w:type="dxa"/>
          </w:tblCellMar>
        </w:tblPrEx>
        <w:trPr>
          <w:trHeight w:val="34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Cs w:val="21"/>
              </w:rPr>
            </w:pPr>
            <w:r>
              <w:rPr>
                <w:kern w:val="0"/>
                <w:szCs w:val="21"/>
              </w:rPr>
              <w:t>国合通测1</w:t>
            </w:r>
          </w:p>
        </w:tc>
        <w:tc>
          <w:tcPr>
            <w:tcW w:w="26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0.00011</w:t>
            </w:r>
          </w:p>
        </w:tc>
        <w:tc>
          <w:tcPr>
            <w:tcW w:w="26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0.00043</w:t>
            </w:r>
          </w:p>
        </w:tc>
        <w:tc>
          <w:tcPr>
            <w:tcW w:w="2618" w:type="dxa"/>
            <w:tcBorders>
              <w:top w:val="nil"/>
              <w:left w:val="nil"/>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0.0044</w:t>
            </w:r>
          </w:p>
        </w:tc>
      </w:tr>
      <w:tr>
        <w:tblPrEx>
          <w:tblCellMar>
            <w:top w:w="0" w:type="dxa"/>
            <w:left w:w="108" w:type="dxa"/>
            <w:bottom w:w="0" w:type="dxa"/>
            <w:right w:w="108" w:type="dxa"/>
          </w:tblCellMar>
        </w:tblPrEx>
        <w:trPr>
          <w:trHeight w:val="34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Cs w:val="21"/>
              </w:rPr>
            </w:pPr>
            <w:r>
              <w:rPr>
                <w:kern w:val="0"/>
                <w:szCs w:val="21"/>
              </w:rPr>
              <w:t>包头稀土2</w:t>
            </w:r>
          </w:p>
        </w:tc>
        <w:tc>
          <w:tcPr>
            <w:tcW w:w="26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0.00023</w:t>
            </w:r>
          </w:p>
        </w:tc>
        <w:tc>
          <w:tcPr>
            <w:tcW w:w="26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kern w:val="0"/>
                <w:szCs w:val="21"/>
              </w:rPr>
            </w:pPr>
            <w:r>
              <w:rPr>
                <w:rFonts w:hint="eastAsia"/>
                <w:kern w:val="0"/>
                <w:szCs w:val="21"/>
              </w:rPr>
              <w:t>--</w:t>
            </w:r>
          </w:p>
        </w:tc>
        <w:tc>
          <w:tcPr>
            <w:tcW w:w="2618" w:type="dxa"/>
            <w:tcBorders>
              <w:top w:val="nil"/>
              <w:left w:val="nil"/>
              <w:bottom w:val="single" w:color="000000" w:sz="8" w:space="0"/>
              <w:right w:val="single" w:color="000000" w:sz="8" w:space="0"/>
            </w:tcBorders>
            <w:shd w:val="clear" w:color="auto" w:fill="auto"/>
            <w:vAlign w:val="center"/>
          </w:tcPr>
          <w:p>
            <w:pPr>
              <w:widowControl/>
              <w:jc w:val="center"/>
              <w:textAlignment w:val="center"/>
              <w:rPr>
                <w:kern w:val="0"/>
                <w:szCs w:val="21"/>
              </w:rPr>
            </w:pPr>
            <w:r>
              <w:rPr>
                <w:rFonts w:hint="eastAsia"/>
                <w:kern w:val="0"/>
                <w:szCs w:val="21"/>
              </w:rPr>
              <w:t>--</w:t>
            </w:r>
          </w:p>
        </w:tc>
      </w:tr>
      <w:tr>
        <w:tblPrEx>
          <w:tblCellMar>
            <w:top w:w="0" w:type="dxa"/>
            <w:left w:w="108" w:type="dxa"/>
            <w:bottom w:w="0" w:type="dxa"/>
            <w:right w:w="108" w:type="dxa"/>
          </w:tblCellMar>
        </w:tblPrEx>
        <w:trPr>
          <w:trHeight w:val="34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Cs w:val="21"/>
              </w:rPr>
            </w:pPr>
            <w:r>
              <w:rPr>
                <w:kern w:val="0"/>
                <w:szCs w:val="21"/>
              </w:rPr>
              <w:t>国标检验3</w:t>
            </w:r>
          </w:p>
        </w:tc>
        <w:tc>
          <w:tcPr>
            <w:tcW w:w="26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0.00016</w:t>
            </w:r>
          </w:p>
        </w:tc>
        <w:tc>
          <w:tcPr>
            <w:tcW w:w="26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0.00067</w:t>
            </w:r>
          </w:p>
        </w:tc>
        <w:tc>
          <w:tcPr>
            <w:tcW w:w="2618" w:type="dxa"/>
            <w:tcBorders>
              <w:top w:val="nil"/>
              <w:left w:val="nil"/>
              <w:bottom w:val="single" w:color="000000" w:sz="8" w:space="0"/>
              <w:right w:val="single" w:color="000000" w:sz="8" w:space="0"/>
            </w:tcBorders>
            <w:shd w:val="clear" w:color="auto" w:fill="auto"/>
            <w:vAlign w:val="center"/>
          </w:tcPr>
          <w:p>
            <w:pPr>
              <w:widowControl/>
              <w:jc w:val="center"/>
              <w:textAlignment w:val="center"/>
              <w:rPr>
                <w:szCs w:val="21"/>
              </w:rPr>
            </w:pPr>
            <w:r>
              <w:rPr>
                <w:rFonts w:hint="eastAsia"/>
                <w:szCs w:val="21"/>
              </w:rPr>
              <w:t>--</w:t>
            </w:r>
          </w:p>
        </w:tc>
      </w:tr>
      <w:tr>
        <w:tblPrEx>
          <w:tblCellMar>
            <w:top w:w="0" w:type="dxa"/>
            <w:left w:w="108" w:type="dxa"/>
            <w:bottom w:w="0" w:type="dxa"/>
            <w:right w:w="108" w:type="dxa"/>
          </w:tblCellMar>
        </w:tblPrEx>
        <w:trPr>
          <w:trHeight w:val="34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Cs w:val="21"/>
              </w:rPr>
            </w:pPr>
            <w:r>
              <w:rPr>
                <w:kern w:val="0"/>
                <w:szCs w:val="21"/>
              </w:rPr>
              <w:t>赣州有色4</w:t>
            </w:r>
          </w:p>
        </w:tc>
        <w:tc>
          <w:tcPr>
            <w:tcW w:w="26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0.00021</w:t>
            </w:r>
          </w:p>
        </w:tc>
        <w:tc>
          <w:tcPr>
            <w:tcW w:w="26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0.00064</w:t>
            </w:r>
          </w:p>
        </w:tc>
        <w:tc>
          <w:tcPr>
            <w:tcW w:w="2618" w:type="dxa"/>
            <w:tcBorders>
              <w:top w:val="nil"/>
              <w:left w:val="nil"/>
              <w:bottom w:val="single" w:color="000000" w:sz="8" w:space="0"/>
              <w:right w:val="single" w:color="000000" w:sz="8" w:space="0"/>
            </w:tcBorders>
            <w:shd w:val="clear" w:color="auto" w:fill="auto"/>
            <w:vAlign w:val="center"/>
          </w:tcPr>
          <w:p>
            <w:pPr>
              <w:jc w:val="center"/>
              <w:rPr>
                <w:szCs w:val="21"/>
              </w:rPr>
            </w:pPr>
            <w:r>
              <w:rPr>
                <w:rFonts w:hint="eastAsia"/>
                <w:szCs w:val="21"/>
              </w:rPr>
              <w:t>--</w:t>
            </w:r>
          </w:p>
        </w:tc>
      </w:tr>
      <w:tr>
        <w:tblPrEx>
          <w:tblCellMar>
            <w:top w:w="0" w:type="dxa"/>
            <w:left w:w="108" w:type="dxa"/>
            <w:bottom w:w="0" w:type="dxa"/>
            <w:right w:w="108" w:type="dxa"/>
          </w:tblCellMar>
        </w:tblPrEx>
        <w:trPr>
          <w:trHeight w:val="34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Cs w:val="21"/>
              </w:rPr>
            </w:pPr>
            <w:r>
              <w:rPr>
                <w:kern w:val="0"/>
                <w:szCs w:val="21"/>
              </w:rPr>
              <w:t>乐山锐丰5</w:t>
            </w:r>
          </w:p>
        </w:tc>
        <w:tc>
          <w:tcPr>
            <w:tcW w:w="26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0.0001</w:t>
            </w:r>
          </w:p>
        </w:tc>
        <w:tc>
          <w:tcPr>
            <w:tcW w:w="26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0.00014</w:t>
            </w:r>
          </w:p>
        </w:tc>
        <w:tc>
          <w:tcPr>
            <w:tcW w:w="2618" w:type="dxa"/>
            <w:tcBorders>
              <w:top w:val="nil"/>
              <w:left w:val="nil"/>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0.0035</w:t>
            </w:r>
          </w:p>
        </w:tc>
      </w:tr>
      <w:tr>
        <w:tblPrEx>
          <w:tblCellMar>
            <w:top w:w="0" w:type="dxa"/>
            <w:left w:w="108" w:type="dxa"/>
            <w:bottom w:w="0" w:type="dxa"/>
            <w:right w:w="108" w:type="dxa"/>
          </w:tblCellMar>
        </w:tblPrEx>
        <w:trPr>
          <w:trHeight w:val="34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Cs w:val="21"/>
              </w:rPr>
            </w:pPr>
            <w:r>
              <w:rPr>
                <w:kern w:val="0"/>
                <w:szCs w:val="21"/>
              </w:rPr>
              <w:t>南方稀土6</w:t>
            </w:r>
          </w:p>
        </w:tc>
        <w:tc>
          <w:tcPr>
            <w:tcW w:w="26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0.00023</w:t>
            </w:r>
          </w:p>
        </w:tc>
        <w:tc>
          <w:tcPr>
            <w:tcW w:w="26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0.00049</w:t>
            </w:r>
          </w:p>
        </w:tc>
        <w:tc>
          <w:tcPr>
            <w:tcW w:w="2618" w:type="dxa"/>
            <w:tcBorders>
              <w:top w:val="nil"/>
              <w:left w:val="nil"/>
              <w:bottom w:val="single" w:color="000000" w:sz="8" w:space="0"/>
              <w:right w:val="single" w:color="000000" w:sz="8" w:space="0"/>
            </w:tcBorders>
            <w:shd w:val="clear" w:color="auto" w:fill="auto"/>
            <w:vAlign w:val="center"/>
          </w:tcPr>
          <w:p>
            <w:pPr>
              <w:widowControl/>
              <w:jc w:val="center"/>
              <w:textAlignment w:val="center"/>
              <w:rPr>
                <w:kern w:val="0"/>
                <w:szCs w:val="21"/>
              </w:rPr>
            </w:pPr>
            <w:r>
              <w:rPr>
                <w:rFonts w:hint="eastAsia"/>
                <w:kern w:val="0"/>
                <w:szCs w:val="21"/>
              </w:rPr>
              <w:t>--</w:t>
            </w:r>
          </w:p>
        </w:tc>
      </w:tr>
      <w:tr>
        <w:tblPrEx>
          <w:tblCellMar>
            <w:top w:w="0" w:type="dxa"/>
            <w:left w:w="108" w:type="dxa"/>
            <w:bottom w:w="0" w:type="dxa"/>
            <w:right w:w="108" w:type="dxa"/>
          </w:tblCellMar>
        </w:tblPrEx>
        <w:trPr>
          <w:trHeight w:val="340" w:hRule="atLeast"/>
        </w:trPr>
        <w:tc>
          <w:tcPr>
            <w:tcW w:w="0" w:type="auto"/>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Cs w:val="21"/>
              </w:rPr>
            </w:pPr>
            <w:r>
              <w:rPr>
                <w:kern w:val="0"/>
                <w:szCs w:val="21"/>
              </w:rPr>
              <w:t>有研稀土7</w:t>
            </w:r>
          </w:p>
        </w:tc>
        <w:tc>
          <w:tcPr>
            <w:tcW w:w="26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szCs w:val="21"/>
              </w:rPr>
            </w:pPr>
            <w:r>
              <w:rPr>
                <w:rFonts w:hint="eastAsia"/>
                <w:szCs w:val="21"/>
              </w:rPr>
              <w:t>--</w:t>
            </w:r>
          </w:p>
        </w:tc>
        <w:tc>
          <w:tcPr>
            <w:tcW w:w="26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0.00082</w:t>
            </w:r>
          </w:p>
        </w:tc>
        <w:tc>
          <w:tcPr>
            <w:tcW w:w="2618" w:type="dxa"/>
            <w:tcBorders>
              <w:top w:val="nil"/>
              <w:left w:val="nil"/>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0.005</w:t>
            </w:r>
          </w:p>
        </w:tc>
      </w:tr>
    </w:tbl>
    <w:p>
      <w:pPr>
        <w:spacing w:line="300" w:lineRule="auto"/>
        <w:jc w:val="center"/>
        <w:rPr>
          <w:szCs w:val="21"/>
        </w:rPr>
      </w:pPr>
    </w:p>
    <w:p>
      <w:pPr>
        <w:spacing w:line="300" w:lineRule="auto"/>
        <w:jc w:val="center"/>
        <w:rPr>
          <w:szCs w:val="21"/>
        </w:rPr>
      </w:pPr>
    </w:p>
    <w:p>
      <w:pPr>
        <w:spacing w:line="300" w:lineRule="auto"/>
        <w:jc w:val="center"/>
        <w:rPr>
          <w:szCs w:val="21"/>
        </w:rPr>
      </w:pPr>
      <w:r>
        <w:rPr>
          <w:szCs w:val="21"/>
        </w:rPr>
        <w:t>表B.6 柯克伦检验</w:t>
      </w:r>
    </w:p>
    <w:tbl>
      <w:tblPr>
        <w:tblStyle w:val="88"/>
        <w:tblW w:w="5000" w:type="pct"/>
        <w:tblInd w:w="0" w:type="dxa"/>
        <w:tblLayout w:type="autofit"/>
        <w:tblCellMar>
          <w:top w:w="0" w:type="dxa"/>
          <w:left w:w="108" w:type="dxa"/>
          <w:bottom w:w="0" w:type="dxa"/>
          <w:right w:w="108" w:type="dxa"/>
        </w:tblCellMar>
      </w:tblPr>
      <w:tblGrid>
        <w:gridCol w:w="2116"/>
        <w:gridCol w:w="2617"/>
        <w:gridCol w:w="2617"/>
        <w:gridCol w:w="2618"/>
      </w:tblGrid>
      <w:tr>
        <w:tblPrEx>
          <w:tblCellMar>
            <w:top w:w="0" w:type="dxa"/>
            <w:left w:w="108" w:type="dxa"/>
            <w:bottom w:w="0" w:type="dxa"/>
            <w:right w:w="108" w:type="dxa"/>
          </w:tblCellMar>
        </w:tblPrEx>
        <w:trPr>
          <w:trHeight w:val="340" w:hRule="atLeast"/>
        </w:trPr>
        <w:tc>
          <w:tcPr>
            <w:tcW w:w="2116"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top"/>
              <w:rPr>
                <w:szCs w:val="21"/>
              </w:rPr>
            </w:pPr>
            <w:r>
              <w:rPr>
                <w:kern w:val="0"/>
                <w:szCs w:val="21"/>
              </w:rPr>
              <w:t>实验室</w:t>
            </w:r>
          </w:p>
        </w:tc>
        <w:tc>
          <w:tcPr>
            <w:tcW w:w="2617"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水平1</w:t>
            </w:r>
          </w:p>
        </w:tc>
        <w:tc>
          <w:tcPr>
            <w:tcW w:w="2617"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水平3</w:t>
            </w:r>
          </w:p>
        </w:tc>
        <w:tc>
          <w:tcPr>
            <w:tcW w:w="2618"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szCs w:val="21"/>
              </w:rPr>
            </w:pPr>
            <w:r>
              <w:rPr>
                <w:kern w:val="0"/>
                <w:szCs w:val="21"/>
              </w:rPr>
              <w:t>水平4</w:t>
            </w:r>
          </w:p>
        </w:tc>
      </w:tr>
      <w:tr>
        <w:tblPrEx>
          <w:tblCellMar>
            <w:top w:w="0" w:type="dxa"/>
            <w:left w:w="108" w:type="dxa"/>
            <w:bottom w:w="0" w:type="dxa"/>
            <w:right w:w="108" w:type="dxa"/>
          </w:tblCellMar>
        </w:tblPrEx>
        <w:trPr>
          <w:trHeight w:val="340" w:hRule="atLeast"/>
        </w:trPr>
        <w:tc>
          <w:tcPr>
            <w:tcW w:w="211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top"/>
              <w:rPr>
                <w:szCs w:val="21"/>
              </w:rPr>
            </w:pPr>
            <w:r>
              <w:rPr>
                <w:kern w:val="0"/>
                <w:szCs w:val="21"/>
              </w:rPr>
              <w:t>Smax实验室</w:t>
            </w:r>
          </w:p>
        </w:tc>
        <w:tc>
          <w:tcPr>
            <w:tcW w:w="2617" w:type="dxa"/>
            <w:tcBorders>
              <w:top w:val="nil"/>
              <w:left w:val="nil"/>
              <w:bottom w:val="single" w:color="000000" w:sz="8" w:space="0"/>
              <w:right w:val="single" w:color="000000" w:sz="8" w:space="0"/>
            </w:tcBorders>
            <w:shd w:val="clear" w:color="auto" w:fill="auto"/>
            <w:vAlign w:val="center"/>
          </w:tcPr>
          <w:p>
            <w:pPr>
              <w:widowControl/>
              <w:jc w:val="center"/>
              <w:textAlignment w:val="top"/>
              <w:rPr>
                <w:szCs w:val="21"/>
              </w:rPr>
            </w:pPr>
            <w:r>
              <w:rPr>
                <w:kern w:val="0"/>
                <w:szCs w:val="21"/>
              </w:rPr>
              <w:t>2和6</w:t>
            </w:r>
          </w:p>
        </w:tc>
        <w:tc>
          <w:tcPr>
            <w:tcW w:w="2617" w:type="dxa"/>
            <w:tcBorders>
              <w:top w:val="nil"/>
              <w:left w:val="nil"/>
              <w:bottom w:val="single" w:color="000000" w:sz="8" w:space="0"/>
              <w:right w:val="single" w:color="000000" w:sz="8" w:space="0"/>
            </w:tcBorders>
            <w:shd w:val="clear" w:color="auto" w:fill="auto"/>
            <w:vAlign w:val="center"/>
          </w:tcPr>
          <w:p>
            <w:pPr>
              <w:widowControl/>
              <w:jc w:val="center"/>
              <w:textAlignment w:val="top"/>
              <w:rPr>
                <w:szCs w:val="21"/>
              </w:rPr>
            </w:pPr>
            <w:r>
              <w:rPr>
                <w:kern w:val="0"/>
                <w:szCs w:val="21"/>
              </w:rPr>
              <w:t>7</w:t>
            </w:r>
          </w:p>
        </w:tc>
        <w:tc>
          <w:tcPr>
            <w:tcW w:w="2618" w:type="dxa"/>
            <w:tcBorders>
              <w:top w:val="nil"/>
              <w:left w:val="nil"/>
              <w:bottom w:val="single" w:color="000000" w:sz="8" w:space="0"/>
              <w:right w:val="single" w:color="000000" w:sz="8" w:space="0"/>
            </w:tcBorders>
            <w:shd w:val="clear" w:color="auto" w:fill="auto"/>
            <w:vAlign w:val="center"/>
          </w:tcPr>
          <w:p>
            <w:pPr>
              <w:widowControl/>
              <w:jc w:val="center"/>
              <w:textAlignment w:val="top"/>
              <w:rPr>
                <w:szCs w:val="21"/>
              </w:rPr>
            </w:pPr>
            <w:r>
              <w:rPr>
                <w:kern w:val="0"/>
                <w:szCs w:val="21"/>
              </w:rPr>
              <w:t>7</w:t>
            </w:r>
          </w:p>
        </w:tc>
      </w:tr>
      <w:tr>
        <w:tblPrEx>
          <w:tblCellMar>
            <w:top w:w="0" w:type="dxa"/>
            <w:left w:w="108" w:type="dxa"/>
            <w:bottom w:w="0" w:type="dxa"/>
            <w:right w:w="108" w:type="dxa"/>
          </w:tblCellMar>
        </w:tblPrEx>
        <w:trPr>
          <w:trHeight w:val="340" w:hRule="atLeast"/>
        </w:trPr>
        <w:tc>
          <w:tcPr>
            <w:tcW w:w="211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top"/>
              <w:rPr>
                <w:szCs w:val="21"/>
              </w:rPr>
            </w:pPr>
            <w:r>
              <w:rPr>
                <w:kern w:val="0"/>
                <w:szCs w:val="21"/>
              </w:rPr>
              <w:t>Smax值</w:t>
            </w:r>
          </w:p>
        </w:tc>
        <w:tc>
          <w:tcPr>
            <w:tcW w:w="26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0.00023</w:t>
            </w:r>
          </w:p>
        </w:tc>
        <w:tc>
          <w:tcPr>
            <w:tcW w:w="26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0.00082</w:t>
            </w:r>
          </w:p>
        </w:tc>
        <w:tc>
          <w:tcPr>
            <w:tcW w:w="2618" w:type="dxa"/>
            <w:tcBorders>
              <w:top w:val="nil"/>
              <w:left w:val="nil"/>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0.005</w:t>
            </w:r>
            <w:r>
              <w:rPr>
                <w:rFonts w:hint="eastAsia"/>
                <w:kern w:val="0"/>
                <w:szCs w:val="21"/>
              </w:rPr>
              <w:t>0</w:t>
            </w:r>
          </w:p>
        </w:tc>
      </w:tr>
      <w:tr>
        <w:tblPrEx>
          <w:tblCellMar>
            <w:top w:w="0" w:type="dxa"/>
            <w:left w:w="108" w:type="dxa"/>
            <w:bottom w:w="0" w:type="dxa"/>
            <w:right w:w="108" w:type="dxa"/>
          </w:tblCellMar>
        </w:tblPrEx>
        <w:trPr>
          <w:trHeight w:val="340" w:hRule="atLeast"/>
        </w:trPr>
        <w:tc>
          <w:tcPr>
            <w:tcW w:w="211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top"/>
              <w:rPr>
                <w:szCs w:val="21"/>
              </w:rPr>
            </w:pPr>
            <w:r>
              <w:rPr>
                <w:kern w:val="0"/>
                <w:szCs w:val="21"/>
              </w:rPr>
              <w:t>∑S</w:t>
            </w:r>
            <w:r>
              <w:rPr>
                <w:kern w:val="0"/>
                <w:szCs w:val="21"/>
                <w:vertAlign w:val="superscript"/>
              </w:rPr>
              <w:t>2</w:t>
            </w:r>
          </w:p>
        </w:tc>
        <w:tc>
          <w:tcPr>
            <w:tcW w:w="26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1.98E-07</w:t>
            </w:r>
          </w:p>
        </w:tc>
        <w:tc>
          <w:tcPr>
            <w:tcW w:w="26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1.98E-06</w:t>
            </w:r>
          </w:p>
        </w:tc>
        <w:tc>
          <w:tcPr>
            <w:tcW w:w="2618" w:type="dxa"/>
            <w:tcBorders>
              <w:top w:val="nil"/>
              <w:left w:val="nil"/>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5.66E-05</w:t>
            </w:r>
          </w:p>
        </w:tc>
      </w:tr>
      <w:tr>
        <w:tblPrEx>
          <w:tblCellMar>
            <w:top w:w="0" w:type="dxa"/>
            <w:left w:w="108" w:type="dxa"/>
            <w:bottom w:w="0" w:type="dxa"/>
            <w:right w:w="108" w:type="dxa"/>
          </w:tblCellMar>
        </w:tblPrEx>
        <w:trPr>
          <w:trHeight w:val="340" w:hRule="atLeast"/>
        </w:trPr>
        <w:tc>
          <w:tcPr>
            <w:tcW w:w="211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top"/>
              <w:rPr>
                <w:szCs w:val="21"/>
              </w:rPr>
            </w:pPr>
            <w:r>
              <w:rPr>
                <w:kern w:val="0"/>
                <w:szCs w:val="21"/>
              </w:rPr>
              <w:t>C</w:t>
            </w:r>
          </w:p>
        </w:tc>
        <w:tc>
          <w:tcPr>
            <w:tcW w:w="26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0.2677</w:t>
            </w:r>
          </w:p>
        </w:tc>
        <w:tc>
          <w:tcPr>
            <w:tcW w:w="2617" w:type="dxa"/>
            <w:tcBorders>
              <w:top w:val="nil"/>
              <w:left w:val="nil"/>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0.3404</w:t>
            </w:r>
          </w:p>
        </w:tc>
        <w:tc>
          <w:tcPr>
            <w:tcW w:w="2618" w:type="dxa"/>
            <w:tcBorders>
              <w:top w:val="nil"/>
              <w:left w:val="nil"/>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0.4416</w:t>
            </w:r>
          </w:p>
        </w:tc>
      </w:tr>
      <w:tr>
        <w:tblPrEx>
          <w:tblCellMar>
            <w:top w:w="0" w:type="dxa"/>
            <w:left w:w="108" w:type="dxa"/>
            <w:bottom w:w="0" w:type="dxa"/>
            <w:right w:w="108" w:type="dxa"/>
          </w:tblCellMar>
        </w:tblPrEx>
        <w:trPr>
          <w:trHeight w:val="340" w:hRule="atLeast"/>
        </w:trPr>
        <w:tc>
          <w:tcPr>
            <w:tcW w:w="211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top"/>
              <w:rPr>
                <w:szCs w:val="21"/>
              </w:rPr>
            </w:pPr>
            <w:r>
              <w:rPr>
                <w:kern w:val="0"/>
                <w:szCs w:val="21"/>
              </w:rPr>
              <w:t>离群值（Y/N）</w:t>
            </w:r>
          </w:p>
        </w:tc>
        <w:tc>
          <w:tcPr>
            <w:tcW w:w="2617" w:type="dxa"/>
            <w:tcBorders>
              <w:top w:val="nil"/>
              <w:left w:val="nil"/>
              <w:bottom w:val="single" w:color="000000" w:sz="8" w:space="0"/>
              <w:right w:val="single" w:color="000000" w:sz="8" w:space="0"/>
            </w:tcBorders>
            <w:shd w:val="clear" w:color="auto" w:fill="auto"/>
            <w:vAlign w:val="center"/>
          </w:tcPr>
          <w:p>
            <w:pPr>
              <w:widowControl/>
              <w:jc w:val="center"/>
              <w:textAlignment w:val="top"/>
              <w:rPr>
                <w:szCs w:val="21"/>
              </w:rPr>
            </w:pPr>
            <w:r>
              <w:rPr>
                <w:kern w:val="0"/>
                <w:szCs w:val="21"/>
              </w:rPr>
              <w:t>Y</w:t>
            </w:r>
          </w:p>
        </w:tc>
        <w:tc>
          <w:tcPr>
            <w:tcW w:w="2617" w:type="dxa"/>
            <w:tcBorders>
              <w:top w:val="nil"/>
              <w:left w:val="nil"/>
              <w:bottom w:val="single" w:color="000000" w:sz="8" w:space="0"/>
              <w:right w:val="single" w:color="auto" w:sz="4" w:space="0"/>
            </w:tcBorders>
            <w:shd w:val="clear" w:color="auto" w:fill="auto"/>
            <w:vAlign w:val="center"/>
          </w:tcPr>
          <w:p>
            <w:pPr>
              <w:widowControl/>
              <w:jc w:val="center"/>
              <w:textAlignment w:val="top"/>
              <w:rPr>
                <w:szCs w:val="21"/>
              </w:rPr>
            </w:pPr>
            <w:r>
              <w:rPr>
                <w:kern w:val="0"/>
                <w:szCs w:val="21"/>
              </w:rPr>
              <w:t>Y</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p>
        </w:tc>
      </w:tr>
      <w:tr>
        <w:tblPrEx>
          <w:tblCellMar>
            <w:top w:w="0" w:type="dxa"/>
            <w:left w:w="108" w:type="dxa"/>
            <w:bottom w:w="0" w:type="dxa"/>
            <w:right w:w="108" w:type="dxa"/>
          </w:tblCellMar>
        </w:tblPrEx>
        <w:trPr>
          <w:trHeight w:val="340" w:hRule="atLeast"/>
        </w:trPr>
        <w:tc>
          <w:tcPr>
            <w:tcW w:w="211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top"/>
              <w:rPr>
                <w:szCs w:val="21"/>
              </w:rPr>
            </w:pPr>
            <w:r>
              <w:rPr>
                <w:kern w:val="0"/>
                <w:szCs w:val="21"/>
              </w:rPr>
              <w:t>歧离值（Y/N）</w:t>
            </w:r>
          </w:p>
        </w:tc>
        <w:tc>
          <w:tcPr>
            <w:tcW w:w="2617" w:type="dxa"/>
            <w:tcBorders>
              <w:top w:val="nil"/>
              <w:left w:val="nil"/>
              <w:bottom w:val="single" w:color="000000" w:sz="8" w:space="0"/>
              <w:right w:val="single" w:color="000000" w:sz="8" w:space="0"/>
            </w:tcBorders>
            <w:shd w:val="clear" w:color="auto" w:fill="auto"/>
            <w:vAlign w:val="center"/>
          </w:tcPr>
          <w:p>
            <w:pPr>
              <w:widowControl/>
              <w:jc w:val="center"/>
              <w:textAlignment w:val="top"/>
              <w:rPr>
                <w:szCs w:val="21"/>
              </w:rPr>
            </w:pPr>
            <w:r>
              <w:rPr>
                <w:kern w:val="0"/>
                <w:szCs w:val="21"/>
              </w:rPr>
              <w:t>Y</w:t>
            </w:r>
          </w:p>
        </w:tc>
        <w:tc>
          <w:tcPr>
            <w:tcW w:w="2617" w:type="dxa"/>
            <w:tcBorders>
              <w:top w:val="nil"/>
              <w:left w:val="nil"/>
              <w:bottom w:val="single" w:color="000000" w:sz="8" w:space="0"/>
              <w:right w:val="single" w:color="auto" w:sz="4" w:space="0"/>
            </w:tcBorders>
            <w:shd w:val="clear" w:color="auto" w:fill="auto"/>
            <w:vAlign w:val="center"/>
          </w:tcPr>
          <w:p>
            <w:pPr>
              <w:widowControl/>
              <w:jc w:val="center"/>
              <w:textAlignment w:val="top"/>
              <w:rPr>
                <w:szCs w:val="21"/>
              </w:rPr>
            </w:pPr>
            <w:r>
              <w:rPr>
                <w:kern w:val="0"/>
                <w:szCs w:val="21"/>
              </w:rPr>
              <w:t>Y</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szCs w:val="21"/>
              </w:rPr>
            </w:pPr>
          </w:p>
        </w:tc>
      </w:tr>
      <w:tr>
        <w:tblPrEx>
          <w:tblCellMar>
            <w:top w:w="0" w:type="dxa"/>
            <w:left w:w="108" w:type="dxa"/>
            <w:bottom w:w="0" w:type="dxa"/>
            <w:right w:w="108" w:type="dxa"/>
          </w:tblCellMar>
        </w:tblPrEx>
        <w:trPr>
          <w:trHeight w:val="340" w:hRule="atLeast"/>
        </w:trPr>
        <w:tc>
          <w:tcPr>
            <w:tcW w:w="2116"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top"/>
              <w:rPr>
                <w:szCs w:val="21"/>
              </w:rPr>
            </w:pPr>
            <w:r>
              <w:rPr>
                <w:kern w:val="0"/>
                <w:szCs w:val="21"/>
              </w:rPr>
              <w:t>C临界</w:t>
            </w:r>
          </w:p>
        </w:tc>
        <w:tc>
          <w:tcPr>
            <w:tcW w:w="7852" w:type="dxa"/>
            <w:gridSpan w:val="3"/>
            <w:tcBorders>
              <w:top w:val="nil"/>
              <w:left w:val="nil"/>
              <w:bottom w:val="single" w:color="000000" w:sz="8" w:space="0"/>
              <w:right w:val="single" w:color="000000" w:sz="8" w:space="0"/>
            </w:tcBorders>
            <w:shd w:val="clear" w:color="auto" w:fill="auto"/>
            <w:vAlign w:val="center"/>
          </w:tcPr>
          <w:p>
            <w:pPr>
              <w:widowControl/>
              <w:jc w:val="center"/>
              <w:textAlignment w:val="top"/>
              <w:rPr>
                <w:szCs w:val="21"/>
              </w:rPr>
            </w:pPr>
            <w:r>
              <w:rPr>
                <w:kern w:val="0"/>
                <w:szCs w:val="21"/>
              </w:rPr>
              <w:t>实验室数p=6时，科克伦检验5%临界值为0.357，1%临界值为0.408。实验室数p=3时，科克伦检验5%临界值为0.357，1%临界值为0.602。</w:t>
            </w:r>
          </w:p>
        </w:tc>
      </w:tr>
    </w:tbl>
    <w:p>
      <w:pPr>
        <w:spacing w:line="300" w:lineRule="auto"/>
        <w:ind w:firstLine="420" w:firstLineChars="200"/>
        <w:jc w:val="left"/>
        <w:rPr>
          <w:szCs w:val="21"/>
        </w:rPr>
      </w:pPr>
    </w:p>
    <w:p>
      <w:pPr>
        <w:spacing w:line="300" w:lineRule="auto"/>
        <w:ind w:firstLine="420" w:firstLineChars="200"/>
        <w:jc w:val="left"/>
        <w:rPr>
          <w:szCs w:val="21"/>
        </w:rPr>
      </w:pPr>
      <w:r>
        <w:rPr>
          <w:szCs w:val="21"/>
        </w:rPr>
        <w:t>柯克伦检验的结果表明，无离群值，无歧离值。</w:t>
      </w:r>
    </w:p>
    <w:p>
      <w:pPr>
        <w:spacing w:line="300" w:lineRule="auto"/>
        <w:rPr>
          <w:rFonts w:eastAsia="黑体"/>
          <w:szCs w:val="21"/>
        </w:rPr>
      </w:pPr>
    </w:p>
    <w:p>
      <w:pPr>
        <w:spacing w:line="300" w:lineRule="auto"/>
        <w:rPr>
          <w:rFonts w:eastAsia="黑体"/>
          <w:szCs w:val="21"/>
        </w:rPr>
      </w:pPr>
      <w:r>
        <w:rPr>
          <w:rFonts w:eastAsia="黑体"/>
          <w:szCs w:val="21"/>
        </w:rPr>
        <w:t>4.2  格拉布斯检验</w:t>
      </w:r>
    </w:p>
    <w:p>
      <w:pPr>
        <w:spacing w:line="300" w:lineRule="auto"/>
        <w:jc w:val="center"/>
        <w:rPr>
          <w:szCs w:val="21"/>
        </w:rPr>
      </w:pPr>
      <w:r>
        <w:rPr>
          <w:szCs w:val="21"/>
        </w:rPr>
        <w:t>表B.</w:t>
      </w:r>
      <w:r>
        <w:rPr>
          <w:rFonts w:hint="eastAsia"/>
          <w:szCs w:val="21"/>
        </w:rPr>
        <w:t>7</w:t>
      </w:r>
      <w:r>
        <w:rPr>
          <w:szCs w:val="21"/>
        </w:rPr>
        <w:t xml:space="preserve"> 各单元平均值（%）</w:t>
      </w:r>
    </w:p>
    <w:tbl>
      <w:tblPr>
        <w:tblStyle w:val="88"/>
        <w:tblpPr w:leftFromText="180" w:rightFromText="180" w:vertAnchor="text" w:horzAnchor="page" w:tblpX="1090" w:tblpY="385"/>
        <w:tblOverlap w:val="never"/>
        <w:tblW w:w="5000" w:type="pct"/>
        <w:tblInd w:w="0" w:type="dxa"/>
        <w:tblLayout w:type="fixed"/>
        <w:tblCellMar>
          <w:top w:w="0" w:type="dxa"/>
          <w:left w:w="108" w:type="dxa"/>
          <w:bottom w:w="0" w:type="dxa"/>
          <w:right w:w="108" w:type="dxa"/>
        </w:tblCellMar>
      </w:tblPr>
      <w:tblGrid>
        <w:gridCol w:w="3202"/>
        <w:gridCol w:w="2083"/>
        <w:gridCol w:w="1550"/>
        <w:gridCol w:w="1798"/>
        <w:gridCol w:w="1335"/>
      </w:tblGrid>
      <w:tr>
        <w:tblPrEx>
          <w:tblCellMar>
            <w:top w:w="0" w:type="dxa"/>
            <w:left w:w="108" w:type="dxa"/>
            <w:bottom w:w="0" w:type="dxa"/>
            <w:right w:w="108" w:type="dxa"/>
          </w:tblCellMar>
        </w:tblPrEx>
        <w:trPr>
          <w:trHeight w:val="340" w:hRule="atLeast"/>
        </w:trPr>
        <w:tc>
          <w:tcPr>
            <w:tcW w:w="320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top"/>
              <w:rPr>
                <w:kern w:val="0"/>
                <w:szCs w:val="21"/>
              </w:rPr>
            </w:pPr>
            <w:r>
              <w:rPr>
                <w:kern w:val="0"/>
                <w:szCs w:val="21"/>
              </w:rPr>
              <w:t>实验室</w:t>
            </w:r>
          </w:p>
        </w:tc>
        <w:tc>
          <w:tcPr>
            <w:tcW w:w="2083"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top"/>
              <w:rPr>
                <w:kern w:val="0"/>
                <w:szCs w:val="21"/>
              </w:rPr>
            </w:pPr>
            <w:r>
              <w:rPr>
                <w:kern w:val="0"/>
                <w:szCs w:val="21"/>
              </w:rPr>
              <w:t>水平1</w:t>
            </w:r>
          </w:p>
        </w:tc>
        <w:tc>
          <w:tcPr>
            <w:tcW w:w="1550"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top"/>
              <w:rPr>
                <w:kern w:val="0"/>
                <w:szCs w:val="21"/>
              </w:rPr>
            </w:pPr>
            <w:r>
              <w:rPr>
                <w:kern w:val="0"/>
                <w:szCs w:val="21"/>
              </w:rPr>
              <w:t>水平2</w:t>
            </w:r>
          </w:p>
        </w:tc>
        <w:tc>
          <w:tcPr>
            <w:tcW w:w="1798"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top"/>
              <w:rPr>
                <w:kern w:val="0"/>
                <w:szCs w:val="21"/>
              </w:rPr>
            </w:pPr>
            <w:r>
              <w:rPr>
                <w:kern w:val="0"/>
                <w:szCs w:val="21"/>
              </w:rPr>
              <w:t>水平3</w:t>
            </w:r>
          </w:p>
        </w:tc>
        <w:tc>
          <w:tcPr>
            <w:tcW w:w="1335"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top"/>
              <w:rPr>
                <w:kern w:val="0"/>
                <w:szCs w:val="21"/>
              </w:rPr>
            </w:pPr>
            <w:r>
              <w:rPr>
                <w:kern w:val="0"/>
                <w:szCs w:val="21"/>
              </w:rPr>
              <w:t>水平4</w:t>
            </w:r>
          </w:p>
        </w:tc>
      </w:tr>
      <w:tr>
        <w:tblPrEx>
          <w:tblCellMar>
            <w:top w:w="0" w:type="dxa"/>
            <w:left w:w="108" w:type="dxa"/>
            <w:bottom w:w="0" w:type="dxa"/>
            <w:right w:w="108" w:type="dxa"/>
          </w:tblCellMar>
        </w:tblPrEx>
        <w:trPr>
          <w:trHeight w:val="340" w:hRule="atLeast"/>
        </w:trPr>
        <w:tc>
          <w:tcPr>
            <w:tcW w:w="320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top"/>
              <w:rPr>
                <w:kern w:val="0"/>
                <w:szCs w:val="21"/>
              </w:rPr>
            </w:pPr>
            <w:r>
              <w:rPr>
                <w:kern w:val="0"/>
                <w:szCs w:val="21"/>
              </w:rPr>
              <w:t>国合通测1</w:t>
            </w:r>
          </w:p>
        </w:tc>
        <w:tc>
          <w:tcPr>
            <w:tcW w:w="2083"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top"/>
              <w:rPr>
                <w:kern w:val="0"/>
                <w:szCs w:val="21"/>
              </w:rPr>
            </w:pPr>
            <w:r>
              <w:rPr>
                <w:kern w:val="0"/>
                <w:szCs w:val="21"/>
              </w:rPr>
              <w:t>0.00257</w:t>
            </w:r>
          </w:p>
        </w:tc>
        <w:tc>
          <w:tcPr>
            <w:tcW w:w="1550"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top"/>
              <w:rPr>
                <w:kern w:val="0"/>
                <w:szCs w:val="21"/>
              </w:rPr>
            </w:pPr>
            <w:r>
              <w:rPr>
                <w:kern w:val="0"/>
                <w:szCs w:val="21"/>
              </w:rPr>
              <w:t>0.0133</w:t>
            </w:r>
          </w:p>
        </w:tc>
        <w:tc>
          <w:tcPr>
            <w:tcW w:w="1798"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top"/>
              <w:rPr>
                <w:kern w:val="0"/>
                <w:szCs w:val="21"/>
              </w:rPr>
            </w:pPr>
            <w:r>
              <w:rPr>
                <w:kern w:val="0"/>
                <w:szCs w:val="21"/>
              </w:rPr>
              <w:t>0.0166</w:t>
            </w:r>
          </w:p>
        </w:tc>
        <w:tc>
          <w:tcPr>
            <w:tcW w:w="1335"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top"/>
              <w:rPr>
                <w:kern w:val="0"/>
                <w:szCs w:val="21"/>
              </w:rPr>
            </w:pPr>
            <w:r>
              <w:rPr>
                <w:kern w:val="0"/>
                <w:szCs w:val="21"/>
              </w:rPr>
              <w:t>0.202</w:t>
            </w:r>
          </w:p>
        </w:tc>
      </w:tr>
      <w:tr>
        <w:tblPrEx>
          <w:tblCellMar>
            <w:top w:w="0" w:type="dxa"/>
            <w:left w:w="108" w:type="dxa"/>
            <w:bottom w:w="0" w:type="dxa"/>
            <w:right w:w="108" w:type="dxa"/>
          </w:tblCellMar>
        </w:tblPrEx>
        <w:trPr>
          <w:trHeight w:val="340" w:hRule="atLeast"/>
        </w:trPr>
        <w:tc>
          <w:tcPr>
            <w:tcW w:w="320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top"/>
              <w:rPr>
                <w:kern w:val="0"/>
                <w:szCs w:val="21"/>
              </w:rPr>
            </w:pPr>
            <w:r>
              <w:rPr>
                <w:kern w:val="0"/>
                <w:szCs w:val="21"/>
              </w:rPr>
              <w:t>包头稀土2</w:t>
            </w:r>
          </w:p>
        </w:tc>
        <w:tc>
          <w:tcPr>
            <w:tcW w:w="2083" w:type="dxa"/>
            <w:tcBorders>
              <w:top w:val="nil"/>
              <w:left w:val="nil"/>
              <w:bottom w:val="single" w:color="000000" w:sz="8" w:space="0"/>
              <w:right w:val="single" w:color="000000" w:sz="8" w:space="0"/>
            </w:tcBorders>
            <w:shd w:val="clear" w:color="auto" w:fill="auto"/>
            <w:vAlign w:val="center"/>
          </w:tcPr>
          <w:p>
            <w:pPr>
              <w:widowControl/>
              <w:jc w:val="center"/>
              <w:textAlignment w:val="top"/>
              <w:rPr>
                <w:kern w:val="0"/>
                <w:szCs w:val="21"/>
              </w:rPr>
            </w:pPr>
            <w:r>
              <w:rPr>
                <w:kern w:val="0"/>
                <w:szCs w:val="21"/>
              </w:rPr>
              <w:t>0.00028</w:t>
            </w:r>
          </w:p>
        </w:tc>
        <w:tc>
          <w:tcPr>
            <w:tcW w:w="1550" w:type="dxa"/>
            <w:tcBorders>
              <w:top w:val="nil"/>
              <w:left w:val="nil"/>
              <w:bottom w:val="single" w:color="000000" w:sz="8" w:space="0"/>
              <w:right w:val="single" w:color="000000" w:sz="8" w:space="0"/>
            </w:tcBorders>
            <w:shd w:val="clear" w:color="auto" w:fill="auto"/>
            <w:vAlign w:val="center"/>
          </w:tcPr>
          <w:p>
            <w:pPr>
              <w:widowControl/>
              <w:jc w:val="center"/>
              <w:textAlignment w:val="top"/>
              <w:rPr>
                <w:kern w:val="0"/>
                <w:szCs w:val="21"/>
              </w:rPr>
            </w:pPr>
            <w:r>
              <w:rPr>
                <w:kern w:val="0"/>
                <w:szCs w:val="21"/>
              </w:rPr>
              <w:t>0.0075</w:t>
            </w:r>
          </w:p>
        </w:tc>
        <w:tc>
          <w:tcPr>
            <w:tcW w:w="1798" w:type="dxa"/>
            <w:tcBorders>
              <w:top w:val="nil"/>
              <w:left w:val="nil"/>
              <w:bottom w:val="single" w:color="000000" w:sz="8" w:space="0"/>
              <w:right w:val="single" w:color="000000" w:sz="8" w:space="0"/>
            </w:tcBorders>
            <w:shd w:val="clear" w:color="auto" w:fill="auto"/>
            <w:vAlign w:val="center"/>
          </w:tcPr>
          <w:p>
            <w:pPr>
              <w:widowControl/>
              <w:jc w:val="center"/>
              <w:textAlignment w:val="top"/>
              <w:rPr>
                <w:kern w:val="0"/>
                <w:szCs w:val="21"/>
              </w:rPr>
            </w:pPr>
            <w:r>
              <w:rPr>
                <w:rFonts w:hint="eastAsia"/>
                <w:kern w:val="0"/>
                <w:szCs w:val="21"/>
              </w:rPr>
              <w:t>--</w:t>
            </w:r>
          </w:p>
        </w:tc>
        <w:tc>
          <w:tcPr>
            <w:tcW w:w="1335" w:type="dxa"/>
            <w:tcBorders>
              <w:top w:val="nil"/>
              <w:left w:val="nil"/>
              <w:bottom w:val="single" w:color="000000" w:sz="8" w:space="0"/>
              <w:right w:val="single" w:color="000000" w:sz="8" w:space="0"/>
            </w:tcBorders>
            <w:shd w:val="clear" w:color="auto" w:fill="auto"/>
            <w:vAlign w:val="center"/>
          </w:tcPr>
          <w:p>
            <w:pPr>
              <w:widowControl/>
              <w:jc w:val="center"/>
              <w:textAlignment w:val="top"/>
              <w:rPr>
                <w:kern w:val="0"/>
                <w:szCs w:val="21"/>
              </w:rPr>
            </w:pPr>
          </w:p>
        </w:tc>
      </w:tr>
      <w:tr>
        <w:tblPrEx>
          <w:tblCellMar>
            <w:top w:w="0" w:type="dxa"/>
            <w:left w:w="108" w:type="dxa"/>
            <w:bottom w:w="0" w:type="dxa"/>
            <w:right w:w="108" w:type="dxa"/>
          </w:tblCellMar>
        </w:tblPrEx>
        <w:trPr>
          <w:trHeight w:val="340" w:hRule="atLeast"/>
        </w:trPr>
        <w:tc>
          <w:tcPr>
            <w:tcW w:w="320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top"/>
              <w:rPr>
                <w:kern w:val="0"/>
                <w:szCs w:val="21"/>
              </w:rPr>
            </w:pPr>
            <w:r>
              <w:rPr>
                <w:kern w:val="0"/>
                <w:szCs w:val="21"/>
              </w:rPr>
              <w:t>国标检验3</w:t>
            </w:r>
          </w:p>
        </w:tc>
        <w:tc>
          <w:tcPr>
            <w:tcW w:w="2083" w:type="dxa"/>
            <w:tcBorders>
              <w:top w:val="nil"/>
              <w:left w:val="nil"/>
              <w:bottom w:val="single" w:color="000000" w:sz="8" w:space="0"/>
              <w:right w:val="single" w:color="000000" w:sz="8" w:space="0"/>
            </w:tcBorders>
            <w:shd w:val="clear" w:color="auto" w:fill="auto"/>
            <w:vAlign w:val="center"/>
          </w:tcPr>
          <w:p>
            <w:pPr>
              <w:widowControl/>
              <w:jc w:val="center"/>
              <w:textAlignment w:val="top"/>
              <w:rPr>
                <w:kern w:val="0"/>
                <w:szCs w:val="21"/>
              </w:rPr>
            </w:pPr>
            <w:r>
              <w:rPr>
                <w:kern w:val="0"/>
                <w:szCs w:val="21"/>
              </w:rPr>
              <w:t>0.00246</w:t>
            </w:r>
          </w:p>
        </w:tc>
        <w:tc>
          <w:tcPr>
            <w:tcW w:w="1550" w:type="dxa"/>
            <w:tcBorders>
              <w:top w:val="nil"/>
              <w:left w:val="nil"/>
              <w:bottom w:val="single" w:color="000000" w:sz="8" w:space="0"/>
              <w:right w:val="single" w:color="000000" w:sz="8" w:space="0"/>
            </w:tcBorders>
            <w:shd w:val="clear" w:color="auto" w:fill="auto"/>
            <w:vAlign w:val="center"/>
          </w:tcPr>
          <w:p>
            <w:pPr>
              <w:widowControl/>
              <w:jc w:val="center"/>
              <w:textAlignment w:val="top"/>
              <w:rPr>
                <w:kern w:val="0"/>
                <w:szCs w:val="21"/>
              </w:rPr>
            </w:pPr>
            <w:r>
              <w:rPr>
                <w:kern w:val="0"/>
                <w:szCs w:val="21"/>
              </w:rPr>
              <w:t>0.0134</w:t>
            </w:r>
          </w:p>
        </w:tc>
        <w:tc>
          <w:tcPr>
            <w:tcW w:w="1798" w:type="dxa"/>
            <w:tcBorders>
              <w:top w:val="nil"/>
              <w:left w:val="nil"/>
              <w:bottom w:val="single" w:color="000000" w:sz="8" w:space="0"/>
              <w:right w:val="single" w:color="000000" w:sz="8" w:space="0"/>
            </w:tcBorders>
            <w:shd w:val="clear" w:color="auto" w:fill="auto"/>
            <w:vAlign w:val="center"/>
          </w:tcPr>
          <w:p>
            <w:pPr>
              <w:widowControl/>
              <w:jc w:val="center"/>
              <w:textAlignment w:val="top"/>
              <w:rPr>
                <w:kern w:val="0"/>
                <w:szCs w:val="21"/>
              </w:rPr>
            </w:pPr>
            <w:r>
              <w:rPr>
                <w:kern w:val="0"/>
                <w:szCs w:val="21"/>
              </w:rPr>
              <w:t>0.0164</w:t>
            </w:r>
          </w:p>
        </w:tc>
        <w:tc>
          <w:tcPr>
            <w:tcW w:w="1335" w:type="dxa"/>
            <w:tcBorders>
              <w:top w:val="nil"/>
              <w:left w:val="nil"/>
              <w:bottom w:val="single" w:color="000000" w:sz="8" w:space="0"/>
              <w:right w:val="single" w:color="000000" w:sz="8" w:space="0"/>
            </w:tcBorders>
            <w:shd w:val="clear" w:color="auto" w:fill="auto"/>
            <w:vAlign w:val="center"/>
          </w:tcPr>
          <w:p>
            <w:pPr>
              <w:widowControl/>
              <w:jc w:val="center"/>
              <w:textAlignment w:val="top"/>
              <w:rPr>
                <w:kern w:val="0"/>
                <w:szCs w:val="21"/>
              </w:rPr>
            </w:pPr>
            <w:r>
              <w:rPr>
                <w:rFonts w:hint="eastAsia"/>
                <w:kern w:val="0"/>
                <w:szCs w:val="21"/>
              </w:rPr>
              <w:t>--</w:t>
            </w:r>
          </w:p>
        </w:tc>
      </w:tr>
      <w:tr>
        <w:tblPrEx>
          <w:tblCellMar>
            <w:top w:w="0" w:type="dxa"/>
            <w:left w:w="108" w:type="dxa"/>
            <w:bottom w:w="0" w:type="dxa"/>
            <w:right w:w="108" w:type="dxa"/>
          </w:tblCellMar>
        </w:tblPrEx>
        <w:trPr>
          <w:trHeight w:val="340" w:hRule="atLeast"/>
        </w:trPr>
        <w:tc>
          <w:tcPr>
            <w:tcW w:w="320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top"/>
              <w:rPr>
                <w:kern w:val="0"/>
                <w:szCs w:val="21"/>
              </w:rPr>
            </w:pPr>
            <w:r>
              <w:rPr>
                <w:kern w:val="0"/>
                <w:szCs w:val="21"/>
              </w:rPr>
              <w:t>赣州有色4</w:t>
            </w:r>
          </w:p>
        </w:tc>
        <w:tc>
          <w:tcPr>
            <w:tcW w:w="2083" w:type="dxa"/>
            <w:tcBorders>
              <w:top w:val="nil"/>
              <w:left w:val="nil"/>
              <w:bottom w:val="single" w:color="000000" w:sz="8" w:space="0"/>
              <w:right w:val="single" w:color="000000" w:sz="8" w:space="0"/>
            </w:tcBorders>
            <w:shd w:val="clear" w:color="auto" w:fill="auto"/>
            <w:vAlign w:val="center"/>
          </w:tcPr>
          <w:p>
            <w:pPr>
              <w:widowControl/>
              <w:jc w:val="center"/>
              <w:textAlignment w:val="top"/>
              <w:rPr>
                <w:kern w:val="0"/>
                <w:szCs w:val="21"/>
              </w:rPr>
            </w:pPr>
            <w:r>
              <w:rPr>
                <w:kern w:val="0"/>
                <w:szCs w:val="21"/>
              </w:rPr>
              <w:t>0.00256</w:t>
            </w:r>
          </w:p>
        </w:tc>
        <w:tc>
          <w:tcPr>
            <w:tcW w:w="1550" w:type="dxa"/>
            <w:tcBorders>
              <w:top w:val="nil"/>
              <w:left w:val="nil"/>
              <w:bottom w:val="single" w:color="000000" w:sz="8" w:space="0"/>
              <w:right w:val="single" w:color="000000" w:sz="8" w:space="0"/>
            </w:tcBorders>
            <w:shd w:val="clear" w:color="auto" w:fill="auto"/>
            <w:vAlign w:val="center"/>
          </w:tcPr>
          <w:p>
            <w:pPr>
              <w:widowControl/>
              <w:jc w:val="center"/>
              <w:textAlignment w:val="top"/>
              <w:rPr>
                <w:kern w:val="0"/>
                <w:szCs w:val="21"/>
              </w:rPr>
            </w:pPr>
            <w:r>
              <w:rPr>
                <w:kern w:val="0"/>
                <w:szCs w:val="21"/>
              </w:rPr>
              <w:t>0.0112</w:t>
            </w:r>
          </w:p>
        </w:tc>
        <w:tc>
          <w:tcPr>
            <w:tcW w:w="1798" w:type="dxa"/>
            <w:tcBorders>
              <w:top w:val="nil"/>
              <w:left w:val="nil"/>
              <w:bottom w:val="single" w:color="000000" w:sz="8" w:space="0"/>
              <w:right w:val="single" w:color="000000" w:sz="8" w:space="0"/>
            </w:tcBorders>
            <w:shd w:val="clear" w:color="auto" w:fill="auto"/>
            <w:vAlign w:val="center"/>
          </w:tcPr>
          <w:p>
            <w:pPr>
              <w:widowControl/>
              <w:jc w:val="center"/>
              <w:textAlignment w:val="top"/>
              <w:rPr>
                <w:kern w:val="0"/>
                <w:szCs w:val="21"/>
              </w:rPr>
            </w:pPr>
            <w:r>
              <w:rPr>
                <w:kern w:val="0"/>
                <w:szCs w:val="21"/>
              </w:rPr>
              <w:t>0.0173</w:t>
            </w:r>
          </w:p>
        </w:tc>
        <w:tc>
          <w:tcPr>
            <w:tcW w:w="1335" w:type="dxa"/>
            <w:tcBorders>
              <w:top w:val="nil"/>
              <w:left w:val="nil"/>
              <w:bottom w:val="single" w:color="000000" w:sz="8" w:space="0"/>
              <w:right w:val="single" w:color="000000" w:sz="8" w:space="0"/>
            </w:tcBorders>
            <w:shd w:val="clear" w:color="auto" w:fill="auto"/>
            <w:vAlign w:val="center"/>
          </w:tcPr>
          <w:p>
            <w:pPr>
              <w:widowControl/>
              <w:jc w:val="center"/>
              <w:textAlignment w:val="top"/>
              <w:rPr>
                <w:kern w:val="0"/>
                <w:szCs w:val="21"/>
              </w:rPr>
            </w:pPr>
          </w:p>
        </w:tc>
      </w:tr>
      <w:tr>
        <w:tblPrEx>
          <w:tblCellMar>
            <w:top w:w="0" w:type="dxa"/>
            <w:left w:w="108" w:type="dxa"/>
            <w:bottom w:w="0" w:type="dxa"/>
            <w:right w:w="108" w:type="dxa"/>
          </w:tblCellMar>
        </w:tblPrEx>
        <w:trPr>
          <w:trHeight w:val="340" w:hRule="atLeast"/>
        </w:trPr>
        <w:tc>
          <w:tcPr>
            <w:tcW w:w="320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top"/>
              <w:rPr>
                <w:kern w:val="0"/>
                <w:szCs w:val="21"/>
              </w:rPr>
            </w:pPr>
            <w:r>
              <w:rPr>
                <w:kern w:val="0"/>
                <w:szCs w:val="21"/>
              </w:rPr>
              <w:t>乐山锐丰5</w:t>
            </w:r>
          </w:p>
        </w:tc>
        <w:tc>
          <w:tcPr>
            <w:tcW w:w="2083" w:type="dxa"/>
            <w:tcBorders>
              <w:top w:val="nil"/>
              <w:left w:val="nil"/>
              <w:bottom w:val="single" w:color="000000" w:sz="8" w:space="0"/>
              <w:right w:val="single" w:color="000000" w:sz="8" w:space="0"/>
            </w:tcBorders>
            <w:shd w:val="clear" w:color="auto" w:fill="auto"/>
            <w:vAlign w:val="center"/>
          </w:tcPr>
          <w:p>
            <w:pPr>
              <w:widowControl/>
              <w:jc w:val="center"/>
              <w:textAlignment w:val="top"/>
              <w:rPr>
                <w:kern w:val="0"/>
                <w:szCs w:val="21"/>
              </w:rPr>
            </w:pPr>
            <w:r>
              <w:rPr>
                <w:kern w:val="0"/>
                <w:szCs w:val="21"/>
              </w:rPr>
              <w:t>0.00228</w:t>
            </w:r>
          </w:p>
        </w:tc>
        <w:tc>
          <w:tcPr>
            <w:tcW w:w="1550" w:type="dxa"/>
            <w:tcBorders>
              <w:top w:val="nil"/>
              <w:left w:val="nil"/>
              <w:bottom w:val="single" w:color="000000" w:sz="8" w:space="0"/>
              <w:right w:val="single" w:color="000000" w:sz="8" w:space="0"/>
            </w:tcBorders>
            <w:shd w:val="clear" w:color="auto" w:fill="auto"/>
            <w:vAlign w:val="center"/>
          </w:tcPr>
          <w:p>
            <w:pPr>
              <w:widowControl/>
              <w:jc w:val="center"/>
              <w:textAlignment w:val="top"/>
              <w:rPr>
                <w:kern w:val="0"/>
                <w:szCs w:val="21"/>
              </w:rPr>
            </w:pPr>
            <w:r>
              <w:rPr>
                <w:kern w:val="0"/>
                <w:szCs w:val="21"/>
              </w:rPr>
              <w:t>0.0105</w:t>
            </w:r>
          </w:p>
        </w:tc>
        <w:tc>
          <w:tcPr>
            <w:tcW w:w="1798" w:type="dxa"/>
            <w:tcBorders>
              <w:top w:val="nil"/>
              <w:left w:val="nil"/>
              <w:bottom w:val="single" w:color="000000" w:sz="8" w:space="0"/>
              <w:right w:val="single" w:color="000000" w:sz="8" w:space="0"/>
            </w:tcBorders>
            <w:shd w:val="clear" w:color="auto" w:fill="auto"/>
            <w:vAlign w:val="center"/>
          </w:tcPr>
          <w:p>
            <w:pPr>
              <w:widowControl/>
              <w:jc w:val="center"/>
              <w:textAlignment w:val="top"/>
              <w:rPr>
                <w:kern w:val="0"/>
                <w:szCs w:val="21"/>
              </w:rPr>
            </w:pPr>
            <w:r>
              <w:rPr>
                <w:kern w:val="0"/>
                <w:szCs w:val="21"/>
              </w:rPr>
              <w:t>0.0200</w:t>
            </w:r>
          </w:p>
        </w:tc>
        <w:tc>
          <w:tcPr>
            <w:tcW w:w="1335" w:type="dxa"/>
            <w:tcBorders>
              <w:top w:val="nil"/>
              <w:left w:val="nil"/>
              <w:bottom w:val="single" w:color="000000" w:sz="8" w:space="0"/>
              <w:right w:val="single" w:color="000000" w:sz="8" w:space="0"/>
            </w:tcBorders>
            <w:shd w:val="clear" w:color="auto" w:fill="auto"/>
            <w:vAlign w:val="center"/>
          </w:tcPr>
          <w:p>
            <w:pPr>
              <w:widowControl/>
              <w:jc w:val="center"/>
              <w:textAlignment w:val="top"/>
              <w:rPr>
                <w:kern w:val="0"/>
                <w:szCs w:val="21"/>
              </w:rPr>
            </w:pPr>
            <w:r>
              <w:rPr>
                <w:kern w:val="0"/>
                <w:szCs w:val="21"/>
              </w:rPr>
              <w:t>0.203</w:t>
            </w:r>
          </w:p>
        </w:tc>
      </w:tr>
      <w:tr>
        <w:tblPrEx>
          <w:tblCellMar>
            <w:top w:w="0" w:type="dxa"/>
            <w:left w:w="108" w:type="dxa"/>
            <w:bottom w:w="0" w:type="dxa"/>
            <w:right w:w="108" w:type="dxa"/>
          </w:tblCellMar>
        </w:tblPrEx>
        <w:trPr>
          <w:trHeight w:val="340" w:hRule="atLeast"/>
        </w:trPr>
        <w:tc>
          <w:tcPr>
            <w:tcW w:w="320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top"/>
              <w:rPr>
                <w:kern w:val="0"/>
                <w:szCs w:val="21"/>
              </w:rPr>
            </w:pPr>
            <w:r>
              <w:rPr>
                <w:kern w:val="0"/>
                <w:szCs w:val="21"/>
              </w:rPr>
              <w:t>南方稀土6</w:t>
            </w:r>
          </w:p>
        </w:tc>
        <w:tc>
          <w:tcPr>
            <w:tcW w:w="2083" w:type="dxa"/>
            <w:tcBorders>
              <w:top w:val="nil"/>
              <w:left w:val="nil"/>
              <w:bottom w:val="single" w:color="000000" w:sz="8" w:space="0"/>
              <w:right w:val="single" w:color="000000" w:sz="8" w:space="0"/>
            </w:tcBorders>
            <w:shd w:val="clear" w:color="auto" w:fill="auto"/>
            <w:vAlign w:val="center"/>
          </w:tcPr>
          <w:p>
            <w:pPr>
              <w:widowControl/>
              <w:jc w:val="center"/>
              <w:textAlignment w:val="top"/>
              <w:rPr>
                <w:kern w:val="0"/>
                <w:szCs w:val="21"/>
              </w:rPr>
            </w:pPr>
            <w:r>
              <w:rPr>
                <w:kern w:val="0"/>
                <w:szCs w:val="21"/>
              </w:rPr>
              <w:t>0.00285</w:t>
            </w:r>
          </w:p>
        </w:tc>
        <w:tc>
          <w:tcPr>
            <w:tcW w:w="1550" w:type="dxa"/>
            <w:tcBorders>
              <w:top w:val="nil"/>
              <w:left w:val="nil"/>
              <w:bottom w:val="single" w:color="000000" w:sz="8" w:space="0"/>
              <w:right w:val="single" w:color="000000" w:sz="8" w:space="0"/>
            </w:tcBorders>
            <w:shd w:val="clear" w:color="auto" w:fill="auto"/>
            <w:vAlign w:val="center"/>
          </w:tcPr>
          <w:p>
            <w:pPr>
              <w:widowControl/>
              <w:jc w:val="center"/>
              <w:textAlignment w:val="top"/>
              <w:rPr>
                <w:kern w:val="0"/>
                <w:szCs w:val="21"/>
              </w:rPr>
            </w:pPr>
            <w:r>
              <w:rPr>
                <w:kern w:val="0"/>
                <w:szCs w:val="21"/>
              </w:rPr>
              <w:t>0.0112</w:t>
            </w:r>
          </w:p>
        </w:tc>
        <w:tc>
          <w:tcPr>
            <w:tcW w:w="1798" w:type="dxa"/>
            <w:tcBorders>
              <w:top w:val="nil"/>
              <w:left w:val="nil"/>
              <w:bottom w:val="single" w:color="000000" w:sz="8" w:space="0"/>
              <w:right w:val="single" w:color="000000" w:sz="8" w:space="0"/>
            </w:tcBorders>
            <w:shd w:val="clear" w:color="auto" w:fill="auto"/>
            <w:vAlign w:val="center"/>
          </w:tcPr>
          <w:p>
            <w:pPr>
              <w:widowControl/>
              <w:jc w:val="center"/>
              <w:textAlignment w:val="top"/>
              <w:rPr>
                <w:kern w:val="0"/>
                <w:szCs w:val="21"/>
              </w:rPr>
            </w:pPr>
            <w:r>
              <w:rPr>
                <w:kern w:val="0"/>
                <w:szCs w:val="21"/>
              </w:rPr>
              <w:t>0.0205</w:t>
            </w:r>
          </w:p>
        </w:tc>
        <w:tc>
          <w:tcPr>
            <w:tcW w:w="1335" w:type="dxa"/>
            <w:tcBorders>
              <w:top w:val="nil"/>
              <w:left w:val="nil"/>
              <w:bottom w:val="single" w:color="000000" w:sz="8" w:space="0"/>
              <w:right w:val="single" w:color="000000" w:sz="8" w:space="0"/>
            </w:tcBorders>
            <w:shd w:val="clear" w:color="auto" w:fill="auto"/>
            <w:vAlign w:val="center"/>
          </w:tcPr>
          <w:p>
            <w:pPr>
              <w:widowControl/>
              <w:jc w:val="center"/>
              <w:textAlignment w:val="top"/>
              <w:rPr>
                <w:kern w:val="0"/>
                <w:szCs w:val="21"/>
              </w:rPr>
            </w:pPr>
            <w:r>
              <w:rPr>
                <w:rFonts w:hint="eastAsia"/>
                <w:kern w:val="0"/>
                <w:szCs w:val="21"/>
              </w:rPr>
              <w:t>--</w:t>
            </w:r>
          </w:p>
        </w:tc>
      </w:tr>
      <w:tr>
        <w:tblPrEx>
          <w:tblCellMar>
            <w:top w:w="0" w:type="dxa"/>
            <w:left w:w="108" w:type="dxa"/>
            <w:bottom w:w="0" w:type="dxa"/>
            <w:right w:w="108" w:type="dxa"/>
          </w:tblCellMar>
        </w:tblPrEx>
        <w:trPr>
          <w:trHeight w:val="340" w:hRule="atLeast"/>
        </w:trPr>
        <w:tc>
          <w:tcPr>
            <w:tcW w:w="320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top"/>
              <w:rPr>
                <w:kern w:val="0"/>
                <w:szCs w:val="21"/>
              </w:rPr>
            </w:pPr>
            <w:r>
              <w:rPr>
                <w:kern w:val="0"/>
                <w:szCs w:val="21"/>
              </w:rPr>
              <w:t>有研稀土7</w:t>
            </w:r>
          </w:p>
        </w:tc>
        <w:tc>
          <w:tcPr>
            <w:tcW w:w="2083" w:type="dxa"/>
            <w:tcBorders>
              <w:top w:val="nil"/>
              <w:left w:val="nil"/>
              <w:bottom w:val="single" w:color="000000" w:sz="8" w:space="0"/>
              <w:right w:val="single" w:color="000000" w:sz="8" w:space="0"/>
            </w:tcBorders>
            <w:shd w:val="clear" w:color="auto" w:fill="auto"/>
            <w:vAlign w:val="center"/>
          </w:tcPr>
          <w:p>
            <w:pPr>
              <w:widowControl/>
              <w:jc w:val="center"/>
              <w:textAlignment w:val="top"/>
              <w:rPr>
                <w:kern w:val="0"/>
                <w:szCs w:val="21"/>
              </w:rPr>
            </w:pPr>
            <w:r>
              <w:rPr>
                <w:rFonts w:hint="eastAsia"/>
                <w:kern w:val="0"/>
                <w:szCs w:val="21"/>
              </w:rPr>
              <w:t>--</w:t>
            </w:r>
          </w:p>
        </w:tc>
        <w:tc>
          <w:tcPr>
            <w:tcW w:w="1550" w:type="dxa"/>
            <w:tcBorders>
              <w:top w:val="nil"/>
              <w:left w:val="nil"/>
              <w:bottom w:val="single" w:color="000000" w:sz="8" w:space="0"/>
              <w:right w:val="single" w:color="000000" w:sz="8" w:space="0"/>
            </w:tcBorders>
            <w:shd w:val="clear" w:color="auto" w:fill="auto"/>
            <w:vAlign w:val="center"/>
          </w:tcPr>
          <w:p>
            <w:pPr>
              <w:widowControl/>
              <w:jc w:val="center"/>
              <w:textAlignment w:val="top"/>
              <w:rPr>
                <w:kern w:val="0"/>
                <w:szCs w:val="21"/>
              </w:rPr>
            </w:pPr>
            <w:r>
              <w:rPr>
                <w:kern w:val="0"/>
                <w:szCs w:val="21"/>
              </w:rPr>
              <w:t>0.0142</w:t>
            </w:r>
          </w:p>
        </w:tc>
        <w:tc>
          <w:tcPr>
            <w:tcW w:w="1798" w:type="dxa"/>
            <w:tcBorders>
              <w:top w:val="nil"/>
              <w:left w:val="nil"/>
              <w:bottom w:val="single" w:color="000000" w:sz="8" w:space="0"/>
              <w:right w:val="single" w:color="000000" w:sz="8" w:space="0"/>
            </w:tcBorders>
            <w:shd w:val="clear" w:color="auto" w:fill="auto"/>
            <w:vAlign w:val="center"/>
          </w:tcPr>
          <w:p>
            <w:pPr>
              <w:widowControl/>
              <w:jc w:val="center"/>
              <w:textAlignment w:val="top"/>
              <w:rPr>
                <w:kern w:val="0"/>
                <w:szCs w:val="21"/>
              </w:rPr>
            </w:pPr>
            <w:r>
              <w:rPr>
                <w:kern w:val="0"/>
                <w:szCs w:val="21"/>
              </w:rPr>
              <w:t>0.0170</w:t>
            </w:r>
          </w:p>
        </w:tc>
        <w:tc>
          <w:tcPr>
            <w:tcW w:w="1335" w:type="dxa"/>
            <w:tcBorders>
              <w:top w:val="nil"/>
              <w:left w:val="nil"/>
              <w:bottom w:val="single" w:color="000000" w:sz="8" w:space="0"/>
              <w:right w:val="single" w:color="000000" w:sz="8" w:space="0"/>
            </w:tcBorders>
            <w:shd w:val="clear" w:color="auto" w:fill="auto"/>
            <w:vAlign w:val="center"/>
          </w:tcPr>
          <w:p>
            <w:pPr>
              <w:widowControl/>
              <w:jc w:val="center"/>
              <w:textAlignment w:val="top"/>
              <w:rPr>
                <w:kern w:val="0"/>
                <w:szCs w:val="21"/>
              </w:rPr>
            </w:pPr>
            <w:r>
              <w:rPr>
                <w:kern w:val="0"/>
                <w:szCs w:val="21"/>
              </w:rPr>
              <w:t>0.189</w:t>
            </w:r>
          </w:p>
        </w:tc>
      </w:tr>
    </w:tbl>
    <w:p>
      <w:pPr>
        <w:spacing w:line="300" w:lineRule="auto"/>
        <w:jc w:val="center"/>
        <w:rPr>
          <w:szCs w:val="21"/>
        </w:rPr>
      </w:pPr>
      <w:r>
        <w:rPr>
          <w:szCs w:val="21"/>
        </w:rPr>
        <w:t xml:space="preserve"> </w:t>
      </w:r>
    </w:p>
    <w:p>
      <w:pPr>
        <w:spacing w:line="300" w:lineRule="auto"/>
        <w:jc w:val="center"/>
        <w:rPr>
          <w:szCs w:val="21"/>
        </w:rPr>
      </w:pPr>
      <w:r>
        <w:rPr>
          <w:szCs w:val="21"/>
        </w:rPr>
        <w:t>表B.</w:t>
      </w:r>
      <w:r>
        <w:rPr>
          <w:rFonts w:hint="eastAsia"/>
          <w:szCs w:val="21"/>
        </w:rPr>
        <w:t>8</w:t>
      </w:r>
      <w:r>
        <w:rPr>
          <w:szCs w:val="21"/>
        </w:rPr>
        <w:t xml:space="preserve">  格拉布斯检验</w:t>
      </w:r>
    </w:p>
    <w:tbl>
      <w:tblPr>
        <w:tblStyle w:val="88"/>
        <w:tblW w:w="5000" w:type="pct"/>
        <w:tblInd w:w="0" w:type="dxa"/>
        <w:tblLayout w:type="autofit"/>
        <w:tblCellMar>
          <w:top w:w="0" w:type="dxa"/>
          <w:left w:w="108" w:type="dxa"/>
          <w:bottom w:w="0" w:type="dxa"/>
          <w:right w:w="108" w:type="dxa"/>
        </w:tblCellMar>
      </w:tblPr>
      <w:tblGrid>
        <w:gridCol w:w="1993"/>
        <w:gridCol w:w="1993"/>
        <w:gridCol w:w="1994"/>
        <w:gridCol w:w="1994"/>
        <w:gridCol w:w="1994"/>
      </w:tblGrid>
      <w:tr>
        <w:tblPrEx>
          <w:tblCellMar>
            <w:top w:w="0" w:type="dxa"/>
            <w:left w:w="108" w:type="dxa"/>
            <w:bottom w:w="0" w:type="dxa"/>
            <w:right w:w="108" w:type="dxa"/>
          </w:tblCellMar>
        </w:tblPrEx>
        <w:trPr>
          <w:trHeight w:val="313" w:hRule="atLeast"/>
        </w:trPr>
        <w:tc>
          <w:tcPr>
            <w:tcW w:w="1993"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统计量</w:t>
            </w:r>
          </w:p>
        </w:tc>
        <w:tc>
          <w:tcPr>
            <w:tcW w:w="1993" w:type="dxa"/>
            <w:tcBorders>
              <w:top w:val="single" w:color="000000" w:sz="8" w:space="0"/>
              <w:left w:val="nil"/>
              <w:bottom w:val="single" w:color="auto" w:sz="4" w:space="0"/>
              <w:right w:val="single" w:color="000000" w:sz="8" w:space="0"/>
            </w:tcBorders>
            <w:shd w:val="clear" w:color="auto" w:fill="auto"/>
            <w:vAlign w:val="center"/>
          </w:tcPr>
          <w:p>
            <w:pPr>
              <w:widowControl/>
              <w:jc w:val="center"/>
              <w:textAlignment w:val="center"/>
              <w:rPr>
                <w:szCs w:val="21"/>
              </w:rPr>
            </w:pPr>
            <w:r>
              <w:rPr>
                <w:kern w:val="0"/>
                <w:szCs w:val="21"/>
              </w:rPr>
              <w:t>水平1 (6家)</w:t>
            </w:r>
          </w:p>
        </w:tc>
        <w:tc>
          <w:tcPr>
            <w:tcW w:w="1994" w:type="dxa"/>
            <w:tcBorders>
              <w:top w:val="single" w:color="000000" w:sz="8" w:space="0"/>
              <w:left w:val="nil"/>
              <w:bottom w:val="single" w:color="auto" w:sz="4" w:space="0"/>
              <w:right w:val="single" w:color="000000" w:sz="8" w:space="0"/>
            </w:tcBorders>
            <w:shd w:val="clear" w:color="auto" w:fill="auto"/>
            <w:vAlign w:val="center"/>
          </w:tcPr>
          <w:p>
            <w:pPr>
              <w:widowControl/>
              <w:jc w:val="center"/>
              <w:textAlignment w:val="center"/>
              <w:rPr>
                <w:szCs w:val="21"/>
              </w:rPr>
            </w:pPr>
            <w:r>
              <w:rPr>
                <w:kern w:val="0"/>
                <w:szCs w:val="21"/>
              </w:rPr>
              <w:t>水平2 (7家)</w:t>
            </w:r>
          </w:p>
        </w:tc>
        <w:tc>
          <w:tcPr>
            <w:tcW w:w="1994" w:type="dxa"/>
            <w:tcBorders>
              <w:top w:val="single" w:color="000000" w:sz="8" w:space="0"/>
              <w:left w:val="nil"/>
              <w:bottom w:val="single" w:color="auto" w:sz="4" w:space="0"/>
              <w:right w:val="single" w:color="000000" w:sz="8" w:space="0"/>
            </w:tcBorders>
            <w:shd w:val="clear" w:color="auto" w:fill="auto"/>
            <w:vAlign w:val="center"/>
          </w:tcPr>
          <w:p>
            <w:pPr>
              <w:widowControl/>
              <w:jc w:val="center"/>
              <w:textAlignment w:val="center"/>
              <w:rPr>
                <w:szCs w:val="21"/>
              </w:rPr>
            </w:pPr>
            <w:r>
              <w:rPr>
                <w:kern w:val="0"/>
                <w:szCs w:val="21"/>
              </w:rPr>
              <w:t>水平3 (6家)</w:t>
            </w:r>
          </w:p>
        </w:tc>
        <w:tc>
          <w:tcPr>
            <w:tcW w:w="1994" w:type="dxa"/>
            <w:tcBorders>
              <w:top w:val="single" w:color="000000" w:sz="8" w:space="0"/>
              <w:left w:val="nil"/>
              <w:bottom w:val="single" w:color="auto" w:sz="4" w:space="0"/>
              <w:right w:val="single" w:color="000000" w:sz="8" w:space="0"/>
            </w:tcBorders>
            <w:shd w:val="clear" w:color="auto" w:fill="auto"/>
            <w:vAlign w:val="center"/>
          </w:tcPr>
          <w:p>
            <w:pPr>
              <w:widowControl/>
              <w:jc w:val="center"/>
              <w:textAlignment w:val="center"/>
              <w:rPr>
                <w:szCs w:val="21"/>
              </w:rPr>
            </w:pPr>
            <w:r>
              <w:rPr>
                <w:kern w:val="0"/>
                <w:szCs w:val="21"/>
              </w:rPr>
              <w:t>水平4 (3家)</w:t>
            </w:r>
          </w:p>
        </w:tc>
      </w:tr>
      <w:tr>
        <w:tblPrEx>
          <w:tblCellMar>
            <w:top w:w="0" w:type="dxa"/>
            <w:left w:w="108" w:type="dxa"/>
            <w:bottom w:w="0" w:type="dxa"/>
            <w:right w:w="108" w:type="dxa"/>
          </w:tblCellMar>
        </w:tblPrEx>
        <w:trPr>
          <w:trHeight w:val="313" w:hRule="atLeast"/>
        </w:trPr>
        <w:tc>
          <w:tcPr>
            <w:tcW w:w="1993" w:type="dxa"/>
            <w:tcBorders>
              <w:top w:val="nil"/>
              <w:left w:val="single" w:color="000000" w:sz="8" w:space="0"/>
              <w:bottom w:val="single" w:color="000000" w:sz="8" w:space="0"/>
              <w:right w:val="single" w:color="auto" w:sz="4" w:space="0"/>
            </w:tcBorders>
            <w:shd w:val="clear" w:color="auto" w:fill="auto"/>
            <w:vAlign w:val="center"/>
          </w:tcPr>
          <w:p>
            <w:pPr>
              <w:widowControl/>
              <w:jc w:val="center"/>
              <w:textAlignment w:val="center"/>
              <w:rPr>
                <w:szCs w:val="21"/>
              </w:rPr>
            </w:pPr>
            <w:r>
              <w:rPr>
                <w:kern w:val="0"/>
                <w:szCs w:val="21"/>
              </w:rPr>
              <w:t>均值的平均值</w:t>
            </w:r>
          </w:p>
        </w:tc>
        <w:tc>
          <w:tcPr>
            <w:tcW w:w="1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szCs w:val="21"/>
              </w:rPr>
            </w:pPr>
            <w:r>
              <w:rPr>
                <w:kern w:val="0"/>
                <w:szCs w:val="21"/>
              </w:rPr>
              <w:t>0.00217</w:t>
            </w:r>
          </w:p>
        </w:tc>
        <w:tc>
          <w:tcPr>
            <w:tcW w:w="19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szCs w:val="21"/>
              </w:rPr>
            </w:pPr>
            <w:r>
              <w:rPr>
                <w:kern w:val="0"/>
                <w:szCs w:val="21"/>
              </w:rPr>
              <w:t>0.01161</w:t>
            </w:r>
          </w:p>
        </w:tc>
        <w:tc>
          <w:tcPr>
            <w:tcW w:w="19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szCs w:val="21"/>
              </w:rPr>
            </w:pPr>
            <w:r>
              <w:rPr>
                <w:kern w:val="0"/>
                <w:szCs w:val="21"/>
              </w:rPr>
              <w:t>0.01797</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szCs w:val="21"/>
              </w:rPr>
            </w:pPr>
            <w:r>
              <w:rPr>
                <w:kern w:val="0"/>
                <w:szCs w:val="21"/>
              </w:rPr>
              <w:t>0.198</w:t>
            </w:r>
          </w:p>
        </w:tc>
      </w:tr>
      <w:tr>
        <w:tblPrEx>
          <w:tblCellMar>
            <w:top w:w="0" w:type="dxa"/>
            <w:left w:w="108" w:type="dxa"/>
            <w:bottom w:w="0" w:type="dxa"/>
            <w:right w:w="108" w:type="dxa"/>
          </w:tblCellMar>
        </w:tblPrEx>
        <w:trPr>
          <w:trHeight w:val="313" w:hRule="atLeast"/>
        </w:trPr>
        <w:tc>
          <w:tcPr>
            <w:tcW w:w="1993" w:type="dxa"/>
            <w:tcBorders>
              <w:top w:val="nil"/>
              <w:left w:val="single" w:color="000000" w:sz="8" w:space="0"/>
              <w:bottom w:val="single" w:color="000000" w:sz="8" w:space="0"/>
              <w:right w:val="single" w:color="auto" w:sz="4" w:space="0"/>
            </w:tcBorders>
            <w:shd w:val="clear" w:color="auto" w:fill="auto"/>
            <w:vAlign w:val="center"/>
          </w:tcPr>
          <w:p>
            <w:pPr>
              <w:widowControl/>
              <w:jc w:val="center"/>
              <w:textAlignment w:val="center"/>
              <w:rPr>
                <w:szCs w:val="21"/>
              </w:rPr>
            </w:pPr>
            <w:r>
              <w:rPr>
                <w:kern w:val="0"/>
                <w:szCs w:val="21"/>
              </w:rPr>
              <w:t>均值的标准差</w:t>
            </w:r>
          </w:p>
        </w:tc>
        <w:tc>
          <w:tcPr>
            <w:tcW w:w="1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szCs w:val="21"/>
              </w:rPr>
            </w:pPr>
            <w:r>
              <w:rPr>
                <w:kern w:val="0"/>
                <w:szCs w:val="21"/>
              </w:rPr>
              <w:t>9.43E-04</w:t>
            </w:r>
          </w:p>
        </w:tc>
        <w:tc>
          <w:tcPr>
            <w:tcW w:w="19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szCs w:val="21"/>
              </w:rPr>
            </w:pPr>
            <w:r>
              <w:rPr>
                <w:kern w:val="0"/>
                <w:szCs w:val="21"/>
              </w:rPr>
              <w:t>2.28E-03</w:t>
            </w:r>
          </w:p>
        </w:tc>
        <w:tc>
          <w:tcPr>
            <w:tcW w:w="19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szCs w:val="21"/>
              </w:rPr>
            </w:pPr>
            <w:r>
              <w:rPr>
                <w:kern w:val="0"/>
                <w:szCs w:val="21"/>
              </w:rPr>
              <w:t>1.80E-03</w:t>
            </w:r>
          </w:p>
        </w:tc>
        <w:tc>
          <w:tcPr>
            <w:tcW w:w="0" w:type="auto"/>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szCs w:val="21"/>
              </w:rPr>
            </w:pPr>
            <w:r>
              <w:rPr>
                <w:kern w:val="0"/>
                <w:szCs w:val="21"/>
              </w:rPr>
              <w:t>7.81E-03</w:t>
            </w:r>
          </w:p>
        </w:tc>
      </w:tr>
      <w:tr>
        <w:tblPrEx>
          <w:tblCellMar>
            <w:top w:w="0" w:type="dxa"/>
            <w:left w:w="108" w:type="dxa"/>
            <w:bottom w:w="0" w:type="dxa"/>
            <w:right w:w="108" w:type="dxa"/>
          </w:tblCellMar>
        </w:tblPrEx>
        <w:trPr>
          <w:trHeight w:val="313" w:hRule="atLeast"/>
        </w:trPr>
        <w:tc>
          <w:tcPr>
            <w:tcW w:w="1993" w:type="dxa"/>
            <w:tcBorders>
              <w:top w:val="nil"/>
              <w:left w:val="single" w:color="000000" w:sz="8" w:space="0"/>
              <w:bottom w:val="single" w:color="000000" w:sz="8" w:space="0"/>
              <w:right w:val="single" w:color="auto" w:sz="4" w:space="0"/>
            </w:tcBorders>
            <w:shd w:val="clear" w:color="auto" w:fill="auto"/>
            <w:vAlign w:val="center"/>
          </w:tcPr>
          <w:p>
            <w:pPr>
              <w:widowControl/>
              <w:jc w:val="center"/>
              <w:textAlignment w:val="center"/>
              <w:rPr>
                <w:szCs w:val="21"/>
              </w:rPr>
            </w:pPr>
            <w:r>
              <w:rPr>
                <w:kern w:val="0"/>
                <w:szCs w:val="21"/>
              </w:rPr>
              <w:t>最大均值</w:t>
            </w:r>
          </w:p>
        </w:tc>
        <w:tc>
          <w:tcPr>
            <w:tcW w:w="1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szCs w:val="21"/>
              </w:rPr>
            </w:pPr>
            <w:r>
              <w:rPr>
                <w:kern w:val="0"/>
                <w:szCs w:val="21"/>
              </w:rPr>
              <w:t>0.00285</w:t>
            </w:r>
          </w:p>
        </w:tc>
        <w:tc>
          <w:tcPr>
            <w:tcW w:w="19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szCs w:val="21"/>
              </w:rPr>
            </w:pPr>
            <w:r>
              <w:rPr>
                <w:kern w:val="0"/>
                <w:szCs w:val="21"/>
              </w:rPr>
              <w:t>0.0142</w:t>
            </w:r>
          </w:p>
        </w:tc>
        <w:tc>
          <w:tcPr>
            <w:tcW w:w="19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szCs w:val="21"/>
              </w:rPr>
            </w:pPr>
            <w:r>
              <w:rPr>
                <w:kern w:val="0"/>
                <w:szCs w:val="21"/>
              </w:rPr>
              <w:t>0.0205</w:t>
            </w:r>
          </w:p>
        </w:tc>
        <w:tc>
          <w:tcPr>
            <w:tcW w:w="19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b/>
                <w:bCs/>
                <w:szCs w:val="21"/>
              </w:rPr>
            </w:pPr>
            <w:r>
              <w:rPr>
                <w:b/>
                <w:bCs/>
                <w:kern w:val="0"/>
                <w:szCs w:val="21"/>
              </w:rPr>
              <w:t>0.203</w:t>
            </w:r>
          </w:p>
        </w:tc>
      </w:tr>
      <w:tr>
        <w:tblPrEx>
          <w:tblCellMar>
            <w:top w:w="0" w:type="dxa"/>
            <w:left w:w="108" w:type="dxa"/>
            <w:bottom w:w="0" w:type="dxa"/>
            <w:right w:w="108" w:type="dxa"/>
          </w:tblCellMar>
        </w:tblPrEx>
        <w:trPr>
          <w:trHeight w:val="313" w:hRule="atLeast"/>
        </w:trPr>
        <w:tc>
          <w:tcPr>
            <w:tcW w:w="1993" w:type="dxa"/>
            <w:tcBorders>
              <w:top w:val="nil"/>
              <w:left w:val="single" w:color="000000" w:sz="8" w:space="0"/>
              <w:bottom w:val="single" w:color="000000" w:sz="8" w:space="0"/>
              <w:right w:val="single" w:color="auto" w:sz="4" w:space="0"/>
            </w:tcBorders>
            <w:shd w:val="clear" w:color="auto" w:fill="auto"/>
            <w:vAlign w:val="center"/>
          </w:tcPr>
          <w:p>
            <w:pPr>
              <w:widowControl/>
              <w:jc w:val="center"/>
              <w:textAlignment w:val="center"/>
              <w:rPr>
                <w:szCs w:val="21"/>
              </w:rPr>
            </w:pPr>
            <w:r>
              <w:rPr>
                <w:kern w:val="0"/>
                <w:szCs w:val="21"/>
              </w:rPr>
              <w:t>最小均值</w:t>
            </w:r>
          </w:p>
        </w:tc>
        <w:tc>
          <w:tcPr>
            <w:tcW w:w="1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szCs w:val="21"/>
              </w:rPr>
            </w:pPr>
            <w:r>
              <w:rPr>
                <w:kern w:val="0"/>
                <w:szCs w:val="21"/>
              </w:rPr>
              <w:t>0.00028</w:t>
            </w:r>
          </w:p>
        </w:tc>
        <w:tc>
          <w:tcPr>
            <w:tcW w:w="19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szCs w:val="21"/>
              </w:rPr>
            </w:pPr>
            <w:r>
              <w:rPr>
                <w:kern w:val="0"/>
                <w:szCs w:val="21"/>
              </w:rPr>
              <w:t>0.0075</w:t>
            </w:r>
          </w:p>
        </w:tc>
        <w:tc>
          <w:tcPr>
            <w:tcW w:w="19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szCs w:val="21"/>
              </w:rPr>
            </w:pPr>
            <w:r>
              <w:rPr>
                <w:kern w:val="0"/>
                <w:szCs w:val="21"/>
              </w:rPr>
              <w:t>0.0164</w:t>
            </w:r>
          </w:p>
        </w:tc>
        <w:tc>
          <w:tcPr>
            <w:tcW w:w="19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szCs w:val="21"/>
              </w:rPr>
            </w:pPr>
            <w:r>
              <w:rPr>
                <w:kern w:val="0"/>
                <w:szCs w:val="21"/>
              </w:rPr>
              <w:t>0.189</w:t>
            </w:r>
          </w:p>
        </w:tc>
      </w:tr>
      <w:tr>
        <w:tblPrEx>
          <w:tblCellMar>
            <w:top w:w="0" w:type="dxa"/>
            <w:left w:w="108" w:type="dxa"/>
            <w:bottom w:w="0" w:type="dxa"/>
            <w:right w:w="108" w:type="dxa"/>
          </w:tblCellMar>
        </w:tblPrEx>
        <w:trPr>
          <w:trHeight w:val="313" w:hRule="atLeast"/>
        </w:trPr>
        <w:tc>
          <w:tcPr>
            <w:tcW w:w="1993" w:type="dxa"/>
            <w:tcBorders>
              <w:top w:val="nil"/>
              <w:left w:val="single" w:color="000000" w:sz="8" w:space="0"/>
              <w:bottom w:val="single" w:color="auto" w:sz="4" w:space="0"/>
              <w:right w:val="single" w:color="auto" w:sz="4" w:space="0"/>
            </w:tcBorders>
            <w:shd w:val="clear" w:color="auto" w:fill="auto"/>
            <w:vAlign w:val="center"/>
          </w:tcPr>
          <w:p>
            <w:pPr>
              <w:widowControl/>
              <w:jc w:val="center"/>
              <w:textAlignment w:val="center"/>
              <w:rPr>
                <w:szCs w:val="21"/>
              </w:rPr>
            </w:pPr>
            <w:r>
              <w:rPr>
                <w:kern w:val="0"/>
                <w:szCs w:val="21"/>
              </w:rPr>
              <w:t>Gmax</w:t>
            </w:r>
          </w:p>
        </w:tc>
        <w:tc>
          <w:tcPr>
            <w:tcW w:w="1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szCs w:val="21"/>
              </w:rPr>
            </w:pPr>
            <w:r>
              <w:rPr>
                <w:kern w:val="0"/>
                <w:szCs w:val="21"/>
              </w:rPr>
              <w:t>0.725</w:t>
            </w:r>
          </w:p>
        </w:tc>
        <w:tc>
          <w:tcPr>
            <w:tcW w:w="19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szCs w:val="21"/>
              </w:rPr>
            </w:pPr>
            <w:r>
              <w:rPr>
                <w:kern w:val="0"/>
                <w:szCs w:val="21"/>
              </w:rPr>
              <w:t>1.133</w:t>
            </w:r>
          </w:p>
        </w:tc>
        <w:tc>
          <w:tcPr>
            <w:tcW w:w="19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szCs w:val="21"/>
              </w:rPr>
            </w:pPr>
            <w:r>
              <w:rPr>
                <w:kern w:val="0"/>
                <w:szCs w:val="21"/>
              </w:rPr>
              <w:t>1.405</w:t>
            </w:r>
          </w:p>
        </w:tc>
        <w:tc>
          <w:tcPr>
            <w:tcW w:w="19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szCs w:val="21"/>
              </w:rPr>
            </w:pPr>
            <w:r>
              <w:rPr>
                <w:kern w:val="0"/>
                <w:szCs w:val="21"/>
              </w:rPr>
              <w:t>0.640</w:t>
            </w:r>
          </w:p>
        </w:tc>
      </w:tr>
      <w:tr>
        <w:tblPrEx>
          <w:tblCellMar>
            <w:top w:w="0" w:type="dxa"/>
            <w:left w:w="108" w:type="dxa"/>
            <w:bottom w:w="0" w:type="dxa"/>
            <w:right w:w="108" w:type="dxa"/>
          </w:tblCellMar>
        </w:tblPrEx>
        <w:trPr>
          <w:trHeight w:val="313" w:hRule="atLeast"/>
        </w:trPr>
        <w:tc>
          <w:tcPr>
            <w:tcW w:w="1993" w:type="dxa"/>
            <w:tcBorders>
              <w:top w:val="single" w:color="auto" w:sz="4" w:space="0"/>
              <w:left w:val="single" w:color="000000" w:sz="8" w:space="0"/>
              <w:bottom w:val="single" w:color="000000" w:sz="8" w:space="0"/>
              <w:right w:val="single" w:color="auto" w:sz="4" w:space="0"/>
            </w:tcBorders>
            <w:shd w:val="clear" w:color="auto" w:fill="auto"/>
            <w:vAlign w:val="center"/>
          </w:tcPr>
          <w:p>
            <w:pPr>
              <w:widowControl/>
              <w:jc w:val="center"/>
              <w:textAlignment w:val="center"/>
              <w:rPr>
                <w:szCs w:val="21"/>
              </w:rPr>
            </w:pPr>
            <w:r>
              <w:rPr>
                <w:kern w:val="0"/>
                <w:szCs w:val="21"/>
              </w:rPr>
              <w:t>Gmin</w:t>
            </w:r>
          </w:p>
        </w:tc>
        <w:tc>
          <w:tcPr>
            <w:tcW w:w="199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szCs w:val="21"/>
              </w:rPr>
            </w:pPr>
            <w:r>
              <w:rPr>
                <w:kern w:val="0"/>
                <w:szCs w:val="21"/>
              </w:rPr>
              <w:t>2.001</w:t>
            </w:r>
          </w:p>
        </w:tc>
        <w:tc>
          <w:tcPr>
            <w:tcW w:w="19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szCs w:val="21"/>
              </w:rPr>
            </w:pPr>
            <w:r>
              <w:rPr>
                <w:kern w:val="0"/>
                <w:szCs w:val="21"/>
              </w:rPr>
              <w:t>1.803</w:t>
            </w:r>
          </w:p>
        </w:tc>
        <w:tc>
          <w:tcPr>
            <w:tcW w:w="19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szCs w:val="21"/>
              </w:rPr>
            </w:pPr>
            <w:r>
              <w:rPr>
                <w:kern w:val="0"/>
                <w:szCs w:val="21"/>
              </w:rPr>
              <w:t>0.869</w:t>
            </w:r>
          </w:p>
        </w:tc>
        <w:tc>
          <w:tcPr>
            <w:tcW w:w="199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szCs w:val="21"/>
              </w:rPr>
            </w:pPr>
            <w:r>
              <w:rPr>
                <w:kern w:val="0"/>
                <w:szCs w:val="21"/>
              </w:rPr>
              <w:t>1.152</w:t>
            </w:r>
          </w:p>
        </w:tc>
      </w:tr>
      <w:tr>
        <w:tblPrEx>
          <w:tblCellMar>
            <w:top w:w="0" w:type="dxa"/>
            <w:left w:w="108" w:type="dxa"/>
            <w:bottom w:w="0" w:type="dxa"/>
            <w:right w:w="108" w:type="dxa"/>
          </w:tblCellMar>
        </w:tblPrEx>
        <w:trPr>
          <w:trHeight w:val="956" w:hRule="atLeast"/>
        </w:trPr>
        <w:tc>
          <w:tcPr>
            <w:tcW w:w="1993" w:type="dxa"/>
            <w:tcBorders>
              <w:top w:val="nil"/>
              <w:left w:val="single" w:color="000000" w:sz="8" w:space="0"/>
              <w:bottom w:val="single" w:color="000000" w:sz="8" w:space="0"/>
              <w:right w:val="single" w:color="auto" w:sz="4" w:space="0"/>
            </w:tcBorders>
            <w:shd w:val="clear" w:color="auto" w:fill="auto"/>
            <w:vAlign w:val="center"/>
          </w:tcPr>
          <w:p>
            <w:pPr>
              <w:widowControl/>
              <w:jc w:val="center"/>
              <w:textAlignment w:val="center"/>
              <w:rPr>
                <w:szCs w:val="21"/>
              </w:rPr>
            </w:pPr>
            <w:r>
              <w:rPr>
                <w:kern w:val="0"/>
                <w:szCs w:val="21"/>
              </w:rPr>
              <w:t>G临界值</w:t>
            </w:r>
          </w:p>
        </w:tc>
        <w:tc>
          <w:tcPr>
            <w:tcW w:w="7975"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jc w:val="center"/>
              <w:rPr>
                <w:kern w:val="0"/>
                <w:szCs w:val="21"/>
              </w:rPr>
            </w:pPr>
            <w:r>
              <w:rPr>
                <w:kern w:val="0"/>
                <w:szCs w:val="21"/>
              </w:rPr>
              <w:t>实验室数p=6时，G临界值：1%点时为1.944；5%点时为1.822。</w:t>
            </w:r>
          </w:p>
          <w:p>
            <w:pPr>
              <w:jc w:val="center"/>
              <w:rPr>
                <w:szCs w:val="21"/>
              </w:rPr>
            </w:pPr>
            <w:r>
              <w:rPr>
                <w:kern w:val="0"/>
                <w:szCs w:val="21"/>
              </w:rPr>
              <w:t>实验室数p=7时，G临界值：1%点时为2.097；5%点时为1.938。实验室数p=4时，G临界值：1%点时为1.492；5%点时为1.463。</w:t>
            </w:r>
          </w:p>
        </w:tc>
      </w:tr>
    </w:tbl>
    <w:p>
      <w:pPr>
        <w:spacing w:line="300" w:lineRule="auto"/>
        <w:jc w:val="center"/>
        <w:rPr>
          <w:szCs w:val="21"/>
        </w:rPr>
      </w:pPr>
    </w:p>
    <w:p>
      <w:pPr>
        <w:spacing w:line="300" w:lineRule="auto"/>
        <w:ind w:firstLine="420" w:firstLineChars="200"/>
        <w:jc w:val="left"/>
        <w:rPr>
          <w:szCs w:val="21"/>
        </w:rPr>
      </w:pPr>
      <w:r>
        <w:rPr>
          <w:szCs w:val="21"/>
        </w:rPr>
        <w:t>格拉布斯检验显示，实验室2的水平1为离群值，弃去。</w:t>
      </w:r>
    </w:p>
    <w:p>
      <w:pPr>
        <w:spacing w:line="300" w:lineRule="auto"/>
        <w:ind w:firstLine="420" w:firstLineChars="200"/>
        <w:jc w:val="left"/>
        <w:rPr>
          <w:szCs w:val="21"/>
        </w:rPr>
      </w:pPr>
    </w:p>
    <w:p>
      <w:pPr>
        <w:spacing w:line="300" w:lineRule="auto"/>
        <w:jc w:val="center"/>
        <w:rPr>
          <w:szCs w:val="21"/>
        </w:rPr>
      </w:pPr>
      <w:r>
        <w:rPr>
          <w:szCs w:val="21"/>
        </w:rPr>
        <w:t>表B.</w:t>
      </w:r>
      <w:r>
        <w:rPr>
          <w:rFonts w:hint="eastAsia"/>
          <w:szCs w:val="21"/>
        </w:rPr>
        <w:t>9</w:t>
      </w:r>
      <w:r>
        <w:rPr>
          <w:szCs w:val="21"/>
        </w:rPr>
        <w:t xml:space="preserve"> 各单元平均值（%）</w:t>
      </w:r>
    </w:p>
    <w:tbl>
      <w:tblPr>
        <w:tblStyle w:val="88"/>
        <w:tblW w:w="5000" w:type="pct"/>
        <w:tblInd w:w="0" w:type="dxa"/>
        <w:tblLayout w:type="fixed"/>
        <w:tblCellMar>
          <w:top w:w="0" w:type="dxa"/>
          <w:left w:w="108" w:type="dxa"/>
          <w:bottom w:w="0" w:type="dxa"/>
          <w:right w:w="108" w:type="dxa"/>
        </w:tblCellMar>
      </w:tblPr>
      <w:tblGrid>
        <w:gridCol w:w="2002"/>
        <w:gridCol w:w="7966"/>
      </w:tblGrid>
      <w:tr>
        <w:tblPrEx>
          <w:tblCellMar>
            <w:top w:w="0" w:type="dxa"/>
            <w:left w:w="108" w:type="dxa"/>
            <w:bottom w:w="0" w:type="dxa"/>
            <w:right w:w="108" w:type="dxa"/>
          </w:tblCellMar>
        </w:tblPrEx>
        <w:trPr>
          <w:trHeight w:val="340" w:hRule="atLeast"/>
        </w:trPr>
        <w:tc>
          <w:tcPr>
            <w:tcW w:w="2002" w:type="dxa"/>
            <w:tcBorders>
              <w:top w:val="single" w:color="000000" w:sz="8" w:space="0"/>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Cs w:val="21"/>
              </w:rPr>
            </w:pPr>
            <w:r>
              <w:rPr>
                <w:kern w:val="0"/>
                <w:szCs w:val="21"/>
              </w:rPr>
              <w:t>实验室</w:t>
            </w:r>
          </w:p>
        </w:tc>
        <w:tc>
          <w:tcPr>
            <w:tcW w:w="7966" w:type="dxa"/>
            <w:tcBorders>
              <w:top w:val="single" w:color="000000" w:sz="8" w:space="0"/>
              <w:left w:val="nil"/>
              <w:bottom w:val="single" w:color="000000" w:sz="8" w:space="0"/>
              <w:right w:val="single" w:color="000000" w:sz="8" w:space="0"/>
            </w:tcBorders>
            <w:shd w:val="clear" w:color="auto" w:fill="auto"/>
            <w:noWrap/>
            <w:vAlign w:val="center"/>
          </w:tcPr>
          <w:p>
            <w:pPr>
              <w:widowControl/>
              <w:jc w:val="center"/>
              <w:textAlignment w:val="center"/>
              <w:rPr>
                <w:szCs w:val="21"/>
              </w:rPr>
            </w:pPr>
            <w:r>
              <w:rPr>
                <w:kern w:val="0"/>
                <w:szCs w:val="21"/>
              </w:rPr>
              <w:t>水平1</w:t>
            </w:r>
          </w:p>
        </w:tc>
      </w:tr>
      <w:tr>
        <w:tblPrEx>
          <w:tblCellMar>
            <w:top w:w="0" w:type="dxa"/>
            <w:left w:w="108" w:type="dxa"/>
            <w:bottom w:w="0" w:type="dxa"/>
            <w:right w:w="108" w:type="dxa"/>
          </w:tblCellMar>
        </w:tblPrEx>
        <w:trPr>
          <w:trHeight w:val="340" w:hRule="atLeast"/>
        </w:trPr>
        <w:tc>
          <w:tcPr>
            <w:tcW w:w="200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Cs w:val="21"/>
              </w:rPr>
            </w:pPr>
            <w:r>
              <w:rPr>
                <w:kern w:val="0"/>
                <w:szCs w:val="21"/>
              </w:rPr>
              <w:t>国合通测1</w:t>
            </w:r>
          </w:p>
        </w:tc>
        <w:tc>
          <w:tcPr>
            <w:tcW w:w="7966" w:type="dxa"/>
            <w:tcBorders>
              <w:top w:val="nil"/>
              <w:left w:val="nil"/>
              <w:bottom w:val="single" w:color="auto" w:sz="4" w:space="0"/>
              <w:right w:val="single" w:color="000000" w:sz="8" w:space="0"/>
            </w:tcBorders>
            <w:shd w:val="clear" w:color="auto" w:fill="auto"/>
            <w:vAlign w:val="center"/>
          </w:tcPr>
          <w:p>
            <w:pPr>
              <w:widowControl/>
              <w:jc w:val="center"/>
              <w:textAlignment w:val="center"/>
              <w:rPr>
                <w:szCs w:val="21"/>
              </w:rPr>
            </w:pPr>
            <w:r>
              <w:rPr>
                <w:kern w:val="0"/>
                <w:szCs w:val="21"/>
              </w:rPr>
              <w:t>0.00257</w:t>
            </w:r>
          </w:p>
        </w:tc>
      </w:tr>
      <w:tr>
        <w:tblPrEx>
          <w:tblCellMar>
            <w:top w:w="0" w:type="dxa"/>
            <w:left w:w="108" w:type="dxa"/>
            <w:bottom w:w="0" w:type="dxa"/>
            <w:right w:w="108" w:type="dxa"/>
          </w:tblCellMar>
        </w:tblPrEx>
        <w:trPr>
          <w:trHeight w:val="340" w:hRule="atLeast"/>
        </w:trPr>
        <w:tc>
          <w:tcPr>
            <w:tcW w:w="2002" w:type="dxa"/>
            <w:tcBorders>
              <w:top w:val="nil"/>
              <w:left w:val="single" w:color="000000" w:sz="8" w:space="0"/>
              <w:bottom w:val="single" w:color="000000" w:sz="8" w:space="0"/>
              <w:right w:val="single" w:color="auto" w:sz="4" w:space="0"/>
            </w:tcBorders>
            <w:shd w:val="clear" w:color="auto" w:fill="auto"/>
            <w:noWrap/>
            <w:vAlign w:val="center"/>
          </w:tcPr>
          <w:p>
            <w:pPr>
              <w:widowControl/>
              <w:jc w:val="center"/>
              <w:textAlignment w:val="center"/>
              <w:rPr>
                <w:szCs w:val="21"/>
              </w:rPr>
            </w:pPr>
            <w:r>
              <w:rPr>
                <w:kern w:val="0"/>
                <w:szCs w:val="21"/>
              </w:rPr>
              <w:t>包头稀土2</w:t>
            </w:r>
          </w:p>
        </w:tc>
        <w:tc>
          <w:tcPr>
            <w:tcW w:w="79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szCs w:val="21"/>
              </w:rPr>
            </w:pPr>
            <w:r>
              <w:rPr>
                <w:rFonts w:hint="eastAsia"/>
                <w:kern w:val="0"/>
                <w:szCs w:val="21"/>
              </w:rPr>
              <w:t>--</w:t>
            </w:r>
          </w:p>
        </w:tc>
      </w:tr>
      <w:tr>
        <w:tblPrEx>
          <w:tblCellMar>
            <w:top w:w="0" w:type="dxa"/>
            <w:left w:w="108" w:type="dxa"/>
            <w:bottom w:w="0" w:type="dxa"/>
            <w:right w:w="108" w:type="dxa"/>
          </w:tblCellMar>
        </w:tblPrEx>
        <w:trPr>
          <w:trHeight w:val="340" w:hRule="atLeast"/>
        </w:trPr>
        <w:tc>
          <w:tcPr>
            <w:tcW w:w="2002" w:type="dxa"/>
            <w:tcBorders>
              <w:top w:val="nil"/>
              <w:left w:val="single" w:color="000000" w:sz="8" w:space="0"/>
              <w:bottom w:val="single" w:color="000000" w:sz="8" w:space="0"/>
              <w:right w:val="single" w:color="auto" w:sz="4" w:space="0"/>
            </w:tcBorders>
            <w:shd w:val="clear" w:color="auto" w:fill="auto"/>
            <w:noWrap/>
            <w:vAlign w:val="center"/>
          </w:tcPr>
          <w:p>
            <w:pPr>
              <w:widowControl/>
              <w:jc w:val="center"/>
              <w:textAlignment w:val="center"/>
              <w:rPr>
                <w:szCs w:val="21"/>
              </w:rPr>
            </w:pPr>
            <w:r>
              <w:rPr>
                <w:kern w:val="0"/>
                <w:szCs w:val="21"/>
              </w:rPr>
              <w:t>国标检验3</w:t>
            </w:r>
          </w:p>
        </w:tc>
        <w:tc>
          <w:tcPr>
            <w:tcW w:w="7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szCs w:val="21"/>
              </w:rPr>
            </w:pPr>
            <w:r>
              <w:rPr>
                <w:kern w:val="0"/>
                <w:szCs w:val="21"/>
              </w:rPr>
              <w:t>0.00246</w:t>
            </w:r>
          </w:p>
        </w:tc>
      </w:tr>
      <w:tr>
        <w:tblPrEx>
          <w:tblCellMar>
            <w:top w:w="0" w:type="dxa"/>
            <w:left w:w="108" w:type="dxa"/>
            <w:bottom w:w="0" w:type="dxa"/>
            <w:right w:w="108" w:type="dxa"/>
          </w:tblCellMar>
        </w:tblPrEx>
        <w:trPr>
          <w:trHeight w:val="340" w:hRule="atLeast"/>
        </w:trPr>
        <w:tc>
          <w:tcPr>
            <w:tcW w:w="2002" w:type="dxa"/>
            <w:tcBorders>
              <w:top w:val="nil"/>
              <w:left w:val="single" w:color="000000" w:sz="8" w:space="0"/>
              <w:bottom w:val="single" w:color="000000" w:sz="8" w:space="0"/>
              <w:right w:val="single" w:color="000000" w:sz="8" w:space="0"/>
            </w:tcBorders>
            <w:shd w:val="clear" w:color="auto" w:fill="auto"/>
            <w:noWrap/>
            <w:vAlign w:val="center"/>
          </w:tcPr>
          <w:p>
            <w:pPr>
              <w:widowControl/>
              <w:jc w:val="center"/>
              <w:textAlignment w:val="center"/>
              <w:rPr>
                <w:szCs w:val="21"/>
              </w:rPr>
            </w:pPr>
            <w:r>
              <w:rPr>
                <w:kern w:val="0"/>
                <w:szCs w:val="21"/>
              </w:rPr>
              <w:t>赣州有色4</w:t>
            </w:r>
          </w:p>
        </w:tc>
        <w:tc>
          <w:tcPr>
            <w:tcW w:w="7966" w:type="dxa"/>
            <w:tcBorders>
              <w:top w:val="single" w:color="auto" w:sz="4" w:space="0"/>
              <w:left w:val="nil"/>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0.00256</w:t>
            </w:r>
          </w:p>
        </w:tc>
      </w:tr>
      <w:tr>
        <w:tblPrEx>
          <w:tblCellMar>
            <w:top w:w="0" w:type="dxa"/>
            <w:left w:w="108" w:type="dxa"/>
            <w:bottom w:w="0" w:type="dxa"/>
            <w:right w:w="108" w:type="dxa"/>
          </w:tblCellMar>
        </w:tblPrEx>
        <w:trPr>
          <w:trHeight w:val="340" w:hRule="atLeast"/>
        </w:trPr>
        <w:tc>
          <w:tcPr>
            <w:tcW w:w="2002" w:type="dxa"/>
            <w:tcBorders>
              <w:top w:val="nil"/>
              <w:left w:val="single" w:color="000000" w:sz="8" w:space="0"/>
              <w:bottom w:val="single" w:color="auto" w:sz="4" w:space="0"/>
              <w:right w:val="single" w:color="000000" w:sz="8" w:space="0"/>
            </w:tcBorders>
            <w:shd w:val="clear" w:color="auto" w:fill="auto"/>
            <w:noWrap/>
            <w:vAlign w:val="center"/>
          </w:tcPr>
          <w:p>
            <w:pPr>
              <w:widowControl/>
              <w:jc w:val="center"/>
              <w:textAlignment w:val="center"/>
              <w:rPr>
                <w:szCs w:val="21"/>
              </w:rPr>
            </w:pPr>
            <w:r>
              <w:rPr>
                <w:kern w:val="0"/>
                <w:szCs w:val="21"/>
              </w:rPr>
              <w:t>乐山锐丰5</w:t>
            </w:r>
          </w:p>
        </w:tc>
        <w:tc>
          <w:tcPr>
            <w:tcW w:w="7966" w:type="dxa"/>
            <w:tcBorders>
              <w:top w:val="nil"/>
              <w:left w:val="nil"/>
              <w:bottom w:val="single" w:color="auto" w:sz="4" w:space="0"/>
              <w:right w:val="single" w:color="000000" w:sz="8" w:space="0"/>
            </w:tcBorders>
            <w:shd w:val="clear" w:color="auto" w:fill="auto"/>
            <w:vAlign w:val="center"/>
          </w:tcPr>
          <w:p>
            <w:pPr>
              <w:widowControl/>
              <w:jc w:val="center"/>
              <w:textAlignment w:val="center"/>
              <w:rPr>
                <w:szCs w:val="21"/>
              </w:rPr>
            </w:pPr>
            <w:r>
              <w:rPr>
                <w:kern w:val="0"/>
                <w:szCs w:val="21"/>
              </w:rPr>
              <w:t>0.00228</w:t>
            </w:r>
          </w:p>
        </w:tc>
      </w:tr>
      <w:tr>
        <w:tblPrEx>
          <w:tblCellMar>
            <w:top w:w="0" w:type="dxa"/>
            <w:left w:w="108" w:type="dxa"/>
            <w:bottom w:w="0" w:type="dxa"/>
            <w:right w:w="108" w:type="dxa"/>
          </w:tblCellMar>
        </w:tblPrEx>
        <w:trPr>
          <w:trHeight w:val="340" w:hRule="atLeast"/>
        </w:trPr>
        <w:tc>
          <w:tcPr>
            <w:tcW w:w="20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szCs w:val="21"/>
              </w:rPr>
            </w:pPr>
            <w:r>
              <w:rPr>
                <w:kern w:val="0"/>
                <w:szCs w:val="21"/>
              </w:rPr>
              <w:t>南方稀土6</w:t>
            </w:r>
          </w:p>
        </w:tc>
        <w:tc>
          <w:tcPr>
            <w:tcW w:w="7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szCs w:val="21"/>
              </w:rPr>
            </w:pPr>
            <w:r>
              <w:rPr>
                <w:kern w:val="0"/>
                <w:szCs w:val="21"/>
              </w:rPr>
              <w:t>0.00285</w:t>
            </w:r>
          </w:p>
        </w:tc>
      </w:tr>
      <w:tr>
        <w:tblPrEx>
          <w:tblCellMar>
            <w:top w:w="0" w:type="dxa"/>
            <w:left w:w="108" w:type="dxa"/>
            <w:bottom w:w="0" w:type="dxa"/>
            <w:right w:w="108" w:type="dxa"/>
          </w:tblCellMar>
        </w:tblPrEx>
        <w:trPr>
          <w:trHeight w:val="340" w:hRule="atLeast"/>
        </w:trPr>
        <w:tc>
          <w:tcPr>
            <w:tcW w:w="2002"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top"/>
              <w:rPr>
                <w:kern w:val="0"/>
                <w:szCs w:val="21"/>
              </w:rPr>
            </w:pPr>
            <w:r>
              <w:rPr>
                <w:kern w:val="0"/>
                <w:szCs w:val="21"/>
              </w:rPr>
              <w:t>有研稀土7</w:t>
            </w:r>
          </w:p>
        </w:tc>
        <w:tc>
          <w:tcPr>
            <w:tcW w:w="796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top"/>
              <w:rPr>
                <w:kern w:val="0"/>
                <w:szCs w:val="21"/>
              </w:rPr>
            </w:pPr>
            <w:r>
              <w:rPr>
                <w:rFonts w:hint="eastAsia"/>
                <w:kern w:val="0"/>
                <w:szCs w:val="21"/>
              </w:rPr>
              <w:t>--</w:t>
            </w:r>
          </w:p>
        </w:tc>
      </w:tr>
    </w:tbl>
    <w:p>
      <w:pPr>
        <w:spacing w:line="300" w:lineRule="auto"/>
        <w:ind w:firstLine="420" w:firstLineChars="200"/>
        <w:jc w:val="left"/>
        <w:rPr>
          <w:szCs w:val="21"/>
        </w:rPr>
      </w:pPr>
    </w:p>
    <w:p>
      <w:pPr>
        <w:spacing w:line="300" w:lineRule="auto"/>
        <w:jc w:val="center"/>
        <w:rPr>
          <w:szCs w:val="21"/>
        </w:rPr>
      </w:pPr>
      <w:r>
        <w:rPr>
          <w:szCs w:val="21"/>
        </w:rPr>
        <w:t xml:space="preserve"> 表B.</w:t>
      </w:r>
      <w:r>
        <w:rPr>
          <w:rFonts w:hint="eastAsia"/>
          <w:szCs w:val="21"/>
        </w:rPr>
        <w:t>10</w:t>
      </w:r>
      <w:r>
        <w:rPr>
          <w:szCs w:val="21"/>
        </w:rPr>
        <w:t xml:space="preserve">  格拉布斯检验</w:t>
      </w:r>
    </w:p>
    <w:tbl>
      <w:tblPr>
        <w:tblStyle w:val="88"/>
        <w:tblW w:w="5000" w:type="pct"/>
        <w:jc w:val="center"/>
        <w:tblLayout w:type="autofit"/>
        <w:tblCellMar>
          <w:top w:w="0" w:type="dxa"/>
          <w:left w:w="108" w:type="dxa"/>
          <w:bottom w:w="0" w:type="dxa"/>
          <w:right w:w="108" w:type="dxa"/>
        </w:tblCellMar>
      </w:tblPr>
      <w:tblGrid>
        <w:gridCol w:w="1968"/>
        <w:gridCol w:w="8000"/>
      </w:tblGrid>
      <w:tr>
        <w:tblPrEx>
          <w:tblCellMar>
            <w:top w:w="0" w:type="dxa"/>
            <w:left w:w="108" w:type="dxa"/>
            <w:bottom w:w="0" w:type="dxa"/>
            <w:right w:w="108" w:type="dxa"/>
          </w:tblCellMar>
        </w:tblPrEx>
        <w:trPr>
          <w:trHeight w:val="340" w:hRule="atLeast"/>
          <w:jc w:val="center"/>
        </w:trPr>
        <w:tc>
          <w:tcPr>
            <w:tcW w:w="1968" w:type="dxa"/>
            <w:tcBorders>
              <w:top w:val="single" w:color="000000" w:sz="8" w:space="0"/>
              <w:left w:val="single" w:color="000000" w:sz="8" w:space="0"/>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统计量</w:t>
            </w:r>
          </w:p>
        </w:tc>
        <w:tc>
          <w:tcPr>
            <w:tcW w:w="8000" w:type="dxa"/>
            <w:tcBorders>
              <w:top w:val="single" w:color="000000" w:sz="8" w:space="0"/>
              <w:left w:val="nil"/>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水平1 (5家)</w:t>
            </w:r>
          </w:p>
        </w:tc>
      </w:tr>
      <w:tr>
        <w:tblPrEx>
          <w:tblCellMar>
            <w:top w:w="0" w:type="dxa"/>
            <w:left w:w="108" w:type="dxa"/>
            <w:bottom w:w="0" w:type="dxa"/>
            <w:right w:w="108" w:type="dxa"/>
          </w:tblCellMar>
        </w:tblPrEx>
        <w:trPr>
          <w:trHeight w:val="340" w:hRule="atLeast"/>
          <w:jc w:val="center"/>
        </w:trPr>
        <w:tc>
          <w:tcPr>
            <w:tcW w:w="19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均值的平均值</w:t>
            </w:r>
          </w:p>
        </w:tc>
        <w:tc>
          <w:tcPr>
            <w:tcW w:w="80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0.00254</w:t>
            </w:r>
          </w:p>
        </w:tc>
      </w:tr>
      <w:tr>
        <w:tblPrEx>
          <w:tblCellMar>
            <w:top w:w="0" w:type="dxa"/>
            <w:left w:w="108" w:type="dxa"/>
            <w:bottom w:w="0" w:type="dxa"/>
            <w:right w:w="108" w:type="dxa"/>
          </w:tblCellMar>
        </w:tblPrEx>
        <w:trPr>
          <w:trHeight w:val="340" w:hRule="atLeast"/>
          <w:jc w:val="center"/>
        </w:trPr>
        <w:tc>
          <w:tcPr>
            <w:tcW w:w="19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均值的标准差</w:t>
            </w:r>
          </w:p>
        </w:tc>
        <w:tc>
          <w:tcPr>
            <w:tcW w:w="80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2.07E-04</w:t>
            </w:r>
          </w:p>
        </w:tc>
      </w:tr>
      <w:tr>
        <w:tblPrEx>
          <w:tblCellMar>
            <w:top w:w="0" w:type="dxa"/>
            <w:left w:w="108" w:type="dxa"/>
            <w:bottom w:w="0" w:type="dxa"/>
            <w:right w:w="108" w:type="dxa"/>
          </w:tblCellMar>
        </w:tblPrEx>
        <w:trPr>
          <w:trHeight w:val="340" w:hRule="atLeast"/>
          <w:jc w:val="center"/>
        </w:trPr>
        <w:tc>
          <w:tcPr>
            <w:tcW w:w="19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最大均值</w:t>
            </w:r>
          </w:p>
        </w:tc>
        <w:tc>
          <w:tcPr>
            <w:tcW w:w="80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0.00285</w:t>
            </w:r>
          </w:p>
        </w:tc>
      </w:tr>
      <w:tr>
        <w:tblPrEx>
          <w:tblCellMar>
            <w:top w:w="0" w:type="dxa"/>
            <w:left w:w="108" w:type="dxa"/>
            <w:bottom w:w="0" w:type="dxa"/>
            <w:right w:w="108" w:type="dxa"/>
          </w:tblCellMar>
        </w:tblPrEx>
        <w:trPr>
          <w:trHeight w:val="340" w:hRule="atLeast"/>
          <w:jc w:val="center"/>
        </w:trPr>
        <w:tc>
          <w:tcPr>
            <w:tcW w:w="19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最小均值</w:t>
            </w:r>
          </w:p>
        </w:tc>
        <w:tc>
          <w:tcPr>
            <w:tcW w:w="80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0.00228</w:t>
            </w:r>
          </w:p>
        </w:tc>
      </w:tr>
      <w:tr>
        <w:tblPrEx>
          <w:tblCellMar>
            <w:top w:w="0" w:type="dxa"/>
            <w:left w:w="108" w:type="dxa"/>
            <w:bottom w:w="0" w:type="dxa"/>
            <w:right w:w="108" w:type="dxa"/>
          </w:tblCellMar>
        </w:tblPrEx>
        <w:trPr>
          <w:trHeight w:val="340" w:hRule="atLeast"/>
          <w:jc w:val="center"/>
        </w:trPr>
        <w:tc>
          <w:tcPr>
            <w:tcW w:w="19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Gmax</w:t>
            </w:r>
          </w:p>
        </w:tc>
        <w:tc>
          <w:tcPr>
            <w:tcW w:w="80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1.479</w:t>
            </w:r>
          </w:p>
        </w:tc>
      </w:tr>
      <w:tr>
        <w:tblPrEx>
          <w:tblCellMar>
            <w:top w:w="0" w:type="dxa"/>
            <w:left w:w="108" w:type="dxa"/>
            <w:bottom w:w="0" w:type="dxa"/>
            <w:right w:w="108" w:type="dxa"/>
          </w:tblCellMar>
        </w:tblPrEx>
        <w:trPr>
          <w:trHeight w:val="340" w:hRule="atLeast"/>
          <w:jc w:val="center"/>
        </w:trPr>
        <w:tc>
          <w:tcPr>
            <w:tcW w:w="19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Gmin</w:t>
            </w:r>
          </w:p>
        </w:tc>
        <w:tc>
          <w:tcPr>
            <w:tcW w:w="80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szCs w:val="21"/>
              </w:rPr>
            </w:pPr>
            <w:r>
              <w:rPr>
                <w:kern w:val="0"/>
                <w:szCs w:val="21"/>
              </w:rPr>
              <w:t>1.276</w:t>
            </w:r>
          </w:p>
        </w:tc>
      </w:tr>
      <w:tr>
        <w:tblPrEx>
          <w:tblCellMar>
            <w:top w:w="0" w:type="dxa"/>
            <w:left w:w="108" w:type="dxa"/>
            <w:bottom w:w="0" w:type="dxa"/>
            <w:right w:w="108" w:type="dxa"/>
          </w:tblCellMar>
        </w:tblPrEx>
        <w:trPr>
          <w:trHeight w:val="340" w:hRule="atLeast"/>
          <w:jc w:val="center"/>
        </w:trPr>
        <w:tc>
          <w:tcPr>
            <w:tcW w:w="1968" w:type="dxa"/>
            <w:tcBorders>
              <w:top w:val="nil"/>
              <w:left w:val="single" w:color="000000" w:sz="8" w:space="0"/>
              <w:bottom w:val="single" w:color="000000" w:sz="8" w:space="0"/>
              <w:right w:val="single" w:color="000000" w:sz="8" w:space="0"/>
            </w:tcBorders>
            <w:shd w:val="clear" w:color="auto" w:fill="auto"/>
            <w:vAlign w:val="center"/>
          </w:tcPr>
          <w:p>
            <w:pPr>
              <w:widowControl/>
              <w:jc w:val="center"/>
              <w:textAlignment w:val="center"/>
              <w:rPr>
                <w:kern w:val="0"/>
                <w:szCs w:val="21"/>
              </w:rPr>
            </w:pPr>
            <w:r>
              <w:rPr>
                <w:kern w:val="0"/>
                <w:szCs w:val="21"/>
              </w:rPr>
              <w:t>G临界值</w:t>
            </w:r>
          </w:p>
        </w:tc>
        <w:tc>
          <w:tcPr>
            <w:tcW w:w="8000" w:type="dxa"/>
            <w:tcBorders>
              <w:top w:val="nil"/>
              <w:left w:val="nil"/>
              <w:bottom w:val="single" w:color="000000" w:sz="8" w:space="0"/>
              <w:right w:val="single" w:color="000000" w:sz="8" w:space="0"/>
            </w:tcBorders>
            <w:shd w:val="clear" w:color="auto" w:fill="auto"/>
            <w:vAlign w:val="center"/>
          </w:tcPr>
          <w:p>
            <w:pPr>
              <w:widowControl/>
              <w:jc w:val="center"/>
              <w:textAlignment w:val="center"/>
              <w:rPr>
                <w:kern w:val="0"/>
                <w:szCs w:val="21"/>
              </w:rPr>
            </w:pPr>
            <w:r>
              <w:rPr>
                <w:kern w:val="0"/>
                <w:szCs w:val="21"/>
              </w:rPr>
              <w:t>实验室数p=5时，G临界值：1%点时为1.749；5%点时为1.672。</w:t>
            </w:r>
          </w:p>
        </w:tc>
      </w:tr>
    </w:tbl>
    <w:p>
      <w:pPr>
        <w:spacing w:line="300" w:lineRule="auto"/>
        <w:rPr>
          <w:szCs w:val="21"/>
        </w:rPr>
      </w:pPr>
    </w:p>
    <w:p>
      <w:pPr>
        <w:spacing w:line="300" w:lineRule="auto"/>
        <w:jc w:val="left"/>
        <w:rPr>
          <w:szCs w:val="21"/>
        </w:rPr>
      </w:pPr>
      <w:r>
        <w:rPr>
          <w:szCs w:val="21"/>
        </w:rPr>
        <w:t>格拉布斯检验显示，无离群值，无歧离值。</w:t>
      </w:r>
    </w:p>
    <w:p>
      <w:pPr>
        <w:spacing w:line="300" w:lineRule="auto"/>
        <w:jc w:val="left"/>
        <w:rPr>
          <w:szCs w:val="21"/>
        </w:rPr>
      </w:pPr>
    </w:p>
    <w:sectPr>
      <w:footerReference r:id="rId5" w:type="default"/>
      <w:pgSz w:w="11906" w:h="16838"/>
      <w:pgMar w:top="1134" w:right="1077" w:bottom="1213" w:left="1077"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86344"/>
    </w:sdtPr>
    <w:sdtContent>
      <w:p>
        <w:pPr>
          <w:pStyle w:val="55"/>
          <w:jc w:val="center"/>
        </w:pPr>
      </w:p>
    </w:sdtContent>
  </w:sdt>
  <w:p>
    <w:pPr>
      <w:pStyle w:val="5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jc w:val="center"/>
    </w:pPr>
    <w:r>
      <w:fldChar w:fldCharType="begin"/>
    </w:r>
    <w:r>
      <w:instrText xml:space="preserve"> PAGE   \* MERGEFORMAT </w:instrText>
    </w:r>
    <w:r>
      <w:fldChar w:fldCharType="separate"/>
    </w:r>
    <w:r>
      <w:rPr>
        <w:lang w:val="zh-CN"/>
      </w:rPr>
      <w:t>5</w:t>
    </w:r>
    <w:r>
      <w:rPr>
        <w:lang w:val="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5"/>
    <w:multiLevelType w:val="multilevel"/>
    <w:tmpl w:val="00000015"/>
    <w:lvl w:ilvl="0" w:tentative="0">
      <w:start w:val="1"/>
      <w:numFmt w:val="upperLetter"/>
      <w:pStyle w:val="245"/>
      <w:suff w:val="nothing"/>
      <w:lvlText w:val="附　录　%1"/>
      <w:lvlJc w:val="left"/>
      <w:pPr>
        <w:ind w:left="0" w:firstLine="0"/>
      </w:pPr>
      <w:rPr>
        <w:rFonts w:hint="eastAsia" w:ascii="黑体" w:hAnsi="Times New Roman" w:eastAsia="黑体"/>
        <w:b w:val="0"/>
        <w:i w:val="0"/>
        <w:sz w:val="21"/>
      </w:rPr>
    </w:lvl>
    <w:lvl w:ilvl="1" w:tentative="0">
      <w:start w:val="1"/>
      <w:numFmt w:val="japaneseCounting"/>
      <w:pStyle w:val="246"/>
      <w:lvlText w:val="（%2）"/>
      <w:lvlJc w:val="left"/>
      <w:pPr>
        <w:ind w:left="0" w:firstLine="0"/>
      </w:pPr>
      <w:rPr>
        <w:rFonts w:hint="default"/>
        <w:b w:val="0"/>
        <w:i w:val="0"/>
        <w:snapToGrid/>
        <w:spacing w:val="0"/>
        <w:w w:val="100"/>
        <w:kern w:val="21"/>
        <w:sz w:val="21"/>
        <w:lang w:val="en-US"/>
      </w:rPr>
    </w:lvl>
    <w:lvl w:ilvl="2" w:tentative="0">
      <w:start w:val="1"/>
      <w:numFmt w:val="decimal"/>
      <w:pStyle w:val="251"/>
      <w:suff w:val="nothing"/>
      <w:lvlText w:val="%1.%2.%3　"/>
      <w:lvlJc w:val="left"/>
      <w:pPr>
        <w:ind w:left="0" w:firstLine="0"/>
      </w:pPr>
      <w:rPr>
        <w:rFonts w:hint="eastAsia" w:ascii="黑体" w:hAnsi="Times New Roman" w:eastAsia="黑体"/>
        <w:b w:val="0"/>
        <w:i w:val="0"/>
        <w:sz w:val="21"/>
      </w:rPr>
    </w:lvl>
    <w:lvl w:ilvl="3" w:tentative="0">
      <w:start w:val="1"/>
      <w:numFmt w:val="decimal"/>
      <w:pStyle w:val="250"/>
      <w:suff w:val="nothing"/>
      <w:lvlText w:val="%1.%2.%3.%4　"/>
      <w:lvlJc w:val="left"/>
      <w:pPr>
        <w:ind w:left="0" w:firstLine="0"/>
      </w:pPr>
      <w:rPr>
        <w:rFonts w:hint="eastAsia" w:ascii="黑体" w:hAnsi="Times New Roman" w:eastAsia="黑体"/>
        <w:b w:val="0"/>
        <w:i w:val="0"/>
        <w:sz w:val="21"/>
      </w:rPr>
    </w:lvl>
    <w:lvl w:ilvl="4" w:tentative="0">
      <w:start w:val="1"/>
      <w:numFmt w:val="decimal"/>
      <w:pStyle w:val="249"/>
      <w:suff w:val="nothing"/>
      <w:lvlText w:val="%1.%2.%3.%4.%5　"/>
      <w:lvlJc w:val="left"/>
      <w:pPr>
        <w:ind w:left="0" w:firstLine="0"/>
      </w:pPr>
      <w:rPr>
        <w:rFonts w:hint="eastAsia" w:ascii="黑体" w:hAnsi="Times New Roman" w:eastAsia="黑体"/>
        <w:b w:val="0"/>
        <w:i w:val="0"/>
        <w:sz w:val="21"/>
      </w:rPr>
    </w:lvl>
    <w:lvl w:ilvl="5" w:tentative="0">
      <w:start w:val="1"/>
      <w:numFmt w:val="decimal"/>
      <w:pStyle w:val="248"/>
      <w:suff w:val="nothing"/>
      <w:lvlText w:val="%1.%2.%3.%4.%5.%6　"/>
      <w:lvlJc w:val="left"/>
      <w:pPr>
        <w:ind w:left="0" w:firstLine="0"/>
      </w:pPr>
      <w:rPr>
        <w:rFonts w:hint="eastAsia" w:ascii="黑体" w:hAnsi="Times New Roman" w:eastAsia="黑体"/>
        <w:b w:val="0"/>
        <w:i w:val="0"/>
        <w:sz w:val="21"/>
      </w:rPr>
    </w:lvl>
    <w:lvl w:ilvl="6" w:tentative="0">
      <w:start w:val="1"/>
      <w:numFmt w:val="decimal"/>
      <w:pStyle w:val="247"/>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3AB"/>
    <w:rsid w:val="00000843"/>
    <w:rsid w:val="0000439D"/>
    <w:rsid w:val="000046B0"/>
    <w:rsid w:val="00006A40"/>
    <w:rsid w:val="00010180"/>
    <w:rsid w:val="0001211D"/>
    <w:rsid w:val="00012DB2"/>
    <w:rsid w:val="00014853"/>
    <w:rsid w:val="0002096F"/>
    <w:rsid w:val="00022FF0"/>
    <w:rsid w:val="00024B42"/>
    <w:rsid w:val="00026D78"/>
    <w:rsid w:val="00032195"/>
    <w:rsid w:val="000332A6"/>
    <w:rsid w:val="00035035"/>
    <w:rsid w:val="00036C57"/>
    <w:rsid w:val="00046620"/>
    <w:rsid w:val="00047D95"/>
    <w:rsid w:val="00050085"/>
    <w:rsid w:val="0005146E"/>
    <w:rsid w:val="0005350B"/>
    <w:rsid w:val="00061D34"/>
    <w:rsid w:val="00061D46"/>
    <w:rsid w:val="00062070"/>
    <w:rsid w:val="0006432D"/>
    <w:rsid w:val="0006477B"/>
    <w:rsid w:val="00072756"/>
    <w:rsid w:val="00073C3A"/>
    <w:rsid w:val="00081A9E"/>
    <w:rsid w:val="00083A57"/>
    <w:rsid w:val="000842C3"/>
    <w:rsid w:val="00085404"/>
    <w:rsid w:val="00091DD9"/>
    <w:rsid w:val="000A0C8C"/>
    <w:rsid w:val="000A0CA9"/>
    <w:rsid w:val="000A180E"/>
    <w:rsid w:val="000A1CC0"/>
    <w:rsid w:val="000A1DCD"/>
    <w:rsid w:val="000A2986"/>
    <w:rsid w:val="000A54AC"/>
    <w:rsid w:val="000A569E"/>
    <w:rsid w:val="000A5CC2"/>
    <w:rsid w:val="000B14A6"/>
    <w:rsid w:val="000B3127"/>
    <w:rsid w:val="000B605E"/>
    <w:rsid w:val="000C44B2"/>
    <w:rsid w:val="000C44E3"/>
    <w:rsid w:val="000D6334"/>
    <w:rsid w:val="000D7360"/>
    <w:rsid w:val="000E068C"/>
    <w:rsid w:val="000E3741"/>
    <w:rsid w:val="000E37CA"/>
    <w:rsid w:val="000E6E9C"/>
    <w:rsid w:val="000E7ED5"/>
    <w:rsid w:val="000E7EDF"/>
    <w:rsid w:val="000F1D0F"/>
    <w:rsid w:val="000F1FD1"/>
    <w:rsid w:val="000F224C"/>
    <w:rsid w:val="000F3489"/>
    <w:rsid w:val="000F7D51"/>
    <w:rsid w:val="0010034F"/>
    <w:rsid w:val="00100D28"/>
    <w:rsid w:val="0011031F"/>
    <w:rsid w:val="00110508"/>
    <w:rsid w:val="001115A6"/>
    <w:rsid w:val="00112CBC"/>
    <w:rsid w:val="0011570F"/>
    <w:rsid w:val="00116D8F"/>
    <w:rsid w:val="00121767"/>
    <w:rsid w:val="00122903"/>
    <w:rsid w:val="00123F92"/>
    <w:rsid w:val="001241A8"/>
    <w:rsid w:val="0012682D"/>
    <w:rsid w:val="0012792A"/>
    <w:rsid w:val="001345DA"/>
    <w:rsid w:val="00134E2D"/>
    <w:rsid w:val="00135E64"/>
    <w:rsid w:val="00136064"/>
    <w:rsid w:val="00137D4C"/>
    <w:rsid w:val="001424D5"/>
    <w:rsid w:val="00151F1C"/>
    <w:rsid w:val="00152747"/>
    <w:rsid w:val="00154608"/>
    <w:rsid w:val="00156452"/>
    <w:rsid w:val="00162E84"/>
    <w:rsid w:val="00163B6C"/>
    <w:rsid w:val="0016401E"/>
    <w:rsid w:val="001645BF"/>
    <w:rsid w:val="0016472B"/>
    <w:rsid w:val="0016567C"/>
    <w:rsid w:val="00166ED4"/>
    <w:rsid w:val="00171087"/>
    <w:rsid w:val="0017147D"/>
    <w:rsid w:val="001742D0"/>
    <w:rsid w:val="00174770"/>
    <w:rsid w:val="00176CA2"/>
    <w:rsid w:val="00181F19"/>
    <w:rsid w:val="00182D22"/>
    <w:rsid w:val="00186DB8"/>
    <w:rsid w:val="00187FC9"/>
    <w:rsid w:val="0019163F"/>
    <w:rsid w:val="00192E96"/>
    <w:rsid w:val="00194EB2"/>
    <w:rsid w:val="001A02DA"/>
    <w:rsid w:val="001A0910"/>
    <w:rsid w:val="001A1931"/>
    <w:rsid w:val="001A1A3D"/>
    <w:rsid w:val="001A3DC0"/>
    <w:rsid w:val="001A78A3"/>
    <w:rsid w:val="001B3592"/>
    <w:rsid w:val="001B5781"/>
    <w:rsid w:val="001B7B78"/>
    <w:rsid w:val="001C327A"/>
    <w:rsid w:val="001C35AF"/>
    <w:rsid w:val="001C4AB5"/>
    <w:rsid w:val="001C5722"/>
    <w:rsid w:val="001C6263"/>
    <w:rsid w:val="001D18F0"/>
    <w:rsid w:val="001D1A3E"/>
    <w:rsid w:val="001D200A"/>
    <w:rsid w:val="001D24F0"/>
    <w:rsid w:val="001D57BC"/>
    <w:rsid w:val="001D6080"/>
    <w:rsid w:val="001D67A7"/>
    <w:rsid w:val="001D783C"/>
    <w:rsid w:val="001D7A87"/>
    <w:rsid w:val="001E3AA1"/>
    <w:rsid w:val="001E7268"/>
    <w:rsid w:val="001F4370"/>
    <w:rsid w:val="001F5F9B"/>
    <w:rsid w:val="001F65ED"/>
    <w:rsid w:val="001F6B47"/>
    <w:rsid w:val="001F7DA6"/>
    <w:rsid w:val="0020225C"/>
    <w:rsid w:val="002056A4"/>
    <w:rsid w:val="0021099A"/>
    <w:rsid w:val="0021153B"/>
    <w:rsid w:val="002119ED"/>
    <w:rsid w:val="002123C9"/>
    <w:rsid w:val="00216076"/>
    <w:rsid w:val="00220A49"/>
    <w:rsid w:val="0022213B"/>
    <w:rsid w:val="00222AF0"/>
    <w:rsid w:val="002246A5"/>
    <w:rsid w:val="00224A26"/>
    <w:rsid w:val="002344C3"/>
    <w:rsid w:val="002367F4"/>
    <w:rsid w:val="00237934"/>
    <w:rsid w:val="002408F8"/>
    <w:rsid w:val="00240D65"/>
    <w:rsid w:val="002414FB"/>
    <w:rsid w:val="00242023"/>
    <w:rsid w:val="00242AAA"/>
    <w:rsid w:val="00243777"/>
    <w:rsid w:val="00245A31"/>
    <w:rsid w:val="0024636D"/>
    <w:rsid w:val="002464C4"/>
    <w:rsid w:val="002474F1"/>
    <w:rsid w:val="00252865"/>
    <w:rsid w:val="00252CB5"/>
    <w:rsid w:val="00253029"/>
    <w:rsid w:val="002569A0"/>
    <w:rsid w:val="00257050"/>
    <w:rsid w:val="002619CB"/>
    <w:rsid w:val="002634A5"/>
    <w:rsid w:val="00263B9F"/>
    <w:rsid w:val="00264880"/>
    <w:rsid w:val="002658D8"/>
    <w:rsid w:val="00270709"/>
    <w:rsid w:val="00271256"/>
    <w:rsid w:val="00272CE3"/>
    <w:rsid w:val="00272CF0"/>
    <w:rsid w:val="00273376"/>
    <w:rsid w:val="00276392"/>
    <w:rsid w:val="00276D32"/>
    <w:rsid w:val="00277FC2"/>
    <w:rsid w:val="00283872"/>
    <w:rsid w:val="002842F4"/>
    <w:rsid w:val="0029258B"/>
    <w:rsid w:val="00292C1B"/>
    <w:rsid w:val="002935AF"/>
    <w:rsid w:val="00294B68"/>
    <w:rsid w:val="00295158"/>
    <w:rsid w:val="00295954"/>
    <w:rsid w:val="00296C10"/>
    <w:rsid w:val="00297A7C"/>
    <w:rsid w:val="002A4145"/>
    <w:rsid w:val="002A6909"/>
    <w:rsid w:val="002A7884"/>
    <w:rsid w:val="002B10D8"/>
    <w:rsid w:val="002B1448"/>
    <w:rsid w:val="002B1476"/>
    <w:rsid w:val="002B1CDE"/>
    <w:rsid w:val="002B1E00"/>
    <w:rsid w:val="002B1EB8"/>
    <w:rsid w:val="002B39F3"/>
    <w:rsid w:val="002B6730"/>
    <w:rsid w:val="002B6D40"/>
    <w:rsid w:val="002B743A"/>
    <w:rsid w:val="002B7F73"/>
    <w:rsid w:val="002C2432"/>
    <w:rsid w:val="002C5386"/>
    <w:rsid w:val="002C6032"/>
    <w:rsid w:val="002C6D59"/>
    <w:rsid w:val="002D2F5E"/>
    <w:rsid w:val="002D4151"/>
    <w:rsid w:val="002D4DC6"/>
    <w:rsid w:val="002D542A"/>
    <w:rsid w:val="002D7674"/>
    <w:rsid w:val="002E0737"/>
    <w:rsid w:val="002E1898"/>
    <w:rsid w:val="002E741D"/>
    <w:rsid w:val="002F022C"/>
    <w:rsid w:val="002F1734"/>
    <w:rsid w:val="002F3670"/>
    <w:rsid w:val="003017C7"/>
    <w:rsid w:val="00302CA7"/>
    <w:rsid w:val="00305AB4"/>
    <w:rsid w:val="003070AE"/>
    <w:rsid w:val="00311372"/>
    <w:rsid w:val="0031608B"/>
    <w:rsid w:val="003250C1"/>
    <w:rsid w:val="00331DA0"/>
    <w:rsid w:val="003320EC"/>
    <w:rsid w:val="003336E8"/>
    <w:rsid w:val="00333F1C"/>
    <w:rsid w:val="00336817"/>
    <w:rsid w:val="003371FA"/>
    <w:rsid w:val="00340092"/>
    <w:rsid w:val="003402ED"/>
    <w:rsid w:val="003406E3"/>
    <w:rsid w:val="003430B3"/>
    <w:rsid w:val="00363C9B"/>
    <w:rsid w:val="00363FF5"/>
    <w:rsid w:val="00364128"/>
    <w:rsid w:val="00370FF7"/>
    <w:rsid w:val="00371AA3"/>
    <w:rsid w:val="00372782"/>
    <w:rsid w:val="00373131"/>
    <w:rsid w:val="00376DAF"/>
    <w:rsid w:val="00376F19"/>
    <w:rsid w:val="00377952"/>
    <w:rsid w:val="00383889"/>
    <w:rsid w:val="00386212"/>
    <w:rsid w:val="003918BA"/>
    <w:rsid w:val="003922C1"/>
    <w:rsid w:val="00392AC9"/>
    <w:rsid w:val="003939C9"/>
    <w:rsid w:val="00395B19"/>
    <w:rsid w:val="0039640D"/>
    <w:rsid w:val="0039716B"/>
    <w:rsid w:val="003A1F18"/>
    <w:rsid w:val="003A4DF7"/>
    <w:rsid w:val="003B1775"/>
    <w:rsid w:val="003B3203"/>
    <w:rsid w:val="003B4C78"/>
    <w:rsid w:val="003B65F5"/>
    <w:rsid w:val="003B7E75"/>
    <w:rsid w:val="003B7F17"/>
    <w:rsid w:val="003C0CDA"/>
    <w:rsid w:val="003C1F6D"/>
    <w:rsid w:val="003C25C6"/>
    <w:rsid w:val="003C492E"/>
    <w:rsid w:val="003C4B0E"/>
    <w:rsid w:val="003C5392"/>
    <w:rsid w:val="003C5F0B"/>
    <w:rsid w:val="003C72B7"/>
    <w:rsid w:val="003C7814"/>
    <w:rsid w:val="003D79E6"/>
    <w:rsid w:val="003E0A25"/>
    <w:rsid w:val="003E1178"/>
    <w:rsid w:val="003E2665"/>
    <w:rsid w:val="003E47D4"/>
    <w:rsid w:val="003E7121"/>
    <w:rsid w:val="003E76E8"/>
    <w:rsid w:val="003F03FD"/>
    <w:rsid w:val="003F34E7"/>
    <w:rsid w:val="003F5178"/>
    <w:rsid w:val="003F67B0"/>
    <w:rsid w:val="0040009E"/>
    <w:rsid w:val="00400ED1"/>
    <w:rsid w:val="00402FE6"/>
    <w:rsid w:val="00404E31"/>
    <w:rsid w:val="00405AFC"/>
    <w:rsid w:val="00411827"/>
    <w:rsid w:val="00415749"/>
    <w:rsid w:val="004169D7"/>
    <w:rsid w:val="00417668"/>
    <w:rsid w:val="00424F60"/>
    <w:rsid w:val="004306FA"/>
    <w:rsid w:val="0043072C"/>
    <w:rsid w:val="00431810"/>
    <w:rsid w:val="00431AC2"/>
    <w:rsid w:val="00433247"/>
    <w:rsid w:val="00434458"/>
    <w:rsid w:val="00437F04"/>
    <w:rsid w:val="004425AD"/>
    <w:rsid w:val="0044631C"/>
    <w:rsid w:val="004468D7"/>
    <w:rsid w:val="0044747A"/>
    <w:rsid w:val="00451D1D"/>
    <w:rsid w:val="0045247E"/>
    <w:rsid w:val="00462904"/>
    <w:rsid w:val="00465D91"/>
    <w:rsid w:val="00471A2D"/>
    <w:rsid w:val="00480F24"/>
    <w:rsid w:val="004814CC"/>
    <w:rsid w:val="00483671"/>
    <w:rsid w:val="004837ED"/>
    <w:rsid w:val="0048575A"/>
    <w:rsid w:val="00493E0A"/>
    <w:rsid w:val="0049424A"/>
    <w:rsid w:val="004961DA"/>
    <w:rsid w:val="004A25D5"/>
    <w:rsid w:val="004A28AA"/>
    <w:rsid w:val="004A2C5B"/>
    <w:rsid w:val="004A3A2A"/>
    <w:rsid w:val="004A513C"/>
    <w:rsid w:val="004B00C3"/>
    <w:rsid w:val="004B415A"/>
    <w:rsid w:val="004B41B0"/>
    <w:rsid w:val="004B5F05"/>
    <w:rsid w:val="004C0C60"/>
    <w:rsid w:val="004C144D"/>
    <w:rsid w:val="004C63B3"/>
    <w:rsid w:val="004C6DE0"/>
    <w:rsid w:val="004D1285"/>
    <w:rsid w:val="004E282E"/>
    <w:rsid w:val="004E7AD9"/>
    <w:rsid w:val="004F0AC8"/>
    <w:rsid w:val="004F207A"/>
    <w:rsid w:val="004F59CD"/>
    <w:rsid w:val="00503416"/>
    <w:rsid w:val="00503CC1"/>
    <w:rsid w:val="005041BD"/>
    <w:rsid w:val="00505AB2"/>
    <w:rsid w:val="0050616B"/>
    <w:rsid w:val="00511935"/>
    <w:rsid w:val="00512455"/>
    <w:rsid w:val="00513786"/>
    <w:rsid w:val="005139E1"/>
    <w:rsid w:val="00514BE8"/>
    <w:rsid w:val="00515853"/>
    <w:rsid w:val="0051585A"/>
    <w:rsid w:val="005164FF"/>
    <w:rsid w:val="00526898"/>
    <w:rsid w:val="005275AB"/>
    <w:rsid w:val="00535E44"/>
    <w:rsid w:val="00540267"/>
    <w:rsid w:val="005421E7"/>
    <w:rsid w:val="0054331E"/>
    <w:rsid w:val="005469A5"/>
    <w:rsid w:val="00546DF5"/>
    <w:rsid w:val="005475AF"/>
    <w:rsid w:val="00551151"/>
    <w:rsid w:val="0055122C"/>
    <w:rsid w:val="00554A02"/>
    <w:rsid w:val="00561155"/>
    <w:rsid w:val="00561BAB"/>
    <w:rsid w:val="0056535D"/>
    <w:rsid w:val="00565C58"/>
    <w:rsid w:val="005671B8"/>
    <w:rsid w:val="00570BC3"/>
    <w:rsid w:val="005731B4"/>
    <w:rsid w:val="00573F64"/>
    <w:rsid w:val="00573F8A"/>
    <w:rsid w:val="005812BF"/>
    <w:rsid w:val="0058298B"/>
    <w:rsid w:val="00584051"/>
    <w:rsid w:val="00584DCF"/>
    <w:rsid w:val="00587778"/>
    <w:rsid w:val="0059018B"/>
    <w:rsid w:val="00590DF2"/>
    <w:rsid w:val="00591B99"/>
    <w:rsid w:val="00592A0B"/>
    <w:rsid w:val="0059441F"/>
    <w:rsid w:val="00595C2D"/>
    <w:rsid w:val="00596F20"/>
    <w:rsid w:val="005A433E"/>
    <w:rsid w:val="005A6367"/>
    <w:rsid w:val="005A7FAD"/>
    <w:rsid w:val="005B16F8"/>
    <w:rsid w:val="005B2B1D"/>
    <w:rsid w:val="005B3B2F"/>
    <w:rsid w:val="005B42D0"/>
    <w:rsid w:val="005B4F50"/>
    <w:rsid w:val="005B602A"/>
    <w:rsid w:val="005B65D7"/>
    <w:rsid w:val="005C04B7"/>
    <w:rsid w:val="005C0D74"/>
    <w:rsid w:val="005C1E9B"/>
    <w:rsid w:val="005C2AE2"/>
    <w:rsid w:val="005C6623"/>
    <w:rsid w:val="005C6E0A"/>
    <w:rsid w:val="005C7228"/>
    <w:rsid w:val="005C76D7"/>
    <w:rsid w:val="005D1372"/>
    <w:rsid w:val="005D255E"/>
    <w:rsid w:val="005D5B2C"/>
    <w:rsid w:val="005D7867"/>
    <w:rsid w:val="005E030E"/>
    <w:rsid w:val="005E2C35"/>
    <w:rsid w:val="005E48F0"/>
    <w:rsid w:val="005E578E"/>
    <w:rsid w:val="005E739C"/>
    <w:rsid w:val="00600224"/>
    <w:rsid w:val="0060307B"/>
    <w:rsid w:val="00607C62"/>
    <w:rsid w:val="00607F6D"/>
    <w:rsid w:val="00610273"/>
    <w:rsid w:val="006102D3"/>
    <w:rsid w:val="00613007"/>
    <w:rsid w:val="006237B0"/>
    <w:rsid w:val="0063380C"/>
    <w:rsid w:val="0063508A"/>
    <w:rsid w:val="00636BDB"/>
    <w:rsid w:val="00636F2E"/>
    <w:rsid w:val="00642493"/>
    <w:rsid w:val="006437BE"/>
    <w:rsid w:val="00644B14"/>
    <w:rsid w:val="00645CDE"/>
    <w:rsid w:val="00646F53"/>
    <w:rsid w:val="0065133E"/>
    <w:rsid w:val="00653DEA"/>
    <w:rsid w:val="006555BA"/>
    <w:rsid w:val="006619E4"/>
    <w:rsid w:val="0066318E"/>
    <w:rsid w:val="00664E99"/>
    <w:rsid w:val="00665B31"/>
    <w:rsid w:val="006664F9"/>
    <w:rsid w:val="00666745"/>
    <w:rsid w:val="006727AA"/>
    <w:rsid w:val="00673F33"/>
    <w:rsid w:val="00674D40"/>
    <w:rsid w:val="00675AA1"/>
    <w:rsid w:val="006773F1"/>
    <w:rsid w:val="00677B56"/>
    <w:rsid w:val="006815E1"/>
    <w:rsid w:val="00681710"/>
    <w:rsid w:val="00681CCA"/>
    <w:rsid w:val="00685707"/>
    <w:rsid w:val="00686631"/>
    <w:rsid w:val="006877FE"/>
    <w:rsid w:val="006905BF"/>
    <w:rsid w:val="00696C74"/>
    <w:rsid w:val="006A070E"/>
    <w:rsid w:val="006A5C33"/>
    <w:rsid w:val="006A6B27"/>
    <w:rsid w:val="006A71CE"/>
    <w:rsid w:val="006B1820"/>
    <w:rsid w:val="006B2E03"/>
    <w:rsid w:val="006B3ECC"/>
    <w:rsid w:val="006B69D8"/>
    <w:rsid w:val="006B7418"/>
    <w:rsid w:val="006C0010"/>
    <w:rsid w:val="006C194E"/>
    <w:rsid w:val="006C26B4"/>
    <w:rsid w:val="006C2F95"/>
    <w:rsid w:val="006C3687"/>
    <w:rsid w:val="006C3F70"/>
    <w:rsid w:val="006C5FBA"/>
    <w:rsid w:val="006D0BE5"/>
    <w:rsid w:val="006D1A4B"/>
    <w:rsid w:val="006D251E"/>
    <w:rsid w:val="006D253F"/>
    <w:rsid w:val="006D34A7"/>
    <w:rsid w:val="006D42C7"/>
    <w:rsid w:val="006D46FF"/>
    <w:rsid w:val="006D4A00"/>
    <w:rsid w:val="006D7755"/>
    <w:rsid w:val="006D7CDB"/>
    <w:rsid w:val="006E02B1"/>
    <w:rsid w:val="006E059D"/>
    <w:rsid w:val="006E064A"/>
    <w:rsid w:val="006E1891"/>
    <w:rsid w:val="006E26A6"/>
    <w:rsid w:val="006E28B7"/>
    <w:rsid w:val="006E2ACE"/>
    <w:rsid w:val="006E4918"/>
    <w:rsid w:val="006E5A49"/>
    <w:rsid w:val="006E67A8"/>
    <w:rsid w:val="006E7ACD"/>
    <w:rsid w:val="006E7C18"/>
    <w:rsid w:val="006F17C9"/>
    <w:rsid w:val="006F27D4"/>
    <w:rsid w:val="006F526E"/>
    <w:rsid w:val="00700E3B"/>
    <w:rsid w:val="007011A5"/>
    <w:rsid w:val="00704897"/>
    <w:rsid w:val="007123C8"/>
    <w:rsid w:val="00712513"/>
    <w:rsid w:val="00713AC2"/>
    <w:rsid w:val="00716A87"/>
    <w:rsid w:val="0071761A"/>
    <w:rsid w:val="00717801"/>
    <w:rsid w:val="0072080A"/>
    <w:rsid w:val="0072235E"/>
    <w:rsid w:val="00723AF6"/>
    <w:rsid w:val="00723B32"/>
    <w:rsid w:val="00723CFC"/>
    <w:rsid w:val="00724E4B"/>
    <w:rsid w:val="007255D5"/>
    <w:rsid w:val="00726914"/>
    <w:rsid w:val="00726C2F"/>
    <w:rsid w:val="007273CB"/>
    <w:rsid w:val="00727AB4"/>
    <w:rsid w:val="007415D6"/>
    <w:rsid w:val="0074246A"/>
    <w:rsid w:val="007436BB"/>
    <w:rsid w:val="00745D4F"/>
    <w:rsid w:val="00746EF3"/>
    <w:rsid w:val="00747E57"/>
    <w:rsid w:val="00750CFC"/>
    <w:rsid w:val="00752ACC"/>
    <w:rsid w:val="00752FB4"/>
    <w:rsid w:val="00754E21"/>
    <w:rsid w:val="00755B27"/>
    <w:rsid w:val="007568C2"/>
    <w:rsid w:val="00764446"/>
    <w:rsid w:val="00766258"/>
    <w:rsid w:val="00771198"/>
    <w:rsid w:val="0077459D"/>
    <w:rsid w:val="0078372D"/>
    <w:rsid w:val="00790EBF"/>
    <w:rsid w:val="007955E6"/>
    <w:rsid w:val="007967ED"/>
    <w:rsid w:val="00796FFE"/>
    <w:rsid w:val="007A16E2"/>
    <w:rsid w:val="007A3FC1"/>
    <w:rsid w:val="007B1B7D"/>
    <w:rsid w:val="007B29F0"/>
    <w:rsid w:val="007B5DB0"/>
    <w:rsid w:val="007B688D"/>
    <w:rsid w:val="007B74F4"/>
    <w:rsid w:val="007B7D0F"/>
    <w:rsid w:val="007C2A43"/>
    <w:rsid w:val="007C35DE"/>
    <w:rsid w:val="007C5B98"/>
    <w:rsid w:val="007D27BC"/>
    <w:rsid w:val="007D75D0"/>
    <w:rsid w:val="007E17FF"/>
    <w:rsid w:val="007E2137"/>
    <w:rsid w:val="007E4293"/>
    <w:rsid w:val="007E50D0"/>
    <w:rsid w:val="007E5723"/>
    <w:rsid w:val="007E5B7A"/>
    <w:rsid w:val="007E70D2"/>
    <w:rsid w:val="007E7DF3"/>
    <w:rsid w:val="007F335B"/>
    <w:rsid w:val="007F3D28"/>
    <w:rsid w:val="007F4259"/>
    <w:rsid w:val="007F42A2"/>
    <w:rsid w:val="00801948"/>
    <w:rsid w:val="008029FF"/>
    <w:rsid w:val="00802BA9"/>
    <w:rsid w:val="008036B5"/>
    <w:rsid w:val="008039DF"/>
    <w:rsid w:val="008043CF"/>
    <w:rsid w:val="008130E4"/>
    <w:rsid w:val="008148E9"/>
    <w:rsid w:val="00815B0F"/>
    <w:rsid w:val="0082271E"/>
    <w:rsid w:val="00822777"/>
    <w:rsid w:val="00822CE4"/>
    <w:rsid w:val="008231C8"/>
    <w:rsid w:val="00825D21"/>
    <w:rsid w:val="008260E1"/>
    <w:rsid w:val="0082615F"/>
    <w:rsid w:val="00826C6B"/>
    <w:rsid w:val="0083190B"/>
    <w:rsid w:val="00832B3D"/>
    <w:rsid w:val="00835BDA"/>
    <w:rsid w:val="00842D20"/>
    <w:rsid w:val="008459EE"/>
    <w:rsid w:val="0084647D"/>
    <w:rsid w:val="00854C07"/>
    <w:rsid w:val="0086177D"/>
    <w:rsid w:val="00862280"/>
    <w:rsid w:val="00872C9E"/>
    <w:rsid w:val="00873AC3"/>
    <w:rsid w:val="00880BF7"/>
    <w:rsid w:val="00880F82"/>
    <w:rsid w:val="00881B81"/>
    <w:rsid w:val="008845C4"/>
    <w:rsid w:val="008A3569"/>
    <w:rsid w:val="008A3C8F"/>
    <w:rsid w:val="008A3FF9"/>
    <w:rsid w:val="008A4377"/>
    <w:rsid w:val="008A4E27"/>
    <w:rsid w:val="008B105E"/>
    <w:rsid w:val="008B6805"/>
    <w:rsid w:val="008C306D"/>
    <w:rsid w:val="008C5E1E"/>
    <w:rsid w:val="008C6A2D"/>
    <w:rsid w:val="008C7072"/>
    <w:rsid w:val="008C73F2"/>
    <w:rsid w:val="008C754F"/>
    <w:rsid w:val="008D3F5C"/>
    <w:rsid w:val="008D4991"/>
    <w:rsid w:val="008E1C30"/>
    <w:rsid w:val="008E22B8"/>
    <w:rsid w:val="008E2B02"/>
    <w:rsid w:val="008E2C62"/>
    <w:rsid w:val="008E340B"/>
    <w:rsid w:val="008F2540"/>
    <w:rsid w:val="008F58FF"/>
    <w:rsid w:val="008F5C0C"/>
    <w:rsid w:val="009074E3"/>
    <w:rsid w:val="009118E6"/>
    <w:rsid w:val="0091772E"/>
    <w:rsid w:val="00920149"/>
    <w:rsid w:val="0092194B"/>
    <w:rsid w:val="009227CD"/>
    <w:rsid w:val="009254EF"/>
    <w:rsid w:val="009256A5"/>
    <w:rsid w:val="00926F79"/>
    <w:rsid w:val="00927C5A"/>
    <w:rsid w:val="009322D7"/>
    <w:rsid w:val="00937C2A"/>
    <w:rsid w:val="00945C50"/>
    <w:rsid w:val="009514E6"/>
    <w:rsid w:val="00952E60"/>
    <w:rsid w:val="0095338D"/>
    <w:rsid w:val="00953D99"/>
    <w:rsid w:val="00954F1C"/>
    <w:rsid w:val="00955795"/>
    <w:rsid w:val="009579E5"/>
    <w:rsid w:val="0096152F"/>
    <w:rsid w:val="00963674"/>
    <w:rsid w:val="00964A13"/>
    <w:rsid w:val="009660B1"/>
    <w:rsid w:val="00974F87"/>
    <w:rsid w:val="00977009"/>
    <w:rsid w:val="00977426"/>
    <w:rsid w:val="0098380E"/>
    <w:rsid w:val="00983DA9"/>
    <w:rsid w:val="00984BB9"/>
    <w:rsid w:val="009855CE"/>
    <w:rsid w:val="009855F9"/>
    <w:rsid w:val="00987010"/>
    <w:rsid w:val="00990368"/>
    <w:rsid w:val="00990D94"/>
    <w:rsid w:val="00991880"/>
    <w:rsid w:val="009938AE"/>
    <w:rsid w:val="00996ADD"/>
    <w:rsid w:val="009A06F2"/>
    <w:rsid w:val="009A2C15"/>
    <w:rsid w:val="009A48B0"/>
    <w:rsid w:val="009B2597"/>
    <w:rsid w:val="009B2744"/>
    <w:rsid w:val="009B535A"/>
    <w:rsid w:val="009B79AC"/>
    <w:rsid w:val="009C2CC3"/>
    <w:rsid w:val="009C4DE2"/>
    <w:rsid w:val="009C5117"/>
    <w:rsid w:val="009C76E1"/>
    <w:rsid w:val="009D2729"/>
    <w:rsid w:val="009E11FF"/>
    <w:rsid w:val="009E2786"/>
    <w:rsid w:val="009E3323"/>
    <w:rsid w:val="009E4222"/>
    <w:rsid w:val="009E437C"/>
    <w:rsid w:val="009E47AE"/>
    <w:rsid w:val="009E4EC4"/>
    <w:rsid w:val="009E532E"/>
    <w:rsid w:val="009E5672"/>
    <w:rsid w:val="009E7658"/>
    <w:rsid w:val="009F479E"/>
    <w:rsid w:val="009F5C49"/>
    <w:rsid w:val="009F6382"/>
    <w:rsid w:val="009F7A68"/>
    <w:rsid w:val="00A01650"/>
    <w:rsid w:val="00A0169F"/>
    <w:rsid w:val="00A0182B"/>
    <w:rsid w:val="00A01DA1"/>
    <w:rsid w:val="00A02009"/>
    <w:rsid w:val="00A0302A"/>
    <w:rsid w:val="00A03103"/>
    <w:rsid w:val="00A03DF7"/>
    <w:rsid w:val="00A042AD"/>
    <w:rsid w:val="00A04CD5"/>
    <w:rsid w:val="00A07E9D"/>
    <w:rsid w:val="00A1283A"/>
    <w:rsid w:val="00A12D11"/>
    <w:rsid w:val="00A16FC1"/>
    <w:rsid w:val="00A17980"/>
    <w:rsid w:val="00A248DD"/>
    <w:rsid w:val="00A25709"/>
    <w:rsid w:val="00A267A6"/>
    <w:rsid w:val="00A278EC"/>
    <w:rsid w:val="00A27A5C"/>
    <w:rsid w:val="00A3343B"/>
    <w:rsid w:val="00A33A0E"/>
    <w:rsid w:val="00A34DF3"/>
    <w:rsid w:val="00A35580"/>
    <w:rsid w:val="00A406A6"/>
    <w:rsid w:val="00A40CF0"/>
    <w:rsid w:val="00A4164F"/>
    <w:rsid w:val="00A41987"/>
    <w:rsid w:val="00A41EFF"/>
    <w:rsid w:val="00A44F99"/>
    <w:rsid w:val="00A4553D"/>
    <w:rsid w:val="00A46447"/>
    <w:rsid w:val="00A46810"/>
    <w:rsid w:val="00A468C1"/>
    <w:rsid w:val="00A47E2B"/>
    <w:rsid w:val="00A5455A"/>
    <w:rsid w:val="00A551AC"/>
    <w:rsid w:val="00A552B7"/>
    <w:rsid w:val="00A56CCD"/>
    <w:rsid w:val="00A60FC6"/>
    <w:rsid w:val="00A62258"/>
    <w:rsid w:val="00A66175"/>
    <w:rsid w:val="00A72A11"/>
    <w:rsid w:val="00A73569"/>
    <w:rsid w:val="00A7557E"/>
    <w:rsid w:val="00A76449"/>
    <w:rsid w:val="00A77438"/>
    <w:rsid w:val="00A7773A"/>
    <w:rsid w:val="00A77C1A"/>
    <w:rsid w:val="00A8120B"/>
    <w:rsid w:val="00A82F63"/>
    <w:rsid w:val="00A83006"/>
    <w:rsid w:val="00A847A8"/>
    <w:rsid w:val="00A84C6B"/>
    <w:rsid w:val="00A8711B"/>
    <w:rsid w:val="00A9545B"/>
    <w:rsid w:val="00A976FA"/>
    <w:rsid w:val="00A97C9F"/>
    <w:rsid w:val="00AA0BE1"/>
    <w:rsid w:val="00AA2645"/>
    <w:rsid w:val="00AA265A"/>
    <w:rsid w:val="00AA540B"/>
    <w:rsid w:val="00AB10A7"/>
    <w:rsid w:val="00AB171A"/>
    <w:rsid w:val="00AB640E"/>
    <w:rsid w:val="00AC1627"/>
    <w:rsid w:val="00AC20AF"/>
    <w:rsid w:val="00AC475D"/>
    <w:rsid w:val="00AC5F01"/>
    <w:rsid w:val="00AD0DDB"/>
    <w:rsid w:val="00AD2E9B"/>
    <w:rsid w:val="00AE1106"/>
    <w:rsid w:val="00AE24F5"/>
    <w:rsid w:val="00AE3993"/>
    <w:rsid w:val="00AE7126"/>
    <w:rsid w:val="00AE723E"/>
    <w:rsid w:val="00AE728B"/>
    <w:rsid w:val="00AF4851"/>
    <w:rsid w:val="00B01873"/>
    <w:rsid w:val="00B01E95"/>
    <w:rsid w:val="00B02AD7"/>
    <w:rsid w:val="00B072E8"/>
    <w:rsid w:val="00B13F4A"/>
    <w:rsid w:val="00B1517C"/>
    <w:rsid w:val="00B154A8"/>
    <w:rsid w:val="00B220F1"/>
    <w:rsid w:val="00B251A5"/>
    <w:rsid w:val="00B25B50"/>
    <w:rsid w:val="00B2693C"/>
    <w:rsid w:val="00B269C0"/>
    <w:rsid w:val="00B26C9D"/>
    <w:rsid w:val="00B2769A"/>
    <w:rsid w:val="00B27EB5"/>
    <w:rsid w:val="00B33660"/>
    <w:rsid w:val="00B3625D"/>
    <w:rsid w:val="00B36291"/>
    <w:rsid w:val="00B4737D"/>
    <w:rsid w:val="00B508A5"/>
    <w:rsid w:val="00B510D2"/>
    <w:rsid w:val="00B54154"/>
    <w:rsid w:val="00B54159"/>
    <w:rsid w:val="00B5610F"/>
    <w:rsid w:val="00B563D6"/>
    <w:rsid w:val="00B56E03"/>
    <w:rsid w:val="00B57954"/>
    <w:rsid w:val="00B60049"/>
    <w:rsid w:val="00B612F5"/>
    <w:rsid w:val="00B62071"/>
    <w:rsid w:val="00B623AB"/>
    <w:rsid w:val="00B6433D"/>
    <w:rsid w:val="00B66F49"/>
    <w:rsid w:val="00B6789F"/>
    <w:rsid w:val="00B67F22"/>
    <w:rsid w:val="00B73279"/>
    <w:rsid w:val="00B774DF"/>
    <w:rsid w:val="00B77D4E"/>
    <w:rsid w:val="00B84471"/>
    <w:rsid w:val="00B853E0"/>
    <w:rsid w:val="00B860E9"/>
    <w:rsid w:val="00B86346"/>
    <w:rsid w:val="00B86C55"/>
    <w:rsid w:val="00B8711C"/>
    <w:rsid w:val="00B879D0"/>
    <w:rsid w:val="00B917FC"/>
    <w:rsid w:val="00B92BF9"/>
    <w:rsid w:val="00B92F78"/>
    <w:rsid w:val="00B974DF"/>
    <w:rsid w:val="00B97A1D"/>
    <w:rsid w:val="00BA16C8"/>
    <w:rsid w:val="00BA1787"/>
    <w:rsid w:val="00BA17DA"/>
    <w:rsid w:val="00BA5146"/>
    <w:rsid w:val="00BB29B0"/>
    <w:rsid w:val="00BB6830"/>
    <w:rsid w:val="00BB7322"/>
    <w:rsid w:val="00BC1EBE"/>
    <w:rsid w:val="00BC677B"/>
    <w:rsid w:val="00BC7247"/>
    <w:rsid w:val="00BD1292"/>
    <w:rsid w:val="00BD3E12"/>
    <w:rsid w:val="00BE07C9"/>
    <w:rsid w:val="00BE7122"/>
    <w:rsid w:val="00BF013A"/>
    <w:rsid w:val="00BF1244"/>
    <w:rsid w:val="00BF592D"/>
    <w:rsid w:val="00C00D42"/>
    <w:rsid w:val="00C02390"/>
    <w:rsid w:val="00C027EA"/>
    <w:rsid w:val="00C05FE0"/>
    <w:rsid w:val="00C1097A"/>
    <w:rsid w:val="00C11BD0"/>
    <w:rsid w:val="00C15AC4"/>
    <w:rsid w:val="00C166C7"/>
    <w:rsid w:val="00C16FCF"/>
    <w:rsid w:val="00C17DCE"/>
    <w:rsid w:val="00C22C6B"/>
    <w:rsid w:val="00C24CA2"/>
    <w:rsid w:val="00C2763A"/>
    <w:rsid w:val="00C30E24"/>
    <w:rsid w:val="00C317D1"/>
    <w:rsid w:val="00C32990"/>
    <w:rsid w:val="00C33B55"/>
    <w:rsid w:val="00C35D4C"/>
    <w:rsid w:val="00C417FC"/>
    <w:rsid w:val="00C5372F"/>
    <w:rsid w:val="00C57F39"/>
    <w:rsid w:val="00C62684"/>
    <w:rsid w:val="00C63201"/>
    <w:rsid w:val="00C659BF"/>
    <w:rsid w:val="00C65B29"/>
    <w:rsid w:val="00C66710"/>
    <w:rsid w:val="00C76442"/>
    <w:rsid w:val="00C76B98"/>
    <w:rsid w:val="00C831AB"/>
    <w:rsid w:val="00C8412B"/>
    <w:rsid w:val="00C85A32"/>
    <w:rsid w:val="00C915A4"/>
    <w:rsid w:val="00C92209"/>
    <w:rsid w:val="00C96A7D"/>
    <w:rsid w:val="00CA383D"/>
    <w:rsid w:val="00CA3E13"/>
    <w:rsid w:val="00CA454A"/>
    <w:rsid w:val="00CB10E8"/>
    <w:rsid w:val="00CB1633"/>
    <w:rsid w:val="00CB39F2"/>
    <w:rsid w:val="00CB7BE6"/>
    <w:rsid w:val="00CC4EA7"/>
    <w:rsid w:val="00CC57B8"/>
    <w:rsid w:val="00CC7D45"/>
    <w:rsid w:val="00CD25A3"/>
    <w:rsid w:val="00CD4D8F"/>
    <w:rsid w:val="00CD582F"/>
    <w:rsid w:val="00CD6CCF"/>
    <w:rsid w:val="00CD6F3F"/>
    <w:rsid w:val="00CE0C87"/>
    <w:rsid w:val="00CE4947"/>
    <w:rsid w:val="00CE4D8F"/>
    <w:rsid w:val="00CE51DF"/>
    <w:rsid w:val="00CE63C6"/>
    <w:rsid w:val="00CE69E5"/>
    <w:rsid w:val="00CE6DB0"/>
    <w:rsid w:val="00CE7929"/>
    <w:rsid w:val="00CF0209"/>
    <w:rsid w:val="00CF14FE"/>
    <w:rsid w:val="00CF423F"/>
    <w:rsid w:val="00CF66E5"/>
    <w:rsid w:val="00D00049"/>
    <w:rsid w:val="00D0344B"/>
    <w:rsid w:val="00D052FF"/>
    <w:rsid w:val="00D053A8"/>
    <w:rsid w:val="00D05572"/>
    <w:rsid w:val="00D059BD"/>
    <w:rsid w:val="00D10123"/>
    <w:rsid w:val="00D14B3A"/>
    <w:rsid w:val="00D17B4B"/>
    <w:rsid w:val="00D23C7C"/>
    <w:rsid w:val="00D2514B"/>
    <w:rsid w:val="00D3251C"/>
    <w:rsid w:val="00D3293E"/>
    <w:rsid w:val="00D358A0"/>
    <w:rsid w:val="00D35974"/>
    <w:rsid w:val="00D364E8"/>
    <w:rsid w:val="00D37E79"/>
    <w:rsid w:val="00D40031"/>
    <w:rsid w:val="00D45373"/>
    <w:rsid w:val="00D46973"/>
    <w:rsid w:val="00D47A95"/>
    <w:rsid w:val="00D5684E"/>
    <w:rsid w:val="00D60CF1"/>
    <w:rsid w:val="00D60D52"/>
    <w:rsid w:val="00D61D4E"/>
    <w:rsid w:val="00D627A0"/>
    <w:rsid w:val="00D62BBB"/>
    <w:rsid w:val="00D63D6E"/>
    <w:rsid w:val="00D64543"/>
    <w:rsid w:val="00D65801"/>
    <w:rsid w:val="00D66FE0"/>
    <w:rsid w:val="00D67E36"/>
    <w:rsid w:val="00D70314"/>
    <w:rsid w:val="00D73EBB"/>
    <w:rsid w:val="00D77C0E"/>
    <w:rsid w:val="00D812CF"/>
    <w:rsid w:val="00D81811"/>
    <w:rsid w:val="00D81A5C"/>
    <w:rsid w:val="00D92B70"/>
    <w:rsid w:val="00D9464C"/>
    <w:rsid w:val="00D979B0"/>
    <w:rsid w:val="00DA0918"/>
    <w:rsid w:val="00DA2967"/>
    <w:rsid w:val="00DA38FE"/>
    <w:rsid w:val="00DA43A9"/>
    <w:rsid w:val="00DA4676"/>
    <w:rsid w:val="00DA582E"/>
    <w:rsid w:val="00DC466E"/>
    <w:rsid w:val="00DC5A5A"/>
    <w:rsid w:val="00DC60EE"/>
    <w:rsid w:val="00DD33FA"/>
    <w:rsid w:val="00DD3BAF"/>
    <w:rsid w:val="00DD6D4E"/>
    <w:rsid w:val="00DD70C1"/>
    <w:rsid w:val="00DE2AFA"/>
    <w:rsid w:val="00DE4206"/>
    <w:rsid w:val="00DE68A7"/>
    <w:rsid w:val="00DE6BD9"/>
    <w:rsid w:val="00DF4E97"/>
    <w:rsid w:val="00DF661E"/>
    <w:rsid w:val="00E01E44"/>
    <w:rsid w:val="00E02784"/>
    <w:rsid w:val="00E06F2D"/>
    <w:rsid w:val="00E112EC"/>
    <w:rsid w:val="00E16860"/>
    <w:rsid w:val="00E16B6F"/>
    <w:rsid w:val="00E172AB"/>
    <w:rsid w:val="00E17AC3"/>
    <w:rsid w:val="00E203A5"/>
    <w:rsid w:val="00E20C9D"/>
    <w:rsid w:val="00E22DE0"/>
    <w:rsid w:val="00E23F95"/>
    <w:rsid w:val="00E24DCD"/>
    <w:rsid w:val="00E27E4C"/>
    <w:rsid w:val="00E3074A"/>
    <w:rsid w:val="00E338F5"/>
    <w:rsid w:val="00E340A6"/>
    <w:rsid w:val="00E344A8"/>
    <w:rsid w:val="00E45521"/>
    <w:rsid w:val="00E50610"/>
    <w:rsid w:val="00E50944"/>
    <w:rsid w:val="00E51658"/>
    <w:rsid w:val="00E51966"/>
    <w:rsid w:val="00E52C95"/>
    <w:rsid w:val="00E55128"/>
    <w:rsid w:val="00E5542E"/>
    <w:rsid w:val="00E60000"/>
    <w:rsid w:val="00E73FAC"/>
    <w:rsid w:val="00E75019"/>
    <w:rsid w:val="00E76EF5"/>
    <w:rsid w:val="00E861EA"/>
    <w:rsid w:val="00E90836"/>
    <w:rsid w:val="00E966A3"/>
    <w:rsid w:val="00E97A93"/>
    <w:rsid w:val="00EA3F4A"/>
    <w:rsid w:val="00EA4584"/>
    <w:rsid w:val="00EA545B"/>
    <w:rsid w:val="00EA5E1E"/>
    <w:rsid w:val="00EA7123"/>
    <w:rsid w:val="00EB12B7"/>
    <w:rsid w:val="00EB4EEB"/>
    <w:rsid w:val="00EB5C48"/>
    <w:rsid w:val="00EB6C07"/>
    <w:rsid w:val="00EC2BC3"/>
    <w:rsid w:val="00EC380C"/>
    <w:rsid w:val="00EC3811"/>
    <w:rsid w:val="00EC4AF8"/>
    <w:rsid w:val="00EC4C53"/>
    <w:rsid w:val="00EC53AD"/>
    <w:rsid w:val="00EC6651"/>
    <w:rsid w:val="00EC6F1C"/>
    <w:rsid w:val="00ED0334"/>
    <w:rsid w:val="00ED0558"/>
    <w:rsid w:val="00ED4979"/>
    <w:rsid w:val="00ED51D0"/>
    <w:rsid w:val="00ED51F7"/>
    <w:rsid w:val="00ED59C6"/>
    <w:rsid w:val="00EE15A9"/>
    <w:rsid w:val="00EE207A"/>
    <w:rsid w:val="00EE32C3"/>
    <w:rsid w:val="00EE37FC"/>
    <w:rsid w:val="00EE4D8B"/>
    <w:rsid w:val="00EE580F"/>
    <w:rsid w:val="00EE7CB8"/>
    <w:rsid w:val="00EF13E4"/>
    <w:rsid w:val="00EF1FFC"/>
    <w:rsid w:val="00EF24D7"/>
    <w:rsid w:val="00EF6149"/>
    <w:rsid w:val="00F04B73"/>
    <w:rsid w:val="00F10465"/>
    <w:rsid w:val="00F10BF7"/>
    <w:rsid w:val="00F115A4"/>
    <w:rsid w:val="00F147BD"/>
    <w:rsid w:val="00F16864"/>
    <w:rsid w:val="00F173C9"/>
    <w:rsid w:val="00F207EB"/>
    <w:rsid w:val="00F2098A"/>
    <w:rsid w:val="00F20BBA"/>
    <w:rsid w:val="00F211DE"/>
    <w:rsid w:val="00F23970"/>
    <w:rsid w:val="00F25592"/>
    <w:rsid w:val="00F25D6D"/>
    <w:rsid w:val="00F26C05"/>
    <w:rsid w:val="00F34739"/>
    <w:rsid w:val="00F35194"/>
    <w:rsid w:val="00F355C3"/>
    <w:rsid w:val="00F35782"/>
    <w:rsid w:val="00F37E23"/>
    <w:rsid w:val="00F40404"/>
    <w:rsid w:val="00F41187"/>
    <w:rsid w:val="00F46205"/>
    <w:rsid w:val="00F46975"/>
    <w:rsid w:val="00F46BF3"/>
    <w:rsid w:val="00F503DE"/>
    <w:rsid w:val="00F51D56"/>
    <w:rsid w:val="00F525E0"/>
    <w:rsid w:val="00F56A99"/>
    <w:rsid w:val="00F57F6E"/>
    <w:rsid w:val="00F63F99"/>
    <w:rsid w:val="00F64BF1"/>
    <w:rsid w:val="00F65E63"/>
    <w:rsid w:val="00F66868"/>
    <w:rsid w:val="00F672FB"/>
    <w:rsid w:val="00F73967"/>
    <w:rsid w:val="00F74579"/>
    <w:rsid w:val="00F75CB4"/>
    <w:rsid w:val="00F803B7"/>
    <w:rsid w:val="00F82451"/>
    <w:rsid w:val="00F83590"/>
    <w:rsid w:val="00F85869"/>
    <w:rsid w:val="00F85B7E"/>
    <w:rsid w:val="00F86BC9"/>
    <w:rsid w:val="00F87499"/>
    <w:rsid w:val="00F87729"/>
    <w:rsid w:val="00F92A5D"/>
    <w:rsid w:val="00F93070"/>
    <w:rsid w:val="00F95351"/>
    <w:rsid w:val="00FA2949"/>
    <w:rsid w:val="00FA3AD1"/>
    <w:rsid w:val="00FB1741"/>
    <w:rsid w:val="00FB5882"/>
    <w:rsid w:val="00FB7CDE"/>
    <w:rsid w:val="00FC1558"/>
    <w:rsid w:val="00FC4C72"/>
    <w:rsid w:val="00FD01B2"/>
    <w:rsid w:val="00FD1EA7"/>
    <w:rsid w:val="00FD27A1"/>
    <w:rsid w:val="00FD684E"/>
    <w:rsid w:val="00FE33BB"/>
    <w:rsid w:val="00FE3922"/>
    <w:rsid w:val="00FE6B87"/>
    <w:rsid w:val="00FE7DF6"/>
    <w:rsid w:val="00FF595B"/>
    <w:rsid w:val="00FF6D53"/>
    <w:rsid w:val="00FF7B8D"/>
    <w:rsid w:val="010326CE"/>
    <w:rsid w:val="022E14E4"/>
    <w:rsid w:val="026C4C78"/>
    <w:rsid w:val="027D3826"/>
    <w:rsid w:val="02BF7C70"/>
    <w:rsid w:val="04240710"/>
    <w:rsid w:val="05022870"/>
    <w:rsid w:val="057E59EC"/>
    <w:rsid w:val="087D194A"/>
    <w:rsid w:val="093E7BFF"/>
    <w:rsid w:val="098C79F1"/>
    <w:rsid w:val="0A07548C"/>
    <w:rsid w:val="0A7C5757"/>
    <w:rsid w:val="0B156E80"/>
    <w:rsid w:val="0B31120F"/>
    <w:rsid w:val="0B52698B"/>
    <w:rsid w:val="0B895281"/>
    <w:rsid w:val="0CE15919"/>
    <w:rsid w:val="0EC90522"/>
    <w:rsid w:val="0FA07A88"/>
    <w:rsid w:val="10AD49DD"/>
    <w:rsid w:val="10ED7330"/>
    <w:rsid w:val="10F55A75"/>
    <w:rsid w:val="11047249"/>
    <w:rsid w:val="12A541C0"/>
    <w:rsid w:val="13256FEC"/>
    <w:rsid w:val="1353006D"/>
    <w:rsid w:val="135A18A1"/>
    <w:rsid w:val="13D02CDD"/>
    <w:rsid w:val="14265A68"/>
    <w:rsid w:val="145334A3"/>
    <w:rsid w:val="14C15CA6"/>
    <w:rsid w:val="14FA279D"/>
    <w:rsid w:val="15560BD7"/>
    <w:rsid w:val="159577E9"/>
    <w:rsid w:val="16C42980"/>
    <w:rsid w:val="17056CD9"/>
    <w:rsid w:val="172020E3"/>
    <w:rsid w:val="1781094D"/>
    <w:rsid w:val="18471417"/>
    <w:rsid w:val="19196AF5"/>
    <w:rsid w:val="19425019"/>
    <w:rsid w:val="1A467F73"/>
    <w:rsid w:val="1A577CF5"/>
    <w:rsid w:val="1C9309F5"/>
    <w:rsid w:val="1CD60B54"/>
    <w:rsid w:val="1D772363"/>
    <w:rsid w:val="1DCD7369"/>
    <w:rsid w:val="1E7F6AA9"/>
    <w:rsid w:val="1ECE7A58"/>
    <w:rsid w:val="1F551D5B"/>
    <w:rsid w:val="1F852966"/>
    <w:rsid w:val="202C6173"/>
    <w:rsid w:val="20D60C2C"/>
    <w:rsid w:val="21BB59D4"/>
    <w:rsid w:val="21CB1D31"/>
    <w:rsid w:val="21FF5C5F"/>
    <w:rsid w:val="22F42041"/>
    <w:rsid w:val="23E947D1"/>
    <w:rsid w:val="24E71192"/>
    <w:rsid w:val="25096195"/>
    <w:rsid w:val="255E6E20"/>
    <w:rsid w:val="2617527E"/>
    <w:rsid w:val="26F50C3E"/>
    <w:rsid w:val="271A0BB9"/>
    <w:rsid w:val="28AF264E"/>
    <w:rsid w:val="28D25ECD"/>
    <w:rsid w:val="28E306D0"/>
    <w:rsid w:val="293878A6"/>
    <w:rsid w:val="296261A5"/>
    <w:rsid w:val="2A1A2CF6"/>
    <w:rsid w:val="2A954F46"/>
    <w:rsid w:val="2AD97FA6"/>
    <w:rsid w:val="2B195FFA"/>
    <w:rsid w:val="2C0D148E"/>
    <w:rsid w:val="2CA94662"/>
    <w:rsid w:val="2DC77C59"/>
    <w:rsid w:val="2E027318"/>
    <w:rsid w:val="2E335463"/>
    <w:rsid w:val="2E7C3C7A"/>
    <w:rsid w:val="2EAE79FF"/>
    <w:rsid w:val="2ED84F41"/>
    <w:rsid w:val="2F26765A"/>
    <w:rsid w:val="306F6120"/>
    <w:rsid w:val="3235077D"/>
    <w:rsid w:val="324F018F"/>
    <w:rsid w:val="337703B2"/>
    <w:rsid w:val="33BF7186"/>
    <w:rsid w:val="33D86D7A"/>
    <w:rsid w:val="34436453"/>
    <w:rsid w:val="34492E64"/>
    <w:rsid w:val="347E07F8"/>
    <w:rsid w:val="360915B6"/>
    <w:rsid w:val="361C3F47"/>
    <w:rsid w:val="368057A0"/>
    <w:rsid w:val="3733432F"/>
    <w:rsid w:val="374904E8"/>
    <w:rsid w:val="376E6B8A"/>
    <w:rsid w:val="384F0BED"/>
    <w:rsid w:val="38952276"/>
    <w:rsid w:val="38AE5C2A"/>
    <w:rsid w:val="390F24E4"/>
    <w:rsid w:val="3957687B"/>
    <w:rsid w:val="39820BF3"/>
    <w:rsid w:val="398E57A8"/>
    <w:rsid w:val="399357B3"/>
    <w:rsid w:val="3ACA3C7C"/>
    <w:rsid w:val="3B336467"/>
    <w:rsid w:val="3B487302"/>
    <w:rsid w:val="3C100D41"/>
    <w:rsid w:val="3C1D1D3F"/>
    <w:rsid w:val="3C6047C3"/>
    <w:rsid w:val="3C9A01F9"/>
    <w:rsid w:val="3D5F4E69"/>
    <w:rsid w:val="3D6C2DF2"/>
    <w:rsid w:val="3DA4047E"/>
    <w:rsid w:val="3DAD5E59"/>
    <w:rsid w:val="3E6E6D9D"/>
    <w:rsid w:val="3EF55588"/>
    <w:rsid w:val="3F0B5222"/>
    <w:rsid w:val="3FDA1D8D"/>
    <w:rsid w:val="411B6699"/>
    <w:rsid w:val="412A73C3"/>
    <w:rsid w:val="41594AE3"/>
    <w:rsid w:val="415F7C25"/>
    <w:rsid w:val="42527A27"/>
    <w:rsid w:val="42F7792D"/>
    <w:rsid w:val="42FD1911"/>
    <w:rsid w:val="43D11BAA"/>
    <w:rsid w:val="44033CDD"/>
    <w:rsid w:val="44DA31BE"/>
    <w:rsid w:val="453E05F3"/>
    <w:rsid w:val="454D343A"/>
    <w:rsid w:val="4581330B"/>
    <w:rsid w:val="45BB2BA6"/>
    <w:rsid w:val="45DF7B05"/>
    <w:rsid w:val="4622610E"/>
    <w:rsid w:val="46E51C84"/>
    <w:rsid w:val="46F16F9B"/>
    <w:rsid w:val="472673D3"/>
    <w:rsid w:val="47540C87"/>
    <w:rsid w:val="48AF2C1B"/>
    <w:rsid w:val="4A523F3A"/>
    <w:rsid w:val="4A704CCE"/>
    <w:rsid w:val="4B3B0AFC"/>
    <w:rsid w:val="4C6B1F77"/>
    <w:rsid w:val="4C787046"/>
    <w:rsid w:val="4C8B3793"/>
    <w:rsid w:val="4D063D00"/>
    <w:rsid w:val="4D375845"/>
    <w:rsid w:val="4E075A39"/>
    <w:rsid w:val="4EB24449"/>
    <w:rsid w:val="4EBA6A64"/>
    <w:rsid w:val="4EF30C45"/>
    <w:rsid w:val="4F341860"/>
    <w:rsid w:val="4FE74CFB"/>
    <w:rsid w:val="517E3388"/>
    <w:rsid w:val="51EE73EE"/>
    <w:rsid w:val="52A751FB"/>
    <w:rsid w:val="54311892"/>
    <w:rsid w:val="54832DFF"/>
    <w:rsid w:val="55BB2B47"/>
    <w:rsid w:val="566F75FE"/>
    <w:rsid w:val="56D70CDE"/>
    <w:rsid w:val="57E54A83"/>
    <w:rsid w:val="58237031"/>
    <w:rsid w:val="58A146D9"/>
    <w:rsid w:val="58C17906"/>
    <w:rsid w:val="592D38A4"/>
    <w:rsid w:val="59590DB2"/>
    <w:rsid w:val="5B440650"/>
    <w:rsid w:val="5B6A0610"/>
    <w:rsid w:val="5BF756B1"/>
    <w:rsid w:val="5C9D5C1D"/>
    <w:rsid w:val="5CA050B2"/>
    <w:rsid w:val="5E301BC8"/>
    <w:rsid w:val="5E775CD9"/>
    <w:rsid w:val="5E90089D"/>
    <w:rsid w:val="5FAD6143"/>
    <w:rsid w:val="5FD43E72"/>
    <w:rsid w:val="6062588D"/>
    <w:rsid w:val="60FF2451"/>
    <w:rsid w:val="6303572C"/>
    <w:rsid w:val="63090CAA"/>
    <w:rsid w:val="633D3023"/>
    <w:rsid w:val="648C667D"/>
    <w:rsid w:val="64DA4E83"/>
    <w:rsid w:val="65ED3EED"/>
    <w:rsid w:val="67195263"/>
    <w:rsid w:val="67564360"/>
    <w:rsid w:val="67F10653"/>
    <w:rsid w:val="68563DA8"/>
    <w:rsid w:val="68C260C5"/>
    <w:rsid w:val="69B36F0A"/>
    <w:rsid w:val="6A2329E6"/>
    <w:rsid w:val="6AA61EA9"/>
    <w:rsid w:val="6ACC2DB9"/>
    <w:rsid w:val="6B110FFA"/>
    <w:rsid w:val="6B2949B9"/>
    <w:rsid w:val="6B3D6C9F"/>
    <w:rsid w:val="6B8049EE"/>
    <w:rsid w:val="6BAE11B4"/>
    <w:rsid w:val="6D1D7419"/>
    <w:rsid w:val="6D344BAD"/>
    <w:rsid w:val="6E947EEC"/>
    <w:rsid w:val="6EF9676B"/>
    <w:rsid w:val="6F726985"/>
    <w:rsid w:val="71B63FDC"/>
    <w:rsid w:val="71FE0219"/>
    <w:rsid w:val="72446082"/>
    <w:rsid w:val="73675279"/>
    <w:rsid w:val="73977A34"/>
    <w:rsid w:val="73B2744C"/>
    <w:rsid w:val="73BC6611"/>
    <w:rsid w:val="744F03BE"/>
    <w:rsid w:val="747D778A"/>
    <w:rsid w:val="756444D7"/>
    <w:rsid w:val="757411C2"/>
    <w:rsid w:val="75881036"/>
    <w:rsid w:val="760A3FD7"/>
    <w:rsid w:val="764947AA"/>
    <w:rsid w:val="77F97CBB"/>
    <w:rsid w:val="78994FEB"/>
    <w:rsid w:val="78E14890"/>
    <w:rsid w:val="7941465E"/>
    <w:rsid w:val="795A0D9E"/>
    <w:rsid w:val="79623355"/>
    <w:rsid w:val="7A517966"/>
    <w:rsid w:val="7AB212ED"/>
    <w:rsid w:val="7B271162"/>
    <w:rsid w:val="7B2D077D"/>
    <w:rsid w:val="7D8F1AA7"/>
    <w:rsid w:val="7EF41074"/>
    <w:rsid w:val="7F0A38F9"/>
    <w:rsid w:val="7F2D2F0B"/>
    <w:rsid w:val="7F312A87"/>
    <w:rsid w:val="7FD70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nhideWhenUsed="0" w:uiPriority="0" w:semiHidden="0" w:name="footnote text"/>
    <w:lsdException w:qFormat="1"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99"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0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9"/>
    <w:qFormat/>
    <w:uiPriority w:val="0"/>
    <w:pPr>
      <w:keepNext/>
      <w:keepLines/>
      <w:spacing w:before="260" w:after="260" w:line="416" w:lineRule="auto"/>
      <w:outlineLvl w:val="1"/>
    </w:pPr>
    <w:rPr>
      <w:rFonts w:ascii="Arial" w:hAnsi="Arial" w:eastAsia="黑体"/>
      <w:b/>
      <w:bCs/>
      <w:sz w:val="32"/>
      <w:szCs w:val="32"/>
    </w:rPr>
  </w:style>
  <w:style w:type="paragraph" w:styleId="5">
    <w:name w:val="heading 3"/>
    <w:basedOn w:val="1"/>
    <w:next w:val="1"/>
    <w:link w:val="110"/>
    <w:qFormat/>
    <w:uiPriority w:val="0"/>
    <w:pPr>
      <w:keepNext/>
      <w:keepLines/>
      <w:spacing w:before="260" w:after="260" w:line="416" w:lineRule="auto"/>
      <w:outlineLvl w:val="2"/>
    </w:pPr>
    <w:rPr>
      <w:b/>
      <w:bCs/>
      <w:sz w:val="32"/>
      <w:szCs w:val="32"/>
    </w:rPr>
  </w:style>
  <w:style w:type="paragraph" w:styleId="6">
    <w:name w:val="heading 4"/>
    <w:basedOn w:val="1"/>
    <w:next w:val="1"/>
    <w:link w:val="11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1"/>
    <w:link w:val="112"/>
    <w:qFormat/>
    <w:uiPriority w:val="0"/>
    <w:pPr>
      <w:keepNext/>
      <w:keepLines/>
      <w:spacing w:before="280" w:after="290" w:line="376" w:lineRule="auto"/>
      <w:outlineLvl w:val="4"/>
    </w:pPr>
    <w:rPr>
      <w:b/>
      <w:bCs/>
      <w:sz w:val="28"/>
      <w:szCs w:val="28"/>
    </w:rPr>
  </w:style>
  <w:style w:type="paragraph" w:styleId="8">
    <w:name w:val="heading 6"/>
    <w:basedOn w:val="1"/>
    <w:next w:val="1"/>
    <w:link w:val="113"/>
    <w:qFormat/>
    <w:uiPriority w:val="0"/>
    <w:pPr>
      <w:keepNext/>
      <w:keepLines/>
      <w:spacing w:before="240" w:after="64" w:line="320" w:lineRule="auto"/>
      <w:outlineLvl w:val="5"/>
    </w:pPr>
    <w:rPr>
      <w:rFonts w:ascii="Arial" w:hAnsi="Arial" w:eastAsia="黑体"/>
      <w:b/>
      <w:bCs/>
      <w:sz w:val="24"/>
    </w:rPr>
  </w:style>
  <w:style w:type="paragraph" w:styleId="9">
    <w:name w:val="heading 7"/>
    <w:basedOn w:val="1"/>
    <w:next w:val="1"/>
    <w:link w:val="114"/>
    <w:qFormat/>
    <w:uiPriority w:val="0"/>
    <w:pPr>
      <w:keepNext/>
      <w:keepLines/>
      <w:spacing w:before="240" w:after="64" w:line="320" w:lineRule="auto"/>
      <w:outlineLvl w:val="6"/>
    </w:pPr>
    <w:rPr>
      <w:b/>
      <w:bCs/>
      <w:sz w:val="24"/>
    </w:rPr>
  </w:style>
  <w:style w:type="paragraph" w:styleId="10">
    <w:name w:val="heading 8"/>
    <w:basedOn w:val="1"/>
    <w:next w:val="1"/>
    <w:link w:val="115"/>
    <w:qFormat/>
    <w:uiPriority w:val="0"/>
    <w:pPr>
      <w:keepNext/>
      <w:keepLines/>
      <w:spacing w:before="240" w:after="64" w:line="320" w:lineRule="auto"/>
      <w:outlineLvl w:val="7"/>
    </w:pPr>
    <w:rPr>
      <w:rFonts w:ascii="Arial" w:hAnsi="Arial" w:eastAsia="黑体"/>
      <w:sz w:val="24"/>
    </w:rPr>
  </w:style>
  <w:style w:type="paragraph" w:styleId="11">
    <w:name w:val="heading 9"/>
    <w:basedOn w:val="1"/>
    <w:next w:val="1"/>
    <w:link w:val="116"/>
    <w:qFormat/>
    <w:uiPriority w:val="0"/>
    <w:pPr>
      <w:keepNext/>
      <w:keepLines/>
      <w:spacing w:before="240" w:after="64" w:line="320" w:lineRule="auto"/>
      <w:outlineLvl w:val="8"/>
    </w:pPr>
    <w:rPr>
      <w:rFonts w:ascii="Arial" w:hAnsi="Arial" w:eastAsia="黑体"/>
      <w:szCs w:val="21"/>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54"/>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ind w:left="2520" w:leftChars="1200"/>
    </w:pPr>
  </w:style>
  <w:style w:type="paragraph" w:styleId="14">
    <w:name w:val="List Number 2"/>
    <w:basedOn w:val="1"/>
    <w:qFormat/>
    <w:uiPriority w:val="0"/>
    <w:pPr>
      <w:tabs>
        <w:tab w:val="left" w:pos="675"/>
        <w:tab w:val="left" w:pos="780"/>
      </w:tabs>
      <w:ind w:left="675" w:hanging="360"/>
    </w:pPr>
  </w:style>
  <w:style w:type="paragraph" w:styleId="15">
    <w:name w:val="table of authorities"/>
    <w:basedOn w:val="1"/>
    <w:next w:val="1"/>
    <w:qFormat/>
    <w:uiPriority w:val="0"/>
    <w:pPr>
      <w:ind w:left="420" w:leftChars="200"/>
    </w:pPr>
  </w:style>
  <w:style w:type="paragraph" w:styleId="16">
    <w:name w:val="Note Heading"/>
    <w:basedOn w:val="1"/>
    <w:next w:val="1"/>
    <w:link w:val="166"/>
    <w:qFormat/>
    <w:uiPriority w:val="0"/>
    <w:pPr>
      <w:jc w:val="center"/>
    </w:pPr>
  </w:style>
  <w:style w:type="paragraph" w:styleId="17">
    <w:name w:val="List Bullet 4"/>
    <w:basedOn w:val="1"/>
    <w:qFormat/>
    <w:uiPriority w:val="0"/>
    <w:pPr>
      <w:tabs>
        <w:tab w:val="left" w:pos="750"/>
        <w:tab w:val="left" w:pos="1620"/>
      </w:tabs>
      <w:ind w:left="750" w:hanging="750"/>
    </w:pPr>
  </w:style>
  <w:style w:type="paragraph" w:styleId="18">
    <w:name w:val="index 8"/>
    <w:basedOn w:val="1"/>
    <w:next w:val="1"/>
    <w:qFormat/>
    <w:uiPriority w:val="0"/>
    <w:pPr>
      <w:ind w:left="1400" w:leftChars="1400"/>
    </w:pPr>
  </w:style>
  <w:style w:type="paragraph" w:styleId="19">
    <w:name w:val="E-mail Signature"/>
    <w:basedOn w:val="1"/>
    <w:link w:val="163"/>
    <w:qFormat/>
    <w:uiPriority w:val="0"/>
  </w:style>
  <w:style w:type="paragraph" w:styleId="20">
    <w:name w:val="List Number"/>
    <w:basedOn w:val="1"/>
    <w:qFormat/>
    <w:uiPriority w:val="0"/>
    <w:pPr>
      <w:tabs>
        <w:tab w:val="left" w:pos="360"/>
        <w:tab w:val="left" w:pos="720"/>
      </w:tabs>
      <w:ind w:left="720" w:hanging="720"/>
    </w:pPr>
  </w:style>
  <w:style w:type="paragraph" w:styleId="21">
    <w:name w:val="Normal Indent"/>
    <w:basedOn w:val="1"/>
    <w:unhideWhenUsed/>
    <w:qFormat/>
    <w:uiPriority w:val="0"/>
    <w:pPr>
      <w:ind w:firstLine="420" w:firstLineChars="200"/>
    </w:pPr>
  </w:style>
  <w:style w:type="paragraph" w:styleId="22">
    <w:name w:val="caption"/>
    <w:basedOn w:val="1"/>
    <w:next w:val="1"/>
    <w:qFormat/>
    <w:uiPriority w:val="0"/>
    <w:pPr>
      <w:jc w:val="center"/>
    </w:pPr>
    <w:rPr>
      <w:rFonts w:ascii="Arial" w:hAnsi="Arial" w:eastAsia="黑体" w:cs="Arial"/>
      <w:sz w:val="24"/>
      <w:szCs w:val="20"/>
    </w:rPr>
  </w:style>
  <w:style w:type="paragraph" w:styleId="23">
    <w:name w:val="index 5"/>
    <w:basedOn w:val="1"/>
    <w:next w:val="1"/>
    <w:qFormat/>
    <w:uiPriority w:val="0"/>
    <w:pPr>
      <w:ind w:left="800" w:leftChars="800"/>
    </w:pPr>
  </w:style>
  <w:style w:type="paragraph" w:styleId="24">
    <w:name w:val="List Bullet"/>
    <w:basedOn w:val="1"/>
    <w:qFormat/>
    <w:uiPriority w:val="0"/>
    <w:pPr>
      <w:tabs>
        <w:tab w:val="left" w:pos="360"/>
        <w:tab w:val="left" w:pos="720"/>
      </w:tabs>
      <w:ind w:left="720" w:hanging="720"/>
    </w:pPr>
  </w:style>
  <w:style w:type="paragraph" w:styleId="25">
    <w:name w:val="envelope address"/>
    <w:basedOn w:val="1"/>
    <w:qFormat/>
    <w:uiPriority w:val="0"/>
    <w:pPr>
      <w:snapToGrid w:val="0"/>
      <w:ind w:left="100" w:leftChars="1400"/>
    </w:pPr>
    <w:rPr>
      <w:rFonts w:ascii="Arial" w:hAnsi="Arial" w:cs="Arial"/>
      <w:sz w:val="24"/>
    </w:rPr>
  </w:style>
  <w:style w:type="paragraph" w:styleId="26">
    <w:name w:val="Document Map"/>
    <w:basedOn w:val="1"/>
    <w:link w:val="159"/>
    <w:qFormat/>
    <w:uiPriority w:val="0"/>
    <w:pPr>
      <w:shd w:val="clear" w:color="auto" w:fill="000080"/>
    </w:pPr>
  </w:style>
  <w:style w:type="paragraph" w:styleId="27">
    <w:name w:val="toa heading"/>
    <w:basedOn w:val="1"/>
    <w:next w:val="1"/>
    <w:qFormat/>
    <w:uiPriority w:val="0"/>
    <w:pPr>
      <w:spacing w:before="120"/>
    </w:pPr>
    <w:rPr>
      <w:rFonts w:ascii="Arial" w:hAnsi="Arial" w:cs="Arial"/>
      <w:sz w:val="24"/>
    </w:rPr>
  </w:style>
  <w:style w:type="paragraph" w:styleId="28">
    <w:name w:val="annotation text"/>
    <w:basedOn w:val="1"/>
    <w:link w:val="122"/>
    <w:unhideWhenUsed/>
    <w:qFormat/>
    <w:uiPriority w:val="0"/>
    <w:pPr>
      <w:jc w:val="left"/>
    </w:pPr>
    <w:rPr>
      <w:szCs w:val="21"/>
    </w:rPr>
  </w:style>
  <w:style w:type="paragraph" w:styleId="29">
    <w:name w:val="index 6"/>
    <w:basedOn w:val="1"/>
    <w:next w:val="1"/>
    <w:qFormat/>
    <w:uiPriority w:val="0"/>
    <w:pPr>
      <w:ind w:left="1000" w:leftChars="1000"/>
    </w:pPr>
  </w:style>
  <w:style w:type="paragraph" w:styleId="30">
    <w:name w:val="Salutation"/>
    <w:basedOn w:val="1"/>
    <w:next w:val="1"/>
    <w:link w:val="168"/>
    <w:qFormat/>
    <w:uiPriority w:val="0"/>
  </w:style>
  <w:style w:type="paragraph" w:styleId="31">
    <w:name w:val="Body Text 3"/>
    <w:basedOn w:val="1"/>
    <w:link w:val="160"/>
    <w:qFormat/>
    <w:uiPriority w:val="0"/>
    <w:pPr>
      <w:spacing w:after="120"/>
    </w:pPr>
    <w:rPr>
      <w:sz w:val="16"/>
      <w:szCs w:val="16"/>
    </w:rPr>
  </w:style>
  <w:style w:type="paragraph" w:styleId="32">
    <w:name w:val="Closing"/>
    <w:basedOn w:val="1"/>
    <w:link w:val="170"/>
    <w:qFormat/>
    <w:uiPriority w:val="0"/>
    <w:pPr>
      <w:ind w:left="100" w:leftChars="2100"/>
    </w:pPr>
  </w:style>
  <w:style w:type="paragraph" w:styleId="33">
    <w:name w:val="List Bullet 3"/>
    <w:basedOn w:val="1"/>
    <w:qFormat/>
    <w:uiPriority w:val="0"/>
    <w:pPr>
      <w:tabs>
        <w:tab w:val="left" w:pos="480"/>
        <w:tab w:val="left" w:pos="1200"/>
      </w:tabs>
      <w:ind w:left="480" w:hanging="480"/>
    </w:pPr>
  </w:style>
  <w:style w:type="paragraph" w:styleId="34">
    <w:name w:val="Body Text"/>
    <w:basedOn w:val="1"/>
    <w:link w:val="155"/>
    <w:qFormat/>
    <w:uiPriority w:val="0"/>
    <w:pPr>
      <w:spacing w:after="120"/>
    </w:pPr>
  </w:style>
  <w:style w:type="paragraph" w:styleId="35">
    <w:name w:val="Body Text Indent"/>
    <w:basedOn w:val="1"/>
    <w:link w:val="157"/>
    <w:qFormat/>
    <w:uiPriority w:val="0"/>
    <w:pPr>
      <w:spacing w:after="120"/>
      <w:ind w:left="420" w:leftChars="200"/>
    </w:pPr>
  </w:style>
  <w:style w:type="paragraph" w:styleId="36">
    <w:name w:val="List Number 3"/>
    <w:basedOn w:val="1"/>
    <w:qFormat/>
    <w:uiPriority w:val="0"/>
    <w:pPr>
      <w:tabs>
        <w:tab w:val="left" w:pos="360"/>
        <w:tab w:val="left" w:pos="1200"/>
      </w:tabs>
      <w:ind w:left="360" w:hanging="360"/>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tabs>
        <w:tab w:val="left" w:pos="720"/>
        <w:tab w:val="left" w:pos="780"/>
      </w:tabs>
      <w:ind w:left="720" w:hanging="360"/>
    </w:pPr>
  </w:style>
  <w:style w:type="paragraph" w:styleId="41">
    <w:name w:val="HTML Address"/>
    <w:basedOn w:val="1"/>
    <w:link w:val="161"/>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tabs>
        <w:tab w:val="right" w:leader="dot" w:pos="8296"/>
      </w:tabs>
      <w:spacing w:line="312" w:lineRule="auto"/>
      <w:ind w:left="400" w:leftChars="400"/>
    </w:pPr>
    <w:rPr>
      <w:sz w:val="24"/>
    </w:rPr>
  </w:style>
  <w:style w:type="paragraph" w:styleId="45">
    <w:name w:val="Plain Text"/>
    <w:basedOn w:val="1"/>
    <w:link w:val="133"/>
    <w:qFormat/>
    <w:uiPriority w:val="0"/>
    <w:rPr>
      <w:rFonts w:ascii="宋体" w:hAnsi="Courier New" w:cs="Courier New"/>
      <w:szCs w:val="21"/>
    </w:rPr>
  </w:style>
  <w:style w:type="paragraph" w:styleId="46">
    <w:name w:val="List Bullet 5"/>
    <w:basedOn w:val="1"/>
    <w:qFormat/>
    <w:uiPriority w:val="0"/>
    <w:pPr>
      <w:tabs>
        <w:tab w:val="left" w:pos="840"/>
        <w:tab w:val="left" w:pos="2040"/>
      </w:tabs>
      <w:ind w:left="840" w:hanging="420"/>
    </w:pPr>
  </w:style>
  <w:style w:type="paragraph" w:styleId="47">
    <w:name w:val="List Number 4"/>
    <w:basedOn w:val="1"/>
    <w:qFormat/>
    <w:uiPriority w:val="0"/>
    <w:pPr>
      <w:tabs>
        <w:tab w:val="left" w:pos="960"/>
        <w:tab w:val="left" w:pos="1620"/>
      </w:tabs>
      <w:ind w:left="960" w:hanging="720"/>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31"/>
    <w:qFormat/>
    <w:uiPriority w:val="0"/>
    <w:pPr>
      <w:ind w:left="100" w:leftChars="2500"/>
    </w:pPr>
  </w:style>
  <w:style w:type="paragraph" w:styleId="51">
    <w:name w:val="Body Text Indent 2"/>
    <w:basedOn w:val="1"/>
    <w:link w:val="171"/>
    <w:qFormat/>
    <w:uiPriority w:val="0"/>
    <w:pPr>
      <w:spacing w:after="120" w:line="480" w:lineRule="auto"/>
      <w:ind w:left="420" w:leftChars="200"/>
    </w:pPr>
  </w:style>
  <w:style w:type="paragraph" w:styleId="52">
    <w:name w:val="endnote text"/>
    <w:basedOn w:val="1"/>
    <w:link w:val="169"/>
    <w:qFormat/>
    <w:uiPriority w:val="0"/>
    <w:pPr>
      <w:snapToGrid w:val="0"/>
      <w:jc w:val="left"/>
    </w:pPr>
  </w:style>
  <w:style w:type="paragraph" w:styleId="53">
    <w:name w:val="List Continue 5"/>
    <w:basedOn w:val="1"/>
    <w:qFormat/>
    <w:uiPriority w:val="0"/>
    <w:pPr>
      <w:spacing w:after="120"/>
      <w:ind w:left="2100" w:leftChars="1000"/>
    </w:pPr>
  </w:style>
  <w:style w:type="paragraph" w:styleId="54">
    <w:name w:val="Balloon Text"/>
    <w:basedOn w:val="1"/>
    <w:link w:val="135"/>
    <w:qFormat/>
    <w:uiPriority w:val="0"/>
    <w:rPr>
      <w:sz w:val="18"/>
      <w:szCs w:val="18"/>
    </w:rPr>
  </w:style>
  <w:style w:type="paragraph" w:styleId="55">
    <w:name w:val="footer"/>
    <w:basedOn w:val="1"/>
    <w:link w:val="124"/>
    <w:qFormat/>
    <w:uiPriority w:val="99"/>
    <w:pPr>
      <w:tabs>
        <w:tab w:val="center" w:pos="4153"/>
        <w:tab w:val="right" w:pos="8306"/>
      </w:tabs>
      <w:snapToGrid w:val="0"/>
      <w:jc w:val="left"/>
    </w:pPr>
    <w:rPr>
      <w:sz w:val="18"/>
    </w:rPr>
  </w:style>
  <w:style w:type="paragraph" w:styleId="56">
    <w:name w:val="envelope return"/>
    <w:basedOn w:val="1"/>
    <w:qFormat/>
    <w:uiPriority w:val="0"/>
    <w:pPr>
      <w:snapToGrid w:val="0"/>
    </w:pPr>
    <w:rPr>
      <w:rFonts w:ascii="Arial" w:hAnsi="Arial" w:cs="Arial"/>
    </w:rPr>
  </w:style>
  <w:style w:type="paragraph" w:styleId="57">
    <w:name w:val="header"/>
    <w:basedOn w:val="1"/>
    <w:link w:val="12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64"/>
    <w:qFormat/>
    <w:uiPriority w:val="0"/>
    <w:pPr>
      <w:ind w:left="100" w:leftChars="2100"/>
    </w:pPr>
  </w:style>
  <w:style w:type="paragraph" w:styleId="59">
    <w:name w:val="toc 1"/>
    <w:basedOn w:val="1"/>
    <w:next w:val="1"/>
    <w:qFormat/>
    <w:uiPriority w:val="0"/>
    <w:pPr>
      <w:tabs>
        <w:tab w:val="right" w:leader="dot" w:pos="8296"/>
      </w:tabs>
      <w:spacing w:line="312" w:lineRule="auto"/>
    </w:pPr>
    <w:rPr>
      <w:sz w:val="24"/>
    </w:rPr>
  </w:style>
  <w:style w:type="paragraph" w:styleId="60">
    <w:name w:val="List Continue 4"/>
    <w:basedOn w:val="1"/>
    <w:qFormat/>
    <w:uiPriority w:val="0"/>
    <w:pPr>
      <w:spacing w:after="120"/>
      <w:ind w:left="1680" w:leftChars="800"/>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Arial" w:hAnsi="Arial" w:cs="Arial"/>
      <w:b/>
      <w:bCs/>
    </w:rPr>
  </w:style>
  <w:style w:type="paragraph" w:styleId="63">
    <w:name w:val="index 1"/>
    <w:basedOn w:val="1"/>
    <w:next w:val="1"/>
    <w:qFormat/>
    <w:uiPriority w:val="0"/>
  </w:style>
  <w:style w:type="paragraph" w:styleId="64">
    <w:name w:val="Subtitle"/>
    <w:basedOn w:val="1"/>
    <w:link w:val="172"/>
    <w:qFormat/>
    <w:uiPriority w:val="0"/>
    <w:pPr>
      <w:spacing w:before="240" w:after="60" w:line="312" w:lineRule="auto"/>
      <w:jc w:val="center"/>
      <w:outlineLvl w:val="1"/>
    </w:pPr>
    <w:rPr>
      <w:rFonts w:ascii="Arial" w:hAnsi="Arial" w:cs="Arial"/>
      <w:b/>
      <w:bCs/>
      <w:kern w:val="28"/>
      <w:sz w:val="32"/>
      <w:szCs w:val="32"/>
    </w:rPr>
  </w:style>
  <w:style w:type="paragraph" w:styleId="65">
    <w:name w:val="List Number 5"/>
    <w:basedOn w:val="1"/>
    <w:qFormat/>
    <w:uiPriority w:val="0"/>
    <w:pPr>
      <w:tabs>
        <w:tab w:val="left" w:pos="2040"/>
      </w:tabs>
    </w:pPr>
  </w:style>
  <w:style w:type="paragraph" w:styleId="66">
    <w:name w:val="List"/>
    <w:basedOn w:val="1"/>
    <w:qFormat/>
    <w:uiPriority w:val="0"/>
    <w:pPr>
      <w:ind w:left="200" w:hanging="200" w:hangingChars="200"/>
    </w:pPr>
  </w:style>
  <w:style w:type="paragraph" w:styleId="67">
    <w:name w:val="footnote text"/>
    <w:basedOn w:val="1"/>
    <w:link w:val="165"/>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pPr>
  </w:style>
  <w:style w:type="paragraph" w:styleId="70">
    <w:name w:val="Body Text Indent 3"/>
    <w:basedOn w:val="1"/>
    <w:link w:val="162"/>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0"/>
    <w:pPr>
      <w:tabs>
        <w:tab w:val="right" w:leader="dot" w:pos="8296"/>
      </w:tabs>
      <w:spacing w:line="312" w:lineRule="auto"/>
      <w:ind w:left="420" w:leftChars="200"/>
    </w:pPr>
    <w:rPr>
      <w:sz w:val="24"/>
    </w:rPr>
  </w:style>
  <w:style w:type="paragraph" w:styleId="75">
    <w:name w:val="toc 9"/>
    <w:basedOn w:val="1"/>
    <w:next w:val="1"/>
    <w:qFormat/>
    <w:uiPriority w:val="0"/>
    <w:pPr>
      <w:ind w:left="3360" w:leftChars="1600"/>
    </w:pPr>
  </w:style>
  <w:style w:type="paragraph" w:styleId="76">
    <w:name w:val="Body Text 2"/>
    <w:basedOn w:val="1"/>
    <w:link w:val="167"/>
    <w:qFormat/>
    <w:uiPriority w:val="0"/>
    <w:pPr>
      <w:spacing w:after="120" w:line="480" w:lineRule="auto"/>
    </w:pPr>
  </w:style>
  <w:style w:type="paragraph" w:styleId="77">
    <w:name w:val="List 4"/>
    <w:basedOn w:val="1"/>
    <w:qFormat/>
    <w:uiPriority w:val="0"/>
    <w:pPr>
      <w:ind w:left="100" w:leftChars="600" w:hanging="200" w:hangingChars="200"/>
    </w:pPr>
  </w:style>
  <w:style w:type="paragraph" w:styleId="78">
    <w:name w:val="List Continue 2"/>
    <w:basedOn w:val="1"/>
    <w:qFormat/>
    <w:uiPriority w:val="0"/>
    <w:pPr>
      <w:spacing w:after="120"/>
      <w:ind w:left="840" w:leftChars="400"/>
    </w:pPr>
  </w:style>
  <w:style w:type="paragraph" w:styleId="79">
    <w:name w:val="Message Header"/>
    <w:basedOn w:val="1"/>
    <w:link w:val="17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80">
    <w:name w:val="HTML Preformatted"/>
    <w:basedOn w:val="1"/>
    <w:link w:val="132"/>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8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paragraph" w:styleId="82">
    <w:name w:val="List Continue 3"/>
    <w:basedOn w:val="1"/>
    <w:qFormat/>
    <w:uiPriority w:val="0"/>
    <w:pPr>
      <w:spacing w:after="120"/>
      <w:ind w:left="1260" w:leftChars="600"/>
    </w:pPr>
  </w:style>
  <w:style w:type="paragraph" w:styleId="83">
    <w:name w:val="index 2"/>
    <w:basedOn w:val="1"/>
    <w:next w:val="1"/>
    <w:qFormat/>
    <w:uiPriority w:val="0"/>
    <w:pPr>
      <w:ind w:left="200" w:leftChars="200"/>
    </w:pPr>
  </w:style>
  <w:style w:type="paragraph" w:styleId="84">
    <w:name w:val="Title"/>
    <w:basedOn w:val="1"/>
    <w:link w:val="127"/>
    <w:qFormat/>
    <w:uiPriority w:val="0"/>
    <w:pPr>
      <w:spacing w:before="240" w:after="60"/>
      <w:jc w:val="center"/>
      <w:outlineLvl w:val="0"/>
    </w:pPr>
    <w:rPr>
      <w:rFonts w:ascii="Arial" w:hAnsi="Arial" w:cs="Arial"/>
      <w:b/>
      <w:bCs/>
      <w:sz w:val="32"/>
      <w:szCs w:val="32"/>
    </w:rPr>
  </w:style>
  <w:style w:type="paragraph" w:styleId="85">
    <w:name w:val="annotation subject"/>
    <w:basedOn w:val="28"/>
    <w:next w:val="28"/>
    <w:link w:val="134"/>
    <w:qFormat/>
    <w:uiPriority w:val="0"/>
    <w:rPr>
      <w:b/>
      <w:bCs/>
      <w:szCs w:val="24"/>
    </w:rPr>
  </w:style>
  <w:style w:type="paragraph" w:styleId="86">
    <w:name w:val="Body Text First Indent"/>
    <w:basedOn w:val="34"/>
    <w:link w:val="156"/>
    <w:qFormat/>
    <w:uiPriority w:val="0"/>
    <w:pPr>
      <w:ind w:firstLine="420" w:firstLineChars="100"/>
    </w:pPr>
  </w:style>
  <w:style w:type="paragraph" w:styleId="87">
    <w:name w:val="Body Text First Indent 2"/>
    <w:basedOn w:val="35"/>
    <w:link w:val="158"/>
    <w:qFormat/>
    <w:uiPriority w:val="0"/>
    <w:pPr>
      <w:ind w:firstLine="420" w:firstLineChars="200"/>
    </w:pPr>
  </w:style>
  <w:style w:type="table" w:styleId="89">
    <w:name w:val="Table Grid"/>
    <w:basedOn w:val="8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basedOn w:val="90"/>
    <w:qFormat/>
    <w:uiPriority w:val="22"/>
    <w:rPr>
      <w:b/>
      <w:bCs/>
    </w:rPr>
  </w:style>
  <w:style w:type="character" w:styleId="92">
    <w:name w:val="endnote reference"/>
    <w:qFormat/>
    <w:uiPriority w:val="0"/>
    <w:rPr>
      <w:vertAlign w:val="superscript"/>
    </w:rPr>
  </w:style>
  <w:style w:type="character" w:styleId="93">
    <w:name w:val="page number"/>
    <w:basedOn w:val="90"/>
    <w:unhideWhenUsed/>
    <w:qFormat/>
    <w:uiPriority w:val="0"/>
    <w:rPr>
      <w:rFonts w:ascii="Times New Roman" w:hAnsi="Times New Roman" w:eastAsia="宋体"/>
      <w:sz w:val="18"/>
    </w:rPr>
  </w:style>
  <w:style w:type="character" w:styleId="94">
    <w:name w:val="FollowedHyperlink"/>
    <w:basedOn w:val="90"/>
    <w:qFormat/>
    <w:uiPriority w:val="99"/>
    <w:rPr>
      <w:color w:val="800080" w:themeColor="followedHyperlink"/>
      <w:u w:val="single"/>
      <w14:textFill>
        <w14:solidFill>
          <w14:schemeClr w14:val="folHlink"/>
        </w14:solidFill>
      </w14:textFill>
    </w:rPr>
  </w:style>
  <w:style w:type="character" w:styleId="95">
    <w:name w:val="Emphasis"/>
    <w:qFormat/>
    <w:uiPriority w:val="20"/>
    <w:rPr>
      <w:i/>
      <w:iCs/>
    </w:rPr>
  </w:style>
  <w:style w:type="character" w:styleId="96">
    <w:name w:val="line number"/>
    <w:basedOn w:val="90"/>
    <w:qFormat/>
    <w:uiPriority w:val="0"/>
  </w:style>
  <w:style w:type="character" w:styleId="97">
    <w:name w:val="HTML Definition"/>
    <w:qFormat/>
    <w:uiPriority w:val="0"/>
    <w:rPr>
      <w:i/>
      <w:iCs/>
    </w:rPr>
  </w:style>
  <w:style w:type="character" w:styleId="98">
    <w:name w:val="HTML Typewriter"/>
    <w:qFormat/>
    <w:uiPriority w:val="0"/>
    <w:rPr>
      <w:rFonts w:ascii="Courier New" w:hAnsi="Courier New" w:cs="Courier New"/>
      <w:sz w:val="20"/>
      <w:szCs w:val="20"/>
    </w:rPr>
  </w:style>
  <w:style w:type="character" w:styleId="99">
    <w:name w:val="HTML Acronym"/>
    <w:basedOn w:val="90"/>
    <w:qFormat/>
    <w:uiPriority w:val="0"/>
  </w:style>
  <w:style w:type="character" w:styleId="100">
    <w:name w:val="HTML Variable"/>
    <w:qFormat/>
    <w:uiPriority w:val="0"/>
    <w:rPr>
      <w:i/>
      <w:iCs/>
    </w:rPr>
  </w:style>
  <w:style w:type="character" w:styleId="101">
    <w:name w:val="Hyperlink"/>
    <w:basedOn w:val="90"/>
    <w:qFormat/>
    <w:uiPriority w:val="99"/>
    <w:rPr>
      <w:color w:val="0000FF"/>
      <w:u w:val="single"/>
    </w:rPr>
  </w:style>
  <w:style w:type="character" w:styleId="102">
    <w:name w:val="HTML Code"/>
    <w:qFormat/>
    <w:uiPriority w:val="0"/>
    <w:rPr>
      <w:rFonts w:ascii="Courier New" w:hAnsi="Courier New" w:cs="Courier New"/>
      <w:sz w:val="20"/>
      <w:szCs w:val="20"/>
    </w:rPr>
  </w:style>
  <w:style w:type="character" w:styleId="103">
    <w:name w:val="annotation reference"/>
    <w:basedOn w:val="90"/>
    <w:qFormat/>
    <w:uiPriority w:val="0"/>
    <w:rPr>
      <w:sz w:val="21"/>
      <w:szCs w:val="21"/>
    </w:rPr>
  </w:style>
  <w:style w:type="character" w:styleId="104">
    <w:name w:val="HTML Cite"/>
    <w:qFormat/>
    <w:uiPriority w:val="0"/>
    <w:rPr>
      <w:i/>
      <w:iCs/>
    </w:rPr>
  </w:style>
  <w:style w:type="character" w:styleId="105">
    <w:name w:val="footnote reference"/>
    <w:qFormat/>
    <w:uiPriority w:val="0"/>
    <w:rPr>
      <w:vertAlign w:val="superscript"/>
    </w:rPr>
  </w:style>
  <w:style w:type="character" w:styleId="106">
    <w:name w:val="HTML Keyboard"/>
    <w:qFormat/>
    <w:uiPriority w:val="0"/>
    <w:rPr>
      <w:rFonts w:ascii="Courier New" w:hAnsi="Courier New" w:cs="Courier New"/>
      <w:sz w:val="20"/>
      <w:szCs w:val="20"/>
    </w:rPr>
  </w:style>
  <w:style w:type="character" w:styleId="107">
    <w:name w:val="HTML Sample"/>
    <w:qFormat/>
    <w:uiPriority w:val="0"/>
    <w:rPr>
      <w:rFonts w:ascii="Courier New" w:hAnsi="Courier New" w:cs="Courier New"/>
    </w:rPr>
  </w:style>
  <w:style w:type="character" w:customStyle="1" w:styleId="108">
    <w:name w:val="标题 1 字符"/>
    <w:basedOn w:val="90"/>
    <w:link w:val="3"/>
    <w:qFormat/>
    <w:uiPriority w:val="0"/>
    <w:rPr>
      <w:b/>
      <w:bCs/>
      <w:kern w:val="44"/>
      <w:sz w:val="44"/>
      <w:szCs w:val="44"/>
    </w:rPr>
  </w:style>
  <w:style w:type="character" w:customStyle="1" w:styleId="109">
    <w:name w:val="标题 2 字符"/>
    <w:basedOn w:val="90"/>
    <w:link w:val="4"/>
    <w:qFormat/>
    <w:uiPriority w:val="0"/>
    <w:rPr>
      <w:rFonts w:ascii="Arial" w:hAnsi="Arial" w:eastAsia="黑体"/>
      <w:b/>
      <w:bCs/>
      <w:kern w:val="2"/>
      <w:sz w:val="32"/>
      <w:szCs w:val="32"/>
    </w:rPr>
  </w:style>
  <w:style w:type="character" w:customStyle="1" w:styleId="110">
    <w:name w:val="标题 3 字符"/>
    <w:basedOn w:val="90"/>
    <w:link w:val="5"/>
    <w:qFormat/>
    <w:uiPriority w:val="0"/>
    <w:rPr>
      <w:b/>
      <w:bCs/>
      <w:kern w:val="2"/>
      <w:sz w:val="32"/>
      <w:szCs w:val="32"/>
    </w:rPr>
  </w:style>
  <w:style w:type="character" w:customStyle="1" w:styleId="111">
    <w:name w:val="标题 4 字符"/>
    <w:basedOn w:val="90"/>
    <w:link w:val="6"/>
    <w:qFormat/>
    <w:uiPriority w:val="0"/>
    <w:rPr>
      <w:rFonts w:ascii="Arial" w:hAnsi="Arial" w:eastAsia="黑体"/>
      <w:b/>
      <w:bCs/>
      <w:kern w:val="2"/>
      <w:sz w:val="28"/>
      <w:szCs w:val="28"/>
    </w:rPr>
  </w:style>
  <w:style w:type="character" w:customStyle="1" w:styleId="112">
    <w:name w:val="标题 5 字符"/>
    <w:basedOn w:val="90"/>
    <w:link w:val="7"/>
    <w:qFormat/>
    <w:uiPriority w:val="0"/>
    <w:rPr>
      <w:b/>
      <w:bCs/>
      <w:kern w:val="2"/>
      <w:sz w:val="28"/>
      <w:szCs w:val="28"/>
    </w:rPr>
  </w:style>
  <w:style w:type="character" w:customStyle="1" w:styleId="113">
    <w:name w:val="标题 6 字符"/>
    <w:basedOn w:val="90"/>
    <w:link w:val="8"/>
    <w:qFormat/>
    <w:uiPriority w:val="0"/>
    <w:rPr>
      <w:rFonts w:ascii="Arial" w:hAnsi="Arial" w:eastAsia="黑体"/>
      <w:b/>
      <w:bCs/>
      <w:kern w:val="2"/>
      <w:sz w:val="24"/>
      <w:szCs w:val="24"/>
    </w:rPr>
  </w:style>
  <w:style w:type="character" w:customStyle="1" w:styleId="114">
    <w:name w:val="标题 7 字符"/>
    <w:basedOn w:val="90"/>
    <w:link w:val="9"/>
    <w:qFormat/>
    <w:uiPriority w:val="0"/>
    <w:rPr>
      <w:b/>
      <w:bCs/>
      <w:kern w:val="2"/>
      <w:sz w:val="24"/>
      <w:szCs w:val="24"/>
    </w:rPr>
  </w:style>
  <w:style w:type="character" w:customStyle="1" w:styleId="115">
    <w:name w:val="标题 8 字符"/>
    <w:basedOn w:val="90"/>
    <w:link w:val="10"/>
    <w:qFormat/>
    <w:uiPriority w:val="0"/>
    <w:rPr>
      <w:rFonts w:ascii="Arial" w:hAnsi="Arial" w:eastAsia="黑体"/>
      <w:kern w:val="2"/>
      <w:sz w:val="24"/>
      <w:szCs w:val="24"/>
    </w:rPr>
  </w:style>
  <w:style w:type="character" w:customStyle="1" w:styleId="116">
    <w:name w:val="标题 9 字符"/>
    <w:basedOn w:val="90"/>
    <w:link w:val="11"/>
    <w:qFormat/>
    <w:uiPriority w:val="0"/>
    <w:rPr>
      <w:rFonts w:ascii="Arial" w:hAnsi="Arial" w:eastAsia="黑体"/>
      <w:kern w:val="2"/>
      <w:sz w:val="21"/>
      <w:szCs w:val="21"/>
    </w:rPr>
  </w:style>
  <w:style w:type="paragraph" w:customStyle="1" w:styleId="117">
    <w:name w:val="封面标准英文名称"/>
    <w:qFormat/>
    <w:uiPriority w:val="0"/>
    <w:pPr>
      <w:widowControl w:val="0"/>
      <w:spacing w:before="370" w:line="400" w:lineRule="exact"/>
      <w:ind w:firstLine="200" w:firstLineChars="200"/>
      <w:jc w:val="center"/>
    </w:pPr>
    <w:rPr>
      <w:rFonts w:ascii="Times New Roman" w:hAnsi="Times New Roman" w:eastAsia="宋体" w:cs="Times New Roman"/>
      <w:sz w:val="28"/>
      <w:lang w:val="en-US" w:eastAsia="zh-CN" w:bidi="ar-SA"/>
    </w:rPr>
  </w:style>
  <w:style w:type="paragraph" w:customStyle="1" w:styleId="118">
    <w:name w:val="标准"/>
    <w:basedOn w:val="1"/>
    <w:qFormat/>
    <w:uiPriority w:val="0"/>
    <w:pPr>
      <w:adjustRightInd w:val="0"/>
      <w:spacing w:line="312" w:lineRule="atLeast"/>
      <w:jc w:val="center"/>
      <w:textAlignment w:val="baseline"/>
    </w:pPr>
    <w:rPr>
      <w:kern w:val="0"/>
      <w:szCs w:val="20"/>
    </w:rPr>
  </w:style>
  <w:style w:type="paragraph" w:customStyle="1" w:styleId="119">
    <w:name w:val="封面标准号2"/>
    <w:basedOn w:val="1"/>
    <w:qFormat/>
    <w:uiPriority w:val="0"/>
  </w:style>
  <w:style w:type="paragraph" w:customStyle="1" w:styleId="120">
    <w:name w:val="章标题"/>
    <w:next w:val="1"/>
    <w:qFormat/>
    <w:uiPriority w:val="0"/>
    <w:pPr>
      <w:tabs>
        <w:tab w:val="left" w:pos="675"/>
      </w:tabs>
      <w:spacing w:beforeLines="100" w:afterLines="100"/>
      <w:ind w:left="675" w:hanging="360"/>
      <w:jc w:val="both"/>
      <w:outlineLvl w:val="1"/>
    </w:pPr>
    <w:rPr>
      <w:rFonts w:ascii="黑体" w:hAnsi="Times New Roman" w:eastAsia="黑体" w:cs="Times New Roman"/>
      <w:sz w:val="21"/>
      <w:lang w:val="en-US" w:eastAsia="zh-CN" w:bidi="ar-SA"/>
    </w:rPr>
  </w:style>
  <w:style w:type="paragraph" w:customStyle="1" w:styleId="121">
    <w:name w:val="段"/>
    <w:link w:val="137"/>
    <w:qFormat/>
    <w:uiPriority w:val="0"/>
    <w:pPr>
      <w:autoSpaceDE w:val="0"/>
      <w:autoSpaceDN w:val="0"/>
      <w:ind w:firstLine="200" w:firstLineChars="200"/>
      <w:jc w:val="both"/>
    </w:pPr>
    <w:rPr>
      <w:rFonts w:ascii="宋体" w:hAnsi="宋体" w:eastAsia="宋体" w:cs="Times New Roman"/>
      <w:sz w:val="21"/>
      <w:lang w:val="en-US" w:eastAsia="zh-CN" w:bidi="ar-SA"/>
    </w:rPr>
  </w:style>
  <w:style w:type="character" w:customStyle="1" w:styleId="122">
    <w:name w:val="批注文字 字符"/>
    <w:basedOn w:val="90"/>
    <w:link w:val="28"/>
    <w:qFormat/>
    <w:uiPriority w:val="0"/>
    <w:rPr>
      <w:kern w:val="2"/>
      <w:sz w:val="21"/>
      <w:szCs w:val="21"/>
    </w:rPr>
  </w:style>
  <w:style w:type="character" w:customStyle="1" w:styleId="123">
    <w:name w:val="页眉 字符"/>
    <w:basedOn w:val="90"/>
    <w:link w:val="57"/>
    <w:qFormat/>
    <w:uiPriority w:val="0"/>
    <w:rPr>
      <w:kern w:val="2"/>
      <w:sz w:val="18"/>
      <w:szCs w:val="24"/>
    </w:rPr>
  </w:style>
  <w:style w:type="character" w:customStyle="1" w:styleId="124">
    <w:name w:val="页脚 字符"/>
    <w:basedOn w:val="90"/>
    <w:link w:val="55"/>
    <w:qFormat/>
    <w:uiPriority w:val="99"/>
    <w:rPr>
      <w:kern w:val="2"/>
      <w:sz w:val="18"/>
      <w:szCs w:val="24"/>
    </w:rPr>
  </w:style>
  <w:style w:type="paragraph" w:customStyle="1" w:styleId="125">
    <w:name w:val="列出段落1"/>
    <w:basedOn w:val="1"/>
    <w:qFormat/>
    <w:uiPriority w:val="0"/>
    <w:pPr>
      <w:ind w:firstLine="420" w:firstLineChars="200"/>
    </w:pPr>
    <w:rPr>
      <w:rFonts w:ascii="Calibri" w:hAnsi="Calibri" w:cs="黑体"/>
      <w:szCs w:val="22"/>
    </w:rPr>
  </w:style>
  <w:style w:type="paragraph" w:customStyle="1" w:styleId="126">
    <w:name w:val="Char Char Char Char"/>
    <w:basedOn w:val="1"/>
    <w:qFormat/>
    <w:uiPriority w:val="0"/>
    <w:pPr>
      <w:widowControl/>
      <w:spacing w:after="160" w:line="240" w:lineRule="exact"/>
      <w:jc w:val="left"/>
    </w:pPr>
  </w:style>
  <w:style w:type="character" w:customStyle="1" w:styleId="127">
    <w:name w:val="标题 字符"/>
    <w:basedOn w:val="90"/>
    <w:link w:val="84"/>
    <w:qFormat/>
    <w:uiPriority w:val="0"/>
    <w:rPr>
      <w:rFonts w:ascii="Arial" w:hAnsi="Arial" w:cs="Arial"/>
      <w:b/>
      <w:bCs/>
      <w:kern w:val="2"/>
      <w:sz w:val="32"/>
      <w:szCs w:val="32"/>
    </w:rPr>
  </w:style>
  <w:style w:type="character" w:customStyle="1" w:styleId="128">
    <w:name w:val="t_tag"/>
    <w:basedOn w:val="90"/>
    <w:qFormat/>
    <w:uiPriority w:val="0"/>
  </w:style>
  <w:style w:type="character" w:customStyle="1" w:styleId="129">
    <w:name w:val="apple-converted-space"/>
    <w:basedOn w:val="90"/>
    <w:qFormat/>
    <w:uiPriority w:val="0"/>
  </w:style>
  <w:style w:type="character" w:customStyle="1" w:styleId="130">
    <w:name w:val="apple-style-span"/>
    <w:basedOn w:val="90"/>
    <w:qFormat/>
    <w:uiPriority w:val="0"/>
  </w:style>
  <w:style w:type="character" w:customStyle="1" w:styleId="131">
    <w:name w:val="日期 字符"/>
    <w:basedOn w:val="90"/>
    <w:link w:val="50"/>
    <w:qFormat/>
    <w:uiPriority w:val="0"/>
    <w:rPr>
      <w:kern w:val="2"/>
      <w:sz w:val="21"/>
      <w:szCs w:val="24"/>
    </w:rPr>
  </w:style>
  <w:style w:type="character" w:customStyle="1" w:styleId="132">
    <w:name w:val="HTML 预设格式 字符"/>
    <w:basedOn w:val="90"/>
    <w:link w:val="80"/>
    <w:qFormat/>
    <w:uiPriority w:val="99"/>
    <w:rPr>
      <w:rFonts w:ascii="宋体" w:hAnsi="宋体" w:cs="宋体"/>
      <w:sz w:val="24"/>
      <w:szCs w:val="24"/>
    </w:rPr>
  </w:style>
  <w:style w:type="character" w:customStyle="1" w:styleId="133">
    <w:name w:val="纯文本 字符"/>
    <w:basedOn w:val="90"/>
    <w:link w:val="45"/>
    <w:qFormat/>
    <w:uiPriority w:val="0"/>
    <w:rPr>
      <w:rFonts w:ascii="宋体" w:hAnsi="Courier New" w:cs="Courier New"/>
      <w:kern w:val="2"/>
      <w:sz w:val="21"/>
      <w:szCs w:val="21"/>
    </w:rPr>
  </w:style>
  <w:style w:type="character" w:customStyle="1" w:styleId="134">
    <w:name w:val="批注主题 字符"/>
    <w:basedOn w:val="122"/>
    <w:link w:val="85"/>
    <w:qFormat/>
    <w:uiPriority w:val="0"/>
    <w:rPr>
      <w:b/>
      <w:bCs/>
      <w:kern w:val="2"/>
      <w:sz w:val="21"/>
      <w:szCs w:val="24"/>
    </w:rPr>
  </w:style>
  <w:style w:type="character" w:customStyle="1" w:styleId="135">
    <w:name w:val="批注框文本 字符"/>
    <w:basedOn w:val="90"/>
    <w:link w:val="54"/>
    <w:qFormat/>
    <w:uiPriority w:val="0"/>
    <w:rPr>
      <w:kern w:val="2"/>
      <w:sz w:val="18"/>
      <w:szCs w:val="18"/>
    </w:rPr>
  </w:style>
  <w:style w:type="paragraph" w:styleId="136">
    <w:name w:val="List Paragraph"/>
    <w:basedOn w:val="1"/>
    <w:qFormat/>
    <w:uiPriority w:val="99"/>
    <w:pPr>
      <w:ind w:firstLine="420" w:firstLineChars="200"/>
    </w:pPr>
  </w:style>
  <w:style w:type="character" w:customStyle="1" w:styleId="137">
    <w:name w:val="段 Char Char"/>
    <w:basedOn w:val="90"/>
    <w:link w:val="121"/>
    <w:qFormat/>
    <w:uiPriority w:val="0"/>
    <w:rPr>
      <w:rFonts w:ascii="宋体" w:hAnsi="宋体"/>
      <w:sz w:val="21"/>
    </w:rPr>
  </w:style>
  <w:style w:type="character" w:customStyle="1" w:styleId="138">
    <w:name w:val="short_text1"/>
    <w:basedOn w:val="90"/>
    <w:qFormat/>
    <w:uiPriority w:val="0"/>
    <w:rPr>
      <w:sz w:val="19"/>
      <w:szCs w:val="19"/>
    </w:rPr>
  </w:style>
  <w:style w:type="paragraph" w:customStyle="1" w:styleId="139">
    <w:name w:val="2"/>
    <w:unhideWhenUsed/>
    <w:qFormat/>
    <w:uiPriority w:val="99"/>
    <w:pPr>
      <w:widowControl w:val="0"/>
      <w:jc w:val="both"/>
    </w:pPr>
    <w:rPr>
      <w:rFonts w:ascii="Times New Roman" w:hAnsi="Times New Roman" w:eastAsia="宋体" w:cs="Times New Roman"/>
      <w:kern w:val="2"/>
      <w:sz w:val="21"/>
      <w:szCs w:val="24"/>
      <w:lang w:val="en-US" w:eastAsia="zh-CN" w:bidi="ar-SA"/>
    </w:rPr>
  </w:style>
  <w:style w:type="character" w:customStyle="1" w:styleId="140">
    <w:name w:val="上标"/>
    <w:qFormat/>
    <w:uiPriority w:val="0"/>
    <w:rPr>
      <w:vertAlign w:val="superscript"/>
    </w:rPr>
  </w:style>
  <w:style w:type="character" w:customStyle="1" w:styleId="141">
    <w:name w:val="z题名页日期"/>
    <w:qFormat/>
    <w:uiPriority w:val="0"/>
    <w:rPr>
      <w:rFonts w:ascii="Times New Roman" w:hAnsi="Times New Roman" w:eastAsia="宋体"/>
      <w:spacing w:val="0"/>
      <w:sz w:val="28"/>
    </w:rPr>
  </w:style>
  <w:style w:type="character" w:customStyle="1" w:styleId="142">
    <w:name w:val="z题名页其他"/>
    <w:qFormat/>
    <w:uiPriority w:val="0"/>
    <w:rPr>
      <w:rFonts w:ascii="Times New Roman" w:hAnsi="Times New Roman" w:eastAsia="宋体"/>
      <w:sz w:val="21"/>
    </w:rPr>
  </w:style>
  <w:style w:type="character" w:customStyle="1" w:styleId="143">
    <w:name w:val="datatitle1"/>
    <w:qFormat/>
    <w:uiPriority w:val="0"/>
    <w:rPr>
      <w:b/>
      <w:bCs/>
      <w:color w:val="10619F"/>
      <w:sz w:val="21"/>
      <w:szCs w:val="21"/>
    </w:rPr>
  </w:style>
  <w:style w:type="character" w:customStyle="1" w:styleId="144">
    <w:name w:val="z题名页作者"/>
    <w:basedOn w:val="145"/>
    <w:qFormat/>
    <w:uiPriority w:val="0"/>
    <w:rPr>
      <w:rFonts w:ascii="Times New Roman" w:hAnsi="Times New Roman" w:eastAsia="宋体"/>
      <w:sz w:val="28"/>
    </w:rPr>
  </w:style>
  <w:style w:type="character" w:customStyle="1" w:styleId="145">
    <w:name w:val="z题名页题名"/>
    <w:qFormat/>
    <w:uiPriority w:val="0"/>
    <w:rPr>
      <w:rFonts w:ascii="Times New Roman" w:hAnsi="Times New Roman" w:eastAsia="宋体"/>
      <w:sz w:val="28"/>
    </w:rPr>
  </w:style>
  <w:style w:type="character" w:customStyle="1" w:styleId="146">
    <w:name w:val="z封面题名"/>
    <w:qFormat/>
    <w:uiPriority w:val="0"/>
    <w:rPr>
      <w:rFonts w:ascii="Times New Roman" w:hAnsi="Times New Roman" w:eastAsia="宋体"/>
      <w:b/>
      <w:spacing w:val="0"/>
      <w:sz w:val="36"/>
    </w:rPr>
  </w:style>
  <w:style w:type="character" w:customStyle="1" w:styleId="147">
    <w:name w:val="z封面其他"/>
    <w:qFormat/>
    <w:uiPriority w:val="0"/>
    <w:rPr>
      <w:rFonts w:ascii="Times New Roman" w:hAnsi="Times New Roman" w:eastAsia="宋体"/>
      <w:spacing w:val="0"/>
      <w:sz w:val="30"/>
    </w:rPr>
  </w:style>
  <w:style w:type="character" w:customStyle="1" w:styleId="148">
    <w:name w:val="u关键词"/>
    <w:qFormat/>
    <w:uiPriority w:val="0"/>
    <w:rPr>
      <w:rFonts w:ascii="Times New Roman" w:hAnsi="Times New Roman" w:eastAsia="黑体"/>
      <w:b/>
      <w:sz w:val="24"/>
    </w:rPr>
  </w:style>
  <w:style w:type="character" w:customStyle="1" w:styleId="149">
    <w:name w:val="u正文 Char Char"/>
    <w:link w:val="150"/>
    <w:qFormat/>
    <w:uiPriority w:val="0"/>
    <w:rPr>
      <w:rFonts w:cs="宋体"/>
      <w:kern w:val="2"/>
      <w:sz w:val="24"/>
      <w:szCs w:val="24"/>
    </w:rPr>
  </w:style>
  <w:style w:type="paragraph" w:customStyle="1" w:styleId="150">
    <w:name w:val="u正文 Char"/>
    <w:basedOn w:val="1"/>
    <w:link w:val="149"/>
    <w:qFormat/>
    <w:uiPriority w:val="0"/>
    <w:pPr>
      <w:spacing w:beforeLines="10" w:afterLines="10" w:line="312" w:lineRule="auto"/>
      <w:ind w:firstLine="200" w:firstLineChars="200"/>
    </w:pPr>
    <w:rPr>
      <w:rFonts w:cs="宋体"/>
      <w:sz w:val="24"/>
    </w:rPr>
  </w:style>
  <w:style w:type="character" w:customStyle="1" w:styleId="151">
    <w:name w:val="z封二题名"/>
    <w:qFormat/>
    <w:uiPriority w:val="0"/>
    <w:rPr>
      <w:rFonts w:ascii="Times New Roman" w:hAnsi="Times New Roman" w:eastAsia="宋体"/>
      <w:sz w:val="36"/>
    </w:rPr>
  </w:style>
  <w:style w:type="character" w:customStyle="1" w:styleId="152">
    <w:name w:val="z书脊"/>
    <w:qFormat/>
    <w:uiPriority w:val="0"/>
    <w:rPr>
      <w:rFonts w:ascii="Times New Roman" w:hAnsi="Times New Roman" w:eastAsia="宋体"/>
      <w:b/>
      <w:sz w:val="32"/>
    </w:rPr>
  </w:style>
  <w:style w:type="character" w:customStyle="1" w:styleId="153">
    <w:name w:val="z封二其他"/>
    <w:qFormat/>
    <w:uiPriority w:val="0"/>
    <w:rPr>
      <w:rFonts w:ascii="Times New Roman" w:hAnsi="Times New Roman" w:eastAsia="宋体"/>
      <w:sz w:val="24"/>
    </w:rPr>
  </w:style>
  <w:style w:type="character" w:customStyle="1" w:styleId="154">
    <w:name w:val="宏文本 字符"/>
    <w:basedOn w:val="90"/>
    <w:link w:val="2"/>
    <w:qFormat/>
    <w:uiPriority w:val="0"/>
    <w:rPr>
      <w:rFonts w:ascii="Courier New" w:hAnsi="Courier New" w:cs="Courier New"/>
      <w:kern w:val="2"/>
      <w:sz w:val="24"/>
      <w:szCs w:val="24"/>
    </w:rPr>
  </w:style>
  <w:style w:type="character" w:customStyle="1" w:styleId="155">
    <w:name w:val="正文文本 字符"/>
    <w:basedOn w:val="90"/>
    <w:link w:val="34"/>
    <w:qFormat/>
    <w:uiPriority w:val="0"/>
    <w:rPr>
      <w:kern w:val="2"/>
      <w:sz w:val="21"/>
      <w:szCs w:val="24"/>
    </w:rPr>
  </w:style>
  <w:style w:type="character" w:customStyle="1" w:styleId="156">
    <w:name w:val="正文首行缩进 字符"/>
    <w:basedOn w:val="155"/>
    <w:link w:val="86"/>
    <w:qFormat/>
    <w:uiPriority w:val="0"/>
    <w:rPr>
      <w:kern w:val="2"/>
      <w:sz w:val="21"/>
      <w:szCs w:val="24"/>
    </w:rPr>
  </w:style>
  <w:style w:type="character" w:customStyle="1" w:styleId="157">
    <w:name w:val="正文文本缩进 字符"/>
    <w:basedOn w:val="90"/>
    <w:link w:val="35"/>
    <w:qFormat/>
    <w:uiPriority w:val="0"/>
    <w:rPr>
      <w:kern w:val="2"/>
      <w:sz w:val="21"/>
      <w:szCs w:val="24"/>
    </w:rPr>
  </w:style>
  <w:style w:type="character" w:customStyle="1" w:styleId="158">
    <w:name w:val="正文首行缩进 2 字符"/>
    <w:basedOn w:val="157"/>
    <w:link w:val="87"/>
    <w:qFormat/>
    <w:uiPriority w:val="0"/>
    <w:rPr>
      <w:kern w:val="2"/>
      <w:sz w:val="21"/>
      <w:szCs w:val="24"/>
    </w:rPr>
  </w:style>
  <w:style w:type="character" w:customStyle="1" w:styleId="159">
    <w:name w:val="文档结构图 字符"/>
    <w:basedOn w:val="90"/>
    <w:link w:val="26"/>
    <w:qFormat/>
    <w:uiPriority w:val="0"/>
    <w:rPr>
      <w:kern w:val="2"/>
      <w:sz w:val="21"/>
      <w:szCs w:val="24"/>
      <w:shd w:val="clear" w:color="auto" w:fill="000080"/>
    </w:rPr>
  </w:style>
  <w:style w:type="character" w:customStyle="1" w:styleId="160">
    <w:name w:val="正文文本 3 字符"/>
    <w:basedOn w:val="90"/>
    <w:link w:val="31"/>
    <w:qFormat/>
    <w:uiPriority w:val="0"/>
    <w:rPr>
      <w:kern w:val="2"/>
      <w:sz w:val="16"/>
      <w:szCs w:val="16"/>
    </w:rPr>
  </w:style>
  <w:style w:type="character" w:customStyle="1" w:styleId="161">
    <w:name w:val="HTML 地址 字符"/>
    <w:basedOn w:val="90"/>
    <w:link w:val="41"/>
    <w:qFormat/>
    <w:uiPriority w:val="0"/>
    <w:rPr>
      <w:i/>
      <w:iCs/>
      <w:kern w:val="2"/>
      <w:sz w:val="21"/>
      <w:szCs w:val="24"/>
    </w:rPr>
  </w:style>
  <w:style w:type="character" w:customStyle="1" w:styleId="162">
    <w:name w:val="正文文本缩进 3 字符"/>
    <w:basedOn w:val="90"/>
    <w:link w:val="70"/>
    <w:qFormat/>
    <w:uiPriority w:val="0"/>
    <w:rPr>
      <w:kern w:val="2"/>
      <w:sz w:val="16"/>
      <w:szCs w:val="16"/>
    </w:rPr>
  </w:style>
  <w:style w:type="character" w:customStyle="1" w:styleId="163">
    <w:name w:val="电子邮件签名 字符"/>
    <w:basedOn w:val="90"/>
    <w:link w:val="19"/>
    <w:qFormat/>
    <w:uiPriority w:val="0"/>
    <w:rPr>
      <w:kern w:val="2"/>
      <w:sz w:val="21"/>
      <w:szCs w:val="24"/>
    </w:rPr>
  </w:style>
  <w:style w:type="character" w:customStyle="1" w:styleId="164">
    <w:name w:val="签名 字符"/>
    <w:basedOn w:val="90"/>
    <w:link w:val="58"/>
    <w:qFormat/>
    <w:uiPriority w:val="0"/>
    <w:rPr>
      <w:kern w:val="2"/>
      <w:sz w:val="21"/>
      <w:szCs w:val="24"/>
    </w:rPr>
  </w:style>
  <w:style w:type="character" w:customStyle="1" w:styleId="165">
    <w:name w:val="脚注文本 字符"/>
    <w:basedOn w:val="90"/>
    <w:link w:val="67"/>
    <w:qFormat/>
    <w:uiPriority w:val="0"/>
    <w:rPr>
      <w:kern w:val="2"/>
      <w:sz w:val="18"/>
      <w:szCs w:val="18"/>
    </w:rPr>
  </w:style>
  <w:style w:type="character" w:customStyle="1" w:styleId="166">
    <w:name w:val="注释标题 字符"/>
    <w:basedOn w:val="90"/>
    <w:link w:val="16"/>
    <w:qFormat/>
    <w:uiPriority w:val="0"/>
    <w:rPr>
      <w:kern w:val="2"/>
      <w:sz w:val="21"/>
      <w:szCs w:val="24"/>
    </w:rPr>
  </w:style>
  <w:style w:type="character" w:customStyle="1" w:styleId="167">
    <w:name w:val="正文文本 2 字符"/>
    <w:basedOn w:val="90"/>
    <w:link w:val="76"/>
    <w:qFormat/>
    <w:uiPriority w:val="0"/>
    <w:rPr>
      <w:kern w:val="2"/>
      <w:sz w:val="21"/>
      <w:szCs w:val="24"/>
    </w:rPr>
  </w:style>
  <w:style w:type="character" w:customStyle="1" w:styleId="168">
    <w:name w:val="称呼 字符"/>
    <w:basedOn w:val="90"/>
    <w:link w:val="30"/>
    <w:qFormat/>
    <w:uiPriority w:val="0"/>
    <w:rPr>
      <w:kern w:val="2"/>
      <w:sz w:val="21"/>
      <w:szCs w:val="24"/>
    </w:rPr>
  </w:style>
  <w:style w:type="character" w:customStyle="1" w:styleId="169">
    <w:name w:val="尾注文本 字符"/>
    <w:basedOn w:val="90"/>
    <w:link w:val="52"/>
    <w:qFormat/>
    <w:uiPriority w:val="0"/>
    <w:rPr>
      <w:kern w:val="2"/>
      <w:sz w:val="21"/>
      <w:szCs w:val="24"/>
    </w:rPr>
  </w:style>
  <w:style w:type="character" w:customStyle="1" w:styleId="170">
    <w:name w:val="结束语 字符"/>
    <w:basedOn w:val="90"/>
    <w:link w:val="32"/>
    <w:qFormat/>
    <w:uiPriority w:val="0"/>
    <w:rPr>
      <w:kern w:val="2"/>
      <w:sz w:val="21"/>
      <w:szCs w:val="24"/>
    </w:rPr>
  </w:style>
  <w:style w:type="character" w:customStyle="1" w:styleId="171">
    <w:name w:val="正文文本缩进 2 字符"/>
    <w:basedOn w:val="90"/>
    <w:link w:val="51"/>
    <w:qFormat/>
    <w:uiPriority w:val="0"/>
    <w:rPr>
      <w:kern w:val="2"/>
      <w:sz w:val="21"/>
      <w:szCs w:val="24"/>
    </w:rPr>
  </w:style>
  <w:style w:type="character" w:customStyle="1" w:styleId="172">
    <w:name w:val="副标题 字符"/>
    <w:basedOn w:val="90"/>
    <w:link w:val="64"/>
    <w:qFormat/>
    <w:uiPriority w:val="0"/>
    <w:rPr>
      <w:rFonts w:ascii="Arial" w:hAnsi="Arial" w:cs="Arial"/>
      <w:b/>
      <w:bCs/>
      <w:kern w:val="28"/>
      <w:sz w:val="32"/>
      <w:szCs w:val="32"/>
    </w:rPr>
  </w:style>
  <w:style w:type="character" w:customStyle="1" w:styleId="173">
    <w:name w:val="信息标题 字符"/>
    <w:basedOn w:val="90"/>
    <w:link w:val="79"/>
    <w:qFormat/>
    <w:uiPriority w:val="0"/>
    <w:rPr>
      <w:rFonts w:ascii="Arial" w:hAnsi="Arial" w:cs="Arial"/>
      <w:kern w:val="2"/>
      <w:sz w:val="24"/>
      <w:szCs w:val="24"/>
      <w:shd w:val="pct20" w:color="auto" w:fill="auto"/>
    </w:rPr>
  </w:style>
  <w:style w:type="paragraph" w:customStyle="1" w:styleId="174">
    <w:name w:val="u页眉"/>
    <w:basedOn w:val="1"/>
    <w:qFormat/>
    <w:uiPriority w:val="0"/>
    <w:pPr>
      <w:pBdr>
        <w:bottom w:val="single" w:color="auto" w:sz="4" w:space="1"/>
      </w:pBdr>
      <w:jc w:val="center"/>
    </w:pPr>
  </w:style>
  <w:style w:type="paragraph" w:customStyle="1" w:styleId="175">
    <w:name w:val="连续正文文字"/>
    <w:basedOn w:val="34"/>
    <w:qFormat/>
    <w:uiPriority w:val="0"/>
    <w:pPr>
      <w:keepNext/>
      <w:widowControl/>
      <w:spacing w:after="220" w:line="180" w:lineRule="atLeast"/>
      <w:ind w:firstLine="476"/>
      <w:jc w:val="center"/>
    </w:pPr>
    <w:rPr>
      <w:spacing w:val="-5"/>
      <w:kern w:val="0"/>
      <w:sz w:val="30"/>
      <w:szCs w:val="20"/>
    </w:rPr>
  </w:style>
  <w:style w:type="paragraph" w:customStyle="1" w:styleId="176">
    <w:name w:val="正文（结尾部分）"/>
    <w:basedOn w:val="1"/>
    <w:qFormat/>
    <w:uiPriority w:val="0"/>
    <w:pPr>
      <w:adjustRightInd w:val="0"/>
      <w:snapToGrid w:val="0"/>
      <w:spacing w:line="320" w:lineRule="exact"/>
      <w:ind w:firstLine="200" w:firstLineChars="200"/>
    </w:pPr>
  </w:style>
  <w:style w:type="paragraph" w:customStyle="1" w:styleId="177">
    <w:name w:val="基准页眉样式"/>
    <w:basedOn w:val="34"/>
    <w:qFormat/>
    <w:uiPriority w:val="0"/>
    <w:pPr>
      <w:keepLines/>
      <w:widowControl/>
      <w:tabs>
        <w:tab w:val="center" w:pos="4320"/>
        <w:tab w:val="right" w:pos="8640"/>
      </w:tabs>
      <w:spacing w:after="0" w:line="180" w:lineRule="atLeast"/>
      <w:ind w:firstLine="476"/>
      <w:jc w:val="center"/>
    </w:pPr>
    <w:rPr>
      <w:spacing w:val="-5"/>
      <w:kern w:val="0"/>
      <w:sz w:val="30"/>
      <w:szCs w:val="20"/>
    </w:rPr>
  </w:style>
  <w:style w:type="paragraph" w:customStyle="1" w:styleId="178">
    <w:name w:val="图标题"/>
    <w:basedOn w:val="1"/>
    <w:next w:val="1"/>
    <w:qFormat/>
    <w:uiPriority w:val="0"/>
    <w:pPr>
      <w:widowControl/>
      <w:spacing w:before="200" w:after="400" w:line="312" w:lineRule="auto"/>
      <w:ind w:firstLine="476"/>
      <w:jc w:val="center"/>
    </w:pPr>
    <w:rPr>
      <w:b/>
      <w:spacing w:val="-5"/>
      <w:kern w:val="0"/>
      <w:sz w:val="24"/>
      <w:szCs w:val="20"/>
    </w:rPr>
  </w:style>
  <w:style w:type="paragraph" w:customStyle="1" w:styleId="179">
    <w:name w:val="五级条标题"/>
    <w:basedOn w:val="180"/>
    <w:next w:val="121"/>
    <w:qFormat/>
    <w:uiPriority w:val="0"/>
    <w:pPr>
      <w:tabs>
        <w:tab w:val="left" w:pos="1680"/>
        <w:tab w:val="left" w:pos="2100"/>
        <w:tab w:val="left" w:pos="2520"/>
        <w:tab w:val="left" w:pos="2940"/>
        <w:tab w:val="left" w:pos="3360"/>
      </w:tabs>
      <w:ind w:left="3360"/>
      <w:outlineLvl w:val="6"/>
    </w:pPr>
  </w:style>
  <w:style w:type="paragraph" w:customStyle="1" w:styleId="180">
    <w:name w:val="四级条标题"/>
    <w:basedOn w:val="181"/>
    <w:next w:val="121"/>
    <w:qFormat/>
    <w:uiPriority w:val="0"/>
    <w:pPr>
      <w:tabs>
        <w:tab w:val="left" w:pos="1680"/>
        <w:tab w:val="left" w:pos="2100"/>
        <w:tab w:val="left" w:pos="2520"/>
        <w:tab w:val="left" w:pos="2940"/>
      </w:tabs>
      <w:ind w:left="2940"/>
      <w:outlineLvl w:val="5"/>
    </w:pPr>
  </w:style>
  <w:style w:type="paragraph" w:customStyle="1" w:styleId="181">
    <w:name w:val="三级条标题"/>
    <w:basedOn w:val="182"/>
    <w:next w:val="121"/>
    <w:qFormat/>
    <w:uiPriority w:val="0"/>
    <w:pPr>
      <w:tabs>
        <w:tab w:val="left" w:pos="1680"/>
        <w:tab w:val="left" w:pos="2100"/>
        <w:tab w:val="left" w:pos="2520"/>
      </w:tabs>
      <w:ind w:left="2520"/>
      <w:outlineLvl w:val="4"/>
    </w:pPr>
  </w:style>
  <w:style w:type="paragraph" w:customStyle="1" w:styleId="182">
    <w:name w:val="二级条标题"/>
    <w:basedOn w:val="183"/>
    <w:next w:val="121"/>
    <w:qFormat/>
    <w:uiPriority w:val="0"/>
    <w:pPr>
      <w:tabs>
        <w:tab w:val="left" w:pos="1680"/>
        <w:tab w:val="left" w:pos="2100"/>
      </w:tabs>
      <w:ind w:left="2100"/>
      <w:outlineLvl w:val="3"/>
    </w:pPr>
  </w:style>
  <w:style w:type="paragraph" w:customStyle="1" w:styleId="183">
    <w:name w:val="一级条标题"/>
    <w:basedOn w:val="120"/>
    <w:next w:val="121"/>
    <w:qFormat/>
    <w:uiPriority w:val="0"/>
    <w:pPr>
      <w:tabs>
        <w:tab w:val="left" w:pos="1680"/>
        <w:tab w:val="clear" w:pos="675"/>
      </w:tabs>
      <w:spacing w:beforeLines="0" w:afterLines="0"/>
      <w:ind w:left="1680" w:hanging="420"/>
      <w:outlineLvl w:val="2"/>
    </w:pPr>
  </w:style>
  <w:style w:type="paragraph" w:customStyle="1" w:styleId="184">
    <w:name w:val="附录"/>
    <w:basedOn w:val="3"/>
    <w:next w:val="1"/>
    <w:qFormat/>
    <w:uiPriority w:val="0"/>
    <w:pPr>
      <w:widowControl/>
      <w:tabs>
        <w:tab w:val="left" w:pos="360"/>
        <w:tab w:val="left" w:pos="720"/>
      </w:tabs>
      <w:spacing w:before="0" w:after="220" w:line="360" w:lineRule="auto"/>
      <w:ind w:left="360" w:hanging="360"/>
      <w:jc w:val="center"/>
    </w:pPr>
    <w:rPr>
      <w:bCs w:val="0"/>
      <w:spacing w:val="-10"/>
      <w:kern w:val="28"/>
      <w:sz w:val="30"/>
      <w:szCs w:val="20"/>
    </w:rPr>
  </w:style>
  <w:style w:type="paragraph" w:customStyle="1" w:styleId="185">
    <w:name w:val="样式 u正文 + 首行缩进:  2 字符 段前: 0.5 行 段后: 0.5 行"/>
    <w:basedOn w:val="186"/>
    <w:qFormat/>
    <w:uiPriority w:val="0"/>
  </w:style>
  <w:style w:type="paragraph" w:customStyle="1" w:styleId="186">
    <w:name w:val="u正文"/>
    <w:basedOn w:val="1"/>
    <w:qFormat/>
    <w:uiPriority w:val="0"/>
    <w:pPr>
      <w:spacing w:beforeLines="10" w:afterLines="10" w:line="312" w:lineRule="auto"/>
      <w:ind w:firstLine="200" w:firstLineChars="200"/>
    </w:pPr>
    <w:rPr>
      <w:rFonts w:cs="宋体"/>
      <w:sz w:val="24"/>
      <w:szCs w:val="20"/>
    </w:rPr>
  </w:style>
  <w:style w:type="paragraph" w:customStyle="1" w:styleId="187">
    <w:name w:val="u标题 自动分页"/>
    <w:basedOn w:val="188"/>
    <w:next w:val="186"/>
    <w:qFormat/>
    <w:uiPriority w:val="0"/>
    <w:pPr>
      <w:pageBreakBefore/>
    </w:pPr>
  </w:style>
  <w:style w:type="paragraph" w:customStyle="1" w:styleId="188">
    <w:name w:val="u标题"/>
    <w:basedOn w:val="3"/>
    <w:next w:val="150"/>
    <w:qFormat/>
    <w:uiPriority w:val="0"/>
    <w:pPr>
      <w:spacing w:line="576" w:lineRule="auto"/>
      <w:jc w:val="center"/>
    </w:pPr>
    <w:rPr>
      <w:rFonts w:eastAsia="黑体"/>
      <w:sz w:val="30"/>
    </w:rPr>
  </w:style>
  <w:style w:type="paragraph" w:customStyle="1" w:styleId="189">
    <w:name w:val="基准页脚样式"/>
    <w:basedOn w:val="34"/>
    <w:qFormat/>
    <w:uiPriority w:val="0"/>
    <w:pPr>
      <w:keepLines/>
      <w:widowControl/>
      <w:spacing w:after="220" w:line="200" w:lineRule="atLeast"/>
      <w:ind w:firstLine="476"/>
      <w:jc w:val="center"/>
    </w:pPr>
    <w:rPr>
      <w:spacing w:val="-5"/>
      <w:kern w:val="0"/>
      <w:sz w:val="16"/>
      <w:szCs w:val="20"/>
    </w:rPr>
  </w:style>
  <w:style w:type="paragraph" w:customStyle="1" w:styleId="190">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91">
    <w:name w:val="样式 u正文 + 首行缩进:  2 字符 段前: 0.5 行 段后: 0.5 行1"/>
    <w:basedOn w:val="186"/>
    <w:qFormat/>
    <w:uiPriority w:val="0"/>
  </w:style>
  <w:style w:type="paragraph" w:customStyle="1" w:styleId="192">
    <w:name w:val="前言、引言标题"/>
    <w:next w:val="1"/>
    <w:qFormat/>
    <w:uiPriority w:val="0"/>
    <w:pPr>
      <w:shd w:val="clear" w:color="FFFFFF" w:fill="FFFFFF"/>
      <w:tabs>
        <w:tab w:val="left" w:pos="780"/>
      </w:tabs>
      <w:spacing w:before="640" w:after="560"/>
      <w:ind w:left="780" w:hanging="360"/>
      <w:jc w:val="center"/>
      <w:outlineLvl w:val="0"/>
    </w:pPr>
    <w:rPr>
      <w:rFonts w:ascii="黑体" w:hAnsi="Times New Roman" w:eastAsia="黑体" w:cs="Times New Roman"/>
      <w:sz w:val="32"/>
      <w:lang w:val="en-US" w:eastAsia="zh-CN" w:bidi="ar-SA"/>
    </w:rPr>
  </w:style>
  <w:style w:type="paragraph" w:customStyle="1" w:styleId="193">
    <w:name w:val="ustb bt1"/>
    <w:basedOn w:val="3"/>
    <w:qFormat/>
    <w:uiPriority w:val="0"/>
    <w:pPr>
      <w:spacing w:line="576" w:lineRule="auto"/>
    </w:pPr>
  </w:style>
  <w:style w:type="paragraph" w:customStyle="1" w:styleId="194">
    <w:name w:val="u正文2级标题"/>
    <w:basedOn w:val="4"/>
    <w:next w:val="1"/>
    <w:qFormat/>
    <w:uiPriority w:val="0"/>
    <w:pPr>
      <w:spacing w:line="312" w:lineRule="auto"/>
      <w:ind w:left="360"/>
    </w:pPr>
    <w:rPr>
      <w:rFonts w:ascii="Times New Roman" w:hAnsi="Times New Roman" w:eastAsia="Times New Roman"/>
      <w:sz w:val="28"/>
    </w:rPr>
  </w:style>
  <w:style w:type="paragraph" w:customStyle="1" w:styleId="195">
    <w:name w:val="u参考文献条目著者出版年制"/>
    <w:basedOn w:val="1"/>
    <w:qFormat/>
    <w:uiPriority w:val="0"/>
    <w:pPr>
      <w:spacing w:line="312" w:lineRule="auto"/>
      <w:ind w:left="200" w:hanging="200" w:hangingChars="200"/>
    </w:pPr>
    <w:rPr>
      <w:sz w:val="24"/>
    </w:rPr>
  </w:style>
  <w:style w:type="paragraph" w:customStyle="1" w:styleId="196">
    <w:name w:val="基准标题"/>
    <w:basedOn w:val="34"/>
    <w:next w:val="34"/>
    <w:qFormat/>
    <w:uiPriority w:val="0"/>
    <w:pPr>
      <w:keepNext/>
      <w:keepLines/>
      <w:widowControl/>
      <w:spacing w:after="0" w:line="180" w:lineRule="atLeast"/>
      <w:ind w:firstLine="476"/>
      <w:jc w:val="left"/>
    </w:pPr>
    <w:rPr>
      <w:rFonts w:ascii="Arial Black" w:hAnsi="Arial Black"/>
      <w:spacing w:val="-10"/>
      <w:kern w:val="28"/>
      <w:sz w:val="30"/>
      <w:szCs w:val="20"/>
    </w:rPr>
  </w:style>
  <w:style w:type="paragraph" w:customStyle="1" w:styleId="197">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98">
    <w:name w:val="u附录标题"/>
    <w:basedOn w:val="187"/>
    <w:qFormat/>
    <w:uiPriority w:val="0"/>
    <w:pPr>
      <w:pageBreakBefore w:val="0"/>
      <w:tabs>
        <w:tab w:val="left" w:pos="735"/>
        <w:tab w:val="left" w:pos="907"/>
      </w:tabs>
      <w:ind w:left="735" w:hanging="735"/>
      <w:jc w:val="left"/>
    </w:pPr>
  </w:style>
  <w:style w:type="paragraph" w:customStyle="1" w:styleId="199">
    <w:name w:val="样式 u正文 + 首行缩进:  2 字符 段前: 0.5 行1"/>
    <w:basedOn w:val="186"/>
    <w:qFormat/>
    <w:uiPriority w:val="0"/>
    <w:pPr>
      <w:spacing w:beforeLines="20"/>
    </w:pPr>
    <w:rPr>
      <w:kern w:val="0"/>
    </w:rPr>
  </w:style>
  <w:style w:type="paragraph" w:customStyle="1" w:styleId="200">
    <w:name w:val="u表标题"/>
    <w:basedOn w:val="1"/>
    <w:qFormat/>
    <w:uiPriority w:val="0"/>
    <w:pPr>
      <w:spacing w:beforeLines="150" w:afterLines="50" w:line="360" w:lineRule="auto"/>
      <w:jc w:val="center"/>
    </w:pPr>
    <w:rPr>
      <w:rFonts w:eastAsia="黑体"/>
      <w:b/>
    </w:rPr>
  </w:style>
  <w:style w:type="paragraph" w:customStyle="1" w:styleId="201">
    <w:name w:val="图表题"/>
    <w:basedOn w:val="1"/>
    <w:qFormat/>
    <w:uiPriority w:val="0"/>
    <w:pPr>
      <w:adjustRightInd w:val="0"/>
      <w:snapToGrid w:val="0"/>
      <w:spacing w:line="400" w:lineRule="exact"/>
      <w:jc w:val="center"/>
    </w:pPr>
  </w:style>
  <w:style w:type="paragraph" w:customStyle="1" w:styleId="202">
    <w:name w:val="样式 u正文 + 首行缩进:  2 字符 段前: 0.5 行"/>
    <w:basedOn w:val="186"/>
    <w:qFormat/>
    <w:uiPriority w:val="0"/>
    <w:pPr>
      <w:spacing w:beforeLines="0" w:beforeAutospacing="1"/>
    </w:pPr>
  </w:style>
  <w:style w:type="paragraph" w:customStyle="1" w:styleId="203">
    <w:name w:val="u正文1级标题"/>
    <w:basedOn w:val="3"/>
    <w:next w:val="1"/>
    <w:qFormat/>
    <w:uiPriority w:val="0"/>
    <w:pPr>
      <w:pageBreakBefore/>
      <w:spacing w:after="340" w:line="312" w:lineRule="auto"/>
    </w:pPr>
    <w:rPr>
      <w:rFonts w:eastAsia="黑体"/>
      <w:sz w:val="30"/>
    </w:rPr>
  </w:style>
  <w:style w:type="paragraph" w:customStyle="1" w:styleId="204">
    <w:name w:val="u脚注"/>
    <w:basedOn w:val="1"/>
    <w:qFormat/>
    <w:uiPriority w:val="0"/>
    <w:pPr>
      <w:spacing w:before="100" w:beforeAutospacing="1" w:after="100" w:afterAutospacing="1"/>
    </w:pPr>
  </w:style>
  <w:style w:type="paragraph" w:customStyle="1" w:styleId="205">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206">
    <w:name w:val="尾消息标题"/>
    <w:basedOn w:val="1"/>
    <w:next w:val="34"/>
    <w:qFormat/>
    <w:uiPriority w:val="0"/>
    <w:pPr>
      <w:widowControl/>
      <w:pBdr>
        <w:bottom w:val="single" w:color="auto" w:sz="6" w:space="19"/>
        <w:between w:val="single" w:color="auto" w:sz="6" w:space="19"/>
      </w:pBdr>
      <w:tabs>
        <w:tab w:val="left" w:pos="1260"/>
        <w:tab w:val="left" w:pos="2940"/>
      </w:tabs>
      <w:spacing w:before="120" w:after="120" w:line="312" w:lineRule="auto"/>
      <w:jc w:val="left"/>
    </w:pPr>
    <w:rPr>
      <w:spacing w:val="-5"/>
      <w:kern w:val="0"/>
      <w:sz w:val="24"/>
      <w:szCs w:val="20"/>
    </w:rPr>
  </w:style>
  <w:style w:type="paragraph" w:customStyle="1" w:styleId="207">
    <w:name w:val="u正文3级标题"/>
    <w:basedOn w:val="5"/>
    <w:next w:val="1"/>
    <w:qFormat/>
    <w:uiPriority w:val="0"/>
    <w:pPr>
      <w:spacing w:line="312" w:lineRule="auto"/>
      <w:ind w:left="2160"/>
    </w:pPr>
    <w:rPr>
      <w:rFonts w:eastAsia="Times New Roman"/>
      <w:sz w:val="28"/>
    </w:rPr>
  </w:style>
  <w:style w:type="paragraph" w:customStyle="1" w:styleId="208">
    <w:name w:val="表标题"/>
    <w:basedOn w:val="1"/>
    <w:next w:val="1"/>
    <w:qFormat/>
    <w:uiPriority w:val="0"/>
    <w:pPr>
      <w:widowControl/>
      <w:spacing w:before="400" w:after="200" w:line="312" w:lineRule="auto"/>
      <w:jc w:val="left"/>
    </w:pPr>
    <w:rPr>
      <w:b/>
      <w:spacing w:val="-5"/>
      <w:kern w:val="0"/>
      <w:sz w:val="24"/>
      <w:szCs w:val="20"/>
    </w:rPr>
  </w:style>
  <w:style w:type="paragraph" w:customStyle="1" w:styleId="209">
    <w:name w:val="其他"/>
    <w:basedOn w:val="1"/>
    <w:qFormat/>
    <w:uiPriority w:val="0"/>
  </w:style>
  <w:style w:type="paragraph" w:customStyle="1" w:styleId="210">
    <w:name w:val="u参考文献条目顺序编码制"/>
    <w:basedOn w:val="1"/>
    <w:qFormat/>
    <w:uiPriority w:val="0"/>
    <w:pPr>
      <w:tabs>
        <w:tab w:val="left" w:pos="525"/>
        <w:tab w:val="left" w:pos="927"/>
      </w:tabs>
      <w:spacing w:before="100" w:beforeAutospacing="1" w:after="100" w:afterAutospacing="1" w:line="312" w:lineRule="auto"/>
      <w:ind w:left="525" w:hanging="525"/>
    </w:pPr>
    <w:rPr>
      <w:sz w:val="24"/>
    </w:rPr>
  </w:style>
  <w:style w:type="paragraph" w:customStyle="1" w:styleId="211">
    <w:name w:val="u正文 + 首行缩进:  2 字符 段前: 0.5 行2"/>
    <w:basedOn w:val="186"/>
    <w:qFormat/>
    <w:uiPriority w:val="0"/>
    <w:pPr>
      <w:spacing w:beforeLines="20"/>
    </w:pPr>
    <w:rPr>
      <w:kern w:val="0"/>
    </w:rPr>
  </w:style>
  <w:style w:type="paragraph" w:customStyle="1" w:styleId="212">
    <w:name w:val="u图标题"/>
    <w:basedOn w:val="1"/>
    <w:next w:val="186"/>
    <w:qFormat/>
    <w:uiPriority w:val="0"/>
    <w:pPr>
      <w:spacing w:beforeLines="50" w:afterLines="150" w:line="360" w:lineRule="auto"/>
      <w:jc w:val="center"/>
    </w:pPr>
    <w:rPr>
      <w:rFonts w:eastAsia="黑体"/>
      <w:b/>
    </w:rPr>
  </w:style>
  <w:style w:type="paragraph" w:customStyle="1" w:styleId="213">
    <w:name w:val="样式 u表标题 + 段前: 1.5 行"/>
    <w:basedOn w:val="200"/>
    <w:qFormat/>
    <w:uiPriority w:val="0"/>
    <w:rPr>
      <w:rFonts w:cs="宋体"/>
      <w:bCs/>
      <w:szCs w:val="20"/>
    </w:rPr>
  </w:style>
  <w:style w:type="paragraph" w:customStyle="1" w:styleId="214">
    <w:name w:val="图片"/>
    <w:basedOn w:val="1"/>
    <w:next w:val="22"/>
    <w:qFormat/>
    <w:uiPriority w:val="0"/>
    <w:pPr>
      <w:keepNext/>
      <w:widowControl/>
      <w:spacing w:line="312" w:lineRule="auto"/>
      <w:ind w:firstLine="476"/>
      <w:jc w:val="left"/>
    </w:pPr>
    <w:rPr>
      <w:spacing w:val="-5"/>
      <w:kern w:val="0"/>
      <w:sz w:val="24"/>
      <w:szCs w:val="20"/>
    </w:rPr>
  </w:style>
  <w:style w:type="paragraph" w:customStyle="1" w:styleId="215">
    <w:name w:val="Char Char Char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6">
    <w:name w:val="样式1"/>
    <w:basedOn w:val="1"/>
    <w:qFormat/>
    <w:uiPriority w:val="0"/>
    <w:pPr>
      <w:spacing w:beforeLines="10" w:afterLines="10" w:line="312" w:lineRule="auto"/>
      <w:ind w:firstLine="480" w:firstLineChars="200"/>
    </w:pPr>
    <w:rPr>
      <w:rFonts w:hAnsi="宋体" w:cs="宋体"/>
      <w:sz w:val="24"/>
    </w:rPr>
  </w:style>
  <w:style w:type="paragraph" w:customStyle="1" w:styleId="217">
    <w:name w:val="u标题 不入目录"/>
    <w:basedOn w:val="1"/>
    <w:qFormat/>
    <w:uiPriority w:val="0"/>
    <w:pPr>
      <w:jc w:val="center"/>
    </w:pPr>
    <w:rPr>
      <w:rFonts w:eastAsia="黑体"/>
      <w:b/>
      <w:sz w:val="30"/>
      <w:szCs w:val="30"/>
    </w:rPr>
  </w:style>
  <w:style w:type="paragraph" w:customStyle="1" w:styleId="218">
    <w:name w:val="xl63"/>
    <w:basedOn w:val="1"/>
    <w:qFormat/>
    <w:uiPriority w:val="0"/>
    <w:pPr>
      <w:widowControl/>
      <w:spacing w:before="100" w:beforeAutospacing="1" w:after="100" w:afterAutospacing="1"/>
      <w:jc w:val="center"/>
      <w:textAlignment w:val="center"/>
    </w:pPr>
    <w:rPr>
      <w:rFonts w:ascii="宋体" w:hAnsi="宋体" w:cs="宋体"/>
      <w:kern w:val="0"/>
      <w:sz w:val="24"/>
    </w:rPr>
  </w:style>
  <w:style w:type="paragraph" w:customStyle="1" w:styleId="219">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0">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rPr>
  </w:style>
  <w:style w:type="paragraph" w:customStyle="1" w:styleId="22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22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227">
    <w:name w:val="xl71"/>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28">
    <w:name w:val="xl72"/>
    <w:basedOn w:val="1"/>
    <w:qFormat/>
    <w:uiPriority w:val="0"/>
    <w:pPr>
      <w:widowControl/>
      <w:pBdr>
        <w:left w:val="single" w:color="auto" w:sz="8" w:space="0"/>
        <w:right w:val="single" w:color="auto" w:sz="8" w:space="0"/>
      </w:pBdr>
      <w:spacing w:before="100" w:beforeAutospacing="1" w:after="100" w:afterAutospacing="1"/>
      <w:jc w:val="center"/>
    </w:pPr>
    <w:rPr>
      <w:kern w:val="0"/>
      <w:sz w:val="18"/>
      <w:szCs w:val="18"/>
    </w:rPr>
  </w:style>
  <w:style w:type="paragraph" w:customStyle="1" w:styleId="229">
    <w:name w:val="xl7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20"/>
      <w:szCs w:val="20"/>
    </w:rPr>
  </w:style>
  <w:style w:type="paragraph" w:customStyle="1" w:styleId="230">
    <w:name w:val="xl74"/>
    <w:basedOn w:val="1"/>
    <w:qFormat/>
    <w:uiPriority w:val="0"/>
    <w:pPr>
      <w:widowControl/>
      <w:pBdr>
        <w:bottom w:val="single" w:color="auto" w:sz="8" w:space="0"/>
        <w:right w:val="single" w:color="auto" w:sz="8" w:space="0"/>
      </w:pBdr>
      <w:spacing w:before="100" w:beforeAutospacing="1" w:after="100" w:afterAutospacing="1"/>
      <w:jc w:val="center"/>
    </w:pPr>
    <w:rPr>
      <w:kern w:val="0"/>
      <w:sz w:val="18"/>
      <w:szCs w:val="18"/>
    </w:rPr>
  </w:style>
  <w:style w:type="paragraph" w:customStyle="1" w:styleId="231">
    <w:name w:val="xl75"/>
    <w:basedOn w:val="1"/>
    <w:qFormat/>
    <w:uiPriority w:val="0"/>
    <w:pPr>
      <w:widowControl/>
      <w:pBdr>
        <w:top w:val="single" w:color="auto" w:sz="8" w:space="0"/>
        <w:left w:val="single" w:color="auto" w:sz="8" w:space="0"/>
        <w:bottom w:val="single" w:color="auto" w:sz="8" w:space="0"/>
        <w:right w:val="single" w:color="auto" w:sz="8" w:space="0"/>
      </w:pBdr>
      <w:shd w:val="clear" w:color="000000" w:fill="FF8080"/>
      <w:spacing w:before="100" w:beforeAutospacing="1" w:after="100" w:afterAutospacing="1"/>
      <w:jc w:val="center"/>
    </w:pPr>
    <w:rPr>
      <w:kern w:val="0"/>
      <w:sz w:val="20"/>
      <w:szCs w:val="20"/>
    </w:rPr>
  </w:style>
  <w:style w:type="paragraph" w:customStyle="1" w:styleId="232">
    <w:name w:val="xl76"/>
    <w:basedOn w:val="1"/>
    <w:qFormat/>
    <w:uiPriority w:val="0"/>
    <w:pPr>
      <w:widowControl/>
      <w:pBdr>
        <w:top w:val="single" w:color="auto" w:sz="8" w:space="0"/>
        <w:left w:val="single" w:color="auto" w:sz="8" w:space="0"/>
        <w:bottom w:val="single" w:color="auto" w:sz="8" w:space="0"/>
        <w:right w:val="single" w:color="auto" w:sz="8" w:space="0"/>
      </w:pBdr>
      <w:shd w:val="clear" w:color="000000" w:fill="FFCC99"/>
      <w:spacing w:before="100" w:beforeAutospacing="1" w:after="100" w:afterAutospacing="1"/>
      <w:jc w:val="center"/>
    </w:pPr>
    <w:rPr>
      <w:kern w:val="0"/>
      <w:sz w:val="20"/>
      <w:szCs w:val="20"/>
    </w:rPr>
  </w:style>
  <w:style w:type="paragraph" w:customStyle="1" w:styleId="233">
    <w:name w:val="xl77"/>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pPr>
    <w:rPr>
      <w:kern w:val="0"/>
      <w:sz w:val="20"/>
      <w:szCs w:val="20"/>
    </w:rPr>
  </w:style>
  <w:style w:type="paragraph" w:customStyle="1" w:styleId="234">
    <w:name w:val="xl78"/>
    <w:basedOn w:val="1"/>
    <w:qFormat/>
    <w:uiPriority w:val="0"/>
    <w:pPr>
      <w:widowControl/>
      <w:pBdr>
        <w:top w:val="single" w:color="auto" w:sz="8" w:space="0"/>
        <w:left w:val="single" w:color="auto" w:sz="8" w:space="0"/>
        <w:bottom w:val="single" w:color="auto" w:sz="8" w:space="0"/>
        <w:right w:val="single" w:color="auto" w:sz="8" w:space="0"/>
      </w:pBdr>
      <w:shd w:val="clear" w:color="000000" w:fill="C0C0C0"/>
      <w:spacing w:before="100" w:beforeAutospacing="1" w:after="100" w:afterAutospacing="1"/>
      <w:jc w:val="center"/>
    </w:pPr>
    <w:rPr>
      <w:kern w:val="0"/>
      <w:sz w:val="20"/>
      <w:szCs w:val="20"/>
    </w:rPr>
  </w:style>
  <w:style w:type="paragraph" w:customStyle="1" w:styleId="235">
    <w:name w:val="xl79"/>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36">
    <w:name w:val="xl80"/>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37">
    <w:name w:val="xl81"/>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kern w:val="0"/>
      <w:sz w:val="18"/>
      <w:szCs w:val="18"/>
    </w:rPr>
  </w:style>
  <w:style w:type="paragraph" w:customStyle="1" w:styleId="238">
    <w:name w:val="xl82"/>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39">
    <w:name w:val="xl83"/>
    <w:basedOn w:val="1"/>
    <w:qFormat/>
    <w:uiPriority w:val="0"/>
    <w:pPr>
      <w:widowControl/>
      <w:pBdr>
        <w:top w:val="single" w:color="auto" w:sz="8" w:space="0"/>
        <w:right w:val="single" w:color="auto" w:sz="8" w:space="0"/>
      </w:pBdr>
      <w:spacing w:before="100" w:beforeAutospacing="1" w:after="100" w:afterAutospacing="1"/>
      <w:jc w:val="center"/>
    </w:pPr>
    <w:rPr>
      <w:kern w:val="0"/>
      <w:sz w:val="18"/>
      <w:szCs w:val="18"/>
    </w:rPr>
  </w:style>
  <w:style w:type="paragraph" w:customStyle="1" w:styleId="240">
    <w:name w:val="xl8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kern w:val="0"/>
      <w:sz w:val="18"/>
      <w:szCs w:val="18"/>
    </w:rPr>
  </w:style>
  <w:style w:type="paragraph" w:customStyle="1" w:styleId="241">
    <w:name w:val="xl85"/>
    <w:basedOn w:val="1"/>
    <w:qFormat/>
    <w:uiPriority w:val="0"/>
    <w:pPr>
      <w:widowControl/>
      <w:pBdr>
        <w:top w:val="single" w:color="auto" w:sz="8" w:space="0"/>
        <w:right w:val="single" w:color="auto" w:sz="8" w:space="0"/>
      </w:pBdr>
      <w:spacing w:before="100" w:beforeAutospacing="1" w:after="100" w:afterAutospacing="1"/>
      <w:jc w:val="center"/>
    </w:pPr>
    <w:rPr>
      <w:kern w:val="0"/>
      <w:sz w:val="18"/>
      <w:szCs w:val="18"/>
    </w:rPr>
  </w:style>
  <w:style w:type="paragraph" w:customStyle="1" w:styleId="242">
    <w:name w:val="1"/>
    <w:qFormat/>
    <w:uiPriority w:val="99"/>
    <w:pPr>
      <w:widowControl w:val="0"/>
      <w:jc w:val="both"/>
    </w:pPr>
    <w:rPr>
      <w:rFonts w:ascii="Times New Roman" w:hAnsi="Times New Roman" w:eastAsia="宋体" w:cs="Times New Roman"/>
      <w:kern w:val="2"/>
      <w:sz w:val="21"/>
      <w:szCs w:val="24"/>
      <w:lang w:val="en-US" w:eastAsia="zh-CN" w:bidi="ar-SA"/>
    </w:rPr>
  </w:style>
  <w:style w:type="character" w:styleId="243">
    <w:name w:val="Placeholder Text"/>
    <w:basedOn w:val="90"/>
    <w:semiHidden/>
    <w:qFormat/>
    <w:uiPriority w:val="99"/>
    <w:rPr>
      <w:color w:val="808080"/>
    </w:rPr>
  </w:style>
  <w:style w:type="character" w:customStyle="1" w:styleId="244">
    <w:name w:val="段 Char"/>
    <w:qFormat/>
    <w:uiPriority w:val="0"/>
    <w:rPr>
      <w:rFonts w:ascii="宋体"/>
      <w:sz w:val="21"/>
      <w:lang w:bidi="ar-SA"/>
    </w:rPr>
  </w:style>
  <w:style w:type="paragraph" w:customStyle="1" w:styleId="245">
    <w:name w:val="附录标识"/>
    <w:basedOn w:val="192"/>
    <w:qFormat/>
    <w:uiPriority w:val="0"/>
    <w:pPr>
      <w:numPr>
        <w:ilvl w:val="0"/>
        <w:numId w:val="1"/>
      </w:numPr>
      <w:tabs>
        <w:tab w:val="left" w:pos="6405"/>
      </w:tabs>
      <w:spacing w:after="200"/>
    </w:pPr>
    <w:rPr>
      <w:sz w:val="21"/>
    </w:rPr>
  </w:style>
  <w:style w:type="paragraph" w:customStyle="1" w:styleId="246">
    <w:name w:val="附录章标题"/>
    <w:next w:val="121"/>
    <w:qFormat/>
    <w:uiPriority w:val="0"/>
    <w:pPr>
      <w:numPr>
        <w:ilvl w:val="1"/>
        <w:numId w:val="1"/>
      </w:num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247">
    <w:name w:val="附录五级条标题"/>
    <w:basedOn w:val="248"/>
    <w:next w:val="121"/>
    <w:qFormat/>
    <w:uiPriority w:val="0"/>
    <w:pPr>
      <w:numPr>
        <w:ilvl w:val="6"/>
      </w:numPr>
      <w:outlineLvl w:val="6"/>
    </w:pPr>
  </w:style>
  <w:style w:type="paragraph" w:customStyle="1" w:styleId="248">
    <w:name w:val="附录四级条标题"/>
    <w:basedOn w:val="249"/>
    <w:next w:val="121"/>
    <w:qFormat/>
    <w:uiPriority w:val="0"/>
    <w:pPr>
      <w:numPr>
        <w:ilvl w:val="5"/>
      </w:numPr>
      <w:outlineLvl w:val="5"/>
    </w:pPr>
  </w:style>
  <w:style w:type="paragraph" w:customStyle="1" w:styleId="249">
    <w:name w:val="附录三级条标题"/>
    <w:basedOn w:val="250"/>
    <w:next w:val="121"/>
    <w:qFormat/>
    <w:uiPriority w:val="0"/>
    <w:pPr>
      <w:numPr>
        <w:ilvl w:val="4"/>
      </w:numPr>
      <w:outlineLvl w:val="4"/>
    </w:pPr>
  </w:style>
  <w:style w:type="paragraph" w:customStyle="1" w:styleId="250">
    <w:name w:val="附录二级条标题"/>
    <w:basedOn w:val="251"/>
    <w:next w:val="121"/>
    <w:qFormat/>
    <w:uiPriority w:val="0"/>
    <w:pPr>
      <w:numPr>
        <w:ilvl w:val="3"/>
      </w:numPr>
      <w:outlineLvl w:val="3"/>
    </w:pPr>
  </w:style>
  <w:style w:type="paragraph" w:customStyle="1" w:styleId="251">
    <w:name w:val="附录一级条标题"/>
    <w:basedOn w:val="246"/>
    <w:next w:val="121"/>
    <w:qFormat/>
    <w:uiPriority w:val="0"/>
    <w:pPr>
      <w:numPr>
        <w:ilvl w:val="2"/>
      </w:numPr>
      <w:autoSpaceDN w:val="0"/>
      <w:spacing w:beforeLines="0" w:afterLines="0"/>
      <w:outlineLvl w:val="2"/>
    </w:pPr>
  </w:style>
  <w:style w:type="character" w:customStyle="1" w:styleId="252">
    <w:name w:val="gray"/>
    <w:basedOn w:val="90"/>
    <w:qFormat/>
    <w:uiPriority w:val="0"/>
  </w:style>
  <w:style w:type="character" w:customStyle="1" w:styleId="253">
    <w:name w:val="font21"/>
    <w:basedOn w:val="90"/>
    <w:qFormat/>
    <w:uiPriority w:val="0"/>
    <w:rPr>
      <w:rFonts w:hint="default" w:ascii="Times New Roman" w:hAnsi="Times New Roman" w:cs="Times New Roman"/>
      <w:color w:val="000000"/>
      <w:sz w:val="18"/>
      <w:szCs w:val="18"/>
      <w:u w:val="none"/>
    </w:rPr>
  </w:style>
  <w:style w:type="character" w:customStyle="1" w:styleId="254">
    <w:name w:val="font31"/>
    <w:basedOn w:val="90"/>
    <w:qFormat/>
    <w:uiPriority w:val="0"/>
    <w:rPr>
      <w:rFonts w:hint="default" w:ascii="Times New Roman" w:hAnsi="Times New Roman" w:cs="Times New Roman"/>
      <w:color w:val="000000"/>
      <w:sz w:val="18"/>
      <w:szCs w:val="18"/>
      <w:u w:val="none"/>
    </w:rPr>
  </w:style>
  <w:style w:type="character" w:customStyle="1" w:styleId="255">
    <w:name w:val="font11"/>
    <w:basedOn w:val="90"/>
    <w:qFormat/>
    <w:uiPriority w:val="0"/>
    <w:rPr>
      <w:rFonts w:hint="default" w:ascii="Times New Roman" w:hAnsi="Times New Roman" w:cs="Times New Roman"/>
      <w:color w:val="000000"/>
      <w:sz w:val="28"/>
      <w:szCs w:val="28"/>
      <w:u w:val="none"/>
    </w:rPr>
  </w:style>
  <w:style w:type="character" w:customStyle="1" w:styleId="256">
    <w:name w:val="font51"/>
    <w:basedOn w:val="90"/>
    <w:qFormat/>
    <w:uiPriority w:val="0"/>
    <w:rPr>
      <w:rFonts w:hint="eastAsia" w:ascii="宋体" w:hAnsi="宋体" w:eastAsia="宋体" w:cs="宋体"/>
      <w:color w:val="000000"/>
      <w:sz w:val="18"/>
      <w:szCs w:val="18"/>
      <w:u w:val="none"/>
    </w:rPr>
  </w:style>
  <w:style w:type="character" w:customStyle="1" w:styleId="257">
    <w:name w:val="font101"/>
    <w:basedOn w:val="90"/>
    <w:qFormat/>
    <w:uiPriority w:val="0"/>
    <w:rPr>
      <w:rFonts w:hint="default" w:ascii="Times New Roman" w:hAnsi="Times New Roman" w:cs="Times New Roman"/>
      <w:color w:val="000000"/>
      <w:sz w:val="18"/>
      <w:szCs w:val="18"/>
      <w:u w:val="none"/>
      <w:vertAlign w:val="superscript"/>
    </w:rPr>
  </w:style>
  <w:style w:type="character" w:customStyle="1" w:styleId="258">
    <w:name w:val="font81"/>
    <w:basedOn w:val="90"/>
    <w:qFormat/>
    <w:uiPriority w:val="0"/>
    <w:rPr>
      <w:rFonts w:hint="default" w:ascii="Times New Roman" w:hAnsi="Times New Roman" w:cs="Times New Roman"/>
      <w:color w:val="FF0000"/>
      <w:sz w:val="18"/>
      <w:szCs w:val="18"/>
      <w:u w:val="none"/>
    </w:rPr>
  </w:style>
  <w:style w:type="character" w:customStyle="1" w:styleId="259">
    <w:name w:val="font112"/>
    <w:basedOn w:val="90"/>
    <w:qFormat/>
    <w:uiPriority w:val="0"/>
    <w:rPr>
      <w:rFonts w:hint="eastAsia" w:ascii="宋体" w:hAnsi="宋体" w:eastAsia="宋体" w:cs="宋体"/>
      <w:b/>
      <w:bCs/>
      <w:color w:val="000000"/>
      <w:sz w:val="18"/>
      <w:szCs w:val="18"/>
      <w:u w:val="none"/>
    </w:rPr>
  </w:style>
  <w:style w:type="character" w:customStyle="1" w:styleId="260">
    <w:name w:val="font91"/>
    <w:basedOn w:val="90"/>
    <w:qFormat/>
    <w:uiPriority w:val="0"/>
    <w:rPr>
      <w:rFonts w:hint="default" w:ascii="Times New Roman" w:hAnsi="Times New Roman" w:cs="Times New Roman"/>
      <w:b/>
      <w:bCs/>
      <w:color w:val="000000"/>
      <w:sz w:val="18"/>
      <w:szCs w:val="18"/>
      <w:u w:val="none"/>
    </w:rPr>
  </w:style>
  <w:style w:type="character" w:customStyle="1" w:styleId="261">
    <w:name w:val="font41"/>
    <w:basedOn w:val="90"/>
    <w:uiPriority w:val="0"/>
    <w:rPr>
      <w:rFonts w:hint="eastAsia" w:ascii="宋体" w:hAnsi="宋体" w:eastAsia="宋体" w:cs="宋体"/>
      <w:color w:val="000000"/>
      <w:sz w:val="18"/>
      <w:szCs w:val="18"/>
      <w:u w:val="none"/>
    </w:rPr>
  </w:style>
  <w:style w:type="character" w:customStyle="1" w:styleId="262">
    <w:name w:val="font01"/>
    <w:basedOn w:val="90"/>
    <w:uiPriority w:val="0"/>
    <w:rPr>
      <w:rFonts w:hint="default" w:ascii="Times New Roman" w:hAnsi="Times New Roman" w:cs="Times New Roman"/>
      <w:color w:val="000000"/>
      <w:sz w:val="18"/>
      <w:szCs w:val="18"/>
      <w:u w:val="none"/>
      <w:vertAlign w:val="superscript"/>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385B806-D176-4C25-8247-E9CC181DC600}">
  <ds:schemaRefs/>
</ds:datastoreItem>
</file>

<file path=docProps/app.xml><?xml version="1.0" encoding="utf-8"?>
<Properties xmlns="http://schemas.openxmlformats.org/officeDocument/2006/extended-properties" xmlns:vt="http://schemas.openxmlformats.org/officeDocument/2006/docPropsVTypes">
  <Template>Normal</Template>
  <Company>www.xunchi.com</Company>
  <Pages>20</Pages>
  <Words>3084</Words>
  <Characters>17579</Characters>
  <Lines>146</Lines>
  <Paragraphs>41</Paragraphs>
  <TotalTime>8</TotalTime>
  <ScaleCrop>false</ScaleCrop>
  <LinksUpToDate>false</LinksUpToDate>
  <CharactersWithSpaces>20622</CharactersWithSpaces>
  <Application>WPS Office_11.1.0.10446_F1E327BC-269C-435d-A152-05C5408002CA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2021-04-11T00:53:00Z</dcterms:created>
  <dc:creator>zljy05</dc:creator>
  <cp:lastModifiedBy>CathayMok</cp:lastModifiedBy>
  <cp:lastPrinted>2021-04-19T07:05:00Z</cp:lastPrinted>
  <dcterms:modified xsi:type="dcterms:W3CDTF">2021-04-23T14:23:18Z</dcterms:modified>
  <dc:title>再生锌化学分析方法</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2052-11.1.0.10446</vt:lpwstr>
  </property>
  <property fmtid="{D5CDD505-2E9C-101B-9397-08002B2CF9AE}" pid="3" name="ICV">
    <vt:lpwstr>72D2EE846E444029A60C2C52B5BFF95C</vt:lpwstr>
  </property>
</Properties>
</file>