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28"/>
          <w:szCs w:val="28"/>
        </w:rPr>
      </w:pPr>
      <w:bookmarkStart w:id="2" w:name="_GoBack"/>
      <w:bookmarkEnd w:id="2"/>
      <w:r>
        <w:rPr>
          <w:rFonts w:hint="eastAsia" w:ascii="宋体" w:hAnsi="宋体" w:eastAsia="宋体" w:cs="Times New Roman"/>
          <w:sz w:val="28"/>
          <w:szCs w:val="28"/>
        </w:rPr>
        <w:t>国家标准</w:t>
      </w:r>
      <w:r>
        <w:rPr>
          <w:rFonts w:ascii="宋体" w:hAnsi="宋体" w:eastAsia="宋体" w:cs="Times New Roman"/>
          <w:sz w:val="28"/>
          <w:szCs w:val="28"/>
        </w:rPr>
        <w:t>《</w:t>
      </w:r>
      <w:r>
        <w:rPr>
          <w:rFonts w:hint="eastAsia" w:ascii="宋体" w:hAnsi="宋体" w:eastAsia="宋体" w:cs="Times New Roman"/>
          <w:sz w:val="28"/>
          <w:szCs w:val="28"/>
        </w:rPr>
        <w:t>碳化硅外延层厚度的测试 红外反射法</w:t>
      </w:r>
      <w:r>
        <w:rPr>
          <w:rFonts w:ascii="宋体" w:hAnsi="宋体" w:eastAsia="宋体" w:cs="Times New Roman"/>
          <w:sz w:val="28"/>
          <w:szCs w:val="28"/>
        </w:rPr>
        <w:t>》</w:t>
      </w:r>
    </w:p>
    <w:p>
      <w:pPr>
        <w:spacing w:line="360" w:lineRule="auto"/>
        <w:jc w:val="center"/>
        <w:rPr>
          <w:rFonts w:ascii="宋体" w:hAnsi="宋体" w:eastAsia="宋体" w:cs="Times New Roman"/>
          <w:sz w:val="28"/>
          <w:szCs w:val="28"/>
        </w:rPr>
      </w:pPr>
      <w:r>
        <w:rPr>
          <w:rFonts w:ascii="宋体" w:hAnsi="宋体" w:eastAsia="宋体" w:cs="Times New Roman"/>
          <w:sz w:val="28"/>
          <w:szCs w:val="28"/>
        </w:rPr>
        <w:t>编制说明</w:t>
      </w:r>
    </w:p>
    <w:p>
      <w:pPr>
        <w:pStyle w:val="9"/>
        <w:spacing w:line="360" w:lineRule="auto"/>
        <w:ind w:firstLine="0" w:firstLineChars="0"/>
        <w:rPr>
          <w:rFonts w:ascii="宋体" w:hAnsi="宋体" w:eastAsia="宋体" w:cs="Times New Roman"/>
          <w:sz w:val="24"/>
        </w:rPr>
      </w:pPr>
      <w:r>
        <w:rPr>
          <w:rFonts w:ascii="宋体" w:hAnsi="宋体" w:eastAsia="宋体" w:cs="Times New Roman"/>
          <w:sz w:val="24"/>
        </w:rPr>
        <w:t>一、工作简况</w:t>
      </w:r>
    </w:p>
    <w:p>
      <w:pPr>
        <w:pStyle w:val="9"/>
        <w:spacing w:line="360" w:lineRule="auto"/>
        <w:ind w:left="420" w:firstLine="0" w:firstLineChars="0"/>
        <w:rPr>
          <w:rFonts w:ascii="宋体" w:hAnsi="宋体" w:eastAsia="宋体" w:cs="Times New Roman"/>
          <w:sz w:val="24"/>
        </w:rPr>
      </w:pPr>
      <w:r>
        <w:rPr>
          <w:rFonts w:ascii="宋体" w:hAnsi="宋体" w:eastAsia="宋体" w:cs="Times New Roman"/>
          <w:sz w:val="24"/>
        </w:rPr>
        <w:t>1. 任务来源</w:t>
      </w:r>
    </w:p>
    <w:p>
      <w:pPr>
        <w:spacing w:line="360" w:lineRule="auto"/>
        <w:ind w:firstLine="480" w:firstLineChars="200"/>
        <w:rPr>
          <w:rFonts w:ascii="宋体" w:hAnsi="宋体" w:eastAsia="宋体" w:cs="Times New Roman"/>
          <w:sz w:val="24"/>
        </w:rPr>
      </w:pPr>
      <w:r>
        <w:rPr>
          <w:rFonts w:ascii="宋体" w:hAnsi="宋体" w:eastAsia="宋体" w:cs="Times New Roman"/>
          <w:sz w:val="24"/>
        </w:rPr>
        <w:t>本标准由</w:t>
      </w:r>
      <w:r>
        <w:rPr>
          <w:rFonts w:hint="eastAsia" w:ascii="宋体" w:hAnsi="宋体" w:eastAsia="宋体" w:cs="Times New Roman"/>
          <w:sz w:val="24"/>
        </w:rPr>
        <w:t>芜湖启迪半导体</w:t>
      </w:r>
      <w:r>
        <w:rPr>
          <w:rFonts w:ascii="宋体" w:hAnsi="宋体" w:eastAsia="宋体" w:cs="Times New Roman"/>
          <w:sz w:val="24"/>
        </w:rPr>
        <w:t>有限公司提出，</w:t>
      </w:r>
      <w:r>
        <w:rPr>
          <w:rFonts w:hint="eastAsia" w:ascii="宋体" w:hAnsi="宋体" w:eastAsia="宋体" w:cs="Times New Roman"/>
          <w:sz w:val="24"/>
        </w:rPr>
        <w:t>本标准由全国半导体设备和材料标准化技术委员会（S</w:t>
      </w:r>
      <w:r>
        <w:rPr>
          <w:rFonts w:ascii="宋体" w:hAnsi="宋体" w:eastAsia="宋体" w:cs="Times New Roman"/>
          <w:sz w:val="24"/>
        </w:rPr>
        <w:t>AC/TC203</w:t>
      </w:r>
      <w:r>
        <w:rPr>
          <w:rFonts w:hint="eastAsia" w:ascii="宋体" w:hAnsi="宋体" w:eastAsia="宋体" w:cs="Times New Roman"/>
          <w:sz w:val="24"/>
        </w:rPr>
        <w:t>）与全国半导体设备和材料标准化技术委员会材料分技术委员会（S</w:t>
      </w:r>
      <w:r>
        <w:rPr>
          <w:rFonts w:ascii="宋体" w:hAnsi="宋体" w:eastAsia="宋体" w:cs="Times New Roman"/>
          <w:sz w:val="24"/>
        </w:rPr>
        <w:t>AC/TC203/SC2</w:t>
      </w:r>
      <w:r>
        <w:rPr>
          <w:rFonts w:hint="eastAsia" w:ascii="宋体" w:hAnsi="宋体" w:eastAsia="宋体" w:cs="Times New Roman"/>
          <w:sz w:val="24"/>
        </w:rPr>
        <w:t>）共同提出并归口</w:t>
      </w:r>
      <w:r>
        <w:rPr>
          <w:rFonts w:ascii="宋体" w:hAnsi="宋体" w:eastAsia="宋体" w:cs="Times New Roman"/>
          <w:sz w:val="24"/>
        </w:rPr>
        <w:t>，项目名称为《</w:t>
      </w:r>
      <w:r>
        <w:rPr>
          <w:rFonts w:hint="eastAsia" w:ascii="宋体" w:hAnsi="宋体" w:eastAsia="宋体" w:cs="Times New Roman"/>
          <w:sz w:val="24"/>
        </w:rPr>
        <w:t>碳化硅外延层厚度的测试 红外反射法</w:t>
      </w:r>
      <w:r>
        <w:rPr>
          <w:rFonts w:ascii="宋体" w:hAnsi="宋体" w:eastAsia="宋体" w:cs="Times New Roman"/>
          <w:sz w:val="24"/>
        </w:rPr>
        <w:t>》。</w:t>
      </w:r>
    </w:p>
    <w:p>
      <w:pPr>
        <w:spacing w:line="360" w:lineRule="auto"/>
        <w:ind w:firstLine="480" w:firstLineChars="200"/>
        <w:rPr>
          <w:rFonts w:ascii="宋体" w:hAnsi="宋体" w:eastAsia="宋体" w:cs="Times New Roman"/>
          <w:sz w:val="24"/>
        </w:rPr>
      </w:pPr>
      <w:r>
        <w:rPr>
          <w:rFonts w:ascii="宋体" w:hAnsi="宋体" w:eastAsia="宋体" w:cs="Times New Roman"/>
          <w:sz w:val="24"/>
        </w:rPr>
        <w:t>本标准起草单位：</w:t>
      </w:r>
      <w:r>
        <w:rPr>
          <w:rFonts w:hint="eastAsia" w:ascii="宋体" w:hAnsi="宋体" w:eastAsia="宋体" w:cs="Times New Roman"/>
          <w:sz w:val="24"/>
        </w:rPr>
        <w:t>芜湖启迪半导体有限公司、中国电子科技集团第四十六研究所、中国电子科技集团第五十五研究所、东莞市天域半导体科技有限公司、瀚天天成电子科技（厦门）有限公司、北京天科合达半导体股份有限公司、中关村天合宽禁带半导体技术创新联盟</w:t>
      </w:r>
      <w:r>
        <w:rPr>
          <w:rFonts w:ascii="宋体" w:hAnsi="宋体" w:eastAsia="宋体" w:cs="Times New Roman"/>
          <w:sz w:val="24"/>
        </w:rPr>
        <w:t>标准。</w:t>
      </w:r>
    </w:p>
    <w:p>
      <w:pPr>
        <w:spacing w:line="360" w:lineRule="auto"/>
        <w:ind w:firstLine="480" w:firstLineChars="200"/>
        <w:rPr>
          <w:rFonts w:ascii="宋体" w:hAnsi="宋体" w:eastAsia="宋体" w:cs="Times New Roman"/>
          <w:sz w:val="24"/>
        </w:rPr>
      </w:pPr>
      <w:r>
        <w:rPr>
          <w:rFonts w:ascii="宋体" w:hAnsi="宋体" w:eastAsia="宋体" w:cs="Times New Roman"/>
          <w:sz w:val="24"/>
        </w:rPr>
        <w:t>项目申报单位简况</w:t>
      </w:r>
    </w:p>
    <w:p>
      <w:pPr>
        <w:spacing w:line="360" w:lineRule="auto"/>
        <w:ind w:firstLine="480" w:firstLineChars="200"/>
        <w:rPr>
          <w:rFonts w:ascii="宋体" w:hAnsi="宋体" w:eastAsia="宋体" w:cs="Times New Roman"/>
          <w:sz w:val="24"/>
        </w:rPr>
      </w:pPr>
      <w:r>
        <w:rPr>
          <w:rFonts w:ascii="宋体" w:hAnsi="宋体" w:eastAsia="宋体" w:cs="Times New Roman"/>
          <w:sz w:val="24"/>
        </w:rPr>
        <w:t>芜湖启迪半导体有限公司成立于2018年1月31日，由清华大学下属启迪新材料与芜湖建投共同投资设立，管理运营安徽省首批重大新兴产业工程—太赫兹工程中心，专注于第三代半导体外延晶圆、芯片及模块封测的研发与生产。2018年获批芜湖市首批重点研发创新平台，连续两年考核为优秀。2020年初平台被认定国家双创示范基地支撑关键领域创新平台。公司现有员工142人，其中研发人员96人，研发人员占比达67.6%。</w:t>
      </w:r>
    </w:p>
    <w:p>
      <w:pPr>
        <w:spacing w:line="360" w:lineRule="auto"/>
        <w:ind w:firstLine="480" w:firstLineChars="200"/>
        <w:rPr>
          <w:rFonts w:ascii="宋体" w:hAnsi="宋体" w:eastAsia="宋体" w:cs="Times New Roman"/>
          <w:sz w:val="24"/>
        </w:rPr>
      </w:pPr>
      <w:r>
        <w:rPr>
          <w:rFonts w:ascii="宋体" w:hAnsi="宋体" w:eastAsia="宋体" w:cs="Times New Roman"/>
          <w:sz w:val="24"/>
        </w:rPr>
        <w:t>公司投入14.5亿建设了从碳化硅外延-芯片-模块封测的垂直一体化生产线，拥有世界先进碳化硅外延设备，具备材料、芯片的全套测试能力。</w:t>
      </w:r>
    </w:p>
    <w:p>
      <w:pPr>
        <w:spacing w:line="360" w:lineRule="auto"/>
        <w:ind w:firstLine="480" w:firstLineChars="200"/>
        <w:rPr>
          <w:rFonts w:ascii="宋体" w:hAnsi="宋体" w:eastAsia="宋体" w:cs="Times New Roman"/>
          <w:sz w:val="24"/>
        </w:rPr>
      </w:pPr>
      <w:r>
        <w:rPr>
          <w:rFonts w:ascii="宋体" w:hAnsi="宋体" w:eastAsia="宋体" w:cs="Times New Roman"/>
          <w:sz w:val="24"/>
        </w:rPr>
        <w:t>启迪半导体2018年营业收入1000万元，研发投入1004.4万元；2019年营业收入725.24万元，研发投入1946.4万元。公司建有研发准备金制度和科研项目管理制度，目前已承担芜湖市科研项目3项。2018年-2020年投入5000万元进行碳化硅外延、器件核心技术的研发，已开发出4款碳化硅功率器件样品，开发了碳化硅 MOSFET器件的部分关键工艺技术，开发了一款碳化硅 MOSFET样品（1200V，120mΩ）。</w:t>
      </w:r>
    </w:p>
    <w:p>
      <w:pPr>
        <w:spacing w:line="360" w:lineRule="auto"/>
        <w:ind w:firstLine="480" w:firstLineChars="200"/>
        <w:rPr>
          <w:rFonts w:ascii="宋体" w:hAnsi="宋体" w:eastAsia="宋体" w:cs="Times New Roman"/>
          <w:sz w:val="24"/>
        </w:rPr>
      </w:pPr>
      <w:r>
        <w:rPr>
          <w:rFonts w:ascii="宋体" w:hAnsi="宋体" w:eastAsia="宋体" w:cs="Times New Roman"/>
          <w:sz w:val="24"/>
        </w:rPr>
        <w:t>公司与清华大学微电子所共同建立了第三代半导体功率与射频器件联合实验室，与西安电子科技大学芜湖研究院签订了战略合作框架及人才实训基地共建协议。公司成立以来，已申报专利63项（发明专利38项），现有授权专利22项（发明专利3项）；参与行业标准1项；正在申请碳化硅方面3项国家标准。公司实验室具备温度冲击、高加速寿命、功率循环、机械冲击、低温反向偏压等功率器件、模块的可靠性测试能力，正在申请CNAS认证。</w:t>
      </w:r>
    </w:p>
    <w:p>
      <w:pPr>
        <w:numPr>
          <w:ilvl w:val="0"/>
          <w:numId w:val="3"/>
        </w:numPr>
        <w:spacing w:line="360" w:lineRule="auto"/>
        <w:ind w:firstLine="480" w:firstLineChars="200"/>
        <w:rPr>
          <w:rFonts w:ascii="宋体" w:hAnsi="宋体" w:eastAsia="宋体" w:cs="Times New Roman"/>
          <w:sz w:val="24"/>
        </w:rPr>
      </w:pPr>
      <w:r>
        <w:rPr>
          <w:rFonts w:ascii="宋体" w:hAnsi="宋体" w:eastAsia="宋体" w:cs="Times New Roman"/>
          <w:sz w:val="24"/>
        </w:rPr>
        <w:t>主要工作过程</w:t>
      </w:r>
    </w:p>
    <w:p>
      <w:pPr>
        <w:spacing w:line="360" w:lineRule="auto"/>
        <w:ind w:firstLine="480" w:firstLineChars="200"/>
        <w:rPr>
          <w:rFonts w:ascii="宋体" w:hAnsi="宋体" w:eastAsia="宋体" w:cs="Times New Roman"/>
          <w:sz w:val="24"/>
        </w:rPr>
      </w:pPr>
      <w:r>
        <w:rPr>
          <w:rFonts w:ascii="宋体" w:hAnsi="宋体" w:eastAsia="宋体" w:cs="Times New Roman"/>
          <w:sz w:val="24"/>
        </w:rPr>
        <w:t>本标准由</w:t>
      </w:r>
      <w:r>
        <w:rPr>
          <w:rFonts w:hint="eastAsia" w:ascii="宋体" w:hAnsi="宋体" w:eastAsia="宋体" w:cs="Times New Roman"/>
          <w:sz w:val="24"/>
        </w:rPr>
        <w:t>芜湖启迪半导体有限公司、中国电子科技集团第四十六研究所、中国电子科技集团第五十五研究所、东莞市天域半导体科技有限公司、瀚天天成电子科技（厦门）有限公司、北京天科合达半导体股份有限公司、中关村天合宽禁带半导体技术创新联盟标准</w:t>
      </w:r>
      <w:r>
        <w:rPr>
          <w:rFonts w:ascii="宋体" w:hAnsi="宋体" w:eastAsia="宋体" w:cs="Times New Roman"/>
          <w:sz w:val="24"/>
        </w:rPr>
        <w:t>负责起草工作。</w:t>
      </w:r>
    </w:p>
    <w:p>
      <w:pPr>
        <w:numPr>
          <w:ilvl w:val="0"/>
          <w:numId w:val="4"/>
        </w:numPr>
        <w:spacing w:line="360" w:lineRule="auto"/>
        <w:ind w:firstLine="480"/>
        <w:rPr>
          <w:rFonts w:ascii="宋体" w:hAnsi="宋体" w:eastAsia="宋体" w:cs="Times New Roman"/>
          <w:spacing w:val="-2"/>
          <w:sz w:val="24"/>
        </w:rPr>
      </w:pPr>
      <w:r>
        <w:rPr>
          <w:rFonts w:ascii="宋体" w:hAnsi="宋体" w:eastAsia="宋体" w:cs="Times New Roman"/>
          <w:sz w:val="24"/>
        </w:rPr>
        <w:t>标准起草单位和参与单位在接到全国半导体设备与材料标准化技术委员会下达的项目任务后，成立了专门的《</w:t>
      </w:r>
      <w:r>
        <w:rPr>
          <w:rFonts w:hint="eastAsia" w:ascii="宋体" w:hAnsi="宋体" w:eastAsia="宋体" w:cs="Times New Roman"/>
          <w:sz w:val="24"/>
        </w:rPr>
        <w:t>碳化硅外延层厚度的测试 红外反射法</w:t>
      </w:r>
      <w:r>
        <w:rPr>
          <w:rFonts w:ascii="宋体" w:hAnsi="宋体" w:eastAsia="宋体" w:cs="Times New Roman"/>
          <w:sz w:val="24"/>
        </w:rPr>
        <w:t>》起草工作组，</w:t>
      </w:r>
      <w:r>
        <w:rPr>
          <w:rFonts w:ascii="宋体" w:hAnsi="宋体" w:eastAsia="宋体" w:cs="Times New Roman"/>
          <w:spacing w:val="-3"/>
          <w:sz w:val="24"/>
        </w:rPr>
        <w:t>并制定了相关工作计划。根</w:t>
      </w:r>
      <w:r>
        <w:rPr>
          <w:rFonts w:ascii="宋体" w:hAnsi="宋体" w:eastAsia="宋体" w:cs="Times New Roman"/>
          <w:spacing w:val="-2"/>
          <w:sz w:val="24"/>
        </w:rPr>
        <w:t>据工作计划进度安排，标准编制组收集查阅了国内外相关政策、标准、文献，经过组内多次研讨，确定了标准的框架和主要内容，并于2020年11月形成了标准的草案稿，上报给全国半导体设备与材料标准化技术委员会材料分会（</w:t>
      </w:r>
      <w:r>
        <w:rPr>
          <w:rFonts w:hint="eastAsia" w:ascii="宋体" w:hAnsi="宋体" w:eastAsia="宋体" w:cs="Times New Roman"/>
          <w:sz w:val="24"/>
        </w:rPr>
        <w:t>S</w:t>
      </w:r>
      <w:r>
        <w:rPr>
          <w:rFonts w:ascii="宋体" w:hAnsi="宋体" w:eastAsia="宋体" w:cs="Times New Roman"/>
          <w:sz w:val="24"/>
        </w:rPr>
        <w:t>AC/TC203/SC2</w:t>
      </w:r>
      <w:r>
        <w:rPr>
          <w:rFonts w:ascii="宋体" w:hAnsi="宋体" w:eastAsia="宋体" w:cs="Times New Roman"/>
          <w:spacing w:val="-2"/>
          <w:sz w:val="24"/>
        </w:rPr>
        <w:t>）。</w:t>
      </w:r>
    </w:p>
    <w:p>
      <w:pPr>
        <w:spacing w:line="360" w:lineRule="auto"/>
        <w:rPr>
          <w:rFonts w:ascii="宋体" w:hAnsi="宋体" w:eastAsia="宋体" w:cs="Times New Roman"/>
          <w:sz w:val="24"/>
        </w:rPr>
      </w:pPr>
      <w:r>
        <w:rPr>
          <w:rFonts w:ascii="宋体" w:hAnsi="宋体" w:eastAsia="宋体" w:cs="Times New Roman"/>
          <w:sz w:val="24"/>
        </w:rPr>
        <w:t>二、标准编制原则和依据</w:t>
      </w:r>
    </w:p>
    <w:p>
      <w:pPr>
        <w:spacing w:line="360" w:lineRule="auto"/>
        <w:ind w:firstLine="480" w:firstLineChars="200"/>
        <w:rPr>
          <w:rFonts w:ascii="宋体" w:hAnsi="宋体" w:eastAsia="宋体" w:cs="Times New Roman"/>
          <w:sz w:val="24"/>
        </w:rPr>
      </w:pPr>
      <w:r>
        <w:rPr>
          <w:rFonts w:ascii="宋体" w:hAnsi="宋体" w:eastAsia="宋体" w:cs="Times New Roman"/>
          <w:sz w:val="24"/>
        </w:rPr>
        <w:t>1. 标准编制原则</w:t>
      </w:r>
    </w:p>
    <w:p>
      <w:pPr>
        <w:spacing w:line="360" w:lineRule="auto"/>
        <w:ind w:firstLine="480" w:firstLineChars="200"/>
        <w:rPr>
          <w:rFonts w:ascii="宋体" w:hAnsi="宋体" w:eastAsia="宋体" w:cs="Times New Roman"/>
          <w:sz w:val="24"/>
        </w:rPr>
      </w:pPr>
      <w:r>
        <w:rPr>
          <w:rFonts w:ascii="宋体" w:hAnsi="宋体" w:eastAsia="宋体" w:cs="Times New Roman"/>
          <w:sz w:val="24"/>
        </w:rPr>
        <w:t>标准的编写格式按国家标准GB/T1.1-2009《标准化工作导则第1部分：标准的结构和编写》的统一规定和要求进行编写。</w:t>
      </w:r>
    </w:p>
    <w:p>
      <w:pPr>
        <w:numPr>
          <w:ilvl w:val="0"/>
          <w:numId w:val="5"/>
        </w:numPr>
        <w:spacing w:line="360" w:lineRule="auto"/>
        <w:ind w:firstLine="480" w:firstLineChars="200"/>
        <w:rPr>
          <w:rFonts w:ascii="宋体" w:hAnsi="宋体" w:eastAsia="宋体" w:cs="Times New Roman"/>
          <w:sz w:val="24"/>
        </w:rPr>
      </w:pPr>
      <w:r>
        <w:rPr>
          <w:rFonts w:ascii="宋体" w:hAnsi="宋体" w:eastAsia="宋体" w:cs="Times New Roman"/>
          <w:sz w:val="24"/>
        </w:rPr>
        <w:t>标准的主要内容和依据</w:t>
      </w:r>
    </w:p>
    <w:p>
      <w:pPr>
        <w:numPr>
          <w:ilvl w:val="1"/>
          <w:numId w:val="5"/>
        </w:numPr>
        <w:spacing w:line="360" w:lineRule="auto"/>
        <w:ind w:firstLine="480" w:firstLineChars="200"/>
        <w:rPr>
          <w:rFonts w:ascii="宋体" w:hAnsi="宋体" w:eastAsia="宋体" w:cs="Times New Roman"/>
          <w:sz w:val="24"/>
        </w:rPr>
      </w:pPr>
      <w:r>
        <w:rPr>
          <w:rFonts w:ascii="宋体" w:hAnsi="宋体" w:eastAsia="宋体" w:cs="Times New Roman"/>
          <w:sz w:val="24"/>
        </w:rPr>
        <w:t>标准的主要内容和适用范围</w:t>
      </w:r>
    </w:p>
    <w:p>
      <w:pPr>
        <w:spacing w:line="360" w:lineRule="auto"/>
        <w:ind w:firstLine="480" w:firstLineChars="200"/>
        <w:rPr>
          <w:rFonts w:ascii="宋体" w:hAnsi="宋体" w:eastAsia="宋体" w:cs="宋体"/>
          <w:kern w:val="11"/>
          <w:sz w:val="24"/>
        </w:rPr>
      </w:pPr>
      <w:r>
        <w:rPr>
          <w:rFonts w:ascii="宋体" w:hAnsi="宋体" w:eastAsia="宋体" w:cs="Times New Roman"/>
          <w:sz w:val="24"/>
        </w:rPr>
        <w:t>本标准规定了利用</w:t>
      </w:r>
      <w:r>
        <w:rPr>
          <w:rFonts w:hint="eastAsia" w:ascii="宋体" w:hAnsi="宋体" w:eastAsia="宋体" w:cs="宋体"/>
          <w:kern w:val="11"/>
          <w:sz w:val="24"/>
        </w:rPr>
        <w:t>本标准适用于同质碳化硅外延层厚度的测试，测试范围为厚度2μm-100μm</w:t>
      </w:r>
      <w:r>
        <w:rPr>
          <w:rFonts w:ascii="宋体" w:hAnsi="宋体" w:eastAsia="宋体" w:cs="Times New Roman"/>
          <w:sz w:val="24"/>
        </w:rPr>
        <w:t>。</w:t>
      </w:r>
    </w:p>
    <w:p>
      <w:pPr>
        <w:pStyle w:val="9"/>
        <w:spacing w:line="360" w:lineRule="auto"/>
        <w:ind w:left="420" w:firstLine="0" w:firstLineChars="0"/>
        <w:rPr>
          <w:rFonts w:ascii="宋体" w:hAnsi="宋体" w:eastAsia="宋体" w:cs="Times New Roman"/>
          <w:sz w:val="24"/>
        </w:rPr>
      </w:pPr>
      <w:r>
        <w:rPr>
          <w:rFonts w:ascii="宋体" w:hAnsi="宋体" w:eastAsia="宋体" w:cs="Times New Roman"/>
          <w:sz w:val="24"/>
        </w:rPr>
        <w:t>2.2 标准主要内容与确定依据</w:t>
      </w:r>
    </w:p>
    <w:p>
      <w:pPr>
        <w:pStyle w:val="9"/>
        <w:spacing w:line="360" w:lineRule="auto"/>
        <w:ind w:left="420" w:firstLine="0" w:firstLineChars="0"/>
        <w:rPr>
          <w:rFonts w:ascii="宋体" w:hAnsi="宋体" w:eastAsia="宋体" w:cs="Times New Roman"/>
          <w:sz w:val="24"/>
        </w:rPr>
      </w:pPr>
      <w:r>
        <w:rPr>
          <w:rFonts w:ascii="宋体" w:hAnsi="宋体" w:eastAsia="宋体" w:cs="Times New Roman"/>
          <w:sz w:val="24"/>
        </w:rPr>
        <w:t>2.2.1 本标准原理提要</w:t>
      </w:r>
    </w:p>
    <w:p>
      <w:pPr>
        <w:widowControl/>
        <w:autoSpaceDE w:val="0"/>
        <w:autoSpaceDN w:val="0"/>
        <w:spacing w:line="360" w:lineRule="auto"/>
        <w:ind w:firstLine="484" w:firstLineChars="202"/>
        <w:rPr>
          <w:rFonts w:ascii="宋体" w:hAnsi="宋体" w:eastAsia="宋体" w:cs="宋体"/>
          <w:kern w:val="11"/>
          <w:sz w:val="24"/>
        </w:rPr>
      </w:pPr>
      <w:r>
        <w:rPr>
          <w:rFonts w:hint="eastAsia" w:ascii="宋体" w:hAnsi="宋体" w:eastAsia="宋体" w:cs="宋体"/>
          <w:kern w:val="11"/>
          <w:sz w:val="24"/>
        </w:rPr>
        <w:t>4H碳化硅衬底与外延层因掺杂浓度的不同导致两者具有不同的折射率，因此试样的反射光谱会出现反应外延层厚度信息的连续干涉条纹。当外延层表面反射的光束和衬底界面反射的光束的光程差是半波长的整数倍时，反射光谱中可以观察到极大极小值。</w:t>
      </w:r>
    </w:p>
    <w:p>
      <w:pPr>
        <w:widowControl/>
        <w:autoSpaceDE w:val="0"/>
        <w:autoSpaceDN w:val="0"/>
        <w:spacing w:line="360" w:lineRule="auto"/>
        <w:ind w:firstLine="484" w:firstLineChars="202"/>
        <w:rPr>
          <w:rFonts w:ascii="宋体" w:hAnsi="宋体" w:eastAsia="宋体" w:cs="宋体"/>
          <w:kern w:val="11"/>
          <w:sz w:val="24"/>
        </w:rPr>
      </w:pPr>
      <w:r>
        <w:rPr>
          <w:rFonts w:hint="eastAsia" w:ascii="宋体" w:hAnsi="宋体" w:eastAsia="宋体" w:cs="宋体"/>
          <w:kern w:val="11"/>
          <w:sz w:val="24"/>
        </w:rPr>
        <w:t>当根据反射谱中干涉条纹的极值峰位，试样的光学常数以及入射角可以计算出相应的外延层厚度。</w:t>
      </w:r>
    </w:p>
    <w:p>
      <w:pPr>
        <w:pStyle w:val="9"/>
        <w:spacing w:line="360" w:lineRule="auto"/>
        <w:ind w:left="420" w:firstLine="0" w:firstLineChars="0"/>
        <w:rPr>
          <w:rFonts w:ascii="宋体" w:hAnsi="宋体" w:eastAsia="宋体" w:cs="Times New Roman"/>
          <w:sz w:val="24"/>
        </w:rPr>
      </w:pPr>
      <w:r>
        <w:rPr>
          <w:rFonts w:ascii="宋体" w:hAnsi="宋体" w:eastAsia="宋体"/>
          <w:sz w:val="24"/>
        </w:rPr>
        <w:drawing>
          <wp:inline distT="0" distB="0" distL="0" distR="0">
            <wp:extent cx="5274310" cy="37725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772535"/>
                    </a:xfrm>
                    <a:prstGeom prst="rect">
                      <a:avLst/>
                    </a:prstGeom>
                  </pic:spPr>
                </pic:pic>
              </a:graphicData>
            </a:graphic>
          </wp:inline>
        </w:drawing>
      </w:r>
    </w:p>
    <w:p>
      <w:pPr>
        <w:pStyle w:val="9"/>
        <w:spacing w:line="360" w:lineRule="auto"/>
        <w:ind w:left="420" w:firstLine="0" w:firstLineChars="0"/>
        <w:rPr>
          <w:rFonts w:ascii="宋体" w:hAnsi="宋体" w:eastAsia="宋体" w:cs="Times New Roman"/>
          <w:sz w:val="24"/>
        </w:rPr>
      </w:pPr>
      <w:r>
        <w:rPr>
          <w:rFonts w:ascii="宋体" w:hAnsi="宋体" w:eastAsia="宋体" w:cs="Times New Roman"/>
          <w:sz w:val="24"/>
        </w:rPr>
        <w:t>2.2.2 试样</w:t>
      </w:r>
      <w:r>
        <w:rPr>
          <w:rFonts w:hint="eastAsia" w:ascii="宋体" w:hAnsi="宋体" w:eastAsia="宋体" w:cs="Times New Roman"/>
          <w:sz w:val="24"/>
        </w:rPr>
        <w:t>要求</w:t>
      </w:r>
    </w:p>
    <w:p>
      <w:pPr>
        <w:spacing w:line="360" w:lineRule="auto"/>
        <w:ind w:firstLine="480" w:firstLineChars="200"/>
        <w:rPr>
          <w:rFonts w:ascii="宋体" w:hAnsi="宋体" w:eastAsia="宋体"/>
          <w:sz w:val="24"/>
        </w:rPr>
      </w:pPr>
      <w:r>
        <w:rPr>
          <w:rFonts w:hint="eastAsia" w:ascii="宋体" w:hAnsi="宋体" w:eastAsia="宋体"/>
          <w:sz w:val="24"/>
        </w:rPr>
        <w:t>试样表面应是高度反射的，无大面积的晶格不完整缺陷，以及除自然氧化层外不应该有钝化层。测量前试样表面应进行清洁处理，所使用的清洁处理方法不能影响到试样外延层厚度</w:t>
      </w:r>
    </w:p>
    <w:p>
      <w:pPr>
        <w:pStyle w:val="9"/>
        <w:spacing w:line="360" w:lineRule="auto"/>
        <w:ind w:left="420" w:firstLine="0" w:firstLineChars="0"/>
        <w:rPr>
          <w:rFonts w:ascii="宋体" w:hAnsi="宋体" w:eastAsia="宋体" w:cs="Times New Roman"/>
          <w:sz w:val="24"/>
        </w:rPr>
      </w:pPr>
      <w:r>
        <w:rPr>
          <w:rFonts w:ascii="宋体" w:hAnsi="宋体" w:eastAsia="宋体" w:cs="Times New Roman"/>
          <w:sz w:val="24"/>
        </w:rPr>
        <w:t>2.2.3 测试程序</w:t>
      </w:r>
    </w:p>
    <w:p>
      <w:pPr>
        <w:pStyle w:val="11"/>
        <w:numPr>
          <w:ilvl w:val="0"/>
          <w:numId w:val="0"/>
        </w:numPr>
        <w:spacing w:line="360" w:lineRule="auto"/>
        <w:ind w:left="-2" w:leftChars="-1" w:firstLine="480" w:firstLineChars="200"/>
        <w:rPr>
          <w:rFonts w:ascii="宋体" w:hAnsi="宋体" w:eastAsia="宋体" w:cstheme="minorBidi"/>
          <w:kern w:val="2"/>
          <w:sz w:val="24"/>
          <w:szCs w:val="24"/>
        </w:rPr>
      </w:pPr>
      <w:bookmarkStart w:id="0" w:name="_Toc500761459"/>
      <w:r>
        <w:rPr>
          <w:rFonts w:hint="eastAsia" w:ascii="宋体" w:hAnsi="宋体" w:eastAsia="宋体" w:cstheme="minorBidi"/>
          <w:kern w:val="2"/>
          <w:sz w:val="24"/>
          <w:szCs w:val="24"/>
        </w:rPr>
        <w:t>仪器校准</w:t>
      </w:r>
      <w:bookmarkEnd w:id="0"/>
      <w:r>
        <w:rPr>
          <w:rFonts w:ascii="宋体" w:hAnsi="宋体" w:eastAsia="宋体" w:cstheme="minorBidi"/>
          <w:kern w:val="2"/>
          <w:sz w:val="24"/>
          <w:szCs w:val="24"/>
        </w:rPr>
        <w:t>：</w:t>
      </w:r>
      <w:r>
        <w:rPr>
          <w:rFonts w:hint="eastAsia" w:ascii="宋体" w:hAnsi="宋体" w:eastAsia="宋体" w:cstheme="minorBidi"/>
          <w:kern w:val="2"/>
          <w:sz w:val="24"/>
          <w:szCs w:val="24"/>
        </w:rPr>
        <w:t xml:space="preserve"> 用厚度为 300-500 </w:t>
      </w:r>
      <w:r>
        <w:rPr>
          <w:rFonts w:ascii="宋体" w:hAnsi="宋体" w:eastAsia="宋体" w:cstheme="minorBidi"/>
          <w:kern w:val="2"/>
          <w:sz w:val="24"/>
          <w:szCs w:val="24"/>
        </w:rPr>
        <w:t>µ</w:t>
      </w:r>
      <w:r>
        <w:rPr>
          <w:rFonts w:hint="eastAsia" w:ascii="宋体" w:hAnsi="宋体" w:eastAsia="宋体" w:cstheme="minorBidi"/>
          <w:kern w:val="2"/>
          <w:sz w:val="24"/>
          <w:szCs w:val="24"/>
        </w:rPr>
        <w:t>m的聚苯乙烯膜做标样，以标样的 1601.6 cm</w:t>
      </w:r>
      <w:r>
        <w:rPr>
          <w:rFonts w:hint="eastAsia" w:ascii="宋体" w:hAnsi="宋体" w:eastAsia="宋体" w:cstheme="minorBidi"/>
          <w:kern w:val="2"/>
          <w:sz w:val="24"/>
          <w:szCs w:val="24"/>
          <w:vertAlign w:val="superscript"/>
        </w:rPr>
        <w:t>-1</w:t>
      </w:r>
      <w:r>
        <w:rPr>
          <w:rFonts w:hint="eastAsia" w:ascii="宋体" w:hAnsi="宋体" w:eastAsia="宋体" w:cstheme="minorBidi"/>
          <w:kern w:val="2"/>
          <w:sz w:val="24"/>
          <w:szCs w:val="24"/>
        </w:rPr>
        <w:t xml:space="preserve"> 或 648.9 cm</w:t>
      </w:r>
      <w:r>
        <w:rPr>
          <w:rFonts w:hint="eastAsia" w:ascii="宋体" w:hAnsi="宋体" w:eastAsia="宋体" w:cstheme="minorBidi"/>
          <w:kern w:val="2"/>
          <w:sz w:val="24"/>
          <w:szCs w:val="24"/>
          <w:vertAlign w:val="superscript"/>
        </w:rPr>
        <w:t>-1</w:t>
      </w:r>
      <w:r>
        <w:rPr>
          <w:rFonts w:hint="eastAsia" w:ascii="宋体" w:hAnsi="宋体" w:eastAsia="宋体" w:cstheme="minorBidi"/>
          <w:kern w:val="2"/>
          <w:sz w:val="24"/>
          <w:szCs w:val="24"/>
        </w:rPr>
        <w:t xml:space="preserve"> 峰为测量参考峰。将反射附件置于光路中，测量100%线，其峰谷值应小于8%。</w:t>
      </w:r>
    </w:p>
    <w:p>
      <w:pPr>
        <w:pStyle w:val="11"/>
        <w:numPr>
          <w:ilvl w:val="0"/>
          <w:numId w:val="0"/>
        </w:numPr>
        <w:spacing w:line="360" w:lineRule="auto"/>
        <w:ind w:firstLine="480" w:firstLineChars="200"/>
        <w:rPr>
          <w:rFonts w:ascii="宋体" w:hAnsi="宋体" w:eastAsia="宋体" w:cstheme="minorBidi"/>
          <w:kern w:val="2"/>
          <w:sz w:val="24"/>
          <w:szCs w:val="24"/>
        </w:rPr>
      </w:pPr>
      <w:bookmarkStart w:id="1" w:name="_Toc500761460"/>
      <w:r>
        <w:rPr>
          <w:rFonts w:hint="eastAsia" w:ascii="宋体" w:hAnsi="宋体" w:eastAsia="宋体" w:cstheme="minorBidi"/>
          <w:kern w:val="2"/>
          <w:sz w:val="24"/>
          <w:szCs w:val="24"/>
        </w:rPr>
        <w:t>测量条件</w:t>
      </w:r>
      <w:bookmarkEnd w:id="1"/>
      <w:r>
        <w:rPr>
          <w:rFonts w:hint="eastAsia" w:ascii="宋体" w:hAnsi="宋体" w:eastAsia="宋体" w:cstheme="minorBidi"/>
          <w:kern w:val="2"/>
          <w:sz w:val="24"/>
          <w:szCs w:val="24"/>
        </w:rPr>
        <w:t>的选择</w:t>
      </w:r>
      <w:r>
        <w:rPr>
          <w:rFonts w:ascii="宋体" w:hAnsi="宋体" w:eastAsia="宋体" w:cstheme="minorBidi"/>
          <w:kern w:val="2"/>
          <w:sz w:val="24"/>
          <w:szCs w:val="24"/>
        </w:rPr>
        <w:t>：</w:t>
      </w:r>
      <w:r>
        <w:rPr>
          <w:rFonts w:hint="eastAsia" w:ascii="宋体" w:hAnsi="宋体" w:eastAsia="宋体" w:cstheme="minorBidi"/>
          <w:kern w:val="2"/>
          <w:sz w:val="24"/>
          <w:szCs w:val="24"/>
        </w:rPr>
        <w:t>对光栅式分光光度计，参照下列步骤选取最佳扫描速度。</w:t>
      </w:r>
    </w:p>
    <w:p>
      <w:pPr>
        <w:pStyle w:val="11"/>
        <w:numPr>
          <w:ilvl w:val="0"/>
          <w:numId w:val="0"/>
        </w:numPr>
        <w:spacing w:line="360" w:lineRule="auto"/>
        <w:ind w:firstLine="480" w:firstLineChars="200"/>
        <w:rPr>
          <w:rFonts w:ascii="宋体" w:hAnsi="宋体" w:eastAsia="宋体" w:cstheme="minorBidi"/>
          <w:kern w:val="2"/>
          <w:sz w:val="24"/>
          <w:szCs w:val="24"/>
        </w:rPr>
      </w:pPr>
      <w:r>
        <w:rPr>
          <w:rFonts w:hint="eastAsia" w:ascii="宋体" w:hAnsi="宋体" w:eastAsia="宋体" w:cstheme="minorBidi"/>
          <w:kern w:val="2"/>
          <w:sz w:val="24"/>
          <w:szCs w:val="24"/>
        </w:rPr>
        <w:t>选取一试样，使其光谱在1000-5500 nm的范围内有明显的干涉条纹。选择适当的掩膜孔。放置试样到测量设备上，用可用的最慢扫描速度记录在1000-5500 nm的范围内的极值的谱图。记录极小值的位置。分步增加扫描速度并记录每一扫描速度下极小值的位置。所有容许的扫描速度相对最慢扫描速度所对应的极小值位置有不超过士1 nm的极小值位移变化。对傅里叶变换红外光谱仪所使用的分辨率应不低于4 cm</w:t>
      </w:r>
      <w:r>
        <w:rPr>
          <w:rFonts w:hint="eastAsia" w:ascii="宋体" w:hAnsi="宋体" w:eastAsia="宋体" w:cstheme="minorBidi"/>
          <w:kern w:val="2"/>
          <w:sz w:val="24"/>
          <w:szCs w:val="24"/>
          <w:vertAlign w:val="superscript"/>
        </w:rPr>
        <w:t>-1</w:t>
      </w:r>
      <w:r>
        <w:rPr>
          <w:rFonts w:hint="eastAsia" w:ascii="宋体" w:hAnsi="宋体" w:eastAsia="宋体" w:cstheme="minorBidi"/>
          <w:kern w:val="2"/>
          <w:sz w:val="24"/>
          <w:szCs w:val="24"/>
        </w:rPr>
        <w:t>。</w:t>
      </w:r>
    </w:p>
    <w:p>
      <w:pPr>
        <w:pStyle w:val="9"/>
        <w:numPr>
          <w:ilvl w:val="2"/>
          <w:numId w:val="3"/>
        </w:numPr>
        <w:spacing w:line="360" w:lineRule="auto"/>
        <w:ind w:firstLineChars="0"/>
        <w:rPr>
          <w:rFonts w:ascii="宋体" w:hAnsi="宋体" w:eastAsia="宋体" w:cs="Times New Roman"/>
          <w:sz w:val="24"/>
        </w:rPr>
      </w:pPr>
      <w:r>
        <w:rPr>
          <w:rFonts w:ascii="宋体" w:hAnsi="宋体" w:eastAsia="宋体" w:cs="Times New Roman"/>
          <w:sz w:val="24"/>
        </w:rPr>
        <w:t>结果计算</w:t>
      </w:r>
    </w:p>
    <w:p>
      <w:pPr>
        <w:pStyle w:val="9"/>
        <w:ind w:left="420" w:firstLine="0" w:firstLineChars="0"/>
        <w:rPr>
          <w:rFonts w:ascii="宋体" w:hAnsi="宋体" w:eastAsia="宋体"/>
          <w:sz w:val="24"/>
        </w:rPr>
      </w:pPr>
      <w:r>
        <w:rPr>
          <w:rFonts w:hint="eastAsia" w:ascii="宋体" w:hAnsi="宋体" w:eastAsia="宋体"/>
          <w:sz w:val="24"/>
        </w:rPr>
        <w:t>使用公式（9）实现极值的波数与波长的相互转换：</w:t>
      </w:r>
    </w:p>
    <w:p>
      <w:pPr>
        <w:pStyle w:val="25"/>
        <w:ind w:left="437" w:right="210" w:firstLine="0"/>
        <w:jc w:val="right"/>
        <w:rPr>
          <w:rFonts w:ascii="宋体" w:hAnsi="宋体"/>
          <w:sz w:val="24"/>
        </w:rPr>
      </w:pPr>
      <w:r>
        <w:rPr>
          <w:rFonts w:hint="eastAsia" w:ascii="宋体" w:hAnsi="宋体"/>
          <w:sz w:val="24"/>
        </w:rPr>
        <w:t xml:space="preserve">                                                                                       </w:t>
      </w:r>
      <w:r>
        <w:rPr>
          <w:rFonts w:ascii="宋体" w:hAnsi="宋体"/>
          <w:position w:val="-30"/>
          <w:sz w:val="24"/>
        </w:rPr>
        <w:object>
          <v:shape id="_x0000_i1025" o:spt="75" type="#_x0000_t75" style="height:34.15pt;width: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宋体" w:hAnsi="宋体"/>
          <w:sz w:val="24"/>
        </w:rPr>
        <w:t>…………………………………………………………</w:t>
      </w:r>
      <w:r>
        <w:rPr>
          <w:rFonts w:hint="eastAsia" w:ascii="宋体" w:hAnsi="宋体"/>
          <w:sz w:val="24"/>
        </w:rPr>
        <w:t>(9)</w:t>
      </w:r>
    </w:p>
    <w:p>
      <w:pPr>
        <w:pStyle w:val="10"/>
        <w:spacing w:line="360" w:lineRule="auto"/>
        <w:ind w:firstLine="480"/>
        <w:rPr>
          <w:rFonts w:hAnsi="宋体"/>
          <w:sz w:val="24"/>
          <w:szCs w:val="24"/>
        </w:rPr>
      </w:pPr>
      <w:r>
        <w:rPr>
          <w:rFonts w:hint="eastAsia" w:hAnsi="宋体"/>
          <w:sz w:val="24"/>
          <w:szCs w:val="24"/>
        </w:rPr>
        <w:t>式中：</w:t>
      </w:r>
    </w:p>
    <w:p>
      <w:pPr>
        <w:pStyle w:val="10"/>
        <w:spacing w:line="360" w:lineRule="auto"/>
        <w:ind w:firstLine="480"/>
        <w:rPr>
          <w:rFonts w:hAnsi="宋体"/>
          <w:sz w:val="24"/>
          <w:szCs w:val="24"/>
        </w:rPr>
      </w:pPr>
      <w:r>
        <w:rPr>
          <w:rFonts w:hAnsi="宋体"/>
          <w:i/>
          <w:sz w:val="24"/>
          <w:szCs w:val="24"/>
        </w:rPr>
        <w:t>λ</w:t>
      </w:r>
      <w:r>
        <w:rPr>
          <w:rFonts w:hint="eastAsia" w:hAnsi="宋体"/>
          <w:i/>
          <w:sz w:val="24"/>
          <w:szCs w:val="24"/>
          <w:vertAlign w:val="subscript"/>
        </w:rPr>
        <w:t>i</w:t>
      </w:r>
      <w:r>
        <w:rPr>
          <w:rFonts w:hint="eastAsia" w:hAnsi="宋体"/>
          <w:sz w:val="24"/>
          <w:szCs w:val="24"/>
        </w:rPr>
        <w:t>——第i个极值波长，单位为纳米（nm）；</w:t>
      </w:r>
    </w:p>
    <w:p>
      <w:pPr>
        <w:pStyle w:val="10"/>
        <w:spacing w:line="360" w:lineRule="auto"/>
        <w:ind w:left="199" w:firstLine="0" w:firstLineChars="0"/>
        <w:rPr>
          <w:rFonts w:hAnsi="宋体"/>
          <w:sz w:val="24"/>
          <w:szCs w:val="24"/>
        </w:rPr>
      </w:pPr>
      <w:r>
        <w:rPr>
          <w:rFonts w:hint="eastAsia" w:hAnsi="宋体"/>
          <w:sz w:val="24"/>
          <w:szCs w:val="24"/>
        </w:rPr>
        <w:t xml:space="preserve">  </w:t>
      </w:r>
      <w:r>
        <w:rPr>
          <w:rFonts w:hAnsi="宋体"/>
          <w:i/>
          <w:sz w:val="24"/>
          <w:szCs w:val="24"/>
        </w:rPr>
        <w:t>υ</w:t>
      </w:r>
      <w:r>
        <w:rPr>
          <w:rFonts w:hint="eastAsia" w:hAnsi="宋体"/>
          <w:i/>
          <w:sz w:val="24"/>
          <w:szCs w:val="24"/>
          <w:vertAlign w:val="subscript"/>
        </w:rPr>
        <w:t>i</w:t>
      </w:r>
      <w:r>
        <w:rPr>
          <w:rFonts w:hint="eastAsia" w:hAnsi="宋体"/>
          <w:sz w:val="24"/>
          <w:szCs w:val="24"/>
        </w:rPr>
        <w:t>——第i个极值波数，单位为每厘米（cm</w:t>
      </w:r>
      <w:r>
        <w:rPr>
          <w:rFonts w:hint="eastAsia" w:hAnsi="宋体"/>
          <w:sz w:val="24"/>
          <w:szCs w:val="24"/>
          <w:vertAlign w:val="superscript"/>
        </w:rPr>
        <w:t>-1</w:t>
      </w:r>
      <w:r>
        <w:rPr>
          <w:rFonts w:hint="eastAsia" w:hAnsi="宋体"/>
          <w:sz w:val="24"/>
          <w:szCs w:val="24"/>
        </w:rPr>
        <w:t>）；</w:t>
      </w:r>
    </w:p>
    <w:p>
      <w:pPr>
        <w:pStyle w:val="10"/>
        <w:spacing w:line="360" w:lineRule="auto"/>
        <w:ind w:left="420" w:firstLine="0" w:firstLineChars="0"/>
        <w:rPr>
          <w:rFonts w:hAnsi="宋体"/>
          <w:sz w:val="24"/>
          <w:szCs w:val="24"/>
        </w:rPr>
      </w:pPr>
      <w:r>
        <w:rPr>
          <w:rFonts w:hint="eastAsia" w:hAnsi="宋体"/>
          <w:sz w:val="24"/>
          <w:szCs w:val="24"/>
        </w:rPr>
        <w:t>用公式（1）计算得到的极值的级数，并对所得级数进行舍入处理，极大值取整数，极小值取半整数。计算出一个级数后，按波长递增级数递减的顺序求得其余的极值级数。</w:t>
      </w:r>
    </w:p>
    <w:p>
      <w:pPr>
        <w:pStyle w:val="9"/>
        <w:spacing w:line="360" w:lineRule="auto"/>
        <w:ind w:left="420" w:firstLine="0" w:firstLineChars="0"/>
        <w:rPr>
          <w:rFonts w:ascii="宋体" w:hAnsi="宋体" w:eastAsia="宋体"/>
          <w:sz w:val="24"/>
        </w:rPr>
      </w:pPr>
      <w:r>
        <w:rPr>
          <w:rFonts w:hint="eastAsia" w:ascii="宋体" w:hAnsi="宋体" w:eastAsia="宋体"/>
          <w:sz w:val="24"/>
        </w:rPr>
        <w:t>用公式（2）计算各个级数下的外延层的厚度，并计算厚度平均值。</w:t>
      </w:r>
    </w:p>
    <w:p>
      <w:pPr>
        <w:pStyle w:val="9"/>
        <w:numPr>
          <w:ilvl w:val="2"/>
          <w:numId w:val="3"/>
        </w:numPr>
        <w:spacing w:line="360" w:lineRule="auto"/>
        <w:ind w:firstLineChars="0"/>
        <w:rPr>
          <w:rFonts w:ascii="宋体" w:hAnsi="宋体" w:eastAsia="宋体" w:cs="Times New Roman"/>
          <w:sz w:val="24"/>
        </w:rPr>
      </w:pPr>
      <w:r>
        <w:rPr>
          <w:rFonts w:ascii="宋体" w:hAnsi="宋体" w:eastAsia="宋体" w:cs="Times New Roman"/>
          <w:sz w:val="24"/>
        </w:rPr>
        <w:t>计算</w:t>
      </w:r>
      <w:r>
        <w:rPr>
          <w:rFonts w:hint="eastAsia" w:ascii="宋体" w:hAnsi="宋体" w:eastAsia="宋体" w:cs="Times New Roman"/>
          <w:sz w:val="24"/>
        </w:rPr>
        <w:t>步骤</w:t>
      </w:r>
    </w:p>
    <w:p>
      <w:pPr>
        <w:pStyle w:val="10"/>
        <w:spacing w:line="360" w:lineRule="auto"/>
        <w:ind w:firstLineChars="0"/>
        <w:rPr>
          <w:rFonts w:hAnsi="宋体" w:cstheme="minorBidi"/>
          <w:kern w:val="2"/>
          <w:sz w:val="24"/>
          <w:szCs w:val="24"/>
        </w:rPr>
      </w:pPr>
      <w:r>
        <w:rPr>
          <w:rFonts w:hint="eastAsia" w:hAnsi="宋体" w:cstheme="minorBidi"/>
          <w:kern w:val="2"/>
          <w:sz w:val="24"/>
          <w:szCs w:val="24"/>
        </w:rPr>
        <w:t>按图A.1 所示典型的 n/n+-4H-SiC 外延片样品反射光谱图计算外延层厚度。反射附件的入射角</w:t>
      </w:r>
      <w:r>
        <w:rPr>
          <w:rFonts w:hAnsi="宋体" w:cstheme="minorBidi"/>
          <w:kern w:val="2"/>
          <w:sz w:val="24"/>
          <w:szCs w:val="24"/>
        </w:rPr>
        <w:t>θ</w:t>
      </w:r>
      <w:r>
        <w:rPr>
          <w:rFonts w:hint="eastAsia" w:hAnsi="宋体" w:cstheme="minorBidi"/>
          <w:kern w:val="2"/>
          <w:sz w:val="24"/>
          <w:szCs w:val="24"/>
        </w:rPr>
        <w:t>=5</w:t>
      </w:r>
      <w:r>
        <w:rPr>
          <w:rFonts w:hAnsi="宋体" w:cstheme="minorBidi"/>
          <w:kern w:val="2"/>
          <w:sz w:val="24"/>
          <w:szCs w:val="24"/>
        </w:rPr>
        <w:t>°</w:t>
      </w:r>
      <w:r>
        <w:rPr>
          <w:rFonts w:hint="eastAsia" w:hAnsi="宋体" w:cstheme="minorBidi"/>
          <w:kern w:val="2"/>
          <w:sz w:val="24"/>
          <w:szCs w:val="24"/>
        </w:rPr>
        <w:t>。这里以第2个极值处的厚度计算为例，其他极值处的厚度计算以相同方法获得。</w:t>
      </w:r>
    </w:p>
    <w:p>
      <w:pPr>
        <w:pStyle w:val="10"/>
        <w:spacing w:line="360" w:lineRule="auto"/>
        <w:ind w:firstLine="480"/>
        <w:rPr>
          <w:rFonts w:hAnsi="宋体" w:cstheme="minorBidi"/>
          <w:kern w:val="2"/>
          <w:sz w:val="24"/>
          <w:szCs w:val="24"/>
        </w:rPr>
      </w:pPr>
      <w:r>
        <w:rPr>
          <w:rFonts w:hint="eastAsia" w:hAnsi="宋体" w:cstheme="minorBidi"/>
          <w:kern w:val="2"/>
          <w:sz w:val="24"/>
          <w:szCs w:val="24"/>
        </w:rPr>
        <w:t>A.1.1 选定参考波长：设</w:t>
      </w:r>
      <w:r>
        <w:rPr>
          <w:rFonts w:hAnsi="宋体" w:cstheme="minorBidi"/>
          <w:kern w:val="2"/>
          <w:sz w:val="24"/>
          <w:szCs w:val="24"/>
        </w:rPr>
        <w:t>λ</w:t>
      </w:r>
      <w:r>
        <w:rPr>
          <w:rFonts w:hint="eastAsia" w:hAnsi="宋体" w:cstheme="minorBidi"/>
          <w:kern w:val="2"/>
          <w:sz w:val="24"/>
          <w:szCs w:val="24"/>
        </w:rPr>
        <w:t>1 = 2303 nm；</w:t>
      </w:r>
    </w:p>
    <w:p>
      <w:pPr>
        <w:pStyle w:val="10"/>
        <w:spacing w:line="360" w:lineRule="auto"/>
        <w:ind w:firstLine="480"/>
        <w:rPr>
          <w:rFonts w:hAnsi="宋体" w:cstheme="minorBidi"/>
          <w:kern w:val="2"/>
          <w:sz w:val="24"/>
          <w:szCs w:val="24"/>
        </w:rPr>
      </w:pPr>
      <w:r>
        <w:rPr>
          <w:rFonts w:hint="eastAsia" w:hAnsi="宋体" w:cstheme="minorBidi"/>
          <w:kern w:val="2"/>
          <w:sz w:val="24"/>
          <w:szCs w:val="24"/>
        </w:rPr>
        <w:t>A.1.2 计算其他极值处的外延层厚度：</w:t>
      </w:r>
    </w:p>
    <w:p>
      <w:pPr>
        <w:pStyle w:val="10"/>
        <w:spacing w:line="360" w:lineRule="auto"/>
        <w:ind w:firstLine="480"/>
        <w:rPr>
          <w:rFonts w:hAnsi="宋体" w:cstheme="minorBidi"/>
          <w:kern w:val="2"/>
          <w:sz w:val="24"/>
          <w:szCs w:val="24"/>
        </w:rPr>
      </w:pPr>
      <w:r>
        <w:rPr>
          <w:rFonts w:hint="eastAsia" w:hAnsi="宋体" w:cstheme="minorBidi"/>
          <w:kern w:val="2"/>
          <w:sz w:val="24"/>
          <w:szCs w:val="24"/>
        </w:rPr>
        <w:t>从图A.1可以得出：</w:t>
      </w:r>
      <w:r>
        <w:rPr>
          <w:rFonts w:hAnsi="宋体" w:cstheme="minorBidi"/>
          <w:kern w:val="2"/>
          <w:sz w:val="24"/>
          <w:szCs w:val="24"/>
        </w:rPr>
        <w:t>λ</w:t>
      </w:r>
      <w:r>
        <w:rPr>
          <w:rFonts w:hint="eastAsia" w:hAnsi="宋体" w:cstheme="minorBidi"/>
          <w:kern w:val="2"/>
          <w:sz w:val="24"/>
          <w:szCs w:val="24"/>
        </w:rPr>
        <w:t>2 = 2209.8 nm；m = 1；</w:t>
      </w:r>
    </w:p>
    <w:p>
      <w:pPr>
        <w:pStyle w:val="10"/>
        <w:spacing w:line="360" w:lineRule="auto"/>
        <w:ind w:firstLine="480"/>
        <w:rPr>
          <w:rFonts w:hAnsi="宋体" w:cstheme="minorBidi"/>
          <w:kern w:val="2"/>
          <w:sz w:val="24"/>
          <w:szCs w:val="24"/>
        </w:rPr>
      </w:pPr>
      <w:r>
        <w:rPr>
          <w:rFonts w:hint="eastAsia" w:hAnsi="宋体" w:cstheme="minorBidi"/>
          <w:kern w:val="2"/>
          <w:sz w:val="24"/>
          <w:szCs w:val="24"/>
        </w:rPr>
        <w:t>将以上数据带入公式（1），得：P = 25.2；取P = 25；</w:t>
      </w:r>
    </w:p>
    <w:p>
      <w:pPr>
        <w:pStyle w:val="10"/>
        <w:spacing w:line="360" w:lineRule="auto"/>
        <w:ind w:firstLine="480"/>
        <w:rPr>
          <w:rFonts w:hAnsi="宋体" w:cstheme="minorBidi"/>
          <w:kern w:val="2"/>
          <w:sz w:val="24"/>
          <w:szCs w:val="24"/>
        </w:rPr>
      </w:pPr>
      <w:r>
        <w:rPr>
          <w:rFonts w:hint="eastAsia" w:hAnsi="宋体" w:cstheme="minorBidi"/>
          <w:kern w:val="2"/>
          <w:sz w:val="24"/>
          <w:szCs w:val="24"/>
        </w:rPr>
        <w:t xml:space="preserve">将数据带入公式（2），得：T = 10.62 </w:t>
      </w:r>
      <w:r>
        <w:rPr>
          <w:rFonts w:hAnsi="宋体" w:cstheme="minorBidi"/>
          <w:kern w:val="2"/>
          <w:sz w:val="24"/>
          <w:szCs w:val="24"/>
        </w:rPr>
        <w:t>µ</w:t>
      </w:r>
      <w:r>
        <w:rPr>
          <w:rFonts w:hint="eastAsia" w:hAnsi="宋体" w:cstheme="minorBidi"/>
          <w:kern w:val="2"/>
          <w:sz w:val="24"/>
          <w:szCs w:val="24"/>
        </w:rPr>
        <w:t>m。</w:t>
      </w:r>
    </w:p>
    <w:p>
      <w:pPr>
        <w:pStyle w:val="10"/>
        <w:ind w:firstLine="480"/>
        <w:rPr>
          <w:rFonts w:hAnsi="宋体" w:cstheme="minorBidi"/>
          <w:kern w:val="2"/>
          <w:sz w:val="24"/>
          <w:szCs w:val="24"/>
        </w:rPr>
      </w:pPr>
      <w:r>
        <w:rPr>
          <w:rFonts w:hint="eastAsia" w:hAnsi="宋体" w:cstheme="minorBidi"/>
          <w:kern w:val="2"/>
          <w:sz w:val="24"/>
          <w:szCs w:val="24"/>
        </w:rPr>
        <w:t>将样品厚度计算结果列于表A.1中：</w:t>
      </w: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rPr>
          <w:rFonts w:hAnsi="宋体" w:cstheme="minorBidi"/>
          <w:kern w:val="2"/>
          <w:sz w:val="24"/>
          <w:szCs w:val="24"/>
        </w:rPr>
      </w:pPr>
    </w:p>
    <w:p>
      <w:pPr>
        <w:pStyle w:val="10"/>
        <w:ind w:firstLineChars="0"/>
        <w:jc w:val="center"/>
        <w:rPr>
          <w:rFonts w:ascii="黑体" w:hAnsi="宋体" w:eastAsia="黑体"/>
        </w:rPr>
      </w:pPr>
      <w:r>
        <w:rPr>
          <w:rFonts w:hint="eastAsia" w:ascii="黑体" w:hAnsi="宋体" w:eastAsia="黑体"/>
        </w:rPr>
        <w:t>表 A.1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165"/>
        <w:gridCol w:w="210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i/>
              </w:rPr>
            </w:pPr>
            <w:r>
              <w:rPr>
                <w:rFonts w:hint="eastAsia" w:hAnsi="宋体"/>
                <w:i/>
              </w:rPr>
              <w:t>i</w:t>
            </w:r>
          </w:p>
        </w:tc>
        <w:tc>
          <w:tcPr>
            <w:tcW w:w="2165" w:type="dxa"/>
          </w:tcPr>
          <w:p>
            <w:pPr>
              <w:pStyle w:val="10"/>
              <w:widowControl w:val="0"/>
              <w:ind w:firstLine="0" w:firstLineChars="0"/>
              <w:jc w:val="center"/>
              <w:rPr>
                <w:rFonts w:hAnsi="宋体"/>
              </w:rPr>
            </w:pPr>
            <w:r>
              <w:rPr>
                <w:rFonts w:hint="eastAsia" w:hAnsi="宋体"/>
                <w:i/>
              </w:rPr>
              <w:t>λ</w:t>
            </w:r>
            <w:r>
              <w:rPr>
                <w:rFonts w:hint="eastAsia" w:hAnsi="宋体"/>
                <w:i/>
                <w:vertAlign w:val="subscript"/>
              </w:rPr>
              <w:t>i</w:t>
            </w:r>
            <w:r>
              <w:rPr>
                <w:rFonts w:hint="eastAsia" w:hAnsi="宋体"/>
              </w:rPr>
              <w:t>/nm</w:t>
            </w:r>
          </w:p>
        </w:tc>
        <w:tc>
          <w:tcPr>
            <w:tcW w:w="2104" w:type="dxa"/>
          </w:tcPr>
          <w:p>
            <w:pPr>
              <w:pStyle w:val="10"/>
              <w:widowControl w:val="0"/>
              <w:ind w:firstLine="0" w:firstLineChars="0"/>
              <w:jc w:val="center"/>
              <w:rPr>
                <w:rFonts w:hAnsi="宋体"/>
                <w:i/>
              </w:rPr>
            </w:pPr>
            <w:r>
              <w:rPr>
                <w:rFonts w:hint="eastAsia" w:hAnsi="宋体"/>
                <w:i/>
              </w:rPr>
              <w:t>P</w:t>
            </w:r>
            <w:r>
              <w:rPr>
                <w:rFonts w:hint="eastAsia" w:hAnsi="宋体"/>
                <w:i/>
                <w:vertAlign w:val="subscript"/>
              </w:rPr>
              <w:t>i</w:t>
            </w:r>
          </w:p>
        </w:tc>
        <w:tc>
          <w:tcPr>
            <w:tcW w:w="2150" w:type="dxa"/>
          </w:tcPr>
          <w:p>
            <w:pPr>
              <w:pStyle w:val="10"/>
              <w:widowControl w:val="0"/>
              <w:ind w:firstLine="0" w:firstLineChars="0"/>
              <w:jc w:val="center"/>
              <w:rPr>
                <w:rFonts w:hAnsi="宋体"/>
              </w:rPr>
            </w:pPr>
            <w:r>
              <w:rPr>
                <w:rFonts w:hint="eastAsia" w:hAnsi="宋体"/>
                <w:i/>
              </w:rPr>
              <w:t>T</w:t>
            </w:r>
            <w:r>
              <w:rPr>
                <w:rFonts w:hint="eastAsia" w:hAnsi="宋体"/>
                <w:i/>
                <w:vertAlign w:val="subscript"/>
              </w:rPr>
              <w:t>i</w:t>
            </w:r>
            <w:r>
              <w:rPr>
                <w:rFonts w:hint="eastAsia" w:hAnsi="宋体"/>
              </w:rPr>
              <w:t>/</w:t>
            </w:r>
            <w:r>
              <w:rPr>
                <w:rFonts w:ascii="Times New Roman"/>
              </w:rPr>
              <w:t>µ</w:t>
            </w:r>
            <w:r>
              <w:rPr>
                <w:rFonts w:hint="eastAsia" w:hAnsi="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1</w:t>
            </w:r>
          </w:p>
        </w:tc>
        <w:tc>
          <w:tcPr>
            <w:tcW w:w="2165" w:type="dxa"/>
          </w:tcPr>
          <w:p>
            <w:pPr>
              <w:pStyle w:val="10"/>
              <w:widowControl w:val="0"/>
              <w:ind w:firstLine="0" w:firstLineChars="0"/>
              <w:jc w:val="center"/>
              <w:rPr>
                <w:rFonts w:hAnsi="宋体"/>
              </w:rPr>
            </w:pPr>
            <w:r>
              <w:rPr>
                <w:rFonts w:hint="eastAsia" w:hAnsi="宋体"/>
              </w:rPr>
              <w:t>2303</w:t>
            </w:r>
          </w:p>
        </w:tc>
        <w:tc>
          <w:tcPr>
            <w:tcW w:w="2104" w:type="dxa"/>
          </w:tcPr>
          <w:p>
            <w:pPr>
              <w:pStyle w:val="10"/>
              <w:widowControl w:val="0"/>
              <w:ind w:firstLine="0" w:firstLineChars="0"/>
              <w:jc w:val="center"/>
              <w:rPr>
                <w:rFonts w:hAnsi="宋体"/>
              </w:rPr>
            </w:pPr>
            <w:r>
              <w:rPr>
                <w:rFonts w:hint="eastAsia" w:hAnsi="宋体"/>
              </w:rPr>
              <w:t>-</w:t>
            </w:r>
          </w:p>
        </w:tc>
        <w:tc>
          <w:tcPr>
            <w:tcW w:w="2150" w:type="dxa"/>
          </w:tcPr>
          <w:p>
            <w:pPr>
              <w:pStyle w:val="10"/>
              <w:widowControl w:val="0"/>
              <w:ind w:firstLine="0" w:firstLineChars="0"/>
              <w:jc w:val="center"/>
              <w:rPr>
                <w:rFonts w:hAnsi="宋体"/>
              </w:rPr>
            </w:pP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2</w:t>
            </w:r>
          </w:p>
        </w:tc>
        <w:tc>
          <w:tcPr>
            <w:tcW w:w="2165" w:type="dxa"/>
          </w:tcPr>
          <w:p>
            <w:pPr>
              <w:pStyle w:val="10"/>
              <w:widowControl w:val="0"/>
              <w:ind w:firstLine="0" w:firstLineChars="0"/>
              <w:jc w:val="center"/>
              <w:rPr>
                <w:rFonts w:hAnsi="宋体"/>
              </w:rPr>
            </w:pPr>
            <w:r>
              <w:rPr>
                <w:rFonts w:hint="eastAsia" w:hAnsi="宋体"/>
              </w:rPr>
              <w:t>2209.8</w:t>
            </w:r>
          </w:p>
        </w:tc>
        <w:tc>
          <w:tcPr>
            <w:tcW w:w="2104" w:type="dxa"/>
          </w:tcPr>
          <w:p>
            <w:pPr>
              <w:pStyle w:val="10"/>
              <w:widowControl w:val="0"/>
              <w:ind w:firstLine="0" w:firstLineChars="0"/>
              <w:jc w:val="center"/>
              <w:rPr>
                <w:rFonts w:hAnsi="宋体"/>
              </w:rPr>
            </w:pPr>
            <w:r>
              <w:rPr>
                <w:rFonts w:hint="eastAsia" w:hAnsi="宋体"/>
              </w:rPr>
              <w:t>25</w:t>
            </w:r>
          </w:p>
        </w:tc>
        <w:tc>
          <w:tcPr>
            <w:tcW w:w="2150" w:type="dxa"/>
          </w:tcPr>
          <w:p>
            <w:pPr>
              <w:pStyle w:val="10"/>
              <w:widowControl w:val="0"/>
              <w:ind w:firstLine="0" w:firstLineChars="0"/>
              <w:jc w:val="center"/>
              <w:rPr>
                <w:rFonts w:hAnsi="宋体"/>
              </w:rPr>
            </w:pPr>
            <w:r>
              <w:rPr>
                <w:rFonts w:hint="eastAsia" w:hAnsi="宋体"/>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3</w:t>
            </w:r>
          </w:p>
        </w:tc>
        <w:tc>
          <w:tcPr>
            <w:tcW w:w="2165" w:type="dxa"/>
          </w:tcPr>
          <w:p>
            <w:pPr>
              <w:pStyle w:val="10"/>
              <w:widowControl w:val="0"/>
              <w:ind w:firstLine="0" w:firstLineChars="0"/>
              <w:jc w:val="center"/>
              <w:rPr>
                <w:rFonts w:hAnsi="宋体"/>
              </w:rPr>
            </w:pPr>
            <w:r>
              <w:rPr>
                <w:rFonts w:hint="eastAsia" w:hAnsi="宋体"/>
              </w:rPr>
              <w:t>2125.8</w:t>
            </w:r>
          </w:p>
        </w:tc>
        <w:tc>
          <w:tcPr>
            <w:tcW w:w="2104" w:type="dxa"/>
          </w:tcPr>
          <w:p>
            <w:pPr>
              <w:pStyle w:val="10"/>
              <w:widowControl w:val="0"/>
              <w:ind w:firstLine="0" w:firstLineChars="0"/>
              <w:jc w:val="center"/>
              <w:rPr>
                <w:rFonts w:hAnsi="宋体"/>
              </w:rPr>
            </w:pPr>
            <w:r>
              <w:rPr>
                <w:rFonts w:hint="eastAsia" w:hAnsi="宋体"/>
              </w:rPr>
              <w:t>26</w:t>
            </w:r>
          </w:p>
        </w:tc>
        <w:tc>
          <w:tcPr>
            <w:tcW w:w="2150" w:type="dxa"/>
          </w:tcPr>
          <w:p>
            <w:pPr>
              <w:pStyle w:val="10"/>
              <w:widowControl w:val="0"/>
              <w:ind w:firstLine="0" w:firstLineChars="0"/>
              <w:jc w:val="center"/>
              <w:rPr>
                <w:rFonts w:hAnsi="宋体"/>
              </w:rPr>
            </w:pPr>
            <w:r>
              <w:rPr>
                <w:rFonts w:hint="eastAsia" w:hAnsi="宋体"/>
              </w:rPr>
              <w:t>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4</w:t>
            </w:r>
          </w:p>
        </w:tc>
        <w:tc>
          <w:tcPr>
            <w:tcW w:w="2165" w:type="dxa"/>
          </w:tcPr>
          <w:p>
            <w:pPr>
              <w:pStyle w:val="10"/>
              <w:widowControl w:val="0"/>
              <w:ind w:firstLine="0" w:firstLineChars="0"/>
              <w:jc w:val="center"/>
              <w:rPr>
                <w:rFonts w:hAnsi="宋体"/>
              </w:rPr>
            </w:pPr>
            <w:r>
              <w:rPr>
                <w:rFonts w:hint="eastAsia" w:hAnsi="宋体"/>
              </w:rPr>
              <w:t>2048.4</w:t>
            </w:r>
          </w:p>
        </w:tc>
        <w:tc>
          <w:tcPr>
            <w:tcW w:w="2104" w:type="dxa"/>
          </w:tcPr>
          <w:p>
            <w:pPr>
              <w:pStyle w:val="10"/>
              <w:widowControl w:val="0"/>
              <w:ind w:firstLine="0" w:firstLineChars="0"/>
              <w:jc w:val="center"/>
              <w:rPr>
                <w:rFonts w:hAnsi="宋体"/>
              </w:rPr>
            </w:pPr>
            <w:r>
              <w:rPr>
                <w:rFonts w:hint="eastAsia" w:hAnsi="宋体"/>
              </w:rPr>
              <w:t>27</w:t>
            </w:r>
          </w:p>
        </w:tc>
        <w:tc>
          <w:tcPr>
            <w:tcW w:w="2150" w:type="dxa"/>
          </w:tcPr>
          <w:p>
            <w:pPr>
              <w:pStyle w:val="10"/>
              <w:widowControl w:val="0"/>
              <w:ind w:firstLine="0" w:firstLineChars="0"/>
              <w:jc w:val="center"/>
              <w:rPr>
                <w:rFonts w:hAnsi="宋体"/>
              </w:rPr>
            </w:pPr>
            <w:r>
              <w:rPr>
                <w:rFonts w:hint="eastAsia" w:hAnsi="宋体"/>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5</w:t>
            </w:r>
          </w:p>
        </w:tc>
        <w:tc>
          <w:tcPr>
            <w:tcW w:w="2165" w:type="dxa"/>
          </w:tcPr>
          <w:p>
            <w:pPr>
              <w:pStyle w:val="10"/>
              <w:widowControl w:val="0"/>
              <w:ind w:firstLine="0" w:firstLineChars="0"/>
              <w:jc w:val="center"/>
              <w:rPr>
                <w:rFonts w:hAnsi="宋体"/>
              </w:rPr>
            </w:pPr>
            <w:r>
              <w:rPr>
                <w:rFonts w:hint="eastAsia" w:hAnsi="宋体"/>
              </w:rPr>
              <w:t>1975.8</w:t>
            </w:r>
          </w:p>
        </w:tc>
        <w:tc>
          <w:tcPr>
            <w:tcW w:w="2104" w:type="dxa"/>
          </w:tcPr>
          <w:p>
            <w:pPr>
              <w:pStyle w:val="10"/>
              <w:widowControl w:val="0"/>
              <w:ind w:firstLine="0" w:firstLineChars="0"/>
              <w:jc w:val="center"/>
              <w:rPr>
                <w:rFonts w:hAnsi="宋体"/>
              </w:rPr>
            </w:pPr>
            <w:r>
              <w:rPr>
                <w:rFonts w:hint="eastAsia" w:hAnsi="宋体"/>
              </w:rPr>
              <w:t>28</w:t>
            </w:r>
          </w:p>
        </w:tc>
        <w:tc>
          <w:tcPr>
            <w:tcW w:w="2150" w:type="dxa"/>
          </w:tcPr>
          <w:p>
            <w:pPr>
              <w:pStyle w:val="10"/>
              <w:widowControl w:val="0"/>
              <w:ind w:firstLine="0" w:firstLineChars="0"/>
              <w:jc w:val="center"/>
              <w:rPr>
                <w:rFonts w:hAnsi="宋体"/>
              </w:rPr>
            </w:pPr>
            <w:r>
              <w:rPr>
                <w:rFonts w:hint="eastAsia" w:hAnsi="宋体"/>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6</w:t>
            </w:r>
          </w:p>
        </w:tc>
        <w:tc>
          <w:tcPr>
            <w:tcW w:w="2165" w:type="dxa"/>
          </w:tcPr>
          <w:p>
            <w:pPr>
              <w:pStyle w:val="10"/>
              <w:widowControl w:val="0"/>
              <w:ind w:firstLine="0" w:firstLineChars="0"/>
              <w:jc w:val="center"/>
              <w:rPr>
                <w:rFonts w:hAnsi="宋体"/>
              </w:rPr>
            </w:pPr>
            <w:r>
              <w:rPr>
                <w:rFonts w:hint="eastAsia" w:hAnsi="宋体"/>
              </w:rPr>
              <w:t>1907.6</w:t>
            </w:r>
          </w:p>
        </w:tc>
        <w:tc>
          <w:tcPr>
            <w:tcW w:w="2104" w:type="dxa"/>
          </w:tcPr>
          <w:p>
            <w:pPr>
              <w:pStyle w:val="10"/>
              <w:widowControl w:val="0"/>
              <w:ind w:firstLine="0" w:firstLineChars="0"/>
              <w:jc w:val="center"/>
              <w:rPr>
                <w:rFonts w:hAnsi="宋体"/>
              </w:rPr>
            </w:pPr>
            <w:r>
              <w:rPr>
                <w:rFonts w:hint="eastAsia" w:hAnsi="宋体"/>
              </w:rPr>
              <w:t>29</w:t>
            </w:r>
          </w:p>
        </w:tc>
        <w:tc>
          <w:tcPr>
            <w:tcW w:w="2150" w:type="dxa"/>
          </w:tcPr>
          <w:p>
            <w:pPr>
              <w:pStyle w:val="10"/>
              <w:widowControl w:val="0"/>
              <w:ind w:firstLine="0" w:firstLineChars="0"/>
              <w:jc w:val="center"/>
              <w:rPr>
                <w:rFonts w:hAnsi="宋体"/>
              </w:rPr>
            </w:pPr>
            <w:r>
              <w:rPr>
                <w:rFonts w:hint="eastAsia" w:hAnsi="宋体"/>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Pr>
          <w:p>
            <w:pPr>
              <w:pStyle w:val="10"/>
              <w:widowControl w:val="0"/>
              <w:ind w:firstLine="0" w:firstLineChars="0"/>
              <w:jc w:val="center"/>
              <w:rPr>
                <w:rFonts w:hAnsi="宋体"/>
              </w:rPr>
            </w:pPr>
            <w:r>
              <w:rPr>
                <w:rFonts w:hint="eastAsia" w:hAnsi="宋体"/>
              </w:rPr>
              <w:t>平均值</w:t>
            </w:r>
          </w:p>
        </w:tc>
        <w:tc>
          <w:tcPr>
            <w:tcW w:w="2165" w:type="dxa"/>
          </w:tcPr>
          <w:p>
            <w:pPr>
              <w:pStyle w:val="10"/>
              <w:widowControl w:val="0"/>
              <w:ind w:firstLine="0" w:firstLineChars="0"/>
              <w:jc w:val="center"/>
              <w:rPr>
                <w:rFonts w:hAnsi="宋体"/>
              </w:rPr>
            </w:pPr>
            <w:r>
              <w:rPr>
                <w:rFonts w:hint="eastAsia" w:hAnsi="宋体"/>
              </w:rPr>
              <w:t>-</w:t>
            </w:r>
          </w:p>
        </w:tc>
        <w:tc>
          <w:tcPr>
            <w:tcW w:w="2104" w:type="dxa"/>
          </w:tcPr>
          <w:p>
            <w:pPr>
              <w:pStyle w:val="10"/>
              <w:widowControl w:val="0"/>
              <w:ind w:firstLine="0" w:firstLineChars="0"/>
              <w:jc w:val="center"/>
              <w:rPr>
                <w:rFonts w:hAnsi="宋体"/>
              </w:rPr>
            </w:pPr>
            <w:r>
              <w:rPr>
                <w:rFonts w:hint="eastAsia" w:hAnsi="宋体"/>
              </w:rPr>
              <w:t>-</w:t>
            </w:r>
          </w:p>
        </w:tc>
        <w:tc>
          <w:tcPr>
            <w:tcW w:w="2150" w:type="dxa"/>
          </w:tcPr>
          <w:p>
            <w:pPr>
              <w:pStyle w:val="10"/>
              <w:widowControl w:val="0"/>
              <w:ind w:firstLine="0" w:firstLineChars="0"/>
              <w:jc w:val="center"/>
              <w:rPr>
                <w:rFonts w:hAnsi="宋体"/>
              </w:rPr>
            </w:pPr>
            <w:r>
              <w:rPr>
                <w:rFonts w:hint="eastAsia" w:hAnsi="宋体"/>
              </w:rPr>
              <w:t>10.65</w:t>
            </w:r>
          </w:p>
        </w:tc>
      </w:tr>
    </w:tbl>
    <w:p>
      <w:pPr>
        <w:pStyle w:val="10"/>
        <w:ind w:firstLineChars="0"/>
        <w:rPr>
          <w:rFonts w:hAnsi="宋体"/>
        </w:rPr>
      </w:pPr>
    </w:p>
    <w:p>
      <w:pPr>
        <w:pStyle w:val="10"/>
        <w:spacing w:line="360" w:lineRule="auto"/>
        <w:ind w:firstLineChars="175"/>
        <w:rPr>
          <w:rFonts w:hAnsi="宋体" w:cstheme="minorBidi"/>
          <w:kern w:val="2"/>
          <w:sz w:val="24"/>
          <w:szCs w:val="24"/>
        </w:rPr>
      </w:pPr>
    </w:p>
    <w:p>
      <w:pPr>
        <w:pStyle w:val="10"/>
        <w:ind w:firstLineChars="0"/>
        <w:jc w:val="center"/>
        <w:rPr>
          <w:rFonts w:hAnsi="宋体"/>
        </w:rPr>
      </w:pPr>
      <w:r>
        <w:drawing>
          <wp:inline distT="0" distB="0" distL="0" distR="0">
            <wp:extent cx="4114800" cy="3238500"/>
            <wp:effectExtent l="0" t="0" r="0" b="0"/>
            <wp:docPr id="2" name="图片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raph1"/>
                    <pic:cNvPicPr>
                      <a:picLocks noChangeAspect="1" noChangeArrowheads="1"/>
                    </pic:cNvPicPr>
                  </pic:nvPicPr>
                  <pic:blipFill>
                    <a:blip r:embed="rId7" cstate="print">
                      <a:extLst>
                        <a:ext uri="{28A0092B-C50C-407E-A947-70E740481C1C}">
                          <a14:useLocalDpi xmlns:a14="http://schemas.microsoft.com/office/drawing/2010/main" val="0"/>
                        </a:ext>
                      </a:extLst>
                    </a:blip>
                    <a:srcRect l="8858" t="6978" r="11548" b="3578"/>
                    <a:stretch>
                      <a:fillRect/>
                    </a:stretch>
                  </pic:blipFill>
                  <pic:spPr>
                    <a:xfrm>
                      <a:off x="0" y="0"/>
                      <a:ext cx="4114800" cy="3238500"/>
                    </a:xfrm>
                    <a:prstGeom prst="rect">
                      <a:avLst/>
                    </a:prstGeom>
                    <a:noFill/>
                    <a:ln>
                      <a:noFill/>
                    </a:ln>
                  </pic:spPr>
                </pic:pic>
              </a:graphicData>
            </a:graphic>
          </wp:inline>
        </w:drawing>
      </w:r>
    </w:p>
    <w:p>
      <w:pPr>
        <w:pStyle w:val="10"/>
        <w:ind w:firstLine="0" w:firstLineChars="0"/>
        <w:jc w:val="center"/>
        <w:rPr>
          <w:rFonts w:ascii="黑体" w:eastAsia="黑体"/>
        </w:rPr>
      </w:pPr>
      <w:r>
        <w:rPr>
          <w:rFonts w:hint="eastAsia" w:ascii="黑体" w:eastAsia="黑体"/>
        </w:rPr>
        <w:t>图 A.1 n/n</w:t>
      </w:r>
      <w:r>
        <w:rPr>
          <w:rFonts w:hint="eastAsia" w:ascii="黑体" w:eastAsia="黑体"/>
          <w:vertAlign w:val="superscript"/>
        </w:rPr>
        <w:t>+</w:t>
      </w:r>
      <w:r>
        <w:rPr>
          <w:rFonts w:hint="eastAsia" w:ascii="黑体" w:eastAsia="黑体"/>
        </w:rPr>
        <w:t>-4H-SiC外延片样品反射光谱图</w:t>
      </w:r>
    </w:p>
    <w:p>
      <w:pPr>
        <w:pStyle w:val="9"/>
        <w:spacing w:line="360" w:lineRule="auto"/>
        <w:ind w:left="1200" w:firstLine="0" w:firstLineChars="0"/>
        <w:rPr>
          <w:rFonts w:ascii="宋体" w:hAnsi="宋体" w:eastAsia="宋体"/>
          <w:sz w:val="24"/>
        </w:rPr>
      </w:pPr>
    </w:p>
    <w:p>
      <w:pPr>
        <w:pStyle w:val="9"/>
        <w:spacing w:line="360" w:lineRule="auto"/>
        <w:ind w:left="420" w:firstLine="0" w:firstLineChars="0"/>
        <w:rPr>
          <w:rFonts w:ascii="宋体" w:hAnsi="宋体" w:eastAsia="宋体"/>
          <w:sz w:val="24"/>
        </w:rPr>
      </w:pPr>
    </w:p>
    <w:p>
      <w:pPr>
        <w:pStyle w:val="9"/>
        <w:spacing w:line="360" w:lineRule="auto"/>
        <w:ind w:firstLine="0" w:firstLineChars="0"/>
        <w:rPr>
          <w:rFonts w:ascii="宋体" w:hAnsi="宋体" w:eastAsia="宋体" w:cs="Times New Roman"/>
          <w:sz w:val="24"/>
        </w:rPr>
      </w:pPr>
      <w:r>
        <w:rPr>
          <w:rFonts w:hint="eastAsia" w:ascii="宋体" w:hAnsi="宋体" w:eastAsia="宋体" w:cs="Times New Roman"/>
          <w:sz w:val="24"/>
        </w:rPr>
        <w:t>三</w:t>
      </w:r>
      <w:r>
        <w:rPr>
          <w:rFonts w:ascii="宋体" w:hAnsi="宋体" w:eastAsia="宋体" w:cs="Times New Roman"/>
          <w:sz w:val="24"/>
        </w:rPr>
        <w:t>、与有关的现行法律、法规和强制性国家标准的关系</w:t>
      </w:r>
    </w:p>
    <w:p>
      <w:pPr>
        <w:pStyle w:val="9"/>
        <w:spacing w:line="360" w:lineRule="auto"/>
        <w:ind w:firstLine="480" w:firstLineChars="0"/>
        <w:rPr>
          <w:rFonts w:ascii="宋体" w:hAnsi="宋体" w:eastAsia="宋体" w:cs="Times New Roman"/>
          <w:sz w:val="24"/>
        </w:rPr>
      </w:pPr>
      <w:r>
        <w:rPr>
          <w:rFonts w:hint="eastAsia" w:ascii="宋体" w:hAnsi="宋体" w:eastAsia="宋体" w:cs="Times New Roman"/>
          <w:sz w:val="24"/>
        </w:rPr>
        <w:t>本标准符合国家现行法律、法规、规章和强制性国家标准的要求，本标准有助于《中华人民共和国产品质量法》等相关法律、法规、规章和强制性国家标准的实施。</w:t>
      </w:r>
    </w:p>
    <w:p>
      <w:pPr>
        <w:pStyle w:val="9"/>
        <w:spacing w:line="360" w:lineRule="auto"/>
        <w:ind w:firstLine="0" w:firstLineChars="0"/>
        <w:rPr>
          <w:rFonts w:ascii="宋体" w:hAnsi="宋体" w:eastAsia="宋体" w:cs="Times New Roman"/>
          <w:sz w:val="24"/>
        </w:rPr>
      </w:pPr>
      <w:r>
        <w:rPr>
          <w:rFonts w:hint="eastAsia" w:ascii="宋体" w:hAnsi="宋体" w:eastAsia="宋体" w:cs="Times New Roman"/>
          <w:sz w:val="24"/>
        </w:rPr>
        <w:t>四、重大分歧意见的处理经过和依据</w:t>
      </w:r>
    </w:p>
    <w:p>
      <w:pPr>
        <w:pStyle w:val="9"/>
        <w:spacing w:line="360" w:lineRule="auto"/>
        <w:ind w:firstLine="480" w:firstLineChars="0"/>
        <w:rPr>
          <w:rFonts w:ascii="宋体" w:hAnsi="宋体" w:eastAsia="宋体" w:cs="Times New Roman"/>
          <w:sz w:val="24"/>
        </w:rPr>
      </w:pPr>
      <w:r>
        <w:rPr>
          <w:rFonts w:hint="eastAsia" w:ascii="宋体" w:hAnsi="宋体" w:eastAsia="宋体" w:cs="Times New Roman"/>
          <w:sz w:val="24"/>
        </w:rPr>
        <w:t>暂无。</w:t>
      </w:r>
    </w:p>
    <w:p>
      <w:pPr>
        <w:pStyle w:val="9"/>
        <w:spacing w:line="360" w:lineRule="auto"/>
        <w:ind w:firstLine="0" w:firstLineChars="0"/>
        <w:rPr>
          <w:rFonts w:ascii="宋体" w:hAnsi="宋体" w:eastAsia="宋体" w:cs="Times New Roman"/>
          <w:sz w:val="24"/>
        </w:rPr>
      </w:pPr>
      <w:r>
        <w:rPr>
          <w:rFonts w:hint="eastAsia" w:ascii="宋体" w:hAnsi="宋体" w:eastAsia="宋体" w:cs="Times New Roman"/>
          <w:sz w:val="24"/>
        </w:rPr>
        <w:t>五、国家标准作为强制性国家标准或推荐性国家标准的建议</w:t>
      </w:r>
    </w:p>
    <w:p>
      <w:pPr>
        <w:spacing w:line="360" w:lineRule="auto"/>
        <w:ind w:firstLine="480" w:firstLineChars="200"/>
        <w:rPr>
          <w:rFonts w:ascii="宋体" w:hAnsi="宋体" w:eastAsia="宋体"/>
          <w:sz w:val="24"/>
        </w:rPr>
      </w:pPr>
      <w:r>
        <w:rPr>
          <w:rFonts w:hint="eastAsia" w:ascii="宋体" w:hAnsi="宋体" w:eastAsia="宋体" w:cs="Times New Roman"/>
          <w:sz w:val="24"/>
        </w:rPr>
        <w:t>本标准建议作为推荐性标准发布实施，</w:t>
      </w:r>
      <w:r>
        <w:rPr>
          <w:rFonts w:hint="eastAsia" w:ascii="宋体" w:hAnsi="宋体" w:eastAsia="宋体"/>
          <w:sz w:val="24"/>
        </w:rPr>
        <w:t>若对结果有疑义，以供需双方商议的测试方法为准。</w:t>
      </w:r>
    </w:p>
    <w:p>
      <w:pPr>
        <w:pStyle w:val="9"/>
        <w:spacing w:line="360" w:lineRule="auto"/>
        <w:ind w:firstLine="0" w:firstLineChars="0"/>
        <w:rPr>
          <w:rFonts w:ascii="宋体" w:hAnsi="宋体" w:eastAsia="宋体" w:cs="Times New Roman"/>
          <w:sz w:val="24"/>
        </w:rPr>
      </w:pPr>
      <w:r>
        <w:rPr>
          <w:rFonts w:hint="eastAsia" w:ascii="宋体" w:hAnsi="宋体" w:eastAsia="宋体" w:cs="Times New Roman"/>
          <w:sz w:val="24"/>
        </w:rPr>
        <w:t>六、贯彻国家标准的要求和措施建议</w:t>
      </w:r>
    </w:p>
    <w:p>
      <w:pPr>
        <w:pStyle w:val="9"/>
        <w:spacing w:line="360" w:lineRule="auto"/>
        <w:ind w:firstLine="480" w:firstLineChars="0"/>
        <w:rPr>
          <w:rFonts w:ascii="宋体" w:hAnsi="宋体" w:eastAsia="宋体" w:cs="Times New Roman"/>
          <w:sz w:val="24"/>
        </w:rPr>
      </w:pPr>
      <w:r>
        <w:rPr>
          <w:rFonts w:hint="eastAsia" w:ascii="宋体" w:hAnsi="宋体" w:eastAsia="宋体" w:cs="Times New Roman"/>
          <w:sz w:val="24"/>
        </w:rPr>
        <w:t>本标准为首次针对碳化硅外延层厚度测试方法制定的国家标准，为推荐性标准，在组织上建议在碳化硅单晶生产企业中应用实施本标准。并将实施过程中出现的问题和好的改进建议反馈起草组以便进一步对本标准的修订完善。</w:t>
      </w:r>
    </w:p>
    <w:p>
      <w:pPr>
        <w:pStyle w:val="9"/>
        <w:spacing w:line="360" w:lineRule="auto"/>
        <w:ind w:firstLine="0" w:firstLineChars="0"/>
        <w:rPr>
          <w:rFonts w:ascii="宋体" w:hAnsi="宋体" w:eastAsia="宋体" w:cs="Times New Roman"/>
          <w:sz w:val="24"/>
        </w:rPr>
      </w:pPr>
      <w:r>
        <w:rPr>
          <w:rFonts w:hint="eastAsia" w:ascii="宋体" w:hAnsi="宋体" w:eastAsia="宋体" w:cs="Times New Roman"/>
          <w:sz w:val="24"/>
        </w:rPr>
        <w:t>七、废止现行有关标准的建议</w:t>
      </w:r>
    </w:p>
    <w:p>
      <w:pPr>
        <w:pStyle w:val="9"/>
        <w:spacing w:line="360" w:lineRule="auto"/>
        <w:ind w:firstLine="480" w:firstLineChars="0"/>
        <w:rPr>
          <w:rFonts w:ascii="宋体" w:hAnsi="宋体" w:eastAsia="宋体" w:cs="Times New Roman"/>
          <w:sz w:val="24"/>
        </w:rPr>
      </w:pPr>
      <w:r>
        <w:rPr>
          <w:rFonts w:hint="eastAsia" w:ascii="宋体" w:hAnsi="宋体" w:eastAsia="宋体" w:cs="Times New Roman"/>
          <w:sz w:val="24"/>
        </w:rPr>
        <w:t>本标准不涉及对现行标准的废止情况。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908CE"/>
    <w:multiLevelType w:val="multilevel"/>
    <w:tmpl w:val="B2A908CE"/>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BCEAFF8"/>
    <w:multiLevelType w:val="multilevel"/>
    <w:tmpl w:val="BBCEAFF8"/>
    <w:lvl w:ilvl="0" w:tentative="0">
      <w:start w:val="2"/>
      <w:numFmt w:val="decimal"/>
      <w:suff w:val="space"/>
      <w:lvlText w:val="%1."/>
      <w:lvlJc w:val="left"/>
    </w:lvl>
    <w:lvl w:ilvl="1" w:tentative="0">
      <w:start w:val="2"/>
      <w:numFmt w:val="decimal"/>
      <w:isLgl/>
      <w:lvlText w:val="%1.%2"/>
      <w:lvlJc w:val="left"/>
      <w:pPr>
        <w:ind w:left="840" w:hanging="600"/>
      </w:pPr>
      <w:rPr>
        <w:rFonts w:hint="default"/>
      </w:rPr>
    </w:lvl>
    <w:lvl w:ilvl="2" w:tentative="0">
      <w:start w:val="4"/>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2">
    <w:nsid w:val="18FEB2AF"/>
    <w:multiLevelType w:val="singleLevel"/>
    <w:tmpl w:val="18FEB2AF"/>
    <w:lvl w:ilvl="0" w:tentative="0">
      <w:start w:val="1"/>
      <w:numFmt w:val="decimal"/>
      <w:suff w:val="nothing"/>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57C2AF5"/>
    <w:multiLevelType w:val="multilevel"/>
    <w:tmpl w:val="557C2AF5"/>
    <w:lvl w:ilvl="0" w:tentative="0">
      <w:start w:val="1"/>
      <w:numFmt w:val="decimal"/>
      <w:pStyle w:val="1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F3"/>
    <w:rsid w:val="00007D2A"/>
    <w:rsid w:val="003446F2"/>
    <w:rsid w:val="004260F3"/>
    <w:rsid w:val="0047766A"/>
    <w:rsid w:val="004C7B27"/>
    <w:rsid w:val="00543C1A"/>
    <w:rsid w:val="006906FB"/>
    <w:rsid w:val="006C14F2"/>
    <w:rsid w:val="006E6C65"/>
    <w:rsid w:val="00716A94"/>
    <w:rsid w:val="00853E08"/>
    <w:rsid w:val="009179AC"/>
    <w:rsid w:val="00925DFB"/>
    <w:rsid w:val="009953F0"/>
    <w:rsid w:val="00BC38CE"/>
    <w:rsid w:val="00C57EDB"/>
    <w:rsid w:val="00CF2662"/>
    <w:rsid w:val="00D65D75"/>
    <w:rsid w:val="00D96E73"/>
    <w:rsid w:val="00DA4A45"/>
    <w:rsid w:val="00E03BA8"/>
    <w:rsid w:val="00E2077F"/>
    <w:rsid w:val="00F767A1"/>
    <w:rsid w:val="00FD2F03"/>
    <w:rsid w:val="00FF5E9C"/>
    <w:rsid w:val="07C9021C"/>
    <w:rsid w:val="2B846DAE"/>
    <w:rsid w:val="4A061355"/>
    <w:rsid w:val="52D23226"/>
    <w:rsid w:val="68D1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exact"/>
      <w:ind w:firstLine="418" w:firstLineChars="203"/>
    </w:pPr>
    <w:rPr>
      <w:rFonts w:ascii="宋体"/>
      <w:szCs w:val="20"/>
    </w:rPr>
  </w:style>
  <w:style w:type="paragraph" w:styleId="3">
    <w:name w:val="Balloon Text"/>
    <w:basedOn w:val="1"/>
    <w:link w:val="15"/>
    <w:semiHidden/>
    <w:unhideWhenUsed/>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paragraph" w:styleId="9">
    <w:name w:val="List Paragraph"/>
    <w:basedOn w:val="1"/>
    <w:qFormat/>
    <w:uiPriority w:val="34"/>
    <w:pPr>
      <w:ind w:firstLine="420" w:firstLineChars="200"/>
    </w:pPr>
  </w:style>
  <w:style w:type="paragraph" w:customStyle="1" w:styleId="10">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一级条标题"/>
    <w:next w:val="10"/>
    <w:link w:val="23"/>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2">
    <w:name w:val="正文图标题"/>
    <w:next w:val="10"/>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3">
    <w:name w:val="页眉 字符"/>
    <w:basedOn w:val="8"/>
    <w:link w:val="5"/>
    <w:uiPriority w:val="0"/>
    <w:rPr>
      <w:kern w:val="2"/>
      <w:sz w:val="18"/>
      <w:szCs w:val="18"/>
    </w:rPr>
  </w:style>
  <w:style w:type="character" w:customStyle="1" w:styleId="14">
    <w:name w:val="页脚 字符"/>
    <w:basedOn w:val="8"/>
    <w:link w:val="4"/>
    <w:uiPriority w:val="0"/>
    <w:rPr>
      <w:kern w:val="2"/>
      <w:sz w:val="18"/>
      <w:szCs w:val="18"/>
    </w:rPr>
  </w:style>
  <w:style w:type="character" w:customStyle="1" w:styleId="15">
    <w:name w:val="批注框文本 字符"/>
    <w:basedOn w:val="8"/>
    <w:link w:val="3"/>
    <w:semiHidden/>
    <w:uiPriority w:val="0"/>
    <w:rPr>
      <w:rFonts w:asciiTheme="minorHAnsi" w:hAnsiTheme="minorHAnsi" w:eastAsiaTheme="minorEastAsia" w:cstheme="minorBidi"/>
      <w:kern w:val="2"/>
      <w:sz w:val="18"/>
      <w:szCs w:val="18"/>
    </w:rPr>
  </w:style>
  <w:style w:type="paragraph" w:customStyle="1" w:styleId="1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章标题"/>
    <w:next w:val="1"/>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8">
    <w:name w:val="二级条标题"/>
    <w:basedOn w:val="11"/>
    <w:next w:val="1"/>
    <w:link w:val="24"/>
    <w:uiPriority w:val="0"/>
    <w:pPr>
      <w:numPr>
        <w:ilvl w:val="0"/>
        <w:numId w:val="0"/>
      </w:numPr>
      <w:spacing w:before="0" w:beforeLines="0" w:after="0" w:afterLines="0"/>
      <w:ind w:left="140"/>
      <w:jc w:val="both"/>
      <w:outlineLvl w:val="3"/>
    </w:pPr>
    <w:rPr>
      <w:szCs w:val="20"/>
    </w:rPr>
  </w:style>
  <w:style w:type="paragraph" w:customStyle="1" w:styleId="19">
    <w:name w:val="三级条标题"/>
    <w:basedOn w:val="18"/>
    <w:next w:val="1"/>
    <w:uiPriority w:val="0"/>
    <w:pPr>
      <w:ind w:left="0"/>
      <w:outlineLvl w:val="4"/>
    </w:pPr>
  </w:style>
  <w:style w:type="paragraph" w:customStyle="1" w:styleId="20">
    <w:name w:val="四级条标题"/>
    <w:basedOn w:val="19"/>
    <w:next w:val="1"/>
    <w:uiPriority w:val="0"/>
    <w:pPr>
      <w:outlineLvl w:val="5"/>
    </w:pPr>
  </w:style>
  <w:style w:type="paragraph" w:customStyle="1" w:styleId="21">
    <w:name w:val="五级条标题"/>
    <w:basedOn w:val="20"/>
    <w:next w:val="1"/>
    <w:uiPriority w:val="0"/>
    <w:pPr>
      <w:outlineLvl w:val="6"/>
    </w:pPr>
  </w:style>
  <w:style w:type="character" w:customStyle="1" w:styleId="22">
    <w:name w:val="段 Char"/>
    <w:link w:val="10"/>
    <w:locked/>
    <w:uiPriority w:val="0"/>
    <w:rPr>
      <w:rFonts w:ascii="宋体"/>
      <w:sz w:val="21"/>
    </w:rPr>
  </w:style>
  <w:style w:type="character" w:customStyle="1" w:styleId="23">
    <w:name w:val="一级条标题 Char"/>
    <w:link w:val="11"/>
    <w:uiPriority w:val="0"/>
    <w:rPr>
      <w:rFonts w:ascii="黑体" w:eastAsia="黑体"/>
      <w:sz w:val="21"/>
      <w:szCs w:val="21"/>
    </w:rPr>
  </w:style>
  <w:style w:type="character" w:customStyle="1" w:styleId="24">
    <w:name w:val="二级条标题 Char"/>
    <w:link w:val="18"/>
    <w:uiPriority w:val="0"/>
    <w:rPr>
      <w:rFonts w:ascii="黑体" w:eastAsia="黑体"/>
      <w:sz w:val="21"/>
    </w:rPr>
  </w:style>
  <w:style w:type="paragraph" w:customStyle="1" w:styleId="25">
    <w:name w:val="MTDisplayEquation"/>
    <w:basedOn w:val="1"/>
    <w:next w:val="1"/>
    <w:uiPriority w:val="0"/>
    <w:pPr>
      <w:tabs>
        <w:tab w:val="center" w:pos="4680"/>
        <w:tab w:val="right" w:pos="9360"/>
      </w:tabs>
      <w:autoSpaceDE w:val="0"/>
      <w:autoSpaceDN w:val="0"/>
      <w:adjustRightInd w:val="0"/>
      <w:ind w:firstLine="43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5A471-2086-4E0C-B3E0-DCE378ACAC91}">
  <ds:schemaRefs/>
</ds:datastoreItem>
</file>

<file path=docProps/app.xml><?xml version="1.0" encoding="utf-8"?>
<Properties xmlns="http://schemas.openxmlformats.org/officeDocument/2006/extended-properties" xmlns:vt="http://schemas.openxmlformats.org/officeDocument/2006/docPropsVTypes">
  <Template>Normal</Template>
  <Pages>6</Pages>
  <Words>476</Words>
  <Characters>2717</Characters>
  <Lines>22</Lines>
  <Paragraphs>6</Paragraphs>
  <TotalTime>4</TotalTime>
  <ScaleCrop>false</ScaleCrop>
  <LinksUpToDate>false</LinksUpToDate>
  <CharactersWithSpaces>3187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2021-04-17T00:31:00Z</dcterms:created>
  <dc:creator>liuyichen</dc:creator>
  <cp:lastModifiedBy>cm</cp:lastModifiedBy>
  <dcterms:modified xsi:type="dcterms:W3CDTF">2021-04-17T11:40:57Z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3D926F7BD6234E399C753F001B666633</vt:lpwstr>
  </property>
</Properties>
</file>