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bookmarkStart w:id="31" w:name="_GoBack"/>
      <w:bookmarkEnd w:id="31"/>
      <w:r>
        <w:rPr>
          <w:rFonts w:ascii="Times New Roman"/>
        </w:rPr>
        <w:t>ICS</w:t>
      </w:r>
      <w:r>
        <w:rPr>
          <w:rFonts w:ascii="Cambria Math" w:hAnsi="Cambria Math" w:cs="Cambria Math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77.040</w:t>
      </w:r>
      <w:r>
        <w:fldChar w:fldCharType="end"/>
      </w:r>
      <w:bookmarkEnd w:id="0"/>
    </w:p>
    <w:p>
      <w:pPr>
        <w:pStyle w:val="119"/>
      </w:pPr>
      <w:bookmarkStart w:id="1" w:name="WXFLH"/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H </w:t>
      </w:r>
      <w:r>
        <w:t>17</w:t>
      </w:r>
      <w:r>
        <w:fldChar w:fldCharType="end"/>
      </w:r>
      <w:bookmarkEnd w:id="1"/>
    </w:p>
    <w:p>
      <w:pPr>
        <w:pStyle w:val="62"/>
      </w:pPr>
      <w:r>
        <w:drawing>
          <wp:inline distT="0" distB="0" distL="0" distR="0">
            <wp:extent cx="1438275" cy="723900"/>
            <wp:effectExtent l="19050" t="0" r="9525" b="0"/>
            <wp:docPr id="1" name="图片 1" descr="C:\Program Files\SystemRoom\TCS 2009\G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Program Files\SystemRoom\TCS 2009\GB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3"/>
      </w:pPr>
      <w:r>
        <w:rPr>
          <w:rFonts w:hint="eastAsia"/>
        </w:rPr>
        <w:t>中华人民共和国国家标准</w:t>
      </w:r>
    </w:p>
    <w:p>
      <w:pPr>
        <w:pStyle w:val="43"/>
      </w:pPr>
      <w:r>
        <w:rPr>
          <w:rFonts w:ascii="Times New Roman"/>
        </w:rPr>
        <w:t>GB/T</w:t>
      </w:r>
      <w:bookmarkStart w:id="2" w:name="StdNo1"/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lang w:eastAsia="zh-CN"/>
        </w:rPr>
        <w:t>2</w:t>
      </w:r>
      <w:r>
        <w:rPr>
          <w:rFonts w:hint="eastAsia"/>
          <w:lang w:val="en-US" w:eastAsia="zh-CN"/>
        </w:rPr>
        <w:t>4582</w:t>
      </w:r>
      <w:r>
        <w:fldChar w:fldCharType="end"/>
      </w:r>
      <w:bookmarkEnd w:id="2"/>
      <w:r>
        <w:t>—</w:t>
      </w:r>
      <w:bookmarkStart w:id="3" w:name="StdNo2"/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3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</w:pPr>
            <w:bookmarkStart w:id="4" w:name="DT"/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8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YPLL1gAAAAgBAAAPAAAAAAAAAAEA&#10;IAAAACIAAABkcnMvZG93bnJldi54bWxQSwECFAAUAAAACACHTuJAvNrwPxECAAA5BAAADgAAAAAA&#10;AAABACAAAAAlAQAAZHJzL2Uyb0RvYy54bWxQSwUGAAAAAAYABgBZAQAAq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代替</w:t>
            </w:r>
            <w:r>
              <w:t> GB/T 24582-2009</w:t>
            </w:r>
            <w:r>
              <w:fldChar w:fldCharType="end"/>
            </w:r>
            <w:bookmarkEnd w:id="4"/>
          </w:p>
        </w:tc>
      </w:tr>
    </w:tbl>
    <w:p>
      <w:pPr>
        <w:pStyle w:val="43"/>
      </w:pPr>
    </w:p>
    <w:p>
      <w:pPr>
        <w:pStyle w:val="43"/>
      </w:pPr>
    </w:p>
    <w:p>
      <w:pPr>
        <w:pStyle w:val="74"/>
        <w:rPr>
          <w:rFonts w:hint="eastAsia"/>
        </w:rPr>
      </w:pPr>
      <w:bookmarkStart w:id="5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多晶硅表面金属杂质含量的测定 </w:t>
      </w:r>
    </w:p>
    <w:p>
      <w:pPr>
        <w:pStyle w:val="74"/>
      </w:pPr>
      <w:r>
        <w:rPr>
          <w:rFonts w:hint="eastAsia"/>
        </w:rPr>
        <w:t>酸浸取</w:t>
      </w:r>
      <w:r>
        <w:t>-电感耦合等离子质谱</w:t>
      </w:r>
      <w:r>
        <w:rPr>
          <w:rFonts w:hint="eastAsia"/>
        </w:rPr>
        <w:t>法</w:t>
      </w:r>
      <w:r>
        <w:fldChar w:fldCharType="end"/>
      </w:r>
      <w:bookmarkEnd w:id="5"/>
    </w:p>
    <w:p>
      <w:pPr>
        <w:pStyle w:val="75"/>
      </w:pPr>
      <w:bookmarkStart w:id="6" w:name="StdEnglishName"/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t>Test method for measuring surface metal impurity content of polycrystalline silicon</w:t>
      </w:r>
      <w:r>
        <w:rPr>
          <w:rFonts w:hint="eastAsia"/>
          <w:lang w:val="en-US" w:eastAsia="zh-CN"/>
        </w:rPr>
        <w:t>-</w:t>
      </w:r>
      <w:r>
        <w:t xml:space="preserve"> by acid extraction-inductively coupled plasma mass spectrometry method</w:t>
      </w:r>
      <w:r>
        <w:fldChar w:fldCharType="end"/>
      </w:r>
      <w:bookmarkEnd w:id="6"/>
    </w:p>
    <w:p>
      <w:pPr>
        <w:pStyle w:val="76"/>
      </w:pPr>
      <w:bookmarkStart w:id="7" w:name="YZBS"/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点击此处添加与国际标准一致性程度的标识</w:t>
      </w:r>
      <w:r>
        <w:fldChar w:fldCharType="end"/>
      </w:r>
      <w:bookmarkEnd w:id="7"/>
    </w:p>
    <w:tbl>
      <w:tblPr>
        <w:tblStyle w:val="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WJrpLVAAAACgEAAA8AAAAAAAAAAQAg&#10;AAAAIgAAAGRycy9kb3ducmV2LnhtbFBLAQIUABQAAAAIAIdO4kAApA+4EQIAADkEAAAOAAAAAAAA&#10;AAEAIAAAACQBAABkcnMvZTJvRG9jLnhtbFBLBQYAAAAABgAGAFkBAACn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4144;mso-width-relative:page;mso-height-relative:page;" fillcolor="#FFFFFF" filled="t" stroked="f" coordsize="21600,2160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4Yvl1gAAAAkBAAAPAAAAAAAAAAEA&#10;IAAAACIAAABkcnMvZG93bnJldi54bWxQSwECFAAUAAAACACHTuJARs5i3hECAAA5BAAADgAAAAAA&#10;AAABACAAAAAlAQAAZHJzL2Uyb0RvYy54bWxQSwUGAAAAAAYABgBZAQAAq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1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8" w:name="LB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6"/>
              <w:spacing w:before="37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</w:rPr>
              <w:t>在提交反馈意见时，请将您知道的相关专利连同支持性文件一并附上)</w:t>
            </w:r>
          </w:p>
          <w:p>
            <w:pPr>
              <w:pStyle w:val="78"/>
            </w:pPr>
          </w:p>
        </w:tc>
      </w:tr>
    </w:tbl>
    <w:p>
      <w:pPr>
        <w:pStyle w:val="126"/>
      </w:pPr>
      <w:bookmarkStart w:id="9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9"/>
      <w:r>
        <w:rPr>
          <w:rFonts w:ascii="黑体"/>
        </w:rPr>
        <w:t>-</w:t>
      </w:r>
      <w:bookmarkStart w:id="10" w:name="FM"/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ascii="黑体"/>
        </w:rPr>
        <w:t>-</w:t>
      </w:r>
      <w:bookmarkStart w:id="11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1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5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WHazzWAAAACwEAAA8AAAAAAAAAAQAgAAAAIgAAAGRy&#10;cy9kb3ducmV2LnhtbFBLAQIUABQAAAAIAIdO4kDbqsFEzgEAAK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27"/>
      </w:pPr>
      <w:bookmarkStart w:id="12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12"/>
      <w:r>
        <w:rPr>
          <w:rFonts w:ascii="黑体"/>
        </w:rPr>
        <w:t>-</w:t>
      </w:r>
      <w:bookmarkStart w:id="13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rPr>
          <w:rFonts w:ascii="黑体"/>
        </w:rPr>
        <w:t>-</w:t>
      </w:r>
      <w:bookmarkStart w:id="14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4"/>
      <w:r>
        <w:rPr>
          <w:rFonts w:hint="eastAsia"/>
        </w:rPr>
        <w:t>实施</w:t>
      </w:r>
    </w:p>
    <w:p>
      <w:pPr>
        <w:pStyle w:val="70"/>
      </w:pPr>
      <w:r>
        <w:drawing>
          <wp:inline distT="0" distB="0" distL="0" distR="0">
            <wp:extent cx="5029200" cy="714375"/>
            <wp:effectExtent l="19050" t="0" r="0" b="0"/>
            <wp:docPr id="3" name="图片 3" descr="C:\Program Files\SystemRoom\TCS 2009\GBSendCle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Program Files\SystemRoom\TCS 2009\GBSendClear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1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4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-0.05pt;margin-top:184.25pt;height:0pt;width:481.9pt;z-index:25166028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QeJf1wAAAAkBAAAPAAAAAAAAAAEAIAAAACIAAABk&#10;cnMvZG93bnJldi54bWxQSwECFAAUAAAACACHTuJA1aufHc4BAACu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08"/>
      </w:pPr>
      <w:bookmarkStart w:id="15" w:name="_Toc503281259"/>
      <w:r>
        <w:rPr>
          <w:rFonts w:hint="eastAsia"/>
        </w:rPr>
        <w:t>前</w:t>
      </w:r>
      <w:bookmarkStart w:id="16" w:name="BKQY"/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  <w:bookmarkEnd w:id="15"/>
      <w:bookmarkEnd w:id="16"/>
    </w:p>
    <w:p>
      <w:pPr>
        <w:pStyle w:val="21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按照GB/T 1.1</w:t>
      </w:r>
      <w:r>
        <w:rPr>
          <w:rFonts w:hint="eastAsia" w:hAnsi="宋体"/>
          <w:highlight w:val="none"/>
        </w:rPr>
        <w:t>-</w:t>
      </w:r>
      <w:r>
        <w:rPr>
          <w:rFonts w:hint="eastAsia"/>
          <w:highlight w:val="none"/>
        </w:rPr>
        <w:t>20</w:t>
      </w:r>
      <w:r>
        <w:rPr>
          <w:rFonts w:hint="eastAsia"/>
          <w:highlight w:val="none"/>
          <w:lang w:val="en-US" w:eastAsia="zh-CN"/>
        </w:rPr>
        <w:t>20《标准化工作导则 第1部分：标准化文件的结构和起草规则》的规定起草</w:t>
      </w:r>
      <w:r>
        <w:rPr>
          <w:rFonts w:hint="eastAsia"/>
          <w:highlight w:val="none"/>
        </w:rPr>
        <w:t>。</w:t>
      </w:r>
    </w:p>
    <w:p>
      <w:pPr>
        <w:pStyle w:val="21"/>
        <w:ind w:left="420" w:leftChars="200" w:firstLine="0" w:firstLineChars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代替</w:t>
      </w:r>
      <w:r>
        <w:rPr>
          <w:rFonts w:hint="eastAsia"/>
          <w:highlight w:val="none"/>
          <w:lang w:val="de-DE"/>
        </w:rPr>
        <w:t xml:space="preserve">GB/T </w:t>
      </w:r>
      <w:r>
        <w:rPr>
          <w:rFonts w:hint="eastAsia" w:hAnsi="宋体"/>
          <w:highlight w:val="none"/>
        </w:rPr>
        <w:t>24582-2009</w:t>
      </w:r>
      <w:r>
        <w:rPr>
          <w:rFonts w:hint="eastAsia"/>
          <w:highlight w:val="none"/>
          <w:lang w:val="de-DE"/>
        </w:rPr>
        <w:t>《酸浸取-电感耦合等离子质谱仪测定多晶硅表面金属杂质》</w:t>
      </w:r>
      <w:r>
        <w:rPr>
          <w:rFonts w:hint="eastAsia"/>
          <w:highlight w:val="none"/>
          <w:lang w:val="de-DE" w:eastAsia="zh-CN"/>
        </w:rPr>
        <w:t>，</w:t>
      </w:r>
      <w:r>
        <w:rPr>
          <w:rFonts w:hint="eastAsia"/>
          <w:highlight w:val="none"/>
          <w:lang w:val="de-DE"/>
        </w:rPr>
        <w:t xml:space="preserve">与GB/T </w:t>
      </w:r>
      <w:r>
        <w:rPr>
          <w:rFonts w:hint="eastAsia" w:hAnsi="宋体"/>
          <w:highlight w:val="none"/>
        </w:rPr>
        <w:t>24582-2009</w:t>
      </w:r>
      <w:r>
        <w:rPr>
          <w:rFonts w:hint="eastAsia"/>
          <w:highlight w:val="none"/>
          <w:lang w:val="de-DE"/>
        </w:rPr>
        <w:t>相比，</w:t>
      </w:r>
      <w:r>
        <w:rPr>
          <w:rFonts w:hint="eastAsia"/>
          <w:highlight w:val="none"/>
          <w:lang w:val="de-DE" w:eastAsia="zh-CN"/>
        </w:rPr>
        <w:t>除结构调整和编辑性改动外，主要技术变化如下：</w:t>
      </w:r>
    </w:p>
    <w:p>
      <w:pPr>
        <w:pStyle w:val="44"/>
        <w:numPr>
          <w:ilvl w:val="0"/>
          <w:numId w:val="0"/>
        </w:numPr>
        <w:ind w:leftChars="0" w:firstLine="420" w:firstLineChars="200"/>
        <w:rPr>
          <w:rFonts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a)更改了</w:t>
      </w:r>
      <w:r>
        <w:rPr>
          <w:rFonts w:hint="eastAsia" w:hAnsi="宋体"/>
          <w:highlight w:val="none"/>
        </w:rPr>
        <w:t>标准名称为《</w:t>
      </w:r>
      <w:r>
        <w:rPr>
          <w:rFonts w:hint="eastAsia"/>
          <w:highlight w:val="none"/>
        </w:rPr>
        <w:t>多晶硅表面金属杂质含量的测定 酸浸取</w:t>
      </w:r>
      <w:r>
        <w:rPr>
          <w:highlight w:val="none"/>
        </w:rPr>
        <w:t>-电感耦合等离子质谱</w:t>
      </w:r>
      <w:r>
        <w:rPr>
          <w:rFonts w:hint="eastAsia"/>
          <w:highlight w:val="none"/>
        </w:rPr>
        <w:t>法</w:t>
      </w:r>
      <w:r>
        <w:rPr>
          <w:rFonts w:hint="eastAsia" w:hAnsi="宋体"/>
          <w:highlight w:val="none"/>
        </w:rPr>
        <w:t>》；</w:t>
      </w:r>
    </w:p>
    <w:p>
      <w:pPr>
        <w:pStyle w:val="44"/>
        <w:numPr>
          <w:ilvl w:val="0"/>
          <w:numId w:val="0"/>
        </w:numPr>
        <w:ind w:left="425"/>
        <w:rPr>
          <w:rFonts w:hint="eastAsia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b)</w:t>
      </w:r>
      <w:r>
        <w:rPr>
          <w:rFonts w:hint="eastAsia" w:hAnsi="宋体"/>
          <w:highlight w:val="none"/>
        </w:rPr>
        <w:t>删除了</w:t>
      </w:r>
      <w:r>
        <w:rPr>
          <w:rFonts w:hint="eastAsia" w:hAnsi="宋体"/>
          <w:highlight w:val="none"/>
          <w:lang w:val="en-US" w:eastAsia="zh-CN"/>
        </w:rPr>
        <w:t>范围中</w:t>
      </w:r>
      <w:r>
        <w:rPr>
          <w:rFonts w:hint="eastAsia" w:hAnsi="宋体"/>
          <w:highlight w:val="none"/>
        </w:rPr>
        <w:t>1.4内容</w:t>
      </w:r>
      <w:r>
        <w:rPr>
          <w:rFonts w:hint="eastAsia" w:hAnsi="宋体"/>
          <w:highlight w:val="none"/>
          <w:lang w:eastAsia="zh-CN"/>
        </w:rPr>
        <w:t>（见</w:t>
      </w:r>
      <w:r>
        <w:rPr>
          <w:rFonts w:hint="eastAsia" w:hAnsi="宋体"/>
          <w:highlight w:val="none"/>
          <w:lang w:val="en-US" w:eastAsia="zh-CN"/>
        </w:rPr>
        <w:t>2009年版的1.范围，1.4</w:t>
      </w:r>
      <w:r>
        <w:rPr>
          <w:rFonts w:hint="eastAsia" w:hAnsi="宋体"/>
          <w:highlight w:val="none"/>
          <w:lang w:eastAsia="zh-CN"/>
        </w:rPr>
        <w:t>）</w:t>
      </w:r>
      <w:r>
        <w:rPr>
          <w:rFonts w:hint="eastAsia"/>
          <w:highlight w:val="none"/>
        </w:rPr>
        <w:t>；</w:t>
      </w:r>
    </w:p>
    <w:p>
      <w:pPr>
        <w:pStyle w:val="44"/>
        <w:numPr>
          <w:ilvl w:val="0"/>
          <w:numId w:val="0"/>
        </w:numPr>
        <w:ind w:left="425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c)增加了</w:t>
      </w:r>
      <w:r>
        <w:rPr>
          <w:rFonts w:hint="eastAsia" w:hAnsi="宋体"/>
          <w:highlight w:val="none"/>
        </w:rPr>
        <w:t>“</w:t>
      </w:r>
      <w:r>
        <w:rPr>
          <w:rFonts w:hint="eastAsia"/>
          <w:highlight w:val="none"/>
        </w:rPr>
        <w:t>SEMI M44  盐酸的详细说明和指导”</w:t>
      </w:r>
      <w:r>
        <w:rPr>
          <w:rFonts w:hint="eastAsia"/>
          <w:highlight w:val="none"/>
          <w:lang w:eastAsia="zh-CN"/>
        </w:rPr>
        <w:t>（见规范性引用文件）；</w:t>
      </w:r>
    </w:p>
    <w:p>
      <w:pPr>
        <w:pStyle w:val="44"/>
        <w:numPr>
          <w:ilvl w:val="0"/>
          <w:numId w:val="0"/>
        </w:numPr>
        <w:ind w:left="949" w:leftChars="202" w:hanging="525" w:hangingChars="250"/>
        <w:rPr>
          <w:rFonts w:hint="eastAsia" w:hAnsi="宋体"/>
          <w:highlight w:val="none"/>
          <w:lang w:eastAsia="zh-CN"/>
        </w:rPr>
      </w:pPr>
      <w:r>
        <w:rPr>
          <w:rFonts w:hint="eastAsia" w:hAnsi="宋体"/>
          <w:highlight w:val="none"/>
          <w:lang w:val="en-US" w:eastAsia="zh-CN"/>
        </w:rPr>
        <w:t>d）删除了</w:t>
      </w:r>
      <w:r>
        <w:rPr>
          <w:rFonts w:hint="eastAsia" w:hAnsi="宋体"/>
          <w:highlight w:val="none"/>
        </w:rPr>
        <w:t>术语中酸空白内容</w:t>
      </w:r>
      <w:r>
        <w:rPr>
          <w:rFonts w:hint="eastAsia" w:hAnsi="宋体"/>
          <w:highlight w:val="none"/>
          <w:lang w:eastAsia="zh-CN"/>
        </w:rPr>
        <w:t>（见</w:t>
      </w:r>
      <w:r>
        <w:rPr>
          <w:rFonts w:hint="eastAsia" w:hAnsi="宋体"/>
          <w:highlight w:val="none"/>
          <w:lang w:val="en-US" w:eastAsia="zh-CN"/>
        </w:rPr>
        <w:t>2009年版3.1.1</w:t>
      </w:r>
      <w:r>
        <w:rPr>
          <w:rFonts w:hint="eastAsia" w:hAnsi="宋体"/>
          <w:highlight w:val="none"/>
          <w:lang w:eastAsia="zh-CN"/>
        </w:rPr>
        <w:t>）；</w:t>
      </w:r>
    </w:p>
    <w:p>
      <w:pPr>
        <w:pStyle w:val="44"/>
        <w:numPr>
          <w:ilvl w:val="0"/>
          <w:numId w:val="0"/>
        </w:numPr>
        <w:ind w:left="949" w:leftChars="202" w:hanging="525" w:hangingChars="250"/>
        <w:rPr>
          <w:rFonts w:hint="eastAsia" w:hAnsi="宋体"/>
          <w:highlight w:val="none"/>
          <w:lang w:val="en-US" w:eastAsia="zh-CN"/>
        </w:rPr>
      </w:pPr>
      <w:r>
        <w:rPr>
          <w:rFonts w:hint="eastAsia" w:hAnsi="宋体"/>
          <w:highlight w:val="none"/>
          <w:lang w:val="en-US" w:eastAsia="zh-CN"/>
        </w:rPr>
        <w:t>e）删除了试剂部分过氧化氢（</w:t>
      </w:r>
      <w:r>
        <w:rPr>
          <w:rFonts w:hint="eastAsia" w:hAnsi="宋体"/>
          <w:highlight w:val="none"/>
          <w:lang w:eastAsia="zh-CN"/>
        </w:rPr>
        <w:t>见</w:t>
      </w:r>
      <w:r>
        <w:rPr>
          <w:rFonts w:hint="eastAsia" w:hAnsi="宋体"/>
          <w:highlight w:val="none"/>
          <w:lang w:val="en-US" w:eastAsia="zh-CN"/>
        </w:rPr>
        <w:t>2009年版6.4）；</w:t>
      </w:r>
    </w:p>
    <w:p>
      <w:pPr>
        <w:pStyle w:val="44"/>
        <w:numPr>
          <w:ilvl w:val="0"/>
          <w:numId w:val="0"/>
        </w:numPr>
        <w:ind w:left="949" w:leftChars="202" w:hanging="525" w:hangingChars="250"/>
        <w:rPr>
          <w:rFonts w:hint="eastAsia" w:hAnsi="宋体" w:eastAsia="宋体"/>
          <w:highlight w:val="none"/>
          <w:lang w:val="en-US" w:eastAsia="zh-CN"/>
        </w:rPr>
      </w:pPr>
      <w:r>
        <w:rPr>
          <w:rFonts w:hint="eastAsia" w:hAnsi="宋体"/>
          <w:highlight w:val="none"/>
          <w:lang w:val="en-US" w:eastAsia="zh-CN"/>
        </w:rPr>
        <w:t>f）更改了浸取混合酸，将浸取混合酸更改为</w:t>
      </w:r>
      <w:r>
        <w:rPr>
          <w:rFonts w:hint="eastAsia"/>
          <w:highlight w:val="none"/>
        </w:rPr>
        <w:t>（1：</w:t>
      </w:r>
      <w:r>
        <w:rPr>
          <w:rFonts w:hint="eastAsia"/>
          <w:highlight w:val="none"/>
          <w:lang w:val="en-US" w:eastAsia="zh-CN"/>
        </w:rPr>
        <w:t>1：10</w:t>
      </w:r>
      <w:r>
        <w:rPr>
          <w:rFonts w:hint="eastAsia"/>
          <w:highlight w:val="none"/>
        </w:rPr>
        <w:t>）HNO</w:t>
      </w:r>
      <w:r>
        <w:rPr>
          <w:rFonts w:hint="eastAsia"/>
          <w:highlight w:val="none"/>
          <w:vertAlign w:val="subscript"/>
        </w:rPr>
        <w:t>3</w:t>
      </w:r>
      <w:r>
        <w:rPr>
          <w:rFonts w:hint="eastAsia"/>
          <w:highlight w:val="none"/>
        </w:rPr>
        <w:t>:</w:t>
      </w:r>
      <w:r>
        <w:rPr>
          <w:rFonts w:hint="eastAsia"/>
          <w:highlight w:val="none"/>
          <w:lang w:val="en-US" w:eastAsia="zh-CN"/>
        </w:rPr>
        <w:t>HF</w:t>
      </w:r>
      <w:r>
        <w:rPr>
          <w:rFonts w:hint="eastAsia"/>
          <w:highlight w:val="none"/>
        </w:rPr>
        <w:t>:H</w:t>
      </w:r>
      <w:r>
        <w:rPr>
          <w:rFonts w:hint="eastAsia"/>
          <w:highlight w:val="none"/>
          <w:vertAlign w:val="subscript"/>
        </w:rPr>
        <w:t>2</w:t>
      </w:r>
      <w:r>
        <w:rPr>
          <w:rFonts w:hint="eastAsia"/>
          <w:highlight w:val="none"/>
        </w:rPr>
        <w:t>O</w:t>
      </w:r>
      <w:r>
        <w:rPr>
          <w:rFonts w:hint="eastAsia" w:hAnsi="宋体"/>
          <w:highlight w:val="none"/>
          <w:lang w:val="en-US" w:eastAsia="zh-CN"/>
        </w:rPr>
        <w:t>（</w:t>
      </w:r>
      <w:r>
        <w:rPr>
          <w:rFonts w:hint="eastAsia" w:hAnsi="宋体"/>
          <w:highlight w:val="none"/>
          <w:lang w:eastAsia="zh-CN"/>
        </w:rPr>
        <w:t>见</w:t>
      </w:r>
      <w:r>
        <w:rPr>
          <w:rFonts w:hint="eastAsia" w:hAnsi="宋体"/>
          <w:highlight w:val="none"/>
          <w:lang w:val="en-US" w:eastAsia="zh-CN"/>
        </w:rPr>
        <w:t>2009年版6.6）；</w:t>
      </w:r>
    </w:p>
    <w:p>
      <w:pPr>
        <w:pStyle w:val="44"/>
        <w:numPr>
          <w:ilvl w:val="0"/>
          <w:numId w:val="0"/>
        </w:numPr>
        <w:ind w:left="425"/>
        <w:rPr>
          <w:rFonts w:hAnsi="宋体" w:cs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g）更改了样品尺寸，将</w:t>
      </w:r>
      <w:r>
        <w:rPr>
          <w:rFonts w:hint="eastAsia" w:hAnsi="宋体"/>
          <w:highlight w:val="none"/>
        </w:rPr>
        <w:t>原有样品尺寸“</w:t>
      </w:r>
      <w:r>
        <w:rPr>
          <w:rFonts w:hint="eastAsia"/>
          <w:highlight w:val="none"/>
        </w:rPr>
        <w:t>3cm</w:t>
      </w:r>
      <w:r>
        <w:rPr>
          <w:rFonts w:hint="eastAsia" w:hAnsi="宋体"/>
          <w:highlight w:val="none"/>
        </w:rPr>
        <w:t>×</w:t>
      </w:r>
      <w:r>
        <w:rPr>
          <w:rFonts w:hint="eastAsia"/>
          <w:highlight w:val="none"/>
        </w:rPr>
        <w:t>3cm</w:t>
      </w:r>
      <w:r>
        <w:rPr>
          <w:rFonts w:hint="eastAsia" w:hAnsi="宋体"/>
          <w:highlight w:val="none"/>
        </w:rPr>
        <w:t>×</w:t>
      </w:r>
      <w:r>
        <w:rPr>
          <w:rFonts w:hint="eastAsia"/>
          <w:highlight w:val="none"/>
        </w:rPr>
        <w:t>3cm</w:t>
      </w:r>
      <w:r>
        <w:rPr>
          <w:rFonts w:hint="eastAsia" w:hAnsi="宋体"/>
          <w:highlight w:val="none"/>
        </w:rPr>
        <w:t xml:space="preserve"> ”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eastAsia="zh-CN"/>
        </w:rPr>
        <w:t>更</w:t>
      </w:r>
      <w:r>
        <w:rPr>
          <w:rFonts w:hint="eastAsia"/>
          <w:highlight w:val="none"/>
        </w:rPr>
        <w:t>改为“3cm</w:t>
      </w:r>
      <w:r>
        <w:rPr>
          <w:rFonts w:hint="eastAsia" w:hAnsi="宋体"/>
          <w:highlight w:val="none"/>
        </w:rPr>
        <w:t>×</w:t>
      </w:r>
      <w:r>
        <w:rPr>
          <w:highlight w:val="none"/>
        </w:rPr>
        <w:t>3</w:t>
      </w:r>
      <w:r>
        <w:rPr>
          <w:rFonts w:hint="eastAsia"/>
          <w:highlight w:val="none"/>
        </w:rPr>
        <w:t>cm</w:t>
      </w:r>
      <w:r>
        <w:rPr>
          <w:rFonts w:hint="eastAsia" w:hAnsi="宋体"/>
          <w:highlight w:val="none"/>
        </w:rPr>
        <w:t>×</w:t>
      </w:r>
      <w:r>
        <w:rPr>
          <w:highlight w:val="none"/>
        </w:rPr>
        <w:t>1</w:t>
      </w:r>
      <w:r>
        <w:rPr>
          <w:rFonts w:hint="eastAsia"/>
          <w:highlight w:val="none"/>
        </w:rPr>
        <w:t>cm ”</w:t>
      </w:r>
      <w:r>
        <w:rPr>
          <w:rFonts w:hint="eastAsia"/>
          <w:highlight w:val="none"/>
          <w:lang w:eastAsia="zh-CN"/>
        </w:rPr>
        <w:t>（见</w:t>
      </w:r>
      <w:r>
        <w:rPr>
          <w:rFonts w:hint="eastAsia"/>
          <w:highlight w:val="none"/>
          <w:lang w:val="en-US" w:eastAsia="zh-CN"/>
        </w:rPr>
        <w:t>2009年版8.2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 w:hAnsi="宋体"/>
          <w:highlight w:val="none"/>
        </w:rPr>
        <w:t>；</w:t>
      </w:r>
    </w:p>
    <w:p>
      <w:pPr>
        <w:pStyle w:val="44"/>
        <w:numPr>
          <w:ilvl w:val="0"/>
          <w:numId w:val="0"/>
        </w:numPr>
        <w:ind w:left="425"/>
        <w:rPr>
          <w:rFonts w:hint="eastAsia" w:hAnsi="宋体"/>
          <w:highlight w:val="none"/>
        </w:rPr>
      </w:pPr>
      <w:r>
        <w:rPr>
          <w:rFonts w:hint="eastAsia" w:hAnsi="宋体"/>
          <w:highlight w:val="none"/>
          <w:lang w:val="en-US" w:eastAsia="zh-CN"/>
        </w:rPr>
        <w:t>h）更改了</w:t>
      </w:r>
      <w:r>
        <w:rPr>
          <w:rFonts w:hint="eastAsia" w:hAnsi="宋体"/>
          <w:highlight w:val="none"/>
        </w:rPr>
        <w:t>实验用器皿清洗步骤描述；</w:t>
      </w:r>
    </w:p>
    <w:p>
      <w:pPr>
        <w:pStyle w:val="44"/>
        <w:numPr>
          <w:ilvl w:val="0"/>
          <w:numId w:val="0"/>
        </w:numPr>
        <w:ind w:left="425"/>
        <w:rPr>
          <w:rFonts w:hint="eastAsia" w:hAnsi="宋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i）更</w:t>
      </w:r>
      <w:r>
        <w:rPr>
          <w:rFonts w:hint="eastAsia"/>
          <w:highlight w:val="none"/>
        </w:rPr>
        <w:t>改</w:t>
      </w:r>
      <w:r>
        <w:rPr>
          <w:rFonts w:hint="eastAsia"/>
          <w:highlight w:val="none"/>
          <w:lang w:eastAsia="zh-CN"/>
        </w:rPr>
        <w:t>了多晶硅块表面金属杂质浸取，</w:t>
      </w:r>
      <w:r>
        <w:rPr>
          <w:rFonts w:hint="eastAsia"/>
          <w:highlight w:val="none"/>
          <w:lang w:val="en-US" w:eastAsia="zh-CN"/>
        </w:rPr>
        <w:t>（</w:t>
      </w:r>
      <w:r>
        <w:rPr>
          <w:rFonts w:hint="eastAsia" w:hAnsi="宋体"/>
          <w:highlight w:val="none"/>
          <w:lang w:eastAsia="zh-CN"/>
        </w:rPr>
        <w:t>见</w:t>
      </w:r>
      <w:r>
        <w:rPr>
          <w:rFonts w:hint="eastAsia" w:hAnsi="宋体"/>
          <w:highlight w:val="none"/>
          <w:lang w:val="en-US" w:eastAsia="zh-CN"/>
        </w:rPr>
        <w:t>2009年版9.2）</w:t>
      </w:r>
    </w:p>
    <w:p>
      <w:pPr>
        <w:pStyle w:val="44"/>
        <w:numPr>
          <w:ilvl w:val="0"/>
          <w:numId w:val="0"/>
        </w:numPr>
        <w:ind w:left="425"/>
        <w:rPr>
          <w:highlight w:val="none"/>
        </w:rPr>
      </w:pPr>
      <w:r>
        <w:rPr>
          <w:rFonts w:hint="eastAsia"/>
          <w:highlight w:val="none"/>
          <w:lang w:val="en-US" w:eastAsia="zh-CN"/>
        </w:rPr>
        <w:t>j）更改了</w:t>
      </w:r>
      <w:r>
        <w:rPr>
          <w:rFonts w:hint="eastAsia"/>
          <w:highlight w:val="none"/>
        </w:rPr>
        <w:t>分析结果计算中计算公式</w:t>
      </w:r>
      <w:r>
        <w:rPr>
          <w:rFonts w:hint="eastAsia"/>
          <w:highlight w:val="none"/>
          <w:lang w:eastAsia="zh-CN"/>
        </w:rPr>
        <w:t>，将</w:t>
      </w:r>
      <w:r>
        <w:rPr>
          <w:rFonts w:hint="eastAsia"/>
          <w:highlight w:val="none"/>
        </w:rPr>
        <w:t xml:space="preserve">“M=（I-B）• </w:t>
      </w:r>
      <w:r>
        <w:rPr>
          <w:rFonts w:hint="eastAsia"/>
          <w:highlight w:val="none"/>
          <w:lang w:val="en-US" w:eastAsia="zh-CN"/>
        </w:rPr>
        <w:t>DF</w:t>
      </w:r>
      <w:r>
        <w:rPr>
          <w:rFonts w:hint="eastAsia"/>
          <w:highlight w:val="none"/>
        </w:rPr>
        <w:t>”</w:t>
      </w:r>
      <w:r>
        <w:rPr>
          <w:rFonts w:hint="eastAsia"/>
          <w:highlight w:val="none"/>
          <w:lang w:eastAsia="zh-CN"/>
        </w:rPr>
        <w:t>更</w:t>
      </w:r>
      <w:r>
        <w:rPr>
          <w:rFonts w:hint="eastAsia"/>
          <w:highlight w:val="none"/>
        </w:rPr>
        <w:t>改为“M=（I-B）• V/m”</w:t>
      </w:r>
    </w:p>
    <w:p>
      <w:pPr>
        <w:pStyle w:val="44"/>
        <w:numPr>
          <w:ilvl w:val="0"/>
          <w:numId w:val="0"/>
        </w:numPr>
        <w:ind w:left="425"/>
        <w:rPr>
          <w:rFonts w:hint="eastAsia"/>
          <w:highlight w:val="none"/>
          <w:lang w:val="de-DE"/>
        </w:rPr>
      </w:pPr>
      <w:r>
        <w:rPr>
          <w:rFonts w:hint="eastAsia"/>
          <w:highlight w:val="none"/>
          <w:lang w:val="en-US" w:eastAsia="zh-CN"/>
        </w:rPr>
        <w:t>k）</w:t>
      </w:r>
      <w:r>
        <w:rPr>
          <w:rFonts w:hint="eastAsia"/>
          <w:highlight w:val="none"/>
          <w:lang w:val="de-DE"/>
        </w:rPr>
        <w:t>组织多晶硅企业开展复验，重新确定精密度条款。</w:t>
      </w:r>
    </w:p>
    <w:p>
      <w:pPr>
        <w:pStyle w:val="44"/>
        <w:numPr>
          <w:ilvl w:val="0"/>
          <w:numId w:val="0"/>
        </w:numPr>
        <w:ind w:left="425"/>
        <w:rPr>
          <w:rFonts w:hint="eastAsia" w:eastAsia="宋体"/>
          <w:highlight w:val="none"/>
          <w:lang w:val="de-DE" w:eastAsia="zh-CN"/>
        </w:rPr>
      </w:pPr>
      <w:r>
        <w:rPr>
          <w:rFonts w:hint="eastAsia"/>
          <w:highlight w:val="none"/>
          <w:lang w:val="de-DE" w:eastAsia="zh-CN"/>
        </w:rPr>
        <w:t>请注意本文件的某些内容可能涉及专利。本文件的发布机构不承担识别专利的责任。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="宋体" w:hAnsi="宋体"/>
          <w:highlight w:val="none"/>
        </w:rPr>
      </w:pPr>
    </w:p>
    <w:p>
      <w:pPr>
        <w:ind w:firstLine="420" w:firstLineChars="200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本</w:t>
      </w:r>
      <w:r>
        <w:rPr>
          <w:rFonts w:hint="eastAsia" w:ascii="宋体" w:hAnsi="宋体"/>
          <w:highlight w:val="none"/>
          <w:lang w:eastAsia="zh-CN"/>
        </w:rPr>
        <w:t>文件</w:t>
      </w:r>
      <w:r>
        <w:rPr>
          <w:rFonts w:hint="eastAsia" w:ascii="宋体" w:hAnsi="宋体"/>
          <w:highlight w:val="none"/>
        </w:rPr>
        <w:t>由全国半导体设备和材料标准化技术委员会(</w:t>
      </w:r>
      <w:r>
        <w:rPr>
          <w:rFonts w:ascii="宋体" w:hAnsi="宋体"/>
          <w:highlight w:val="none"/>
        </w:rPr>
        <w:t>SAC/TC203)</w:t>
      </w:r>
      <w:r>
        <w:rPr>
          <w:rFonts w:hint="eastAsia" w:ascii="宋体" w:hAnsi="宋体"/>
          <w:highlight w:val="none"/>
        </w:rPr>
        <w:t>与全国半导体设备和材料标准化技术委员会材料分会(</w:t>
      </w:r>
      <w:r>
        <w:rPr>
          <w:rFonts w:ascii="宋体" w:hAnsi="宋体"/>
          <w:highlight w:val="none"/>
        </w:rPr>
        <w:t>SAC/TC203/SC2)</w:t>
      </w:r>
      <w:r>
        <w:rPr>
          <w:rFonts w:hint="eastAsia" w:ascii="宋体" w:hAnsi="宋体"/>
          <w:highlight w:val="none"/>
        </w:rPr>
        <w:t>共同提出并归口。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="宋体" w:hAnsi="宋体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</w:rPr>
        <w:t>本</w:t>
      </w:r>
      <w:r>
        <w:rPr>
          <w:rFonts w:hint="eastAsia" w:ascii="宋体" w:hAnsi="宋体"/>
          <w:highlight w:val="none"/>
          <w:lang w:eastAsia="zh-CN"/>
        </w:rPr>
        <w:t>文件</w:t>
      </w:r>
      <w:r>
        <w:rPr>
          <w:rFonts w:hint="eastAsia" w:ascii="宋体" w:hAnsi="宋体"/>
          <w:highlight w:val="none"/>
        </w:rPr>
        <w:t>起草单位：亚洲硅业（青海）</w:t>
      </w:r>
      <w:r>
        <w:rPr>
          <w:rFonts w:hint="eastAsia" w:ascii="宋体" w:hAnsi="宋体"/>
          <w:highlight w:val="none"/>
          <w:lang w:eastAsia="zh-CN"/>
        </w:rPr>
        <w:t>股份</w:t>
      </w:r>
      <w:r>
        <w:rPr>
          <w:rFonts w:hint="eastAsia" w:ascii="宋体" w:hAnsi="宋体"/>
          <w:highlight w:val="none"/>
        </w:rPr>
        <w:t>有限公司、</w:t>
      </w:r>
      <w:r>
        <w:rPr>
          <w:rFonts w:hint="eastAsia"/>
          <w:szCs w:val="22"/>
          <w:highlight w:val="none"/>
        </w:rPr>
        <w:t>青海省亚硅硅材料工程技术有限公司</w:t>
      </w:r>
      <w:r>
        <w:rPr>
          <w:rFonts w:hint="eastAsia"/>
          <w:szCs w:val="22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本</w:t>
      </w:r>
      <w:r>
        <w:rPr>
          <w:rFonts w:hint="eastAsia" w:ascii="宋体" w:hAnsi="宋体"/>
          <w:highlight w:val="none"/>
          <w:lang w:eastAsia="zh-CN"/>
        </w:rPr>
        <w:t>文件</w:t>
      </w:r>
      <w:r>
        <w:rPr>
          <w:rFonts w:ascii="宋体" w:hAnsi="宋体"/>
          <w:highlight w:val="none"/>
        </w:rPr>
        <w:t>主要</w:t>
      </w:r>
      <w:r>
        <w:rPr>
          <w:rFonts w:hint="eastAsia" w:ascii="宋体" w:hAnsi="宋体"/>
          <w:highlight w:val="none"/>
        </w:rPr>
        <w:t>起草</w:t>
      </w:r>
      <w:r>
        <w:rPr>
          <w:rFonts w:ascii="宋体" w:hAnsi="宋体"/>
          <w:highlight w:val="none"/>
        </w:rPr>
        <w:t>人</w:t>
      </w:r>
      <w:r>
        <w:rPr>
          <w:rFonts w:hint="eastAsia" w:ascii="宋体" w:hAnsi="宋体"/>
          <w:highlight w:val="none"/>
        </w:rPr>
        <w:t>：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Cs w:val="21"/>
          <w:highlight w:val="none"/>
        </w:rPr>
      </w:pPr>
      <w:bookmarkStart w:id="17" w:name="StandardName"/>
      <w:r>
        <w:rPr>
          <w:rFonts w:hint="eastAsia" w:ascii="宋体" w:hAnsi="宋体"/>
          <w:color w:val="000000"/>
          <w:kern w:val="0"/>
          <w:szCs w:val="21"/>
          <w:highlight w:val="none"/>
        </w:rPr>
        <w:t>本文件及其所代替文件的历次版本发布情况为：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i/>
          <w:kern w:val="0"/>
          <w:szCs w:val="21"/>
          <w:highlight w:val="none"/>
        </w:rPr>
        <w:t>——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20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年首次发布为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GB</w:t>
      </w:r>
      <w:r>
        <w:rPr>
          <w:rFonts w:ascii="宋体" w:hAnsi="宋体"/>
          <w:color w:val="000000"/>
          <w:kern w:val="0"/>
          <w:szCs w:val="21"/>
          <w:highlight w:val="none"/>
        </w:rPr>
        <w:t xml:space="preserve">/T 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24582</w:t>
      </w:r>
      <w:r>
        <w:rPr>
          <w:rFonts w:ascii="宋体" w:hAnsi="宋体"/>
          <w:color w:val="000000"/>
          <w:kern w:val="0"/>
          <w:szCs w:val="21"/>
          <w:highlight w:val="none"/>
        </w:rPr>
        <w:t>-20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；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i/>
          <w:kern w:val="0"/>
          <w:szCs w:val="21"/>
          <w:highlight w:val="none"/>
        </w:rPr>
        <w:t>——</w:t>
      </w:r>
      <w:r>
        <w:rPr>
          <w:rFonts w:ascii="宋体" w:hAnsi="宋体"/>
          <w:color w:val="000000"/>
          <w:kern w:val="0"/>
          <w:szCs w:val="21"/>
          <w:highlight w:val="non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本次为第一次修订。</w:t>
      </w:r>
    </w:p>
    <w:p>
      <w:pPr>
        <w:pStyle w:val="46"/>
        <w:rPr>
          <w:rFonts w:hint="eastAsia"/>
        </w:rPr>
      </w:pPr>
      <w:r>
        <w:rPr>
          <w:rFonts w:hint="eastAsia"/>
        </w:rPr>
        <w:t>多晶硅表面金属杂质</w:t>
      </w:r>
      <w:bookmarkEnd w:id="17"/>
      <w:r>
        <w:rPr>
          <w:rFonts w:hint="eastAsia"/>
        </w:rPr>
        <w:t>含量的测定 酸浸取-电感耦合等离子质谱法</w:t>
      </w:r>
    </w:p>
    <w:p>
      <w:pPr>
        <w:pStyle w:val="21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警示——使用本文件的人员应有正规实验室工作的实践经验。本文件并未指出所有可能的安全问题。使用者有责任采取适当的安全和健康措施，并保证符合国家有关法律规定的条件。</w:t>
      </w:r>
    </w:p>
    <w:p>
      <w:pPr>
        <w:pStyle w:val="21"/>
        <w:ind w:left="0" w:leftChars="0" w:firstLine="0" w:firstLineChars="0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警示——使用氢氟酸时要求带护目镜。建议戴手套。</w:t>
      </w:r>
    </w:p>
    <w:p>
      <w:pPr>
        <w:pStyle w:val="41"/>
        <w:spacing w:before="312" w:after="312"/>
        <w:rPr>
          <w:highlight w:val="none"/>
        </w:rPr>
      </w:pPr>
      <w:bookmarkStart w:id="18" w:name="_Toc503278726"/>
      <w:bookmarkStart w:id="19" w:name="_Toc503281260"/>
      <w:r>
        <w:rPr>
          <w:rFonts w:hint="eastAsia"/>
          <w:highlight w:val="none"/>
        </w:rPr>
        <w:t>范围</w:t>
      </w:r>
      <w:bookmarkEnd w:id="18"/>
      <w:bookmarkEnd w:id="19"/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规定了用酸从多晶硅块表面浸取金属杂质，并用电感耦合等离子质谱仪定量检测多晶硅表面上的金属杂质</w:t>
      </w:r>
      <w:r>
        <w:rPr>
          <w:rFonts w:hint="eastAsia"/>
          <w:highlight w:val="none"/>
          <w:lang w:eastAsia="zh-CN"/>
        </w:rPr>
        <w:t>含量的测定方法。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适用于碱金属、碱土金属和第一系列过渡元素如钠、钾、钙、铁、镍、铜、锌以及其他元素如铝</w:t>
      </w:r>
      <w:r>
        <w:rPr>
          <w:rFonts w:hint="eastAsia"/>
          <w:highlight w:val="none"/>
          <w:lang w:eastAsia="zh-CN"/>
        </w:rPr>
        <w:t>含量的测定方法。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适用于各种棒、块、粒、片状多晶表面金属污染物的检测。由于块、片或粒形状不规则，面积很难准确测定，故根据样品重量计算结果，使用的样品重量为20g～120g，检测限为0.01ng/g。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适用于重量为50g</w:t>
      </w:r>
      <w:r>
        <w:rPr>
          <w:rFonts w:hint="eastAsia" w:hAnsi="宋体"/>
          <w:highlight w:val="none"/>
        </w:rPr>
        <w:t>～</w:t>
      </w:r>
      <w:r>
        <w:rPr>
          <w:rFonts w:hint="eastAsia"/>
          <w:highlight w:val="none"/>
        </w:rPr>
        <w:t>5000g的样品的测定，为了达到仲裁的目的，该实验方法规定样品的重量为约120g。</w:t>
      </w:r>
    </w:p>
    <w:p>
      <w:pPr>
        <w:pStyle w:val="41"/>
        <w:spacing w:before="312" w:after="312"/>
      </w:pPr>
      <w:bookmarkStart w:id="20" w:name="_Toc503281261"/>
      <w:bookmarkStart w:id="21" w:name="_Toc503278727"/>
      <w:r>
        <w:rPr>
          <w:rFonts w:hint="eastAsia"/>
        </w:rPr>
        <w:t>规范性引用文件</w:t>
      </w:r>
      <w:bookmarkEnd w:id="20"/>
      <w:bookmarkEnd w:id="21"/>
    </w:p>
    <w:p>
      <w:pPr>
        <w:pStyle w:val="21"/>
      </w:pPr>
      <w:r>
        <w:rPr>
          <w:rFonts w:hint="eastAsia"/>
          <w:highlight w:val="none"/>
        </w:rPr>
        <w:t>下列文件</w:t>
      </w:r>
      <w:r>
        <w:rPr>
          <w:rFonts w:hint="eastAsia"/>
          <w:highlight w:val="none"/>
          <w:lang w:eastAsia="zh-CN"/>
        </w:rPr>
        <w:t>中的内容通过文中的规范性引用而构成本文件必不可少的条款。其中，注日期的引用文件，仅该日期对应的版本适用于本文件；不注日期的引用文件，其</w:t>
      </w:r>
      <w:r>
        <w:rPr>
          <w:rFonts w:hint="eastAsia"/>
          <w:highlight w:val="none"/>
        </w:rPr>
        <w:t>最新版本</w:t>
      </w:r>
      <w:r>
        <w:rPr>
          <w:rFonts w:hint="eastAsia"/>
        </w:rPr>
        <w:t>（包括所有的修改单）适用于本文件。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ISO14644-1 洁净室和相应的受控环境—第一部分：空气中的悬浮粒子的分类。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SEMI C28氢氟酸的详细说明和指导。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SEMI C35硝酸的详细说明和指导。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ASTMD5127电子和半导体工业中用超纯水指南。</w:t>
      </w:r>
    </w:p>
    <w:p>
      <w:pPr>
        <w:pStyle w:val="41"/>
        <w:spacing w:before="312" w:after="312"/>
      </w:pPr>
      <w:bookmarkStart w:id="22" w:name="_Toc503278728"/>
      <w:bookmarkEnd w:id="22"/>
      <w:bookmarkStart w:id="23" w:name="_Toc503281262"/>
      <w:r>
        <w:rPr>
          <w:rFonts w:hint="eastAsia"/>
        </w:rPr>
        <w:t>术语、定义和缩略语</w:t>
      </w:r>
      <w:bookmarkEnd w:id="23"/>
    </w:p>
    <w:p>
      <w:pPr>
        <w:pStyle w:val="38"/>
        <w:spacing w:before="156" w:after="156"/>
        <w:ind w:left="0"/>
      </w:pPr>
      <w:r>
        <w:rPr>
          <w:rFonts w:hint="eastAsia"/>
        </w:rPr>
        <w:t>术语和定义</w:t>
      </w:r>
    </w:p>
    <w:p>
      <w:pPr>
        <w:pStyle w:val="21"/>
      </w:pPr>
      <w:r>
        <w:rPr>
          <w:rFonts w:hint="eastAsia"/>
        </w:rPr>
        <w:t>下列术语和定义适用于本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。</w:t>
      </w:r>
    </w:p>
    <w:p>
      <w:pPr>
        <w:pStyle w:val="42"/>
        <w:spacing w:before="156" w:after="156"/>
        <w:ind w:left="0"/>
      </w:pPr>
      <w:r>
        <w:rPr>
          <w:rFonts w:hint="eastAsia"/>
        </w:rPr>
        <w:t>浸取空白  digested blank</w:t>
      </w:r>
    </w:p>
    <w:p>
      <w:pPr>
        <w:pStyle w:val="21"/>
        <w:rPr>
          <w:szCs w:val="21"/>
        </w:rPr>
      </w:pPr>
      <w:r>
        <w:rPr>
          <w:rFonts w:hint="eastAsia"/>
          <w:szCs w:val="21"/>
        </w:rPr>
        <w:t>不加样品，经过浸取和分析过程的一个酸样品，用于监控分析过程，包括酸的纯度、浸取瓶的洁净度、交叉污染和环境洁净度。</w:t>
      </w:r>
    </w:p>
    <w:p>
      <w:pPr>
        <w:pStyle w:val="42"/>
        <w:spacing w:before="156" w:after="156"/>
        <w:ind w:left="0"/>
      </w:pPr>
      <w:r>
        <w:rPr>
          <w:rFonts w:hint="eastAsia"/>
        </w:rPr>
        <w:t>浸取 digestion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将多晶硅块浸入酸混合物中，直到表面金属污染物溶解在溶液中。</w:t>
      </w:r>
    </w:p>
    <w:p>
      <w:pPr>
        <w:pStyle w:val="38"/>
        <w:spacing w:before="156" w:after="156"/>
        <w:ind w:left="0"/>
      </w:pPr>
      <w:r>
        <w:rPr>
          <w:rFonts w:hint="eastAsia"/>
        </w:rPr>
        <w:t>缩略语</w:t>
      </w:r>
    </w:p>
    <w:p>
      <w:pPr>
        <w:pStyle w:val="21"/>
      </w:pPr>
      <w:r>
        <w:rPr>
          <w:rFonts w:hint="eastAsia"/>
        </w:rPr>
        <w:t>下列缩略语适用于本标准。</w:t>
      </w:r>
    </w:p>
    <w:p>
      <w:pPr>
        <w:pStyle w:val="42"/>
        <w:spacing w:before="156" w:after="156"/>
        <w:ind w:left="0"/>
      </w:pPr>
      <w:r>
        <w:rPr>
          <w:rFonts w:hint="eastAsia"/>
        </w:rPr>
        <w:t>ICP/MS（inductively coupled plasma mass spectrometry）</w:t>
      </w:r>
    </w:p>
    <w:p>
      <w:pPr>
        <w:pStyle w:val="21"/>
      </w:pPr>
      <w:r>
        <w:rPr>
          <w:rFonts w:hint="eastAsia"/>
        </w:rPr>
        <w:t>电感耦合等离子质谱仪。</w:t>
      </w:r>
    </w:p>
    <w:p>
      <w:pPr>
        <w:pStyle w:val="42"/>
        <w:spacing w:before="156" w:after="156"/>
        <w:ind w:left="0"/>
      </w:pPr>
      <w:r>
        <w:rPr>
          <w:rFonts w:hint="eastAsia"/>
        </w:rPr>
        <w:t>PTFE（polytetrafluoroethylene）</w:t>
      </w:r>
    </w:p>
    <w:p>
      <w:pPr>
        <w:pStyle w:val="21"/>
      </w:pPr>
      <w:r>
        <w:rPr>
          <w:rFonts w:hint="eastAsia"/>
        </w:rPr>
        <w:t>聚四氟乙烯，一种耐氢氟酸材料，用于制作样品瓶、盖和夹子。</w:t>
      </w:r>
    </w:p>
    <w:p>
      <w:pPr>
        <w:pStyle w:val="41"/>
        <w:spacing w:before="312" w:after="312"/>
      </w:pPr>
      <w:bookmarkStart w:id="24" w:name="_Toc503281263"/>
      <w:r>
        <w:rPr>
          <w:rFonts w:hint="eastAsia"/>
        </w:rPr>
        <w:t>原理</w:t>
      </w:r>
      <w:bookmarkEnd w:id="24"/>
    </w:p>
    <w:p>
      <w:pPr>
        <w:pStyle w:val="21"/>
        <w:rPr>
          <w:szCs w:val="21"/>
        </w:rPr>
      </w:pPr>
      <w:r>
        <w:rPr>
          <w:rFonts w:hint="eastAsia"/>
          <w:szCs w:val="21"/>
          <w:highlight w:val="none"/>
          <w:lang w:eastAsia="zh-CN"/>
        </w:rPr>
        <w:t>试料</w:t>
      </w:r>
      <w:r>
        <w:rPr>
          <w:rFonts w:hint="eastAsia"/>
          <w:szCs w:val="21"/>
          <w:highlight w:val="none"/>
        </w:rPr>
        <w:t>用硝酸</w:t>
      </w:r>
      <w:r>
        <w:rPr>
          <w:rFonts w:hint="eastAsia"/>
          <w:szCs w:val="21"/>
          <w:highlight w:val="none"/>
          <w:lang w:eastAsia="zh-CN"/>
        </w:rPr>
        <w:t>、氢氟酸、</w:t>
      </w:r>
      <w:r>
        <w:rPr>
          <w:rFonts w:hint="eastAsia"/>
          <w:szCs w:val="21"/>
          <w:highlight w:val="none"/>
        </w:rPr>
        <w:t>水的混合液（1</w:t>
      </w:r>
      <w:r>
        <w:rPr>
          <w:rFonts w:hint="eastAsia" w:hAnsi="宋体"/>
          <w:szCs w:val="21"/>
          <w:highlight w:val="none"/>
        </w:rPr>
        <w:t>：</w:t>
      </w:r>
      <w:r>
        <w:rPr>
          <w:rFonts w:hint="eastAsia"/>
          <w:szCs w:val="21"/>
          <w:highlight w:val="none"/>
          <w:lang w:val="en-US" w:eastAsia="zh-CN"/>
        </w:rPr>
        <w:t>1</w:t>
      </w:r>
      <w:r>
        <w:rPr>
          <w:rFonts w:hint="eastAsia" w:hAnsi="宋体"/>
          <w:szCs w:val="21"/>
          <w:highlight w:val="none"/>
        </w:rPr>
        <w:t>：</w:t>
      </w:r>
      <w:r>
        <w:rPr>
          <w:rFonts w:hint="eastAsia" w:hAnsi="宋体"/>
          <w:szCs w:val="21"/>
          <w:highlight w:val="none"/>
          <w:lang w:val="en-US" w:eastAsia="zh-CN"/>
        </w:rPr>
        <w:t>10</w:t>
      </w:r>
      <w:r>
        <w:rPr>
          <w:rFonts w:hint="eastAsia"/>
          <w:szCs w:val="21"/>
          <w:highlight w:val="none"/>
        </w:rPr>
        <w:t>）浸取一定的时间，利用电感耦合等离子质谱仪（ICP/MS）测定浸取液中待分析金</w:t>
      </w:r>
      <w:r>
        <w:rPr>
          <w:rFonts w:hint="eastAsia"/>
          <w:szCs w:val="21"/>
        </w:rPr>
        <w:t>属元素的含量。</w:t>
      </w:r>
    </w:p>
    <w:p>
      <w:pPr>
        <w:pStyle w:val="41"/>
        <w:spacing w:before="312" w:after="312"/>
      </w:pPr>
      <w:bookmarkStart w:id="25" w:name="_Toc503281264"/>
      <w:r>
        <w:rPr>
          <w:rFonts w:hint="eastAsia"/>
        </w:rPr>
        <w:t>干扰因素</w:t>
      </w:r>
      <w:bookmarkEnd w:id="25"/>
    </w:p>
    <w:p>
      <w:pPr>
        <w:pStyle w:val="121"/>
        <w:ind w:left="0"/>
      </w:pPr>
      <w:r>
        <w:rPr>
          <w:rFonts w:hint="eastAsia"/>
        </w:rPr>
        <w:t>在该试验方法中通常存在双原子离子、多原子离子、基体效应、背景噪声、元素间的干扰、交叉沾污和仪器漂移。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</w:rPr>
        <w:t>来自取样及操作过程中试剂纯度、设备的洁净度、室内的洁净度和操作技术造成的沾污的影响应严格考虑。</w:t>
      </w:r>
      <w:r>
        <w:rPr>
          <w:rFonts w:hint="eastAsia"/>
          <w:highlight w:val="none"/>
        </w:rPr>
        <w:t>该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描述了一系列空白和控制标准，以监控和量化这些干扰。</w:t>
      </w:r>
    </w:p>
    <w:p>
      <w:pPr>
        <w:pStyle w:val="121"/>
        <w:ind w:left="0"/>
      </w:pPr>
      <w:r>
        <w:rPr>
          <w:rFonts w:hint="eastAsia"/>
          <w:highlight w:val="none"/>
        </w:rPr>
        <w:t>本试验方法要求样品</w:t>
      </w:r>
      <w:r>
        <w:rPr>
          <w:rFonts w:hint="eastAsia"/>
        </w:rPr>
        <w:t>应具有代表性，由于表面污染物不能均匀分布在表面，因此选择的样品尺寸和量必须能代表一批样品，如果样品尺寸太小，样品可能不能代表该批样品，导致平行样品偏差过大。</w:t>
      </w:r>
    </w:p>
    <w:p>
      <w:pPr>
        <w:pStyle w:val="41"/>
        <w:spacing w:before="312" w:after="312"/>
      </w:pPr>
      <w:bookmarkStart w:id="26" w:name="_Toc503281265"/>
      <w:r>
        <w:rPr>
          <w:rFonts w:hint="eastAsia"/>
        </w:rPr>
        <w:t>试剂</w:t>
      </w:r>
      <w:bookmarkEnd w:id="26"/>
    </w:p>
    <w:p>
      <w:pPr>
        <w:pStyle w:val="121"/>
        <w:ind w:left="0"/>
      </w:pPr>
      <w:r>
        <w:rPr>
          <w:rFonts w:hint="eastAsia"/>
        </w:rPr>
        <w:t>去离子水：所有的水应为ASTM D5127中描述的E-1型或其他品质相当的去离子水。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硝酸</w:t>
      </w:r>
      <w:r>
        <w:rPr>
          <w:rFonts w:hint="eastAsia"/>
          <w:highlight w:val="none"/>
          <w:lang w:eastAsia="zh-CN"/>
        </w:rPr>
        <w:t>（ρ</w:t>
      </w:r>
      <w:r>
        <w:rPr>
          <w:rFonts w:hint="eastAsia"/>
          <w:highlight w:val="none"/>
          <w:lang w:val="en-US" w:eastAsia="zh-CN"/>
        </w:rPr>
        <w:t>=1.42g/mL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，相当于SEMI C35中的2级。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硝酸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1+19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。</w:t>
      </w:r>
    </w:p>
    <w:p>
      <w:pPr>
        <w:pStyle w:val="121"/>
        <w:ind w:left="0"/>
      </w:pPr>
      <w:r>
        <w:rPr>
          <w:rFonts w:hint="eastAsia"/>
          <w:highlight w:val="none"/>
          <w:lang w:eastAsia="zh-CN"/>
        </w:rPr>
        <w:t>氢氟酸（ρ</w:t>
      </w:r>
      <w:r>
        <w:rPr>
          <w:rFonts w:hint="eastAsia"/>
          <w:highlight w:val="none"/>
          <w:lang w:val="en-US" w:eastAsia="zh-CN"/>
        </w:rPr>
        <w:t>=1.19g/mL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，</w:t>
      </w:r>
      <w:r>
        <w:rPr>
          <w:rFonts w:hint="eastAsia"/>
        </w:rPr>
        <w:t>相当于SEMI C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中的2级。</w:t>
      </w:r>
    </w:p>
    <w:p>
      <w:pPr>
        <w:pStyle w:val="121"/>
        <w:ind w:left="0"/>
      </w:pPr>
      <w:r>
        <w:rPr>
          <w:rFonts w:hint="eastAsia"/>
        </w:rPr>
        <w:t>浸取酸混合</w:t>
      </w:r>
      <w:r>
        <w:rPr>
          <w:rFonts w:hint="eastAsia"/>
          <w:lang w:eastAsia="zh-CN"/>
        </w:rPr>
        <w:t>物</w:t>
      </w:r>
      <w:r>
        <w:rPr>
          <w:rFonts w:hint="eastAsia"/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（1：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highlight w:val="none"/>
        </w:rPr>
        <w:t>HNO</w:t>
      </w:r>
      <w:r>
        <w:rPr>
          <w:rFonts w:hint="eastAsia"/>
          <w:highlight w:val="none"/>
          <w:vertAlign w:val="subscript"/>
        </w:rPr>
        <w:t>3</w:t>
      </w:r>
      <w:r>
        <w:rPr>
          <w:rFonts w:hint="eastAsia"/>
          <w:highlight w:val="none"/>
        </w:rPr>
        <w:t>:</w:t>
      </w:r>
      <w:r>
        <w:rPr>
          <w:rFonts w:hint="eastAsia"/>
          <w:highlight w:val="none"/>
          <w:lang w:val="en-US" w:eastAsia="zh-CN"/>
        </w:rPr>
        <w:t>HF</w:t>
      </w:r>
      <w:r>
        <w:rPr>
          <w:rFonts w:hint="eastAsia"/>
          <w:highlight w:val="none"/>
        </w:rPr>
        <w:t>:H</w:t>
      </w:r>
      <w:r>
        <w:rPr>
          <w:rFonts w:hint="eastAsia"/>
          <w:highlight w:val="none"/>
          <w:vertAlign w:val="subscript"/>
        </w:rPr>
        <w:t>2</w:t>
      </w:r>
      <w:r>
        <w:rPr>
          <w:rFonts w:hint="eastAsia"/>
          <w:highlight w:val="none"/>
        </w:rPr>
        <w:t>O。</w:t>
      </w:r>
    </w:p>
    <w:p>
      <w:pPr>
        <w:pStyle w:val="41"/>
        <w:spacing w:before="312" w:after="312"/>
      </w:pPr>
      <w:bookmarkStart w:id="27" w:name="_Toc503281266"/>
      <w:r>
        <w:rPr>
          <w:rFonts w:hint="eastAsia"/>
        </w:rPr>
        <w:t>仪器设备</w:t>
      </w:r>
      <w:bookmarkEnd w:id="27"/>
    </w:p>
    <w:p>
      <w:pPr>
        <w:pStyle w:val="121"/>
        <w:ind w:left="0"/>
      </w:pPr>
      <w:r>
        <w:rPr>
          <w:rFonts w:hint="eastAsia"/>
        </w:rPr>
        <w:t>ICP/MS:带动态反应池的电感耦合等离子质谱仪。</w:t>
      </w:r>
    </w:p>
    <w:p>
      <w:pPr>
        <w:pStyle w:val="121"/>
        <w:ind w:left="0"/>
      </w:pPr>
      <w:r>
        <w:rPr>
          <w:rFonts w:hint="eastAsia"/>
        </w:rPr>
        <w:t>空气环境：用于样品采集、酸浸提和ICP/MS分析的区域必须封闭在洁净室内，洁净室最低标准为ISO14644-1中定义的6级。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</w:rPr>
        <w:t>样</w:t>
      </w:r>
      <w:r>
        <w:rPr>
          <w:rFonts w:hint="eastAsia"/>
          <w:highlight w:val="none"/>
        </w:rPr>
        <w:t>品瓶和夹子：样品瓶（体积为</w:t>
      </w:r>
      <w:r>
        <w:rPr>
          <w:rFonts w:hint="eastAsia"/>
          <w:highlight w:val="none"/>
          <w:lang w:val="en-US" w:eastAsia="zh-CN"/>
        </w:rPr>
        <w:t>100</w:t>
      </w:r>
      <w:r>
        <w:rPr>
          <w:rFonts w:hint="eastAsia"/>
          <w:highlight w:val="none"/>
        </w:rPr>
        <w:t>mL）、盖和夹子为聚四氟乙烯（PTFE）材料或类似不被氢氟酸腐蚀并能清洗的聚合物材料制成。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分析天平：</w:t>
      </w:r>
      <w:r>
        <w:rPr>
          <w:rFonts w:hint="eastAsia" w:ascii="宋体" w:hAnsi="宋体" w:eastAsia="宋体"/>
          <w:highlight w:val="none"/>
        </w:rPr>
        <w:t>分度值为0.001 g</w:t>
      </w:r>
      <w:r>
        <w:rPr>
          <w:rFonts w:hint="eastAsia"/>
          <w:highlight w:val="none"/>
        </w:rPr>
        <w:t>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  <w:highlight w:val="none"/>
        </w:rPr>
        <w:t>耐酸腐蚀的电热板：表面有聚四氟乙烯涂层。</w:t>
      </w:r>
    </w:p>
    <w:p>
      <w:pPr>
        <w:pStyle w:val="41"/>
        <w:spacing w:before="312" w:after="312"/>
        <w:rPr>
          <w:highlight w:val="none"/>
        </w:rPr>
      </w:pPr>
      <w:r>
        <w:rPr>
          <w:rFonts w:hint="eastAsia"/>
          <w:highlight w:val="none"/>
          <w:lang w:eastAsia="zh-CN"/>
        </w:rPr>
        <w:t>样品</w:t>
      </w:r>
    </w:p>
    <w:p>
      <w:pPr>
        <w:pStyle w:val="121"/>
        <w:ind w:left="0"/>
      </w:pPr>
      <w:r>
        <w:rPr>
          <w:rFonts w:hint="eastAsia"/>
        </w:rPr>
        <w:t>从一批样品中选出一袋不少于5kg产品用于取样，将其放在洁净室内以备取样，并且假设分析出的表面金属含量代表该批样品。如果必须在异地取样，而不是在分析实验室，则必须将样品封在双层袋中并送到实验室。取样过程中的沾污必须严格考虑并且必须避免。</w:t>
      </w:r>
    </w:p>
    <w:p>
      <w:pPr>
        <w:pStyle w:val="121"/>
        <w:ind w:left="0"/>
        <w:rPr>
          <w:highlight w:val="none"/>
        </w:rPr>
      </w:pPr>
      <w:r>
        <w:rPr>
          <w:rFonts w:hint="eastAsia"/>
        </w:rPr>
        <w:t>为保证分析一致性及实验室间分析数值对比，对于块状样品选择一个标准重量和体积，为达到仲</w:t>
      </w:r>
      <w:r>
        <w:rPr>
          <w:rFonts w:hint="eastAsia"/>
          <w:highlight w:val="none"/>
        </w:rPr>
        <w:t>裁的目的，要求取</w:t>
      </w:r>
      <w:r>
        <w:rPr>
          <w:rFonts w:hint="eastAsia"/>
          <w:highlight w:val="none"/>
          <w:lang w:eastAsia="zh-CN"/>
        </w:rPr>
        <w:t>三</w:t>
      </w:r>
      <w:r>
        <w:rPr>
          <w:rFonts w:hint="eastAsia"/>
          <w:highlight w:val="none"/>
        </w:rPr>
        <w:t>块样品，每块尺寸约为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3cm</w:t>
      </w: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3cm</w:t>
      </w:r>
      <w:r>
        <w:rPr>
          <w:rFonts w:hint="eastAsia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×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1cm，</w:t>
      </w:r>
      <w:r>
        <w:rPr>
          <w:rFonts w:hint="eastAsia"/>
          <w:highlight w:val="none"/>
        </w:rPr>
        <w:t>重量约</w:t>
      </w:r>
      <w:r>
        <w:rPr>
          <w:rFonts w:hint="eastAsia"/>
          <w:highlight w:val="none"/>
          <w:lang w:eastAsia="zh-CN"/>
        </w:rPr>
        <w:t>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20g</w:t>
      </w:r>
      <w:r>
        <w:rPr>
          <w:rFonts w:hint="eastAsia"/>
          <w:highlight w:val="none"/>
        </w:rPr>
        <w:t>，样品总重量约为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0g，</w:t>
      </w:r>
      <w:r>
        <w:rPr>
          <w:rFonts w:hint="eastAsia"/>
          <w:highlight w:val="none"/>
          <w:lang w:eastAsia="zh-CN"/>
        </w:rPr>
        <w:t>三</w:t>
      </w:r>
      <w:r>
        <w:rPr>
          <w:rFonts w:hint="eastAsia"/>
          <w:highlight w:val="none"/>
        </w:rPr>
        <w:t>块样品中至少</w:t>
      </w:r>
      <w:r>
        <w:rPr>
          <w:rFonts w:hint="eastAsia"/>
          <w:highlight w:val="none"/>
          <w:lang w:eastAsia="zh-CN"/>
        </w:rPr>
        <w:t>两</w:t>
      </w:r>
      <w:r>
        <w:rPr>
          <w:rFonts w:hint="eastAsia"/>
          <w:highlight w:val="none"/>
        </w:rPr>
        <w:t>块应该有生长外表面，生长外表面即多晶硅棒的表皮。</w:t>
      </w:r>
    </w:p>
    <w:p>
      <w:pPr>
        <w:pStyle w:val="41"/>
        <w:spacing w:before="312" w:after="312"/>
        <w:rPr>
          <w:highlight w:val="none"/>
        </w:rPr>
      </w:pPr>
      <w:bookmarkStart w:id="28" w:name="_Toc503281268"/>
      <w:r>
        <w:rPr>
          <w:rFonts w:hint="eastAsia"/>
          <w:highlight w:val="none"/>
          <w:lang w:eastAsia="zh-CN"/>
        </w:rPr>
        <w:t>试验</w:t>
      </w:r>
      <w:r>
        <w:rPr>
          <w:rFonts w:hint="eastAsia"/>
          <w:highlight w:val="none"/>
        </w:rPr>
        <w:t>步骤</w:t>
      </w:r>
      <w:bookmarkEnd w:id="28"/>
    </w:p>
    <w:p>
      <w:pPr>
        <w:pStyle w:val="38"/>
        <w:spacing w:before="156" w:after="156"/>
        <w:ind w:left="0"/>
        <w:rPr>
          <w:highlight w:val="none"/>
        </w:rPr>
      </w:pPr>
      <w:r>
        <w:rPr>
          <w:rFonts w:hint="eastAsia"/>
        </w:rPr>
        <w:t>多晶硅块</w:t>
      </w:r>
      <w:r>
        <w:rPr>
          <w:rFonts w:hint="eastAsia"/>
          <w:highlight w:val="none"/>
        </w:rPr>
        <w:t>表面金属杂质浸取</w:t>
      </w:r>
    </w:p>
    <w:p>
      <w:pPr>
        <w:pStyle w:val="59"/>
        <w:rPr>
          <w:highlight w:val="none"/>
        </w:rPr>
      </w:pPr>
      <w:r>
        <w:rPr>
          <w:rFonts w:hint="eastAsia"/>
          <w:highlight w:val="none"/>
        </w:rPr>
        <w:t>在实验室中按照标准洁净室操作规程打开双层袋，将样品块转到PTFE瓶中并称重，精确</w:t>
      </w:r>
      <w:r>
        <w:rPr>
          <w:rFonts w:hint="eastAsia"/>
          <w:highlight w:val="none"/>
          <w:lang w:eastAsia="zh-CN"/>
        </w:rPr>
        <w:t>至</w:t>
      </w:r>
      <w:r>
        <w:rPr>
          <w:rFonts w:hint="eastAsia"/>
          <w:highlight w:val="none"/>
          <w:lang w:val="en-US" w:eastAsia="zh-CN"/>
        </w:rPr>
        <w:t>0.01g</w:t>
      </w:r>
      <w:r>
        <w:rPr>
          <w:rFonts w:hint="eastAsia"/>
          <w:highlight w:val="none"/>
        </w:rPr>
        <w:t>，向每个</w:t>
      </w:r>
      <w:r>
        <w:rPr>
          <w:rFonts w:hint="eastAsia"/>
          <w:highlight w:val="none"/>
          <w:lang w:eastAsia="zh-CN"/>
        </w:rPr>
        <w:t>样品</w:t>
      </w:r>
      <w:r>
        <w:rPr>
          <w:rFonts w:hint="eastAsia"/>
          <w:highlight w:val="none"/>
        </w:rPr>
        <w:t>瓶中加入约</w:t>
      </w:r>
      <w:r>
        <w:rPr>
          <w:rFonts w:hint="eastAsia"/>
          <w:highlight w:val="none"/>
          <w:lang w:val="en-US" w:eastAsia="zh-CN"/>
        </w:rPr>
        <w:t>60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mL浸取酸混合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物液</w:t>
      </w:r>
      <w:r>
        <w:rPr>
          <w:rFonts w:hint="eastAsia"/>
          <w:highlight w:val="none"/>
        </w:rPr>
        <w:t>没过样品块。</w:t>
      </w:r>
    </w:p>
    <w:p>
      <w:pPr>
        <w:pStyle w:val="59"/>
        <w:rPr>
          <w:highlight w:val="none"/>
        </w:rPr>
      </w:pPr>
      <w:r>
        <w:rPr>
          <w:rFonts w:hint="eastAsia"/>
          <w:highlight w:val="none"/>
        </w:rPr>
        <w:t>将密封瓶放在通风橱中</w:t>
      </w:r>
      <w:r>
        <w:rPr>
          <w:rFonts w:hint="eastAsia"/>
          <w:highlight w:val="none"/>
          <w:lang w:eastAsia="zh-CN"/>
        </w:rPr>
        <w:t>，置于</w:t>
      </w:r>
      <w:r>
        <w:rPr>
          <w:rFonts w:hint="eastAsia"/>
          <w:highlight w:val="none"/>
          <w:lang w:val="en-US" w:eastAsia="zh-CN"/>
        </w:rPr>
        <w:t>70℃加热板上</w:t>
      </w:r>
      <w:r>
        <w:rPr>
          <w:rFonts w:hint="eastAsia"/>
          <w:highlight w:val="none"/>
        </w:rPr>
        <w:t>浸泡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/>
          <w:highlight w:val="none"/>
        </w:rPr>
        <w:t>min，该溶液用于金属污染物的检测。随同试样做两个浸取空白。</w:t>
      </w:r>
    </w:p>
    <w:p>
      <w:pPr>
        <w:pStyle w:val="59"/>
        <w:rPr>
          <w:highlight w:val="none"/>
        </w:rPr>
      </w:pPr>
      <w:r>
        <w:rPr>
          <w:rFonts w:hint="eastAsia"/>
          <w:highlight w:val="none"/>
        </w:rPr>
        <w:t>使用ICP/MS依次检测浸取空白、样品的离子计数值cps，从工作曲线上查出相应的待测元素的浓度。</w:t>
      </w:r>
    </w:p>
    <w:p>
      <w:pPr>
        <w:pStyle w:val="38"/>
        <w:spacing w:before="156" w:after="156"/>
        <w:ind w:left="0"/>
        <w:rPr>
          <w:highlight w:val="none"/>
        </w:rPr>
      </w:pPr>
      <w:r>
        <w:rPr>
          <w:rFonts w:hint="eastAsia"/>
          <w:highlight w:val="none"/>
        </w:rPr>
        <w:t>工作曲线的绘制</w:t>
      </w:r>
    </w:p>
    <w:p>
      <w:pPr>
        <w:pStyle w:val="59"/>
      </w:pPr>
      <w:r>
        <w:rPr>
          <w:rFonts w:hint="eastAsia"/>
        </w:rPr>
        <w:t>移取10</w:t>
      </w:r>
      <w:r>
        <w:t>µ</w:t>
      </w:r>
      <w:r>
        <w:rPr>
          <w:rFonts w:hint="eastAsia"/>
        </w:rPr>
        <w:t>g/mL元素的标准溶液0m</w:t>
      </w:r>
      <w:r>
        <w:rPr>
          <w:rFonts w:hint="eastAsia"/>
          <w:highlight w:val="none"/>
        </w:rPr>
        <w:t>L、</w:t>
      </w:r>
      <w:r>
        <w:rPr>
          <w:rFonts w:hint="eastAsia"/>
          <w:highlight w:val="none"/>
          <w:lang w:val="en-US" w:eastAsia="zh-CN"/>
        </w:rPr>
        <w:t>0.02mL、</w:t>
      </w:r>
      <w:r>
        <w:rPr>
          <w:rFonts w:hint="eastAsia"/>
          <w:highlight w:val="none"/>
        </w:rPr>
        <w:t>0.05mL、0.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mL、0.2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mL、0.5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mL 标准溶液于100mL容量瓶中，</w:t>
      </w:r>
      <w:r>
        <w:rPr>
          <w:rFonts w:hint="eastAsia"/>
          <w:highlight w:val="none"/>
          <w:lang w:eastAsia="zh-CN"/>
        </w:rPr>
        <w:t>用</w:t>
      </w:r>
      <w:r>
        <w:rPr>
          <w:rFonts w:hint="eastAsia"/>
          <w:highlight w:val="none"/>
        </w:rPr>
        <w:t>HNO</w:t>
      </w:r>
      <w:r>
        <w:rPr>
          <w:rFonts w:hint="eastAsia"/>
          <w:highlight w:val="none"/>
          <w:vertAlign w:val="subscript"/>
        </w:rPr>
        <w:t>3</w:t>
      </w:r>
      <w:r>
        <w:rPr>
          <w:rFonts w:hint="eastAsia"/>
          <w:highlight w:val="none"/>
          <w:vertAlign w:val="baseline"/>
          <w:lang w:eastAsia="zh-CN"/>
        </w:rPr>
        <w:t>溶液（</w:t>
      </w:r>
      <w:r>
        <w:rPr>
          <w:rFonts w:hint="eastAsia"/>
          <w:highlight w:val="none"/>
          <w:vertAlign w:val="baseline"/>
          <w:lang w:val="en-US" w:eastAsia="zh-CN"/>
        </w:rPr>
        <w:t>6.3</w:t>
      </w:r>
      <w:r>
        <w:rPr>
          <w:rFonts w:hint="eastAsia"/>
          <w:highlight w:val="none"/>
          <w:vertAlign w:val="baseline"/>
          <w:lang w:eastAsia="zh-CN"/>
        </w:rPr>
        <w:t>）</w:t>
      </w:r>
      <w:r>
        <w:rPr>
          <w:rFonts w:hint="eastAsia"/>
          <w:highlight w:val="none"/>
        </w:rPr>
        <w:t>稀释至刻度，混匀，配制成0 ng/mL、</w:t>
      </w:r>
      <w:r>
        <w:rPr>
          <w:rFonts w:hint="eastAsia"/>
          <w:highlight w:val="none"/>
          <w:lang w:val="en-US" w:eastAsia="zh-CN"/>
        </w:rPr>
        <w:t>2.0</w:t>
      </w:r>
      <w:r>
        <w:rPr>
          <w:rFonts w:hint="eastAsia"/>
          <w:highlight w:val="none"/>
        </w:rPr>
        <w:t>ng/mL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</w:rPr>
        <w:t>5</w:t>
      </w:r>
      <w:r>
        <w:rPr>
          <w:rFonts w:hint="eastAsia"/>
          <w:highlight w:val="none"/>
          <w:lang w:val="en-US" w:eastAsia="zh-CN"/>
        </w:rPr>
        <w:t>.0</w:t>
      </w:r>
      <w:r>
        <w:rPr>
          <w:rFonts w:hint="eastAsia"/>
          <w:highlight w:val="none"/>
        </w:rPr>
        <w:t xml:space="preserve"> ng/mL、1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.0 ng/mL、2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.0 ng/mL、5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.0 ng/mL标准溶液。制备的标准</w:t>
      </w:r>
      <w:r>
        <w:rPr>
          <w:rFonts w:hint="eastAsia"/>
          <w:highlight w:val="none"/>
          <w:lang w:eastAsia="zh-CN"/>
        </w:rPr>
        <w:t>溶液浓度</w:t>
      </w:r>
      <w:r>
        <w:rPr>
          <w:rFonts w:hint="eastAsia"/>
          <w:highlight w:val="none"/>
        </w:rPr>
        <w:t>范围应接近于</w:t>
      </w:r>
      <w:r>
        <w:rPr>
          <w:rFonts w:hint="eastAsia"/>
        </w:rPr>
        <w:t>估计的待分析元素的浓度。</w:t>
      </w:r>
    </w:p>
    <w:p>
      <w:pPr>
        <w:pStyle w:val="59"/>
      </w:pPr>
      <w:r>
        <w:rPr>
          <w:rFonts w:hint="eastAsia"/>
        </w:rPr>
        <w:t>在与样品溶液测定相同的条件下，测量标准溶液系列的离子计数值cps，以待测元素浓度为横坐标，离子计数值cps为纵坐标，绘制工作曲线。</w:t>
      </w:r>
    </w:p>
    <w:p>
      <w:pPr>
        <w:pStyle w:val="41"/>
        <w:spacing w:before="312" w:after="312"/>
      </w:pPr>
      <w:r>
        <w:rPr>
          <w:rFonts w:hint="eastAsia"/>
          <w:lang w:eastAsia="zh-CN"/>
        </w:rPr>
        <w:t>试验数据处理</w:t>
      </w:r>
    </w:p>
    <w:p>
      <w:pPr>
        <w:spacing w:line="360" w:lineRule="auto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/>
          <w:color w:val="auto"/>
          <w:highlight w:val="none"/>
          <w:lang w:eastAsia="zh-CN"/>
        </w:rPr>
        <w:t>多晶硅表面金属</w:t>
      </w:r>
      <w:r>
        <w:rPr>
          <w:rFonts w:hint="eastAsia"/>
          <w:color w:val="auto"/>
          <w:highlight w:val="none"/>
        </w:rPr>
        <w:t>含量以质量</w:t>
      </w:r>
      <w:r>
        <w:rPr>
          <w:rFonts w:hint="eastAsia"/>
          <w:color w:val="auto"/>
          <w:highlight w:val="none"/>
          <w:lang w:eastAsia="zh-CN"/>
        </w:rPr>
        <w:t>浓度</w:t>
      </w:r>
      <w:r>
        <w:rPr>
          <w:rFonts w:hint="eastAsia"/>
          <w:color w:val="auto"/>
          <w:highlight w:val="none"/>
          <w:lang w:val="en-US" w:eastAsia="zh-CN"/>
        </w:rPr>
        <w:t>M</w:t>
      </w:r>
      <w:r>
        <w:rPr>
          <w:rFonts w:hint="eastAsia" w:hAnsi="宋体"/>
          <w:color w:val="auto"/>
          <w:highlight w:val="none"/>
        </w:rPr>
        <w:t>计</w:t>
      </w:r>
      <w:r>
        <w:rPr>
          <w:rFonts w:hint="eastAsia" w:hAnsi="宋体"/>
          <w:color w:val="auto"/>
        </w:rPr>
        <w:t>，按公式（</w:t>
      </w:r>
      <w:r>
        <w:rPr>
          <w:rFonts w:hint="eastAsia" w:hAnsi="宋体"/>
          <w:color w:val="auto"/>
          <w:lang w:val="en-US" w:eastAsia="zh-CN"/>
        </w:rPr>
        <w:t>1</w:t>
      </w:r>
      <w:r>
        <w:rPr>
          <w:rFonts w:hint="eastAsia" w:hAnsi="宋体"/>
          <w:color w:val="auto"/>
        </w:rPr>
        <w:t>）计算</w:t>
      </w:r>
      <w:r>
        <w:rPr>
          <w:rFonts w:hint="eastAsia" w:ascii="宋体" w:hAnsi="宋体"/>
          <w:szCs w:val="21"/>
        </w:rPr>
        <w:t>:</w:t>
      </w:r>
    </w:p>
    <w:p>
      <w:pPr>
        <w:spacing w:line="360" w:lineRule="auto"/>
        <w:ind w:right="420" w:firstLine="2835" w:firstLineChars="1350"/>
        <w:rPr>
          <w:rFonts w:ascii="宋体" w:hAnsi="宋体"/>
          <w:szCs w:val="21"/>
        </w:rPr>
      </w:pPr>
      <w:r>
        <w:drawing>
          <wp:inline distT="0" distB="0" distL="114300" distR="114300">
            <wp:extent cx="1209675" cy="200025"/>
            <wp:effectExtent l="0" t="0" r="0" b="133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………………………………</w:t>
      </w:r>
      <w:r>
        <w:rPr>
          <w:rFonts w:hint="eastAsia" w:ascii="宋体" w:hAnsi="宋体"/>
          <w:szCs w:val="21"/>
        </w:rPr>
        <w:t>（1）</w:t>
      </w:r>
    </w:p>
    <w:p>
      <w:pPr>
        <w:spacing w:line="360" w:lineRule="auto"/>
        <w:ind w:firstLine="539" w:firstLineChars="2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式中：</w:t>
      </w:r>
    </w:p>
    <w:p>
      <w:pPr>
        <w:spacing w:line="360" w:lineRule="auto"/>
        <w:ind w:firstLine="539" w:firstLineChars="257"/>
        <w:rPr>
          <w:szCs w:val="21"/>
        </w:rPr>
      </w:pPr>
      <w:r>
        <w:rPr>
          <w:rFonts w:hint="eastAsia" w:ascii="宋体" w:hAnsi="宋体"/>
          <w:szCs w:val="21"/>
        </w:rPr>
        <w:t>M——</w:t>
      </w:r>
      <w:r>
        <w:rPr>
          <w:rFonts w:hint="eastAsia" w:ascii="宋体" w:hAnsi="宋体"/>
          <w:szCs w:val="21"/>
          <w:lang w:eastAsia="zh-CN"/>
        </w:rPr>
        <w:t>多晶硅表面金属</w:t>
      </w:r>
      <w:r>
        <w:rPr>
          <w:rFonts w:hint="eastAsia" w:ascii="宋体" w:hAnsi="宋体"/>
          <w:szCs w:val="21"/>
        </w:rPr>
        <w:t>元素质量浓度，单位为纳克每克（</w:t>
      </w:r>
      <w:r>
        <w:rPr>
          <w:rFonts w:hint="eastAsia"/>
          <w:szCs w:val="21"/>
        </w:rPr>
        <w:t>ng/g）；</w:t>
      </w:r>
    </w:p>
    <w:p>
      <w:pPr>
        <w:spacing w:line="360" w:lineRule="auto"/>
        <w:ind w:firstLine="539" w:firstLineChars="2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I——待测分析元素质量浓度，单位为纳克每毫升（</w:t>
      </w:r>
      <w:r>
        <w:rPr>
          <w:rFonts w:hint="eastAsia"/>
          <w:szCs w:val="21"/>
        </w:rPr>
        <w:t>ng/mL）；</w:t>
      </w:r>
    </w:p>
    <w:p>
      <w:pPr>
        <w:spacing w:line="360" w:lineRule="auto"/>
        <w:ind w:firstLine="539" w:firstLineChars="25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B——空白的质量浓度，单位纳克每毫升（</w:t>
      </w:r>
      <w:r>
        <w:rPr>
          <w:rFonts w:hint="eastAsia"/>
          <w:szCs w:val="21"/>
        </w:rPr>
        <w:t>ng/mL）；</w:t>
      </w:r>
    </w:p>
    <w:p>
      <w:pPr>
        <w:spacing w:line="360" w:lineRule="auto"/>
        <w:ind w:firstLine="539" w:firstLineChars="257"/>
        <w:rPr>
          <w:rFonts w:ascii="宋体" w:hAnsi="宋体"/>
          <w:kern w:val="0"/>
        </w:rPr>
      </w:pPr>
      <w:r>
        <w:rPr>
          <w:rFonts w:hint="eastAsia" w:ascii="宋体" w:hAnsi="宋体"/>
          <w:szCs w:val="21"/>
        </w:rPr>
        <w:t>V——酸浸取体积</w:t>
      </w:r>
      <w:r>
        <w:rPr>
          <w:rFonts w:hint="eastAsia" w:ascii="宋体" w:hAnsi="宋体"/>
          <w:kern w:val="0"/>
        </w:rPr>
        <w:t>，单位为毫升（mL）；</w:t>
      </w:r>
    </w:p>
    <w:p>
      <w:pPr>
        <w:pStyle w:val="21"/>
        <w:ind w:firstLine="525" w:firstLineChars="250"/>
        <w:rPr>
          <w:rFonts w:hAnsi="宋体"/>
        </w:rPr>
      </w:pPr>
      <w:r>
        <w:rPr>
          <w:rFonts w:hint="eastAsia" w:hAnsi="宋体"/>
          <w:szCs w:val="21"/>
        </w:rPr>
        <w:t>m——多晶硅样品</w:t>
      </w:r>
      <w:r>
        <w:rPr>
          <w:rFonts w:hint="eastAsia" w:hAnsi="宋体"/>
          <w:szCs w:val="21"/>
          <w:lang w:eastAsia="zh-CN"/>
        </w:rPr>
        <w:t>质</w:t>
      </w:r>
      <w:r>
        <w:rPr>
          <w:rFonts w:hint="eastAsia" w:hAnsi="宋体"/>
          <w:szCs w:val="21"/>
        </w:rPr>
        <w:t>量</w:t>
      </w:r>
      <w:r>
        <w:rPr>
          <w:rFonts w:hint="eastAsia" w:hAnsi="宋体"/>
        </w:rPr>
        <w:t>，单位为克（g）。</w:t>
      </w:r>
    </w:p>
    <w:p>
      <w:pPr>
        <w:pStyle w:val="41"/>
        <w:spacing w:before="312" w:after="312"/>
      </w:pPr>
      <w:bookmarkStart w:id="29" w:name="_Toc503281270"/>
      <w:r>
        <w:rPr>
          <w:rFonts w:hint="eastAsia"/>
        </w:rPr>
        <w:t>精密度</w:t>
      </w:r>
      <w:bookmarkEnd w:id="29"/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实验室内的RSD精密度值不大于表1。</w:t>
      </w:r>
    </w:p>
    <w:p>
      <w:pPr>
        <w:wordWrap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表1</w:t>
      </w:r>
      <w:r>
        <w:rPr>
          <w:rFonts w:hint="eastAsia"/>
          <w:sz w:val="18"/>
          <w:szCs w:val="18"/>
        </w:rPr>
        <w:t>%</w:t>
      </w:r>
    </w:p>
    <w:tbl>
      <w:tblPr>
        <w:tblStyle w:val="29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825"/>
        <w:gridCol w:w="835"/>
        <w:gridCol w:w="815"/>
        <w:gridCol w:w="771"/>
        <w:gridCol w:w="836"/>
        <w:gridCol w:w="867"/>
        <w:gridCol w:w="771"/>
        <w:gridCol w:w="867"/>
        <w:gridCol w:w="7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5.4pt;margin-top:0pt;height:0pt;width:0pt;z-index:251664384;mso-width-relative:page;mso-height-relative:page;" filled="f" stroked="t" coordsize="21600,21600" o:gfxdata="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NaQnRAAAABQEAAA8AAAAAAAAAAQAgAAAAIgAAAGRycy9kb3ducmV2Lnht&#10;bFBLAQIUABQAAAAIAIdO4kDXuv1BxwEAAKgDAAAOAAAAAAAAAAEAIAAAACA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元素</w:t>
            </w:r>
          </w:p>
        </w:tc>
        <w:tc>
          <w:tcPr>
            <w:tcW w:w="431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43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426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</w:t>
            </w:r>
          </w:p>
        </w:tc>
        <w:tc>
          <w:tcPr>
            <w:tcW w:w="40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Ni</w:t>
            </w:r>
          </w:p>
        </w:tc>
        <w:tc>
          <w:tcPr>
            <w:tcW w:w="437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</w:t>
            </w:r>
          </w:p>
        </w:tc>
        <w:tc>
          <w:tcPr>
            <w:tcW w:w="45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Zn</w:t>
            </w:r>
          </w:p>
        </w:tc>
        <w:tc>
          <w:tcPr>
            <w:tcW w:w="40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</w:t>
            </w:r>
          </w:p>
        </w:tc>
        <w:tc>
          <w:tcPr>
            <w:tcW w:w="45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</w:p>
        </w:tc>
        <w:tc>
          <w:tcPr>
            <w:tcW w:w="403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RSD</w:t>
            </w:r>
          </w:p>
        </w:tc>
        <w:tc>
          <w:tcPr>
            <w:tcW w:w="431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color="auto" w:sz="8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pStyle w:val="41"/>
        <w:spacing w:before="312" w:after="312"/>
        <w:rPr>
          <w:highlight w:val="none"/>
        </w:rPr>
      </w:pPr>
      <w:bookmarkStart w:id="30" w:name="_Toc503281271"/>
      <w:r>
        <w:rPr>
          <w:rFonts w:hint="eastAsia"/>
          <w:highlight w:val="none"/>
          <w:lang w:eastAsia="zh-CN"/>
        </w:rPr>
        <w:t>试验</w:t>
      </w:r>
      <w:r>
        <w:rPr>
          <w:rFonts w:hint="eastAsia"/>
          <w:highlight w:val="none"/>
        </w:rPr>
        <w:t>报告</w:t>
      </w:r>
      <w:bookmarkEnd w:id="30"/>
    </w:p>
    <w:p>
      <w:pPr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试验</w:t>
      </w:r>
      <w:r>
        <w:rPr>
          <w:rFonts w:hint="eastAsia" w:ascii="宋体" w:hAnsi="宋体"/>
          <w:szCs w:val="21"/>
          <w:highlight w:val="none"/>
        </w:rPr>
        <w:t>报告应包</w:t>
      </w:r>
      <w:r>
        <w:rPr>
          <w:rFonts w:hint="eastAsia" w:ascii="宋体" w:hAnsi="宋体"/>
          <w:szCs w:val="21"/>
          <w:highlight w:val="none"/>
          <w:lang w:eastAsia="zh-CN"/>
        </w:rPr>
        <w:t>含</w:t>
      </w:r>
      <w:r>
        <w:rPr>
          <w:rFonts w:hint="eastAsia" w:ascii="宋体" w:hAnsi="宋体"/>
          <w:szCs w:val="21"/>
          <w:highlight w:val="none"/>
        </w:rPr>
        <w:t>以下内容：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clear" w:pos="899"/>
        </w:tabs>
        <w:ind w:left="540" w:leftChars="25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多晶硅批样标识；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clear" w:pos="899"/>
        </w:tabs>
        <w:ind w:left="540" w:leftChars="25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使用的标准；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clear" w:pos="899"/>
        </w:tabs>
        <w:ind w:left="540" w:leftChars="257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仪器生产商、仪器型号；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left" w:pos="3465"/>
          <w:tab w:val="clear" w:pos="899"/>
        </w:tabs>
        <w:ind w:left="540" w:leftChars="257"/>
        <w:rPr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分析结果及其表示</w:t>
      </w:r>
      <w:r>
        <w:rPr>
          <w:rFonts w:hint="eastAsia" w:ascii="宋体" w:hAnsi="宋体"/>
          <w:szCs w:val="21"/>
          <w:highlight w:val="none"/>
        </w:rPr>
        <w:t>；</w:t>
      </w:r>
    </w:p>
    <w:p>
      <w:pPr>
        <w:numPr>
          <w:ilvl w:val="0"/>
          <w:numId w:val="11"/>
        </w:numPr>
        <w:tabs>
          <w:tab w:val="left" w:pos="360"/>
          <w:tab w:val="left" w:pos="900"/>
          <w:tab w:val="left" w:pos="3465"/>
          <w:tab w:val="clear" w:pos="899"/>
        </w:tabs>
        <w:ind w:left="540" w:leftChars="257"/>
        <w:rPr>
          <w:highlight w:val="none"/>
        </w:rPr>
      </w:pPr>
      <w:r>
        <w:rPr>
          <w:rFonts w:hint="eastAsia"/>
          <w:highlight w:val="none"/>
          <w:lang w:eastAsia="zh-CN"/>
        </w:rPr>
        <w:t>操作者、测试日期、测试单位。</w:t>
      </w:r>
    </w:p>
    <w:p>
      <w:pPr>
        <w:pStyle w:val="125"/>
      </w:pPr>
      <w:r>
        <w:t>_________________________________</w:t>
      </w:r>
    </w:p>
    <w:sectPr>
      <w:headerReference r:id="rId9" w:type="default"/>
      <w:footerReference r:id="rId10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t>GB/T XXXXX—XXXX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3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4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6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3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1DBF583A"/>
    <w:multiLevelType w:val="multilevel"/>
    <w:tmpl w:val="1DBF583A"/>
    <w:lvl w:ilvl="0" w:tentative="0">
      <w:start w:val="1"/>
      <w:numFmt w:val="decimal"/>
      <w:pStyle w:val="61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4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>
    <w:nsid w:val="355C5B74"/>
    <w:multiLevelType w:val="multilevel"/>
    <w:tmpl w:val="355C5B74"/>
    <w:lvl w:ilvl="0" w:tentative="0">
      <w:start w:val="1"/>
      <w:numFmt w:val="lowerLetter"/>
      <w:lvlText w:val="%1）"/>
      <w:lvlJc w:val="left"/>
      <w:pPr>
        <w:tabs>
          <w:tab w:val="left" w:pos="899"/>
        </w:tabs>
        <w:ind w:left="899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7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8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9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06E5C"/>
    <w:rsid w:val="00013D86"/>
    <w:rsid w:val="00013E02"/>
    <w:rsid w:val="0002143C"/>
    <w:rsid w:val="00025A65"/>
    <w:rsid w:val="00026034"/>
    <w:rsid w:val="00026C31"/>
    <w:rsid w:val="00027280"/>
    <w:rsid w:val="000320A7"/>
    <w:rsid w:val="00035925"/>
    <w:rsid w:val="000511C3"/>
    <w:rsid w:val="00063E97"/>
    <w:rsid w:val="00067CDF"/>
    <w:rsid w:val="000716E1"/>
    <w:rsid w:val="00074FBE"/>
    <w:rsid w:val="00083A09"/>
    <w:rsid w:val="0009005E"/>
    <w:rsid w:val="00092857"/>
    <w:rsid w:val="000A20A9"/>
    <w:rsid w:val="000A48B1"/>
    <w:rsid w:val="000B3143"/>
    <w:rsid w:val="000C51FC"/>
    <w:rsid w:val="000C6B05"/>
    <w:rsid w:val="000C6DD6"/>
    <w:rsid w:val="000C73D4"/>
    <w:rsid w:val="000D3D4C"/>
    <w:rsid w:val="000D4F51"/>
    <w:rsid w:val="000D718B"/>
    <w:rsid w:val="000E0C46"/>
    <w:rsid w:val="000E6074"/>
    <w:rsid w:val="000F030C"/>
    <w:rsid w:val="000F129C"/>
    <w:rsid w:val="001056DE"/>
    <w:rsid w:val="001124C0"/>
    <w:rsid w:val="00122897"/>
    <w:rsid w:val="0013175F"/>
    <w:rsid w:val="001512B4"/>
    <w:rsid w:val="001620A5"/>
    <w:rsid w:val="00164E53"/>
    <w:rsid w:val="0016699D"/>
    <w:rsid w:val="00173224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6BE0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17C9E"/>
    <w:rsid w:val="00234467"/>
    <w:rsid w:val="00235BFF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4AFB"/>
    <w:rsid w:val="00286973"/>
    <w:rsid w:val="00294E70"/>
    <w:rsid w:val="00297240"/>
    <w:rsid w:val="002A1924"/>
    <w:rsid w:val="002A6AE1"/>
    <w:rsid w:val="002A7420"/>
    <w:rsid w:val="002B0E8A"/>
    <w:rsid w:val="002B0F12"/>
    <w:rsid w:val="002B1308"/>
    <w:rsid w:val="002B24C5"/>
    <w:rsid w:val="002B4554"/>
    <w:rsid w:val="002B5CA4"/>
    <w:rsid w:val="002C72D8"/>
    <w:rsid w:val="002C7EE0"/>
    <w:rsid w:val="002D0C8D"/>
    <w:rsid w:val="002D11FA"/>
    <w:rsid w:val="002E0DDF"/>
    <w:rsid w:val="002E2906"/>
    <w:rsid w:val="002E5635"/>
    <w:rsid w:val="002E64C3"/>
    <w:rsid w:val="002E6A2C"/>
    <w:rsid w:val="002E6B9D"/>
    <w:rsid w:val="002E7180"/>
    <w:rsid w:val="002F1D8C"/>
    <w:rsid w:val="002F21DA"/>
    <w:rsid w:val="002F39D9"/>
    <w:rsid w:val="00301F39"/>
    <w:rsid w:val="00325926"/>
    <w:rsid w:val="00327A8A"/>
    <w:rsid w:val="00336610"/>
    <w:rsid w:val="00343F73"/>
    <w:rsid w:val="00345060"/>
    <w:rsid w:val="0035323B"/>
    <w:rsid w:val="00354573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348F"/>
    <w:rsid w:val="003C75F3"/>
    <w:rsid w:val="003C78A3"/>
    <w:rsid w:val="003E1867"/>
    <w:rsid w:val="003E5729"/>
    <w:rsid w:val="003F4EE0"/>
    <w:rsid w:val="00402153"/>
    <w:rsid w:val="00402FC1"/>
    <w:rsid w:val="00425082"/>
    <w:rsid w:val="0043032E"/>
    <w:rsid w:val="00431DEB"/>
    <w:rsid w:val="0043659F"/>
    <w:rsid w:val="00437006"/>
    <w:rsid w:val="00446B29"/>
    <w:rsid w:val="0045338E"/>
    <w:rsid w:val="00453F9A"/>
    <w:rsid w:val="0046287E"/>
    <w:rsid w:val="00471E91"/>
    <w:rsid w:val="00474675"/>
    <w:rsid w:val="0047470C"/>
    <w:rsid w:val="00474F8E"/>
    <w:rsid w:val="00477A21"/>
    <w:rsid w:val="004A35F9"/>
    <w:rsid w:val="004B24C1"/>
    <w:rsid w:val="004C292F"/>
    <w:rsid w:val="004D1B05"/>
    <w:rsid w:val="004E4F47"/>
    <w:rsid w:val="00510280"/>
    <w:rsid w:val="00513D73"/>
    <w:rsid w:val="00514A43"/>
    <w:rsid w:val="005174E5"/>
    <w:rsid w:val="00522393"/>
    <w:rsid w:val="005223FF"/>
    <w:rsid w:val="00522620"/>
    <w:rsid w:val="00525656"/>
    <w:rsid w:val="00534C02"/>
    <w:rsid w:val="00535E20"/>
    <w:rsid w:val="0054264B"/>
    <w:rsid w:val="00543786"/>
    <w:rsid w:val="005533D7"/>
    <w:rsid w:val="0056691F"/>
    <w:rsid w:val="005703DE"/>
    <w:rsid w:val="0058464E"/>
    <w:rsid w:val="0058751E"/>
    <w:rsid w:val="005A01CB"/>
    <w:rsid w:val="005A1C9F"/>
    <w:rsid w:val="005A58FF"/>
    <w:rsid w:val="005A5EAF"/>
    <w:rsid w:val="005A64C0"/>
    <w:rsid w:val="005B3C11"/>
    <w:rsid w:val="005C1C28"/>
    <w:rsid w:val="005C6DB5"/>
    <w:rsid w:val="005E19E7"/>
    <w:rsid w:val="0061716C"/>
    <w:rsid w:val="00623573"/>
    <w:rsid w:val="006243A1"/>
    <w:rsid w:val="00624D43"/>
    <w:rsid w:val="00632E56"/>
    <w:rsid w:val="00635CBA"/>
    <w:rsid w:val="006373D2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072B"/>
    <w:rsid w:val="006E3675"/>
    <w:rsid w:val="006E4A7F"/>
    <w:rsid w:val="006E7EFC"/>
    <w:rsid w:val="006F29A4"/>
    <w:rsid w:val="00704DF6"/>
    <w:rsid w:val="0070651C"/>
    <w:rsid w:val="007132A3"/>
    <w:rsid w:val="00716421"/>
    <w:rsid w:val="00724EFB"/>
    <w:rsid w:val="00730B67"/>
    <w:rsid w:val="007419C3"/>
    <w:rsid w:val="0074517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1DAD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0F6"/>
    <w:rsid w:val="00817A00"/>
    <w:rsid w:val="00835DB3"/>
    <w:rsid w:val="0083617B"/>
    <w:rsid w:val="008371BD"/>
    <w:rsid w:val="008504A8"/>
    <w:rsid w:val="0085282E"/>
    <w:rsid w:val="008646E6"/>
    <w:rsid w:val="0087198C"/>
    <w:rsid w:val="00872C1F"/>
    <w:rsid w:val="00873B42"/>
    <w:rsid w:val="00873CA4"/>
    <w:rsid w:val="0087748B"/>
    <w:rsid w:val="008856D8"/>
    <w:rsid w:val="00892E82"/>
    <w:rsid w:val="008A782D"/>
    <w:rsid w:val="008C1B58"/>
    <w:rsid w:val="008C39AE"/>
    <w:rsid w:val="008C3BB5"/>
    <w:rsid w:val="008C3BCA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77653"/>
    <w:rsid w:val="00981A4B"/>
    <w:rsid w:val="00982501"/>
    <w:rsid w:val="00982575"/>
    <w:rsid w:val="009877D3"/>
    <w:rsid w:val="00994E8F"/>
    <w:rsid w:val="009951DC"/>
    <w:rsid w:val="009959BB"/>
    <w:rsid w:val="00997158"/>
    <w:rsid w:val="009A054C"/>
    <w:rsid w:val="009A3A7C"/>
    <w:rsid w:val="009B2ADB"/>
    <w:rsid w:val="009B3126"/>
    <w:rsid w:val="009B603A"/>
    <w:rsid w:val="009C2D0E"/>
    <w:rsid w:val="009C3DAC"/>
    <w:rsid w:val="009C42E0"/>
    <w:rsid w:val="009D5362"/>
    <w:rsid w:val="009E1415"/>
    <w:rsid w:val="009E6116"/>
    <w:rsid w:val="009F2FF2"/>
    <w:rsid w:val="00A02E43"/>
    <w:rsid w:val="00A065F9"/>
    <w:rsid w:val="00A07F34"/>
    <w:rsid w:val="00A22154"/>
    <w:rsid w:val="00A25C38"/>
    <w:rsid w:val="00A33FC4"/>
    <w:rsid w:val="00A36BBE"/>
    <w:rsid w:val="00A4307A"/>
    <w:rsid w:val="00A4461C"/>
    <w:rsid w:val="00A47EBB"/>
    <w:rsid w:val="00A51CDD"/>
    <w:rsid w:val="00A6730D"/>
    <w:rsid w:val="00A71625"/>
    <w:rsid w:val="00A71B9B"/>
    <w:rsid w:val="00A751C7"/>
    <w:rsid w:val="00A8144A"/>
    <w:rsid w:val="00A87844"/>
    <w:rsid w:val="00AA038C"/>
    <w:rsid w:val="00AA7A09"/>
    <w:rsid w:val="00AB0CCF"/>
    <w:rsid w:val="00AB3B50"/>
    <w:rsid w:val="00AC05B1"/>
    <w:rsid w:val="00AC7C86"/>
    <w:rsid w:val="00AD356C"/>
    <w:rsid w:val="00AE2914"/>
    <w:rsid w:val="00AE6D15"/>
    <w:rsid w:val="00B04182"/>
    <w:rsid w:val="00B074AC"/>
    <w:rsid w:val="00B07AE3"/>
    <w:rsid w:val="00B11430"/>
    <w:rsid w:val="00B353EB"/>
    <w:rsid w:val="00B4072D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2C87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5074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7A1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5C8"/>
    <w:rsid w:val="00CC3E0C"/>
    <w:rsid w:val="00CC58D3"/>
    <w:rsid w:val="00CC784D"/>
    <w:rsid w:val="00D00864"/>
    <w:rsid w:val="00D0337B"/>
    <w:rsid w:val="00D079B2"/>
    <w:rsid w:val="00D114E9"/>
    <w:rsid w:val="00D36ADE"/>
    <w:rsid w:val="00D37561"/>
    <w:rsid w:val="00D429C6"/>
    <w:rsid w:val="00D464D9"/>
    <w:rsid w:val="00D47748"/>
    <w:rsid w:val="00D54CC3"/>
    <w:rsid w:val="00D6041A"/>
    <w:rsid w:val="00D633EB"/>
    <w:rsid w:val="00D73725"/>
    <w:rsid w:val="00D8152B"/>
    <w:rsid w:val="00D82FF7"/>
    <w:rsid w:val="00D847FE"/>
    <w:rsid w:val="00D964EA"/>
    <w:rsid w:val="00D966D0"/>
    <w:rsid w:val="00DA0C59"/>
    <w:rsid w:val="00DA3991"/>
    <w:rsid w:val="00DB5837"/>
    <w:rsid w:val="00DB7E6C"/>
    <w:rsid w:val="00DD193C"/>
    <w:rsid w:val="00DD5A29"/>
    <w:rsid w:val="00DD5D9D"/>
    <w:rsid w:val="00DE35CB"/>
    <w:rsid w:val="00DF21E9"/>
    <w:rsid w:val="00DF649D"/>
    <w:rsid w:val="00E00F14"/>
    <w:rsid w:val="00E06386"/>
    <w:rsid w:val="00E24EB4"/>
    <w:rsid w:val="00E320ED"/>
    <w:rsid w:val="00E33AFB"/>
    <w:rsid w:val="00E34218"/>
    <w:rsid w:val="00E35F00"/>
    <w:rsid w:val="00E46282"/>
    <w:rsid w:val="00E5216E"/>
    <w:rsid w:val="00E55250"/>
    <w:rsid w:val="00E62EBC"/>
    <w:rsid w:val="00E82344"/>
    <w:rsid w:val="00E83C06"/>
    <w:rsid w:val="00E84C82"/>
    <w:rsid w:val="00E84D64"/>
    <w:rsid w:val="00E87408"/>
    <w:rsid w:val="00E914C4"/>
    <w:rsid w:val="00E934F5"/>
    <w:rsid w:val="00E96881"/>
    <w:rsid w:val="00E96961"/>
    <w:rsid w:val="00EA5A48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272D2"/>
    <w:rsid w:val="00F325EE"/>
    <w:rsid w:val="00F34B99"/>
    <w:rsid w:val="00F37D15"/>
    <w:rsid w:val="00F52DAB"/>
    <w:rsid w:val="00F543F0"/>
    <w:rsid w:val="00F81D29"/>
    <w:rsid w:val="00F91C4D"/>
    <w:rsid w:val="00F92FD9"/>
    <w:rsid w:val="00FA3440"/>
    <w:rsid w:val="00FA6684"/>
    <w:rsid w:val="00FA731E"/>
    <w:rsid w:val="00FB2B38"/>
    <w:rsid w:val="00FB4945"/>
    <w:rsid w:val="00FC6358"/>
    <w:rsid w:val="00FD0B6C"/>
    <w:rsid w:val="00FD320D"/>
    <w:rsid w:val="00FE23DE"/>
    <w:rsid w:val="00FF64B6"/>
    <w:rsid w:val="03533AE3"/>
    <w:rsid w:val="050B073C"/>
    <w:rsid w:val="08922E75"/>
    <w:rsid w:val="09D61836"/>
    <w:rsid w:val="11E5503E"/>
    <w:rsid w:val="11FA5061"/>
    <w:rsid w:val="1280762A"/>
    <w:rsid w:val="1B031D5D"/>
    <w:rsid w:val="20A83A3F"/>
    <w:rsid w:val="222D74E0"/>
    <w:rsid w:val="24E62E5B"/>
    <w:rsid w:val="2BCF5D7D"/>
    <w:rsid w:val="2BEA28BC"/>
    <w:rsid w:val="2C0B319C"/>
    <w:rsid w:val="350C3D1D"/>
    <w:rsid w:val="36E55036"/>
    <w:rsid w:val="37B01AAD"/>
    <w:rsid w:val="3CDE2578"/>
    <w:rsid w:val="3E426637"/>
    <w:rsid w:val="3FFD3BC7"/>
    <w:rsid w:val="42D60659"/>
    <w:rsid w:val="43FF3C87"/>
    <w:rsid w:val="45EE7C71"/>
    <w:rsid w:val="462D491A"/>
    <w:rsid w:val="46E45196"/>
    <w:rsid w:val="4C2F299A"/>
    <w:rsid w:val="52247867"/>
    <w:rsid w:val="568E45A4"/>
    <w:rsid w:val="576F7135"/>
    <w:rsid w:val="57B535C9"/>
    <w:rsid w:val="5AD25932"/>
    <w:rsid w:val="5D0C1EDC"/>
    <w:rsid w:val="5EDA5C49"/>
    <w:rsid w:val="65F90EB1"/>
    <w:rsid w:val="663712DD"/>
    <w:rsid w:val="67A70C66"/>
    <w:rsid w:val="68FE17CB"/>
    <w:rsid w:val="6970227E"/>
    <w:rsid w:val="6C431AA6"/>
    <w:rsid w:val="6EB7619F"/>
    <w:rsid w:val="702D1C06"/>
    <w:rsid w:val="70BA160E"/>
    <w:rsid w:val="72F064A4"/>
    <w:rsid w:val="74662EF6"/>
    <w:rsid w:val="764470B2"/>
    <w:rsid w:val="78634835"/>
    <w:rsid w:val="7AA015C5"/>
    <w:rsid w:val="7C767BCB"/>
    <w:rsid w:val="7DA80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3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basedOn w:val="31"/>
    <w:semiHidden/>
    <w:qFormat/>
    <w:uiPriority w:val="0"/>
    <w:rPr>
      <w:vertAlign w:val="superscript"/>
    </w:rPr>
  </w:style>
  <w:style w:type="character" w:styleId="33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4">
    <w:name w:val="FollowedHyperlink"/>
    <w:basedOn w:val="31"/>
    <w:qFormat/>
    <w:uiPriority w:val="0"/>
    <w:rPr>
      <w:color w:val="800080"/>
      <w:u w:val="single"/>
    </w:rPr>
  </w:style>
  <w:style w:type="character" w:styleId="35">
    <w:name w:val="Hyperlink"/>
    <w:basedOn w:val="31"/>
    <w:qFormat/>
    <w:uiPriority w:val="99"/>
    <w:rPr>
      <w:color w:val="0000FF"/>
      <w:spacing w:val="0"/>
      <w:w w:val="100"/>
      <w:szCs w:val="21"/>
      <w:u w:val="single"/>
    </w:rPr>
  </w:style>
  <w:style w:type="character" w:styleId="36">
    <w:name w:val="footnote reference"/>
    <w:basedOn w:val="31"/>
    <w:semiHidden/>
    <w:qFormat/>
    <w:uiPriority w:val="0"/>
    <w:rPr>
      <w:vertAlign w:val="superscript"/>
    </w:rPr>
  </w:style>
  <w:style w:type="character" w:customStyle="1" w:styleId="37">
    <w:name w:val="段 Char"/>
    <w:basedOn w:val="31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ind w:left="851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  <w:ind w:left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</w:style>
  <w:style w:type="paragraph" w:customStyle="1" w:styleId="61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basedOn w:val="31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basedOn w:val="71"/>
    <w:qFormat/>
    <w:uiPriority w:val="0"/>
    <w:pPr>
      <w:framePr w:vAnchor="page" w:hAnchor="text"/>
      <w:jc w:val="right"/>
    </w:p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basedOn w:val="31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ind w:left="544" w:hanging="181"/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  <w:ind w:left="993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basedOn w:val="71"/>
    <w:qFormat/>
    <w:uiPriority w:val="0"/>
    <w:pPr>
      <w:framePr w:vAnchor="page" w:hAnchor="text" w:x="1419"/>
    </w:p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character" w:customStyle="1" w:styleId="133">
    <w:name w:val="批注框文本 Char"/>
    <w:basedOn w:val="31"/>
    <w:link w:val="14"/>
    <w:qFormat/>
    <w:uiPriority w:val="0"/>
    <w:rPr>
      <w:kern w:val="2"/>
      <w:sz w:val="18"/>
      <w:szCs w:val="18"/>
    </w:rPr>
  </w:style>
  <w:style w:type="paragraph" w:customStyle="1" w:styleId="134">
    <w:name w:val="二级无标题条"/>
    <w:basedOn w:val="1"/>
    <w:qFormat/>
    <w:uiPriority w:val="0"/>
    <w:pPr>
      <w:numPr>
        <w:ilvl w:val="3"/>
        <w:numId w:val="10"/>
      </w:numPr>
    </w:pPr>
  </w:style>
  <w:style w:type="paragraph" w:customStyle="1" w:styleId="135">
    <w:name w:val="三级无标题条"/>
    <w:basedOn w:val="1"/>
    <w:qFormat/>
    <w:uiPriority w:val="0"/>
    <w:pPr>
      <w:numPr>
        <w:ilvl w:val="4"/>
        <w:numId w:val="10"/>
      </w:numPr>
    </w:pPr>
  </w:style>
  <w:style w:type="paragraph" w:customStyle="1" w:styleId="136">
    <w:name w:val="四级无标题条"/>
    <w:basedOn w:val="1"/>
    <w:qFormat/>
    <w:uiPriority w:val="0"/>
    <w:pPr>
      <w:numPr>
        <w:ilvl w:val="5"/>
        <w:numId w:val="10"/>
      </w:numPr>
    </w:pPr>
  </w:style>
  <w:style w:type="paragraph" w:customStyle="1" w:styleId="137">
    <w:name w:val="五级无标题条"/>
    <w:basedOn w:val="1"/>
    <w:qFormat/>
    <w:uiPriority w:val="0"/>
    <w:pPr>
      <w:numPr>
        <w:ilvl w:val="6"/>
        <w:numId w:val="10"/>
      </w:numPr>
    </w:pPr>
  </w:style>
  <w:style w:type="paragraph" w:customStyle="1" w:styleId="138">
    <w:name w:val="一级无标题条"/>
    <w:basedOn w:val="1"/>
    <w:qFormat/>
    <w:uiPriority w:val="0"/>
    <w:pPr>
      <w:numPr>
        <w:ilvl w:val="2"/>
        <w:numId w:val="10"/>
      </w:numPr>
    </w:pPr>
  </w:style>
  <w:style w:type="paragraph" w:customStyle="1" w:styleId="139">
    <w:name w:val="标准正文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宋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wmf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7073E-EFDB-4A41-9FB5-E87FB6341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6</Pages>
  <Words>650</Words>
  <Characters>3709</Characters>
  <Lines>30</Lines>
  <Paragraphs>8</Paragraphs>
  <TotalTime>6</TotalTime>
  <ScaleCrop>false</ScaleCrop>
  <LinksUpToDate>false</LinksUpToDate>
  <CharactersWithSpaces>4351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2018-01-15T09:30:00Z</dcterms:created>
  <dc:creator>CNIS</dc:creator>
  <cp:lastModifiedBy>CathayMok</cp:lastModifiedBy>
  <dcterms:modified xsi:type="dcterms:W3CDTF">2021-04-16T00:57:25Z</dcterms:modified>
  <dc:title>标准名称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2A5D667BEFF443A5B2CB44A016D644E3</vt:lpwstr>
  </property>
</Properties>
</file>