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hAnsiTheme="minorEastAsia"/>
          <w:sz w:val="40"/>
          <w:szCs w:val="28"/>
        </w:rPr>
      </w:pPr>
    </w:p>
    <w:p>
      <w:pPr>
        <w:jc w:val="center"/>
        <w:rPr>
          <w:rFonts w:hint="eastAsia" w:ascii="黑体" w:eastAsia="黑体" w:hAnsiTheme="minorEastAsia"/>
          <w:sz w:val="40"/>
          <w:szCs w:val="28"/>
        </w:rPr>
      </w:pPr>
    </w:p>
    <w:p>
      <w:pPr>
        <w:jc w:val="center"/>
        <w:rPr>
          <w:rFonts w:hint="eastAsia" w:ascii="黑体" w:eastAsia="黑体" w:hAnsiTheme="minorEastAsia"/>
          <w:sz w:val="40"/>
          <w:szCs w:val="28"/>
        </w:rPr>
      </w:pPr>
    </w:p>
    <w:p>
      <w:pPr>
        <w:jc w:val="center"/>
        <w:rPr>
          <w:rFonts w:hint="eastAsia" w:ascii="黑体" w:eastAsia="黑体" w:hAnsiTheme="minorEastAsia"/>
          <w:sz w:val="40"/>
          <w:szCs w:val="28"/>
          <w:lang w:eastAsia="zh-CN"/>
        </w:rPr>
      </w:pPr>
      <w:r>
        <w:rPr>
          <w:rFonts w:hint="eastAsia" w:ascii="黑体" w:eastAsia="黑体" w:hAnsiTheme="minorEastAsia"/>
          <w:sz w:val="40"/>
          <w:szCs w:val="28"/>
          <w:lang w:eastAsia="zh-CN"/>
        </w:rPr>
        <w:t>有色重金属冶炼产品能源消耗限额</w:t>
      </w:r>
    </w:p>
    <w:p>
      <w:pPr>
        <w:jc w:val="center"/>
        <w:rPr>
          <w:rFonts w:hint="eastAsia" w:ascii="黑体" w:eastAsia="黑体" w:hAnsiTheme="minorEastAsia"/>
          <w:sz w:val="40"/>
          <w:szCs w:val="28"/>
          <w:lang w:eastAsia="zh-CN"/>
        </w:rPr>
      </w:pPr>
      <w:r>
        <w:rPr>
          <w:rFonts w:hint="eastAsia" w:ascii="黑体" w:eastAsia="黑体" w:hAnsiTheme="minorEastAsia"/>
          <w:sz w:val="40"/>
          <w:szCs w:val="28"/>
          <w:lang w:eastAsia="zh-CN"/>
        </w:rPr>
        <w:t>（铅冶炼部分）</w:t>
      </w:r>
    </w:p>
    <w:p>
      <w:pPr>
        <w:jc w:val="center"/>
        <w:rPr>
          <w:rFonts w:hint="eastAsia" w:ascii="黑体" w:eastAsia="黑体" w:hAnsiTheme="minorEastAsia"/>
          <w:sz w:val="40"/>
          <w:szCs w:val="28"/>
        </w:rPr>
      </w:pPr>
    </w:p>
    <w:p>
      <w:pPr>
        <w:jc w:val="center"/>
        <w:rPr>
          <w:rFonts w:hint="eastAsia" w:ascii="黑体" w:eastAsia="黑体" w:hAnsiTheme="minorEastAsia"/>
          <w:sz w:val="40"/>
          <w:szCs w:val="28"/>
        </w:rPr>
      </w:pPr>
    </w:p>
    <w:p>
      <w:pPr>
        <w:jc w:val="center"/>
        <w:rPr>
          <w:rFonts w:hint="eastAsia" w:ascii="黑体" w:eastAsia="黑体" w:hAnsiTheme="minorEastAsia"/>
          <w:sz w:val="40"/>
          <w:szCs w:val="28"/>
        </w:rPr>
      </w:pPr>
    </w:p>
    <w:p>
      <w:pPr>
        <w:jc w:val="center"/>
        <w:rPr>
          <w:rFonts w:hint="eastAsia" w:ascii="黑体" w:eastAsia="黑体" w:hAnsiTheme="minorEastAsia"/>
          <w:sz w:val="40"/>
          <w:szCs w:val="28"/>
        </w:rPr>
      </w:pPr>
      <w:r>
        <w:rPr>
          <w:rFonts w:hint="eastAsia" w:ascii="黑体" w:eastAsia="黑体" w:hAnsiTheme="minorEastAsia"/>
          <w:sz w:val="40"/>
          <w:szCs w:val="28"/>
        </w:rPr>
        <w:t>标准</w:t>
      </w:r>
      <w:r>
        <w:rPr>
          <w:rFonts w:hint="eastAsia" w:ascii="黑体" w:eastAsia="黑体" w:hAnsiTheme="minorEastAsia"/>
          <w:sz w:val="40"/>
          <w:szCs w:val="28"/>
          <w:lang w:eastAsia="zh-CN"/>
        </w:rPr>
        <w:t>修订</w:t>
      </w:r>
      <w:r>
        <w:rPr>
          <w:rFonts w:hint="eastAsia" w:ascii="黑体" w:eastAsia="黑体" w:hAnsiTheme="minorEastAsia"/>
          <w:sz w:val="40"/>
          <w:szCs w:val="28"/>
        </w:rPr>
        <w:t>编制说明</w:t>
      </w:r>
    </w:p>
    <w:p>
      <w:pPr>
        <w:jc w:val="center"/>
        <w:rPr>
          <w:rFonts w:hint="eastAsia" w:ascii="黑体" w:eastAsia="黑体" w:hAnsiTheme="minorEastAsia"/>
          <w:sz w:val="40"/>
          <w:szCs w:val="28"/>
        </w:rPr>
      </w:pPr>
    </w:p>
    <w:p>
      <w:pPr>
        <w:jc w:val="center"/>
        <w:rPr>
          <w:rFonts w:hint="eastAsia" w:ascii="黑体" w:eastAsia="黑体" w:hAnsiTheme="minorEastAsia"/>
          <w:sz w:val="40"/>
          <w:szCs w:val="28"/>
          <w:lang w:eastAsia="zh-CN"/>
        </w:rPr>
      </w:pPr>
      <w:r>
        <w:rPr>
          <w:rFonts w:hint="eastAsia" w:ascii="黑体" w:eastAsia="黑体" w:hAnsiTheme="minorEastAsia"/>
          <w:sz w:val="40"/>
          <w:szCs w:val="28"/>
          <w:lang w:eastAsia="zh-CN"/>
        </w:rPr>
        <w:t>（预审稿）</w:t>
      </w:r>
    </w:p>
    <w:p>
      <w:pPr>
        <w:rPr>
          <w:rFonts w:hint="eastAsia" w:asciiTheme="minorEastAsia" w:hAnsiTheme="minorEastAsia" w:eastAsiaTheme="minorEastAsia"/>
          <w:sz w:val="28"/>
          <w:szCs w:val="28"/>
        </w:rPr>
      </w:pPr>
    </w:p>
    <w:p>
      <w:pPr>
        <w:rPr>
          <w:rFonts w:hint="eastAsia" w:asciiTheme="minorEastAsia" w:hAnsiTheme="minorEastAsia" w:eastAsiaTheme="minorEastAsia"/>
          <w:sz w:val="28"/>
          <w:szCs w:val="28"/>
        </w:rPr>
      </w:pPr>
    </w:p>
    <w:p>
      <w:pPr>
        <w:rPr>
          <w:rFonts w:hint="eastAsia" w:asciiTheme="minorEastAsia" w:hAnsiTheme="minorEastAsia" w:eastAsiaTheme="minorEastAsia"/>
          <w:sz w:val="28"/>
          <w:szCs w:val="28"/>
        </w:rPr>
      </w:pPr>
    </w:p>
    <w:p>
      <w:pPr>
        <w:rPr>
          <w:rFonts w:hint="eastAsia" w:asciiTheme="minorEastAsia" w:hAnsiTheme="minorEastAsia" w:eastAsiaTheme="minorEastAsia"/>
          <w:sz w:val="28"/>
          <w:szCs w:val="28"/>
        </w:rPr>
      </w:pPr>
    </w:p>
    <w:p>
      <w:pPr>
        <w:rPr>
          <w:rFonts w:hint="eastAsia" w:asciiTheme="minorEastAsia" w:hAnsiTheme="minorEastAsia" w:eastAsiaTheme="minorEastAsia"/>
          <w:sz w:val="28"/>
          <w:szCs w:val="28"/>
        </w:rPr>
      </w:pPr>
    </w:p>
    <w:p>
      <w:pPr>
        <w:rPr>
          <w:rFonts w:hint="eastAsia" w:asciiTheme="minorEastAsia" w:hAnsiTheme="minorEastAsia" w:eastAsiaTheme="minorEastAsia"/>
          <w:sz w:val="28"/>
          <w:szCs w:val="28"/>
        </w:rPr>
      </w:pPr>
    </w:p>
    <w:p>
      <w:pPr>
        <w:rPr>
          <w:rFonts w:hint="eastAsia" w:asciiTheme="minorEastAsia" w:hAnsiTheme="minorEastAsia" w:eastAsiaTheme="minorEastAsia"/>
          <w:sz w:val="28"/>
          <w:szCs w:val="28"/>
        </w:rPr>
      </w:pPr>
    </w:p>
    <w:p>
      <w:pPr>
        <w:rPr>
          <w:rFonts w:hint="eastAsia" w:asciiTheme="minorEastAsia" w:hAnsiTheme="minorEastAsia" w:eastAsiaTheme="minorEastAsia"/>
          <w:sz w:val="28"/>
          <w:szCs w:val="28"/>
        </w:rPr>
      </w:pPr>
    </w:p>
    <w:p>
      <w:pPr>
        <w:rPr>
          <w:rFonts w:hint="eastAsia" w:asciiTheme="minorEastAsia" w:hAnsiTheme="minorEastAsia" w:eastAsiaTheme="minorEastAsia"/>
          <w:sz w:val="28"/>
          <w:szCs w:val="28"/>
        </w:rPr>
      </w:pPr>
    </w:p>
    <w:p>
      <w:pPr>
        <w:rPr>
          <w:rFonts w:hint="eastAsia" w:asciiTheme="minorEastAsia" w:hAnsiTheme="minorEastAsia" w:eastAsiaTheme="minorEastAsia"/>
          <w:sz w:val="28"/>
          <w:szCs w:val="28"/>
        </w:rPr>
      </w:pPr>
    </w:p>
    <w:p>
      <w:pPr>
        <w:rPr>
          <w:rFonts w:hint="eastAsia" w:asciiTheme="minorEastAsia" w:hAnsiTheme="minorEastAsia" w:eastAsiaTheme="minorEastAsia"/>
          <w:sz w:val="28"/>
          <w:szCs w:val="28"/>
        </w:rPr>
      </w:pPr>
    </w:p>
    <w:p>
      <w:pPr>
        <w:rPr>
          <w:rFonts w:hint="eastAsia" w:asciiTheme="minorEastAsia" w:hAnsiTheme="minorEastAsia" w:eastAsiaTheme="minorEastAsia"/>
          <w:sz w:val="28"/>
          <w:szCs w:val="28"/>
        </w:rPr>
      </w:pPr>
      <w:bookmarkStart w:id="0" w:name="_GoBack"/>
      <w:bookmarkEnd w:id="0"/>
    </w:p>
    <w:p>
      <w:pPr>
        <w:ind w:firstLine="562" w:firstLineChars="200"/>
        <w:rPr>
          <w:rFonts w:hint="eastAsia" w:asciiTheme="minorEastAsia" w:hAnsiTheme="minorEastAsia" w:eastAsiaTheme="minorEastAsia"/>
          <w:b/>
          <w:sz w:val="28"/>
          <w:szCs w:val="28"/>
        </w:rPr>
      </w:pPr>
      <w:r>
        <w:rPr>
          <w:rFonts w:hint="eastAsia" w:asciiTheme="minorEastAsia" w:hAnsiTheme="minorEastAsia" w:eastAsiaTheme="minorEastAsia"/>
          <w:b/>
          <w:sz w:val="28"/>
          <w:szCs w:val="28"/>
        </w:rPr>
        <w:t>一、项目背景</w:t>
      </w:r>
    </w:p>
    <w:p>
      <w:pPr>
        <w:ind w:left="630" w:leftChars="3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1.1任务来源</w:t>
      </w:r>
    </w:p>
    <w:p>
      <w:pPr>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根据国标委《关于印发强制性标准整合精简结论的通知》（国标委综合函[2017]4号）的文件要求，原修订计划项目20141762-Q-469《再生铅单位产品能源消耗限额》需与GB 21248-2014《铜冶炼企业单位产品能源消耗限额》、GB 21249-2014《锌冶炼企业单位产品能源消耗限额》、GB 21250-2014《铅冶炼企业单位产品能源消耗限额》、GB 21251-2014《镍冶炼企业单位产品能源消耗限额》、GB 21348-2014《锡冶炼企业单位产品能源消耗限额》、GB 21349-2014《锑冶炼企业单位产品能源消耗限额》、GB 25323-2010《再生铅单位产品能源消耗限额》进行合并修订</w:t>
      </w:r>
      <w:r>
        <w:rPr>
          <w:rFonts w:hint="eastAsia" w:asciiTheme="minorEastAsia" w:hAnsiTheme="minorEastAsia" w:eastAsiaTheme="minorEastAsia"/>
          <w:sz w:val="28"/>
          <w:szCs w:val="28"/>
          <w:lang w:eastAsia="zh-CN"/>
        </w:rPr>
        <w:t>。</w:t>
      </w:r>
    </w:p>
    <w:p>
      <w:pPr>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全国有色金属标准化技术委员会组织开展《有色重金属冶炼产品能源消耗限额》强制性国家标准的整合修订工作。</w:t>
      </w:r>
      <w:r>
        <w:rPr>
          <w:rFonts w:hint="eastAsia" w:asciiTheme="minorEastAsia" w:hAnsiTheme="minorEastAsia" w:eastAsiaTheme="minorEastAsia"/>
          <w:sz w:val="28"/>
          <w:szCs w:val="28"/>
          <w:lang w:val="en-US" w:eastAsia="zh-CN"/>
        </w:rPr>
        <w:t>2020年7月20日</w:t>
      </w:r>
      <w:r>
        <w:rPr>
          <w:rFonts w:hint="eastAsia" w:asciiTheme="minorEastAsia" w:hAnsiTheme="minorEastAsia" w:eastAsiaTheme="minorEastAsia"/>
          <w:sz w:val="28"/>
          <w:szCs w:val="28"/>
        </w:rPr>
        <w:t>以网络会议的形式召开</w:t>
      </w:r>
      <w:r>
        <w:rPr>
          <w:rFonts w:hint="eastAsia" w:asciiTheme="minorEastAsia" w:hAnsiTheme="minorEastAsia" w:eastAsiaTheme="minorEastAsia"/>
          <w:sz w:val="28"/>
          <w:szCs w:val="28"/>
          <w:lang w:eastAsia="zh-CN"/>
        </w:rPr>
        <w:t>了</w:t>
      </w:r>
      <w:r>
        <w:rPr>
          <w:rFonts w:hint="eastAsia" w:asciiTheme="minorEastAsia" w:hAnsiTheme="minorEastAsia" w:eastAsiaTheme="minorEastAsia"/>
          <w:sz w:val="28"/>
          <w:szCs w:val="28"/>
        </w:rPr>
        <w:t>《有色重金属冶炼产品能源消耗限额》强制性国家标准整合任务落实会议，</w:t>
      </w:r>
      <w:r>
        <w:rPr>
          <w:rFonts w:hint="eastAsia" w:asciiTheme="minorEastAsia" w:hAnsiTheme="minorEastAsia" w:eastAsiaTheme="minorEastAsia"/>
          <w:sz w:val="28"/>
          <w:szCs w:val="28"/>
          <w:lang w:eastAsia="zh-CN"/>
        </w:rPr>
        <w:t>会议分解落实了各项产品能源消耗限额的负责单位和参与起草单位。</w:t>
      </w:r>
    </w:p>
    <w:p>
      <w:pPr>
        <w:ind w:left="630" w:leftChars="3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1.2工作过程</w:t>
      </w:r>
    </w:p>
    <w:p>
      <w:pPr>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为使新修订的《铅冶炼企业单位产品能源消耗限额》标准更科学、准确、合理，根据全国有色金属标准化技术委员会</w:t>
      </w:r>
      <w:r>
        <w:rPr>
          <w:rFonts w:hint="eastAsia" w:asciiTheme="minorEastAsia" w:hAnsiTheme="minorEastAsia" w:eastAsiaTheme="minorEastAsia"/>
          <w:sz w:val="28"/>
          <w:szCs w:val="28"/>
          <w:lang w:eastAsia="zh-CN"/>
        </w:rPr>
        <w:t>会议通知要求及工作情况，</w:t>
      </w:r>
      <w:r>
        <w:rPr>
          <w:rFonts w:hint="eastAsia" w:asciiTheme="minorEastAsia" w:hAnsiTheme="minorEastAsia" w:eastAsiaTheme="minorEastAsia"/>
          <w:sz w:val="28"/>
          <w:szCs w:val="28"/>
          <w:lang w:val="en-US" w:eastAsia="zh-CN"/>
        </w:rPr>
        <w:t>2020年8月，公司成立了标准修订工作小组，</w:t>
      </w:r>
      <w:r>
        <w:rPr>
          <w:rFonts w:hint="eastAsia" w:asciiTheme="minorEastAsia" w:hAnsiTheme="minorEastAsia" w:eastAsiaTheme="minorEastAsia"/>
          <w:sz w:val="28"/>
          <w:szCs w:val="28"/>
        </w:rPr>
        <w:t>制定了工作计划和进度安排，初步确定了修订原则，并开始收集相关资料。</w:t>
      </w:r>
    </w:p>
    <w:p>
      <w:pPr>
        <w:ind w:firstLine="560" w:firstLineChars="200"/>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2020年8月，公司标准修订工作小组完成了《铅冶炼行业数据调研表》并通过标委会发送到各相关铅冶炼企业单位。</w:t>
      </w:r>
    </w:p>
    <w:p>
      <w:pPr>
        <w:ind w:firstLine="560" w:firstLineChars="200"/>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2020年9月，查阅了铅冶炼行业能耗数据。</w:t>
      </w:r>
    </w:p>
    <w:p>
      <w:pPr>
        <w:ind w:firstLine="560" w:firstLineChars="200"/>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2020年9月，根据铅冶炼行业能耗数据及相关行业情况，完成了《铅冶炼企业单位产品能源消耗限额》（初稿）的编制工作。</w:t>
      </w:r>
    </w:p>
    <w:p>
      <w:pPr>
        <w:ind w:firstLine="560" w:firstLineChars="200"/>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2020年10月，组织公司内标准修订工作小组对《铅冶炼企业单位产品能源消耗限额》（初稿）进行了讨论、论证，修订了《铅冶炼企业单位产品能源消耗限额》（初稿）。</w:t>
      </w:r>
    </w:p>
    <w:p>
      <w:pPr>
        <w:ind w:firstLine="560" w:firstLineChars="200"/>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2020年11月，标委会组织对《铅冶炼企业单位产品能源消耗限额》（初稿）进行了讨论、论证。</w:t>
      </w:r>
    </w:p>
    <w:p>
      <w:pPr>
        <w:ind w:firstLine="560" w:firstLineChars="200"/>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2020年12月，组织完成了部分企业行业能耗数据调研工作。</w:t>
      </w:r>
    </w:p>
    <w:p>
      <w:pPr>
        <w:ind w:firstLine="562" w:firstLineChars="200"/>
        <w:rPr>
          <w:rFonts w:hint="eastAsia" w:asciiTheme="minorEastAsia" w:hAnsiTheme="minorEastAsia" w:eastAsiaTheme="minorEastAsia"/>
          <w:b/>
          <w:sz w:val="28"/>
          <w:szCs w:val="28"/>
        </w:rPr>
      </w:pPr>
      <w:r>
        <w:rPr>
          <w:rFonts w:hint="eastAsia" w:asciiTheme="minorEastAsia" w:hAnsiTheme="minorEastAsia" w:eastAsiaTheme="minorEastAsia"/>
          <w:b/>
          <w:sz w:val="28"/>
          <w:szCs w:val="28"/>
        </w:rPr>
        <w:t>二、行业概况</w:t>
      </w:r>
    </w:p>
    <w:p>
      <w:pPr>
        <w:ind w:firstLine="560" w:firstLineChars="200"/>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随着国民经济的发展，特别是房地产、汽车、通讯行业快速增长，对铅锌的需求快速增长，铅锌冶炼能力增长较快，受节能减排等发展要求，近年来铅锌工业结构调整和技术进步显著，尤其铅工业方面变化较大，在铅冶炼工艺方面，我国自主知识产权的“氧气底吹熔炼—直接还原炼铅法已在我国铅冶炼行业占据了主导地位，已有很多家企业采用的“氧气底吹—直接炼铅技术”，且目前该技术已向大型化装置发展，即在现有单系列最大设计生产规模10万t/a的基础上，开发20万t/a及以上生产装置；并且已完成了熔融铅氧化渣还原装置取代鼓风炉，生产能耗进一步降低。通过优化改进还原工艺，不断发展和创新了富氧熔池炼铅工艺，如豫光金铅的液态高铅渣底吹直接还原技术、济源金利的液态高铅渣侧吹熔融还原技术。</w:t>
      </w:r>
    </w:p>
    <w:p>
      <w:pPr>
        <w:ind w:firstLine="562" w:firstLineChars="200"/>
        <w:rPr>
          <w:rFonts w:hint="eastAsia" w:asciiTheme="minorEastAsia" w:hAnsiTheme="minorEastAsia" w:eastAsiaTheme="minorEastAsia"/>
          <w:b/>
          <w:sz w:val="28"/>
          <w:szCs w:val="28"/>
        </w:rPr>
      </w:pPr>
      <w:r>
        <w:rPr>
          <w:rFonts w:hint="eastAsia" w:asciiTheme="minorEastAsia" w:hAnsiTheme="minorEastAsia" w:eastAsiaTheme="minorEastAsia"/>
          <w:b/>
          <w:sz w:val="28"/>
          <w:szCs w:val="28"/>
        </w:rPr>
        <w:t>三、标准制修订的必要性</w:t>
      </w:r>
    </w:p>
    <w:p>
      <w:pPr>
        <w:ind w:firstLine="560" w:firstLineChars="200"/>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2020年2月28日，国家工业和信息化部发布了《铅锌行业规范条件》，规范条件中要求：铅冶炼企业。粗铅工艺综合能耗须低于250千克标准煤/吨。而目前我们现有的粗铅工艺综合能耗准入值为：低于260千克标准煤/吨，已经高于行业规范条件要求，所以亟待对本标准进行修订。</w:t>
      </w:r>
    </w:p>
    <w:p>
      <w:pPr>
        <w:ind w:firstLine="562" w:firstLineChars="200"/>
        <w:rPr>
          <w:rFonts w:hint="eastAsia" w:asciiTheme="minorEastAsia" w:hAnsiTheme="minorEastAsia" w:eastAsiaTheme="minorEastAsia"/>
          <w:b/>
          <w:sz w:val="28"/>
          <w:szCs w:val="28"/>
        </w:rPr>
      </w:pPr>
      <w:r>
        <w:rPr>
          <w:rFonts w:hint="eastAsia" w:asciiTheme="minorEastAsia" w:hAnsiTheme="minorEastAsia" w:eastAsiaTheme="minorEastAsia"/>
          <w:b/>
          <w:sz w:val="28"/>
          <w:szCs w:val="28"/>
        </w:rPr>
        <w:t>四、标准主要技术内容</w:t>
      </w:r>
    </w:p>
    <w:p>
      <w:pPr>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4.1适用范围</w:t>
      </w:r>
    </w:p>
    <w:p>
      <w:pPr>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本标准规定了铅冶炼企业产品能源消耗限额的技术要求、统计范围和计算方法，计算范围和节能管理与措施。</w:t>
      </w:r>
    </w:p>
    <w:p>
      <w:pPr>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本标准适用于以铅精矿、粗铅为原料的铅冶炼企业单位产品能源消耗的计算、考核，以及对新建项目的能耗控制。本标准也适用于以粗铅为原料的铅电解精炼企业。</w:t>
      </w:r>
    </w:p>
    <w:p>
      <w:pPr>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4.2能源消耗限定值</w:t>
      </w:r>
      <w:r>
        <w:rPr>
          <w:rFonts w:hint="eastAsia" w:asciiTheme="minorEastAsia" w:hAnsiTheme="minorEastAsia" w:eastAsiaTheme="minorEastAsia"/>
          <w:sz w:val="28"/>
          <w:szCs w:val="28"/>
          <w:lang w:eastAsia="zh-CN"/>
        </w:rPr>
        <w:t>、准入值、先进值</w:t>
      </w:r>
      <w:r>
        <w:rPr>
          <w:rFonts w:hint="eastAsia" w:asciiTheme="minorEastAsia" w:hAnsiTheme="minorEastAsia" w:eastAsiaTheme="minorEastAsia"/>
          <w:sz w:val="28"/>
          <w:szCs w:val="28"/>
        </w:rPr>
        <w:t>及其确定依据</w:t>
      </w:r>
    </w:p>
    <w:p>
      <w:pPr>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铅冶炼综合能耗的指标，按工艺装备分类，一般的富氧底吹—鼓风炉还原工艺为430kgce/t，富氧底吹—直接还原工艺为3</w:t>
      </w:r>
      <w:r>
        <w:rPr>
          <w:rFonts w:hint="eastAsia" w:asciiTheme="minorEastAsia" w:hAnsiTheme="minorEastAsia" w:eastAsiaTheme="minorEastAsia"/>
          <w:sz w:val="28"/>
          <w:szCs w:val="28"/>
          <w:lang w:val="en-US" w:eastAsia="zh-CN"/>
        </w:rPr>
        <w:t>30</w:t>
      </w:r>
      <w:r>
        <w:rPr>
          <w:rFonts w:hint="eastAsia" w:asciiTheme="minorEastAsia" w:hAnsiTheme="minorEastAsia" w:eastAsiaTheme="minorEastAsia"/>
          <w:sz w:val="28"/>
          <w:szCs w:val="28"/>
        </w:rPr>
        <w:t>kgce/t。但综合能耗还受生产条件，系统配置，能耗管理水平等多方面的因素制约，变化较大。其中的原因主要有以下几个方面：</w:t>
      </w:r>
    </w:p>
    <w:p>
      <w:pPr>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 xml:space="preserve">4.2.1 </w:t>
      </w:r>
      <w:r>
        <w:rPr>
          <w:rFonts w:hint="eastAsia" w:asciiTheme="minorEastAsia" w:hAnsiTheme="minorEastAsia" w:eastAsiaTheme="minorEastAsia"/>
          <w:sz w:val="28"/>
          <w:szCs w:val="28"/>
        </w:rPr>
        <w:t>铅原料品位的偏差</w:t>
      </w:r>
    </w:p>
    <w:p>
      <w:pPr>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一般工艺能耗大多是以含铅50%为基础的数据，而实际上，目前铅冶炼行业受市场制约，大部分处理低品位渣料，实际生产品位有的低至35%，以工艺富氧底吹—鼓风炉还原工艺为基础测算，当品位由50%下降到40%时，按单位处理量能源消耗不变，综合能耗指标就由470 kgce/t上升到552 kgce/t。</w:t>
      </w:r>
    </w:p>
    <w:p>
      <w:pPr>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 xml:space="preserve">4.2.2 </w:t>
      </w:r>
      <w:r>
        <w:rPr>
          <w:rFonts w:hint="eastAsia" w:asciiTheme="minorEastAsia" w:hAnsiTheme="minorEastAsia" w:eastAsiaTheme="minorEastAsia"/>
          <w:sz w:val="28"/>
          <w:szCs w:val="28"/>
        </w:rPr>
        <w:t>企业综合回收水平不同</w:t>
      </w:r>
    </w:p>
    <w:p>
      <w:pPr>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标准中，从鼓励资源综合利用，并体现有色金属冶炼的特点，设定了综合回收产品的分摊条款，但由于各厂的条件不同，技术数据不同，部分厂家未进行分摊。</w:t>
      </w:r>
    </w:p>
    <w:p>
      <w:pPr>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 xml:space="preserve">4.2.3 </w:t>
      </w:r>
      <w:r>
        <w:rPr>
          <w:rFonts w:hint="eastAsia" w:asciiTheme="minorEastAsia" w:hAnsiTheme="minorEastAsia" w:eastAsiaTheme="minorEastAsia"/>
          <w:sz w:val="28"/>
          <w:szCs w:val="28"/>
        </w:rPr>
        <w:t>企业能源管理不同</w:t>
      </w:r>
    </w:p>
    <w:p>
      <w:pPr>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调研过程中，能源计量、统计等基础管理水平差异较大，导致指标核算的统一性、规范性也较差。能源利用水平，特别是余热能源的利用水平不同，导致指标偏差较大。</w:t>
      </w:r>
    </w:p>
    <w:p>
      <w:pPr>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 xml:space="preserve">4.2.3 </w:t>
      </w:r>
      <w:r>
        <w:rPr>
          <w:rFonts w:hint="eastAsia" w:asciiTheme="minorEastAsia" w:hAnsiTheme="minorEastAsia" w:eastAsiaTheme="minorEastAsia"/>
          <w:sz w:val="28"/>
          <w:szCs w:val="28"/>
        </w:rPr>
        <w:t>系统配置不同，除辅助分摊的差异外，主要的配套环保设施差异较大。</w:t>
      </w:r>
    </w:p>
    <w:p>
      <w:pPr>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在此基础上，有两种方法确定标准指标：</w:t>
      </w:r>
    </w:p>
    <w:p>
      <w:pPr>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一是以实际消耗指标确定指标体系。优点是不需换算，客观性强，与实际相符，便于管理考核，缺点是规范性差，不能完全反映</w:t>
      </w:r>
      <w:r>
        <w:rPr>
          <w:rFonts w:hint="eastAsia" w:asciiTheme="minorEastAsia" w:hAnsiTheme="minorEastAsia" w:eastAsiaTheme="minorEastAsia"/>
          <w:sz w:val="28"/>
          <w:szCs w:val="28"/>
          <w:lang w:eastAsia="zh-CN"/>
        </w:rPr>
        <w:t>真实</w:t>
      </w:r>
      <w:r>
        <w:rPr>
          <w:rFonts w:hint="eastAsia" w:asciiTheme="minorEastAsia" w:hAnsiTheme="minorEastAsia" w:eastAsiaTheme="minorEastAsia"/>
          <w:sz w:val="28"/>
          <w:szCs w:val="28"/>
        </w:rPr>
        <w:t>能耗水平。</w:t>
      </w:r>
    </w:p>
    <w:p>
      <w:pPr>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二是以工艺能耗指标确定指标体系：优点是方便与新建企业能耗指标对比，因新建指标是依据先进工艺的一般水平确定，缺点是与实际指标偏差较大，</w:t>
      </w:r>
      <w:r>
        <w:rPr>
          <w:rFonts w:hint="eastAsia" w:asciiTheme="minorEastAsia" w:hAnsiTheme="minorEastAsia" w:eastAsiaTheme="minorEastAsia"/>
          <w:sz w:val="28"/>
          <w:szCs w:val="28"/>
          <w:lang w:eastAsia="zh-CN"/>
        </w:rPr>
        <w:t>较为繁琐，</w:t>
      </w:r>
      <w:r>
        <w:rPr>
          <w:rFonts w:hint="eastAsia" w:asciiTheme="minorEastAsia" w:hAnsiTheme="minorEastAsia" w:eastAsiaTheme="minorEastAsia"/>
          <w:sz w:val="28"/>
          <w:szCs w:val="28"/>
        </w:rPr>
        <w:t>需换算确定，不直观。</w:t>
      </w:r>
    </w:p>
    <w:p>
      <w:pPr>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经会议讨论，参照大部分习惯及适用原则，暂时仍按照实际消耗指标确定能耗指标体系。</w:t>
      </w:r>
    </w:p>
    <w:p>
      <w:pPr>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经调研部分企业</w:t>
      </w:r>
      <w:r>
        <w:rPr>
          <w:rFonts w:hint="eastAsia" w:asciiTheme="minorEastAsia" w:hAnsiTheme="minorEastAsia" w:eastAsiaTheme="minorEastAsia"/>
          <w:sz w:val="28"/>
          <w:szCs w:val="28"/>
          <w:lang w:val="en-US" w:eastAsia="zh-CN"/>
        </w:rPr>
        <w:t>2019年能耗数据，数据如下：</w:t>
      </w:r>
    </w:p>
    <w:p>
      <w:pPr>
        <w:ind w:firstLine="560" w:firstLineChars="200"/>
        <w:jc w:val="center"/>
        <w:rPr>
          <w:rFonts w:hint="eastAsia" w:asciiTheme="minorEastAsia" w:hAnsiTheme="minorEastAsia" w:eastAsiaTheme="minorEastAsia"/>
          <w:sz w:val="28"/>
          <w:szCs w:val="28"/>
        </w:rPr>
      </w:pPr>
      <w:r>
        <w:rPr>
          <w:rFonts w:hint="eastAsia" w:asciiTheme="minorEastAsia" w:hAnsiTheme="minorEastAsia" w:eastAsiaTheme="minorEastAsia"/>
          <w:sz w:val="28"/>
          <w:szCs w:val="28"/>
        </w:rPr>
        <w:t>部分企业能耗数据</w:t>
      </w:r>
    </w:p>
    <w:tbl>
      <w:tblPr>
        <w:tblStyle w:val="15"/>
        <w:tblW w:w="7061" w:type="dxa"/>
        <w:jc w:val="center"/>
        <w:tblInd w:w="1626" w:type="dxa"/>
        <w:tblLayout w:type="fixed"/>
        <w:tblCellMar>
          <w:top w:w="0" w:type="dxa"/>
          <w:left w:w="108" w:type="dxa"/>
          <w:bottom w:w="0" w:type="dxa"/>
          <w:right w:w="108" w:type="dxa"/>
        </w:tblCellMar>
      </w:tblPr>
      <w:tblGrid>
        <w:gridCol w:w="2517"/>
        <w:gridCol w:w="1680"/>
        <w:gridCol w:w="2864"/>
      </w:tblGrid>
      <w:tr>
        <w:tblPrEx>
          <w:tblLayout w:type="fixed"/>
          <w:tblCellMar>
            <w:top w:w="0" w:type="dxa"/>
            <w:left w:w="108" w:type="dxa"/>
            <w:bottom w:w="0" w:type="dxa"/>
            <w:right w:w="108" w:type="dxa"/>
          </w:tblCellMar>
        </w:tblPrEx>
        <w:trPr>
          <w:trHeight w:val="312" w:hRule="atLeast"/>
          <w:jc w:val="center"/>
        </w:trPr>
        <w:tc>
          <w:tcPr>
            <w:tcW w:w="2517" w:type="dxa"/>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公司名称</w:t>
            </w:r>
          </w:p>
        </w:tc>
        <w:tc>
          <w:tcPr>
            <w:tcW w:w="1680"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单位</w:t>
            </w:r>
          </w:p>
        </w:tc>
        <w:tc>
          <w:tcPr>
            <w:tcW w:w="2864"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color w:val="000000"/>
                <w:kern w:val="0"/>
                <w:sz w:val="24"/>
              </w:rPr>
            </w:pPr>
            <w:r>
              <w:rPr>
                <w:rFonts w:hint="eastAsia" w:ascii="宋体" w:hAnsi="宋体" w:cs="宋体"/>
                <w:color w:val="000000"/>
                <w:kern w:val="0"/>
                <w:sz w:val="24"/>
              </w:rPr>
              <w:t>铅冶炼单位能耗</w:t>
            </w:r>
          </w:p>
        </w:tc>
      </w:tr>
      <w:tr>
        <w:tblPrEx>
          <w:tblLayout w:type="fixed"/>
          <w:tblCellMar>
            <w:top w:w="0" w:type="dxa"/>
            <w:left w:w="108" w:type="dxa"/>
            <w:bottom w:w="0" w:type="dxa"/>
            <w:right w:w="108" w:type="dxa"/>
          </w:tblCellMar>
        </w:tblPrEx>
        <w:trPr>
          <w:trHeight w:val="312" w:hRule="atLeast"/>
          <w:jc w:val="center"/>
        </w:trPr>
        <w:tc>
          <w:tcPr>
            <w:tcW w:w="25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4"/>
                <w:lang w:eastAsia="zh-CN"/>
              </w:rPr>
            </w:pPr>
            <w:r>
              <w:rPr>
                <w:rFonts w:hint="eastAsia" w:ascii="宋体" w:hAnsi="宋体" w:eastAsia="宋体" w:cs="宋体"/>
                <w:i w:val="0"/>
                <w:color w:val="000000"/>
                <w:kern w:val="0"/>
                <w:sz w:val="24"/>
                <w:szCs w:val="24"/>
                <w:u w:val="none"/>
                <w:lang w:val="en-US" w:eastAsia="zh-CN" w:bidi="ar"/>
              </w:rPr>
              <w:t>济源万洋</w:t>
            </w:r>
          </w:p>
        </w:tc>
        <w:tc>
          <w:tcPr>
            <w:tcW w:w="1680" w:type="dxa"/>
            <w:tcBorders>
              <w:top w:val="single" w:color="auto" w:sz="4" w:space="0"/>
              <w:left w:val="nil"/>
              <w:bottom w:val="single" w:color="auto" w:sz="4" w:space="0"/>
              <w:right w:val="single" w:color="auto" w:sz="4" w:space="0"/>
            </w:tcBorders>
            <w:vAlign w:val="bottom"/>
          </w:tcPr>
          <w:p>
            <w:pPr>
              <w:widowControl/>
              <w:jc w:val="center"/>
              <w:rPr>
                <w:rFonts w:hint="eastAsia" w:ascii="宋体" w:hAnsi="宋体" w:cs="宋体"/>
                <w:color w:val="000000"/>
                <w:kern w:val="0"/>
                <w:sz w:val="24"/>
              </w:rPr>
            </w:pPr>
            <w:r>
              <w:rPr>
                <w:rFonts w:ascii="宋体" w:hAnsi="宋体"/>
                <w:color w:val="000000"/>
                <w:kern w:val="0"/>
                <w:sz w:val="24"/>
              </w:rPr>
              <w:t>kgce/t</w:t>
            </w:r>
          </w:p>
        </w:tc>
        <w:tc>
          <w:tcPr>
            <w:tcW w:w="2864" w:type="dxa"/>
            <w:tcBorders>
              <w:top w:val="single" w:color="auto" w:sz="4" w:space="0"/>
              <w:left w:val="nil"/>
              <w:bottom w:val="single" w:color="auto" w:sz="4" w:space="0"/>
              <w:right w:val="single" w:color="auto" w:sz="4" w:space="0"/>
            </w:tcBorders>
            <w:vAlign w:val="bottom"/>
          </w:tcPr>
          <w:p>
            <w:pPr>
              <w:widowControl/>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327</w:t>
            </w:r>
          </w:p>
        </w:tc>
      </w:tr>
      <w:tr>
        <w:tblPrEx>
          <w:tblLayout w:type="fixed"/>
          <w:tblCellMar>
            <w:top w:w="0" w:type="dxa"/>
            <w:left w:w="108" w:type="dxa"/>
            <w:bottom w:w="0" w:type="dxa"/>
            <w:right w:w="108" w:type="dxa"/>
          </w:tblCellMar>
        </w:tblPrEx>
        <w:trPr>
          <w:trHeight w:val="312" w:hRule="atLeast"/>
          <w:jc w:val="center"/>
        </w:trPr>
        <w:tc>
          <w:tcPr>
            <w:tcW w:w="25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4"/>
                <w:lang w:eastAsia="zh-CN"/>
              </w:rPr>
            </w:pPr>
            <w:r>
              <w:rPr>
                <w:rFonts w:hint="eastAsia" w:ascii="宋体" w:hAnsi="宋体" w:eastAsia="宋体" w:cs="宋体"/>
                <w:i w:val="0"/>
                <w:color w:val="000000"/>
                <w:kern w:val="0"/>
                <w:sz w:val="24"/>
                <w:szCs w:val="24"/>
                <w:u w:val="none"/>
                <w:lang w:val="en-US" w:eastAsia="zh-CN" w:bidi="ar"/>
              </w:rPr>
              <w:t>河南金利</w:t>
            </w:r>
          </w:p>
        </w:tc>
        <w:tc>
          <w:tcPr>
            <w:tcW w:w="1680" w:type="dxa"/>
            <w:tcBorders>
              <w:top w:val="single" w:color="auto" w:sz="4" w:space="0"/>
              <w:left w:val="nil"/>
              <w:bottom w:val="single" w:color="auto" w:sz="4" w:space="0"/>
              <w:right w:val="single" w:color="auto" w:sz="4" w:space="0"/>
            </w:tcBorders>
            <w:vAlign w:val="bottom"/>
          </w:tcPr>
          <w:p>
            <w:pPr>
              <w:widowControl/>
              <w:jc w:val="center"/>
              <w:rPr>
                <w:rFonts w:ascii="宋体" w:hAnsi="宋体"/>
                <w:color w:val="000000"/>
                <w:kern w:val="0"/>
                <w:sz w:val="24"/>
              </w:rPr>
            </w:pPr>
            <w:r>
              <w:rPr>
                <w:rFonts w:ascii="宋体" w:hAnsi="宋体"/>
                <w:color w:val="000000"/>
                <w:kern w:val="0"/>
                <w:sz w:val="24"/>
              </w:rPr>
              <w:t>kgce/t</w:t>
            </w:r>
          </w:p>
        </w:tc>
        <w:tc>
          <w:tcPr>
            <w:tcW w:w="2864" w:type="dxa"/>
            <w:tcBorders>
              <w:top w:val="single" w:color="auto" w:sz="4" w:space="0"/>
              <w:left w:val="nil"/>
              <w:bottom w:val="single" w:color="auto" w:sz="4" w:space="0"/>
              <w:right w:val="single" w:color="auto" w:sz="4" w:space="0"/>
            </w:tcBorders>
            <w:vAlign w:val="bottom"/>
          </w:tcPr>
          <w:p>
            <w:pPr>
              <w:widowControl/>
              <w:jc w:val="center"/>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305</w:t>
            </w:r>
          </w:p>
        </w:tc>
      </w:tr>
      <w:tr>
        <w:tblPrEx>
          <w:tblLayout w:type="fixed"/>
          <w:tblCellMar>
            <w:top w:w="0" w:type="dxa"/>
            <w:left w:w="108" w:type="dxa"/>
            <w:bottom w:w="0" w:type="dxa"/>
            <w:right w:w="108" w:type="dxa"/>
          </w:tblCellMar>
        </w:tblPrEx>
        <w:trPr>
          <w:trHeight w:val="312" w:hRule="atLeast"/>
          <w:jc w:val="center"/>
        </w:trPr>
        <w:tc>
          <w:tcPr>
            <w:tcW w:w="25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4"/>
                <w:lang w:eastAsia="zh-CN"/>
              </w:rPr>
            </w:pPr>
            <w:r>
              <w:rPr>
                <w:rFonts w:hint="eastAsia" w:ascii="宋体" w:hAnsi="宋体" w:eastAsia="宋体" w:cs="宋体"/>
                <w:i w:val="0"/>
                <w:color w:val="000000"/>
                <w:kern w:val="0"/>
                <w:sz w:val="24"/>
                <w:szCs w:val="24"/>
                <w:u w:val="none"/>
                <w:lang w:val="en-US" w:eastAsia="zh-CN" w:bidi="ar"/>
              </w:rPr>
              <w:t>云南驰宏锌锗</w:t>
            </w:r>
          </w:p>
        </w:tc>
        <w:tc>
          <w:tcPr>
            <w:tcW w:w="1680" w:type="dxa"/>
            <w:tcBorders>
              <w:top w:val="single" w:color="auto" w:sz="4" w:space="0"/>
              <w:left w:val="nil"/>
              <w:bottom w:val="single" w:color="auto" w:sz="4" w:space="0"/>
              <w:right w:val="single" w:color="auto" w:sz="4" w:space="0"/>
            </w:tcBorders>
            <w:vAlign w:val="bottom"/>
          </w:tcPr>
          <w:p>
            <w:pPr>
              <w:widowControl/>
              <w:jc w:val="center"/>
              <w:rPr>
                <w:rFonts w:ascii="宋体" w:hAnsi="宋体"/>
                <w:color w:val="000000"/>
                <w:kern w:val="0"/>
                <w:sz w:val="24"/>
              </w:rPr>
            </w:pPr>
            <w:r>
              <w:rPr>
                <w:rFonts w:ascii="宋体" w:hAnsi="宋体"/>
                <w:color w:val="000000"/>
                <w:kern w:val="0"/>
                <w:sz w:val="24"/>
              </w:rPr>
              <w:t>kgce/t</w:t>
            </w:r>
          </w:p>
        </w:tc>
        <w:tc>
          <w:tcPr>
            <w:tcW w:w="2864" w:type="dxa"/>
            <w:tcBorders>
              <w:top w:val="single" w:color="auto" w:sz="4" w:space="0"/>
              <w:left w:val="nil"/>
              <w:bottom w:val="single" w:color="auto" w:sz="4" w:space="0"/>
              <w:right w:val="single" w:color="auto" w:sz="4" w:space="0"/>
            </w:tcBorders>
            <w:vAlign w:val="bottom"/>
          </w:tcPr>
          <w:p>
            <w:pPr>
              <w:widowControl/>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309</w:t>
            </w:r>
          </w:p>
        </w:tc>
      </w:tr>
      <w:tr>
        <w:tblPrEx>
          <w:tblLayout w:type="fixed"/>
          <w:tblCellMar>
            <w:top w:w="0" w:type="dxa"/>
            <w:left w:w="108" w:type="dxa"/>
            <w:bottom w:w="0" w:type="dxa"/>
            <w:right w:w="108" w:type="dxa"/>
          </w:tblCellMar>
        </w:tblPrEx>
        <w:trPr>
          <w:trHeight w:val="312" w:hRule="atLeast"/>
          <w:jc w:val="center"/>
        </w:trPr>
        <w:tc>
          <w:tcPr>
            <w:tcW w:w="25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4"/>
                <w:lang w:eastAsia="zh-CN"/>
              </w:rPr>
            </w:pPr>
            <w:r>
              <w:rPr>
                <w:rFonts w:hint="eastAsia" w:ascii="宋体" w:hAnsi="宋体" w:eastAsia="宋体" w:cs="宋体"/>
                <w:i w:val="0"/>
                <w:color w:val="000000"/>
                <w:kern w:val="0"/>
                <w:sz w:val="24"/>
                <w:szCs w:val="24"/>
                <w:u w:val="none"/>
                <w:lang w:val="en-US" w:eastAsia="zh-CN" w:bidi="ar"/>
              </w:rPr>
              <w:t>江西铜业</w:t>
            </w:r>
          </w:p>
        </w:tc>
        <w:tc>
          <w:tcPr>
            <w:tcW w:w="1680" w:type="dxa"/>
            <w:tcBorders>
              <w:top w:val="single" w:color="auto" w:sz="4" w:space="0"/>
              <w:left w:val="nil"/>
              <w:bottom w:val="single" w:color="auto" w:sz="4" w:space="0"/>
              <w:right w:val="single" w:color="auto" w:sz="4" w:space="0"/>
            </w:tcBorders>
            <w:vAlign w:val="bottom"/>
          </w:tcPr>
          <w:p>
            <w:pPr>
              <w:widowControl/>
              <w:jc w:val="center"/>
              <w:rPr>
                <w:rFonts w:ascii="宋体" w:hAnsi="宋体"/>
                <w:color w:val="000000"/>
                <w:kern w:val="0"/>
                <w:sz w:val="24"/>
              </w:rPr>
            </w:pPr>
            <w:r>
              <w:rPr>
                <w:rFonts w:ascii="宋体" w:hAnsi="宋体"/>
                <w:color w:val="000000"/>
                <w:kern w:val="0"/>
                <w:sz w:val="24"/>
              </w:rPr>
              <w:t>kgce/t</w:t>
            </w:r>
          </w:p>
        </w:tc>
        <w:tc>
          <w:tcPr>
            <w:tcW w:w="2864" w:type="dxa"/>
            <w:tcBorders>
              <w:top w:val="single" w:color="auto" w:sz="4" w:space="0"/>
              <w:left w:val="nil"/>
              <w:bottom w:val="single" w:color="auto" w:sz="4" w:space="0"/>
              <w:right w:val="single" w:color="auto" w:sz="4" w:space="0"/>
            </w:tcBorders>
            <w:vAlign w:val="bottom"/>
          </w:tcPr>
          <w:p>
            <w:pPr>
              <w:widowControl/>
              <w:jc w:val="center"/>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320</w:t>
            </w:r>
          </w:p>
        </w:tc>
      </w:tr>
      <w:tr>
        <w:tblPrEx>
          <w:tblLayout w:type="fixed"/>
          <w:tblCellMar>
            <w:top w:w="0" w:type="dxa"/>
            <w:left w:w="108" w:type="dxa"/>
            <w:bottom w:w="0" w:type="dxa"/>
            <w:right w:w="108" w:type="dxa"/>
          </w:tblCellMar>
        </w:tblPrEx>
        <w:trPr>
          <w:trHeight w:val="312" w:hRule="atLeast"/>
          <w:jc w:val="center"/>
        </w:trPr>
        <w:tc>
          <w:tcPr>
            <w:tcW w:w="25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河南豫光</w:t>
            </w:r>
          </w:p>
        </w:tc>
        <w:tc>
          <w:tcPr>
            <w:tcW w:w="1680" w:type="dxa"/>
            <w:tcBorders>
              <w:top w:val="single" w:color="auto" w:sz="4" w:space="0"/>
              <w:left w:val="nil"/>
              <w:bottom w:val="single" w:color="auto" w:sz="4" w:space="0"/>
              <w:right w:val="single" w:color="auto" w:sz="4" w:space="0"/>
            </w:tcBorders>
            <w:vAlign w:val="bottom"/>
          </w:tcPr>
          <w:p>
            <w:pPr>
              <w:widowControl/>
              <w:jc w:val="center"/>
              <w:rPr>
                <w:rFonts w:ascii="宋体" w:hAnsi="宋体"/>
                <w:color w:val="000000"/>
                <w:kern w:val="0"/>
                <w:sz w:val="24"/>
              </w:rPr>
            </w:pPr>
            <w:r>
              <w:rPr>
                <w:rFonts w:ascii="宋体" w:hAnsi="宋体"/>
                <w:color w:val="000000"/>
                <w:kern w:val="0"/>
                <w:sz w:val="24"/>
              </w:rPr>
              <w:t>kgce/t</w:t>
            </w:r>
          </w:p>
        </w:tc>
        <w:tc>
          <w:tcPr>
            <w:tcW w:w="2864" w:type="dxa"/>
            <w:tcBorders>
              <w:top w:val="single" w:color="auto" w:sz="4" w:space="0"/>
              <w:left w:val="nil"/>
              <w:bottom w:val="single" w:color="auto" w:sz="4" w:space="0"/>
              <w:right w:val="single" w:color="auto" w:sz="4" w:space="0"/>
            </w:tcBorders>
            <w:vAlign w:val="bottom"/>
          </w:tcPr>
          <w:p>
            <w:pPr>
              <w:widowControl/>
              <w:jc w:val="center"/>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307</w:t>
            </w:r>
          </w:p>
        </w:tc>
      </w:tr>
      <w:tr>
        <w:tblPrEx>
          <w:tblLayout w:type="fixed"/>
          <w:tblCellMar>
            <w:top w:w="0" w:type="dxa"/>
            <w:left w:w="108" w:type="dxa"/>
            <w:bottom w:w="0" w:type="dxa"/>
            <w:right w:w="108" w:type="dxa"/>
          </w:tblCellMar>
        </w:tblPrEx>
        <w:trPr>
          <w:trHeight w:val="312" w:hRule="atLeast"/>
          <w:jc w:val="center"/>
        </w:trPr>
        <w:tc>
          <w:tcPr>
            <w:tcW w:w="25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4"/>
                <w:lang w:eastAsia="zh-CN"/>
              </w:rPr>
            </w:pPr>
            <w:r>
              <w:rPr>
                <w:rFonts w:hint="eastAsia" w:ascii="宋体" w:hAnsi="宋体" w:eastAsia="宋体" w:cs="宋体"/>
                <w:i w:val="0"/>
                <w:color w:val="000000"/>
                <w:kern w:val="0"/>
                <w:sz w:val="24"/>
                <w:szCs w:val="24"/>
                <w:u w:val="none"/>
                <w:lang w:val="en-US" w:eastAsia="zh-CN" w:bidi="ar"/>
              </w:rPr>
              <w:t>水口山</w:t>
            </w:r>
          </w:p>
        </w:tc>
        <w:tc>
          <w:tcPr>
            <w:tcW w:w="1680" w:type="dxa"/>
            <w:tcBorders>
              <w:top w:val="single" w:color="auto" w:sz="4" w:space="0"/>
              <w:left w:val="nil"/>
              <w:bottom w:val="single" w:color="auto" w:sz="4" w:space="0"/>
              <w:right w:val="single" w:color="auto" w:sz="4" w:space="0"/>
            </w:tcBorders>
            <w:vAlign w:val="bottom"/>
          </w:tcPr>
          <w:p>
            <w:pPr>
              <w:widowControl/>
              <w:jc w:val="center"/>
              <w:rPr>
                <w:rFonts w:ascii="宋体" w:hAnsi="宋体"/>
                <w:color w:val="000000"/>
                <w:kern w:val="0"/>
                <w:sz w:val="24"/>
              </w:rPr>
            </w:pPr>
            <w:r>
              <w:rPr>
                <w:rFonts w:ascii="宋体" w:hAnsi="宋体"/>
                <w:color w:val="000000"/>
                <w:kern w:val="0"/>
                <w:sz w:val="24"/>
              </w:rPr>
              <w:t>kgce/t</w:t>
            </w:r>
          </w:p>
        </w:tc>
        <w:tc>
          <w:tcPr>
            <w:tcW w:w="2864" w:type="dxa"/>
            <w:tcBorders>
              <w:top w:val="single" w:color="auto" w:sz="4" w:space="0"/>
              <w:left w:val="nil"/>
              <w:bottom w:val="single" w:color="auto" w:sz="4" w:space="0"/>
              <w:right w:val="single" w:color="auto" w:sz="4" w:space="0"/>
            </w:tcBorders>
            <w:vAlign w:val="bottom"/>
          </w:tcPr>
          <w:p>
            <w:pPr>
              <w:widowControl/>
              <w:jc w:val="center"/>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360</w:t>
            </w:r>
          </w:p>
        </w:tc>
      </w:tr>
      <w:tr>
        <w:tblPrEx>
          <w:tblLayout w:type="fixed"/>
          <w:tblCellMar>
            <w:top w:w="0" w:type="dxa"/>
            <w:left w:w="108" w:type="dxa"/>
            <w:bottom w:w="0" w:type="dxa"/>
            <w:right w:w="108" w:type="dxa"/>
          </w:tblCellMar>
        </w:tblPrEx>
        <w:trPr>
          <w:trHeight w:val="312" w:hRule="atLeast"/>
          <w:jc w:val="center"/>
        </w:trPr>
        <w:tc>
          <w:tcPr>
            <w:tcW w:w="25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4"/>
                <w:lang w:eastAsia="zh-CN"/>
              </w:rPr>
            </w:pPr>
            <w:r>
              <w:rPr>
                <w:rFonts w:hint="eastAsia" w:ascii="宋体" w:hAnsi="宋体" w:eastAsia="宋体" w:cs="宋体"/>
                <w:i w:val="0"/>
                <w:color w:val="000000"/>
                <w:kern w:val="0"/>
                <w:sz w:val="24"/>
                <w:szCs w:val="24"/>
                <w:u w:val="none"/>
                <w:lang w:val="en-US" w:eastAsia="zh-CN" w:bidi="ar"/>
              </w:rPr>
              <w:t>中金岭南</w:t>
            </w:r>
          </w:p>
        </w:tc>
        <w:tc>
          <w:tcPr>
            <w:tcW w:w="1680" w:type="dxa"/>
            <w:tcBorders>
              <w:top w:val="single" w:color="auto" w:sz="4" w:space="0"/>
              <w:left w:val="nil"/>
              <w:bottom w:val="single" w:color="auto" w:sz="4" w:space="0"/>
              <w:right w:val="single" w:color="auto" w:sz="4" w:space="0"/>
            </w:tcBorders>
            <w:vAlign w:val="bottom"/>
          </w:tcPr>
          <w:p>
            <w:pPr>
              <w:widowControl/>
              <w:jc w:val="center"/>
              <w:rPr>
                <w:rFonts w:ascii="宋体" w:hAnsi="宋体"/>
                <w:color w:val="000000"/>
                <w:kern w:val="0"/>
                <w:sz w:val="24"/>
              </w:rPr>
            </w:pPr>
            <w:r>
              <w:rPr>
                <w:rFonts w:ascii="宋体" w:hAnsi="宋体"/>
                <w:color w:val="000000"/>
                <w:kern w:val="0"/>
                <w:sz w:val="24"/>
              </w:rPr>
              <w:t>kgce/t</w:t>
            </w:r>
          </w:p>
        </w:tc>
        <w:tc>
          <w:tcPr>
            <w:tcW w:w="2864" w:type="dxa"/>
            <w:tcBorders>
              <w:top w:val="single" w:color="auto" w:sz="4" w:space="0"/>
              <w:left w:val="nil"/>
              <w:bottom w:val="single" w:color="auto" w:sz="4" w:space="0"/>
              <w:right w:val="single" w:color="auto" w:sz="4" w:space="0"/>
            </w:tcBorders>
            <w:vAlign w:val="bottom"/>
          </w:tcPr>
          <w:p>
            <w:pPr>
              <w:widowControl/>
              <w:jc w:val="center"/>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386</w:t>
            </w:r>
          </w:p>
        </w:tc>
      </w:tr>
      <w:tr>
        <w:tblPrEx>
          <w:tblLayout w:type="fixed"/>
          <w:tblCellMar>
            <w:top w:w="0" w:type="dxa"/>
            <w:left w:w="108" w:type="dxa"/>
            <w:bottom w:w="0" w:type="dxa"/>
            <w:right w:w="108" w:type="dxa"/>
          </w:tblCellMar>
        </w:tblPrEx>
        <w:trPr>
          <w:trHeight w:val="312" w:hRule="atLeast"/>
          <w:jc w:val="center"/>
        </w:trPr>
        <w:tc>
          <w:tcPr>
            <w:tcW w:w="251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4"/>
                <w:lang w:eastAsia="zh-CN"/>
              </w:rPr>
            </w:pPr>
            <w:r>
              <w:rPr>
                <w:rFonts w:hint="eastAsia" w:ascii="宋体" w:hAnsi="宋体" w:eastAsia="宋体" w:cs="宋体"/>
                <w:i w:val="0"/>
                <w:color w:val="000000"/>
                <w:kern w:val="0"/>
                <w:sz w:val="24"/>
                <w:szCs w:val="24"/>
                <w:u w:val="none"/>
                <w:lang w:val="en-US" w:eastAsia="zh-CN" w:bidi="ar"/>
              </w:rPr>
              <w:t>安阳岷山</w:t>
            </w:r>
          </w:p>
        </w:tc>
        <w:tc>
          <w:tcPr>
            <w:tcW w:w="1680" w:type="dxa"/>
            <w:tcBorders>
              <w:top w:val="nil"/>
              <w:left w:val="nil"/>
              <w:bottom w:val="single" w:color="auto" w:sz="4" w:space="0"/>
              <w:right w:val="single" w:color="auto" w:sz="4" w:space="0"/>
            </w:tcBorders>
            <w:vAlign w:val="bottom"/>
          </w:tcPr>
          <w:p>
            <w:pPr>
              <w:widowControl/>
              <w:jc w:val="center"/>
              <w:rPr>
                <w:rFonts w:ascii="宋体" w:hAnsi="宋体"/>
                <w:color w:val="000000"/>
                <w:kern w:val="0"/>
                <w:sz w:val="24"/>
              </w:rPr>
            </w:pPr>
            <w:r>
              <w:rPr>
                <w:rFonts w:ascii="宋体" w:hAnsi="宋体"/>
                <w:color w:val="000000"/>
                <w:kern w:val="0"/>
                <w:sz w:val="24"/>
              </w:rPr>
              <w:t>kgce/t</w:t>
            </w:r>
          </w:p>
        </w:tc>
        <w:tc>
          <w:tcPr>
            <w:tcW w:w="2864" w:type="dxa"/>
            <w:tcBorders>
              <w:top w:val="nil"/>
              <w:left w:val="nil"/>
              <w:bottom w:val="single" w:color="auto" w:sz="4" w:space="0"/>
              <w:right w:val="single" w:color="auto" w:sz="4" w:space="0"/>
            </w:tcBorders>
            <w:vAlign w:val="bottom"/>
          </w:tcPr>
          <w:p>
            <w:pPr>
              <w:widowControl/>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298</w:t>
            </w:r>
          </w:p>
        </w:tc>
      </w:tr>
    </w:tbl>
    <w:p>
      <w:pPr>
        <w:ind w:firstLine="560" w:firstLineChars="200"/>
        <w:rPr>
          <w:rFonts w:hint="eastAsia" w:asciiTheme="minorEastAsia" w:hAnsiTheme="minorEastAsia" w:eastAsiaTheme="minorEastAsia"/>
          <w:sz w:val="28"/>
          <w:szCs w:val="28"/>
          <w:lang w:eastAsia="zh-CN"/>
        </w:rPr>
      </w:pPr>
    </w:p>
    <w:p>
      <w:pPr>
        <w:ind w:firstLine="560" w:firstLineChars="200"/>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根据目前各企业情况，结合工信部门对行业规范的相关要求，考虑行业整体能耗水平的不断提升和环保用能的增加对能耗数据的影响。本次修订的能耗数据变动计划如下：</w:t>
      </w:r>
    </w:p>
    <w:p>
      <w:pPr>
        <w:pStyle w:val="8"/>
        <w:ind w:firstLine="0" w:firstLineChars="0"/>
        <w:jc w:val="center"/>
        <w:rPr>
          <w:rFonts w:hint="eastAsia"/>
          <w:b/>
          <w:bCs/>
          <w:color w:val="auto"/>
          <w:sz w:val="21"/>
          <w:szCs w:val="21"/>
        </w:rPr>
      </w:pPr>
      <w:r>
        <w:rPr>
          <w:rFonts w:hint="eastAsia"/>
          <w:b/>
          <w:bCs/>
          <w:color w:val="auto"/>
          <w:sz w:val="21"/>
          <w:szCs w:val="21"/>
        </w:rPr>
        <w:t>表1  现有铅冶炼企业单位产品综合能耗限定值</w:t>
      </w:r>
    </w:p>
    <w:tbl>
      <w:tblPr>
        <w:tblStyle w:val="15"/>
        <w:tblW w:w="7521" w:type="dxa"/>
        <w:jc w:val="center"/>
        <w:tblInd w:w="9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3"/>
        <w:gridCol w:w="2594"/>
        <w:gridCol w:w="2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2333" w:type="dxa"/>
            <w:vMerge w:val="restart"/>
            <w:vAlign w:val="center"/>
          </w:tcPr>
          <w:p>
            <w:pPr>
              <w:jc w:val="center"/>
              <w:rPr>
                <w:rFonts w:hint="eastAsia" w:ascii="宋体" w:hAnsi="宋体"/>
                <w:color w:val="auto"/>
              </w:rPr>
            </w:pPr>
            <w:r>
              <w:rPr>
                <w:rFonts w:hint="eastAsia" w:ascii="宋体" w:hAnsi="宋体"/>
                <w:color w:val="auto"/>
              </w:rPr>
              <w:t>工序、工艺</w:t>
            </w:r>
          </w:p>
        </w:tc>
        <w:tc>
          <w:tcPr>
            <w:tcW w:w="2594" w:type="dxa"/>
            <w:vAlign w:val="center"/>
          </w:tcPr>
          <w:p>
            <w:pPr>
              <w:pStyle w:val="33"/>
              <w:widowControl w:val="0"/>
              <w:spacing w:before="0" w:line="240" w:lineRule="auto"/>
              <w:jc w:val="center"/>
              <w:rPr>
                <w:rFonts w:hint="eastAsia" w:ascii="Times New Roman" w:hAnsi="宋体" w:eastAsia="宋体"/>
                <w:color w:val="auto"/>
                <w:kern w:val="2"/>
                <w:szCs w:val="24"/>
                <w:lang w:eastAsia="zh-CN"/>
              </w:rPr>
            </w:pPr>
            <w:r>
              <w:rPr>
                <w:rFonts w:hint="eastAsia" w:ascii="Times New Roman" w:hAnsi="宋体"/>
                <w:color w:val="auto"/>
                <w:kern w:val="2"/>
                <w:szCs w:val="24"/>
                <w:lang w:eastAsia="zh-CN"/>
              </w:rPr>
              <w:t>原标准规定</w:t>
            </w:r>
          </w:p>
        </w:tc>
        <w:tc>
          <w:tcPr>
            <w:tcW w:w="2594" w:type="dxa"/>
            <w:vAlign w:val="center"/>
          </w:tcPr>
          <w:p>
            <w:pPr>
              <w:pStyle w:val="33"/>
              <w:widowControl w:val="0"/>
              <w:spacing w:before="0" w:line="240" w:lineRule="auto"/>
              <w:rPr>
                <w:rFonts w:hint="eastAsia" w:ascii="Times New Roman" w:hAnsi="宋体" w:eastAsia="宋体"/>
                <w:color w:val="auto"/>
                <w:kern w:val="2"/>
                <w:szCs w:val="24"/>
                <w:lang w:eastAsia="zh-CN"/>
              </w:rPr>
            </w:pPr>
            <w:r>
              <w:rPr>
                <w:rFonts w:hint="eastAsia" w:ascii="Times New Roman" w:hAnsi="宋体"/>
                <w:color w:val="auto"/>
                <w:kern w:val="2"/>
                <w:szCs w:val="24"/>
                <w:lang w:eastAsia="zh-CN"/>
              </w:rPr>
              <w:t>本次计划修订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2333" w:type="dxa"/>
            <w:vMerge w:val="continue"/>
            <w:tcBorders/>
            <w:vAlign w:val="top"/>
          </w:tcPr>
          <w:p>
            <w:pPr>
              <w:jc w:val="center"/>
              <w:rPr>
                <w:rFonts w:hint="eastAsia" w:ascii="宋体" w:hAnsi="宋体"/>
                <w:color w:val="auto"/>
              </w:rPr>
            </w:pPr>
          </w:p>
        </w:tc>
        <w:tc>
          <w:tcPr>
            <w:tcW w:w="2594" w:type="dxa"/>
            <w:vAlign w:val="center"/>
          </w:tcPr>
          <w:p>
            <w:pPr>
              <w:pStyle w:val="33"/>
              <w:widowControl w:val="0"/>
              <w:spacing w:before="0" w:line="240" w:lineRule="auto"/>
              <w:rPr>
                <w:rFonts w:hint="eastAsia" w:hAnsi="宋体"/>
                <w:color w:val="auto"/>
              </w:rPr>
            </w:pPr>
            <w:r>
              <w:rPr>
                <w:rFonts w:hint="eastAsia" w:hAnsi="宋体"/>
                <w:color w:val="auto"/>
              </w:rPr>
              <w:t>综合能耗限定值/(kgce/t)</w:t>
            </w:r>
          </w:p>
        </w:tc>
        <w:tc>
          <w:tcPr>
            <w:tcW w:w="2594" w:type="dxa"/>
            <w:vAlign w:val="center"/>
          </w:tcPr>
          <w:p>
            <w:pPr>
              <w:pStyle w:val="33"/>
              <w:widowControl w:val="0"/>
              <w:spacing w:before="0" w:line="240" w:lineRule="auto"/>
              <w:rPr>
                <w:rFonts w:hint="eastAsia" w:hAnsi="宋体"/>
                <w:color w:val="auto"/>
              </w:rPr>
            </w:pPr>
            <w:r>
              <w:rPr>
                <w:rFonts w:hint="eastAsia" w:hAnsi="宋体"/>
                <w:color w:val="auto"/>
              </w:rPr>
              <w:t>综合能耗限定值/(kgce/t)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2333" w:type="dxa"/>
            <w:vAlign w:val="center"/>
          </w:tcPr>
          <w:p>
            <w:pPr>
              <w:jc w:val="center"/>
              <w:rPr>
                <w:rFonts w:hint="eastAsia" w:ascii="宋体" w:hAnsi="宋体"/>
                <w:color w:val="auto"/>
              </w:rPr>
            </w:pPr>
            <w:r>
              <w:rPr>
                <w:rFonts w:hint="eastAsia" w:ascii="宋体" w:hAnsi="宋体"/>
                <w:color w:val="auto"/>
              </w:rPr>
              <w:t>粗铅工艺</w:t>
            </w:r>
          </w:p>
        </w:tc>
        <w:tc>
          <w:tcPr>
            <w:tcW w:w="2594" w:type="dxa"/>
            <w:vAlign w:val="center"/>
          </w:tcPr>
          <w:p>
            <w:pPr>
              <w:jc w:val="center"/>
              <w:rPr>
                <w:rFonts w:hint="eastAsia" w:ascii="宋体" w:hAnsi="宋体"/>
                <w:color w:val="auto"/>
              </w:rPr>
            </w:pPr>
            <w:r>
              <w:rPr>
                <w:rFonts w:hint="eastAsia" w:ascii="宋体" w:hAnsi="宋体"/>
                <w:color w:val="auto"/>
              </w:rPr>
              <w:t>≤</w:t>
            </w:r>
            <w:r>
              <w:rPr>
                <w:rFonts w:hint="eastAsia" w:ascii="宋体" w:hAnsi="宋体"/>
                <w:color w:val="auto"/>
                <w:lang w:val="en-US" w:eastAsia="zh-CN"/>
              </w:rPr>
              <w:t>400</w:t>
            </w:r>
          </w:p>
        </w:tc>
        <w:tc>
          <w:tcPr>
            <w:tcW w:w="2594" w:type="dxa"/>
            <w:vAlign w:val="center"/>
          </w:tcPr>
          <w:p>
            <w:pPr>
              <w:jc w:val="center"/>
              <w:rPr>
                <w:rFonts w:hint="eastAsia" w:ascii="宋体" w:hAnsi="宋体"/>
                <w:color w:val="auto"/>
              </w:rPr>
            </w:pPr>
            <w:r>
              <w:rPr>
                <w:rFonts w:hint="eastAsia" w:ascii="宋体" w:hAnsi="宋体"/>
                <w:color w:val="auto"/>
              </w:rPr>
              <w:t>≤</w:t>
            </w:r>
            <w:r>
              <w:rPr>
                <w:rFonts w:hint="eastAsia" w:ascii="宋体" w:hAnsi="宋体"/>
                <w:color w:val="auto"/>
                <w:lang w:val="en-US" w:eastAsia="zh-CN"/>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2333" w:type="dxa"/>
            <w:vAlign w:val="center"/>
          </w:tcPr>
          <w:p>
            <w:pPr>
              <w:jc w:val="center"/>
              <w:rPr>
                <w:rFonts w:hint="eastAsia" w:ascii="宋体" w:hAnsi="宋体"/>
                <w:color w:val="auto"/>
              </w:rPr>
            </w:pPr>
            <w:r>
              <w:rPr>
                <w:rFonts w:hint="eastAsia" w:ascii="宋体" w:hAnsi="宋体"/>
                <w:color w:val="auto"/>
              </w:rPr>
              <w:t>铅电解精炼工序</w:t>
            </w:r>
          </w:p>
        </w:tc>
        <w:tc>
          <w:tcPr>
            <w:tcW w:w="2594" w:type="dxa"/>
            <w:vAlign w:val="center"/>
          </w:tcPr>
          <w:p>
            <w:pPr>
              <w:jc w:val="center"/>
              <w:rPr>
                <w:rFonts w:hint="eastAsia" w:ascii="宋体" w:hAnsi="宋体"/>
                <w:color w:val="auto"/>
              </w:rPr>
            </w:pPr>
            <w:r>
              <w:rPr>
                <w:rFonts w:hint="eastAsia" w:ascii="宋体" w:hAnsi="宋体"/>
                <w:color w:val="auto"/>
              </w:rPr>
              <w:t>≤1</w:t>
            </w:r>
            <w:r>
              <w:rPr>
                <w:rFonts w:hint="eastAsia" w:ascii="宋体" w:hAnsi="宋体"/>
                <w:color w:val="auto"/>
                <w:lang w:val="en-US" w:eastAsia="zh-CN"/>
              </w:rPr>
              <w:t>4</w:t>
            </w:r>
            <w:r>
              <w:rPr>
                <w:rFonts w:hint="eastAsia" w:ascii="宋体" w:hAnsi="宋体"/>
                <w:color w:val="auto"/>
              </w:rPr>
              <w:t>0</w:t>
            </w:r>
          </w:p>
        </w:tc>
        <w:tc>
          <w:tcPr>
            <w:tcW w:w="2594" w:type="dxa"/>
            <w:vAlign w:val="center"/>
          </w:tcPr>
          <w:p>
            <w:pPr>
              <w:jc w:val="center"/>
              <w:rPr>
                <w:rFonts w:hint="eastAsia" w:ascii="宋体" w:hAnsi="宋体"/>
                <w:color w:val="auto"/>
              </w:rPr>
            </w:pPr>
            <w:r>
              <w:rPr>
                <w:rFonts w:hint="eastAsia" w:ascii="宋体" w:hAnsi="宋体"/>
                <w:color w:val="auto"/>
              </w:rPr>
              <w:t>≤1</w:t>
            </w:r>
            <w:r>
              <w:rPr>
                <w:rFonts w:hint="eastAsia" w:ascii="宋体" w:hAnsi="宋体"/>
                <w:color w:val="auto"/>
                <w:lang w:val="en-US" w:eastAsia="zh-CN"/>
              </w:rPr>
              <w:t>3</w:t>
            </w:r>
            <w:r>
              <w:rPr>
                <w:rFonts w:hint="eastAsia" w:ascii="宋体" w:hAnsi="宋体"/>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2333" w:type="dxa"/>
            <w:vAlign w:val="center"/>
          </w:tcPr>
          <w:p>
            <w:pPr>
              <w:jc w:val="center"/>
              <w:rPr>
                <w:rFonts w:hint="eastAsia" w:ascii="宋体" w:hAnsi="宋体"/>
                <w:color w:val="auto"/>
              </w:rPr>
            </w:pPr>
            <w:r>
              <w:rPr>
                <w:rFonts w:hint="eastAsia" w:ascii="宋体" w:hAnsi="宋体"/>
                <w:color w:val="auto"/>
              </w:rPr>
              <w:t>铅冶炼工艺</w:t>
            </w:r>
          </w:p>
        </w:tc>
        <w:tc>
          <w:tcPr>
            <w:tcW w:w="2594" w:type="dxa"/>
            <w:vAlign w:val="center"/>
          </w:tcPr>
          <w:p>
            <w:pPr>
              <w:jc w:val="center"/>
              <w:rPr>
                <w:rFonts w:hint="eastAsia" w:ascii="宋体" w:hAnsi="宋体"/>
                <w:color w:val="auto"/>
              </w:rPr>
            </w:pPr>
            <w:r>
              <w:rPr>
                <w:rFonts w:hint="eastAsia" w:ascii="宋体" w:hAnsi="宋体"/>
                <w:color w:val="auto"/>
              </w:rPr>
              <w:t>≤</w:t>
            </w:r>
            <w:r>
              <w:rPr>
                <w:rFonts w:hint="eastAsia" w:ascii="宋体" w:hAnsi="宋体"/>
                <w:color w:val="auto"/>
                <w:lang w:val="en-US" w:eastAsia="zh-CN"/>
              </w:rPr>
              <w:t>54</w:t>
            </w:r>
            <w:r>
              <w:rPr>
                <w:rFonts w:hint="eastAsia" w:ascii="宋体" w:hAnsi="宋体"/>
                <w:color w:val="auto"/>
              </w:rPr>
              <w:t>0</w:t>
            </w:r>
          </w:p>
        </w:tc>
        <w:tc>
          <w:tcPr>
            <w:tcW w:w="2594" w:type="dxa"/>
            <w:vAlign w:val="center"/>
          </w:tcPr>
          <w:p>
            <w:pPr>
              <w:jc w:val="center"/>
              <w:rPr>
                <w:rFonts w:hint="eastAsia" w:ascii="宋体" w:hAnsi="宋体"/>
                <w:color w:val="auto"/>
              </w:rPr>
            </w:pPr>
            <w:r>
              <w:rPr>
                <w:rFonts w:hint="eastAsia" w:ascii="宋体" w:hAnsi="宋体"/>
                <w:color w:val="auto"/>
              </w:rPr>
              <w:t>≤</w:t>
            </w:r>
            <w:r>
              <w:rPr>
                <w:rFonts w:hint="eastAsia" w:ascii="宋体" w:hAnsi="宋体"/>
                <w:color w:val="auto"/>
                <w:lang w:val="en-US" w:eastAsia="zh-CN"/>
              </w:rPr>
              <w:t>50</w:t>
            </w:r>
            <w:r>
              <w:rPr>
                <w:rFonts w:hint="eastAsia" w:ascii="宋体" w:hAnsi="宋体"/>
                <w:color w:val="auto"/>
              </w:rPr>
              <w:t>0</w:t>
            </w:r>
          </w:p>
        </w:tc>
      </w:tr>
    </w:tbl>
    <w:p>
      <w:pPr>
        <w:pStyle w:val="8"/>
        <w:ind w:firstLine="0" w:firstLineChars="0"/>
        <w:jc w:val="center"/>
        <w:rPr>
          <w:rFonts w:hint="eastAsia"/>
          <w:b/>
          <w:bCs/>
          <w:color w:val="auto"/>
          <w:sz w:val="18"/>
        </w:rPr>
      </w:pPr>
    </w:p>
    <w:p>
      <w:pPr>
        <w:pStyle w:val="8"/>
        <w:ind w:firstLine="0" w:firstLineChars="0"/>
        <w:jc w:val="center"/>
        <w:rPr>
          <w:rFonts w:hint="eastAsia"/>
          <w:b/>
          <w:bCs/>
          <w:color w:val="auto"/>
          <w:sz w:val="21"/>
          <w:szCs w:val="21"/>
        </w:rPr>
      </w:pPr>
      <w:r>
        <w:rPr>
          <w:rFonts w:hint="eastAsia"/>
          <w:b/>
          <w:bCs/>
          <w:color w:val="auto"/>
          <w:sz w:val="21"/>
          <w:szCs w:val="21"/>
        </w:rPr>
        <w:t>表2  新建铅冶炼企业单位产品综合能耗准入值</w:t>
      </w:r>
    </w:p>
    <w:tbl>
      <w:tblPr>
        <w:tblStyle w:val="15"/>
        <w:tblW w:w="7624" w:type="dxa"/>
        <w:jc w:val="center"/>
        <w:tblInd w:w="8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6"/>
        <w:gridCol w:w="2594"/>
        <w:gridCol w:w="2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2436" w:type="dxa"/>
            <w:vMerge w:val="restart"/>
            <w:vAlign w:val="center"/>
          </w:tcPr>
          <w:p>
            <w:pPr>
              <w:jc w:val="center"/>
              <w:rPr>
                <w:rFonts w:hint="eastAsia" w:ascii="宋体" w:hAnsi="宋体"/>
                <w:color w:val="auto"/>
              </w:rPr>
            </w:pPr>
            <w:r>
              <w:rPr>
                <w:rFonts w:hint="eastAsia" w:ascii="宋体" w:hAnsi="宋体"/>
                <w:color w:val="auto"/>
              </w:rPr>
              <w:t>工序、工艺</w:t>
            </w:r>
          </w:p>
        </w:tc>
        <w:tc>
          <w:tcPr>
            <w:tcW w:w="2594" w:type="dxa"/>
            <w:vAlign w:val="center"/>
          </w:tcPr>
          <w:p>
            <w:pPr>
              <w:pStyle w:val="33"/>
              <w:widowControl w:val="0"/>
              <w:spacing w:before="0" w:line="240" w:lineRule="auto"/>
              <w:jc w:val="center"/>
              <w:rPr>
                <w:rFonts w:ascii="Times New Roman" w:hAnsi="宋体"/>
                <w:color w:val="auto"/>
                <w:kern w:val="2"/>
                <w:szCs w:val="24"/>
              </w:rPr>
            </w:pPr>
            <w:r>
              <w:rPr>
                <w:rFonts w:hint="eastAsia" w:ascii="Times New Roman" w:hAnsi="宋体"/>
                <w:color w:val="auto"/>
                <w:kern w:val="2"/>
                <w:szCs w:val="24"/>
                <w:lang w:eastAsia="zh-CN"/>
              </w:rPr>
              <w:t>原标准规定</w:t>
            </w:r>
          </w:p>
        </w:tc>
        <w:tc>
          <w:tcPr>
            <w:tcW w:w="2594" w:type="dxa"/>
            <w:vAlign w:val="center"/>
          </w:tcPr>
          <w:p>
            <w:pPr>
              <w:pStyle w:val="33"/>
              <w:widowControl w:val="0"/>
              <w:spacing w:before="0" w:line="240" w:lineRule="auto"/>
              <w:rPr>
                <w:rFonts w:ascii="Times New Roman" w:hAnsi="宋体"/>
                <w:color w:val="auto"/>
                <w:kern w:val="2"/>
                <w:szCs w:val="24"/>
              </w:rPr>
            </w:pPr>
            <w:r>
              <w:rPr>
                <w:rFonts w:hint="eastAsia" w:ascii="Times New Roman" w:hAnsi="宋体"/>
                <w:color w:val="auto"/>
                <w:kern w:val="2"/>
                <w:szCs w:val="24"/>
                <w:lang w:eastAsia="zh-CN"/>
              </w:rPr>
              <w:t>本次计划修订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2436" w:type="dxa"/>
            <w:vMerge w:val="continue"/>
            <w:tcBorders/>
            <w:vAlign w:val="center"/>
          </w:tcPr>
          <w:p>
            <w:pPr>
              <w:jc w:val="center"/>
              <w:rPr>
                <w:rFonts w:hint="eastAsia" w:ascii="宋体" w:hAnsi="宋体"/>
                <w:color w:val="auto"/>
              </w:rPr>
            </w:pPr>
          </w:p>
        </w:tc>
        <w:tc>
          <w:tcPr>
            <w:tcW w:w="2594" w:type="dxa"/>
            <w:vAlign w:val="center"/>
          </w:tcPr>
          <w:p>
            <w:pPr>
              <w:pStyle w:val="33"/>
              <w:widowControl w:val="0"/>
              <w:spacing w:before="0" w:line="240" w:lineRule="auto"/>
              <w:rPr>
                <w:rFonts w:hint="eastAsia" w:hAnsi="宋体"/>
                <w:color w:val="auto"/>
              </w:rPr>
            </w:pPr>
            <w:r>
              <w:rPr>
                <w:rFonts w:hint="eastAsia" w:hAnsi="宋体"/>
                <w:color w:val="auto"/>
              </w:rPr>
              <w:t>综合能耗准入值/(kgce/t)</w:t>
            </w:r>
          </w:p>
        </w:tc>
        <w:tc>
          <w:tcPr>
            <w:tcW w:w="2594" w:type="dxa"/>
            <w:vAlign w:val="center"/>
          </w:tcPr>
          <w:p>
            <w:pPr>
              <w:pStyle w:val="33"/>
              <w:widowControl w:val="0"/>
              <w:spacing w:before="0" w:line="240" w:lineRule="auto"/>
              <w:rPr>
                <w:rFonts w:hint="eastAsia" w:hAnsi="宋体"/>
                <w:color w:val="auto"/>
              </w:rPr>
            </w:pPr>
            <w:r>
              <w:rPr>
                <w:rFonts w:hint="eastAsia" w:hAnsi="宋体"/>
                <w:color w:val="auto"/>
              </w:rPr>
              <w:t>综合能耗准入值/(kgce/t)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2436" w:type="dxa"/>
            <w:vAlign w:val="center"/>
          </w:tcPr>
          <w:p>
            <w:pPr>
              <w:jc w:val="center"/>
              <w:rPr>
                <w:rFonts w:hint="eastAsia" w:ascii="宋体" w:hAnsi="宋体"/>
                <w:color w:val="auto"/>
              </w:rPr>
            </w:pPr>
            <w:r>
              <w:rPr>
                <w:rFonts w:hint="eastAsia" w:ascii="宋体" w:hAnsi="宋体"/>
                <w:color w:val="auto"/>
              </w:rPr>
              <w:t xml:space="preserve">粗铅工艺 </w:t>
            </w:r>
          </w:p>
        </w:tc>
        <w:tc>
          <w:tcPr>
            <w:tcW w:w="2594" w:type="dxa"/>
            <w:vAlign w:val="center"/>
          </w:tcPr>
          <w:p>
            <w:pPr>
              <w:jc w:val="center"/>
              <w:rPr>
                <w:rFonts w:hint="eastAsia" w:ascii="宋体" w:hAnsi="宋体"/>
                <w:color w:val="auto"/>
              </w:rPr>
            </w:pPr>
            <w:r>
              <w:rPr>
                <w:rFonts w:hint="eastAsia" w:ascii="宋体" w:hAnsi="宋体"/>
                <w:color w:val="auto"/>
              </w:rPr>
              <w:t>≤2</w:t>
            </w:r>
            <w:r>
              <w:rPr>
                <w:rFonts w:hint="eastAsia" w:ascii="宋体" w:hAnsi="宋体"/>
                <w:color w:val="auto"/>
                <w:lang w:val="en-US" w:eastAsia="zh-CN"/>
              </w:rPr>
              <w:t>6</w:t>
            </w:r>
            <w:r>
              <w:rPr>
                <w:rFonts w:hint="eastAsia" w:ascii="宋体" w:hAnsi="宋体"/>
                <w:color w:val="auto"/>
              </w:rPr>
              <w:t>0</w:t>
            </w:r>
          </w:p>
        </w:tc>
        <w:tc>
          <w:tcPr>
            <w:tcW w:w="2594" w:type="dxa"/>
            <w:vAlign w:val="center"/>
          </w:tcPr>
          <w:p>
            <w:pPr>
              <w:jc w:val="center"/>
              <w:rPr>
                <w:rFonts w:hint="eastAsia" w:ascii="宋体" w:hAnsi="宋体"/>
                <w:color w:val="auto"/>
              </w:rPr>
            </w:pPr>
            <w:r>
              <w:rPr>
                <w:rFonts w:hint="eastAsia" w:ascii="宋体" w:hAnsi="宋体"/>
                <w:color w:val="auto"/>
              </w:rPr>
              <w:t>≤2</w:t>
            </w:r>
            <w:r>
              <w:rPr>
                <w:rFonts w:hint="eastAsia" w:ascii="宋体" w:hAnsi="宋体"/>
                <w:color w:val="auto"/>
                <w:lang w:val="en-US" w:eastAsia="zh-CN"/>
              </w:rPr>
              <w:t>5</w:t>
            </w:r>
            <w:r>
              <w:rPr>
                <w:rFonts w:hint="eastAsia" w:ascii="宋体" w:hAnsi="宋体"/>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2436" w:type="dxa"/>
            <w:vAlign w:val="center"/>
          </w:tcPr>
          <w:p>
            <w:pPr>
              <w:jc w:val="center"/>
              <w:rPr>
                <w:rFonts w:hint="eastAsia" w:ascii="宋体" w:hAnsi="宋体"/>
                <w:color w:val="auto"/>
              </w:rPr>
            </w:pPr>
            <w:r>
              <w:rPr>
                <w:rFonts w:hint="eastAsia" w:ascii="宋体" w:hAnsi="宋体"/>
                <w:color w:val="auto"/>
              </w:rPr>
              <w:t xml:space="preserve">铅电解精炼工序 </w:t>
            </w:r>
          </w:p>
        </w:tc>
        <w:tc>
          <w:tcPr>
            <w:tcW w:w="2594" w:type="dxa"/>
            <w:vAlign w:val="center"/>
          </w:tcPr>
          <w:p>
            <w:pPr>
              <w:jc w:val="center"/>
              <w:rPr>
                <w:rFonts w:hint="eastAsia" w:ascii="宋体" w:hAnsi="宋体"/>
                <w:color w:val="auto"/>
              </w:rPr>
            </w:pPr>
            <w:r>
              <w:rPr>
                <w:rFonts w:hint="eastAsia" w:ascii="宋体" w:hAnsi="宋体"/>
                <w:color w:val="auto"/>
              </w:rPr>
              <w:t>≤1</w:t>
            </w:r>
            <w:r>
              <w:rPr>
                <w:rFonts w:hint="eastAsia" w:ascii="宋体" w:hAnsi="宋体"/>
                <w:color w:val="auto"/>
                <w:lang w:val="en-US" w:eastAsia="zh-CN"/>
              </w:rPr>
              <w:t>1</w:t>
            </w:r>
            <w:r>
              <w:rPr>
                <w:rFonts w:hint="eastAsia" w:ascii="宋体" w:hAnsi="宋体"/>
                <w:color w:val="auto"/>
              </w:rPr>
              <w:t>0</w:t>
            </w:r>
          </w:p>
        </w:tc>
        <w:tc>
          <w:tcPr>
            <w:tcW w:w="2594" w:type="dxa"/>
            <w:vAlign w:val="center"/>
          </w:tcPr>
          <w:p>
            <w:pPr>
              <w:jc w:val="center"/>
              <w:rPr>
                <w:rFonts w:hint="eastAsia" w:ascii="宋体" w:hAnsi="宋体"/>
                <w:color w:val="auto"/>
              </w:rPr>
            </w:pPr>
            <w:r>
              <w:rPr>
                <w:rFonts w:hint="eastAsia" w:ascii="宋体" w:hAnsi="宋体"/>
                <w:color w:val="auto"/>
              </w:rPr>
              <w:t>≤1</w:t>
            </w:r>
            <w:r>
              <w:rPr>
                <w:rFonts w:hint="eastAsia" w:ascii="宋体" w:hAnsi="宋体"/>
                <w:color w:val="auto"/>
                <w:lang w:val="en-US" w:eastAsia="zh-CN"/>
              </w:rPr>
              <w:t>0</w:t>
            </w:r>
            <w:r>
              <w:rPr>
                <w:rFonts w:hint="eastAsia" w:ascii="宋体" w:hAnsi="宋体"/>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2436" w:type="dxa"/>
            <w:vAlign w:val="center"/>
          </w:tcPr>
          <w:p>
            <w:pPr>
              <w:jc w:val="center"/>
              <w:rPr>
                <w:rFonts w:hint="eastAsia" w:ascii="宋体" w:hAnsi="宋体"/>
                <w:color w:val="auto"/>
              </w:rPr>
            </w:pPr>
            <w:r>
              <w:rPr>
                <w:rFonts w:hint="eastAsia" w:ascii="宋体" w:hAnsi="宋体"/>
                <w:color w:val="auto"/>
              </w:rPr>
              <w:t>铅冶炼工艺</w:t>
            </w:r>
          </w:p>
        </w:tc>
        <w:tc>
          <w:tcPr>
            <w:tcW w:w="2594" w:type="dxa"/>
            <w:vAlign w:val="center"/>
          </w:tcPr>
          <w:p>
            <w:pPr>
              <w:jc w:val="center"/>
              <w:rPr>
                <w:rFonts w:hint="eastAsia" w:ascii="宋体" w:hAnsi="宋体"/>
                <w:color w:val="auto"/>
              </w:rPr>
            </w:pPr>
            <w:r>
              <w:rPr>
                <w:rFonts w:hint="eastAsia" w:ascii="宋体" w:hAnsi="宋体"/>
                <w:color w:val="auto"/>
              </w:rPr>
              <w:t>≤3</w:t>
            </w:r>
            <w:r>
              <w:rPr>
                <w:rFonts w:hint="eastAsia" w:ascii="宋体" w:hAnsi="宋体"/>
                <w:color w:val="auto"/>
                <w:lang w:val="en-US" w:eastAsia="zh-CN"/>
              </w:rPr>
              <w:t>7</w:t>
            </w:r>
            <w:r>
              <w:rPr>
                <w:rFonts w:hint="eastAsia" w:ascii="宋体" w:hAnsi="宋体"/>
                <w:color w:val="auto"/>
              </w:rPr>
              <w:t>0</w:t>
            </w:r>
          </w:p>
        </w:tc>
        <w:tc>
          <w:tcPr>
            <w:tcW w:w="2594" w:type="dxa"/>
            <w:vAlign w:val="center"/>
          </w:tcPr>
          <w:p>
            <w:pPr>
              <w:jc w:val="center"/>
              <w:rPr>
                <w:rFonts w:hint="eastAsia" w:ascii="宋体" w:hAnsi="宋体"/>
                <w:color w:val="auto"/>
              </w:rPr>
            </w:pPr>
            <w:r>
              <w:rPr>
                <w:rFonts w:hint="eastAsia" w:ascii="宋体" w:hAnsi="宋体"/>
                <w:color w:val="auto"/>
              </w:rPr>
              <w:t>≤3</w:t>
            </w:r>
            <w:r>
              <w:rPr>
                <w:rFonts w:hint="eastAsia" w:ascii="宋体" w:hAnsi="宋体"/>
                <w:color w:val="auto"/>
                <w:lang w:val="en-US" w:eastAsia="zh-CN"/>
              </w:rPr>
              <w:t>5</w:t>
            </w:r>
            <w:r>
              <w:rPr>
                <w:rFonts w:hint="eastAsia" w:ascii="宋体" w:hAnsi="宋体"/>
                <w:color w:val="auto"/>
              </w:rPr>
              <w:t>0</w:t>
            </w:r>
          </w:p>
        </w:tc>
      </w:tr>
    </w:tbl>
    <w:p>
      <w:pPr>
        <w:pStyle w:val="8"/>
        <w:ind w:firstLine="0" w:firstLineChars="0"/>
        <w:jc w:val="center"/>
        <w:rPr>
          <w:rFonts w:hint="eastAsia"/>
          <w:b/>
          <w:bCs/>
          <w:color w:val="auto"/>
          <w:sz w:val="18"/>
        </w:rPr>
      </w:pPr>
    </w:p>
    <w:p>
      <w:pPr>
        <w:pStyle w:val="8"/>
        <w:ind w:firstLine="0" w:firstLineChars="0"/>
        <w:jc w:val="center"/>
        <w:rPr>
          <w:rFonts w:hint="eastAsia"/>
          <w:b/>
          <w:bCs/>
          <w:color w:val="auto"/>
          <w:sz w:val="18"/>
        </w:rPr>
      </w:pPr>
    </w:p>
    <w:p>
      <w:pPr>
        <w:pStyle w:val="8"/>
        <w:ind w:firstLine="0" w:firstLineChars="0"/>
        <w:jc w:val="center"/>
        <w:rPr>
          <w:rFonts w:hint="eastAsia"/>
          <w:b/>
          <w:bCs/>
          <w:color w:val="auto"/>
          <w:sz w:val="18"/>
        </w:rPr>
      </w:pPr>
    </w:p>
    <w:p>
      <w:pPr>
        <w:pStyle w:val="8"/>
        <w:ind w:firstLine="0" w:firstLineChars="0"/>
        <w:jc w:val="center"/>
        <w:rPr>
          <w:rFonts w:hint="eastAsia"/>
          <w:b/>
          <w:bCs/>
          <w:color w:val="auto"/>
          <w:sz w:val="18"/>
        </w:rPr>
      </w:pPr>
    </w:p>
    <w:p>
      <w:pPr>
        <w:pStyle w:val="8"/>
        <w:ind w:firstLine="0" w:firstLineChars="0"/>
        <w:jc w:val="center"/>
        <w:rPr>
          <w:rFonts w:hint="eastAsia"/>
          <w:b/>
          <w:bCs/>
          <w:color w:val="auto"/>
          <w:sz w:val="21"/>
          <w:szCs w:val="21"/>
        </w:rPr>
      </w:pPr>
      <w:r>
        <w:rPr>
          <w:rFonts w:hint="eastAsia"/>
          <w:b/>
          <w:bCs/>
          <w:color w:val="auto"/>
          <w:sz w:val="21"/>
          <w:szCs w:val="21"/>
        </w:rPr>
        <w:t>表3 铅冶炼企业单位产品综合能耗先进值</w:t>
      </w:r>
    </w:p>
    <w:tbl>
      <w:tblPr>
        <w:tblStyle w:val="15"/>
        <w:tblW w:w="7673" w:type="dxa"/>
        <w:jc w:val="center"/>
        <w:tblInd w:w="8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5"/>
        <w:gridCol w:w="2594"/>
        <w:gridCol w:w="2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2485" w:type="dxa"/>
            <w:vMerge w:val="restart"/>
            <w:vAlign w:val="center"/>
          </w:tcPr>
          <w:p>
            <w:pPr>
              <w:jc w:val="center"/>
              <w:rPr>
                <w:rFonts w:hint="eastAsia" w:ascii="宋体" w:hAnsi="宋体"/>
                <w:color w:val="auto"/>
              </w:rPr>
            </w:pPr>
            <w:r>
              <w:rPr>
                <w:rFonts w:hint="eastAsia" w:ascii="宋体" w:hAnsi="宋体"/>
                <w:color w:val="auto"/>
              </w:rPr>
              <w:t>工序、工艺</w:t>
            </w:r>
          </w:p>
        </w:tc>
        <w:tc>
          <w:tcPr>
            <w:tcW w:w="2594" w:type="dxa"/>
            <w:vAlign w:val="center"/>
          </w:tcPr>
          <w:p>
            <w:pPr>
              <w:pStyle w:val="33"/>
              <w:widowControl w:val="0"/>
              <w:spacing w:before="0" w:line="240" w:lineRule="auto"/>
              <w:jc w:val="center"/>
              <w:rPr>
                <w:rFonts w:hint="eastAsia" w:hAnsi="宋体"/>
                <w:color w:val="auto"/>
              </w:rPr>
            </w:pPr>
            <w:r>
              <w:rPr>
                <w:rFonts w:hint="eastAsia" w:ascii="Times New Roman" w:hAnsi="宋体"/>
                <w:color w:val="auto"/>
                <w:kern w:val="2"/>
                <w:szCs w:val="24"/>
                <w:lang w:eastAsia="zh-CN"/>
              </w:rPr>
              <w:t>原标准规定</w:t>
            </w:r>
          </w:p>
        </w:tc>
        <w:tc>
          <w:tcPr>
            <w:tcW w:w="2594" w:type="dxa"/>
            <w:vAlign w:val="center"/>
          </w:tcPr>
          <w:p>
            <w:pPr>
              <w:pStyle w:val="33"/>
              <w:widowControl w:val="0"/>
              <w:spacing w:before="0" w:line="240" w:lineRule="auto"/>
              <w:rPr>
                <w:rFonts w:ascii="Times New Roman" w:hAnsi="宋体"/>
                <w:color w:val="auto"/>
                <w:kern w:val="2"/>
                <w:szCs w:val="24"/>
              </w:rPr>
            </w:pPr>
            <w:r>
              <w:rPr>
                <w:rFonts w:hint="eastAsia" w:ascii="Times New Roman" w:hAnsi="宋体"/>
                <w:color w:val="auto"/>
                <w:kern w:val="2"/>
                <w:szCs w:val="24"/>
                <w:lang w:eastAsia="zh-CN"/>
              </w:rPr>
              <w:t>本次计划修订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2485" w:type="dxa"/>
            <w:vMerge w:val="continue"/>
            <w:tcBorders/>
            <w:vAlign w:val="center"/>
          </w:tcPr>
          <w:p>
            <w:pPr>
              <w:jc w:val="center"/>
              <w:rPr>
                <w:rFonts w:hint="eastAsia" w:ascii="宋体" w:hAnsi="宋体"/>
                <w:color w:val="auto"/>
              </w:rPr>
            </w:pPr>
          </w:p>
        </w:tc>
        <w:tc>
          <w:tcPr>
            <w:tcW w:w="2594" w:type="dxa"/>
            <w:vAlign w:val="center"/>
          </w:tcPr>
          <w:p>
            <w:pPr>
              <w:pStyle w:val="33"/>
              <w:widowControl w:val="0"/>
              <w:spacing w:before="0" w:line="240" w:lineRule="auto"/>
              <w:rPr>
                <w:rFonts w:hint="eastAsia" w:hAnsi="宋体"/>
                <w:color w:val="auto"/>
              </w:rPr>
            </w:pPr>
            <w:r>
              <w:rPr>
                <w:rFonts w:hint="eastAsia" w:hAnsi="宋体"/>
                <w:color w:val="auto"/>
              </w:rPr>
              <w:t>综合能耗先进值/(kgce/t)</w:t>
            </w:r>
          </w:p>
        </w:tc>
        <w:tc>
          <w:tcPr>
            <w:tcW w:w="2594" w:type="dxa"/>
            <w:vAlign w:val="center"/>
          </w:tcPr>
          <w:p>
            <w:pPr>
              <w:pStyle w:val="33"/>
              <w:widowControl w:val="0"/>
              <w:spacing w:before="0" w:line="240" w:lineRule="auto"/>
              <w:rPr>
                <w:rFonts w:hint="eastAsia" w:hAnsi="宋体"/>
                <w:color w:val="auto"/>
              </w:rPr>
            </w:pPr>
            <w:r>
              <w:rPr>
                <w:rFonts w:hint="eastAsia" w:hAnsi="宋体"/>
                <w:color w:val="auto"/>
              </w:rPr>
              <w:t>综合能耗先进值/(kgce/t)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2485" w:type="dxa"/>
            <w:vAlign w:val="center"/>
          </w:tcPr>
          <w:p>
            <w:pPr>
              <w:jc w:val="center"/>
              <w:rPr>
                <w:rFonts w:hint="eastAsia" w:ascii="宋体" w:hAnsi="宋体"/>
                <w:color w:val="auto"/>
              </w:rPr>
            </w:pPr>
            <w:r>
              <w:rPr>
                <w:rFonts w:hint="eastAsia" w:ascii="宋体" w:hAnsi="宋体"/>
                <w:color w:val="auto"/>
              </w:rPr>
              <w:t>粗铅工艺</w:t>
            </w:r>
          </w:p>
        </w:tc>
        <w:tc>
          <w:tcPr>
            <w:tcW w:w="2594" w:type="dxa"/>
            <w:vAlign w:val="center"/>
          </w:tcPr>
          <w:p>
            <w:pPr>
              <w:jc w:val="center"/>
              <w:rPr>
                <w:rFonts w:hint="eastAsia" w:ascii="宋体" w:hAnsi="宋体"/>
                <w:color w:val="auto"/>
              </w:rPr>
            </w:pPr>
            <w:r>
              <w:rPr>
                <w:rFonts w:hint="eastAsia" w:ascii="宋体" w:hAnsi="宋体"/>
                <w:color w:val="auto"/>
              </w:rPr>
              <w:t>≤2</w:t>
            </w:r>
            <w:r>
              <w:rPr>
                <w:rFonts w:hint="eastAsia" w:ascii="宋体" w:hAnsi="宋体"/>
                <w:color w:val="auto"/>
                <w:lang w:val="en-US" w:eastAsia="zh-CN"/>
              </w:rPr>
              <w:t>5</w:t>
            </w:r>
            <w:r>
              <w:rPr>
                <w:rFonts w:hint="eastAsia" w:ascii="宋体" w:hAnsi="宋体"/>
                <w:color w:val="auto"/>
              </w:rPr>
              <w:t>0</w:t>
            </w:r>
          </w:p>
        </w:tc>
        <w:tc>
          <w:tcPr>
            <w:tcW w:w="2594" w:type="dxa"/>
            <w:vAlign w:val="center"/>
          </w:tcPr>
          <w:p>
            <w:pPr>
              <w:jc w:val="center"/>
              <w:rPr>
                <w:rFonts w:hint="eastAsia" w:ascii="宋体" w:hAnsi="宋体"/>
                <w:color w:val="auto"/>
              </w:rPr>
            </w:pPr>
            <w:r>
              <w:rPr>
                <w:rFonts w:hint="eastAsia" w:ascii="宋体" w:hAnsi="宋体"/>
                <w:color w:val="auto"/>
              </w:rPr>
              <w:t>≤2</w:t>
            </w:r>
            <w:r>
              <w:rPr>
                <w:rFonts w:hint="eastAsia" w:ascii="宋体" w:hAnsi="宋体"/>
                <w:color w:val="auto"/>
                <w:lang w:val="en-US" w:eastAsia="zh-CN"/>
              </w:rPr>
              <w:t>4</w:t>
            </w:r>
            <w:r>
              <w:rPr>
                <w:rFonts w:hint="eastAsia" w:ascii="宋体" w:hAnsi="宋体"/>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2485" w:type="dxa"/>
            <w:vAlign w:val="center"/>
          </w:tcPr>
          <w:p>
            <w:pPr>
              <w:jc w:val="center"/>
              <w:rPr>
                <w:rFonts w:hint="eastAsia" w:ascii="宋体" w:hAnsi="宋体"/>
                <w:color w:val="auto"/>
              </w:rPr>
            </w:pPr>
            <w:r>
              <w:rPr>
                <w:rFonts w:hint="eastAsia" w:ascii="宋体" w:hAnsi="宋体"/>
                <w:color w:val="auto"/>
              </w:rPr>
              <w:t>铅电解精炼工序</w:t>
            </w:r>
          </w:p>
        </w:tc>
        <w:tc>
          <w:tcPr>
            <w:tcW w:w="2594" w:type="dxa"/>
            <w:vAlign w:val="center"/>
          </w:tcPr>
          <w:p>
            <w:pPr>
              <w:jc w:val="center"/>
              <w:rPr>
                <w:rFonts w:hint="eastAsia" w:ascii="宋体" w:hAnsi="宋体"/>
                <w:color w:val="auto"/>
              </w:rPr>
            </w:pPr>
            <w:r>
              <w:rPr>
                <w:rFonts w:hint="eastAsia" w:ascii="宋体" w:hAnsi="宋体"/>
                <w:color w:val="auto"/>
              </w:rPr>
              <w:t>≤</w:t>
            </w:r>
            <w:r>
              <w:rPr>
                <w:rFonts w:hint="eastAsia" w:ascii="宋体" w:hAnsi="宋体"/>
                <w:color w:val="auto"/>
                <w:lang w:val="en-US" w:eastAsia="zh-CN"/>
              </w:rPr>
              <w:t>105</w:t>
            </w:r>
          </w:p>
        </w:tc>
        <w:tc>
          <w:tcPr>
            <w:tcW w:w="2594" w:type="dxa"/>
            <w:vAlign w:val="center"/>
          </w:tcPr>
          <w:p>
            <w:pPr>
              <w:jc w:val="center"/>
              <w:rPr>
                <w:rFonts w:hint="eastAsia" w:ascii="宋体" w:hAnsi="宋体"/>
                <w:color w:val="auto"/>
              </w:rPr>
            </w:pPr>
            <w:r>
              <w:rPr>
                <w:rFonts w:hint="eastAsia" w:ascii="宋体" w:hAnsi="宋体"/>
                <w:color w:val="auto"/>
              </w:rPr>
              <w:t>≤</w:t>
            </w:r>
            <w:r>
              <w:rPr>
                <w:rFonts w:hint="eastAsia" w:ascii="宋体" w:hAnsi="宋体"/>
                <w:color w:val="auto"/>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2485" w:type="dxa"/>
            <w:vAlign w:val="center"/>
          </w:tcPr>
          <w:p>
            <w:pPr>
              <w:jc w:val="center"/>
              <w:rPr>
                <w:rFonts w:hint="eastAsia" w:ascii="宋体" w:hAnsi="宋体"/>
                <w:color w:val="auto"/>
              </w:rPr>
            </w:pPr>
            <w:r>
              <w:rPr>
                <w:rFonts w:hint="eastAsia" w:ascii="宋体" w:hAnsi="宋体"/>
                <w:color w:val="auto"/>
              </w:rPr>
              <w:t>铅冶炼工艺</w:t>
            </w:r>
          </w:p>
        </w:tc>
        <w:tc>
          <w:tcPr>
            <w:tcW w:w="2594" w:type="dxa"/>
            <w:vAlign w:val="center"/>
          </w:tcPr>
          <w:p>
            <w:pPr>
              <w:jc w:val="center"/>
              <w:rPr>
                <w:rFonts w:hint="eastAsia" w:ascii="宋体" w:hAnsi="宋体"/>
                <w:color w:val="auto"/>
              </w:rPr>
            </w:pPr>
            <w:r>
              <w:rPr>
                <w:rFonts w:hint="eastAsia" w:ascii="宋体" w:hAnsi="宋体"/>
                <w:color w:val="auto"/>
              </w:rPr>
              <w:t>≤3</w:t>
            </w:r>
            <w:r>
              <w:rPr>
                <w:rFonts w:hint="eastAsia" w:ascii="宋体" w:hAnsi="宋体"/>
                <w:color w:val="auto"/>
                <w:lang w:val="en-US" w:eastAsia="zh-CN"/>
              </w:rPr>
              <w:t>55</w:t>
            </w:r>
          </w:p>
        </w:tc>
        <w:tc>
          <w:tcPr>
            <w:tcW w:w="2594" w:type="dxa"/>
            <w:vAlign w:val="center"/>
          </w:tcPr>
          <w:p>
            <w:pPr>
              <w:jc w:val="center"/>
              <w:rPr>
                <w:rFonts w:hint="eastAsia" w:ascii="宋体" w:hAnsi="宋体"/>
                <w:color w:val="auto"/>
              </w:rPr>
            </w:pPr>
            <w:r>
              <w:rPr>
                <w:rFonts w:hint="eastAsia" w:ascii="宋体" w:hAnsi="宋体"/>
                <w:color w:val="auto"/>
              </w:rPr>
              <w:t>≤3</w:t>
            </w:r>
            <w:r>
              <w:rPr>
                <w:rFonts w:hint="eastAsia" w:ascii="宋体" w:hAnsi="宋体"/>
                <w:color w:val="auto"/>
                <w:lang w:val="en-US" w:eastAsia="zh-CN"/>
              </w:rPr>
              <w:t>20</w:t>
            </w:r>
          </w:p>
        </w:tc>
      </w:tr>
    </w:tbl>
    <w:p>
      <w:pPr>
        <w:rPr>
          <w:rFonts w:hint="eastAsia" w:ascii="宋体" w:hAnsi="宋体"/>
          <w:color w:val="auto"/>
        </w:rPr>
      </w:pPr>
    </w:p>
    <w:p>
      <w:pPr>
        <w:ind w:firstLine="560" w:firstLineChars="20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4.</w:t>
      </w:r>
      <w:r>
        <w:rPr>
          <w:rFonts w:hint="eastAsia" w:asciiTheme="minorEastAsia" w:hAnsiTheme="minorEastAsia" w:eastAsiaTheme="minorEastAsia"/>
          <w:color w:val="auto"/>
          <w:sz w:val="28"/>
          <w:szCs w:val="28"/>
          <w:lang w:val="en-US" w:eastAsia="zh-CN"/>
        </w:rPr>
        <w:t>3</w:t>
      </w:r>
      <w:r>
        <w:rPr>
          <w:rFonts w:hint="eastAsia" w:asciiTheme="minorEastAsia" w:hAnsiTheme="minorEastAsia" w:eastAsiaTheme="minorEastAsia"/>
          <w:color w:val="auto"/>
          <w:sz w:val="28"/>
          <w:szCs w:val="28"/>
        </w:rPr>
        <w:t>能耗计算范围及计算方法</w:t>
      </w:r>
    </w:p>
    <w:p>
      <w:pPr>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粗铅工艺产品能耗计算范围，应包括备料、熔炼、收尘、通风、尾气治理、配套氧气站等整个与粗铅生产有关的过程所消耗的各种能源量，不包括综合回收硫酸以及烟化回收氧化锌的有关能源消耗量。</w:t>
      </w:r>
    </w:p>
    <w:p>
      <w:pPr>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铅电解精炼工序产品能耗计算范围，应包括熔铅脱铜、阴阳极制造、电解、阳极泥过滤、浮渣处理、铸锭、供风、排烟收尘等所消耗的各种能源量。</w:t>
      </w:r>
    </w:p>
    <w:p>
      <w:pPr>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lang w:eastAsia="zh-CN"/>
        </w:rPr>
        <w:t>以粗铅工艺产品能耗计算，一定时期内，生产粗铅过程</w:t>
      </w:r>
      <w:r>
        <w:rPr>
          <w:rFonts w:hint="eastAsia" w:asciiTheme="minorEastAsia" w:hAnsiTheme="minorEastAsia" w:eastAsiaTheme="minorEastAsia"/>
          <w:sz w:val="28"/>
          <w:szCs w:val="28"/>
        </w:rPr>
        <w:t>所消耗的各种</w:t>
      </w:r>
      <w:r>
        <w:rPr>
          <w:rFonts w:hint="eastAsia" w:asciiTheme="minorEastAsia" w:hAnsiTheme="minorEastAsia" w:eastAsiaTheme="minorEastAsia"/>
          <w:sz w:val="28"/>
          <w:szCs w:val="28"/>
          <w:lang w:eastAsia="zh-CN"/>
        </w:rPr>
        <w:t>能源消费，折合标准煤以后，除以</w:t>
      </w:r>
      <w:r>
        <w:rPr>
          <w:rFonts w:hint="eastAsia" w:asciiTheme="minorEastAsia" w:hAnsiTheme="minorEastAsia" w:eastAsiaTheme="minorEastAsia"/>
          <w:sz w:val="28"/>
          <w:szCs w:val="28"/>
        </w:rPr>
        <w:t>同一计划统计期内产出的合格粗铅产量</w:t>
      </w:r>
      <w:r>
        <w:rPr>
          <w:rFonts w:hint="eastAsia" w:asciiTheme="minorEastAsia" w:hAnsiTheme="minorEastAsia" w:eastAsiaTheme="minorEastAsia"/>
          <w:sz w:val="28"/>
          <w:szCs w:val="28"/>
          <w:lang w:eastAsia="zh-CN"/>
        </w:rPr>
        <w:t>，即得出粗铅工艺综合能耗。</w:t>
      </w:r>
    </w:p>
    <w:p>
      <w:pPr>
        <w:ind w:firstLine="562" w:firstLineChars="200"/>
        <w:rPr>
          <w:rFonts w:hint="eastAsia" w:asciiTheme="minorEastAsia" w:hAnsiTheme="minorEastAsia" w:eastAsiaTheme="minorEastAsia"/>
          <w:b/>
          <w:sz w:val="28"/>
          <w:szCs w:val="28"/>
        </w:rPr>
      </w:pPr>
      <w:r>
        <w:rPr>
          <w:rFonts w:hint="eastAsia" w:asciiTheme="minorEastAsia" w:hAnsiTheme="minorEastAsia" w:eastAsiaTheme="minorEastAsia"/>
          <w:b/>
          <w:sz w:val="28"/>
          <w:szCs w:val="28"/>
        </w:rPr>
        <w:t>五</w:t>
      </w:r>
      <w:r>
        <w:rPr>
          <w:rFonts w:hint="eastAsia" w:asciiTheme="minorEastAsia" w:hAnsiTheme="minorEastAsia" w:eastAsiaTheme="minorEastAsia"/>
          <w:b/>
          <w:sz w:val="28"/>
          <w:szCs w:val="28"/>
          <w:lang w:eastAsia="zh-CN"/>
        </w:rPr>
        <w:t>、</w:t>
      </w:r>
      <w:r>
        <w:rPr>
          <w:rFonts w:hint="eastAsia" w:asciiTheme="minorEastAsia" w:hAnsiTheme="minorEastAsia" w:eastAsiaTheme="minorEastAsia"/>
          <w:b/>
          <w:sz w:val="28"/>
          <w:szCs w:val="28"/>
        </w:rPr>
        <w:t>实施本标准的意义</w:t>
      </w:r>
    </w:p>
    <w:p>
      <w:pPr>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政策支撑。本标准中的技术指标，可以支撑哪些节能政策，需要细化。</w:t>
      </w:r>
    </w:p>
    <w:p>
      <w:pPr>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本标准的修订，可以支撑</w:t>
      </w:r>
      <w:r>
        <w:rPr>
          <w:rFonts w:hint="eastAsia" w:asciiTheme="minorEastAsia" w:hAnsiTheme="minorEastAsia" w:eastAsiaTheme="minorEastAsia"/>
          <w:sz w:val="28"/>
          <w:szCs w:val="28"/>
          <w:lang w:val="en-US" w:eastAsia="zh-CN"/>
        </w:rPr>
        <w:t>2020年2月28日国家工业和信息化部发布的《铅锌行业规范条件》，并对部分准入数据进行了完善。</w:t>
      </w:r>
    </w:p>
    <w:p>
      <w:pPr>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 xml:space="preserve">本标准在修订过程中，征集了同行业的意见，同时考虑行业实际情况及国家相关政策，该标准客观反应了目前铅冶炼企业的能耗水平，具有适用性、可操作性，同时有利于指导企业节能减排，有利于规范行业投资行为，促进行业转型升级和持续健康发展。 </w:t>
      </w:r>
    </w:p>
    <w:p>
      <w:pPr>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本标准为国家强制性标准。</w:t>
      </w:r>
    </w:p>
    <w:p>
      <w:pPr>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 xml:space="preserve">本标准达到国际一般水平。  </w:t>
      </w:r>
    </w:p>
    <w:p>
      <w:pPr>
        <w:ind w:firstLine="562" w:firstLineChars="200"/>
        <w:rPr>
          <w:rFonts w:hint="eastAsia" w:asciiTheme="minorEastAsia" w:hAnsiTheme="minorEastAsia" w:eastAsiaTheme="minorEastAsia"/>
          <w:b/>
          <w:sz w:val="28"/>
          <w:szCs w:val="28"/>
        </w:rPr>
      </w:pPr>
      <w:r>
        <w:rPr>
          <w:rFonts w:hint="eastAsia" w:asciiTheme="minorEastAsia" w:hAnsiTheme="minorEastAsia" w:eastAsiaTheme="minorEastAsia"/>
          <w:b/>
          <w:sz w:val="28"/>
          <w:szCs w:val="28"/>
        </w:rPr>
        <w:t>六、标准实施的建议</w:t>
      </w:r>
    </w:p>
    <w:p>
      <w:pPr>
        <w:ind w:firstLine="560" w:firstLineChars="200"/>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eastAsia="zh-CN"/>
        </w:rPr>
        <w:t>标准实施时间可以考虑</w:t>
      </w:r>
      <w:r>
        <w:rPr>
          <w:rFonts w:hint="eastAsia" w:asciiTheme="minorEastAsia" w:hAnsiTheme="minorEastAsia" w:eastAsiaTheme="minorEastAsia"/>
          <w:sz w:val="28"/>
          <w:szCs w:val="28"/>
          <w:lang w:val="en-US" w:eastAsia="zh-CN"/>
        </w:rPr>
        <w:t>2021年7月1日之后实施，考虑部分现有企业节能水平，对现有企业的限定值可以适当考虑过渡期一年。</w:t>
      </w:r>
    </w:p>
    <w:p>
      <w:pPr>
        <w:ind w:firstLine="560" w:firstLineChars="200"/>
        <w:rPr>
          <w:rFonts w:hint="eastAsia" w:asciiTheme="minorEastAsia" w:hAnsiTheme="minorEastAsia" w:eastAsiaTheme="minorEastAsia"/>
          <w:sz w:val="28"/>
          <w:szCs w:val="28"/>
          <w:lang w:val="en-US" w:eastAsia="zh-CN"/>
        </w:rPr>
      </w:pPr>
    </w:p>
    <w:p>
      <w:pPr>
        <w:ind w:firstLine="560" w:firstLineChars="200"/>
        <w:rPr>
          <w:rFonts w:hint="eastAsia" w:asciiTheme="minorEastAsia" w:hAnsiTheme="minorEastAsia" w:eastAsiaTheme="minorEastAsia"/>
          <w:sz w:val="28"/>
          <w:szCs w:val="28"/>
          <w:lang w:val="en-US" w:eastAsia="zh-CN"/>
        </w:rPr>
      </w:pPr>
    </w:p>
    <w:p>
      <w:pPr>
        <w:ind w:firstLine="5320" w:firstLineChars="1900"/>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2021年4月12日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Batang">
    <w:panose1 w:val="02030600000101010101"/>
    <w:charset w:val="81"/>
    <w:family w:val="roman"/>
    <w:pitch w:val="default"/>
    <w:sig w:usb0="B00002AF" w:usb1="69D77CFB" w:usb2="00000030" w:usb3="00000000" w:csb0="4008009F" w:csb1="DFD70000"/>
  </w:font>
  <w:font w:name="Swis721 Blk BT">
    <w:panose1 w:val="020B0904030502020204"/>
    <w:charset w:val="00"/>
    <w:family w:val="swiss"/>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33A5F"/>
    <w:multiLevelType w:val="multilevel"/>
    <w:tmpl w:val="4B733A5F"/>
    <w:lvl w:ilvl="0" w:tentative="0">
      <w:start w:val="1"/>
      <w:numFmt w:val="decimal"/>
      <w:pStyle w:val="2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
    <w:nsid w:val="6D6C07CD"/>
    <w:multiLevelType w:val="multilevel"/>
    <w:tmpl w:val="6D6C07CD"/>
    <w:lvl w:ilvl="0" w:tentative="0">
      <w:start w:val="1"/>
      <w:numFmt w:val="lowerLetter"/>
      <w:pStyle w:val="26"/>
      <w:lvlText w:val="%1)"/>
      <w:lvlJc w:val="left"/>
      <w:pPr>
        <w:tabs>
          <w:tab w:val="left" w:pos="839"/>
        </w:tabs>
        <w:ind w:left="839" w:hanging="419"/>
      </w:pPr>
      <w:rPr>
        <w:rFonts w:hint="eastAsia" w:ascii="宋体" w:eastAsia="宋体"/>
        <w:b w:val="0"/>
        <w:i w:val="0"/>
        <w:sz w:val="21"/>
      </w:rPr>
    </w:lvl>
    <w:lvl w:ilvl="1" w:tentative="0">
      <w:start w:val="1"/>
      <w:numFmt w:val="decimal"/>
      <w:pStyle w:val="25"/>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
    <w:nsid w:val="73C46B0D"/>
    <w:multiLevelType w:val="multilevel"/>
    <w:tmpl w:val="73C46B0D"/>
    <w:lvl w:ilvl="0" w:tentative="0">
      <w:start w:val="3"/>
      <w:numFmt w:val="decimal"/>
      <w:lvlText w:val="%1"/>
      <w:lvlJc w:val="left"/>
      <w:pPr>
        <w:tabs>
          <w:tab w:val="left" w:pos="0"/>
        </w:tabs>
        <w:ind w:left="0" w:hanging="425"/>
      </w:pPr>
      <w:rPr>
        <w:rFonts w:hint="eastAsia"/>
      </w:rPr>
    </w:lvl>
    <w:lvl w:ilvl="1" w:tentative="0">
      <w:start w:val="1"/>
      <w:numFmt w:val="decimal"/>
      <w:pStyle w:val="3"/>
      <w:lvlText w:val="%1.%2"/>
      <w:lvlJc w:val="left"/>
      <w:pPr>
        <w:tabs>
          <w:tab w:val="left" w:pos="0"/>
        </w:tabs>
        <w:ind w:left="0" w:firstLine="0"/>
      </w:pPr>
      <w:rPr>
        <w:rFonts w:hint="eastAsia"/>
      </w:rPr>
    </w:lvl>
    <w:lvl w:ilvl="2" w:tentative="0">
      <w:start w:val="1"/>
      <w:numFmt w:val="decimal"/>
      <w:lvlText w:val="%1.%2.%3"/>
      <w:lvlJc w:val="left"/>
      <w:pPr>
        <w:tabs>
          <w:tab w:val="left" w:pos="0"/>
        </w:tabs>
        <w:ind w:left="0" w:hanging="567"/>
      </w:pPr>
      <w:rPr>
        <w:rFonts w:hint="eastAsia"/>
      </w:rPr>
    </w:lvl>
    <w:lvl w:ilvl="3" w:tentative="0">
      <w:start w:val="1"/>
      <w:numFmt w:val="decimal"/>
      <w:lvlText w:val="%1.%2.%3.%4"/>
      <w:lvlJc w:val="left"/>
      <w:pPr>
        <w:tabs>
          <w:tab w:val="left" w:pos="0"/>
        </w:tabs>
        <w:ind w:left="0" w:hanging="708"/>
      </w:pPr>
      <w:rPr>
        <w:rFonts w:hint="eastAsia"/>
      </w:rPr>
    </w:lvl>
    <w:lvl w:ilvl="4" w:tentative="0">
      <w:start w:val="1"/>
      <w:numFmt w:val="decimal"/>
      <w:lvlText w:val="%1.%2.%3.%4.%5"/>
      <w:lvlJc w:val="left"/>
      <w:pPr>
        <w:tabs>
          <w:tab w:val="left" w:pos="0"/>
        </w:tabs>
        <w:ind w:left="241" w:hanging="850"/>
      </w:pPr>
      <w:rPr>
        <w:rFonts w:hint="eastAsia"/>
      </w:rPr>
    </w:lvl>
    <w:lvl w:ilvl="5" w:tentative="0">
      <w:start w:val="1"/>
      <w:numFmt w:val="decimal"/>
      <w:lvlText w:val="%1.%2.%3.%4.%5.%6"/>
      <w:lvlJc w:val="left"/>
      <w:pPr>
        <w:tabs>
          <w:tab w:val="left" w:pos="0"/>
        </w:tabs>
        <w:ind w:left="3260" w:hanging="1134"/>
      </w:pPr>
      <w:rPr>
        <w:rFonts w:hint="eastAsia"/>
      </w:rPr>
    </w:lvl>
    <w:lvl w:ilvl="6" w:tentative="0">
      <w:start w:val="1"/>
      <w:numFmt w:val="decimal"/>
      <w:lvlText w:val="%1.%2.%3.%4.%5.%6.%7"/>
      <w:lvlJc w:val="left"/>
      <w:pPr>
        <w:tabs>
          <w:tab w:val="left" w:pos="0"/>
        </w:tabs>
        <w:ind w:left="3827" w:hanging="1276"/>
      </w:pPr>
      <w:rPr>
        <w:rFonts w:hint="eastAsia"/>
      </w:rPr>
    </w:lvl>
    <w:lvl w:ilvl="7" w:tentative="0">
      <w:start w:val="1"/>
      <w:numFmt w:val="decimal"/>
      <w:lvlText w:val="%1.%2.%3.%4.%5.%6.%7.%8"/>
      <w:lvlJc w:val="left"/>
      <w:pPr>
        <w:tabs>
          <w:tab w:val="left" w:pos="0"/>
        </w:tabs>
        <w:ind w:left="4394" w:hanging="1418"/>
      </w:pPr>
      <w:rPr>
        <w:rFonts w:hint="eastAsia"/>
      </w:rPr>
    </w:lvl>
    <w:lvl w:ilvl="8" w:tentative="0">
      <w:start w:val="1"/>
      <w:numFmt w:val="decimal"/>
      <w:lvlText w:val="%1.%2.%3.%4.%5.%6.%7.%8.%9"/>
      <w:lvlJc w:val="left"/>
      <w:pPr>
        <w:tabs>
          <w:tab w:val="left" w:pos="0"/>
        </w:tabs>
        <w:ind w:left="5102" w:hanging="170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931E0"/>
    <w:rsid w:val="000F3FB3"/>
    <w:rsid w:val="001931E0"/>
    <w:rsid w:val="00346A4C"/>
    <w:rsid w:val="00416235"/>
    <w:rsid w:val="005E5EAA"/>
    <w:rsid w:val="04701125"/>
    <w:rsid w:val="05717E57"/>
    <w:rsid w:val="0E2F03C8"/>
    <w:rsid w:val="0FD66F8B"/>
    <w:rsid w:val="107D03E0"/>
    <w:rsid w:val="13F07862"/>
    <w:rsid w:val="16EC1D60"/>
    <w:rsid w:val="1CEB389F"/>
    <w:rsid w:val="21E32CAE"/>
    <w:rsid w:val="21FA3B6B"/>
    <w:rsid w:val="22C8699A"/>
    <w:rsid w:val="23CE3B8C"/>
    <w:rsid w:val="25754E5A"/>
    <w:rsid w:val="26BF5083"/>
    <w:rsid w:val="2B746DF6"/>
    <w:rsid w:val="2E2866F9"/>
    <w:rsid w:val="30361401"/>
    <w:rsid w:val="3B542ACE"/>
    <w:rsid w:val="3E704048"/>
    <w:rsid w:val="43F112AA"/>
    <w:rsid w:val="450137A5"/>
    <w:rsid w:val="45C70968"/>
    <w:rsid w:val="48E6602B"/>
    <w:rsid w:val="524B08A0"/>
    <w:rsid w:val="5261190E"/>
    <w:rsid w:val="52B035A1"/>
    <w:rsid w:val="54416DC0"/>
    <w:rsid w:val="5479132C"/>
    <w:rsid w:val="54E3534F"/>
    <w:rsid w:val="55BC4C59"/>
    <w:rsid w:val="56945855"/>
    <w:rsid w:val="59984942"/>
    <w:rsid w:val="5BFE284D"/>
    <w:rsid w:val="5C662FBA"/>
    <w:rsid w:val="5CDA315F"/>
    <w:rsid w:val="60D04D95"/>
    <w:rsid w:val="62DB16B9"/>
    <w:rsid w:val="66E3210D"/>
    <w:rsid w:val="68C66AFC"/>
    <w:rsid w:val="6B256753"/>
    <w:rsid w:val="6B930175"/>
    <w:rsid w:val="7305282B"/>
    <w:rsid w:val="79D717C2"/>
    <w:rsid w:val="7B8070A3"/>
    <w:rsid w:val="7C191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jc w:val="both"/>
      <w:textAlignment w:val="baseline"/>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0"/>
    <w:pPr>
      <w:keepNext/>
      <w:keepLines/>
      <w:spacing w:before="240" w:after="240"/>
      <w:outlineLvl w:val="0"/>
    </w:pPr>
    <w:rPr>
      <w:b/>
      <w:bCs/>
      <w:kern w:val="44"/>
      <w:szCs w:val="44"/>
    </w:rPr>
  </w:style>
  <w:style w:type="paragraph" w:styleId="3">
    <w:name w:val="heading 2"/>
    <w:basedOn w:val="1"/>
    <w:next w:val="1"/>
    <w:link w:val="17"/>
    <w:qFormat/>
    <w:uiPriority w:val="0"/>
    <w:pPr>
      <w:keepNext/>
      <w:keepLines/>
      <w:numPr>
        <w:ilvl w:val="1"/>
        <w:numId w:val="1"/>
      </w:numPr>
      <w:spacing w:line="415" w:lineRule="auto"/>
      <w:outlineLvl w:val="1"/>
    </w:pPr>
    <w:rPr>
      <w:rFonts w:ascii="黑体" w:hAnsi="Arial" w:eastAsia="黑体"/>
      <w:b/>
      <w:bCs/>
      <w:szCs w:val="32"/>
    </w:rPr>
  </w:style>
  <w:style w:type="paragraph" w:styleId="4">
    <w:name w:val="heading 3"/>
    <w:basedOn w:val="1"/>
    <w:next w:val="1"/>
    <w:link w:val="18"/>
    <w:qFormat/>
    <w:uiPriority w:val="0"/>
    <w:pPr>
      <w:widowControl/>
      <w:spacing w:before="100" w:beforeAutospacing="1" w:after="100" w:afterAutospacing="1"/>
      <w:jc w:val="left"/>
      <w:outlineLvl w:val="2"/>
    </w:pPr>
    <w:rPr>
      <w:rFonts w:ascii="宋体" w:hAnsi="宋体" w:cs="宋体"/>
      <w:b/>
      <w:bCs/>
      <w:kern w:val="0"/>
      <w:sz w:val="27"/>
      <w:szCs w:val="27"/>
    </w:rPr>
  </w:style>
  <w:style w:type="paragraph" w:styleId="5">
    <w:name w:val="heading 4"/>
    <w:basedOn w:val="1"/>
    <w:next w:val="1"/>
    <w:link w:val="19"/>
    <w:qFormat/>
    <w:uiPriority w:val="0"/>
    <w:pPr>
      <w:widowControl/>
      <w:spacing w:before="100" w:beforeAutospacing="1" w:after="100" w:afterAutospacing="1"/>
      <w:jc w:val="left"/>
      <w:outlineLvl w:val="3"/>
    </w:pPr>
    <w:rPr>
      <w:rFonts w:ascii="宋体" w:hAnsi="宋体"/>
      <w:b/>
      <w:bCs/>
      <w:kern w:val="0"/>
      <w:sz w:val="24"/>
    </w:rPr>
  </w:style>
  <w:style w:type="character" w:default="1" w:styleId="12">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6">
    <w:name w:val="Normal Indent"/>
    <w:basedOn w:val="1"/>
    <w:unhideWhenUsed/>
    <w:qFormat/>
    <w:uiPriority w:val="99"/>
    <w:pPr>
      <w:spacing w:line="500" w:lineRule="exact"/>
      <w:ind w:firstLine="420" w:firstLineChars="200"/>
    </w:pPr>
    <w:rPr>
      <w:rFonts w:eastAsia="仿宋_GB2312"/>
      <w:sz w:val="28"/>
      <w:szCs w:val="20"/>
    </w:r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Body Text Indent 2"/>
    <w:basedOn w:val="1"/>
    <w:unhideWhenUsed/>
    <w:qFormat/>
    <w:uiPriority w:val="99"/>
    <w:pPr>
      <w:ind w:firstLine="420" w:firstLineChars="200"/>
    </w:pPr>
    <w:rPr>
      <w:rFonts w:ascii="宋体" w:hAnsi="宋体"/>
    </w:rPr>
  </w:style>
  <w:style w:type="paragraph" w:styleId="9">
    <w:name w:val="footer"/>
    <w:basedOn w:val="1"/>
    <w:unhideWhenUsed/>
    <w:qFormat/>
    <w:uiPriority w:val="99"/>
    <w:pPr>
      <w:tabs>
        <w:tab w:val="center" w:pos="4153"/>
        <w:tab w:val="right" w:pos="8306"/>
      </w:tabs>
      <w:snapToGrid w:val="0"/>
      <w:jc w:val="left"/>
    </w:pPr>
    <w:rPr>
      <w:sz w:val="18"/>
    </w:rPr>
  </w:style>
  <w:style w:type="paragraph" w:styleId="10">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itle"/>
    <w:basedOn w:val="1"/>
    <w:next w:val="2"/>
    <w:link w:val="20"/>
    <w:qFormat/>
    <w:uiPriority w:val="0"/>
    <w:pPr>
      <w:spacing w:before="240" w:after="60"/>
      <w:jc w:val="center"/>
      <w:outlineLvl w:val="0"/>
    </w:pPr>
    <w:rPr>
      <w:rFonts w:ascii="Arial" w:hAnsi="Arial" w:eastAsia="黑体" w:cs="Arial"/>
      <w:b/>
      <w:bCs/>
      <w:szCs w:val="32"/>
    </w:rPr>
  </w:style>
  <w:style w:type="character" w:styleId="13">
    <w:name w:val="Strong"/>
    <w:basedOn w:val="12"/>
    <w:qFormat/>
    <w:uiPriority w:val="0"/>
    <w:rPr>
      <w:b/>
      <w:bCs/>
    </w:rPr>
  </w:style>
  <w:style w:type="character" w:styleId="14">
    <w:name w:val="Emphasis"/>
    <w:basedOn w:val="12"/>
    <w:qFormat/>
    <w:uiPriority w:val="0"/>
    <w:rPr>
      <w:color w:val="CC0000"/>
    </w:rPr>
  </w:style>
  <w:style w:type="character" w:customStyle="1" w:styleId="16">
    <w:name w:val="标题 1 Char"/>
    <w:basedOn w:val="12"/>
    <w:link w:val="2"/>
    <w:qFormat/>
    <w:uiPriority w:val="0"/>
    <w:rPr>
      <w:b/>
      <w:bCs/>
      <w:kern w:val="44"/>
      <w:sz w:val="21"/>
      <w:szCs w:val="44"/>
    </w:rPr>
  </w:style>
  <w:style w:type="character" w:customStyle="1" w:styleId="17">
    <w:name w:val="标题 2 Char"/>
    <w:basedOn w:val="12"/>
    <w:link w:val="3"/>
    <w:qFormat/>
    <w:uiPriority w:val="0"/>
    <w:rPr>
      <w:rFonts w:ascii="黑体" w:hAnsi="Arial" w:eastAsia="黑体"/>
      <w:b/>
      <w:bCs/>
      <w:kern w:val="2"/>
      <w:sz w:val="21"/>
      <w:szCs w:val="32"/>
    </w:rPr>
  </w:style>
  <w:style w:type="character" w:customStyle="1" w:styleId="18">
    <w:name w:val="标题 3 Char"/>
    <w:basedOn w:val="12"/>
    <w:link w:val="4"/>
    <w:qFormat/>
    <w:uiPriority w:val="0"/>
    <w:rPr>
      <w:rFonts w:ascii="宋体" w:hAnsi="宋体" w:cs="宋体"/>
      <w:b/>
      <w:bCs/>
      <w:sz w:val="27"/>
      <w:szCs w:val="27"/>
    </w:rPr>
  </w:style>
  <w:style w:type="character" w:customStyle="1" w:styleId="19">
    <w:name w:val="标题 4 Char"/>
    <w:basedOn w:val="12"/>
    <w:link w:val="5"/>
    <w:qFormat/>
    <w:uiPriority w:val="0"/>
    <w:rPr>
      <w:rFonts w:ascii="宋体" w:hAnsi="宋体"/>
      <w:b/>
      <w:bCs/>
      <w:sz w:val="24"/>
      <w:szCs w:val="24"/>
    </w:rPr>
  </w:style>
  <w:style w:type="character" w:customStyle="1" w:styleId="20">
    <w:name w:val="标题 Char"/>
    <w:basedOn w:val="12"/>
    <w:link w:val="11"/>
    <w:qFormat/>
    <w:uiPriority w:val="0"/>
    <w:rPr>
      <w:rFonts w:ascii="Arial" w:hAnsi="Arial" w:eastAsia="黑体" w:cs="Arial"/>
      <w:b/>
      <w:bCs/>
      <w:kern w:val="2"/>
      <w:sz w:val="21"/>
      <w:szCs w:val="32"/>
    </w:rPr>
  </w:style>
  <w:style w:type="paragraph" w:customStyle="1" w:styleId="21">
    <w:name w:val="示例×："/>
    <w:basedOn w:val="1"/>
    <w:qFormat/>
    <w:uiPriority w:val="0"/>
    <w:pPr>
      <w:numPr>
        <w:ilvl w:val="0"/>
        <w:numId w:val="2"/>
      </w:numPr>
    </w:pPr>
    <w:rPr>
      <w:rFonts w:ascii="宋体"/>
      <w:kern w:val="0"/>
      <w:sz w:val="18"/>
      <w:szCs w:val="18"/>
    </w:rPr>
  </w:style>
  <w:style w:type="paragraph" w:customStyle="1" w:styleId="22">
    <w:name w:val="附录公式"/>
    <w:basedOn w:val="1"/>
    <w:next w:val="1"/>
    <w:link w:val="23"/>
    <w:qFormat/>
    <w:uiPriority w:val="0"/>
    <w:pPr>
      <w:tabs>
        <w:tab w:val="center" w:pos="4201"/>
        <w:tab w:val="right" w:leader="dot" w:pos="9298"/>
      </w:tabs>
      <w:autoSpaceDE w:val="0"/>
      <w:autoSpaceDN w:val="0"/>
      <w:ind w:firstLine="420" w:firstLineChars="200"/>
    </w:pPr>
    <w:rPr>
      <w:rFonts w:ascii="宋体"/>
      <w:kern w:val="0"/>
      <w:szCs w:val="20"/>
    </w:rPr>
  </w:style>
  <w:style w:type="character" w:customStyle="1" w:styleId="23">
    <w:name w:val="附录公式 Char"/>
    <w:basedOn w:val="12"/>
    <w:link w:val="22"/>
    <w:qFormat/>
    <w:uiPriority w:val="0"/>
    <w:rPr>
      <w:rFonts w:ascii="宋体"/>
      <w:sz w:val="21"/>
    </w:rPr>
  </w:style>
  <w:style w:type="paragraph" w:customStyle="1" w:styleId="24">
    <w:name w:val="附录公式编号制表符"/>
    <w:basedOn w:val="1"/>
    <w:next w:val="1"/>
    <w:qFormat/>
    <w:uiPriority w:val="0"/>
    <w:pPr>
      <w:widowControl/>
      <w:tabs>
        <w:tab w:val="center" w:pos="4201"/>
        <w:tab w:val="right" w:leader="dot" w:pos="9298"/>
      </w:tabs>
      <w:autoSpaceDE w:val="0"/>
      <w:autoSpaceDN w:val="0"/>
    </w:pPr>
    <w:rPr>
      <w:rFonts w:ascii="宋体"/>
      <w:kern w:val="0"/>
      <w:szCs w:val="20"/>
    </w:rPr>
  </w:style>
  <w:style w:type="paragraph" w:customStyle="1" w:styleId="25">
    <w:name w:val="附录数字编号列项（二级）"/>
    <w:qFormat/>
    <w:uiPriority w:val="0"/>
    <w:pPr>
      <w:widowControl w:val="0"/>
      <w:numPr>
        <w:ilvl w:val="1"/>
        <w:numId w:val="3"/>
      </w:numPr>
      <w:adjustRightInd w:val="0"/>
      <w:spacing w:line="360" w:lineRule="atLeast"/>
      <w:jc w:val="both"/>
      <w:textAlignment w:val="baseline"/>
    </w:pPr>
    <w:rPr>
      <w:rFonts w:ascii="宋体" w:hAnsi="Times New Roman" w:eastAsia="宋体" w:cs="Times New Roman"/>
      <w:sz w:val="21"/>
      <w:lang w:val="en-US" w:eastAsia="zh-CN" w:bidi="ar-SA"/>
    </w:rPr>
  </w:style>
  <w:style w:type="paragraph" w:customStyle="1" w:styleId="26">
    <w:name w:val="附录字母编号列项（一级）"/>
    <w:qFormat/>
    <w:uiPriority w:val="0"/>
    <w:pPr>
      <w:widowControl w:val="0"/>
      <w:numPr>
        <w:ilvl w:val="0"/>
        <w:numId w:val="3"/>
      </w:numPr>
      <w:adjustRightInd w:val="0"/>
      <w:spacing w:line="360" w:lineRule="atLeast"/>
      <w:jc w:val="both"/>
      <w:textAlignment w:val="baseline"/>
    </w:pPr>
    <w:rPr>
      <w:rFonts w:ascii="宋体" w:hAnsi="Times New Roman" w:eastAsia="宋体" w:cs="Times New Roman"/>
      <w:sz w:val="21"/>
      <w:lang w:val="en-US" w:eastAsia="zh-CN" w:bidi="ar-SA"/>
    </w:rPr>
  </w:style>
  <w:style w:type="paragraph" w:customStyle="1" w:styleId="27">
    <w:name w:val="示例后文字"/>
    <w:basedOn w:val="1"/>
    <w:next w:val="1"/>
    <w:qFormat/>
    <w:uiPriority w:val="0"/>
    <w:pPr>
      <w:tabs>
        <w:tab w:val="center" w:pos="4201"/>
        <w:tab w:val="right" w:leader="dot" w:pos="9298"/>
      </w:tabs>
      <w:autoSpaceDE w:val="0"/>
      <w:autoSpaceDN w:val="0"/>
      <w:ind w:firstLine="360" w:firstLineChars="200"/>
    </w:pPr>
    <w:rPr>
      <w:rFonts w:ascii="宋体"/>
      <w:kern w:val="0"/>
      <w:sz w:val="18"/>
      <w:szCs w:val="20"/>
    </w:rPr>
  </w:style>
  <w:style w:type="paragraph" w:customStyle="1" w:styleId="28">
    <w:name w:val="首示例"/>
    <w:next w:val="1"/>
    <w:link w:val="29"/>
    <w:qFormat/>
    <w:uiPriority w:val="0"/>
    <w:pPr>
      <w:widowControl w:val="0"/>
      <w:adjustRightInd w:val="0"/>
      <w:spacing w:line="360" w:lineRule="atLeast"/>
      <w:jc w:val="both"/>
      <w:textAlignment w:val="baseline"/>
    </w:pPr>
    <w:rPr>
      <w:rFonts w:ascii="宋体" w:hAnsi="宋体" w:eastAsia="宋体" w:cs="Times New Roman"/>
      <w:kern w:val="2"/>
      <w:sz w:val="18"/>
      <w:szCs w:val="18"/>
      <w:lang w:val="en-US" w:eastAsia="zh-CN" w:bidi="ar-SA"/>
    </w:rPr>
  </w:style>
  <w:style w:type="character" w:customStyle="1" w:styleId="29">
    <w:name w:val="首示例 Char"/>
    <w:basedOn w:val="12"/>
    <w:link w:val="28"/>
    <w:qFormat/>
    <w:uiPriority w:val="0"/>
    <w:rPr>
      <w:rFonts w:ascii="宋体" w:hAnsi="宋体"/>
      <w:kern w:val="2"/>
      <w:sz w:val="18"/>
      <w:szCs w:val="18"/>
    </w:rPr>
  </w:style>
  <w:style w:type="paragraph" w:customStyle="1" w:styleId="30">
    <w:name w:val="图的脚注"/>
    <w:next w:val="1"/>
    <w:qFormat/>
    <w:uiPriority w:val="0"/>
    <w:pPr>
      <w:widowControl w:val="0"/>
      <w:adjustRightInd w:val="0"/>
      <w:spacing w:line="360" w:lineRule="atLeast"/>
      <w:ind w:left="840" w:leftChars="200" w:hanging="420" w:hangingChars="200"/>
      <w:jc w:val="both"/>
      <w:textAlignment w:val="baseline"/>
    </w:pPr>
    <w:rPr>
      <w:rFonts w:ascii="宋体" w:hAnsi="Times New Roman" w:eastAsia="宋体" w:cs="Times New Roman"/>
      <w:sz w:val="18"/>
      <w:lang w:val="en-US" w:eastAsia="zh-CN" w:bidi="ar-SA"/>
    </w:rPr>
  </w:style>
  <w:style w:type="paragraph" w:customStyle="1" w:styleId="31">
    <w:name w:val="正文公式编号制表符"/>
    <w:basedOn w:val="1"/>
    <w:next w:val="1"/>
    <w:qFormat/>
    <w:uiPriority w:val="0"/>
    <w:pPr>
      <w:tabs>
        <w:tab w:val="center" w:pos="4201"/>
        <w:tab w:val="right" w:leader="dot" w:pos="9298"/>
      </w:tabs>
      <w:autoSpaceDE w:val="0"/>
      <w:autoSpaceDN w:val="0"/>
    </w:pPr>
    <w:rPr>
      <w:rFonts w:ascii="宋体"/>
      <w:kern w:val="0"/>
      <w:szCs w:val="20"/>
    </w:rPr>
  </w:style>
  <w:style w:type="paragraph" w:styleId="32">
    <w:name w:val="List Paragraph"/>
    <w:basedOn w:val="1"/>
    <w:qFormat/>
    <w:uiPriority w:val="34"/>
    <w:pPr>
      <w:ind w:firstLine="420" w:firstLineChars="200"/>
    </w:pPr>
  </w:style>
  <w:style w:type="paragraph" w:customStyle="1" w:styleId="33">
    <w:name w:val="封面标准文稿编辑信息"/>
    <w:qFormat/>
    <w:uiPriority w:val="0"/>
    <w:pPr>
      <w:spacing w:before="180" w:beforeLines="0" w:line="180" w:lineRule="exact"/>
      <w:jc w:val="center"/>
    </w:pPr>
    <w:rPr>
      <w:rFonts w:ascii="宋体"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78</Words>
  <Characters>447</Characters>
  <Lines>3</Lines>
  <Paragraphs>1</Paragraphs>
  <ScaleCrop>false</ScaleCrop>
  <LinksUpToDate>false</LinksUpToDate>
  <CharactersWithSpaces>524</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2013-03-08T06:28:00Z</dcterms:created>
  <dc:creator>lenovo</dc:creator>
  <cp:lastModifiedBy>Administrator</cp:lastModifiedBy>
  <cp:lastPrinted>2020-10-30T01:07:00Z</cp:lastPrinted>
  <dcterms:modified xsi:type="dcterms:W3CDTF">2021-04-13T06:25:19Z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