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right"/>
        <w:rPr>
          <w:rFonts w:hint="eastAsia" w:ascii="方正超粗黑简体" w:hAnsi="方正超粗黑简体" w:eastAsia="方正超粗黑简体" w:cs="方正超粗黑简体"/>
        </w:rPr>
      </w:pPr>
      <w:r>
        <w:rPr>
          <w:rFonts w:hint="eastAsia" w:ascii="方正超粗黑简体" w:hAnsi="方正超粗黑简体" w:eastAsia="方正超粗黑简体" w:cs="方正超粗黑简体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608965</wp:posOffset>
                </wp:positionV>
                <wp:extent cx="831850" cy="29273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rFonts w:hint="default" w:ascii="Times New Roman" w:hAnsi="Times New Roman" w:eastAsia="黑体" w:cs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ICS 77.150.60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rFonts w:hint="default" w:ascii="Times New Roman" w:hAnsi="Times New Roman" w:eastAsia="黑体" w:cs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H 62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66.1pt;margin-top:47.95pt;height:23.05pt;width:65.5pt;mso-position-horizontal-relative:page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y6eEQ1wAAAAoBAAAPAAAA&#10;AAAAAAEAIAAAACIAAABkcnMvZG93bnJldi54bWxQSwECFAAUAAAACACHTuJADLqbY6QBAABj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rFonts w:hint="default" w:ascii="Times New Roman" w:hAnsi="Times New Roman" w:eastAsia="黑体" w:cs="Times New Roma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ICS 77.150.60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rFonts w:hint="default" w:ascii="Times New Roman" w:hAnsi="Times New Roman" w:eastAsia="黑体" w:cs="Times New Roma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H 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bookmark0"/>
      <w:bookmarkStart w:id="1" w:name="bookmark2"/>
      <w:bookmarkStart w:id="2" w:name="bookmark1"/>
      <w:r>
        <w:rPr>
          <w:rFonts w:hint="eastAsia" w:ascii="方正超粗黑简体" w:hAnsi="方正超粗黑简体" w:eastAsia="方正超粗黑简体" w:cs="方正超粗黑简体"/>
          <w:b/>
          <w:bCs/>
          <w:spacing w:val="0"/>
          <w:w w:val="100"/>
          <w:position w:val="0"/>
          <w:lang w:val="en-US" w:eastAsia="en-US" w:bidi="en-US"/>
        </w:rPr>
        <w:t>YS</w:t>
      </w:r>
      <w:bookmarkEnd w:id="0"/>
      <w:bookmarkEnd w:id="1"/>
      <w:bookmarkEnd w:id="2"/>
    </w:p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4"/>
      <w:bookmarkStart w:id="4" w:name="bookmark5"/>
      <w:bookmarkStart w:id="5" w:name="bookmark3"/>
      <w:r>
        <w:rPr>
          <w:rFonts w:hint="eastAsia" w:ascii="黑体" w:hAnsi="黑体" w:eastAsia="黑体" w:cs="黑体"/>
          <w:spacing w:val="0"/>
          <w:w w:val="100"/>
          <w:position w:val="0"/>
        </w:rPr>
        <w:t>中华人民共和国有色金属行业标准</w:t>
      </w:r>
      <w:bookmarkEnd w:id="3"/>
      <w:bookmarkEnd w:id="4"/>
      <w:bookmarkEnd w:id="5"/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40" w:firstLine="0"/>
        <w:jc w:val="right"/>
        <w:textAlignment w:val="auto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lang w:val="en-US" w:eastAsia="en-US" w:bidi="en-US"/>
        </w:rPr>
        <w:t>YS/T 1091—20</w:t>
      </w:r>
      <w:r>
        <w:rPr>
          <w:rFonts w:hint="eastAsia" w:eastAsia="宋体" w:cs="Times New Roman"/>
          <w:spacing w:val="0"/>
          <w:w w:val="100"/>
          <w:position w:val="0"/>
          <w:lang w:val="en-US" w:eastAsia="zh-CN" w:bidi="en-US"/>
        </w:rPr>
        <w:t>XX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44"/>
          <w:szCs w:val="44"/>
          <w:lang w:val="en-US" w:eastAsia="zh-CN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44"/>
          <w:szCs w:val="44"/>
          <w:lang w:val="en-US" w:eastAsia="zh-CN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44"/>
          <w:szCs w:val="44"/>
          <w:lang w:val="en-US" w:eastAsia="zh-CN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44"/>
          <w:szCs w:val="44"/>
          <w:lang w:val="en-US" w:eastAsia="zh-CN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44"/>
          <w:szCs w:val="44"/>
          <w:lang w:val="en-US" w:eastAsia="zh-CN" w:bidi="en-US"/>
        </w:rPr>
      </w:pPr>
      <w:r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44"/>
          <w:szCs w:val="44"/>
          <w:lang w:val="en-US" w:eastAsia="zh-CN" w:bidi="en-US"/>
        </w:rPr>
        <w:t>铅     膏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  <w:t>Lead plaster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44"/>
          <w:szCs w:val="44"/>
          <w:lang w:val="en-US" w:eastAsia="zh-CN" w:bidi="en-US"/>
        </w:rPr>
      </w:pPr>
      <w:r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32"/>
          <w:szCs w:val="32"/>
          <w:lang w:val="en-US" w:eastAsia="zh-CN" w:bidi="en-US"/>
        </w:rPr>
        <w:t>（草案）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  <w:bookmarkStart w:id="19" w:name="_GoBack"/>
      <w:bookmarkEnd w:id="19"/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6"/>
          <w:szCs w:val="26"/>
          <w:lang w:val="en-US" w:eastAsia="en-US" w:bidi="en-US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sz w:val="28"/>
          <w:szCs w:val="28"/>
          <w:u w:val="single"/>
        </w:rPr>
        <w:sectPr>
          <w:footnotePr>
            <w:numFmt w:val="decimal"/>
          </w:footnotePr>
          <w:pgSz w:w="11900" w:h="16840"/>
          <w:pgMar w:top="321" w:right="785" w:bottom="277" w:left="1515" w:header="0" w:footer="3" w:gutter="0"/>
          <w:pgNumType w:start="1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317500" distB="566420" distL="1778635" distR="114300" simplePos="0" relativeHeight="251660288" behindDoc="0" locked="0" layoutInCell="1" allowOverlap="1">
                <wp:simplePos x="0" y="0"/>
                <wp:positionH relativeFrom="page">
                  <wp:posOffset>2252345</wp:posOffset>
                </wp:positionH>
                <wp:positionV relativeFrom="paragraph">
                  <wp:posOffset>584835</wp:posOffset>
                </wp:positionV>
                <wp:extent cx="3599815" cy="2349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4838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w w:val="100"/>
                                <w:position w:val="0"/>
                              </w:rPr>
                              <w:t>中华人民共和国工业和信息化部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w w:val="100"/>
                                <w:position w:val="0"/>
                              </w:rPr>
                              <w:t>发布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177.35pt;margin-top:46.05pt;height:18.5pt;width:283.45pt;mso-position-horizontal-relative:page;mso-wrap-distance-bottom:44.6pt;mso-wrap-distance-top:25pt;mso-wrap-style:none;z-index:251660288;mso-width-relative:page;mso-height-relative:page;" filled="f" stroked="f" coordsize="21600,21600" o:gfxdata="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+liCZdcA&#10;AAAKAQAADwAAAAAAAAABACAAAAAiAAAAZHJzL2Rvd25yZXYueG1sUEsBAhQAFAAAAAgAh07iQDFL&#10;tpuuAQAAcA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4838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0"/>
                          <w:w w:val="100"/>
                          <w:position w:val="0"/>
                        </w:rPr>
                        <w:t>中华人民共和国工业和信息化部</w:t>
                      </w:r>
                      <w:r>
                        <w:rPr>
                          <w:rFonts w:hint="eastAsia" w:ascii="黑体" w:hAnsi="黑体" w:eastAsia="黑体" w:cs="黑体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rFonts w:hint="eastAsia" w:ascii="黑体" w:hAnsi="黑体" w:eastAsia="黑体" w:cs="黑体"/>
                          <w:spacing w:val="0"/>
                          <w:w w:val="100"/>
                          <w:position w:val="0"/>
                        </w:rPr>
                        <w:t>发布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0"/>
          <w:w w:val="100"/>
          <w:position w:val="0"/>
          <w:sz w:val="28"/>
          <w:szCs w:val="28"/>
          <w:u w:val="single"/>
          <w:lang w:val="en-US" w:eastAsia="zh-CN" w:bidi="en-US"/>
        </w:rPr>
        <w:t xml:space="preserve">20XX-XX-XX发布                                  </w:t>
      </w:r>
      <w:r>
        <w:rPr>
          <w:rFonts w:hint="eastAsia" w:ascii="黑体" w:hAnsi="黑体" w:eastAsia="黑体" w:cs="黑体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20</w:t>
      </w:r>
      <w:r>
        <w:rPr>
          <w:rFonts w:hint="eastAsia" w:ascii="黑体" w:hAnsi="黑体" w:eastAsia="黑体" w:cs="黑体"/>
          <w:spacing w:val="0"/>
          <w:w w:val="100"/>
          <w:position w:val="0"/>
          <w:sz w:val="28"/>
          <w:szCs w:val="28"/>
          <w:u w:val="single"/>
          <w:lang w:val="en-US" w:eastAsia="zh-CN" w:bidi="en-US"/>
        </w:rPr>
        <w:t>XX</w:t>
      </w:r>
      <w:r>
        <w:rPr>
          <w:rFonts w:hint="eastAsia" w:ascii="黑体" w:hAnsi="黑体" w:eastAsia="黑体" w:cs="黑体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-</w:t>
      </w:r>
      <w:r>
        <w:rPr>
          <w:rFonts w:hint="eastAsia" w:ascii="黑体" w:hAnsi="黑体" w:eastAsia="黑体" w:cs="黑体"/>
          <w:spacing w:val="0"/>
          <w:w w:val="100"/>
          <w:position w:val="0"/>
          <w:sz w:val="28"/>
          <w:szCs w:val="28"/>
          <w:u w:val="single"/>
          <w:lang w:val="en-US" w:eastAsia="zh-CN" w:bidi="en-US"/>
        </w:rPr>
        <w:t>XX</w:t>
      </w:r>
      <w:r>
        <w:rPr>
          <w:rFonts w:hint="eastAsia" w:ascii="黑体" w:hAnsi="黑体" w:eastAsia="黑体" w:cs="黑体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-</w:t>
      </w:r>
      <w:r>
        <w:rPr>
          <w:rFonts w:hint="eastAsia" w:ascii="黑体" w:hAnsi="黑体" w:eastAsia="黑体" w:cs="黑体"/>
          <w:spacing w:val="0"/>
          <w:w w:val="100"/>
          <w:position w:val="0"/>
          <w:sz w:val="28"/>
          <w:szCs w:val="28"/>
          <w:u w:val="single"/>
          <w:lang w:val="en-US" w:eastAsia="zh-CN" w:bidi="en-US"/>
        </w:rPr>
        <w:t>XX</w:t>
      </w:r>
      <w:r>
        <w:rPr>
          <w:rFonts w:hint="eastAsia" w:ascii="黑体" w:hAnsi="黑体" w:eastAsia="黑体" w:cs="黑体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 xml:space="preserve"> </w:t>
      </w:r>
      <w:r>
        <w:rPr>
          <w:rFonts w:hint="eastAsia" w:ascii="黑体" w:hAnsi="黑体" w:eastAsia="黑体" w:cs="黑体"/>
          <w:spacing w:val="0"/>
          <w:w w:val="100"/>
          <w:position w:val="0"/>
          <w:sz w:val="28"/>
          <w:szCs w:val="28"/>
          <w:u w:val="single"/>
          <w:lang w:val="zh-TW" w:eastAsia="zh-TW" w:bidi="zh-TW"/>
        </w:rPr>
        <w:t>实施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F3E3F"/>
          <w:spacing w:val="0"/>
          <w:w w:val="100"/>
          <w:position w:val="0"/>
          <w:sz w:val="24"/>
          <w:szCs w:val="24"/>
          <w:lang w:val="en-US" w:eastAsia="en-US" w:bidi="en-US"/>
        </w:rPr>
        <w:t>YS/T 1091—20</w:t>
      </w:r>
      <w:r>
        <w:rPr>
          <w:rFonts w:hint="eastAsia" w:ascii="宋体" w:hAnsi="宋体" w:eastAsia="宋体" w:cs="宋体"/>
          <w:color w:val="3F3E3F"/>
          <w:spacing w:val="0"/>
          <w:w w:val="100"/>
          <w:position w:val="0"/>
          <w:sz w:val="24"/>
          <w:szCs w:val="24"/>
          <w:lang w:val="en-US" w:eastAsia="zh-CN" w:bidi="en-US"/>
        </w:rPr>
        <w:t>XX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0" w:right="0" w:firstLine="403"/>
        <w:jc w:val="center"/>
        <w:textAlignment w:val="auto"/>
        <w:rPr>
          <w:rFonts w:hint="eastAsia" w:ascii="黑体" w:hAnsi="黑体" w:eastAsia="黑体" w:cs="黑体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28"/>
          <w:szCs w:val="28"/>
          <w:lang w:val="en-US" w:eastAsia="zh-CN"/>
        </w:rPr>
        <w:t>前  言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0" w:right="0" w:firstLine="403"/>
        <w:jc w:val="left"/>
        <w:textAlignment w:val="auto"/>
        <w:rPr>
          <w:spacing w:val="0"/>
          <w:w w:val="100"/>
          <w:position w:val="0"/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</w:rPr>
        <w:t>本标准按照</w:t>
      </w:r>
      <w:r>
        <w:rPr>
          <w:spacing w:val="0"/>
          <w:w w:val="100"/>
          <w:position w:val="0"/>
          <w:sz w:val="24"/>
          <w:szCs w:val="24"/>
          <w:lang w:val="en-US" w:eastAsia="en-US" w:bidi="en-US"/>
        </w:rPr>
        <w:t>GB/T 1.1-20</w:t>
      </w:r>
      <w:r>
        <w:rPr>
          <w:rFonts w:hint="eastAsia"/>
          <w:spacing w:val="0"/>
          <w:w w:val="100"/>
          <w:position w:val="0"/>
          <w:sz w:val="24"/>
          <w:szCs w:val="24"/>
          <w:lang w:val="en-US" w:eastAsia="zh-CN" w:bidi="en-US"/>
        </w:rPr>
        <w:t>20</w:t>
      </w:r>
      <w:r>
        <w:rPr>
          <w:spacing w:val="0"/>
          <w:w w:val="100"/>
          <w:position w:val="0"/>
          <w:sz w:val="24"/>
          <w:szCs w:val="24"/>
        </w:rPr>
        <w:t>给出的规则起草。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0" w:right="0" w:firstLine="403"/>
        <w:jc w:val="left"/>
        <w:textAlignment w:val="auto"/>
        <w:rPr>
          <w:rFonts w:hint="eastAsia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/>
          <w:spacing w:val="0"/>
          <w:w w:val="100"/>
          <w:position w:val="0"/>
          <w:sz w:val="24"/>
          <w:szCs w:val="24"/>
          <w:lang w:val="en-US" w:eastAsia="zh-CN" w:bidi="en-US"/>
        </w:rPr>
        <w:t>本标准代替</w:t>
      </w:r>
      <w:r>
        <w:rPr>
          <w:rFonts w:hint="eastAsia"/>
          <w:spacing w:val="0"/>
          <w:w w:val="100"/>
          <w:position w:val="0"/>
          <w:sz w:val="24"/>
          <w:szCs w:val="24"/>
          <w:lang w:val="en-US" w:eastAsia="en-US" w:bidi="en-US"/>
        </w:rPr>
        <w:t>YS/T 1091-2015</w:t>
      </w:r>
      <w:r>
        <w:rPr>
          <w:rFonts w:hint="eastAsia"/>
          <w:spacing w:val="0"/>
          <w:w w:val="100"/>
          <w:position w:val="0"/>
          <w:sz w:val="24"/>
          <w:szCs w:val="24"/>
          <w:lang w:val="en-US" w:eastAsia="zh-CN" w:bidi="en-US"/>
        </w:rPr>
        <w:t>《铅膏》。与</w:t>
      </w:r>
      <w:r>
        <w:rPr>
          <w:rFonts w:hint="eastAsia"/>
          <w:spacing w:val="0"/>
          <w:w w:val="100"/>
          <w:position w:val="0"/>
          <w:sz w:val="24"/>
          <w:szCs w:val="24"/>
          <w:lang w:val="en-US" w:eastAsia="en-US" w:bidi="en-US"/>
        </w:rPr>
        <w:t>YS/T 1091-2015</w:t>
      </w:r>
      <w:r>
        <w:rPr>
          <w:rFonts w:hint="eastAsia"/>
          <w:spacing w:val="0"/>
          <w:w w:val="100"/>
          <w:position w:val="0"/>
          <w:sz w:val="24"/>
          <w:szCs w:val="24"/>
          <w:lang w:val="en-US" w:eastAsia="zh-CN" w:bidi="en-US"/>
        </w:rPr>
        <w:t>相比，主要变动如下：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color w:val="3F3E3F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eastAsia="宋体" w:cs="宋体"/>
          <w:color w:val="3F3E3F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——增加了铅膏品级：铅膏含铅不小于70%、含砷小于0.3%，修改为两个品级，一级品：Pb含量不小于72%，含砷小于0.05%；二级品：Pb含量不小于65%，含砷小于0.15%。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color w:val="3F3E3F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eastAsia="宋体" w:cs="宋体"/>
          <w:color w:val="3F3E3F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——外观质量由“铅膏为红褐色泥状物”，修改为“铅膏为褐色或红褐色泥状物”。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3F3E3F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——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每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批应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highlight w:val="none"/>
        </w:rPr>
        <w:t>由同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color w:val="auto"/>
          <w:spacing w:val="0"/>
          <w:w w:val="100"/>
          <w:position w:val="0"/>
          <w:sz w:val="24"/>
          <w:szCs w:val="24"/>
          <w:highlight w:val="none"/>
        </w:rPr>
        <w:t>生产周期</w:t>
      </w:r>
      <w:r>
        <w:rPr>
          <w:rFonts w:hint="eastAsia" w:asciiTheme="minorEastAsia" w:hAnsiTheme="minorEastAsia" w:eastAsiaTheme="minorEastAsia" w:cstheme="minorEastAsia"/>
          <w:strike w:val="0"/>
          <w:color w:val="auto"/>
          <w:spacing w:val="0"/>
          <w:w w:val="100"/>
          <w:position w:val="0"/>
          <w:sz w:val="24"/>
          <w:szCs w:val="24"/>
          <w:highlight w:val="none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highlight w:val="none"/>
        </w:rPr>
        <w:t>产品组成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，修改为由同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highlight w:val="none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品级组成。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color w:val="3F3E3F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——删</w:t>
      </w:r>
      <w:r>
        <w:rPr>
          <w:rFonts w:hint="eastAsia" w:ascii="宋体" w:hAnsi="宋体" w:eastAsia="宋体" w:cs="宋体"/>
          <w:color w:val="3F3E3F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除</w:t>
      </w:r>
      <w:r>
        <w:rPr>
          <w:rFonts w:hint="eastAsia" w:ascii="宋体" w:hAnsi="宋体" w:eastAsia="宋体" w:cs="宋体"/>
          <w:color w:val="3F3E3F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</w:rPr>
        <w:t>5.4检验项目</w:t>
      </w:r>
      <w:r>
        <w:rPr>
          <w:rFonts w:hint="eastAsia" w:ascii="宋体" w:hAnsi="宋体" w:eastAsia="宋体" w:cs="宋体"/>
          <w:color w:val="3F3E3F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0" w:right="0" w:firstLine="403"/>
        <w:jc w:val="left"/>
        <w:textAlignment w:val="auto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</w:rPr>
        <w:t>本标准由全国有色金属标准化技术委员会</w:t>
      </w:r>
      <w:r>
        <w:rPr>
          <w:spacing w:val="0"/>
          <w:w w:val="100"/>
          <w:position w:val="0"/>
          <w:sz w:val="24"/>
          <w:szCs w:val="24"/>
          <w:lang w:val="en-US" w:eastAsia="en-US" w:bidi="en-US"/>
        </w:rPr>
        <w:t xml:space="preserve">(SAC/TC </w:t>
      </w:r>
      <w:r>
        <w:rPr>
          <w:spacing w:val="0"/>
          <w:w w:val="100"/>
          <w:position w:val="0"/>
          <w:sz w:val="24"/>
          <w:szCs w:val="24"/>
        </w:rPr>
        <w:t>243)提出并归口。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0" w:right="0" w:firstLine="403"/>
        <w:jc w:val="left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spacing w:val="0"/>
          <w:w w:val="100"/>
          <w:position w:val="0"/>
          <w:sz w:val="24"/>
          <w:szCs w:val="24"/>
        </w:rPr>
        <w:t>本标准起草单位:河南豫光金铅股份有限公司、江苏春兴合金(集团)有限公司、湖北金洋冶金股份有限公司</w:t>
      </w:r>
      <w:r>
        <w:rPr>
          <w:rFonts w:hint="eastAsia"/>
          <w:spacing w:val="0"/>
          <w:w w:val="100"/>
          <w:position w:val="0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0" w:right="0" w:firstLine="403"/>
        <w:jc w:val="left"/>
        <w:textAlignment w:val="auto"/>
        <w:rPr>
          <w:spacing w:val="0"/>
          <w:w w:val="100"/>
          <w:position w:val="0"/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</w:rPr>
        <w:t>本标准主要起草人：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0" w:right="0" w:firstLine="403"/>
        <w:jc w:val="left"/>
        <w:textAlignment w:val="auto"/>
        <w:rPr>
          <w:spacing w:val="0"/>
          <w:w w:val="100"/>
          <w:position w:val="0"/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0" w:right="0" w:firstLine="403"/>
        <w:jc w:val="left"/>
        <w:textAlignment w:val="auto"/>
        <w:rPr>
          <w:spacing w:val="0"/>
          <w:w w:val="100"/>
          <w:position w:val="0"/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0" w:right="0" w:firstLine="403"/>
        <w:jc w:val="left"/>
        <w:textAlignment w:val="auto"/>
        <w:rPr>
          <w:spacing w:val="0"/>
          <w:w w:val="100"/>
          <w:position w:val="0"/>
          <w:sz w:val="24"/>
          <w:szCs w:val="24"/>
        </w:rPr>
        <w:sectPr>
          <w:headerReference r:id="rId5" w:type="default"/>
          <w:footerReference r:id="rId6" w:type="default"/>
          <w:footnotePr>
            <w:numFmt w:val="decimal"/>
          </w:footnotePr>
          <w:pgSz w:w="11900" w:h="16840"/>
          <w:pgMar w:top="1701" w:right="1265" w:bottom="3246" w:left="1390" w:header="0" w:footer="3" w:gutter="0"/>
          <w:pgNumType w:fmt="upperRoman" w:start="1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F3E3F"/>
          <w:spacing w:val="0"/>
          <w:w w:val="100"/>
          <w:position w:val="0"/>
          <w:sz w:val="24"/>
          <w:szCs w:val="24"/>
          <w:lang w:val="en-US" w:eastAsia="en-US" w:bidi="en-US"/>
        </w:rPr>
        <w:t>YS/T 1091—20</w:t>
      </w:r>
      <w:r>
        <w:rPr>
          <w:rFonts w:hint="eastAsia" w:ascii="宋体" w:hAnsi="宋体" w:eastAsia="宋体" w:cs="宋体"/>
          <w:color w:val="3F3E3F"/>
          <w:spacing w:val="0"/>
          <w:w w:val="100"/>
          <w:position w:val="0"/>
          <w:sz w:val="24"/>
          <w:szCs w:val="24"/>
          <w:lang w:val="en-US" w:eastAsia="zh-CN" w:bidi="en-US"/>
        </w:rPr>
        <w:t>XX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rFonts w:hint="eastAsia" w:ascii="黑体" w:hAnsi="黑体" w:eastAsia="黑体" w:cs="黑体"/>
          <w:spacing w:val="0"/>
          <w:w w:val="100"/>
          <w:position w:val="0"/>
          <w:sz w:val="36"/>
          <w:szCs w:val="36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6"/>
          <w:szCs w:val="36"/>
          <w:lang w:eastAsia="zh-CN"/>
        </w:rPr>
        <w:t>铅</w:t>
      </w:r>
      <w:r>
        <w:rPr>
          <w:rFonts w:hint="eastAsia" w:ascii="黑体" w:hAnsi="黑体" w:eastAsia="黑体" w:cs="黑体"/>
          <w:spacing w:val="0"/>
          <w:w w:val="100"/>
          <w:position w:val="0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0"/>
          <w:w w:val="100"/>
          <w:position w:val="0"/>
          <w:sz w:val="36"/>
          <w:szCs w:val="36"/>
          <w:lang w:eastAsia="zh-CN"/>
        </w:rPr>
        <w:t>膏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  <w:t>1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  <w:t>范围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本标准规定了铅膏的要求、试验方法、检验规则、包装、运输、贮存和质量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  <w:t>预报单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以及订货单内容等。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  <w:t>本标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准适用于废旧铅酸蓄电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  <w:t>池经破碎分选后得到的铅膏，供铅冶炼生产用。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  <w:t>规范性引用文件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下列文件对新标施应用是必不可少的。凡是注日期的引用文件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  <w:t>，仅注日期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的版本适用于本文件。凡是不注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  <w:t>日期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  <w:t>引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用文件，其最新版本（包括所有的修改单）适用于本文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  <w:t>件。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 xml:space="preserve">GB/T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 w:bidi="zh-TW"/>
        </w:rPr>
        <w:t>152.1 铅精矿化学分析方法  铅量的测定  酸溶液EDTA滴定法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GB/T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  <w:t xml:space="preserve">8152.5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 w:bidi="zh-TW"/>
        </w:rPr>
        <w:t>铅精矿化学分析方法  砷量的测定  原子荧光光谱法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GB/T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  <w:t>8170 数值修约规则与极限数值的表示和判定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GB/T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  <w:t>14262 散装浮选铅矿取样制样方法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/>
        </w:rPr>
        <w:t xml:space="preserve">3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  <w:t xml:space="preserve">要求 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en-US" w:bidi="en-US"/>
        </w:rPr>
        <w:t>3.1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产品分类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exact"/>
        <w:ind w:left="0" w:right="0" w:firstLine="4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铅膏按化学成分分为</w:t>
      </w: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一级品、二级品。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en-US" w:bidi="en-US"/>
        </w:rPr>
        <w:t>3.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 w:bidi="en-US"/>
        </w:rPr>
        <w:t>2 化学成分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exact"/>
        <w:ind w:left="0" w:right="0" w:firstLine="48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/>
        </w:rPr>
        <w:t>3.2.1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铅膏化学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  <w:t>成分应符合表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/>
        </w:rPr>
        <w:t>1的规定。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360" w:firstLineChars="140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铅膏化学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eastAsia="zh-CN"/>
        </w:rPr>
        <w:t>成</w:t>
      </w:r>
    </w:p>
    <w:tbl>
      <w:tblPr>
        <w:tblStyle w:val="4"/>
        <w:tblpPr w:leftFromText="180" w:rightFromText="180" w:vertAnchor="text" w:horzAnchor="page" w:tblpX="2741" w:tblpY="253"/>
        <w:tblOverlap w:val="never"/>
        <w:tblW w:w="58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385"/>
        <w:gridCol w:w="23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品级</w:t>
            </w:r>
          </w:p>
        </w:tc>
        <w:tc>
          <w:tcPr>
            <w:tcW w:w="4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化学成分（质量分数）/%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Pb，不小于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As，不大于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一级品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二级品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0.15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96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96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96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96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bCs/>
          <w:szCs w:val="21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en-US" w:bidi="en-US"/>
        </w:rPr>
        <w:t>3.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 w:bidi="en-US"/>
        </w:rPr>
        <w:t>2.2</w:t>
      </w:r>
      <w:r>
        <w:rPr>
          <w:rFonts w:hint="eastAsia" w:ascii="宋体" w:hAnsi="宋体" w:eastAsia="黑体"/>
          <w:bCs/>
          <w:szCs w:val="21"/>
          <w:lang w:eastAsia="zh-CN"/>
        </w:rPr>
        <w:t>铅膏</w:t>
      </w:r>
      <w:r>
        <w:rPr>
          <w:rFonts w:hint="eastAsia" w:ascii="宋体" w:hAnsi="宋体"/>
          <w:bCs/>
          <w:szCs w:val="21"/>
        </w:rPr>
        <w:t>中的水分(质量分数)应不大于</w:t>
      </w:r>
      <w:r>
        <w:rPr>
          <w:rFonts w:hint="eastAsia" w:ascii="宋体" w:hAnsi="宋体" w:eastAsia="宋体"/>
          <w:bCs/>
          <w:szCs w:val="21"/>
          <w:lang w:val="en-US" w:eastAsia="zh-CN"/>
        </w:rPr>
        <w:t>10</w:t>
      </w:r>
      <w:r>
        <w:rPr>
          <w:rFonts w:hint="eastAsia" w:ascii="宋体" w:hAnsi="宋体"/>
          <w:bCs/>
          <w:szCs w:val="21"/>
        </w:rPr>
        <w:t>％。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 w:bidi="en-US"/>
        </w:rPr>
        <w:t>3.3外观质量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highlight w:val="none"/>
          <w:u w:val="none"/>
          <w:shd w:val="clear" w:color="auto" w:fill="auto"/>
          <w:lang w:val="en-US" w:eastAsia="zh-CN" w:bidi="en-US"/>
        </w:rPr>
      </w:pP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u w:val="none"/>
          <w:shd w:val="clear" w:color="auto" w:fill="auto"/>
          <w:lang w:val="en-US" w:eastAsia="en-US" w:bidi="en-US"/>
        </w:rPr>
        <w:t>3.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u w:val="none"/>
          <w:shd w:val="clear" w:color="auto" w:fill="auto"/>
          <w:lang w:val="en-US" w:eastAsia="zh-CN" w:bidi="en-US"/>
        </w:rPr>
        <w:t>3.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highlight w:val="none"/>
          <w:u w:val="none"/>
          <w:shd w:val="clear" w:color="auto" w:fill="auto"/>
          <w:lang w:val="en-US" w:eastAsia="zh-CN" w:bidi="en-US"/>
        </w:rPr>
        <w:t>1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highlight w:val="none"/>
          <w:u w:val="none"/>
          <w:shd w:val="clear" w:color="auto" w:fill="auto"/>
          <w:lang w:val="en-US" w:eastAsia="en-US" w:bidi="en-US"/>
        </w:rPr>
        <w:t>铅膏为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highlight w:val="none"/>
          <w:u w:val="none"/>
          <w:shd w:val="clear" w:color="auto" w:fill="auto"/>
          <w:lang w:val="en-US" w:eastAsia="zh-CN" w:bidi="en-US"/>
        </w:rPr>
        <w:t>褐色或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highlight w:val="none"/>
          <w:u w:val="none"/>
          <w:shd w:val="clear" w:color="auto" w:fill="auto"/>
          <w:lang w:val="en-US" w:eastAsia="en-US" w:bidi="en-US"/>
        </w:rPr>
        <w:t>红褐色泥状物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highlight w:val="none"/>
          <w:u w:val="none"/>
          <w:shd w:val="clear" w:color="auto" w:fill="auto"/>
          <w:lang w:val="en-US" w:eastAsia="zh-CN" w:bidi="en-US"/>
        </w:rPr>
        <w:t>，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highlight w:val="none"/>
          <w:u w:val="none"/>
          <w:shd w:val="clear" w:color="auto" w:fill="auto"/>
          <w:lang w:val="en-US" w:eastAsia="en-US" w:bidi="en-US"/>
        </w:rPr>
        <w:t>同批颜色应一致。</w:t>
      </w:r>
    </w:p>
    <w:p>
      <w:pPr>
        <w:spacing w:line="360" w:lineRule="auto"/>
        <w:ind w:firstLine="480" w:firstLineChars="200"/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u w:val="none"/>
          <w:shd w:val="clear" w:color="auto" w:fill="auto"/>
          <w:lang w:val="en-US" w:eastAsia="en-US" w:bidi="en-US"/>
        </w:rPr>
      </w:pP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u w:val="none"/>
          <w:shd w:val="clear" w:color="auto" w:fill="auto"/>
          <w:lang w:val="en-US" w:eastAsia="zh-CN" w:bidi="en-US"/>
        </w:rPr>
        <w:t>3.3.2铅膏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u w:val="none"/>
          <w:shd w:val="clear" w:color="auto" w:fill="auto"/>
          <w:lang w:val="en-US" w:eastAsia="en-US" w:bidi="en-US"/>
        </w:rPr>
        <w:t>中不应混入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u w:val="none"/>
          <w:shd w:val="clear" w:color="auto" w:fill="auto"/>
          <w:lang w:val="en-US" w:eastAsia="zh-CN" w:bidi="en-US"/>
        </w:rPr>
        <w:t>异类含铅物料以及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u w:val="none"/>
          <w:shd w:val="clear" w:color="auto" w:fill="auto"/>
          <w:lang w:val="en-US" w:eastAsia="en-US" w:bidi="en-US"/>
        </w:rPr>
        <w:t>外来夹杂物，同批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u w:val="none"/>
          <w:shd w:val="clear" w:color="auto" w:fill="auto"/>
          <w:lang w:val="en-US" w:eastAsia="zh-CN" w:bidi="en-US"/>
        </w:rPr>
        <w:t>铅膏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u w:val="none"/>
          <w:shd w:val="clear" w:color="auto" w:fill="auto"/>
          <w:lang w:val="en-US" w:eastAsia="en-US" w:bidi="en-US"/>
        </w:rPr>
        <w:t>应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u w:val="none"/>
          <w:shd w:val="clear" w:color="auto" w:fill="auto"/>
          <w:lang w:val="en-US" w:eastAsia="zh-CN" w:bidi="en-US"/>
        </w:rPr>
        <w:t>成分均匀。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  <w:t>4试验方法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z w:val="24"/>
          <w:szCs w:val="24"/>
        </w:rPr>
        <w:t>4.1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z w:val="24"/>
          <w:szCs w:val="24"/>
          <w:lang w:eastAsia="zh-CN"/>
        </w:rPr>
        <w:t>铅膏中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z w:val="24"/>
          <w:szCs w:val="24"/>
          <w:lang w:val="zh-TW" w:eastAsia="zh-TW" w:bidi="zh-TW"/>
        </w:rPr>
        <w:t>化学成分的测定按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z w:val="24"/>
          <w:szCs w:val="24"/>
        </w:rPr>
        <w:t>GB/T 8152.1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z w:val="24"/>
          <w:szCs w:val="24"/>
          <w:lang w:val="zh-TW" w:eastAsia="zh-TW" w:bidi="zh-TW"/>
        </w:rPr>
        <w:t>和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z w:val="24"/>
          <w:szCs w:val="24"/>
        </w:rPr>
        <w:t>GB/T 8152.5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z w:val="24"/>
          <w:szCs w:val="24"/>
          <w:lang w:val="zh-TW" w:eastAsia="zh-TW" w:bidi="zh-TW"/>
        </w:rPr>
        <w:t>的规定进行。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4.2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  <w:t>铅膏中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水分测定按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 xml:space="preserve">GB/T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zh-TW" w:eastAsia="zh-TW" w:bidi="zh-TW"/>
        </w:rPr>
        <w:t>14262的规定执行。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en-US" w:bidi="en-US"/>
        </w:rPr>
        <w:t>4.3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lang w:val="en-US" w:eastAsia="zh-CN" w:bidi="en-US"/>
        </w:rPr>
        <w:t>铅膏的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外观质量由目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highlight w:val="none"/>
        </w:rPr>
        <w:t>视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法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4"/>
          <w:szCs w:val="24"/>
        </w:rPr>
        <w:t>检查。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2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en-US"/>
        </w:rPr>
        <w:t>5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</w:rPr>
        <w:t>检验规则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2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24"/>
          <w:szCs w:val="24"/>
          <w:lang w:val="en-US" w:eastAsia="en-US" w:bidi="en-US"/>
        </w:rPr>
        <w:t>5.1</w:t>
      </w:r>
      <w:r>
        <w:rPr>
          <w:rFonts w:hint="eastAsia" w:ascii="黑体" w:hAnsi="黑体" w:eastAsia="黑体" w:cs="黑体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="黑体" w:hAnsi="黑体" w:eastAsia="黑体" w:cs="黑体"/>
          <w:spacing w:val="0"/>
          <w:w w:val="100"/>
          <w:position w:val="0"/>
          <w:sz w:val="24"/>
          <w:szCs w:val="24"/>
        </w:rPr>
        <w:t>检查与验收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lang w:val="en-US" w:eastAsia="en-US" w:bidi="en-US"/>
        </w:rPr>
        <w:t>5.1.1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铅膏需运到需方指定地点，或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由供需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双方商定交货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地点。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lang w:val="en-US" w:eastAsia="en-US" w:bidi="en-US"/>
        </w:rPr>
        <w:t>5.1.2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需方应对收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到的产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品按本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标准的规定进行检验，如检验结果与本标准或订货单（合同）的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规定不符时,应在收到产品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之日起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30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天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内向供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方提出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，由供需双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方协商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解决。如需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仲裁，仲裁取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样在需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方由供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需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双方共同进行，仲裁分析在供需双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方认定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的单位进行。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2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en-US" w:bidi="en-US"/>
        </w:rPr>
        <w:t>5.2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zh-TW" w:eastAsia="zh-TW" w:bidi="en-US"/>
        </w:rPr>
        <w:t>组批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铅膏应成批提交检验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>，每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批应由同一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eastAsia="zh-CN"/>
        </w:rPr>
        <w:t>品级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的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</w:rPr>
        <w:t>产品组成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</w:rPr>
        <w:t xml:space="preserve">，批量不大于65 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lang w:val="en-US" w:eastAsia="en-US" w:bidi="en-US"/>
        </w:rPr>
        <w:t>t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vertAlign w:val="subscript"/>
          <w:lang w:val="en-US" w:eastAsia="en-US" w:bidi="en-US"/>
        </w:rPr>
        <w:t>0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2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lang w:val="en-US" w:eastAsia="en-US" w:bidi="en-US"/>
        </w:rPr>
        <w:t>5.3取制样方法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lang w:val="en-US" w:eastAsia="en-US" w:bidi="en-US"/>
        </w:rPr>
        <w:t>5.3.1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lang w:val="zh-TW" w:eastAsia="zh-TW" w:bidi="zh-TW"/>
        </w:rPr>
        <w:t>铅膏的取样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lang w:val="zh-TW" w:eastAsia="zh-TW" w:bidi="zh-TW"/>
        </w:rPr>
        <w:t>方法按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lang w:val="en-US" w:eastAsia="en-US" w:bidi="en-US"/>
        </w:rPr>
        <w:t xml:space="preserve">GB/T 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lang w:val="zh-TW" w:eastAsia="zh-TW" w:bidi="zh-TW"/>
        </w:rPr>
        <w:t>14262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lang w:val="zh-TW" w:eastAsia="zh-TW" w:bidi="zh-TW"/>
        </w:rPr>
        <w:t>规定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lang w:val="zh-TW" w:eastAsia="zh-TW" w:bidi="zh-TW"/>
        </w:rPr>
        <w:t>进行。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5.3.2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取水分样时应用密封水分袋，取样后应封闭袋口。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5.3.3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将所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制样品分为四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份:一份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eastAsia="zh-CN"/>
        </w:rPr>
        <w:t>为验收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分析样，一份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eastAsia="zh-CN"/>
        </w:rPr>
        <w:t>为供方样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，一份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eastAsia="zh-CN"/>
        </w:rPr>
        <w:t>为需方样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，一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份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仲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裁样。仲裁样保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eastAsia="zh-CN"/>
        </w:rPr>
        <w:t>留</w:t>
      </w:r>
      <w:r>
        <w:rPr>
          <w:rFonts w:hint="eastAsia" w:asciiTheme="minorEastAsia" w:hAnsiTheme="minorEastAsia" w:eastAsiaTheme="minorEastAsia" w:cstheme="minorEastAsia"/>
          <w:color w:val="747476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个月</w:t>
      </w:r>
      <w:r>
        <w:rPr>
          <w:rFonts w:hint="eastAsia" w:asciiTheme="minorEastAsia" w:hAnsiTheme="minorEastAsia" w:eastAsiaTheme="minorEastAsia" w:cstheme="minorEastAsia"/>
          <w:color w:val="747476"/>
          <w:spacing w:val="0"/>
          <w:w w:val="100"/>
          <w:position w:val="0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供方如对检验结果有异议，应在仲裁保存期内提出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  <w:t>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2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5.5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检验结果判定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5.5.1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  <w:t xml:space="preserve"> 检验结果的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数值修约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判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定按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 xml:space="preserve">GB/T 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8170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的规定执行。</w:t>
      </w:r>
    </w:p>
    <w:p>
      <w:pPr>
        <w:spacing w:line="360" w:lineRule="auto"/>
        <w:ind w:left="0" w:leftChars="0" w:firstLine="480" w:firstLineChars="200"/>
        <w:rPr>
          <w:rFonts w:hint="eastAsia" w:ascii="宋体" w:hAnsi="宋体"/>
          <w:bCs/>
          <w:szCs w:val="21"/>
          <w:highlight w:val="none"/>
        </w:rPr>
      </w:pPr>
      <w:r>
        <w:rPr>
          <w:rFonts w:hint="eastAsia" w:ascii="宋体" w:hAnsi="宋体"/>
          <w:b/>
          <w:bCs w:val="0"/>
          <w:szCs w:val="21"/>
          <w:highlight w:val="none"/>
        </w:rPr>
        <w:t>5.</w:t>
      </w:r>
      <w:r>
        <w:rPr>
          <w:rFonts w:hint="eastAsia" w:ascii="宋体" w:hAnsi="宋体" w:eastAsia="宋体"/>
          <w:b/>
          <w:bCs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/>
          <w:bCs w:val="0"/>
          <w:szCs w:val="21"/>
          <w:highlight w:val="none"/>
        </w:rPr>
        <w:t>.2</w:t>
      </w:r>
      <w:r>
        <w:rPr>
          <w:rFonts w:hint="eastAsia" w:ascii="宋体" w:hAnsi="宋体"/>
          <w:bCs/>
          <w:szCs w:val="21"/>
          <w:highlight w:val="none"/>
        </w:rPr>
        <w:t>同一批次发现</w:t>
      </w:r>
      <w:r>
        <w:rPr>
          <w:rFonts w:hint="eastAsia" w:ascii="宋体" w:hAnsi="宋体" w:eastAsia="宋体"/>
          <w:bCs/>
          <w:szCs w:val="21"/>
          <w:highlight w:val="none"/>
          <w:lang w:eastAsia="zh-CN"/>
        </w:rPr>
        <w:t>铅膏</w:t>
      </w:r>
      <w:r>
        <w:rPr>
          <w:rFonts w:hint="eastAsia" w:ascii="宋体" w:hAnsi="宋体"/>
          <w:bCs/>
          <w:szCs w:val="21"/>
          <w:highlight w:val="none"/>
          <w:lang w:eastAsia="zh-CN"/>
        </w:rPr>
        <w:t>颜色明显</w:t>
      </w:r>
      <w:r>
        <w:rPr>
          <w:rFonts w:hint="eastAsia" w:ascii="宋体" w:hAnsi="宋体"/>
          <w:bCs/>
          <w:szCs w:val="21"/>
          <w:highlight w:val="none"/>
        </w:rPr>
        <w:t>不一致或</w:t>
      </w:r>
      <w:r>
        <w:rPr>
          <w:rFonts w:hint="eastAsia" w:ascii="宋体" w:hAnsi="宋体"/>
          <w:bCs/>
          <w:szCs w:val="21"/>
          <w:highlight w:val="none"/>
          <w:lang w:eastAsia="zh-CN"/>
        </w:rPr>
        <w:t>掺杂</w:t>
      </w:r>
      <w:r>
        <w:rPr>
          <w:rFonts w:hint="eastAsia" w:ascii="宋体" w:hAnsi="宋体"/>
          <w:bCs/>
          <w:szCs w:val="21"/>
          <w:highlight w:val="none"/>
        </w:rPr>
        <w:t>等则判该批次不合格。</w:t>
      </w:r>
    </w:p>
    <w:p>
      <w:pPr>
        <w:spacing w:line="360" w:lineRule="auto"/>
        <w:ind w:left="0" w:leftChars="0" w:firstLine="480" w:firstLineChars="200"/>
        <w:rPr>
          <w:rFonts w:hint="eastAsia" w:ascii="宋体" w:hAnsi="宋体" w:eastAsia="宋体"/>
          <w:bCs/>
          <w:szCs w:val="21"/>
          <w:highlight w:val="none"/>
          <w:lang w:eastAsia="zh-CN"/>
        </w:rPr>
      </w:pPr>
      <w:r>
        <w:rPr>
          <w:rFonts w:hint="eastAsia" w:ascii="宋体" w:hAnsi="宋体"/>
          <w:b/>
          <w:bCs w:val="0"/>
          <w:szCs w:val="21"/>
          <w:highlight w:val="none"/>
        </w:rPr>
        <w:t>5.4.3</w:t>
      </w:r>
      <w:r>
        <w:rPr>
          <w:rFonts w:hint="eastAsia" w:ascii="宋体" w:hAnsi="宋体"/>
          <w:bCs/>
          <w:szCs w:val="21"/>
          <w:highlight w:val="none"/>
        </w:rPr>
        <w:t>同一</w:t>
      </w:r>
      <w:r>
        <w:rPr>
          <w:rFonts w:hint="eastAsia" w:ascii="宋体" w:hAnsi="宋体"/>
          <w:bCs/>
          <w:szCs w:val="21"/>
          <w:highlight w:val="none"/>
          <w:lang w:eastAsia="zh-CN"/>
        </w:rPr>
        <w:t>批次</w:t>
      </w:r>
      <w:r>
        <w:rPr>
          <w:rFonts w:hint="eastAsia" w:ascii="宋体" w:hAnsi="宋体"/>
          <w:bCs/>
          <w:szCs w:val="21"/>
          <w:highlight w:val="none"/>
        </w:rPr>
        <w:t>发现不同</w:t>
      </w:r>
      <w:r>
        <w:rPr>
          <w:rFonts w:hint="eastAsia" w:ascii="宋体" w:hAnsi="宋体"/>
          <w:bCs/>
          <w:szCs w:val="21"/>
          <w:highlight w:val="none"/>
          <w:lang w:eastAsia="zh-CN"/>
        </w:rPr>
        <w:t>品级</w:t>
      </w:r>
      <w:r>
        <w:rPr>
          <w:rFonts w:hint="eastAsia" w:ascii="宋体" w:hAnsi="宋体"/>
          <w:bCs/>
          <w:szCs w:val="21"/>
          <w:highlight w:val="none"/>
        </w:rPr>
        <w:t>混装，则按较低</w:t>
      </w:r>
      <w:r>
        <w:rPr>
          <w:rFonts w:hint="eastAsia" w:ascii="宋体" w:hAnsi="宋体"/>
          <w:bCs/>
          <w:szCs w:val="21"/>
          <w:highlight w:val="none"/>
          <w:lang w:eastAsia="zh-CN"/>
        </w:rPr>
        <w:t>品位</w:t>
      </w:r>
      <w:r>
        <w:rPr>
          <w:rFonts w:hint="eastAsia" w:ascii="宋体" w:hAnsi="宋体"/>
          <w:bCs/>
          <w:szCs w:val="21"/>
          <w:highlight w:val="none"/>
        </w:rPr>
        <w:t>作为判定结果</w:t>
      </w:r>
      <w:r>
        <w:rPr>
          <w:rFonts w:hint="eastAsia" w:ascii="宋体" w:hAnsi="宋体"/>
          <w:bCs/>
          <w:szCs w:val="21"/>
          <w:highlight w:val="none"/>
          <w:lang w:eastAsia="zh-CN"/>
        </w:rPr>
        <w:t>。</w:t>
      </w:r>
    </w:p>
    <w:p>
      <w:pPr>
        <w:spacing w:line="360" w:lineRule="auto"/>
        <w:ind w:left="0" w:leftChars="0" w:firstLine="480" w:firstLineChars="200"/>
        <w:rPr>
          <w:rFonts w:hint="eastAsia" w:ascii="宋体" w:hAnsi="宋体"/>
          <w:bCs/>
          <w:szCs w:val="21"/>
          <w:highlight w:val="none"/>
        </w:rPr>
      </w:pPr>
      <w:r>
        <w:rPr>
          <w:rFonts w:hint="eastAsia" w:ascii="宋体" w:hAnsi="宋体"/>
          <w:b/>
          <w:bCs w:val="0"/>
          <w:szCs w:val="21"/>
          <w:highlight w:val="none"/>
        </w:rPr>
        <w:t>5.4.</w:t>
      </w:r>
      <w:r>
        <w:rPr>
          <w:rFonts w:hint="eastAsia" w:ascii="宋体" w:hAnsi="宋体"/>
          <w:b/>
          <w:bCs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szCs w:val="21"/>
          <w:highlight w:val="none"/>
        </w:rPr>
        <w:t>当供需双方对</w:t>
      </w:r>
      <w:r>
        <w:rPr>
          <w:rFonts w:hint="eastAsia" w:ascii="宋体" w:hAnsi="宋体"/>
          <w:bCs/>
          <w:szCs w:val="21"/>
          <w:highlight w:val="none"/>
          <w:lang w:eastAsia="zh-CN"/>
        </w:rPr>
        <w:t>检验</w:t>
      </w:r>
      <w:r>
        <w:rPr>
          <w:rFonts w:hint="eastAsia" w:ascii="宋体" w:hAnsi="宋体"/>
          <w:bCs/>
          <w:szCs w:val="21"/>
          <w:highlight w:val="none"/>
        </w:rPr>
        <w:t>结果有争议时由供需双方协商解决。如需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仲裁</w:t>
      </w:r>
      <w:r>
        <w:rPr>
          <w:rFonts w:hint="eastAsia" w:ascii="宋体" w:hAnsi="宋体"/>
          <w:bCs/>
          <w:szCs w:val="21"/>
          <w:highlight w:val="none"/>
        </w:rPr>
        <w:t>，以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仲裁结</w:t>
      </w:r>
      <w:r>
        <w:rPr>
          <w:rFonts w:hint="eastAsia" w:ascii="宋体" w:hAnsi="宋体"/>
          <w:bCs/>
          <w:szCs w:val="21"/>
          <w:highlight w:val="none"/>
        </w:rPr>
        <w:t>果为判定依据。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2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</w:rPr>
        <w:t>6包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4"/>
          <w:szCs w:val="24"/>
          <w:highlight w:val="none"/>
        </w:rPr>
        <w:t>装、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dstrike w:val="0"/>
          <w:color w:val="auto"/>
          <w:spacing w:val="0"/>
          <w:w w:val="100"/>
          <w:position w:val="0"/>
          <w:sz w:val="24"/>
          <w:szCs w:val="24"/>
          <w:highlight w:val="none"/>
        </w:rPr>
        <w:t>运输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4"/>
          <w:szCs w:val="24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</w:rPr>
        <w:t>贮存和质量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eastAsia="zh-CN"/>
        </w:rPr>
        <w:t>预报单</w:t>
      </w:r>
    </w:p>
    <w:p>
      <w:pPr>
        <w:spacing w:line="360" w:lineRule="auto"/>
        <w:ind w:left="0" w:leftChars="0" w:firstLine="480" w:firstLineChars="200"/>
        <w:rPr>
          <w:rFonts w:hint="eastAsia" w:ascii="宋体" w:hAnsi="宋体"/>
          <w:bCs/>
          <w:szCs w:val="21"/>
          <w:highlight w:val="none"/>
          <w:lang w:eastAsia="zh-CN"/>
        </w:rPr>
      </w:pPr>
      <w:r>
        <w:rPr>
          <w:rFonts w:hint="eastAsia" w:ascii="宋体" w:hAnsi="宋体"/>
          <w:b/>
          <w:bCs w:val="0"/>
          <w:szCs w:val="21"/>
          <w:highlight w:val="none"/>
        </w:rPr>
        <w:t>6.1</w:t>
      </w:r>
      <w:r>
        <w:rPr>
          <w:rFonts w:hint="eastAsia" w:ascii="宋体" w:hAnsi="宋体" w:eastAsia="宋体"/>
          <w:bCs/>
          <w:szCs w:val="21"/>
          <w:highlight w:val="none"/>
          <w:lang w:eastAsia="zh-CN"/>
        </w:rPr>
        <w:t>铅膏</w:t>
      </w:r>
      <w:r>
        <w:rPr>
          <w:rFonts w:hint="eastAsia" w:ascii="宋体" w:hAnsi="宋体"/>
          <w:bCs/>
          <w:szCs w:val="21"/>
          <w:highlight w:val="none"/>
        </w:rPr>
        <w:t>为散装或袋装，每袋重量应基本一致</w:t>
      </w:r>
      <w:r>
        <w:rPr>
          <w:rFonts w:hint="eastAsia" w:ascii="宋体" w:hAnsi="宋体"/>
          <w:bCs/>
          <w:szCs w:val="21"/>
          <w:highlight w:val="none"/>
          <w:lang w:eastAsia="zh-CN"/>
        </w:rPr>
        <w:t>。</w:t>
      </w:r>
    </w:p>
    <w:p>
      <w:pPr>
        <w:spacing w:line="360" w:lineRule="auto"/>
        <w:ind w:left="0" w:leftChars="0" w:firstLine="480" w:firstLineChars="200"/>
        <w:rPr>
          <w:rFonts w:hint="default" w:ascii="宋体" w:hAnsi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Cs w:val="21"/>
          <w:highlight w:val="none"/>
          <w:lang w:val="en-US" w:eastAsia="zh-CN"/>
        </w:rPr>
        <w:t>6.2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21"/>
          <w:szCs w:val="21"/>
          <w:highlight w:val="none"/>
          <w:shd w:val="clear" w:color="auto" w:fill="auto"/>
          <w:lang w:val="en-US" w:eastAsia="zh-CN" w:bidi="ar"/>
        </w:rPr>
        <w:t xml:space="preserve">铅膏装车完毕后进行覆盖，防止抛洒和雨淋。 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2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</w:pPr>
      <w:r>
        <w:rPr>
          <w:rFonts w:hint="eastAsia" w:ascii="宋体" w:hAnsi="宋体" w:eastAsia="Times New Roman" w:cs="Times New Roman"/>
          <w:b/>
          <w:bCs w:val="0"/>
          <w:color w:val="000000"/>
          <w:spacing w:val="0"/>
          <w:w w:val="100"/>
          <w:position w:val="0"/>
          <w:sz w:val="24"/>
          <w:szCs w:val="21"/>
          <w:highlight w:val="none"/>
          <w:u w:val="none"/>
          <w:shd w:val="clear" w:color="auto" w:fill="auto"/>
          <w:lang w:val="en-US" w:eastAsia="en-US" w:bidi="en-US"/>
        </w:rPr>
        <w:t>6.</w:t>
      </w:r>
      <w:r>
        <w:rPr>
          <w:rFonts w:hint="eastAsia" w:ascii="宋体" w:hAnsi="宋体" w:eastAsia="Times New Roman" w:cs="Times New Roman"/>
          <w:b/>
          <w:bCs w:val="0"/>
          <w:color w:val="000000"/>
          <w:spacing w:val="0"/>
          <w:w w:val="100"/>
          <w:position w:val="0"/>
          <w:sz w:val="24"/>
          <w:szCs w:val="21"/>
          <w:highlight w:val="none"/>
          <w:u w:val="none"/>
          <w:shd w:val="clear" w:color="auto" w:fill="auto"/>
          <w:lang w:val="en-US" w:eastAsia="zh-CN" w:bidi="en-US"/>
        </w:rPr>
        <w:t>2</w:t>
      </w:r>
      <w:r>
        <w:rPr>
          <w:rFonts w:hint="eastAsia" w:ascii="宋体" w:hAnsi="宋体" w:eastAsia="Times New Roman" w:cs="Times New Roman"/>
          <w:bCs/>
          <w:color w:val="000000"/>
          <w:spacing w:val="0"/>
          <w:w w:val="100"/>
          <w:position w:val="0"/>
          <w:sz w:val="24"/>
          <w:szCs w:val="21"/>
          <w:highlight w:val="none"/>
          <w:u w:val="none"/>
          <w:shd w:val="clear" w:color="auto" w:fill="auto"/>
          <w:lang w:val="en-US" w:eastAsia="zh-CN" w:bidi="en-US"/>
        </w:rPr>
        <w:t>铅膏贮存场地应为防腐蚀、防渗漏硬质地坪，场地四周应设置挡水墙、排水沟和收集沉淀池。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2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6.2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质量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  <w:t>预报单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每批铅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膏应附有质量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eastAsia="zh-CN"/>
        </w:rPr>
        <w:t>预报单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，注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明：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6" w:name="bookmark6"/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a</w:t>
      </w:r>
      <w:bookmarkEnd w:id="6"/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供方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名称；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7" w:name="bookmark7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b</w:t>
      </w:r>
      <w:bookmarkEnd w:id="7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产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品名称；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8" w:name="bookmark8"/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c</w:t>
      </w:r>
      <w:bookmarkEnd w:id="8"/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  <w:t>品级和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化学成分；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9" w:name="bookmark9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d</w:t>
      </w:r>
      <w:bookmarkEnd w:id="9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水分；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10" w:name="bookmark10"/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e</w:t>
      </w:r>
      <w:bookmarkEnd w:id="10"/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重量；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11" w:name="bookmark11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f</w:t>
      </w:r>
      <w:bookmarkEnd w:id="11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车号；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</w:pPr>
      <w:bookmarkStart w:id="12" w:name="bookmark12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g</w:t>
      </w:r>
      <w:bookmarkEnd w:id="12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发</w:t>
      </w:r>
      <w:r>
        <w:rPr>
          <w:rFonts w:hint="eastAsia" w:asciiTheme="minorEastAsia" w:hAnsiTheme="minorEastAsia" w:eastAsiaTheme="minorEastAsia" w:cstheme="minorEastAsia"/>
          <w:color w:val="524F51"/>
          <w:spacing w:val="0"/>
          <w:w w:val="100"/>
          <w:position w:val="0"/>
          <w:sz w:val="24"/>
          <w:szCs w:val="24"/>
          <w:highlight w:val="none"/>
        </w:rPr>
        <w:t>货日期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和发货地点；</w:t>
      </w:r>
      <w:bookmarkStart w:id="13" w:name="bookmark13"/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h</w:t>
      </w:r>
      <w:bookmarkEnd w:id="13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本标准编号。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en-US"/>
        </w:rPr>
      </w:pP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en-US"/>
        </w:rPr>
        <w:t>7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highlight w:val="none"/>
        </w:rPr>
        <w:t>订货单内容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本标准所列产品的订货单应包括下列内容: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产品名称；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eastAsia="zh-CN"/>
        </w:rPr>
        <w:t>品级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14" w:name="bookmark15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b</w:t>
      </w:r>
      <w:bookmarkEnd w:id="14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水分；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15" w:name="bookmark16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c</w:t>
      </w:r>
      <w:bookmarkEnd w:id="15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杂质含量的特殊要求；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16" w:name="bookmark17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d</w:t>
      </w:r>
      <w:bookmarkEnd w:id="16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重量；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17" w:name="bookmark18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e</w:t>
      </w:r>
      <w:bookmarkEnd w:id="17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本标准编号；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</w:pPr>
      <w:bookmarkStart w:id="18" w:name="bookmark19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f</w:t>
      </w:r>
      <w:bookmarkEnd w:id="18"/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>）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  <w:lang w:val="en-US" w:eastAsia="en-US" w:bidi="en-US"/>
        </w:rPr>
        <w:tab/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0"/>
          <w:sz w:val="24"/>
          <w:szCs w:val="24"/>
          <w:highlight w:val="none"/>
        </w:rPr>
        <w:t>其他。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40" w:firstLineChars="200"/>
        <w:jc w:val="left"/>
        <w:textAlignment w:val="auto"/>
        <w:rPr>
          <w:color w:val="524F51"/>
          <w:spacing w:val="0"/>
          <w:w w:val="100"/>
          <w:position w:val="0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40" w:firstLineChars="200"/>
        <w:jc w:val="left"/>
        <w:textAlignment w:val="auto"/>
        <w:rPr>
          <w:color w:val="524F51"/>
          <w:spacing w:val="0"/>
          <w:w w:val="100"/>
          <w:position w:val="0"/>
        </w:rPr>
      </w:pP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40" w:firstLineChars="200"/>
        <w:jc w:val="left"/>
        <w:textAlignment w:val="auto"/>
        <w:rPr>
          <w:rFonts w:hint="default"/>
          <w:color w:val="524F51"/>
          <w:spacing w:val="0"/>
          <w:w w:val="100"/>
          <w:position w:val="0"/>
          <w:u w:val="none" w:color="auto"/>
          <w:lang w:val="en-US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153035</wp:posOffset>
                </wp:positionV>
                <wp:extent cx="251650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0310" y="7130415"/>
                          <a:ext cx="2516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1pt;margin-top:12.05pt;height:0pt;width:198.15pt;z-index:251661312;mso-width-relative:page;mso-height-relative:page;" filled="f" stroked="t" coordsize="21600,21600" o:gfxdata="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QMYF1gAAAAkBAAAPAAAAAAAAAAEAIAAAACIAAABkcnMvZG93bnJl&#10;di54bWxQSwECFAAUAAAACACHTuJAhDXkd/8BAADfAwAADgAAAAAAAAABACAAAAAlAQAAZHJzL2Uy&#10;b0RvYy54bWxQSwUGAAAAAAYABgBZAQAAl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7280275</wp:posOffset>
                </wp:positionH>
                <wp:positionV relativeFrom="paragraph">
                  <wp:posOffset>12700</wp:posOffset>
                </wp:positionV>
                <wp:extent cx="149225" cy="1329055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329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/>
                        </w:txbxContent>
                      </wps:txbx>
                      <wps:bodyPr vert="ea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26" o:spt="202" type="#_x0000_t202" style="position:absolute;left:0pt;margin-left:573.25pt;margin-top:1pt;height:104.65pt;width:11.75pt;mso-position-horizontal-relative:page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mtEILWAAAACwEAAA8AAAAAAAAAAQAgAAAAIgAAAGRycy9kb3ducmV2LnhtbFBLAQIUABQAAAAI&#10;AIdO4kAir28LtgEAAIA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524F51"/>
          <w:spacing w:val="0"/>
          <w:w w:val="100"/>
          <w:position w:val="0"/>
          <w:lang w:val="en-US" w:eastAsia="zh-CN"/>
        </w:rPr>
        <w:t xml:space="preserve">                     </w:t>
      </w:r>
    </w:p>
    <w:sectPr>
      <w:headerReference r:id="rId7" w:type="default"/>
      <w:footerReference r:id="rId8" w:type="default"/>
      <w:footnotePr>
        <w:numFmt w:val="decimal"/>
      </w:footnotePr>
      <w:pgSz w:w="11900" w:h="16840"/>
      <w:pgMar w:top="1428" w:right="1226" w:bottom="1354" w:left="1404" w:header="1000" w:footer="926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超粗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6555105</wp:posOffset>
              </wp:positionH>
              <wp:positionV relativeFrom="page">
                <wp:posOffset>9845675</wp:posOffset>
              </wp:positionV>
              <wp:extent cx="39370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524F51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524F51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516.15pt;margin-top:775.25pt;height:6.25pt;width:3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PRvL91wAAAA8B&#10;AAAPAAAAAAAAAAEAIAAAACIAAABkcnMvZG93bnJldi54bWxQSwECFAAUAAAACACHTuJAjXGShaoB&#10;AABv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524F51"/>
                        <w:spacing w:val="0"/>
                        <w:w w:val="100"/>
                        <w:position w:val="0"/>
                        <w:sz w:val="18"/>
                        <w:szCs w:val="18"/>
                        <w:lang w:val="zh-TW" w:eastAsia="zh-TW" w:bidi="zh-TW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524F51"/>
                        <w:spacing w:val="0"/>
                        <w:w w:val="100"/>
                        <w:position w:val="0"/>
                        <w:sz w:val="18"/>
                        <w:szCs w:val="18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4F64"/>
    <w:multiLevelType w:val="singleLevel"/>
    <w:tmpl w:val="50854F64"/>
    <w:lvl w:ilvl="0" w:tentative="0">
      <w:start w:val="1"/>
      <w:numFmt w:val="lowerLetter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118616C"/>
    <w:rsid w:val="02BB535E"/>
    <w:rsid w:val="04223F48"/>
    <w:rsid w:val="05330EC1"/>
    <w:rsid w:val="0592226F"/>
    <w:rsid w:val="05A176FA"/>
    <w:rsid w:val="05F435E8"/>
    <w:rsid w:val="06312B31"/>
    <w:rsid w:val="078D0766"/>
    <w:rsid w:val="088B212F"/>
    <w:rsid w:val="099D22FF"/>
    <w:rsid w:val="09C07C69"/>
    <w:rsid w:val="0A1342DF"/>
    <w:rsid w:val="0B3B4D58"/>
    <w:rsid w:val="0BF16CDA"/>
    <w:rsid w:val="0C1D62D9"/>
    <w:rsid w:val="0C5D3AA4"/>
    <w:rsid w:val="0CA22400"/>
    <w:rsid w:val="10876750"/>
    <w:rsid w:val="10CD1E06"/>
    <w:rsid w:val="10F40B07"/>
    <w:rsid w:val="113A0EBC"/>
    <w:rsid w:val="11A402E3"/>
    <w:rsid w:val="123A3EFD"/>
    <w:rsid w:val="149A5F19"/>
    <w:rsid w:val="14A2373D"/>
    <w:rsid w:val="14FA0ADC"/>
    <w:rsid w:val="16462291"/>
    <w:rsid w:val="169E5D0A"/>
    <w:rsid w:val="18CC7D3F"/>
    <w:rsid w:val="18D16683"/>
    <w:rsid w:val="1A68561E"/>
    <w:rsid w:val="1B202A0A"/>
    <w:rsid w:val="1BC005A6"/>
    <w:rsid w:val="1E081578"/>
    <w:rsid w:val="1F487B4D"/>
    <w:rsid w:val="1F840126"/>
    <w:rsid w:val="20146663"/>
    <w:rsid w:val="2174017D"/>
    <w:rsid w:val="22077017"/>
    <w:rsid w:val="221E7674"/>
    <w:rsid w:val="22921B6F"/>
    <w:rsid w:val="239A25CE"/>
    <w:rsid w:val="23F13526"/>
    <w:rsid w:val="24F837F8"/>
    <w:rsid w:val="270651E8"/>
    <w:rsid w:val="2A356EED"/>
    <w:rsid w:val="2B581F85"/>
    <w:rsid w:val="2B6B586F"/>
    <w:rsid w:val="2BAC2404"/>
    <w:rsid w:val="2C4C191E"/>
    <w:rsid w:val="2D437781"/>
    <w:rsid w:val="2EF76D5A"/>
    <w:rsid w:val="2F574218"/>
    <w:rsid w:val="2F814D1D"/>
    <w:rsid w:val="30096F6E"/>
    <w:rsid w:val="301D12B7"/>
    <w:rsid w:val="307F449A"/>
    <w:rsid w:val="30B63B94"/>
    <w:rsid w:val="31040180"/>
    <w:rsid w:val="32B75D40"/>
    <w:rsid w:val="33FF5059"/>
    <w:rsid w:val="34766B53"/>
    <w:rsid w:val="35630DE4"/>
    <w:rsid w:val="35B45DEE"/>
    <w:rsid w:val="368E7072"/>
    <w:rsid w:val="372612AD"/>
    <w:rsid w:val="372C4475"/>
    <w:rsid w:val="38BE258B"/>
    <w:rsid w:val="3A355469"/>
    <w:rsid w:val="3A92560E"/>
    <w:rsid w:val="3B703363"/>
    <w:rsid w:val="3BD03F39"/>
    <w:rsid w:val="3C180492"/>
    <w:rsid w:val="3C5B7F89"/>
    <w:rsid w:val="3CEC03F0"/>
    <w:rsid w:val="3D096373"/>
    <w:rsid w:val="3DCE1980"/>
    <w:rsid w:val="3E902582"/>
    <w:rsid w:val="41F435CA"/>
    <w:rsid w:val="47D845D5"/>
    <w:rsid w:val="47F56387"/>
    <w:rsid w:val="480621AB"/>
    <w:rsid w:val="491E78FE"/>
    <w:rsid w:val="4B656091"/>
    <w:rsid w:val="4C0A1774"/>
    <w:rsid w:val="4E013E81"/>
    <w:rsid w:val="4E2824EE"/>
    <w:rsid w:val="4F41391A"/>
    <w:rsid w:val="50665080"/>
    <w:rsid w:val="516239FD"/>
    <w:rsid w:val="51A61616"/>
    <w:rsid w:val="52F73CEA"/>
    <w:rsid w:val="53052258"/>
    <w:rsid w:val="5371107E"/>
    <w:rsid w:val="53E80D08"/>
    <w:rsid w:val="544B7038"/>
    <w:rsid w:val="54660556"/>
    <w:rsid w:val="54E10410"/>
    <w:rsid w:val="57CD7F46"/>
    <w:rsid w:val="57D07AC4"/>
    <w:rsid w:val="584F2326"/>
    <w:rsid w:val="586E3CC4"/>
    <w:rsid w:val="589C2EAA"/>
    <w:rsid w:val="58F2031C"/>
    <w:rsid w:val="5B201C07"/>
    <w:rsid w:val="5C677325"/>
    <w:rsid w:val="5C884AB7"/>
    <w:rsid w:val="5CF97DC6"/>
    <w:rsid w:val="5D474309"/>
    <w:rsid w:val="5FB20000"/>
    <w:rsid w:val="60E92716"/>
    <w:rsid w:val="62C77E0C"/>
    <w:rsid w:val="65F036B6"/>
    <w:rsid w:val="66A434DC"/>
    <w:rsid w:val="67701E3D"/>
    <w:rsid w:val="67827C86"/>
    <w:rsid w:val="68B129B2"/>
    <w:rsid w:val="69782329"/>
    <w:rsid w:val="69784124"/>
    <w:rsid w:val="6A664CEF"/>
    <w:rsid w:val="6C821F63"/>
    <w:rsid w:val="6D732439"/>
    <w:rsid w:val="6D8E4C1F"/>
    <w:rsid w:val="6F7D1EC3"/>
    <w:rsid w:val="6FC66592"/>
    <w:rsid w:val="70061846"/>
    <w:rsid w:val="702569DD"/>
    <w:rsid w:val="71750DF3"/>
    <w:rsid w:val="71A402BF"/>
    <w:rsid w:val="71B467F4"/>
    <w:rsid w:val="71BB023A"/>
    <w:rsid w:val="728A55CD"/>
    <w:rsid w:val="73D22D90"/>
    <w:rsid w:val="743F3673"/>
    <w:rsid w:val="74894A57"/>
    <w:rsid w:val="74EB771E"/>
    <w:rsid w:val="75A26078"/>
    <w:rsid w:val="7645402C"/>
    <w:rsid w:val="769D3296"/>
    <w:rsid w:val="76B9430A"/>
    <w:rsid w:val="770F5E91"/>
    <w:rsid w:val="773D6024"/>
    <w:rsid w:val="77526FC1"/>
    <w:rsid w:val="78496CB6"/>
    <w:rsid w:val="78AB0458"/>
    <w:rsid w:val="79556466"/>
    <w:rsid w:val="79D4174A"/>
    <w:rsid w:val="7A4150BF"/>
    <w:rsid w:val="7A836581"/>
    <w:rsid w:val="7C02460D"/>
    <w:rsid w:val="7E1864A1"/>
    <w:rsid w:val="7E8603E1"/>
    <w:rsid w:val="7F3C4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2_"/>
    <w:basedOn w:val="5"/>
    <w:link w:val="7"/>
    <w:qFormat/>
    <w:uiPriority w:val="0"/>
    <w:rPr>
      <w:rFonts w:ascii="宋体" w:hAnsi="宋体" w:eastAsia="宋体" w:cs="宋体"/>
      <w:color w:val="3F3E3F"/>
      <w:sz w:val="20"/>
      <w:szCs w:val="20"/>
      <w:u w:val="none"/>
      <w:shd w:val="clear" w:color="auto" w:fill="auto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100"/>
    </w:pPr>
    <w:rPr>
      <w:rFonts w:ascii="宋体" w:hAnsi="宋体" w:eastAsia="宋体" w:cs="宋体"/>
      <w:color w:val="3F3E3F"/>
      <w:sz w:val="20"/>
      <w:szCs w:val="20"/>
      <w:u w:val="none"/>
      <w:shd w:val="clear" w:color="auto" w:fill="auto"/>
    </w:rPr>
  </w:style>
  <w:style w:type="character" w:customStyle="1" w:styleId="8">
    <w:name w:val="Body text|3_"/>
    <w:basedOn w:val="5"/>
    <w:link w:val="9"/>
    <w:qFormat/>
    <w:uiPriority w:val="0"/>
    <w:rPr>
      <w:color w:val="3F3E3F"/>
      <w:sz w:val="28"/>
      <w:szCs w:val="28"/>
      <w:u w:val="none"/>
      <w:shd w:val="clear" w:color="auto" w:fill="auto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after="1920"/>
      <w:jc w:val="right"/>
    </w:pPr>
    <w:rPr>
      <w:color w:val="3F3E3F"/>
      <w:sz w:val="28"/>
      <w:szCs w:val="28"/>
      <w:u w:val="none"/>
      <w:shd w:val="clear" w:color="auto" w:fill="auto"/>
    </w:rPr>
  </w:style>
  <w:style w:type="character" w:customStyle="1" w:styleId="10">
    <w:name w:val="Body text|4_"/>
    <w:basedOn w:val="5"/>
    <w:link w:val="11"/>
    <w:qFormat/>
    <w:uiPriority w:val="0"/>
    <w:rPr>
      <w:rFonts w:ascii="宋体" w:hAnsi="宋体" w:eastAsia="宋体" w:cs="宋体"/>
      <w:color w:val="3F3E3F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4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3F3E3F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ing #1|1_"/>
    <w:basedOn w:val="5"/>
    <w:link w:val="13"/>
    <w:qFormat/>
    <w:uiPriority w:val="0"/>
    <w:rPr>
      <w:b/>
      <w:bCs/>
      <w:color w:val="3F3E3F"/>
      <w:sz w:val="168"/>
      <w:szCs w:val="168"/>
      <w:u w:val="none"/>
      <w:shd w:val="clear" w:color="auto" w:fill="auto"/>
    </w:rPr>
  </w:style>
  <w:style w:type="paragraph" w:customStyle="1" w:styleId="13">
    <w:name w:val="Heading #1|1"/>
    <w:basedOn w:val="1"/>
    <w:link w:val="12"/>
    <w:qFormat/>
    <w:uiPriority w:val="0"/>
    <w:pPr>
      <w:widowControl w:val="0"/>
      <w:shd w:val="clear" w:color="auto" w:fill="auto"/>
      <w:spacing w:after="100"/>
      <w:ind w:left="5100"/>
      <w:outlineLvl w:val="0"/>
    </w:pPr>
    <w:rPr>
      <w:b/>
      <w:bCs/>
      <w:color w:val="3F3E3F"/>
      <w:sz w:val="168"/>
      <w:szCs w:val="168"/>
      <w:u w:val="none"/>
      <w:shd w:val="clear" w:color="auto" w:fill="auto"/>
    </w:rPr>
  </w:style>
  <w:style w:type="character" w:customStyle="1" w:styleId="14">
    <w:name w:val="Heading #2|1_"/>
    <w:basedOn w:val="5"/>
    <w:link w:val="15"/>
    <w:qFormat/>
    <w:uiPriority w:val="0"/>
    <w:rPr>
      <w:rFonts w:ascii="宋体" w:hAnsi="宋体" w:eastAsia="宋体" w:cs="宋体"/>
      <w:color w:val="3F3E3F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widowControl w:val="0"/>
      <w:shd w:val="clear" w:color="auto" w:fill="auto"/>
      <w:spacing w:after="460"/>
      <w:jc w:val="center"/>
      <w:outlineLvl w:val="1"/>
    </w:pPr>
    <w:rPr>
      <w:rFonts w:ascii="宋体" w:hAnsi="宋体" w:eastAsia="宋体" w:cs="宋体"/>
      <w:color w:val="3F3E3F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16">
    <w:name w:val="Body text|1_"/>
    <w:basedOn w:val="5"/>
    <w:link w:val="17"/>
    <w:qFormat/>
    <w:uiPriority w:val="0"/>
    <w:rPr>
      <w:rFonts w:ascii="宋体" w:hAnsi="宋体" w:eastAsia="宋体" w:cs="宋体"/>
      <w:color w:val="3F3E3F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widowControl w:val="0"/>
      <w:shd w:val="clear" w:color="auto" w:fill="auto"/>
      <w:spacing w:after="40" w:line="326" w:lineRule="auto"/>
    </w:pPr>
    <w:rPr>
      <w:rFonts w:ascii="宋体" w:hAnsi="宋体" w:eastAsia="宋体" w:cs="宋体"/>
      <w:color w:val="3F3E3F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8">
    <w:name w:val="Header or footer|2_"/>
    <w:basedOn w:val="5"/>
    <w:link w:val="19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9">
    <w:name w:val="Header or footer|2"/>
    <w:basedOn w:val="1"/>
    <w:link w:val="1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20">
    <w:name w:val="Heading #3|1_"/>
    <w:basedOn w:val="5"/>
    <w:link w:val="21"/>
    <w:qFormat/>
    <w:uiPriority w:val="0"/>
    <w:rPr>
      <w:rFonts w:ascii="宋体" w:hAnsi="宋体" w:eastAsia="宋体" w:cs="宋体"/>
      <w:color w:val="3F3E3F"/>
      <w:u w:val="none"/>
      <w:shd w:val="clear" w:color="auto" w:fill="auto"/>
    </w:rPr>
  </w:style>
  <w:style w:type="paragraph" w:customStyle="1" w:styleId="21">
    <w:name w:val="Heading #3|1"/>
    <w:basedOn w:val="1"/>
    <w:link w:val="20"/>
    <w:qFormat/>
    <w:uiPriority w:val="0"/>
    <w:pPr>
      <w:widowControl w:val="0"/>
      <w:shd w:val="clear" w:color="auto" w:fill="auto"/>
      <w:outlineLvl w:val="2"/>
    </w:pPr>
    <w:rPr>
      <w:rFonts w:ascii="宋体" w:hAnsi="宋体" w:eastAsia="宋体" w:cs="宋体"/>
      <w:color w:val="3F3E3F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2021-03-15T03:40:00Z</dcterms:created>
  <dc:creator>Administrator</dc:creator>
  <cp:lastModifiedBy>蓝山</cp:lastModifiedBy>
  <dcterms:modified xsi:type="dcterms:W3CDTF">2021-03-23T03:19:04Z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2443737341D54825812E3A89602C4291</vt:lpwstr>
  </property>
</Properties>
</file>