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CA888" w14:textId="77777777" w:rsidR="0005429C" w:rsidRDefault="00B43252">
      <w:pPr>
        <w:widowControl/>
        <w:adjustRightInd w:val="0"/>
        <w:snapToGrid w:val="0"/>
        <w:jc w:val="center"/>
        <w:rPr>
          <w:rFonts w:ascii="黑体" w:eastAsia="黑体" w:hAnsi="黑体" w:cs="宋体"/>
          <w:bCs/>
          <w:color w:val="000000" w:themeColor="text1"/>
          <w:kern w:val="0"/>
          <w:sz w:val="28"/>
          <w:szCs w:val="28"/>
          <w:lang w:bidi="ar"/>
        </w:rPr>
      </w:pPr>
      <w:r>
        <w:rPr>
          <w:rFonts w:ascii="黑体" w:eastAsia="黑体" w:hAnsi="黑体" w:cs="宋体" w:hint="eastAsia"/>
          <w:bCs/>
          <w:color w:val="000000" w:themeColor="text1"/>
          <w:kern w:val="0"/>
          <w:sz w:val="28"/>
          <w:szCs w:val="28"/>
          <w:lang w:bidi="ar"/>
        </w:rPr>
        <w:t>行业标准《多晶硅行业绿色工厂评价要求》</w:t>
      </w:r>
    </w:p>
    <w:p w14:paraId="224A5ADA" w14:textId="77777777" w:rsidR="0005429C" w:rsidRDefault="00B43252">
      <w:pPr>
        <w:widowControl/>
        <w:adjustRightInd w:val="0"/>
        <w:snapToGrid w:val="0"/>
        <w:jc w:val="center"/>
        <w:rPr>
          <w:rFonts w:ascii="黑体" w:eastAsia="黑体" w:hAnsi="黑体"/>
          <w:bCs/>
          <w:color w:val="000000" w:themeColor="text1"/>
          <w:sz w:val="28"/>
          <w:szCs w:val="28"/>
        </w:rPr>
      </w:pPr>
      <w:r>
        <w:rPr>
          <w:rFonts w:ascii="黑体" w:eastAsia="黑体" w:hAnsi="黑体" w:cs="宋体" w:hint="eastAsia"/>
          <w:bCs/>
          <w:color w:val="000000" w:themeColor="text1"/>
          <w:kern w:val="0"/>
          <w:sz w:val="28"/>
          <w:szCs w:val="28"/>
          <w:lang w:bidi="ar"/>
        </w:rPr>
        <w:t>编制说明（征求意见稿）</w:t>
      </w:r>
    </w:p>
    <w:p w14:paraId="198C10D3" w14:textId="77777777" w:rsidR="0005429C" w:rsidRDefault="0005429C">
      <w:pPr>
        <w:widowControl/>
        <w:spacing w:line="360" w:lineRule="auto"/>
        <w:jc w:val="left"/>
        <w:rPr>
          <w:rFonts w:ascii="黑体" w:eastAsia="黑体" w:hAnsi="黑体"/>
          <w:color w:val="000000" w:themeColor="text1"/>
          <w:kern w:val="44"/>
          <w:sz w:val="24"/>
        </w:rPr>
      </w:pPr>
    </w:p>
    <w:p w14:paraId="2D6E27E6" w14:textId="77777777" w:rsidR="0005429C" w:rsidRDefault="00B43252">
      <w:pPr>
        <w:widowControl/>
        <w:spacing w:line="360" w:lineRule="auto"/>
        <w:jc w:val="left"/>
        <w:rPr>
          <w:rFonts w:ascii="黑体" w:eastAsia="黑体" w:hAnsi="黑体"/>
          <w:color w:val="000000" w:themeColor="text1"/>
          <w:kern w:val="44"/>
          <w:sz w:val="24"/>
        </w:rPr>
      </w:pPr>
      <w:r>
        <w:rPr>
          <w:rFonts w:ascii="黑体" w:eastAsia="黑体" w:hAnsi="黑体" w:hint="eastAsia"/>
          <w:color w:val="000000" w:themeColor="text1"/>
          <w:kern w:val="44"/>
          <w:sz w:val="24"/>
        </w:rPr>
        <w:t>一</w:t>
      </w:r>
      <w:r>
        <w:rPr>
          <w:rFonts w:ascii="黑体" w:eastAsia="黑体" w:hAnsi="黑体" w:hint="eastAsia"/>
          <w:color w:val="000000" w:themeColor="text1"/>
          <w:kern w:val="44"/>
          <w:sz w:val="24"/>
        </w:rPr>
        <w:t xml:space="preserve"> </w:t>
      </w:r>
      <w:r>
        <w:rPr>
          <w:rFonts w:ascii="黑体" w:eastAsia="黑体" w:hAnsi="黑体"/>
          <w:color w:val="000000" w:themeColor="text1"/>
          <w:kern w:val="44"/>
          <w:sz w:val="24"/>
        </w:rPr>
        <w:t xml:space="preserve"> </w:t>
      </w:r>
      <w:r>
        <w:rPr>
          <w:rFonts w:ascii="黑体" w:eastAsia="黑体" w:hAnsi="黑体"/>
          <w:color w:val="000000" w:themeColor="text1"/>
          <w:kern w:val="44"/>
          <w:sz w:val="24"/>
        </w:rPr>
        <w:t>工作简况</w:t>
      </w:r>
    </w:p>
    <w:p w14:paraId="75FD73B3" w14:textId="77777777" w:rsidR="0005429C" w:rsidRDefault="00B43252">
      <w:pPr>
        <w:widowControl/>
        <w:spacing w:line="360" w:lineRule="auto"/>
        <w:jc w:val="left"/>
        <w:rPr>
          <w:rFonts w:ascii="黑体" w:eastAsia="黑体" w:hAnsi="黑体"/>
          <w:color w:val="000000" w:themeColor="text1"/>
          <w:kern w:val="44"/>
          <w:sz w:val="24"/>
        </w:rPr>
      </w:pPr>
      <w:r>
        <w:rPr>
          <w:rFonts w:ascii="黑体" w:eastAsia="黑体" w:hAnsi="黑体" w:hint="eastAsia"/>
          <w:color w:val="000000" w:themeColor="text1"/>
          <w:kern w:val="44"/>
          <w:sz w:val="24"/>
        </w:rPr>
        <w:t xml:space="preserve">1 </w:t>
      </w:r>
      <w:r>
        <w:rPr>
          <w:rFonts w:ascii="黑体" w:eastAsia="黑体" w:hAnsi="黑体"/>
          <w:color w:val="000000" w:themeColor="text1"/>
          <w:kern w:val="44"/>
          <w:sz w:val="24"/>
        </w:rPr>
        <w:t xml:space="preserve"> </w:t>
      </w:r>
      <w:r>
        <w:rPr>
          <w:rFonts w:ascii="黑体" w:eastAsia="黑体" w:hAnsi="黑体"/>
          <w:color w:val="000000" w:themeColor="text1"/>
          <w:kern w:val="44"/>
          <w:sz w:val="24"/>
        </w:rPr>
        <w:t>项目背景和立项意义</w:t>
      </w:r>
    </w:p>
    <w:p w14:paraId="174C8F5E" w14:textId="77777777" w:rsidR="0005429C" w:rsidRDefault="00B43252">
      <w:pPr>
        <w:pStyle w:val="ac"/>
        <w:spacing w:before="0" w:beforeAutospacing="0" w:after="0" w:afterAutospacing="0" w:line="360" w:lineRule="auto"/>
        <w:ind w:firstLineChars="200" w:firstLine="480"/>
        <w:jc w:val="both"/>
        <w:rPr>
          <w:rFonts w:ascii="宋体" w:eastAsia="宋体" w:hAnsi="宋体"/>
          <w:color w:val="000000" w:themeColor="text1"/>
          <w:kern w:val="2"/>
        </w:rPr>
      </w:pPr>
      <w:r>
        <w:rPr>
          <w:rFonts w:ascii="宋体" w:eastAsia="宋体" w:hAnsi="宋体" w:hint="eastAsia"/>
          <w:color w:val="000000" w:themeColor="text1"/>
          <w:kern w:val="2"/>
        </w:rPr>
        <w:t>2016</w:t>
      </w:r>
      <w:r>
        <w:rPr>
          <w:rFonts w:ascii="宋体" w:eastAsia="宋体" w:hAnsi="宋体" w:hint="eastAsia"/>
          <w:color w:val="000000" w:themeColor="text1"/>
          <w:kern w:val="2"/>
        </w:rPr>
        <w:t>年，工业和信息化部联合国家标准化管理委员会共同发布了《绿色制造标准体系建设指南》，提出要构建绿色制造标准体系，加快绿色供应链、绿色产品、绿色工厂、绿色企业、绿色园区等重点领域标准制修订，促进我国制造业绿色转型升级。</w:t>
      </w:r>
      <w:r>
        <w:rPr>
          <w:rFonts w:ascii="宋体" w:eastAsia="宋体" w:hAnsi="宋体" w:hint="eastAsia"/>
          <w:color w:val="000000" w:themeColor="text1"/>
          <w:kern w:val="2"/>
        </w:rPr>
        <w:t>2016</w:t>
      </w:r>
      <w:r>
        <w:rPr>
          <w:rFonts w:ascii="宋体" w:eastAsia="宋体" w:hAnsi="宋体" w:hint="eastAsia"/>
          <w:color w:val="000000" w:themeColor="text1"/>
          <w:kern w:val="2"/>
        </w:rPr>
        <w:t>年，工业和信息化部发布了《关于开展绿色制造体系建设的通知》（工信厅〔</w:t>
      </w:r>
      <w:r>
        <w:rPr>
          <w:rFonts w:ascii="宋体" w:eastAsia="宋体" w:hAnsi="宋体" w:hint="eastAsia"/>
          <w:color w:val="000000" w:themeColor="text1"/>
          <w:kern w:val="2"/>
        </w:rPr>
        <w:t>2016</w:t>
      </w:r>
      <w:r>
        <w:rPr>
          <w:rFonts w:ascii="宋体" w:eastAsia="宋体" w:hAnsi="宋体" w:hint="eastAsia"/>
          <w:color w:val="000000" w:themeColor="text1"/>
          <w:kern w:val="2"/>
        </w:rPr>
        <w:t>〕</w:t>
      </w:r>
      <w:r>
        <w:rPr>
          <w:rFonts w:ascii="宋体" w:eastAsia="宋体" w:hAnsi="宋体" w:hint="eastAsia"/>
          <w:color w:val="000000" w:themeColor="text1"/>
          <w:kern w:val="2"/>
        </w:rPr>
        <w:t>586</w:t>
      </w:r>
      <w:r>
        <w:rPr>
          <w:rFonts w:ascii="宋体" w:eastAsia="宋体" w:hAnsi="宋体" w:hint="eastAsia"/>
          <w:color w:val="000000" w:themeColor="text1"/>
          <w:kern w:val="2"/>
        </w:rPr>
        <w:t>号），提出到</w:t>
      </w:r>
      <w:r>
        <w:rPr>
          <w:rFonts w:ascii="宋体" w:eastAsia="宋体" w:hAnsi="宋体" w:hint="eastAsia"/>
          <w:color w:val="000000" w:themeColor="text1"/>
          <w:kern w:val="2"/>
        </w:rPr>
        <w:t>2020</w:t>
      </w:r>
      <w:r>
        <w:rPr>
          <w:rFonts w:ascii="宋体" w:eastAsia="宋体" w:hAnsi="宋体" w:hint="eastAsia"/>
          <w:color w:val="000000" w:themeColor="text1"/>
          <w:kern w:val="2"/>
        </w:rPr>
        <w:t>年，要发布</w:t>
      </w:r>
      <w:r>
        <w:rPr>
          <w:rFonts w:ascii="宋体" w:eastAsia="宋体" w:hAnsi="宋体" w:hint="eastAsia"/>
          <w:color w:val="000000" w:themeColor="text1"/>
          <w:kern w:val="2"/>
        </w:rPr>
        <w:t>10-20</w:t>
      </w:r>
      <w:r>
        <w:rPr>
          <w:rFonts w:ascii="宋体" w:eastAsia="宋体" w:hAnsi="宋体" w:hint="eastAsia"/>
          <w:color w:val="000000" w:themeColor="text1"/>
          <w:kern w:val="2"/>
        </w:rPr>
        <w:t>项绿色工厂标准；</w:t>
      </w:r>
      <w:r>
        <w:rPr>
          <w:rFonts w:ascii="宋体" w:eastAsia="宋体" w:hAnsi="宋体" w:hint="eastAsia"/>
          <w:color w:val="000000" w:themeColor="text1"/>
          <w:kern w:val="2"/>
        </w:rPr>
        <w:t>2018</w:t>
      </w:r>
      <w:r>
        <w:rPr>
          <w:rFonts w:ascii="宋体" w:eastAsia="宋体" w:hAnsi="宋体" w:hint="eastAsia"/>
          <w:color w:val="000000" w:themeColor="text1"/>
          <w:kern w:val="2"/>
        </w:rPr>
        <w:t>年，国家标准化管理委员会正式发布了《绿色工厂评价通则》（</w:t>
      </w:r>
      <w:r>
        <w:rPr>
          <w:rFonts w:ascii="宋体" w:eastAsia="宋体" w:hAnsi="宋体" w:hint="eastAsia"/>
          <w:color w:val="000000" w:themeColor="text1"/>
          <w:kern w:val="2"/>
        </w:rPr>
        <w:t>GB/T 36132-2018</w:t>
      </w:r>
      <w:r>
        <w:rPr>
          <w:rFonts w:ascii="宋体" w:eastAsia="宋体" w:hAnsi="宋体" w:hint="eastAsia"/>
          <w:color w:val="000000" w:themeColor="text1"/>
          <w:kern w:val="2"/>
        </w:rPr>
        <w:t>），规定了绿色工厂评价的指标体系及通用要求，提出</w:t>
      </w:r>
      <w:r>
        <w:rPr>
          <w:rFonts w:ascii="宋体" w:eastAsia="宋体" w:hAnsi="宋体" w:hint="eastAsia"/>
          <w:color w:val="000000" w:themeColor="text1"/>
          <w:kern w:val="2"/>
        </w:rPr>
        <w:t>了工业行业制定绿色工厂评价标准或具体要求的总体要求。目前，国内各个行业的绿色工厂标准正在密集的制定出台过程中。</w:t>
      </w:r>
    </w:p>
    <w:p w14:paraId="6F24CE01" w14:textId="77777777" w:rsidR="0005429C" w:rsidRDefault="00B43252">
      <w:pPr>
        <w:pStyle w:val="ac"/>
        <w:spacing w:before="0" w:beforeAutospacing="0" w:after="0" w:afterAutospacing="0" w:line="360" w:lineRule="auto"/>
        <w:ind w:firstLineChars="200" w:firstLine="480"/>
        <w:jc w:val="both"/>
        <w:rPr>
          <w:rFonts w:ascii="宋体" w:eastAsia="宋体" w:hAnsi="宋体"/>
          <w:color w:val="000000" w:themeColor="text1"/>
          <w:kern w:val="2"/>
        </w:rPr>
      </w:pPr>
      <w:r>
        <w:rPr>
          <w:rFonts w:ascii="宋体" w:eastAsia="宋体" w:hAnsi="宋体" w:hint="eastAsia"/>
          <w:color w:val="000000" w:themeColor="text1"/>
          <w:kern w:val="2"/>
        </w:rPr>
        <w:t>光伏产业是全球能源科技和产业的重要发展方向，是加快生态文明建设的战略选择，对推动形成绿色发展方式和生活方式具有重要作用，是国家大力扶持的新兴行业。我国《太阳能发展“十三五”规划》提出要让太阳能成为推动能源革命的重要力量，光伏发电量到“十三五”末要达到</w:t>
      </w:r>
      <w:r>
        <w:rPr>
          <w:rFonts w:ascii="宋体" w:eastAsia="宋体" w:hAnsi="宋体" w:hint="eastAsia"/>
          <w:color w:val="000000" w:themeColor="text1"/>
          <w:kern w:val="2"/>
        </w:rPr>
        <w:t>2015</w:t>
      </w:r>
      <w:r>
        <w:rPr>
          <w:rFonts w:ascii="宋体" w:eastAsia="宋体" w:hAnsi="宋体" w:hint="eastAsia"/>
          <w:color w:val="000000" w:themeColor="text1"/>
          <w:kern w:val="2"/>
        </w:rPr>
        <w:t>年的</w:t>
      </w:r>
      <w:r>
        <w:rPr>
          <w:rFonts w:ascii="宋体" w:eastAsia="宋体" w:hAnsi="宋体" w:hint="eastAsia"/>
          <w:color w:val="000000" w:themeColor="text1"/>
          <w:kern w:val="2"/>
        </w:rPr>
        <w:t>2.43</w:t>
      </w:r>
      <w:r>
        <w:rPr>
          <w:rFonts w:ascii="宋体" w:eastAsia="宋体" w:hAnsi="宋体" w:hint="eastAsia"/>
          <w:color w:val="000000" w:themeColor="text1"/>
          <w:kern w:val="2"/>
        </w:rPr>
        <w:t>倍，而多晶硅是光伏行业发展的重要原材料。然而，由于多晶硅行</w:t>
      </w:r>
      <w:r>
        <w:rPr>
          <w:rFonts w:ascii="宋体" w:eastAsia="宋体" w:hAnsi="宋体" w:hint="eastAsia"/>
          <w:color w:val="000000" w:themeColor="text1"/>
          <w:kern w:val="2"/>
        </w:rPr>
        <w:t>业高能耗的行业特性，国家对多晶硅行业的提出了越来越严格的要求，将能耗、污</w:t>
      </w:r>
      <w:r>
        <w:rPr>
          <w:rFonts w:ascii="宋体" w:eastAsia="宋体" w:hAnsi="宋体" w:hint="eastAsia"/>
          <w:color w:val="000000" w:themeColor="text1"/>
          <w:kern w:val="2"/>
        </w:rPr>
        <w:t>染、排放和质量等绿色相关指标等纳入了多晶硅行业落后产能淘汰要求，</w:t>
      </w:r>
      <w:r>
        <w:rPr>
          <w:rFonts w:ascii="宋体" w:eastAsia="宋体" w:hAnsi="宋体" w:hint="eastAsia"/>
          <w:color w:val="000000" w:themeColor="text1"/>
          <w:kern w:val="2"/>
        </w:rPr>
        <w:t>2018</w:t>
      </w:r>
      <w:r>
        <w:rPr>
          <w:rFonts w:ascii="宋体" w:eastAsia="宋体" w:hAnsi="宋体" w:hint="eastAsia"/>
          <w:color w:val="000000" w:themeColor="text1"/>
          <w:kern w:val="2"/>
        </w:rPr>
        <w:t>年，工信部发布了《光伏制造行业规范条件（</w:t>
      </w:r>
      <w:r>
        <w:rPr>
          <w:rFonts w:ascii="宋体" w:eastAsia="宋体" w:hAnsi="宋体" w:hint="eastAsia"/>
          <w:color w:val="000000" w:themeColor="text1"/>
          <w:kern w:val="2"/>
        </w:rPr>
        <w:t>2018</w:t>
      </w:r>
      <w:r>
        <w:rPr>
          <w:rFonts w:ascii="宋体" w:eastAsia="宋体" w:hAnsi="宋体" w:hint="eastAsia"/>
          <w:color w:val="000000" w:themeColor="text1"/>
          <w:kern w:val="2"/>
        </w:rPr>
        <w:t>年）》，对光伏制造行业的资源能源消耗及环境保护指标提出了更高的准入条件要求</w:t>
      </w:r>
      <w:r>
        <w:rPr>
          <w:rFonts w:ascii="宋体" w:eastAsia="宋体" w:hAnsi="宋体"/>
          <w:color w:val="000000" w:themeColor="text1"/>
          <w:kern w:val="2"/>
        </w:rPr>
        <w:t>，</w:t>
      </w:r>
      <w:r>
        <w:rPr>
          <w:rFonts w:ascii="宋体" w:eastAsia="宋体" w:hAnsi="宋体" w:hint="eastAsia"/>
          <w:color w:val="000000" w:themeColor="text1"/>
          <w:kern w:val="2"/>
          <w:lang w:eastAsia="zh-Hans"/>
        </w:rPr>
        <w:t>随着行业的发展</w:t>
      </w:r>
      <w:r>
        <w:rPr>
          <w:rFonts w:ascii="宋体" w:eastAsia="宋体" w:hAnsi="宋体"/>
          <w:color w:val="000000" w:themeColor="text1"/>
          <w:kern w:val="2"/>
          <w:lang w:eastAsia="zh-Hans"/>
        </w:rPr>
        <w:t>2020</w:t>
      </w:r>
      <w:r>
        <w:rPr>
          <w:rFonts w:ascii="宋体" w:eastAsia="宋体" w:hAnsi="宋体" w:hint="eastAsia"/>
          <w:color w:val="000000" w:themeColor="text1"/>
          <w:kern w:val="2"/>
          <w:lang w:eastAsia="zh-Hans"/>
        </w:rPr>
        <w:t>年</w:t>
      </w:r>
      <w:r>
        <w:rPr>
          <w:rFonts w:ascii="宋体" w:eastAsia="宋体" w:hAnsi="宋体" w:hint="eastAsia"/>
          <w:color w:val="000000" w:themeColor="text1"/>
          <w:kern w:val="2"/>
        </w:rPr>
        <w:t>《光伏制造行业规范条件</w:t>
      </w:r>
      <w:r>
        <w:rPr>
          <w:rFonts w:ascii="宋体" w:eastAsia="宋体" w:hAnsi="宋体"/>
          <w:color w:val="000000" w:themeColor="text1"/>
          <w:kern w:val="2"/>
        </w:rPr>
        <w:t>》</w:t>
      </w:r>
      <w:r>
        <w:rPr>
          <w:rFonts w:ascii="宋体" w:eastAsia="宋体" w:hAnsi="宋体" w:hint="eastAsia"/>
          <w:color w:val="000000" w:themeColor="text1"/>
          <w:kern w:val="2"/>
          <w:lang w:eastAsia="zh-Hans"/>
        </w:rPr>
        <w:t>有了新的变化</w:t>
      </w:r>
      <w:r>
        <w:rPr>
          <w:rFonts w:ascii="宋体" w:eastAsia="宋体" w:hAnsi="宋体"/>
          <w:color w:val="000000" w:themeColor="text1"/>
          <w:kern w:val="2"/>
          <w:lang w:eastAsia="zh-Hans"/>
        </w:rPr>
        <w:t>，</w:t>
      </w:r>
      <w:r>
        <w:rPr>
          <w:rFonts w:ascii="宋体" w:eastAsia="宋体" w:hAnsi="宋体" w:hint="eastAsia"/>
          <w:color w:val="000000" w:themeColor="text1"/>
          <w:kern w:val="2"/>
          <w:lang w:eastAsia="zh-Hans"/>
        </w:rPr>
        <w:t>提出了更高的规范条件</w:t>
      </w:r>
      <w:r>
        <w:rPr>
          <w:rFonts w:ascii="宋体" w:eastAsia="宋体" w:hAnsi="宋体" w:hint="eastAsia"/>
          <w:color w:val="000000" w:themeColor="text1"/>
          <w:kern w:val="2"/>
        </w:rPr>
        <w:t>。</w:t>
      </w:r>
    </w:p>
    <w:p w14:paraId="71FFF9CA" w14:textId="77777777" w:rsidR="0005429C" w:rsidRDefault="00B43252">
      <w:pPr>
        <w:widowControl/>
        <w:spacing w:line="360" w:lineRule="auto"/>
        <w:ind w:firstLineChars="200" w:firstLine="480"/>
        <w:jc w:val="left"/>
        <w:rPr>
          <w:color w:val="000000" w:themeColor="text1"/>
          <w:sz w:val="24"/>
        </w:rPr>
      </w:pPr>
      <w:r>
        <w:rPr>
          <w:rFonts w:ascii="宋体" w:eastAsia="宋体" w:hAnsi="宋体" w:hint="eastAsia"/>
          <w:color w:val="000000" w:themeColor="text1"/>
          <w:sz w:val="24"/>
          <w:lang w:eastAsia="zh-Hans"/>
        </w:rPr>
        <w:t>响应国家绿色可持续发展的要求</w:t>
      </w:r>
      <w:r>
        <w:rPr>
          <w:rFonts w:ascii="宋体" w:eastAsia="宋体" w:hAnsi="宋体"/>
          <w:color w:val="000000" w:themeColor="text1"/>
          <w:sz w:val="24"/>
          <w:lang w:eastAsia="zh-Hans"/>
        </w:rPr>
        <w:t>，</w:t>
      </w:r>
      <w:r>
        <w:rPr>
          <w:rFonts w:ascii="宋体" w:eastAsia="宋体" w:hAnsi="宋体" w:hint="eastAsia"/>
          <w:color w:val="000000" w:themeColor="text1"/>
          <w:sz w:val="24"/>
          <w:lang w:eastAsia="zh-Hans"/>
        </w:rPr>
        <w:t>多晶硅行业先后发布了关于产品和中间产品的多项绿色标准</w:t>
      </w:r>
      <w:r>
        <w:rPr>
          <w:rStyle w:val="af5"/>
          <w:color w:val="000000" w:themeColor="text1"/>
        </w:rPr>
        <w:t>，</w:t>
      </w:r>
      <w:r>
        <w:rPr>
          <w:rStyle w:val="af5"/>
          <w:rFonts w:hint="eastAsia"/>
          <w:color w:val="000000" w:themeColor="text1"/>
          <w:lang w:eastAsia="zh-Hans"/>
        </w:rPr>
        <w:t>为进一步实现产业的绿色发展</w:t>
      </w:r>
      <w:r>
        <w:rPr>
          <w:rStyle w:val="af5"/>
          <w:color w:val="000000" w:themeColor="text1"/>
          <w:lang w:eastAsia="zh-Hans"/>
        </w:rPr>
        <w:t>，</w:t>
      </w:r>
      <w:r>
        <w:rPr>
          <w:rStyle w:val="af5"/>
          <w:rFonts w:hint="eastAsia"/>
          <w:color w:val="000000" w:themeColor="text1"/>
          <w:lang w:eastAsia="zh-Hans"/>
        </w:rPr>
        <w:t>现根据</w:t>
      </w:r>
      <w:r>
        <w:rPr>
          <w:rFonts w:ascii="宋体" w:eastAsia="宋体" w:hAnsi="宋体" w:hint="eastAsia"/>
          <w:color w:val="000000" w:themeColor="text1"/>
        </w:rPr>
        <w:t>《绿色工厂评价通则》（</w:t>
      </w:r>
      <w:r>
        <w:rPr>
          <w:rFonts w:ascii="宋体" w:eastAsia="宋体" w:hAnsi="宋体" w:hint="eastAsia"/>
          <w:color w:val="000000" w:themeColor="text1"/>
        </w:rPr>
        <w:t>GB/T 36132-2018</w:t>
      </w:r>
      <w:r>
        <w:rPr>
          <w:rFonts w:ascii="宋体" w:eastAsia="宋体" w:hAnsi="宋体" w:hint="eastAsia"/>
          <w:color w:val="000000" w:themeColor="text1"/>
        </w:rPr>
        <w:t>）</w:t>
      </w:r>
      <w:r>
        <w:rPr>
          <w:rFonts w:ascii="宋体" w:eastAsia="宋体" w:hAnsi="宋体" w:hint="eastAsia"/>
          <w:color w:val="000000" w:themeColor="text1"/>
          <w:sz w:val="24"/>
        </w:rPr>
        <w:t>编制《多晶硅行业绿色工厂评价要求》，多晶硅行业</w:t>
      </w:r>
      <w:r>
        <w:rPr>
          <w:rFonts w:ascii="宋体" w:eastAsia="宋体" w:hAnsi="宋体" w:hint="eastAsia"/>
          <w:color w:val="000000" w:themeColor="text1"/>
          <w:sz w:val="24"/>
        </w:rPr>
        <w:t>工厂提出关于基础设施、管理体系、能源与资源投入、环境排放及环境质量等维度的绿色化</w:t>
      </w:r>
      <w:r>
        <w:rPr>
          <w:rFonts w:hint="eastAsia"/>
          <w:color w:val="000000" w:themeColor="text1"/>
          <w:sz w:val="24"/>
        </w:rPr>
        <w:t>要求，有助于促进多晶硅行业产业结构调整，在标准的引领带动下实现行业整体绿色水平提升，并培育国内多晶硅行业绿色化的高端产业集群，提高多晶硅行业，乃至太阳能光伏行业的国际竞争力。</w:t>
      </w:r>
    </w:p>
    <w:p w14:paraId="041EBD49" w14:textId="77777777" w:rsidR="0005429C" w:rsidRDefault="00B43252">
      <w:pPr>
        <w:widowControl/>
        <w:spacing w:line="360" w:lineRule="auto"/>
        <w:jc w:val="left"/>
        <w:rPr>
          <w:rFonts w:ascii="黑体" w:eastAsia="黑体" w:hAnsi="黑体"/>
          <w:color w:val="000000" w:themeColor="text1"/>
          <w:kern w:val="44"/>
          <w:sz w:val="24"/>
        </w:rPr>
      </w:pPr>
      <w:r>
        <w:rPr>
          <w:rFonts w:ascii="黑体" w:eastAsia="黑体" w:hAnsi="黑体"/>
          <w:color w:val="000000" w:themeColor="text1"/>
          <w:kern w:val="44"/>
          <w:sz w:val="24"/>
        </w:rPr>
        <w:t>2</w:t>
      </w:r>
      <w:r>
        <w:rPr>
          <w:rFonts w:ascii="黑体" w:eastAsia="黑体" w:hAnsi="黑体" w:hint="eastAsia"/>
          <w:color w:val="000000" w:themeColor="text1"/>
          <w:kern w:val="44"/>
          <w:sz w:val="24"/>
        </w:rPr>
        <w:t xml:space="preserve"> </w:t>
      </w:r>
      <w:r>
        <w:rPr>
          <w:rFonts w:ascii="黑体" w:eastAsia="黑体" w:hAnsi="黑体"/>
          <w:color w:val="000000" w:themeColor="text1"/>
          <w:kern w:val="44"/>
          <w:sz w:val="24"/>
        </w:rPr>
        <w:t xml:space="preserve"> </w:t>
      </w:r>
      <w:r>
        <w:rPr>
          <w:rFonts w:ascii="黑体" w:eastAsia="黑体" w:hAnsi="黑体" w:hint="eastAsia"/>
          <w:color w:val="000000" w:themeColor="text1"/>
          <w:kern w:val="44"/>
          <w:sz w:val="24"/>
        </w:rPr>
        <w:t>任务来源</w:t>
      </w:r>
    </w:p>
    <w:p w14:paraId="2A505996" w14:textId="77777777" w:rsidR="0005429C" w:rsidRDefault="00B43252">
      <w:pPr>
        <w:spacing w:line="360" w:lineRule="auto"/>
        <w:ind w:firstLine="420"/>
        <w:rPr>
          <w:rFonts w:ascii="宋体" w:eastAsia="宋体" w:hAnsi="宋体"/>
          <w:color w:val="000000" w:themeColor="text1"/>
          <w:sz w:val="24"/>
        </w:rPr>
      </w:pPr>
      <w:r>
        <w:rPr>
          <w:rFonts w:hint="eastAsia"/>
          <w:color w:val="000000" w:themeColor="text1"/>
          <w:sz w:val="24"/>
        </w:rPr>
        <w:lastRenderedPageBreak/>
        <w:t>根据《工业和信</w:t>
      </w:r>
      <w:r>
        <w:rPr>
          <w:rFonts w:ascii="宋体" w:eastAsia="宋体" w:hAnsi="宋体" w:hint="eastAsia"/>
          <w:color w:val="000000" w:themeColor="text1"/>
          <w:sz w:val="24"/>
        </w:rPr>
        <w:t>息化部办公厅关于印发</w:t>
      </w:r>
      <w:r>
        <w:rPr>
          <w:rFonts w:ascii="宋体" w:eastAsia="宋体" w:hAnsi="宋体" w:hint="eastAsia"/>
          <w:color w:val="000000" w:themeColor="text1"/>
          <w:sz w:val="24"/>
        </w:rPr>
        <w:t>2019</w:t>
      </w:r>
      <w:r>
        <w:rPr>
          <w:rFonts w:ascii="宋体" w:eastAsia="宋体" w:hAnsi="宋体" w:hint="eastAsia"/>
          <w:color w:val="000000" w:themeColor="text1"/>
          <w:sz w:val="24"/>
        </w:rPr>
        <w:t>年第四批行业标准制修订和外文版项目计划的通知》（工信厅科函</w:t>
      </w:r>
      <w:r>
        <w:rPr>
          <w:rFonts w:ascii="宋体" w:eastAsia="宋体" w:hAnsi="宋体" w:hint="eastAsia"/>
          <w:color w:val="000000" w:themeColor="text1"/>
          <w:sz w:val="24"/>
        </w:rPr>
        <w:t>[2019]276</w:t>
      </w:r>
      <w:r>
        <w:rPr>
          <w:rFonts w:ascii="宋体" w:eastAsia="宋体" w:hAnsi="宋体" w:hint="eastAsia"/>
          <w:color w:val="000000" w:themeColor="text1"/>
          <w:sz w:val="24"/>
        </w:rPr>
        <w:t>号）的要求，由新特能源股份有限公司负责制定《多晶硅行业绿色工厂评价要求》，由全国有色金属标准化技术委员会、全国半导体设备和材料标准化技术委员会材料分会负责归口，计划编号</w:t>
      </w:r>
      <w:r>
        <w:rPr>
          <w:rFonts w:ascii="宋体" w:eastAsia="宋体" w:hAnsi="宋体" w:hint="eastAsia"/>
          <w:color w:val="000000" w:themeColor="text1"/>
          <w:sz w:val="24"/>
        </w:rPr>
        <w:t>2019-1558T-YS</w:t>
      </w:r>
      <w:r>
        <w:rPr>
          <w:rFonts w:ascii="宋体" w:eastAsia="宋体" w:hAnsi="宋体" w:hint="eastAsia"/>
          <w:color w:val="000000" w:themeColor="text1"/>
          <w:sz w:val="24"/>
        </w:rPr>
        <w:t>，计划完成时间为</w:t>
      </w:r>
      <w:r>
        <w:rPr>
          <w:rFonts w:ascii="宋体" w:eastAsia="宋体" w:hAnsi="宋体" w:hint="eastAsia"/>
          <w:color w:val="000000" w:themeColor="text1"/>
          <w:sz w:val="24"/>
        </w:rPr>
        <w:t>2021</w:t>
      </w:r>
      <w:r>
        <w:rPr>
          <w:rFonts w:ascii="宋体" w:eastAsia="宋体" w:hAnsi="宋体" w:hint="eastAsia"/>
          <w:color w:val="000000" w:themeColor="text1"/>
          <w:sz w:val="24"/>
        </w:rPr>
        <w:t>年。</w:t>
      </w:r>
    </w:p>
    <w:p w14:paraId="67898E94" w14:textId="77777777" w:rsidR="0005429C" w:rsidRDefault="00B43252">
      <w:pPr>
        <w:widowControl/>
        <w:spacing w:line="360" w:lineRule="auto"/>
        <w:jc w:val="left"/>
        <w:rPr>
          <w:rFonts w:ascii="黑体" w:eastAsia="黑体" w:hAnsi="黑体"/>
          <w:color w:val="000000" w:themeColor="text1"/>
          <w:kern w:val="44"/>
          <w:sz w:val="24"/>
        </w:rPr>
      </w:pPr>
      <w:r>
        <w:rPr>
          <w:rFonts w:ascii="黑体" w:eastAsia="黑体" w:hAnsi="黑体" w:hint="eastAsia"/>
          <w:color w:val="000000" w:themeColor="text1"/>
          <w:kern w:val="44"/>
          <w:sz w:val="24"/>
        </w:rPr>
        <w:t>3</w:t>
      </w:r>
      <w:r>
        <w:rPr>
          <w:rFonts w:ascii="黑体" w:eastAsia="黑体" w:hAnsi="黑体"/>
          <w:color w:val="000000" w:themeColor="text1"/>
          <w:kern w:val="44"/>
          <w:sz w:val="24"/>
        </w:rPr>
        <w:t xml:space="preserve">  </w:t>
      </w:r>
      <w:r>
        <w:rPr>
          <w:rFonts w:ascii="黑体" w:eastAsia="黑体" w:hAnsi="黑体"/>
          <w:color w:val="000000" w:themeColor="text1"/>
          <w:kern w:val="44"/>
          <w:sz w:val="24"/>
        </w:rPr>
        <w:t>编制单位简况</w:t>
      </w:r>
    </w:p>
    <w:p w14:paraId="232FC1B9" w14:textId="77777777" w:rsidR="0005429C" w:rsidRDefault="00B43252">
      <w:pPr>
        <w:widowControl/>
        <w:spacing w:line="360" w:lineRule="auto"/>
        <w:jc w:val="left"/>
        <w:rPr>
          <w:rFonts w:ascii="黑体" w:eastAsia="黑体" w:hAnsi="黑体"/>
          <w:color w:val="000000" w:themeColor="text1"/>
          <w:kern w:val="44"/>
          <w:sz w:val="24"/>
        </w:rPr>
      </w:pPr>
      <w:bookmarkStart w:id="0" w:name="_Toc511234381"/>
      <w:bookmarkStart w:id="1" w:name="_Toc458287585"/>
      <w:bookmarkStart w:id="2" w:name="_Toc497309498"/>
      <w:bookmarkStart w:id="3" w:name="_Toc508985098"/>
      <w:r>
        <w:rPr>
          <w:rFonts w:ascii="黑体" w:eastAsia="黑体" w:hAnsi="黑体"/>
          <w:color w:val="000000" w:themeColor="text1"/>
          <w:kern w:val="44"/>
          <w:sz w:val="24"/>
        </w:rPr>
        <w:t xml:space="preserve">1.3.1  </w:t>
      </w:r>
      <w:r>
        <w:rPr>
          <w:rFonts w:ascii="黑体" w:eastAsia="黑体" w:hAnsi="黑体"/>
          <w:color w:val="000000" w:themeColor="text1"/>
          <w:kern w:val="44"/>
          <w:sz w:val="24"/>
        </w:rPr>
        <w:t>编制组成员单位</w:t>
      </w:r>
      <w:bookmarkEnd w:id="0"/>
      <w:bookmarkEnd w:id="1"/>
      <w:bookmarkEnd w:id="2"/>
      <w:bookmarkEnd w:id="3"/>
    </w:p>
    <w:p w14:paraId="7A2796A4" w14:textId="77777777" w:rsidR="0005429C" w:rsidRDefault="00B43252">
      <w:pPr>
        <w:pStyle w:val="1"/>
        <w:keepNext w:val="0"/>
        <w:keepLines w:val="0"/>
        <w:widowControl/>
        <w:spacing w:before="0" w:after="0" w:line="360" w:lineRule="auto"/>
        <w:ind w:firstLineChars="200" w:firstLine="480"/>
        <w:rPr>
          <w:rFonts w:eastAsiaTheme="minorEastAsia"/>
          <w:b w:val="0"/>
          <w:bCs w:val="0"/>
          <w:color w:val="000000" w:themeColor="text1"/>
          <w:kern w:val="2"/>
          <w:sz w:val="24"/>
          <w:szCs w:val="24"/>
        </w:rPr>
      </w:pPr>
      <w:r>
        <w:rPr>
          <w:rFonts w:eastAsiaTheme="minorEastAsia" w:hint="eastAsia"/>
          <w:b w:val="0"/>
          <w:bCs w:val="0"/>
          <w:color w:val="000000" w:themeColor="text1"/>
          <w:kern w:val="2"/>
          <w:sz w:val="24"/>
          <w:szCs w:val="24"/>
        </w:rPr>
        <w:t>本项目由新特能源股份有限公司、（洛阳中硅高科技有限公司、江苏中能硅业科技发展有限公司、新疆大全新能源股份有限公司、亚洲硅业（青海）股份</w:t>
      </w:r>
      <w:r>
        <w:rPr>
          <w:rFonts w:eastAsiaTheme="minorEastAsia" w:hint="eastAsia"/>
          <w:b w:val="0"/>
          <w:bCs w:val="0"/>
          <w:color w:val="000000" w:themeColor="text1"/>
          <w:kern w:val="2"/>
          <w:sz w:val="24"/>
          <w:szCs w:val="24"/>
        </w:rPr>
        <w:t>有限公司、青海黄河上游水电开发有限责任公司新能源分公司、四川永祥股份有限公司、新疆协鑫新能源材料科技有限公司、宜昌南玻硅材料有限公司）（待定）等单位共同起草，这些编制组成员单位均是我国多晶硅的主要生产单位。</w:t>
      </w:r>
    </w:p>
    <w:p w14:paraId="5BCB19DF" w14:textId="77777777" w:rsidR="0005429C" w:rsidRDefault="00B43252">
      <w:pPr>
        <w:widowControl/>
        <w:spacing w:line="360" w:lineRule="auto"/>
        <w:jc w:val="left"/>
        <w:rPr>
          <w:rFonts w:ascii="黑体" w:eastAsia="黑体" w:hAnsi="黑体"/>
          <w:color w:val="000000" w:themeColor="text1"/>
          <w:kern w:val="44"/>
          <w:sz w:val="24"/>
        </w:rPr>
      </w:pPr>
      <w:bookmarkStart w:id="4" w:name="_Toc497309499"/>
      <w:bookmarkStart w:id="5" w:name="_Toc458287586"/>
      <w:bookmarkStart w:id="6" w:name="_Toc508985099"/>
      <w:bookmarkStart w:id="7" w:name="_Toc511234382"/>
      <w:r>
        <w:rPr>
          <w:rFonts w:ascii="黑体" w:eastAsia="黑体" w:hAnsi="黑体"/>
          <w:color w:val="000000" w:themeColor="text1"/>
          <w:kern w:val="44"/>
          <w:sz w:val="24"/>
        </w:rPr>
        <w:t xml:space="preserve">1.3.2  </w:t>
      </w:r>
      <w:r>
        <w:rPr>
          <w:rFonts w:ascii="黑体" w:eastAsia="黑体" w:hAnsi="黑体"/>
          <w:color w:val="000000" w:themeColor="text1"/>
          <w:kern w:val="44"/>
          <w:sz w:val="24"/>
        </w:rPr>
        <w:t>主编单位简介</w:t>
      </w:r>
      <w:bookmarkEnd w:id="4"/>
      <w:bookmarkEnd w:id="5"/>
      <w:bookmarkEnd w:id="6"/>
      <w:bookmarkEnd w:id="7"/>
    </w:p>
    <w:p w14:paraId="19AC6970" w14:textId="77777777" w:rsidR="0005429C" w:rsidRDefault="00B43252">
      <w:pPr>
        <w:spacing w:line="360" w:lineRule="auto"/>
        <w:ind w:firstLineChars="200" w:firstLine="480"/>
        <w:rPr>
          <w:rFonts w:ascii="宋体" w:eastAsia="宋体" w:hAnsi="宋体"/>
          <w:color w:val="000000" w:themeColor="text1"/>
          <w:sz w:val="24"/>
        </w:rPr>
      </w:pPr>
      <w:r>
        <w:rPr>
          <w:rFonts w:hint="eastAsia"/>
          <w:color w:val="000000" w:themeColor="text1"/>
          <w:sz w:val="24"/>
        </w:rPr>
        <w:t>新特能源股份有限公司，成立</w:t>
      </w:r>
      <w:r>
        <w:rPr>
          <w:rFonts w:ascii="宋体" w:eastAsia="宋体" w:hAnsi="宋体" w:hint="eastAsia"/>
          <w:color w:val="000000" w:themeColor="text1"/>
          <w:sz w:val="24"/>
        </w:rPr>
        <w:t>于</w:t>
      </w:r>
      <w:r>
        <w:rPr>
          <w:rFonts w:ascii="宋体" w:eastAsia="宋体" w:hAnsi="宋体" w:hint="eastAsia"/>
          <w:color w:val="000000" w:themeColor="text1"/>
          <w:sz w:val="24"/>
        </w:rPr>
        <w:t>2008</w:t>
      </w:r>
      <w:r>
        <w:rPr>
          <w:rFonts w:ascii="宋体" w:eastAsia="宋体" w:hAnsi="宋体" w:hint="eastAsia"/>
          <w:color w:val="000000" w:themeColor="text1"/>
          <w:sz w:val="24"/>
        </w:rPr>
        <w:t>年，主要推崇绿色制造、循环经济发展模式</w:t>
      </w:r>
      <w:r>
        <w:rPr>
          <w:rFonts w:ascii="宋体" w:eastAsia="宋体" w:hAnsi="宋体"/>
          <w:color w:val="000000" w:themeColor="text1"/>
          <w:sz w:val="24"/>
        </w:rPr>
        <w:t>。</w:t>
      </w:r>
      <w:r>
        <w:rPr>
          <w:rFonts w:ascii="宋体" w:eastAsia="宋体" w:hAnsi="宋体" w:hint="eastAsia"/>
          <w:color w:val="000000" w:themeColor="text1"/>
          <w:sz w:val="24"/>
        </w:rPr>
        <w:t>目前，多晶硅生产规模达到</w:t>
      </w:r>
      <w:r>
        <w:rPr>
          <w:rFonts w:ascii="宋体" w:eastAsia="宋体" w:hAnsi="宋体" w:hint="eastAsia"/>
          <w:color w:val="000000" w:themeColor="text1"/>
          <w:sz w:val="24"/>
        </w:rPr>
        <w:t>70000</w:t>
      </w:r>
      <w:r>
        <w:rPr>
          <w:rFonts w:ascii="宋体" w:eastAsia="宋体" w:hAnsi="宋体" w:hint="eastAsia"/>
          <w:color w:val="000000" w:themeColor="text1"/>
          <w:sz w:val="24"/>
        </w:rPr>
        <w:t>吨</w:t>
      </w:r>
      <w:r>
        <w:rPr>
          <w:rFonts w:ascii="宋体" w:eastAsia="宋体" w:hAnsi="宋体" w:hint="eastAsia"/>
          <w:color w:val="000000" w:themeColor="text1"/>
          <w:sz w:val="24"/>
        </w:rPr>
        <w:t>/</w:t>
      </w:r>
      <w:r>
        <w:rPr>
          <w:rFonts w:ascii="宋体" w:eastAsia="宋体" w:hAnsi="宋体" w:hint="eastAsia"/>
          <w:color w:val="000000" w:themeColor="text1"/>
          <w:sz w:val="24"/>
        </w:rPr>
        <w:t>年</w:t>
      </w:r>
      <w:bookmarkStart w:id="8" w:name="OLE_LINK3"/>
      <w:r>
        <w:rPr>
          <w:rFonts w:ascii="宋体" w:eastAsia="宋体" w:hAnsi="宋体" w:hint="eastAsia"/>
          <w:color w:val="000000" w:themeColor="text1"/>
          <w:sz w:val="24"/>
        </w:rPr>
        <w:t>，公司首批开展了绿色工厂评价的认定，于</w:t>
      </w:r>
      <w:r>
        <w:rPr>
          <w:rFonts w:ascii="宋体" w:eastAsia="宋体" w:hAnsi="宋体" w:hint="eastAsia"/>
          <w:color w:val="000000" w:themeColor="text1"/>
          <w:sz w:val="24"/>
        </w:rPr>
        <w:t>2018</w:t>
      </w:r>
      <w:r>
        <w:rPr>
          <w:rFonts w:ascii="宋体" w:eastAsia="宋体" w:hAnsi="宋体" w:hint="eastAsia"/>
          <w:color w:val="000000" w:themeColor="text1"/>
          <w:sz w:val="24"/>
        </w:rPr>
        <w:t>年</w:t>
      </w:r>
      <w:r>
        <w:rPr>
          <w:rFonts w:ascii="宋体" w:eastAsia="宋体" w:hAnsi="宋体" w:hint="eastAsia"/>
          <w:color w:val="000000" w:themeColor="text1"/>
          <w:sz w:val="24"/>
        </w:rPr>
        <w:t>8</w:t>
      </w:r>
      <w:r>
        <w:rPr>
          <w:rFonts w:ascii="宋体" w:eastAsia="宋体" w:hAnsi="宋体" w:hint="eastAsia"/>
          <w:color w:val="000000" w:themeColor="text1"/>
          <w:sz w:val="24"/>
        </w:rPr>
        <w:t>月获“多晶硅绿色工厂”认定授牌</w:t>
      </w:r>
      <w:r>
        <w:rPr>
          <w:rFonts w:hint="eastAsia"/>
          <w:color w:val="000000" w:themeColor="text1"/>
          <w:sz w:val="24"/>
        </w:rPr>
        <w:t>。</w:t>
      </w:r>
      <w:r>
        <w:rPr>
          <w:rFonts w:hint="eastAsia"/>
          <w:color w:val="000000" w:themeColor="text1"/>
          <w:sz w:val="24"/>
          <w:lang w:val="zh-CN"/>
        </w:rPr>
        <w:t>公司先后完成</w:t>
      </w:r>
      <w:r>
        <w:rPr>
          <w:rFonts w:hint="eastAsia"/>
          <w:color w:val="000000" w:themeColor="text1"/>
          <w:sz w:val="24"/>
        </w:rPr>
        <w:t>国家</w:t>
      </w:r>
      <w:r>
        <w:rPr>
          <w:rFonts w:hint="eastAsia"/>
          <w:color w:val="000000" w:themeColor="text1"/>
          <w:sz w:val="24"/>
          <w:lang w:val="zh-CN"/>
        </w:rPr>
        <w:t>标准《硅晶体中</w:t>
      </w:r>
      <w:r>
        <w:rPr>
          <w:rFonts w:ascii="宋体" w:eastAsia="宋体" w:hAnsi="宋体" w:hint="eastAsia"/>
          <w:color w:val="000000" w:themeColor="text1"/>
          <w:sz w:val="24"/>
          <w:lang w:val="zh-CN"/>
        </w:rPr>
        <w:t>间隙氧含量的红外吸收测量方法》、</w:t>
      </w:r>
      <w:r>
        <w:rPr>
          <w:rFonts w:ascii="宋体" w:eastAsia="宋体" w:hAnsi="宋体" w:hint="eastAsia"/>
          <w:color w:val="000000" w:themeColor="text1"/>
          <w:sz w:val="24"/>
        </w:rPr>
        <w:t>《节水性企业</w:t>
      </w:r>
      <w:r>
        <w:rPr>
          <w:rFonts w:ascii="宋体" w:eastAsia="宋体" w:hAnsi="宋体" w:hint="eastAsia"/>
          <w:color w:val="000000" w:themeColor="text1"/>
          <w:sz w:val="24"/>
        </w:rPr>
        <w:t xml:space="preserve"> </w:t>
      </w:r>
      <w:r>
        <w:rPr>
          <w:rFonts w:ascii="宋体" w:eastAsia="宋体" w:hAnsi="宋体" w:hint="eastAsia"/>
          <w:color w:val="000000" w:themeColor="text1"/>
          <w:sz w:val="24"/>
        </w:rPr>
        <w:t>多晶硅行业》、</w:t>
      </w:r>
      <w:r>
        <w:rPr>
          <w:rFonts w:ascii="宋体" w:eastAsia="宋体" w:hAnsi="宋体" w:hint="eastAsia"/>
          <w:color w:val="000000" w:themeColor="text1"/>
          <w:sz w:val="24"/>
          <w:lang w:val="zh-CN"/>
        </w:rPr>
        <w:t>协会标准《</w:t>
      </w:r>
      <w:r>
        <w:rPr>
          <w:rFonts w:ascii="宋体" w:eastAsia="宋体" w:hAnsi="宋体" w:hint="eastAsia"/>
          <w:color w:val="000000" w:themeColor="text1"/>
          <w:sz w:val="24"/>
        </w:rPr>
        <w:t>绿色设计产品评价技术规范</w:t>
      </w:r>
      <w:r>
        <w:rPr>
          <w:rFonts w:ascii="宋体" w:eastAsia="宋体" w:hAnsi="宋体" w:hint="eastAsia"/>
          <w:color w:val="000000" w:themeColor="text1"/>
          <w:sz w:val="24"/>
        </w:rPr>
        <w:t xml:space="preserve"> </w:t>
      </w:r>
      <w:r>
        <w:rPr>
          <w:rFonts w:ascii="宋体" w:eastAsia="宋体" w:hAnsi="宋体" w:hint="eastAsia"/>
          <w:color w:val="000000" w:themeColor="text1"/>
          <w:sz w:val="24"/>
        </w:rPr>
        <w:t>多晶硅</w:t>
      </w:r>
      <w:r>
        <w:rPr>
          <w:rFonts w:ascii="宋体" w:eastAsia="宋体" w:hAnsi="宋体" w:hint="eastAsia"/>
          <w:color w:val="000000" w:themeColor="text1"/>
          <w:sz w:val="24"/>
          <w:lang w:val="zh-CN"/>
        </w:rPr>
        <w:t>》、《多晶硅厂动火受限安全检测作业规范》</w:t>
      </w:r>
      <w:r>
        <w:rPr>
          <w:rFonts w:ascii="宋体" w:eastAsia="宋体" w:hAnsi="宋体" w:hint="eastAsia"/>
          <w:color w:val="000000" w:themeColor="text1"/>
          <w:sz w:val="24"/>
        </w:rPr>
        <w:t>等</w:t>
      </w:r>
      <w:r>
        <w:rPr>
          <w:rFonts w:ascii="宋体" w:eastAsia="宋体" w:hAnsi="宋体" w:hint="eastAsia"/>
          <w:color w:val="000000" w:themeColor="text1"/>
          <w:sz w:val="24"/>
        </w:rPr>
        <w:t>20</w:t>
      </w:r>
      <w:r>
        <w:rPr>
          <w:rFonts w:ascii="宋体" w:eastAsia="宋体" w:hAnsi="宋体" w:hint="eastAsia"/>
          <w:color w:val="000000" w:themeColor="text1"/>
          <w:sz w:val="24"/>
        </w:rPr>
        <w:t>余项标准</w:t>
      </w:r>
      <w:r>
        <w:rPr>
          <w:rFonts w:ascii="宋体" w:eastAsia="宋体" w:hAnsi="宋体" w:hint="eastAsia"/>
          <w:color w:val="000000" w:themeColor="text1"/>
          <w:sz w:val="24"/>
          <w:lang w:val="zh-CN"/>
        </w:rPr>
        <w:t>，</w:t>
      </w:r>
      <w:r>
        <w:rPr>
          <w:rFonts w:ascii="宋体" w:eastAsia="宋体" w:hAnsi="宋体" w:hint="eastAsia"/>
          <w:color w:val="000000" w:themeColor="text1"/>
          <w:sz w:val="24"/>
        </w:rPr>
        <w:t>参与</w:t>
      </w:r>
      <w:r>
        <w:rPr>
          <w:rFonts w:ascii="宋体" w:eastAsia="宋体" w:hAnsi="宋体" w:hint="eastAsia"/>
          <w:color w:val="000000" w:themeColor="text1"/>
          <w:sz w:val="24"/>
        </w:rPr>
        <w:t>SEMI</w:t>
      </w:r>
      <w:r>
        <w:rPr>
          <w:rFonts w:ascii="宋体" w:eastAsia="宋体" w:hAnsi="宋体" w:hint="eastAsia"/>
          <w:color w:val="000000" w:themeColor="text1"/>
          <w:sz w:val="24"/>
        </w:rPr>
        <w:t>标准</w:t>
      </w:r>
      <w:r>
        <w:rPr>
          <w:rFonts w:ascii="宋体" w:eastAsia="宋体" w:hAnsi="宋体" w:hint="eastAsia"/>
          <w:color w:val="000000" w:themeColor="text1"/>
          <w:sz w:val="24"/>
        </w:rPr>
        <w:t>4</w:t>
      </w:r>
      <w:r>
        <w:rPr>
          <w:rFonts w:ascii="宋体" w:eastAsia="宋体" w:hAnsi="宋体" w:hint="eastAsia"/>
          <w:color w:val="000000" w:themeColor="text1"/>
          <w:sz w:val="24"/>
        </w:rPr>
        <w:t>项</w:t>
      </w:r>
      <w:r>
        <w:rPr>
          <w:rFonts w:ascii="宋体" w:eastAsia="宋体" w:hAnsi="宋体" w:hint="eastAsia"/>
          <w:color w:val="000000" w:themeColor="text1"/>
          <w:sz w:val="24"/>
          <w:lang w:val="zh-CN"/>
        </w:rPr>
        <w:t>积累了一定的标准编制经验，公司具备了本标准制定及相关实验条件和分析能力。</w:t>
      </w:r>
      <w:bookmarkEnd w:id="8"/>
    </w:p>
    <w:p w14:paraId="0655B6F9" w14:textId="77777777" w:rsidR="0005429C" w:rsidRDefault="00B43252">
      <w:pPr>
        <w:pStyle w:val="3"/>
        <w:spacing w:beforeLines="0" w:afterLines="0" w:line="360" w:lineRule="auto"/>
        <w:ind w:left="0"/>
        <w:rPr>
          <w:color w:val="000000" w:themeColor="text1"/>
        </w:rPr>
      </w:pPr>
      <w:bookmarkStart w:id="9" w:name="_Toc511234383"/>
      <w:r>
        <w:rPr>
          <w:color w:val="000000" w:themeColor="text1"/>
        </w:rPr>
        <w:t xml:space="preserve">1.3.3 </w:t>
      </w:r>
      <w:r>
        <w:rPr>
          <w:rFonts w:hint="eastAsia"/>
          <w:color w:val="000000" w:themeColor="text1"/>
        </w:rPr>
        <w:t>参与单位简介</w:t>
      </w:r>
      <w:bookmarkEnd w:id="9"/>
    </w:p>
    <w:p w14:paraId="2159144C" w14:textId="77777777" w:rsidR="0005429C" w:rsidRDefault="00B43252">
      <w:pPr>
        <w:spacing w:line="360" w:lineRule="auto"/>
        <w:ind w:firstLine="420"/>
        <w:rPr>
          <w:rFonts w:ascii="宋体" w:eastAsia="宋体" w:hAnsi="宋体"/>
          <w:color w:val="000000" w:themeColor="text1"/>
          <w:sz w:val="24"/>
          <w:lang w:val="zh-CN"/>
        </w:rPr>
      </w:pPr>
      <w:r>
        <w:rPr>
          <w:rFonts w:ascii="宋体" w:eastAsia="宋体" w:hAnsi="宋体" w:hint="eastAsia"/>
          <w:color w:val="000000" w:themeColor="text1"/>
          <w:sz w:val="24"/>
          <w:lang w:val="zh-CN"/>
        </w:rPr>
        <w:t>洛阳中硅高科技有限公司（简称：中硅高科）是世界</w:t>
      </w:r>
      <w:r>
        <w:rPr>
          <w:rFonts w:ascii="宋体" w:eastAsia="宋体" w:hAnsi="宋体" w:hint="eastAsia"/>
          <w:color w:val="000000" w:themeColor="text1"/>
          <w:sz w:val="24"/>
          <w:lang w:val="zh-CN"/>
        </w:rPr>
        <w:t>500</w:t>
      </w:r>
      <w:r>
        <w:rPr>
          <w:rFonts w:ascii="宋体" w:eastAsia="宋体" w:hAnsi="宋体" w:hint="eastAsia"/>
          <w:color w:val="000000" w:themeColor="text1"/>
          <w:sz w:val="24"/>
          <w:lang w:val="zh-CN"/>
        </w:rPr>
        <w:t>强中国五矿下属的国有高新技术企业，成立于</w:t>
      </w:r>
      <w:r>
        <w:rPr>
          <w:rFonts w:ascii="宋体" w:eastAsia="宋体" w:hAnsi="宋体" w:hint="eastAsia"/>
          <w:color w:val="000000" w:themeColor="text1"/>
          <w:sz w:val="24"/>
          <w:lang w:val="zh-CN"/>
        </w:rPr>
        <w:t>2003</w:t>
      </w:r>
      <w:r>
        <w:rPr>
          <w:rFonts w:ascii="宋体" w:eastAsia="宋体" w:hAnsi="宋体" w:hint="eastAsia"/>
          <w:color w:val="000000" w:themeColor="text1"/>
          <w:sz w:val="24"/>
          <w:lang w:val="zh-CN"/>
        </w:rPr>
        <w:t>年</w:t>
      </w:r>
      <w:r>
        <w:rPr>
          <w:rFonts w:ascii="宋体" w:eastAsia="宋体" w:hAnsi="宋体" w:hint="eastAsia"/>
          <w:color w:val="000000" w:themeColor="text1"/>
          <w:sz w:val="24"/>
          <w:lang w:val="zh-CN"/>
        </w:rPr>
        <w:t>3</w:t>
      </w:r>
      <w:r>
        <w:rPr>
          <w:rFonts w:ascii="宋体" w:eastAsia="宋体" w:hAnsi="宋体" w:hint="eastAsia"/>
          <w:color w:val="000000" w:themeColor="text1"/>
          <w:sz w:val="24"/>
          <w:lang w:val="zh-CN"/>
        </w:rPr>
        <w:t>月，拥有唯一的多晶硅制备技术国家工程实验室、河南省超高纯硅材料工程研究中心等研发平台，设立了博士后科研工作站。主产品主要为多晶硅、电子级多晶硅、光纤四氯化硅、硅基电子特气等。</w:t>
      </w:r>
    </w:p>
    <w:p w14:paraId="716C7708" w14:textId="77777777" w:rsidR="0005429C" w:rsidRDefault="00B43252">
      <w:pPr>
        <w:pStyle w:val="3"/>
        <w:spacing w:beforeLines="0" w:afterLines="0" w:line="360" w:lineRule="auto"/>
        <w:ind w:left="0" w:firstLineChars="200" w:firstLine="464"/>
        <w:rPr>
          <w:rFonts w:ascii="宋体" w:eastAsia="宋体" w:hAnsi="宋体" w:cstheme="minorBidi"/>
          <w:color w:val="000000" w:themeColor="text1"/>
          <w:kern w:val="2"/>
          <w:lang w:val="zh-CN"/>
        </w:rPr>
      </w:pPr>
      <w:r>
        <w:rPr>
          <w:rFonts w:ascii="宋体" w:eastAsia="宋体" w:hAnsi="宋体" w:cstheme="minorBidi" w:hint="eastAsia"/>
          <w:color w:val="000000" w:themeColor="text1"/>
          <w:kern w:val="2"/>
          <w:lang w:val="zh-CN"/>
        </w:rPr>
        <w:t>新疆大全新能源股份有限公司是国内领先的高纯度多晶硅专业生产企业之一。公司从国外引进世界领先的设备和生产工艺，通过消化吸收、技术创新实现全自动、全循环的闭环式运行制造高纯多晶硅。生产过程物料利用率高、能耗低、绿色环保，各项技术指标达到国际先进水平。公司生产的高纯度多晶硅是太阳能光伏行业的主要原材料，可加工成硅锭、硅片、电池片和电池组件等产品。目前公司多晶硅的年产能为</w:t>
      </w:r>
      <w:r>
        <w:rPr>
          <w:rFonts w:ascii="宋体" w:eastAsia="宋体" w:hAnsi="宋体" w:cstheme="minorBidi" w:hint="eastAsia"/>
          <w:color w:val="000000" w:themeColor="text1"/>
          <w:kern w:val="2"/>
        </w:rPr>
        <w:t>7</w:t>
      </w:r>
      <w:r>
        <w:rPr>
          <w:rFonts w:ascii="宋体" w:eastAsia="宋体" w:hAnsi="宋体" w:cstheme="minorBidi" w:hint="eastAsia"/>
          <w:color w:val="000000" w:themeColor="text1"/>
          <w:kern w:val="2"/>
          <w:lang w:val="zh-CN"/>
        </w:rPr>
        <w:t>万吨。</w:t>
      </w:r>
    </w:p>
    <w:p w14:paraId="691F5C6C" w14:textId="77777777" w:rsidR="0005429C" w:rsidRDefault="00B43252">
      <w:pPr>
        <w:pStyle w:val="3"/>
        <w:spacing w:beforeLines="0" w:afterLines="0" w:line="360" w:lineRule="auto"/>
        <w:ind w:left="0" w:firstLineChars="200" w:firstLine="464"/>
        <w:rPr>
          <w:rFonts w:ascii="宋体" w:eastAsia="宋体" w:hAnsi="宋体"/>
          <w:color w:val="000000" w:themeColor="text1"/>
        </w:rPr>
      </w:pPr>
      <w:r>
        <w:rPr>
          <w:rFonts w:ascii="宋体" w:eastAsia="宋体" w:hAnsi="宋体" w:cstheme="minorBidi" w:hint="eastAsia"/>
          <w:color w:val="000000" w:themeColor="text1"/>
          <w:kern w:val="2"/>
          <w:lang w:val="zh-CN"/>
        </w:rPr>
        <w:lastRenderedPageBreak/>
        <w:t>四川永祥股份有限公司成立于</w:t>
      </w:r>
      <w:r>
        <w:rPr>
          <w:rFonts w:ascii="宋体" w:eastAsia="宋体" w:hAnsi="宋体" w:cstheme="minorBidi" w:hint="eastAsia"/>
          <w:color w:val="000000" w:themeColor="text1"/>
          <w:kern w:val="2"/>
          <w:lang w:val="zh-CN"/>
        </w:rPr>
        <w:t>2002</w:t>
      </w:r>
      <w:r>
        <w:rPr>
          <w:rFonts w:ascii="宋体" w:eastAsia="宋体" w:hAnsi="宋体" w:cstheme="minorBidi" w:hint="eastAsia"/>
          <w:color w:val="000000" w:themeColor="text1"/>
          <w:kern w:val="2"/>
          <w:lang w:val="zh-CN"/>
        </w:rPr>
        <w:t>年</w:t>
      </w:r>
      <w:r>
        <w:rPr>
          <w:rFonts w:ascii="宋体" w:eastAsia="宋体" w:hAnsi="宋体" w:cstheme="minorBidi" w:hint="eastAsia"/>
          <w:color w:val="000000" w:themeColor="text1"/>
          <w:kern w:val="2"/>
          <w:lang w:val="zh-CN"/>
        </w:rPr>
        <w:t>11</w:t>
      </w:r>
      <w:r>
        <w:rPr>
          <w:rFonts w:ascii="宋体" w:eastAsia="宋体" w:hAnsi="宋体" w:cstheme="minorBidi" w:hint="eastAsia"/>
          <w:color w:val="000000" w:themeColor="text1"/>
          <w:kern w:val="2"/>
          <w:lang w:val="zh-CN"/>
        </w:rPr>
        <w:t>月，是通威集团控股的通威股份有限公司（股票代码：</w:t>
      </w:r>
      <w:r>
        <w:rPr>
          <w:rFonts w:ascii="宋体" w:eastAsia="宋体" w:hAnsi="宋体" w:cstheme="minorBidi" w:hint="eastAsia"/>
          <w:color w:val="000000" w:themeColor="text1"/>
          <w:kern w:val="2"/>
          <w:lang w:val="zh-CN"/>
        </w:rPr>
        <w:t>600438</w:t>
      </w:r>
      <w:r>
        <w:rPr>
          <w:rFonts w:ascii="宋体" w:eastAsia="宋体" w:hAnsi="宋体" w:cstheme="minorBidi" w:hint="eastAsia"/>
          <w:color w:val="000000" w:themeColor="text1"/>
          <w:kern w:val="2"/>
          <w:lang w:val="zh-CN"/>
        </w:rPr>
        <w:t>）旗下的一家大型民营科技型企业，注册资本</w:t>
      </w:r>
      <w:r>
        <w:rPr>
          <w:rFonts w:ascii="宋体" w:eastAsia="宋体" w:hAnsi="宋体" w:cstheme="minorBidi" w:hint="eastAsia"/>
          <w:color w:val="000000" w:themeColor="text1"/>
          <w:kern w:val="2"/>
          <w:lang w:val="zh-CN"/>
        </w:rPr>
        <w:t>12.55</w:t>
      </w:r>
      <w:r>
        <w:rPr>
          <w:rFonts w:ascii="宋体" w:eastAsia="宋体" w:hAnsi="宋体" w:cstheme="minorBidi" w:hint="eastAsia"/>
          <w:color w:val="000000" w:themeColor="text1"/>
          <w:kern w:val="2"/>
          <w:lang w:val="zh-CN"/>
        </w:rPr>
        <w:t>亿元公司形成了从“盐卤、烧碱、聚氯乙烯到电石渣水泥”和从“氯化氢、三氯氢硅到多晶硅新能源”的新能源与化工完整结合的循环经济产业链。旗下拥有永祥树脂、永祥多晶硅、永祥硅材料、永祥新材料、永祥新能源、内蒙古通威、云南通威、通威绿能等分子公司，主要业务：高纯晶硅、电子级多晶硅、高效单晶硅片、食品级聚氯乙烯、高纯离子膜烧碱、电石渣综合利用水泥。目前高纯晶硅年产</w:t>
      </w:r>
      <w:r>
        <w:rPr>
          <w:rFonts w:ascii="宋体" w:eastAsia="宋体" w:hAnsi="宋体" w:cstheme="minorBidi" w:hint="eastAsia"/>
          <w:color w:val="000000" w:themeColor="text1"/>
          <w:kern w:val="2"/>
          <w:lang w:val="zh-CN"/>
        </w:rPr>
        <w:t>8</w:t>
      </w:r>
      <w:r>
        <w:rPr>
          <w:rFonts w:ascii="宋体" w:eastAsia="宋体" w:hAnsi="宋体" w:cstheme="minorBidi" w:hint="eastAsia"/>
          <w:color w:val="000000" w:themeColor="text1"/>
          <w:kern w:val="2"/>
          <w:lang w:val="zh-CN"/>
        </w:rPr>
        <w:t>万吨，</w:t>
      </w:r>
      <w:r>
        <w:rPr>
          <w:rFonts w:ascii="宋体" w:eastAsia="宋体" w:hAnsi="宋体" w:cstheme="minorBidi" w:hint="eastAsia"/>
          <w:color w:val="000000" w:themeColor="text1"/>
          <w:kern w:val="2"/>
          <w:lang w:val="zh-CN"/>
        </w:rPr>
        <w:t>单月出货量超过</w:t>
      </w:r>
      <w:r>
        <w:rPr>
          <w:rFonts w:ascii="宋体" w:eastAsia="宋体" w:hAnsi="宋体" w:cstheme="minorBidi" w:hint="eastAsia"/>
          <w:color w:val="000000" w:themeColor="text1"/>
          <w:kern w:val="2"/>
          <w:lang w:val="zh-CN"/>
        </w:rPr>
        <w:t>8000</w:t>
      </w:r>
      <w:r>
        <w:rPr>
          <w:rFonts w:ascii="宋体" w:eastAsia="宋体" w:hAnsi="宋体" w:cstheme="minorBidi" w:hint="eastAsia"/>
          <w:color w:val="000000" w:themeColor="text1"/>
          <w:kern w:val="2"/>
          <w:lang w:val="zh-CN"/>
        </w:rPr>
        <w:t>吨，全球前列。</w:t>
      </w:r>
    </w:p>
    <w:p w14:paraId="73299870" w14:textId="77777777" w:rsidR="0005429C" w:rsidRDefault="00B43252">
      <w:pPr>
        <w:pStyle w:val="2"/>
        <w:spacing w:line="360" w:lineRule="auto"/>
        <w:rPr>
          <w:color w:val="000000" w:themeColor="text1"/>
          <w:sz w:val="24"/>
          <w:szCs w:val="24"/>
        </w:rPr>
      </w:pPr>
      <w:bookmarkStart w:id="10" w:name="_Toc511234384"/>
      <w:r>
        <w:rPr>
          <w:rFonts w:ascii="黑体" w:hAnsi="黑体" w:hint="eastAsia"/>
          <w:color w:val="000000" w:themeColor="text1"/>
          <w:sz w:val="24"/>
          <w:szCs w:val="24"/>
        </w:rPr>
        <w:t>1</w:t>
      </w:r>
      <w:r>
        <w:rPr>
          <w:rFonts w:ascii="黑体" w:hAnsi="黑体"/>
          <w:color w:val="000000" w:themeColor="text1"/>
          <w:sz w:val="24"/>
          <w:szCs w:val="24"/>
        </w:rPr>
        <w:t xml:space="preserve">.4 </w:t>
      </w:r>
      <w:r>
        <w:rPr>
          <w:rFonts w:hint="eastAsia"/>
          <w:color w:val="000000" w:themeColor="text1"/>
          <w:sz w:val="24"/>
          <w:szCs w:val="24"/>
        </w:rPr>
        <w:t>工作过程</w:t>
      </w:r>
      <w:bookmarkEnd w:id="10"/>
    </w:p>
    <w:p w14:paraId="1DC9EE89" w14:textId="77777777" w:rsidR="0005429C" w:rsidRDefault="00B43252">
      <w:pPr>
        <w:rPr>
          <w:rFonts w:ascii="黑体" w:eastAsia="黑体" w:hAnsi="黑体"/>
          <w:color w:val="000000" w:themeColor="text1"/>
          <w:sz w:val="24"/>
        </w:rPr>
      </w:pPr>
      <w:r>
        <w:rPr>
          <w:rFonts w:ascii="黑体" w:eastAsia="黑体" w:hAnsi="黑体" w:hint="eastAsia"/>
          <w:color w:val="000000" w:themeColor="text1"/>
          <w:sz w:val="24"/>
        </w:rPr>
        <w:t>1</w:t>
      </w:r>
      <w:r>
        <w:rPr>
          <w:rFonts w:ascii="黑体" w:eastAsia="黑体" w:hAnsi="黑体"/>
          <w:color w:val="000000" w:themeColor="text1"/>
          <w:sz w:val="24"/>
        </w:rPr>
        <w:t xml:space="preserve">.4.1  </w:t>
      </w:r>
      <w:r>
        <w:rPr>
          <w:rFonts w:ascii="黑体" w:eastAsia="黑体" w:hAnsi="黑体" w:hint="eastAsia"/>
          <w:color w:val="000000" w:themeColor="text1"/>
          <w:sz w:val="24"/>
        </w:rPr>
        <w:t>起草阶段</w:t>
      </w:r>
    </w:p>
    <w:p w14:paraId="66D0BC55" w14:textId="77777777" w:rsidR="0005429C" w:rsidRDefault="00B43252">
      <w:pPr>
        <w:snapToGrid w:val="0"/>
        <w:spacing w:line="360" w:lineRule="auto"/>
        <w:ind w:firstLine="420"/>
        <w:rPr>
          <w:color w:val="000000" w:themeColor="text1"/>
          <w:sz w:val="24"/>
        </w:rPr>
      </w:pPr>
      <w:r>
        <w:rPr>
          <w:rFonts w:hint="eastAsia"/>
          <w:color w:val="000000" w:themeColor="text1"/>
          <w:sz w:val="24"/>
        </w:rPr>
        <w:t>标准起草单位和参与单位在接到项目任务后，成立了专门的《多晶硅行业绿色工厂评价要求》编制组，其中包括领导组、技术组和专家组，并制定了相关工作计划。根据工作计划进度安排，标准编制组收集查阅了国内外相关政策、标准、文献，认真学习</w:t>
      </w:r>
      <w:r>
        <w:rPr>
          <w:rFonts w:ascii="宋体" w:eastAsia="宋体" w:hAnsi="宋体" w:hint="eastAsia"/>
          <w:color w:val="000000" w:themeColor="text1"/>
          <w:sz w:val="24"/>
        </w:rPr>
        <w:t>G</w:t>
      </w:r>
      <w:r>
        <w:rPr>
          <w:rFonts w:ascii="宋体" w:eastAsia="宋体" w:hAnsi="宋体"/>
          <w:color w:val="000000" w:themeColor="text1"/>
          <w:sz w:val="24"/>
        </w:rPr>
        <w:t>B/T 36132-2018</w:t>
      </w:r>
      <w:r>
        <w:rPr>
          <w:rFonts w:hint="eastAsia"/>
          <w:color w:val="000000" w:themeColor="text1"/>
          <w:sz w:val="24"/>
        </w:rPr>
        <w:t>《绿色工厂评价通则》的内容。编制组对我国多晶硅企业生产现状进行调研，调研方式主要有：资料调研、网上调研等。在调研工作的基础上，经逐步修改完善，形成《多晶硅行业绿色工厂评价要求》讨论稿。</w:t>
      </w:r>
    </w:p>
    <w:p w14:paraId="70D5FC6A" w14:textId="77777777" w:rsidR="0005429C" w:rsidRDefault="00B43252">
      <w:pPr>
        <w:snapToGrid w:val="0"/>
        <w:spacing w:line="360" w:lineRule="auto"/>
        <w:ind w:firstLine="420"/>
        <w:rPr>
          <w:color w:val="000000" w:themeColor="text1"/>
        </w:rPr>
      </w:pPr>
      <w:r>
        <w:rPr>
          <w:color w:val="000000" w:themeColor="text1"/>
          <w:sz w:val="24"/>
        </w:rPr>
        <w:t>2020</w:t>
      </w:r>
      <w:r>
        <w:rPr>
          <w:rFonts w:hint="eastAsia"/>
          <w:color w:val="000000" w:themeColor="text1"/>
          <w:sz w:val="24"/>
          <w:lang w:eastAsia="zh-Hans"/>
        </w:rPr>
        <w:t>年</w:t>
      </w:r>
      <w:r>
        <w:rPr>
          <w:color w:val="000000" w:themeColor="text1"/>
          <w:sz w:val="24"/>
          <w:lang w:eastAsia="zh-Hans"/>
        </w:rPr>
        <w:t>10</w:t>
      </w:r>
      <w:r>
        <w:rPr>
          <w:rFonts w:hint="eastAsia"/>
          <w:color w:val="000000" w:themeColor="text1"/>
          <w:sz w:val="24"/>
          <w:lang w:eastAsia="zh-Hans"/>
        </w:rPr>
        <w:t>月</w:t>
      </w:r>
      <w:r>
        <w:rPr>
          <w:rFonts w:hint="eastAsia"/>
          <w:color w:val="000000" w:themeColor="text1"/>
        </w:rPr>
        <w:t>全国半导体标准化技术委员会在</w:t>
      </w:r>
      <w:r>
        <w:rPr>
          <w:rFonts w:hint="eastAsia"/>
          <w:color w:val="000000" w:themeColor="text1"/>
          <w:lang w:eastAsia="zh-Hans"/>
        </w:rPr>
        <w:t>江苏昆山</w:t>
      </w:r>
      <w:r>
        <w:rPr>
          <w:rFonts w:hint="eastAsia"/>
          <w:color w:val="000000" w:themeColor="text1"/>
        </w:rPr>
        <w:t>组织召开了标准讨论会。会上，专家对已经形成的《多晶硅行业绿色工厂评价要求》讨论稿及其编制说明进行讨论，对文本的格式和内容提出了很好的建议，会后，编制组人员根据参会专家意见进行了修改调整</w:t>
      </w:r>
      <w:r>
        <w:rPr>
          <w:color w:val="000000" w:themeColor="text1"/>
        </w:rPr>
        <w:t>。</w:t>
      </w:r>
    </w:p>
    <w:p w14:paraId="5C417228" w14:textId="77777777" w:rsidR="0005429C" w:rsidRDefault="00B43252">
      <w:pPr>
        <w:spacing w:line="360" w:lineRule="auto"/>
        <w:rPr>
          <w:rFonts w:ascii="黑体" w:eastAsia="黑体" w:hAnsi="黑体"/>
          <w:color w:val="000000" w:themeColor="text1"/>
          <w:sz w:val="24"/>
        </w:rPr>
      </w:pPr>
      <w:r>
        <w:rPr>
          <w:rFonts w:ascii="黑体" w:eastAsia="黑体" w:hAnsi="黑体" w:hint="eastAsia"/>
          <w:color w:val="000000" w:themeColor="text1"/>
          <w:sz w:val="24"/>
        </w:rPr>
        <w:t>1</w:t>
      </w:r>
      <w:r>
        <w:rPr>
          <w:rFonts w:ascii="黑体" w:eastAsia="黑体" w:hAnsi="黑体"/>
          <w:color w:val="000000" w:themeColor="text1"/>
          <w:sz w:val="24"/>
        </w:rPr>
        <w:t xml:space="preserve">.4.2  </w:t>
      </w:r>
      <w:r>
        <w:rPr>
          <w:rFonts w:ascii="黑体" w:eastAsia="黑体" w:hAnsi="黑体" w:hint="eastAsia"/>
          <w:color w:val="000000" w:themeColor="text1"/>
          <w:sz w:val="24"/>
        </w:rPr>
        <w:t>征求意见阶段</w:t>
      </w:r>
    </w:p>
    <w:p w14:paraId="55C547EA" w14:textId="77777777" w:rsidR="0005429C" w:rsidRDefault="00B43252">
      <w:pPr>
        <w:spacing w:line="360" w:lineRule="auto"/>
        <w:ind w:firstLine="420"/>
        <w:rPr>
          <w:color w:val="000000" w:themeColor="text1"/>
        </w:rPr>
      </w:pPr>
      <w:r>
        <w:rPr>
          <w:rFonts w:hint="eastAsia"/>
          <w:color w:val="000000" w:themeColor="text1"/>
          <w:sz w:val="24"/>
          <w:lang w:eastAsia="zh-Hans"/>
        </w:rPr>
        <w:t>根据昆山</w:t>
      </w:r>
      <w:r>
        <w:rPr>
          <w:rFonts w:hint="eastAsia"/>
          <w:color w:val="000000" w:themeColor="text1"/>
        </w:rPr>
        <w:t>会议对标准范围和评价指标进行讨论。会后编制组根据标准讨论会上的意见对标准稿件进行了修改完善，并于</w:t>
      </w:r>
      <w:r>
        <w:rPr>
          <w:rFonts w:hint="eastAsia"/>
          <w:color w:val="000000" w:themeColor="text1"/>
        </w:rPr>
        <w:t>202</w:t>
      </w:r>
      <w:r>
        <w:rPr>
          <w:color w:val="000000" w:themeColor="text1"/>
        </w:rPr>
        <w:t>1</w:t>
      </w:r>
      <w:r>
        <w:rPr>
          <w:rFonts w:hint="eastAsia"/>
          <w:color w:val="000000" w:themeColor="text1"/>
        </w:rPr>
        <w:t>年</w:t>
      </w:r>
      <w:r>
        <w:rPr>
          <w:color w:val="000000" w:themeColor="text1"/>
        </w:rPr>
        <w:t>1</w:t>
      </w:r>
      <w:r>
        <w:rPr>
          <w:rFonts w:hint="eastAsia"/>
          <w:color w:val="000000" w:themeColor="text1"/>
        </w:rPr>
        <w:t>月</w:t>
      </w:r>
      <w:r>
        <w:rPr>
          <w:rFonts w:hint="eastAsia"/>
          <w:color w:val="000000" w:themeColor="text1"/>
        </w:rPr>
        <w:t xml:space="preserve"> </w:t>
      </w:r>
      <w:r>
        <w:rPr>
          <w:rFonts w:hint="eastAsia"/>
          <w:color w:val="000000" w:themeColor="text1"/>
        </w:rPr>
        <w:t>发</w:t>
      </w:r>
      <w:r>
        <w:rPr>
          <w:rFonts w:hint="eastAsia"/>
          <w:color w:val="000000" w:themeColor="text1"/>
          <w:lang w:eastAsia="zh-Hans"/>
        </w:rPr>
        <w:t>邮件</w:t>
      </w:r>
      <w:r>
        <w:rPr>
          <w:rFonts w:hint="eastAsia"/>
          <w:color w:val="000000" w:themeColor="text1"/>
        </w:rPr>
        <w:t>相关单位征求意见。</w:t>
      </w:r>
    </w:p>
    <w:p w14:paraId="0C64BE9E" w14:textId="77777777" w:rsidR="0005429C" w:rsidRDefault="00B43252">
      <w:pPr>
        <w:spacing w:line="360" w:lineRule="auto"/>
        <w:ind w:firstLine="420"/>
        <w:rPr>
          <w:color w:val="000000" w:themeColor="text1"/>
          <w:lang w:eastAsia="zh-Hans"/>
        </w:rPr>
      </w:pPr>
      <w:r>
        <w:rPr>
          <w:rFonts w:hint="eastAsia"/>
          <w:color w:val="000000" w:themeColor="text1"/>
          <w:lang w:eastAsia="zh-Hans"/>
        </w:rPr>
        <w:t>目前为止收到的各多晶硅厂家的意见均为无异议</w:t>
      </w:r>
      <w:r>
        <w:rPr>
          <w:color w:val="000000" w:themeColor="text1"/>
          <w:lang w:eastAsia="zh-Hans"/>
        </w:rPr>
        <w:t>。</w:t>
      </w:r>
    </w:p>
    <w:p w14:paraId="0FF16860" w14:textId="77777777" w:rsidR="0005429C" w:rsidRDefault="00B43252">
      <w:pPr>
        <w:spacing w:line="360" w:lineRule="auto"/>
        <w:ind w:firstLine="420"/>
        <w:rPr>
          <w:color w:val="000000" w:themeColor="text1"/>
          <w:sz w:val="24"/>
        </w:rPr>
      </w:pPr>
      <w:r>
        <w:rPr>
          <w:rFonts w:hint="eastAsia"/>
          <w:color w:val="000000" w:themeColor="text1"/>
          <w:lang w:eastAsia="zh-Hans"/>
        </w:rPr>
        <w:t>有色中国有色金属工业标准计量质量研究所</w:t>
      </w:r>
      <w:r>
        <w:rPr>
          <w:color w:val="000000" w:themeColor="text1"/>
          <w:lang w:eastAsia="zh-Hans"/>
        </w:rPr>
        <w:t>、</w:t>
      </w:r>
      <w:r>
        <w:rPr>
          <w:rFonts w:hint="eastAsia"/>
          <w:color w:val="000000" w:themeColor="text1"/>
          <w:lang w:eastAsia="zh-Hans"/>
        </w:rPr>
        <w:t>有色金属技术经济研究院有限责任公司</w:t>
      </w:r>
      <w:r>
        <w:rPr>
          <w:color w:val="000000" w:themeColor="text1"/>
          <w:lang w:eastAsia="zh-Hans"/>
        </w:rPr>
        <w:t>、</w:t>
      </w:r>
      <w:r>
        <w:rPr>
          <w:rFonts w:hint="eastAsia"/>
          <w:color w:val="000000" w:themeColor="text1"/>
          <w:lang w:eastAsia="zh-Hans"/>
        </w:rPr>
        <w:t>中国有色金属工业标准计量质量研究所提出的修改意见均采纳并进行文本的修改</w:t>
      </w:r>
      <w:r>
        <w:rPr>
          <w:color w:val="000000" w:themeColor="text1"/>
          <w:lang w:eastAsia="zh-Hans"/>
        </w:rPr>
        <w:t>。</w:t>
      </w:r>
    </w:p>
    <w:p w14:paraId="3B3DEE76" w14:textId="77777777" w:rsidR="0005429C" w:rsidRDefault="00B43252">
      <w:pPr>
        <w:widowControl/>
        <w:spacing w:line="360" w:lineRule="auto"/>
        <w:jc w:val="left"/>
        <w:rPr>
          <w:rFonts w:eastAsia="黑体"/>
          <w:color w:val="000000" w:themeColor="text1"/>
          <w:kern w:val="44"/>
          <w:sz w:val="24"/>
        </w:rPr>
      </w:pPr>
      <w:bookmarkStart w:id="11" w:name="_Toc511234385"/>
      <w:bookmarkStart w:id="12" w:name="_Toc497309525"/>
      <w:r>
        <w:rPr>
          <w:rFonts w:eastAsia="黑体" w:hint="eastAsia"/>
          <w:color w:val="000000" w:themeColor="text1"/>
          <w:kern w:val="44"/>
          <w:sz w:val="24"/>
        </w:rPr>
        <w:t>二</w:t>
      </w:r>
      <w:r>
        <w:rPr>
          <w:rFonts w:eastAsia="黑体" w:hint="eastAsia"/>
          <w:color w:val="000000" w:themeColor="text1"/>
          <w:kern w:val="44"/>
          <w:sz w:val="24"/>
        </w:rPr>
        <w:t xml:space="preserve"> </w:t>
      </w:r>
      <w:r>
        <w:rPr>
          <w:rFonts w:eastAsia="黑体"/>
          <w:color w:val="000000" w:themeColor="text1"/>
          <w:kern w:val="44"/>
          <w:sz w:val="24"/>
        </w:rPr>
        <w:t xml:space="preserve"> </w:t>
      </w:r>
      <w:r>
        <w:rPr>
          <w:rFonts w:eastAsia="黑体"/>
          <w:color w:val="000000" w:themeColor="text1"/>
          <w:kern w:val="44"/>
          <w:sz w:val="24"/>
        </w:rPr>
        <w:t>标准编制原则和确定标准主要内容</w:t>
      </w:r>
      <w:bookmarkEnd w:id="11"/>
      <w:bookmarkEnd w:id="12"/>
      <w:r>
        <w:rPr>
          <w:rFonts w:eastAsia="黑体" w:hint="eastAsia"/>
          <w:color w:val="000000" w:themeColor="text1"/>
          <w:kern w:val="44"/>
          <w:sz w:val="24"/>
        </w:rPr>
        <w:t>的依据</w:t>
      </w:r>
    </w:p>
    <w:p w14:paraId="51F1F890" w14:textId="77777777" w:rsidR="0005429C" w:rsidRDefault="00B43252">
      <w:pPr>
        <w:spacing w:line="360" w:lineRule="auto"/>
        <w:ind w:firstLine="420"/>
        <w:rPr>
          <w:color w:val="000000" w:themeColor="text1"/>
          <w:sz w:val="24"/>
        </w:rPr>
      </w:pPr>
      <w:r>
        <w:rPr>
          <w:rFonts w:hint="eastAsia"/>
          <w:color w:val="000000" w:themeColor="text1"/>
          <w:sz w:val="24"/>
        </w:rPr>
        <w:t>本标准编制以现有相关法律、条例和标准为基础，结合《绿色工厂评价通则》中有关绿色工厂评价的要求，以适应</w:t>
      </w:r>
      <w:r>
        <w:rPr>
          <w:rFonts w:hint="eastAsia"/>
          <w:color w:val="000000" w:themeColor="text1"/>
          <w:sz w:val="24"/>
          <w:lang w:eastAsia="zh-Hans"/>
        </w:rPr>
        <w:t>多晶硅</w:t>
      </w:r>
      <w:r>
        <w:rPr>
          <w:rFonts w:hint="eastAsia"/>
          <w:color w:val="000000" w:themeColor="text1"/>
          <w:sz w:val="24"/>
        </w:rPr>
        <w:t>生产要求进行制定，并按照</w:t>
      </w:r>
      <w:r>
        <w:rPr>
          <w:rFonts w:hint="eastAsia"/>
          <w:color w:val="000000" w:themeColor="text1"/>
          <w:sz w:val="24"/>
        </w:rPr>
        <w:t xml:space="preserve"> </w:t>
      </w:r>
      <w:r>
        <w:rPr>
          <w:rFonts w:ascii="宋体" w:eastAsia="宋体" w:hAnsi="宋体"/>
          <w:color w:val="000000" w:themeColor="text1"/>
          <w:sz w:val="24"/>
        </w:rPr>
        <w:t>GB/T 1.1—</w:t>
      </w:r>
      <w:r>
        <w:rPr>
          <w:rFonts w:ascii="宋体" w:eastAsia="宋体" w:hAnsi="宋体" w:hint="eastAsia"/>
          <w:color w:val="000000" w:themeColor="text1"/>
          <w:sz w:val="24"/>
        </w:rPr>
        <w:t>2020</w:t>
      </w:r>
      <w:r>
        <w:rPr>
          <w:rFonts w:hint="eastAsia"/>
          <w:color w:val="000000" w:themeColor="text1"/>
          <w:sz w:val="24"/>
        </w:rPr>
        <w:t>《标准化工作导则</w:t>
      </w:r>
      <w:r>
        <w:rPr>
          <w:rFonts w:hint="eastAsia"/>
          <w:color w:val="000000" w:themeColor="text1"/>
          <w:sz w:val="24"/>
        </w:rPr>
        <w:t xml:space="preserve"> </w:t>
      </w:r>
      <w:r>
        <w:rPr>
          <w:color w:val="000000" w:themeColor="text1"/>
          <w:sz w:val="24"/>
        </w:rPr>
        <w:t xml:space="preserve"> </w:t>
      </w:r>
      <w:r>
        <w:rPr>
          <w:rFonts w:hint="eastAsia"/>
          <w:color w:val="000000" w:themeColor="text1"/>
          <w:sz w:val="24"/>
        </w:rPr>
        <w:t>第</w:t>
      </w:r>
      <w:r>
        <w:rPr>
          <w:rFonts w:ascii="宋体" w:eastAsia="宋体" w:hAnsi="宋体"/>
          <w:color w:val="000000" w:themeColor="text1"/>
          <w:sz w:val="24"/>
        </w:rPr>
        <w:t>1</w:t>
      </w:r>
      <w:r>
        <w:rPr>
          <w:rFonts w:hint="eastAsia"/>
          <w:color w:val="000000" w:themeColor="text1"/>
          <w:sz w:val="24"/>
        </w:rPr>
        <w:t>部分：标准化文件的结构和起草规则》给定的规则编写。</w:t>
      </w:r>
      <w:r>
        <w:rPr>
          <w:rFonts w:hint="eastAsia"/>
          <w:color w:val="000000" w:themeColor="text1"/>
          <w:sz w:val="24"/>
        </w:rPr>
        <w:t xml:space="preserve"> </w:t>
      </w:r>
    </w:p>
    <w:p w14:paraId="4AD98208" w14:textId="77777777" w:rsidR="0005429C" w:rsidRDefault="00B43252">
      <w:pPr>
        <w:widowControl/>
        <w:spacing w:line="360" w:lineRule="auto"/>
        <w:jc w:val="left"/>
        <w:rPr>
          <w:rFonts w:ascii="黑体" w:eastAsia="黑体" w:hAnsi="黑体"/>
          <w:color w:val="000000" w:themeColor="text1"/>
          <w:kern w:val="44"/>
          <w:sz w:val="24"/>
        </w:rPr>
      </w:pPr>
      <w:bookmarkStart w:id="13" w:name="_Toc497309526"/>
      <w:bookmarkStart w:id="14" w:name="_Toc511234386"/>
      <w:bookmarkStart w:id="15" w:name="_Toc508985102"/>
      <w:r>
        <w:rPr>
          <w:rFonts w:ascii="黑体" w:eastAsia="黑体" w:hAnsi="黑体" w:hint="eastAsia"/>
          <w:color w:val="000000" w:themeColor="text1"/>
          <w:kern w:val="44"/>
          <w:sz w:val="24"/>
        </w:rPr>
        <w:t>2</w:t>
      </w:r>
      <w:r>
        <w:rPr>
          <w:rFonts w:ascii="黑体" w:eastAsia="黑体" w:hAnsi="黑体"/>
          <w:color w:val="000000" w:themeColor="text1"/>
          <w:kern w:val="44"/>
          <w:sz w:val="24"/>
        </w:rPr>
        <w:t xml:space="preserve">.1  </w:t>
      </w:r>
      <w:r>
        <w:rPr>
          <w:rFonts w:ascii="黑体" w:eastAsia="黑体" w:hAnsi="黑体"/>
          <w:color w:val="000000" w:themeColor="text1"/>
          <w:kern w:val="44"/>
          <w:sz w:val="24"/>
        </w:rPr>
        <w:t>编制原则</w:t>
      </w:r>
      <w:bookmarkEnd w:id="13"/>
      <w:bookmarkEnd w:id="14"/>
      <w:bookmarkEnd w:id="15"/>
    </w:p>
    <w:p w14:paraId="155E3EF5" w14:textId="77777777" w:rsidR="0005429C" w:rsidRDefault="00B43252">
      <w:pPr>
        <w:widowControl/>
        <w:spacing w:line="360" w:lineRule="auto"/>
        <w:jc w:val="left"/>
        <w:rPr>
          <w:rFonts w:ascii="黑体" w:eastAsia="黑体" w:hAnsi="黑体"/>
          <w:color w:val="000000" w:themeColor="text1"/>
          <w:kern w:val="44"/>
          <w:sz w:val="24"/>
        </w:rPr>
      </w:pPr>
      <w:r>
        <w:rPr>
          <w:rFonts w:ascii="黑体" w:eastAsia="黑体" w:hAnsi="黑体" w:hint="eastAsia"/>
          <w:color w:val="000000" w:themeColor="text1"/>
          <w:kern w:val="44"/>
          <w:sz w:val="24"/>
        </w:rPr>
        <w:t>2.1.1</w:t>
      </w:r>
      <w:r>
        <w:rPr>
          <w:rFonts w:ascii="黑体" w:eastAsia="黑体" w:hAnsi="黑体"/>
          <w:color w:val="000000" w:themeColor="text1"/>
          <w:kern w:val="44"/>
          <w:sz w:val="24"/>
        </w:rPr>
        <w:t xml:space="preserve"> </w:t>
      </w:r>
      <w:r>
        <w:rPr>
          <w:rFonts w:ascii="黑体" w:eastAsia="黑体" w:hAnsi="黑体" w:hint="eastAsia"/>
          <w:color w:val="000000" w:themeColor="text1"/>
          <w:kern w:val="44"/>
          <w:sz w:val="24"/>
        </w:rPr>
        <w:t xml:space="preserve"> </w:t>
      </w:r>
      <w:r>
        <w:rPr>
          <w:rFonts w:ascii="黑体" w:eastAsia="黑体" w:hAnsi="黑体" w:hint="eastAsia"/>
          <w:color w:val="000000" w:themeColor="text1"/>
          <w:kern w:val="44"/>
          <w:sz w:val="24"/>
        </w:rPr>
        <w:t>一致性原则</w:t>
      </w:r>
    </w:p>
    <w:p w14:paraId="5BA1EC82" w14:textId="77777777" w:rsidR="0005429C" w:rsidRDefault="00B43252">
      <w:pPr>
        <w:spacing w:line="360" w:lineRule="auto"/>
        <w:ind w:firstLine="420"/>
        <w:rPr>
          <w:rFonts w:ascii="宋体" w:eastAsia="宋体" w:hAnsi="宋体"/>
          <w:color w:val="000000" w:themeColor="text1"/>
          <w:sz w:val="24"/>
        </w:rPr>
      </w:pPr>
      <w:r>
        <w:rPr>
          <w:rFonts w:ascii="宋体" w:eastAsia="宋体" w:hAnsi="宋体" w:hint="eastAsia"/>
          <w:color w:val="000000" w:themeColor="text1"/>
          <w:sz w:val="24"/>
        </w:rPr>
        <w:lastRenderedPageBreak/>
        <w:t>本标准的指标设置与</w:t>
      </w:r>
      <w:r>
        <w:rPr>
          <w:rFonts w:ascii="宋体" w:eastAsia="宋体" w:hAnsi="宋体" w:hint="eastAsia"/>
          <w:color w:val="000000" w:themeColor="text1"/>
        </w:rPr>
        <w:t>《绿色工厂评价通则》（</w:t>
      </w:r>
      <w:r>
        <w:rPr>
          <w:rFonts w:ascii="宋体" w:eastAsia="宋体" w:hAnsi="宋体" w:hint="eastAsia"/>
          <w:color w:val="000000" w:themeColor="text1"/>
        </w:rPr>
        <w:t>GB/T 36132-2018</w:t>
      </w:r>
      <w:r>
        <w:rPr>
          <w:rFonts w:ascii="宋体" w:eastAsia="宋体" w:hAnsi="宋体" w:hint="eastAsia"/>
          <w:color w:val="000000" w:themeColor="text1"/>
        </w:rPr>
        <w:t>）</w:t>
      </w:r>
      <w:r>
        <w:rPr>
          <w:rFonts w:ascii="宋体" w:eastAsia="宋体" w:hAnsi="宋体" w:hint="eastAsia"/>
          <w:color w:val="000000" w:themeColor="text1"/>
          <w:sz w:val="24"/>
        </w:rPr>
        <w:t>保持一致。</w:t>
      </w:r>
    </w:p>
    <w:p w14:paraId="6DFB1735" w14:textId="77777777" w:rsidR="0005429C" w:rsidRDefault="00B43252">
      <w:pPr>
        <w:widowControl/>
        <w:spacing w:line="360" w:lineRule="auto"/>
        <w:jc w:val="left"/>
        <w:rPr>
          <w:rFonts w:ascii="黑体" w:eastAsia="黑体" w:hAnsi="黑体"/>
          <w:color w:val="000000" w:themeColor="text1"/>
          <w:kern w:val="44"/>
          <w:sz w:val="24"/>
        </w:rPr>
      </w:pPr>
      <w:r>
        <w:rPr>
          <w:rFonts w:ascii="黑体" w:eastAsia="黑体" w:hAnsi="黑体" w:hint="eastAsia"/>
          <w:color w:val="000000" w:themeColor="text1"/>
          <w:kern w:val="44"/>
          <w:sz w:val="24"/>
        </w:rPr>
        <w:t>2.1.2</w:t>
      </w:r>
      <w:r>
        <w:rPr>
          <w:rFonts w:ascii="黑体" w:eastAsia="黑体" w:hAnsi="黑体"/>
          <w:color w:val="000000" w:themeColor="text1"/>
          <w:kern w:val="44"/>
          <w:sz w:val="24"/>
        </w:rPr>
        <w:t xml:space="preserve">  </w:t>
      </w:r>
      <w:r>
        <w:rPr>
          <w:rFonts w:ascii="黑体" w:eastAsia="黑体" w:hAnsi="黑体" w:hint="eastAsia"/>
          <w:color w:val="000000" w:themeColor="text1"/>
          <w:kern w:val="44"/>
          <w:sz w:val="24"/>
        </w:rPr>
        <w:t>行业性原则</w:t>
      </w:r>
    </w:p>
    <w:p w14:paraId="54B6403E" w14:textId="77777777" w:rsidR="0005429C" w:rsidRDefault="00B43252">
      <w:pPr>
        <w:spacing w:line="360" w:lineRule="auto"/>
        <w:ind w:firstLine="420"/>
        <w:rPr>
          <w:rFonts w:ascii="宋体" w:eastAsia="宋体" w:hAnsi="宋体"/>
          <w:color w:val="000000" w:themeColor="text1"/>
          <w:sz w:val="24"/>
        </w:rPr>
      </w:pPr>
      <w:r>
        <w:rPr>
          <w:rFonts w:ascii="宋体" w:eastAsia="宋体" w:hAnsi="宋体" w:hint="eastAsia"/>
          <w:color w:val="000000" w:themeColor="text1"/>
          <w:sz w:val="24"/>
        </w:rPr>
        <w:t>评价指标选取及权重分配结合多晶硅行业能源、环境、资源等要素，充分考虑多晶硅行业特点及绿色发展趋势，以客观、真实反映多晶硅工厂绿色化水平。同时参考《多晶硅行业准入条件》、生产许可证申请与核发规范、清洁生产、安全生产标准化等多晶硅行业相关标准文件。</w:t>
      </w:r>
    </w:p>
    <w:p w14:paraId="6ECB6B41" w14:textId="77777777" w:rsidR="0005429C" w:rsidRDefault="00B43252">
      <w:pPr>
        <w:widowControl/>
        <w:spacing w:line="360" w:lineRule="auto"/>
        <w:jc w:val="left"/>
        <w:rPr>
          <w:rFonts w:ascii="黑体" w:eastAsia="黑体" w:hAnsi="黑体"/>
          <w:color w:val="000000" w:themeColor="text1"/>
          <w:kern w:val="44"/>
          <w:sz w:val="24"/>
        </w:rPr>
      </w:pPr>
      <w:r>
        <w:rPr>
          <w:rFonts w:ascii="黑体" w:eastAsia="黑体" w:hAnsi="黑体" w:hint="eastAsia"/>
          <w:color w:val="000000" w:themeColor="text1"/>
          <w:kern w:val="44"/>
          <w:sz w:val="24"/>
        </w:rPr>
        <w:t>2.1.3</w:t>
      </w:r>
      <w:r>
        <w:rPr>
          <w:rFonts w:ascii="黑体" w:eastAsia="黑体" w:hAnsi="黑体"/>
          <w:color w:val="000000" w:themeColor="text1"/>
          <w:kern w:val="44"/>
          <w:sz w:val="24"/>
        </w:rPr>
        <w:t xml:space="preserve">  </w:t>
      </w:r>
      <w:r>
        <w:rPr>
          <w:rFonts w:ascii="黑体" w:eastAsia="黑体" w:hAnsi="黑体" w:hint="eastAsia"/>
          <w:color w:val="000000" w:themeColor="text1"/>
          <w:kern w:val="44"/>
          <w:sz w:val="24"/>
        </w:rPr>
        <w:t>先进性原则</w:t>
      </w:r>
    </w:p>
    <w:p w14:paraId="0CDE8990" w14:textId="77777777" w:rsidR="0005429C" w:rsidRDefault="00B43252">
      <w:pPr>
        <w:spacing w:line="360" w:lineRule="auto"/>
        <w:ind w:firstLine="420"/>
        <w:rPr>
          <w:rFonts w:ascii="宋体" w:eastAsia="宋体" w:hAnsi="宋体"/>
          <w:color w:val="000000" w:themeColor="text1"/>
          <w:sz w:val="24"/>
        </w:rPr>
      </w:pPr>
      <w:r>
        <w:rPr>
          <w:rFonts w:ascii="宋体" w:eastAsia="宋体" w:hAnsi="宋体" w:hint="eastAsia"/>
          <w:color w:val="000000" w:themeColor="text1"/>
          <w:sz w:val="24"/>
        </w:rPr>
        <w:t>标准围绕行业绿色发展的先进技术、装备、管理等方向设定工厂宜达到的先进性指标要求，以引领行业的绿色发展。在绩效指标的评价方面，以行业平均水平作为绿色工厂评价的门槛，优于行业</w:t>
      </w:r>
      <w:r>
        <w:rPr>
          <w:rStyle w:val="af5"/>
          <w:rFonts w:hint="eastAsia"/>
          <w:color w:val="000000" w:themeColor="text1"/>
          <w:lang w:eastAsia="zh-Hans"/>
        </w:rPr>
        <w:t>平均</w:t>
      </w:r>
      <w:r>
        <w:rPr>
          <w:rFonts w:ascii="宋体" w:eastAsia="宋体" w:hAnsi="宋体" w:hint="eastAsia"/>
          <w:color w:val="000000" w:themeColor="text1"/>
          <w:sz w:val="24"/>
          <w:lang w:eastAsia="zh-Hans"/>
        </w:rPr>
        <w:t>水平</w:t>
      </w:r>
      <w:r>
        <w:rPr>
          <w:rFonts w:ascii="宋体" w:eastAsia="宋体" w:hAnsi="宋体" w:hint="eastAsia"/>
          <w:color w:val="000000" w:themeColor="text1"/>
          <w:sz w:val="24"/>
        </w:rPr>
        <w:t>表现作为绿色工厂评价的要求。</w:t>
      </w:r>
    </w:p>
    <w:p w14:paraId="505010FC" w14:textId="77777777" w:rsidR="0005429C" w:rsidRDefault="00B43252">
      <w:pPr>
        <w:widowControl/>
        <w:spacing w:line="360" w:lineRule="auto"/>
        <w:jc w:val="left"/>
        <w:rPr>
          <w:rFonts w:ascii="黑体" w:eastAsia="黑体" w:hAnsi="黑体"/>
          <w:color w:val="000000" w:themeColor="text1"/>
          <w:kern w:val="44"/>
          <w:sz w:val="24"/>
        </w:rPr>
      </w:pPr>
      <w:r>
        <w:rPr>
          <w:rFonts w:ascii="黑体" w:eastAsia="黑体" w:hAnsi="黑体"/>
          <w:color w:val="000000" w:themeColor="text1"/>
          <w:kern w:val="44"/>
          <w:sz w:val="24"/>
        </w:rPr>
        <w:t xml:space="preserve">2.2  </w:t>
      </w:r>
      <w:r>
        <w:rPr>
          <w:rFonts w:ascii="黑体" w:eastAsia="黑体" w:hAnsi="黑体"/>
          <w:color w:val="000000" w:themeColor="text1"/>
          <w:kern w:val="44"/>
          <w:sz w:val="24"/>
        </w:rPr>
        <w:t>标准主要技术内容</w:t>
      </w:r>
      <w:r>
        <w:rPr>
          <w:rFonts w:ascii="黑体" w:eastAsia="黑体" w:hAnsi="黑体" w:hint="eastAsia"/>
          <w:color w:val="000000" w:themeColor="text1"/>
          <w:kern w:val="44"/>
          <w:sz w:val="24"/>
        </w:rPr>
        <w:t>的确定依据</w:t>
      </w:r>
    </w:p>
    <w:p w14:paraId="2AA86BD0" w14:textId="77777777" w:rsidR="0005429C" w:rsidRDefault="00B43252">
      <w:pPr>
        <w:widowControl/>
        <w:spacing w:line="360" w:lineRule="auto"/>
        <w:jc w:val="left"/>
        <w:rPr>
          <w:rFonts w:ascii="黑体" w:eastAsia="黑体" w:hAnsi="黑体"/>
          <w:color w:val="000000" w:themeColor="text1"/>
          <w:kern w:val="44"/>
          <w:sz w:val="24"/>
        </w:rPr>
      </w:pPr>
      <w:r>
        <w:rPr>
          <w:rFonts w:ascii="黑体" w:eastAsia="黑体" w:hAnsi="黑体" w:hint="eastAsia"/>
          <w:color w:val="000000" w:themeColor="text1"/>
          <w:kern w:val="44"/>
          <w:sz w:val="24"/>
        </w:rPr>
        <w:t>2.2.1</w:t>
      </w:r>
      <w:r>
        <w:rPr>
          <w:rFonts w:ascii="黑体" w:eastAsia="黑体" w:hAnsi="黑体"/>
          <w:color w:val="000000" w:themeColor="text1"/>
          <w:kern w:val="44"/>
          <w:sz w:val="24"/>
        </w:rPr>
        <w:t xml:space="preserve">  </w:t>
      </w:r>
      <w:r>
        <w:rPr>
          <w:rFonts w:ascii="黑体" w:eastAsia="黑体" w:hAnsi="黑体" w:hint="eastAsia"/>
          <w:color w:val="000000" w:themeColor="text1"/>
          <w:kern w:val="44"/>
          <w:sz w:val="24"/>
        </w:rPr>
        <w:t>标准框架</w:t>
      </w:r>
    </w:p>
    <w:p w14:paraId="1A3CE35B" w14:textId="77777777" w:rsidR="0005429C" w:rsidRDefault="00B43252">
      <w:pPr>
        <w:snapToGrid w:val="0"/>
        <w:spacing w:line="360" w:lineRule="auto"/>
        <w:ind w:firstLine="420"/>
        <w:rPr>
          <w:color w:val="000000" w:themeColor="text1"/>
          <w:sz w:val="24"/>
        </w:rPr>
      </w:pPr>
      <w:r>
        <w:rPr>
          <w:rFonts w:hint="eastAsia"/>
          <w:color w:val="000000" w:themeColor="text1"/>
          <w:sz w:val="24"/>
        </w:rPr>
        <w:t>标准正文内容包括</w:t>
      </w:r>
      <w:r>
        <w:rPr>
          <w:rFonts w:hint="eastAsia"/>
          <w:color w:val="000000" w:themeColor="text1"/>
          <w:sz w:val="24"/>
        </w:rPr>
        <w:t>:</w:t>
      </w:r>
      <w:r>
        <w:rPr>
          <w:rFonts w:hint="eastAsia"/>
          <w:color w:val="000000" w:themeColor="text1"/>
          <w:sz w:val="24"/>
        </w:rPr>
        <w:t>范围、规范性引用文件、术语和定义、</w:t>
      </w:r>
      <w:r>
        <w:rPr>
          <w:rFonts w:hint="eastAsia"/>
          <w:color w:val="000000" w:themeColor="text1"/>
          <w:sz w:val="24"/>
          <w:lang w:eastAsia="zh-Hans"/>
        </w:rPr>
        <w:t>总则</w:t>
      </w:r>
      <w:r>
        <w:rPr>
          <w:color w:val="000000" w:themeColor="text1"/>
          <w:sz w:val="24"/>
          <w:lang w:eastAsia="zh-Hans"/>
        </w:rPr>
        <w:t>、</w:t>
      </w:r>
      <w:r>
        <w:rPr>
          <w:rFonts w:hint="eastAsia"/>
          <w:color w:val="000000" w:themeColor="text1"/>
          <w:sz w:val="24"/>
        </w:rPr>
        <w:t>评价</w:t>
      </w:r>
      <w:r>
        <w:rPr>
          <w:rFonts w:hint="eastAsia"/>
          <w:color w:val="000000" w:themeColor="text1"/>
          <w:sz w:val="24"/>
          <w:lang w:eastAsia="zh-Hans"/>
        </w:rPr>
        <w:t>要求</w:t>
      </w:r>
      <w:r>
        <w:rPr>
          <w:rFonts w:hint="eastAsia"/>
          <w:color w:val="000000" w:themeColor="text1"/>
          <w:sz w:val="24"/>
        </w:rPr>
        <w:t>、评</w:t>
      </w:r>
      <w:r>
        <w:rPr>
          <w:rFonts w:hint="eastAsia"/>
          <w:color w:val="000000" w:themeColor="text1"/>
          <w:sz w:val="24"/>
          <w:lang w:eastAsia="zh-Hans"/>
        </w:rPr>
        <w:t>价程序</w:t>
      </w:r>
      <w:r>
        <w:rPr>
          <w:color w:val="000000" w:themeColor="text1"/>
          <w:sz w:val="24"/>
          <w:lang w:eastAsia="zh-Hans"/>
        </w:rPr>
        <w:t>、</w:t>
      </w:r>
      <w:r>
        <w:rPr>
          <w:rFonts w:hint="eastAsia"/>
          <w:color w:val="000000" w:themeColor="text1"/>
          <w:sz w:val="24"/>
          <w:lang w:eastAsia="zh-Hans"/>
        </w:rPr>
        <w:t>评价报告</w:t>
      </w:r>
      <w:r>
        <w:rPr>
          <w:rFonts w:hint="eastAsia"/>
          <w:color w:val="000000" w:themeColor="text1"/>
          <w:sz w:val="24"/>
        </w:rPr>
        <w:t>共</w:t>
      </w:r>
      <w:r>
        <w:rPr>
          <w:color w:val="000000" w:themeColor="text1"/>
          <w:sz w:val="24"/>
        </w:rPr>
        <w:t>7</w:t>
      </w:r>
      <w:r>
        <w:rPr>
          <w:rFonts w:hint="eastAsia"/>
          <w:color w:val="000000" w:themeColor="text1"/>
          <w:sz w:val="24"/>
        </w:rPr>
        <w:t>个章节，主要阐述</w:t>
      </w:r>
      <w:r>
        <w:rPr>
          <w:rFonts w:hint="eastAsia"/>
          <w:color w:val="000000" w:themeColor="text1"/>
          <w:sz w:val="24"/>
          <w:lang w:eastAsia="zh-Hans"/>
        </w:rPr>
        <w:t>多晶硅</w:t>
      </w:r>
      <w:r>
        <w:rPr>
          <w:rFonts w:hint="eastAsia"/>
          <w:color w:val="000000" w:themeColor="text1"/>
          <w:sz w:val="24"/>
        </w:rPr>
        <w:t>绿色工厂评价的</w:t>
      </w:r>
      <w:r>
        <w:rPr>
          <w:rFonts w:hint="eastAsia"/>
          <w:color w:val="000000" w:themeColor="text1"/>
          <w:sz w:val="24"/>
          <w:lang w:eastAsia="zh-Hans"/>
        </w:rPr>
        <w:t>评价要求及评价程序</w:t>
      </w:r>
      <w:r>
        <w:rPr>
          <w:rFonts w:hint="eastAsia"/>
          <w:color w:val="000000" w:themeColor="text1"/>
          <w:sz w:val="24"/>
        </w:rPr>
        <w:t>。附录</w:t>
      </w:r>
      <w:r>
        <w:rPr>
          <w:rFonts w:hint="eastAsia"/>
          <w:color w:val="000000" w:themeColor="text1"/>
          <w:sz w:val="24"/>
        </w:rPr>
        <w:t>A</w:t>
      </w:r>
      <w:r>
        <w:rPr>
          <w:rFonts w:hint="eastAsia"/>
          <w:color w:val="000000" w:themeColor="text1"/>
          <w:sz w:val="24"/>
        </w:rPr>
        <w:t>主要明确了</w:t>
      </w:r>
      <w:r>
        <w:rPr>
          <w:rFonts w:hint="eastAsia"/>
          <w:color w:val="000000" w:themeColor="text1"/>
          <w:sz w:val="24"/>
          <w:lang w:eastAsia="zh-Hans"/>
        </w:rPr>
        <w:t>多晶硅</w:t>
      </w:r>
      <w:r>
        <w:rPr>
          <w:rFonts w:hint="eastAsia"/>
          <w:color w:val="000000" w:themeColor="text1"/>
          <w:sz w:val="24"/>
        </w:rPr>
        <w:t>绿色</w:t>
      </w:r>
      <w:r>
        <w:rPr>
          <w:rFonts w:hint="eastAsia"/>
          <w:color w:val="000000" w:themeColor="text1"/>
          <w:sz w:val="24"/>
        </w:rPr>
        <w:t>工厂评价的评价指标</w:t>
      </w:r>
      <w:r>
        <w:rPr>
          <w:rFonts w:hint="eastAsia"/>
          <w:color w:val="000000" w:themeColor="text1"/>
          <w:sz w:val="24"/>
          <w:lang w:eastAsia="zh-Hans"/>
        </w:rPr>
        <w:t>及所需要的证明材料</w:t>
      </w:r>
      <w:r>
        <w:rPr>
          <w:rFonts w:hint="eastAsia"/>
          <w:color w:val="000000" w:themeColor="text1"/>
          <w:sz w:val="24"/>
        </w:rPr>
        <w:t>，是绿色工厂评价的主要依据。</w:t>
      </w:r>
    </w:p>
    <w:p w14:paraId="2CEAD6E7" w14:textId="77777777" w:rsidR="0005429C" w:rsidRDefault="00B43252">
      <w:pPr>
        <w:widowControl/>
        <w:spacing w:line="360" w:lineRule="auto"/>
        <w:jc w:val="left"/>
        <w:rPr>
          <w:rFonts w:ascii="黑体" w:eastAsia="黑体" w:hAnsi="黑体"/>
          <w:color w:val="000000" w:themeColor="text1"/>
          <w:kern w:val="44"/>
          <w:sz w:val="24"/>
        </w:rPr>
      </w:pPr>
      <w:r>
        <w:rPr>
          <w:rFonts w:ascii="黑体" w:eastAsia="黑体" w:hAnsi="黑体" w:hint="eastAsia"/>
          <w:color w:val="000000" w:themeColor="text1"/>
          <w:kern w:val="44"/>
          <w:sz w:val="24"/>
        </w:rPr>
        <w:t>2.2.2</w:t>
      </w:r>
      <w:r>
        <w:rPr>
          <w:rFonts w:ascii="黑体" w:eastAsia="黑体" w:hAnsi="黑体"/>
          <w:color w:val="000000" w:themeColor="text1"/>
          <w:kern w:val="44"/>
          <w:sz w:val="24"/>
        </w:rPr>
        <w:t xml:space="preserve">  </w:t>
      </w:r>
      <w:r>
        <w:rPr>
          <w:rFonts w:ascii="黑体" w:eastAsia="黑体" w:hAnsi="黑体" w:hint="eastAsia"/>
          <w:color w:val="000000" w:themeColor="text1"/>
          <w:kern w:val="44"/>
          <w:sz w:val="24"/>
        </w:rPr>
        <w:t>适用范围</w:t>
      </w:r>
    </w:p>
    <w:p w14:paraId="48432247" w14:textId="77777777" w:rsidR="0005429C" w:rsidRDefault="00B43252">
      <w:pPr>
        <w:spacing w:line="360" w:lineRule="auto"/>
        <w:ind w:firstLine="420"/>
        <w:rPr>
          <w:color w:val="000000" w:themeColor="text1"/>
          <w:sz w:val="24"/>
        </w:rPr>
      </w:pPr>
      <w:r>
        <w:rPr>
          <w:rFonts w:hint="eastAsia"/>
          <w:color w:val="000000" w:themeColor="text1"/>
          <w:sz w:val="24"/>
        </w:rPr>
        <w:t>本标准适用多晶硅行业绿色工厂的评价。</w:t>
      </w:r>
    </w:p>
    <w:p w14:paraId="5286C6C6" w14:textId="77777777" w:rsidR="0005429C" w:rsidRDefault="00B43252">
      <w:pPr>
        <w:widowControl/>
        <w:spacing w:line="360" w:lineRule="auto"/>
        <w:jc w:val="left"/>
        <w:rPr>
          <w:rFonts w:ascii="黑体" w:eastAsia="黑体" w:hAnsi="黑体"/>
          <w:color w:val="000000" w:themeColor="text1"/>
          <w:kern w:val="44"/>
          <w:sz w:val="24"/>
        </w:rPr>
      </w:pPr>
      <w:r>
        <w:rPr>
          <w:rFonts w:ascii="黑体" w:eastAsia="黑体" w:hAnsi="黑体" w:hint="eastAsia"/>
          <w:color w:val="000000" w:themeColor="text1"/>
          <w:kern w:val="44"/>
          <w:sz w:val="24"/>
        </w:rPr>
        <w:t>2.2.3</w:t>
      </w:r>
      <w:r>
        <w:rPr>
          <w:rFonts w:ascii="黑体" w:eastAsia="黑体" w:hAnsi="黑体"/>
          <w:color w:val="000000" w:themeColor="text1"/>
          <w:kern w:val="44"/>
          <w:sz w:val="24"/>
        </w:rPr>
        <w:t xml:space="preserve">  </w:t>
      </w:r>
      <w:r>
        <w:rPr>
          <w:rFonts w:ascii="黑体" w:eastAsia="黑体" w:hAnsi="黑体" w:hint="eastAsia"/>
          <w:color w:val="000000" w:themeColor="text1"/>
          <w:kern w:val="44"/>
          <w:sz w:val="24"/>
        </w:rPr>
        <w:t>规范性引用文件</w:t>
      </w:r>
    </w:p>
    <w:p w14:paraId="178470A0" w14:textId="77777777" w:rsidR="0005429C" w:rsidRDefault="00B43252">
      <w:pPr>
        <w:spacing w:line="360" w:lineRule="auto"/>
        <w:ind w:firstLine="420"/>
        <w:rPr>
          <w:color w:val="000000" w:themeColor="text1"/>
          <w:sz w:val="24"/>
        </w:rPr>
      </w:pPr>
      <w:r>
        <w:rPr>
          <w:rFonts w:hint="eastAsia"/>
          <w:color w:val="000000" w:themeColor="text1"/>
          <w:sz w:val="24"/>
        </w:rPr>
        <w:t>给出了本标准引用的相关标准、文件名称及文号，凡不注日期的引用文件，其有效版本适用于本标准。</w:t>
      </w:r>
    </w:p>
    <w:p w14:paraId="4EE163AB" w14:textId="77777777" w:rsidR="0005429C" w:rsidRDefault="00B43252">
      <w:pPr>
        <w:spacing w:line="360" w:lineRule="auto"/>
        <w:ind w:firstLine="420"/>
        <w:rPr>
          <w:color w:val="000000" w:themeColor="text1"/>
          <w:sz w:val="24"/>
        </w:rPr>
      </w:pPr>
      <w:r>
        <w:rPr>
          <w:rFonts w:hint="eastAsia"/>
          <w:color w:val="000000" w:themeColor="text1"/>
          <w:sz w:val="24"/>
        </w:rPr>
        <w:t>本标准引用文件除国家标准外，还引用了部分行业标准以及部门规章等。</w:t>
      </w:r>
    </w:p>
    <w:p w14:paraId="37B98425" w14:textId="77777777" w:rsidR="0005429C" w:rsidRDefault="00B43252">
      <w:pPr>
        <w:widowControl/>
        <w:spacing w:line="360" w:lineRule="auto"/>
        <w:jc w:val="left"/>
        <w:rPr>
          <w:rFonts w:ascii="黑体" w:eastAsia="黑体" w:hAnsi="黑体"/>
          <w:color w:val="000000" w:themeColor="text1"/>
          <w:kern w:val="44"/>
          <w:sz w:val="24"/>
        </w:rPr>
      </w:pPr>
      <w:r>
        <w:rPr>
          <w:rFonts w:ascii="黑体" w:eastAsia="黑体" w:hAnsi="黑体" w:hint="eastAsia"/>
          <w:color w:val="000000" w:themeColor="text1"/>
          <w:kern w:val="44"/>
          <w:sz w:val="24"/>
        </w:rPr>
        <w:t>2.2.4</w:t>
      </w:r>
      <w:r>
        <w:rPr>
          <w:rFonts w:ascii="黑体" w:eastAsia="黑体" w:hAnsi="黑体" w:hint="eastAsia"/>
          <w:color w:val="000000" w:themeColor="text1"/>
          <w:kern w:val="44"/>
          <w:sz w:val="24"/>
        </w:rPr>
        <w:t>术语和定义</w:t>
      </w:r>
    </w:p>
    <w:p w14:paraId="630F3DEE" w14:textId="77777777" w:rsidR="0005429C" w:rsidRDefault="00B43252">
      <w:pPr>
        <w:spacing w:line="360" w:lineRule="auto"/>
        <w:ind w:firstLine="420"/>
        <w:rPr>
          <w:color w:val="000000" w:themeColor="text1"/>
          <w:sz w:val="24"/>
        </w:rPr>
      </w:pPr>
      <w:r>
        <w:rPr>
          <w:rFonts w:hint="eastAsia"/>
          <w:color w:val="000000" w:themeColor="text1"/>
          <w:sz w:val="24"/>
        </w:rPr>
        <w:t>《绿色工厂评价通则》</w:t>
      </w:r>
      <w:r>
        <w:rPr>
          <w:rFonts w:hint="eastAsia"/>
          <w:color w:val="000000" w:themeColor="text1"/>
          <w:sz w:val="24"/>
        </w:rPr>
        <w:t>(GB/T 36132-2018)</w:t>
      </w:r>
      <w:r>
        <w:rPr>
          <w:rFonts w:hint="eastAsia"/>
          <w:color w:val="000000" w:themeColor="text1"/>
          <w:sz w:val="24"/>
        </w:rPr>
        <w:t>界定的术语和定义适用于本标准。</w:t>
      </w:r>
    </w:p>
    <w:p w14:paraId="5AC7C008" w14:textId="77777777" w:rsidR="0005429C" w:rsidRDefault="00B43252">
      <w:pPr>
        <w:widowControl/>
        <w:spacing w:line="360" w:lineRule="auto"/>
        <w:jc w:val="left"/>
        <w:rPr>
          <w:rFonts w:ascii="黑体" w:eastAsia="黑体" w:hAnsi="黑体"/>
          <w:color w:val="000000" w:themeColor="text1"/>
          <w:kern w:val="44"/>
          <w:sz w:val="24"/>
        </w:rPr>
      </w:pPr>
      <w:r>
        <w:rPr>
          <w:rFonts w:ascii="黑体" w:eastAsia="黑体" w:hAnsi="黑体" w:hint="eastAsia"/>
          <w:color w:val="000000" w:themeColor="text1"/>
          <w:kern w:val="44"/>
          <w:sz w:val="24"/>
        </w:rPr>
        <w:t>2.2.5</w:t>
      </w:r>
      <w:r>
        <w:rPr>
          <w:rFonts w:ascii="黑体" w:eastAsia="黑体" w:hAnsi="黑体" w:hint="eastAsia"/>
          <w:color w:val="000000" w:themeColor="text1"/>
          <w:kern w:val="44"/>
          <w:sz w:val="24"/>
        </w:rPr>
        <w:t>评价指标体系</w:t>
      </w:r>
    </w:p>
    <w:p w14:paraId="3C1ED450" w14:textId="77777777" w:rsidR="0005429C" w:rsidRDefault="00B43252">
      <w:pPr>
        <w:spacing w:line="360" w:lineRule="auto"/>
        <w:ind w:firstLine="420"/>
        <w:rPr>
          <w:color w:val="000000" w:themeColor="text1"/>
          <w:sz w:val="24"/>
        </w:rPr>
      </w:pPr>
      <w:r>
        <w:rPr>
          <w:rFonts w:hint="eastAsia"/>
          <w:color w:val="000000" w:themeColor="text1"/>
          <w:sz w:val="24"/>
        </w:rPr>
        <w:t>本标准的评价指标体系遵循了《绿色工厂评价通则》指标体系的架构，包括了基本要求和评价指标要求两部分。</w:t>
      </w:r>
    </w:p>
    <w:p w14:paraId="05C3E000" w14:textId="77777777" w:rsidR="0005429C" w:rsidRDefault="00B43252">
      <w:pPr>
        <w:spacing w:line="360" w:lineRule="auto"/>
        <w:ind w:firstLine="420"/>
        <w:rPr>
          <w:color w:val="000000" w:themeColor="text1"/>
          <w:sz w:val="24"/>
        </w:rPr>
      </w:pPr>
      <w:r>
        <w:rPr>
          <w:rFonts w:hint="eastAsia"/>
          <w:color w:val="000000" w:themeColor="text1"/>
          <w:sz w:val="24"/>
        </w:rPr>
        <w:t>评价指标要求分为基础设施、管理体系、能源与资源投入、产品、环境排放、绩效六项，模型框架如图</w:t>
      </w:r>
      <w:r>
        <w:rPr>
          <w:rFonts w:hint="eastAsia"/>
          <w:color w:val="000000" w:themeColor="text1"/>
          <w:sz w:val="24"/>
        </w:rPr>
        <w:t>1</w:t>
      </w:r>
      <w:r>
        <w:rPr>
          <w:rFonts w:hint="eastAsia"/>
          <w:color w:val="000000" w:themeColor="text1"/>
          <w:sz w:val="24"/>
        </w:rPr>
        <w:t>所示。</w:t>
      </w:r>
    </w:p>
    <w:p w14:paraId="467518CC" w14:textId="77777777" w:rsidR="0005429C" w:rsidRDefault="00B43252">
      <w:pPr>
        <w:widowControl/>
        <w:jc w:val="center"/>
        <w:rPr>
          <w:color w:val="000000" w:themeColor="text1"/>
        </w:rPr>
      </w:pPr>
      <w:r>
        <w:rPr>
          <w:color w:val="000000" w:themeColor="text1"/>
        </w:rPr>
        <w:object w:dxaOrig="5318" w:dyaOrig="2985" w14:anchorId="46621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149.25pt" o:ole="">
            <v:imagedata r:id="rId8" o:title=""/>
          </v:shape>
          <o:OLEObject Type="Embed" ProgID="Visio.Drawing.15" ShapeID="_x0000_i1025" DrawAspect="Content" ObjectID="_1677913042" r:id="rId9"/>
        </w:object>
      </w:r>
    </w:p>
    <w:p w14:paraId="154517D0" w14:textId="77777777" w:rsidR="0005429C" w:rsidRDefault="00B43252">
      <w:pPr>
        <w:widowControl/>
        <w:jc w:val="center"/>
        <w:rPr>
          <w:color w:val="000000" w:themeColor="text1"/>
          <w:lang w:eastAsia="zh-Hans"/>
        </w:rPr>
      </w:pPr>
      <w:r>
        <w:rPr>
          <w:rFonts w:hint="eastAsia"/>
          <w:color w:val="000000" w:themeColor="text1"/>
          <w:lang w:eastAsia="zh-Hans"/>
        </w:rPr>
        <w:t>图</w:t>
      </w:r>
      <w:r>
        <w:rPr>
          <w:color w:val="000000" w:themeColor="text1"/>
          <w:lang w:eastAsia="zh-Hans"/>
        </w:rPr>
        <w:t xml:space="preserve">1 </w:t>
      </w:r>
      <w:r>
        <w:rPr>
          <w:rFonts w:hint="eastAsia"/>
          <w:color w:val="000000" w:themeColor="text1"/>
          <w:lang w:eastAsia="zh-Hans"/>
        </w:rPr>
        <w:t>多晶硅行业绿色工厂评价体系框图</w:t>
      </w:r>
    </w:p>
    <w:p w14:paraId="16AF47E7" w14:textId="77777777" w:rsidR="0005429C" w:rsidRDefault="0005429C">
      <w:pPr>
        <w:widowControl/>
        <w:jc w:val="center"/>
        <w:rPr>
          <w:rFonts w:ascii="宋体" w:eastAsia="宋体" w:hAnsi="宋体" w:cs="宋体"/>
          <w:b/>
          <w:color w:val="000000" w:themeColor="text1"/>
          <w:kern w:val="0"/>
          <w:sz w:val="24"/>
          <w:lang w:bidi="ar"/>
        </w:rPr>
      </w:pPr>
    </w:p>
    <w:p w14:paraId="5D662B61" w14:textId="77777777" w:rsidR="0005429C" w:rsidRDefault="00B43252">
      <w:pPr>
        <w:snapToGrid w:val="0"/>
        <w:spacing w:line="360" w:lineRule="auto"/>
        <w:ind w:firstLine="420"/>
        <w:rPr>
          <w:color w:val="000000" w:themeColor="text1"/>
          <w:sz w:val="24"/>
        </w:rPr>
      </w:pPr>
      <w:r>
        <w:rPr>
          <w:rFonts w:hint="eastAsia"/>
          <w:color w:val="000000" w:themeColor="text1"/>
          <w:sz w:val="24"/>
        </w:rPr>
        <w:t>每项一级指标下设置二级指标</w:t>
      </w:r>
      <w:r>
        <w:rPr>
          <w:rFonts w:hint="eastAsia"/>
          <w:color w:val="000000" w:themeColor="text1"/>
          <w:sz w:val="24"/>
        </w:rPr>
        <w:t>,</w:t>
      </w:r>
      <w:r>
        <w:rPr>
          <w:rFonts w:hint="eastAsia"/>
          <w:color w:val="000000" w:themeColor="text1"/>
          <w:sz w:val="24"/>
        </w:rPr>
        <w:t>二级指标下的具体评价要求分为必选要求与可选要求。必选要求为工厂应达到的基础性要求</w:t>
      </w:r>
      <w:r>
        <w:rPr>
          <w:rFonts w:hint="eastAsia"/>
          <w:color w:val="000000" w:themeColor="text1"/>
          <w:sz w:val="24"/>
        </w:rPr>
        <w:t>,</w:t>
      </w:r>
      <w:r>
        <w:rPr>
          <w:rFonts w:hint="eastAsia"/>
          <w:color w:val="000000" w:themeColor="text1"/>
          <w:sz w:val="24"/>
        </w:rPr>
        <w:t>必选要求不达标不能评为绿色工厂</w:t>
      </w:r>
      <w:r>
        <w:rPr>
          <w:rFonts w:hint="eastAsia"/>
          <w:color w:val="000000" w:themeColor="text1"/>
          <w:sz w:val="24"/>
        </w:rPr>
        <w:t>;</w:t>
      </w:r>
      <w:r>
        <w:rPr>
          <w:rFonts w:hint="eastAsia"/>
          <w:color w:val="000000" w:themeColor="text1"/>
          <w:sz w:val="24"/>
        </w:rPr>
        <w:t>可选要求为工厂通过努力达到的提高性要求</w:t>
      </w:r>
      <w:r>
        <w:rPr>
          <w:rFonts w:hint="eastAsia"/>
          <w:color w:val="000000" w:themeColor="text1"/>
          <w:sz w:val="24"/>
        </w:rPr>
        <w:t>,</w:t>
      </w:r>
      <w:r>
        <w:rPr>
          <w:rFonts w:hint="eastAsia"/>
          <w:color w:val="000000" w:themeColor="text1"/>
          <w:sz w:val="24"/>
        </w:rPr>
        <w:t>具有先进性。在标准描述中使用</w:t>
      </w:r>
      <w:r>
        <w:rPr>
          <w:rFonts w:hint="eastAsia"/>
          <w:color w:val="000000" w:themeColor="text1"/>
          <w:sz w:val="24"/>
        </w:rPr>
        <w:t>"</w:t>
      </w:r>
      <w:r>
        <w:rPr>
          <w:rFonts w:hint="eastAsia"/>
          <w:color w:val="000000" w:themeColor="text1"/>
          <w:sz w:val="24"/>
        </w:rPr>
        <w:t>应</w:t>
      </w:r>
      <w:r>
        <w:rPr>
          <w:rFonts w:hint="eastAsia"/>
          <w:color w:val="000000" w:themeColor="text1"/>
          <w:sz w:val="24"/>
        </w:rPr>
        <w:t>"</w:t>
      </w:r>
      <w:r>
        <w:rPr>
          <w:rFonts w:hint="eastAsia"/>
          <w:color w:val="000000" w:themeColor="text1"/>
          <w:sz w:val="24"/>
        </w:rPr>
        <w:t>和</w:t>
      </w:r>
      <w:r>
        <w:rPr>
          <w:rFonts w:hint="eastAsia"/>
          <w:color w:val="000000" w:themeColor="text1"/>
          <w:sz w:val="24"/>
        </w:rPr>
        <w:t>"</w:t>
      </w:r>
      <w:r>
        <w:rPr>
          <w:rFonts w:hint="eastAsia"/>
          <w:color w:val="000000" w:themeColor="text1"/>
          <w:sz w:val="24"/>
        </w:rPr>
        <w:t>宜</w:t>
      </w:r>
      <w:r>
        <w:rPr>
          <w:rFonts w:hint="eastAsia"/>
          <w:color w:val="000000" w:themeColor="text1"/>
          <w:sz w:val="24"/>
        </w:rPr>
        <w:t>"</w:t>
      </w:r>
      <w:r>
        <w:rPr>
          <w:rFonts w:hint="eastAsia"/>
          <w:color w:val="000000" w:themeColor="text1"/>
          <w:sz w:val="24"/>
        </w:rPr>
        <w:t>予以区分</w:t>
      </w:r>
      <w:r>
        <w:rPr>
          <w:rFonts w:hint="eastAsia"/>
          <w:color w:val="000000" w:themeColor="text1"/>
          <w:sz w:val="24"/>
        </w:rPr>
        <w:t>,</w:t>
      </w:r>
      <w:r>
        <w:rPr>
          <w:rFonts w:hint="eastAsia"/>
          <w:color w:val="000000" w:themeColor="text1"/>
          <w:sz w:val="24"/>
        </w:rPr>
        <w:t>企业应满足或达到的要求一般即为评价过程中的必选要求</w:t>
      </w:r>
      <w:r>
        <w:rPr>
          <w:rFonts w:hint="eastAsia"/>
          <w:color w:val="000000" w:themeColor="text1"/>
          <w:sz w:val="24"/>
        </w:rPr>
        <w:t>,</w:t>
      </w:r>
      <w:r>
        <w:rPr>
          <w:rFonts w:hint="eastAsia"/>
          <w:color w:val="000000" w:themeColor="text1"/>
          <w:sz w:val="24"/>
        </w:rPr>
        <w:t>企业宜满足或达到的要求一般即为评价过程中的可选要求。</w:t>
      </w:r>
    </w:p>
    <w:p w14:paraId="339B0680" w14:textId="77777777" w:rsidR="0005429C" w:rsidRDefault="00B43252">
      <w:pPr>
        <w:widowControl/>
        <w:spacing w:line="360" w:lineRule="auto"/>
        <w:jc w:val="left"/>
        <w:rPr>
          <w:rFonts w:ascii="黑体" w:eastAsia="黑体" w:hAnsi="黑体"/>
          <w:color w:val="000000" w:themeColor="text1"/>
          <w:kern w:val="44"/>
          <w:sz w:val="24"/>
        </w:rPr>
      </w:pPr>
      <w:r>
        <w:rPr>
          <w:rFonts w:ascii="黑体" w:eastAsia="黑体" w:hAnsi="黑体" w:hint="eastAsia"/>
          <w:color w:val="000000" w:themeColor="text1"/>
          <w:kern w:val="44"/>
          <w:sz w:val="24"/>
        </w:rPr>
        <w:t xml:space="preserve">2.2.6 </w:t>
      </w:r>
      <w:r>
        <w:rPr>
          <w:rFonts w:ascii="黑体" w:eastAsia="黑体" w:hAnsi="黑体" w:hint="eastAsia"/>
          <w:color w:val="000000" w:themeColor="text1"/>
          <w:kern w:val="44"/>
          <w:sz w:val="24"/>
        </w:rPr>
        <w:t>评分方法与数据统计</w:t>
      </w:r>
    </w:p>
    <w:p w14:paraId="5D55234E" w14:textId="77777777" w:rsidR="0005429C" w:rsidRDefault="00B43252">
      <w:pPr>
        <w:spacing w:line="360" w:lineRule="auto"/>
        <w:ind w:firstLine="420"/>
        <w:rPr>
          <w:rFonts w:ascii="宋体" w:eastAsia="宋体" w:hAnsi="宋体"/>
          <w:color w:val="000000" w:themeColor="text1"/>
          <w:sz w:val="24"/>
        </w:rPr>
      </w:pPr>
      <w:r>
        <w:rPr>
          <w:rFonts w:ascii="宋体" w:eastAsia="宋体" w:hAnsi="宋体" w:hint="eastAsia"/>
          <w:color w:val="000000" w:themeColor="text1"/>
          <w:sz w:val="24"/>
        </w:rPr>
        <w:t>2.2.6.1</w:t>
      </w:r>
      <w:r>
        <w:rPr>
          <w:rFonts w:ascii="宋体" w:eastAsia="宋体" w:hAnsi="宋体" w:hint="eastAsia"/>
          <w:color w:val="000000" w:themeColor="text1"/>
          <w:sz w:val="24"/>
        </w:rPr>
        <w:t>评分计算方法多晶硅行业绿色工厂评价要求分为三类</w:t>
      </w:r>
      <w:r>
        <w:rPr>
          <w:rFonts w:ascii="宋体" w:eastAsia="宋体" w:hAnsi="宋体" w:hint="eastAsia"/>
          <w:color w:val="000000" w:themeColor="text1"/>
          <w:sz w:val="24"/>
        </w:rPr>
        <w:t>,</w:t>
      </w:r>
      <w:r>
        <w:rPr>
          <w:rFonts w:ascii="宋体" w:eastAsia="宋体" w:hAnsi="宋体" w:hint="eastAsia"/>
          <w:color w:val="000000" w:themeColor="text1"/>
          <w:sz w:val="24"/>
        </w:rPr>
        <w:t>一类为不参与评分的基本要求</w:t>
      </w:r>
      <w:r>
        <w:rPr>
          <w:rFonts w:ascii="宋体" w:eastAsia="宋体" w:hAnsi="宋体" w:hint="eastAsia"/>
          <w:color w:val="000000" w:themeColor="text1"/>
          <w:sz w:val="24"/>
        </w:rPr>
        <w:t>,</w:t>
      </w:r>
      <w:r>
        <w:rPr>
          <w:rFonts w:ascii="宋体" w:eastAsia="宋体" w:hAnsi="宋体" w:hint="eastAsia"/>
          <w:color w:val="000000" w:themeColor="text1"/>
          <w:sz w:val="24"/>
        </w:rPr>
        <w:t>工厂需全部满足方可进行评价</w:t>
      </w:r>
      <w:r>
        <w:rPr>
          <w:rFonts w:ascii="宋体" w:eastAsia="宋体" w:hAnsi="宋体" w:hint="eastAsia"/>
          <w:color w:val="000000" w:themeColor="text1"/>
          <w:sz w:val="24"/>
        </w:rPr>
        <w:t>;</w:t>
      </w:r>
      <w:r>
        <w:rPr>
          <w:rFonts w:ascii="宋体" w:eastAsia="宋体" w:hAnsi="宋体" w:hint="eastAsia"/>
          <w:color w:val="000000" w:themeColor="text1"/>
          <w:sz w:val="24"/>
        </w:rPr>
        <w:t>第二类为必选要求</w:t>
      </w:r>
      <w:r>
        <w:rPr>
          <w:rFonts w:ascii="宋体" w:eastAsia="宋体" w:hAnsi="宋体" w:hint="eastAsia"/>
          <w:color w:val="000000" w:themeColor="text1"/>
          <w:sz w:val="24"/>
        </w:rPr>
        <w:t>,</w:t>
      </w:r>
      <w:r>
        <w:rPr>
          <w:rFonts w:ascii="宋体" w:eastAsia="宋体" w:hAnsi="宋体" w:hint="eastAsia"/>
          <w:color w:val="000000" w:themeColor="text1"/>
          <w:sz w:val="24"/>
        </w:rPr>
        <w:t>视必选要求与判定准则的符合性得分为</w:t>
      </w:r>
      <w:r>
        <w:rPr>
          <w:rFonts w:ascii="宋体" w:eastAsia="宋体" w:hAnsi="宋体" w:hint="eastAsia"/>
          <w:color w:val="000000" w:themeColor="text1"/>
          <w:sz w:val="24"/>
        </w:rPr>
        <w:t>0</w:t>
      </w:r>
      <w:r>
        <w:rPr>
          <w:rFonts w:ascii="宋体" w:eastAsia="宋体" w:hAnsi="宋体" w:hint="eastAsia"/>
          <w:color w:val="000000" w:themeColor="text1"/>
          <w:sz w:val="24"/>
        </w:rPr>
        <w:t>或者满分；第三类为可选要求</w:t>
      </w:r>
      <w:r>
        <w:rPr>
          <w:rFonts w:ascii="宋体" w:eastAsia="宋体" w:hAnsi="宋体" w:hint="eastAsia"/>
          <w:color w:val="000000" w:themeColor="text1"/>
          <w:sz w:val="24"/>
        </w:rPr>
        <w:t>,</w:t>
      </w:r>
      <w:r>
        <w:rPr>
          <w:rFonts w:ascii="宋体" w:eastAsia="宋体" w:hAnsi="宋体" w:hint="eastAsia"/>
          <w:color w:val="000000" w:themeColor="text1"/>
          <w:sz w:val="24"/>
        </w:rPr>
        <w:t>可选要求采用分级评价的方式</w:t>
      </w:r>
      <w:r>
        <w:rPr>
          <w:rFonts w:ascii="宋体" w:eastAsia="宋体" w:hAnsi="宋体" w:hint="eastAsia"/>
          <w:color w:val="000000" w:themeColor="text1"/>
          <w:sz w:val="24"/>
        </w:rPr>
        <w:t>,</w:t>
      </w:r>
      <w:r>
        <w:rPr>
          <w:rFonts w:ascii="宋体" w:eastAsia="宋体" w:hAnsi="宋体" w:hint="eastAsia"/>
          <w:color w:val="000000" w:themeColor="text1"/>
          <w:sz w:val="24"/>
        </w:rPr>
        <w:t>根据判定准则给出的分级要求得分。</w:t>
      </w:r>
    </w:p>
    <w:p w14:paraId="26385A21" w14:textId="77777777" w:rsidR="0005429C" w:rsidRDefault="00B43252">
      <w:pPr>
        <w:spacing w:line="360" w:lineRule="auto"/>
        <w:ind w:firstLine="420"/>
        <w:rPr>
          <w:color w:val="000000" w:themeColor="text1"/>
          <w:sz w:val="24"/>
        </w:rPr>
      </w:pPr>
      <w:r>
        <w:rPr>
          <w:rFonts w:ascii="宋体" w:eastAsia="宋体" w:hAnsi="宋体" w:hint="eastAsia"/>
          <w:color w:val="000000" w:themeColor="text1"/>
          <w:sz w:val="24"/>
        </w:rPr>
        <w:t>绩效的评分采用按比例计算得分，指标体系对一级指标以及二级指标共设置两层权重，通过逐级加权得出最终</w:t>
      </w:r>
      <w:r>
        <w:rPr>
          <w:rFonts w:hint="eastAsia"/>
          <w:color w:val="000000" w:themeColor="text1"/>
          <w:sz w:val="24"/>
        </w:rPr>
        <w:t>得分。在绿色工厂评价的过程中，一级指标权重的确定是体现各不同行业差异的关键所在。</w:t>
      </w:r>
    </w:p>
    <w:p w14:paraId="5AE661F4" w14:textId="77777777" w:rsidR="0005429C" w:rsidRDefault="00B43252">
      <w:pPr>
        <w:spacing w:line="360" w:lineRule="auto"/>
        <w:ind w:firstLine="420"/>
        <w:rPr>
          <w:color w:val="000000" w:themeColor="text1"/>
          <w:sz w:val="24"/>
        </w:rPr>
      </w:pPr>
      <w:r>
        <w:rPr>
          <w:rFonts w:hint="eastAsia"/>
          <w:color w:val="000000" w:themeColor="text1"/>
          <w:sz w:val="24"/>
        </w:rPr>
        <w:t>本标准制定的任务就是通过调研讨论制定指标及权重。</w:t>
      </w:r>
    </w:p>
    <w:p w14:paraId="5348AFCC" w14:textId="77777777" w:rsidR="0005429C" w:rsidRDefault="00B43252">
      <w:pPr>
        <w:widowControl/>
        <w:jc w:val="center"/>
        <w:rPr>
          <w:color w:val="000000" w:themeColor="text1"/>
          <w:sz w:val="24"/>
        </w:rPr>
      </w:pPr>
      <w:r>
        <w:rPr>
          <w:rFonts w:ascii="宋体" w:eastAsia="宋体" w:hAnsi="宋体" w:cs="宋体" w:hint="eastAsia"/>
          <w:color w:val="000000" w:themeColor="text1"/>
          <w:kern w:val="0"/>
          <w:sz w:val="24"/>
          <w:lang w:bidi="ar"/>
        </w:rPr>
        <w:t>表</w:t>
      </w:r>
      <w:r>
        <w:rPr>
          <w:rFonts w:ascii="宋体" w:eastAsia="宋体" w:hAnsi="宋体" w:cs="宋体" w:hint="eastAsia"/>
          <w:color w:val="000000" w:themeColor="text1"/>
          <w:kern w:val="0"/>
          <w:sz w:val="24"/>
          <w:lang w:bidi="ar"/>
        </w:rPr>
        <w:t xml:space="preserve"> </w:t>
      </w:r>
      <w:r>
        <w:rPr>
          <w:rFonts w:ascii="TimesNewRomanPSMT" w:eastAsia="TimesNewRomanPSMT" w:hAnsi="TimesNewRomanPSMT" w:cs="TimesNewRomanPSMT"/>
          <w:color w:val="000000" w:themeColor="text1"/>
          <w:kern w:val="0"/>
          <w:sz w:val="24"/>
          <w:lang w:bidi="ar"/>
        </w:rPr>
        <w:t xml:space="preserve">1 </w:t>
      </w:r>
      <w:r>
        <w:rPr>
          <w:rFonts w:ascii="宋体" w:eastAsia="宋体" w:hAnsi="宋体" w:cs="宋体" w:hint="eastAsia"/>
          <w:color w:val="000000" w:themeColor="text1"/>
          <w:kern w:val="0"/>
          <w:sz w:val="24"/>
          <w:lang w:bidi="ar"/>
        </w:rPr>
        <w:t>权重分配表</w:t>
      </w:r>
    </w:p>
    <w:tbl>
      <w:tblPr>
        <w:tblStyle w:val="af"/>
        <w:tblW w:w="0" w:type="auto"/>
        <w:tblLook w:val="04A0" w:firstRow="1" w:lastRow="0" w:firstColumn="1" w:lastColumn="0" w:noHBand="0" w:noVBand="1"/>
      </w:tblPr>
      <w:tblGrid>
        <w:gridCol w:w="4940"/>
        <w:gridCol w:w="4120"/>
      </w:tblGrid>
      <w:tr w:rsidR="0005429C" w14:paraId="75E85F82" w14:textId="77777777">
        <w:tc>
          <w:tcPr>
            <w:tcW w:w="4975" w:type="dxa"/>
          </w:tcPr>
          <w:p w14:paraId="268CFD01" w14:textId="77777777" w:rsidR="0005429C" w:rsidRDefault="00B43252">
            <w:pPr>
              <w:widowControl/>
              <w:jc w:val="center"/>
              <w:rPr>
                <w:rFonts w:ascii="宋体" w:eastAsia="宋体" w:hAnsi="宋体" w:cs="宋体"/>
                <w:b/>
                <w:color w:val="000000" w:themeColor="text1"/>
                <w:kern w:val="0"/>
                <w:sz w:val="24"/>
                <w:lang w:bidi="ar"/>
              </w:rPr>
            </w:pPr>
            <w:r>
              <w:rPr>
                <w:rFonts w:ascii="宋体" w:eastAsia="宋体" w:hAnsi="宋体" w:cs="宋体" w:hint="eastAsia"/>
                <w:color w:val="000000" w:themeColor="text1"/>
                <w:kern w:val="0"/>
                <w:sz w:val="24"/>
                <w:lang w:bidi="ar"/>
              </w:rPr>
              <w:t>一级指标</w:t>
            </w:r>
          </w:p>
        </w:tc>
        <w:tc>
          <w:tcPr>
            <w:tcW w:w="4145" w:type="dxa"/>
          </w:tcPr>
          <w:p w14:paraId="09D2C551" w14:textId="77777777" w:rsidR="0005429C" w:rsidRDefault="00B43252">
            <w:pPr>
              <w:widowControl/>
              <w:jc w:val="center"/>
              <w:rPr>
                <w:rFonts w:ascii="宋体" w:eastAsia="宋体" w:hAnsi="宋体" w:cs="宋体"/>
                <w:b/>
                <w:color w:val="000000" w:themeColor="text1"/>
                <w:kern w:val="0"/>
                <w:sz w:val="24"/>
                <w:lang w:bidi="ar"/>
              </w:rPr>
            </w:pPr>
            <w:r>
              <w:rPr>
                <w:rFonts w:ascii="宋体" w:eastAsia="宋体" w:hAnsi="宋体" w:cs="宋体" w:hint="eastAsia"/>
                <w:color w:val="000000" w:themeColor="text1"/>
                <w:kern w:val="0"/>
                <w:sz w:val="24"/>
                <w:lang w:bidi="ar"/>
              </w:rPr>
              <w:t>权重（</w:t>
            </w:r>
            <w:r>
              <w:rPr>
                <w:rFonts w:ascii="TimesNewRomanPSMT" w:eastAsia="TimesNewRomanPSMT" w:hAnsi="TimesNewRomanPSMT" w:cs="TimesNewRomanPSMT"/>
                <w:color w:val="000000" w:themeColor="text1"/>
                <w:kern w:val="0"/>
                <w:sz w:val="24"/>
                <w:lang w:bidi="ar"/>
              </w:rPr>
              <w:t>Wi</w:t>
            </w:r>
            <w:r>
              <w:rPr>
                <w:rFonts w:ascii="宋体" w:eastAsia="宋体" w:hAnsi="宋体" w:cs="宋体" w:hint="eastAsia"/>
                <w:color w:val="000000" w:themeColor="text1"/>
                <w:kern w:val="0"/>
                <w:sz w:val="24"/>
                <w:lang w:bidi="ar"/>
              </w:rPr>
              <w:t>）</w:t>
            </w:r>
          </w:p>
        </w:tc>
      </w:tr>
      <w:tr w:rsidR="0005429C" w14:paraId="3AEB6438" w14:textId="77777777">
        <w:tc>
          <w:tcPr>
            <w:tcW w:w="4975" w:type="dxa"/>
          </w:tcPr>
          <w:p w14:paraId="6EA4E912" w14:textId="77777777" w:rsidR="0005429C" w:rsidRDefault="00B43252">
            <w:pPr>
              <w:widowControl/>
              <w:spacing w:line="360" w:lineRule="auto"/>
              <w:jc w:val="center"/>
              <w:rPr>
                <w:rFonts w:ascii="宋体" w:eastAsia="宋体" w:hAnsi="宋体" w:cs="宋体"/>
                <w:b/>
                <w:color w:val="000000" w:themeColor="text1"/>
                <w:kern w:val="0"/>
                <w:sz w:val="24"/>
                <w:lang w:bidi="ar"/>
              </w:rPr>
            </w:pPr>
            <w:r>
              <w:rPr>
                <w:rFonts w:ascii="宋体" w:eastAsia="宋体" w:hAnsi="宋体" w:cs="宋体" w:hint="eastAsia"/>
                <w:color w:val="000000" w:themeColor="text1"/>
                <w:kern w:val="0"/>
                <w:sz w:val="24"/>
                <w:lang w:bidi="ar"/>
              </w:rPr>
              <w:t>基础设施</w:t>
            </w:r>
          </w:p>
        </w:tc>
        <w:tc>
          <w:tcPr>
            <w:tcW w:w="4145" w:type="dxa"/>
          </w:tcPr>
          <w:p w14:paraId="478E58A4" w14:textId="77777777" w:rsidR="0005429C" w:rsidRDefault="00B43252">
            <w:pPr>
              <w:widowControl/>
              <w:spacing w:line="360" w:lineRule="auto"/>
              <w:jc w:val="center"/>
              <w:rPr>
                <w:rFonts w:ascii="宋体" w:eastAsia="宋体" w:hAnsi="宋体" w:cs="宋体"/>
                <w:b/>
                <w:color w:val="000000" w:themeColor="text1"/>
                <w:kern w:val="0"/>
                <w:sz w:val="24"/>
                <w:lang w:bidi="ar"/>
              </w:rPr>
            </w:pPr>
            <w:r>
              <w:rPr>
                <w:rFonts w:ascii="宋体" w:eastAsia="宋体" w:hAnsi="宋体" w:cs="宋体"/>
                <w:b/>
                <w:color w:val="000000" w:themeColor="text1"/>
                <w:kern w:val="0"/>
                <w:sz w:val="24"/>
                <w:lang w:bidi="ar"/>
              </w:rPr>
              <w:t>20%</w:t>
            </w:r>
          </w:p>
        </w:tc>
      </w:tr>
      <w:tr w:rsidR="0005429C" w14:paraId="4A6DCB85" w14:textId="77777777">
        <w:tc>
          <w:tcPr>
            <w:tcW w:w="4975" w:type="dxa"/>
          </w:tcPr>
          <w:p w14:paraId="73708D9C" w14:textId="77777777" w:rsidR="0005429C" w:rsidRDefault="00B43252">
            <w:pPr>
              <w:widowControl/>
              <w:spacing w:line="360" w:lineRule="auto"/>
              <w:jc w:val="center"/>
              <w:rPr>
                <w:rFonts w:ascii="宋体" w:eastAsia="宋体" w:hAnsi="宋体" w:cs="宋体"/>
                <w:b/>
                <w:color w:val="000000" w:themeColor="text1"/>
                <w:kern w:val="0"/>
                <w:sz w:val="24"/>
                <w:lang w:bidi="ar"/>
              </w:rPr>
            </w:pPr>
            <w:r>
              <w:rPr>
                <w:rFonts w:ascii="宋体" w:eastAsia="宋体" w:hAnsi="宋体" w:cs="宋体" w:hint="eastAsia"/>
                <w:color w:val="000000" w:themeColor="text1"/>
                <w:kern w:val="0"/>
                <w:sz w:val="24"/>
                <w:lang w:bidi="ar"/>
              </w:rPr>
              <w:t>管理体系</w:t>
            </w:r>
          </w:p>
        </w:tc>
        <w:tc>
          <w:tcPr>
            <w:tcW w:w="4145" w:type="dxa"/>
          </w:tcPr>
          <w:p w14:paraId="3FF58EA3" w14:textId="77777777" w:rsidR="0005429C" w:rsidRDefault="00B43252">
            <w:pPr>
              <w:widowControl/>
              <w:spacing w:line="360" w:lineRule="auto"/>
              <w:jc w:val="center"/>
              <w:rPr>
                <w:rFonts w:ascii="宋体" w:eastAsia="宋体" w:hAnsi="宋体" w:cs="宋体"/>
                <w:b/>
                <w:color w:val="000000" w:themeColor="text1"/>
                <w:kern w:val="0"/>
                <w:sz w:val="24"/>
                <w:lang w:bidi="ar"/>
              </w:rPr>
            </w:pPr>
            <w:r>
              <w:rPr>
                <w:rFonts w:ascii="宋体" w:eastAsia="宋体" w:hAnsi="宋体" w:cs="宋体"/>
                <w:b/>
                <w:color w:val="000000" w:themeColor="text1"/>
                <w:kern w:val="0"/>
                <w:sz w:val="24"/>
                <w:lang w:bidi="ar"/>
              </w:rPr>
              <w:t>10%</w:t>
            </w:r>
          </w:p>
        </w:tc>
      </w:tr>
      <w:tr w:rsidR="0005429C" w14:paraId="75CE2D80" w14:textId="77777777">
        <w:tc>
          <w:tcPr>
            <w:tcW w:w="4975" w:type="dxa"/>
          </w:tcPr>
          <w:p w14:paraId="71259204" w14:textId="77777777" w:rsidR="0005429C" w:rsidRDefault="00B43252">
            <w:pPr>
              <w:widowControl/>
              <w:spacing w:line="360" w:lineRule="auto"/>
              <w:jc w:val="center"/>
              <w:rPr>
                <w:rFonts w:ascii="宋体" w:eastAsia="宋体" w:hAnsi="宋体" w:cs="宋体"/>
                <w:b/>
                <w:color w:val="000000" w:themeColor="text1"/>
                <w:kern w:val="0"/>
                <w:sz w:val="24"/>
                <w:lang w:bidi="ar"/>
              </w:rPr>
            </w:pPr>
            <w:r>
              <w:rPr>
                <w:rFonts w:ascii="宋体" w:eastAsia="宋体" w:hAnsi="宋体" w:cs="宋体" w:hint="eastAsia"/>
                <w:color w:val="000000" w:themeColor="text1"/>
                <w:kern w:val="0"/>
                <w:sz w:val="24"/>
                <w:lang w:bidi="ar"/>
              </w:rPr>
              <w:t>能源资源投入</w:t>
            </w:r>
          </w:p>
        </w:tc>
        <w:tc>
          <w:tcPr>
            <w:tcW w:w="4145" w:type="dxa"/>
          </w:tcPr>
          <w:p w14:paraId="495FA873" w14:textId="77777777" w:rsidR="0005429C" w:rsidRDefault="00B43252">
            <w:pPr>
              <w:widowControl/>
              <w:spacing w:line="360" w:lineRule="auto"/>
              <w:jc w:val="center"/>
              <w:rPr>
                <w:rFonts w:ascii="宋体" w:eastAsia="宋体" w:hAnsi="宋体" w:cs="宋体"/>
                <w:b/>
                <w:color w:val="000000" w:themeColor="text1"/>
                <w:kern w:val="0"/>
                <w:sz w:val="24"/>
                <w:lang w:bidi="ar"/>
              </w:rPr>
            </w:pPr>
            <w:r>
              <w:rPr>
                <w:rFonts w:ascii="宋体" w:eastAsia="宋体" w:hAnsi="宋体" w:cs="宋体"/>
                <w:b/>
                <w:color w:val="000000" w:themeColor="text1"/>
                <w:kern w:val="0"/>
                <w:sz w:val="24"/>
                <w:lang w:bidi="ar"/>
              </w:rPr>
              <w:t>15%</w:t>
            </w:r>
          </w:p>
        </w:tc>
      </w:tr>
      <w:tr w:rsidR="0005429C" w14:paraId="36C96A6B" w14:textId="77777777">
        <w:tc>
          <w:tcPr>
            <w:tcW w:w="4975" w:type="dxa"/>
          </w:tcPr>
          <w:p w14:paraId="01B46CA8" w14:textId="77777777" w:rsidR="0005429C" w:rsidRDefault="00B43252">
            <w:pPr>
              <w:widowControl/>
              <w:spacing w:line="360" w:lineRule="auto"/>
              <w:jc w:val="center"/>
              <w:rPr>
                <w:rFonts w:ascii="宋体" w:eastAsia="宋体" w:hAnsi="宋体" w:cs="宋体"/>
                <w:b/>
                <w:color w:val="000000" w:themeColor="text1"/>
                <w:kern w:val="0"/>
                <w:sz w:val="24"/>
                <w:lang w:bidi="ar"/>
              </w:rPr>
            </w:pPr>
            <w:r>
              <w:rPr>
                <w:rFonts w:ascii="宋体" w:eastAsia="宋体" w:hAnsi="宋体" w:cs="宋体" w:hint="eastAsia"/>
                <w:color w:val="000000" w:themeColor="text1"/>
                <w:kern w:val="0"/>
                <w:sz w:val="24"/>
                <w:lang w:bidi="ar"/>
              </w:rPr>
              <w:t>产品</w:t>
            </w:r>
          </w:p>
        </w:tc>
        <w:tc>
          <w:tcPr>
            <w:tcW w:w="4145" w:type="dxa"/>
          </w:tcPr>
          <w:p w14:paraId="01B924E7" w14:textId="77777777" w:rsidR="0005429C" w:rsidRDefault="00B43252">
            <w:pPr>
              <w:widowControl/>
              <w:spacing w:line="360" w:lineRule="auto"/>
              <w:jc w:val="center"/>
              <w:rPr>
                <w:rFonts w:ascii="宋体" w:eastAsia="宋体" w:hAnsi="宋体" w:cs="宋体"/>
                <w:b/>
                <w:color w:val="000000" w:themeColor="text1"/>
                <w:kern w:val="0"/>
                <w:sz w:val="24"/>
                <w:lang w:bidi="ar"/>
              </w:rPr>
            </w:pPr>
            <w:r>
              <w:rPr>
                <w:rFonts w:ascii="宋体" w:eastAsia="宋体" w:hAnsi="宋体" w:cs="宋体"/>
                <w:b/>
                <w:color w:val="000000" w:themeColor="text1"/>
                <w:kern w:val="0"/>
                <w:sz w:val="24"/>
                <w:lang w:bidi="ar"/>
              </w:rPr>
              <w:t>10%</w:t>
            </w:r>
          </w:p>
        </w:tc>
      </w:tr>
      <w:tr w:rsidR="0005429C" w14:paraId="22172800" w14:textId="77777777">
        <w:tc>
          <w:tcPr>
            <w:tcW w:w="4975" w:type="dxa"/>
          </w:tcPr>
          <w:p w14:paraId="680453B2" w14:textId="77777777" w:rsidR="0005429C" w:rsidRDefault="00B43252">
            <w:pPr>
              <w:widowControl/>
              <w:spacing w:line="360" w:lineRule="auto"/>
              <w:jc w:val="center"/>
              <w:rPr>
                <w:rFonts w:ascii="宋体" w:eastAsia="宋体" w:hAnsi="宋体" w:cs="宋体"/>
                <w:b/>
                <w:color w:val="000000" w:themeColor="text1"/>
                <w:kern w:val="0"/>
                <w:sz w:val="24"/>
                <w:lang w:bidi="ar"/>
              </w:rPr>
            </w:pPr>
            <w:r>
              <w:rPr>
                <w:rFonts w:ascii="宋体" w:eastAsia="宋体" w:hAnsi="宋体" w:cs="宋体" w:hint="eastAsia"/>
                <w:color w:val="000000" w:themeColor="text1"/>
                <w:kern w:val="0"/>
                <w:sz w:val="24"/>
                <w:lang w:bidi="ar"/>
              </w:rPr>
              <w:t>环境排放</w:t>
            </w:r>
          </w:p>
        </w:tc>
        <w:tc>
          <w:tcPr>
            <w:tcW w:w="4145" w:type="dxa"/>
          </w:tcPr>
          <w:p w14:paraId="090BBB25" w14:textId="77777777" w:rsidR="0005429C" w:rsidRDefault="00B43252">
            <w:pPr>
              <w:widowControl/>
              <w:spacing w:line="360" w:lineRule="auto"/>
              <w:jc w:val="center"/>
              <w:rPr>
                <w:rFonts w:ascii="宋体" w:eastAsia="宋体" w:hAnsi="宋体" w:cs="宋体"/>
                <w:b/>
                <w:color w:val="000000" w:themeColor="text1"/>
                <w:kern w:val="0"/>
                <w:sz w:val="24"/>
                <w:lang w:bidi="ar"/>
              </w:rPr>
            </w:pPr>
            <w:r>
              <w:rPr>
                <w:rFonts w:ascii="宋体" w:eastAsia="宋体" w:hAnsi="宋体" w:cs="宋体"/>
                <w:b/>
                <w:color w:val="000000" w:themeColor="text1"/>
                <w:kern w:val="0"/>
                <w:sz w:val="24"/>
                <w:lang w:bidi="ar"/>
              </w:rPr>
              <w:t>15%</w:t>
            </w:r>
          </w:p>
        </w:tc>
      </w:tr>
      <w:tr w:rsidR="0005429C" w14:paraId="74A4F952" w14:textId="77777777">
        <w:tc>
          <w:tcPr>
            <w:tcW w:w="4975" w:type="dxa"/>
          </w:tcPr>
          <w:p w14:paraId="6D664C42" w14:textId="77777777" w:rsidR="0005429C" w:rsidRDefault="00B43252">
            <w:pPr>
              <w:widowControl/>
              <w:spacing w:line="360" w:lineRule="auto"/>
              <w:jc w:val="center"/>
              <w:rPr>
                <w:rFonts w:ascii="宋体" w:eastAsia="宋体" w:hAnsi="宋体" w:cs="宋体"/>
                <w:b/>
                <w:color w:val="000000" w:themeColor="text1"/>
                <w:kern w:val="0"/>
                <w:sz w:val="24"/>
                <w:lang w:bidi="ar"/>
              </w:rPr>
            </w:pPr>
            <w:r>
              <w:rPr>
                <w:rFonts w:ascii="宋体" w:eastAsia="宋体" w:hAnsi="宋体" w:cs="宋体" w:hint="eastAsia"/>
                <w:color w:val="000000" w:themeColor="text1"/>
                <w:kern w:val="0"/>
                <w:sz w:val="24"/>
                <w:lang w:bidi="ar"/>
              </w:rPr>
              <w:t>综合绩效</w:t>
            </w:r>
          </w:p>
        </w:tc>
        <w:tc>
          <w:tcPr>
            <w:tcW w:w="4145" w:type="dxa"/>
          </w:tcPr>
          <w:p w14:paraId="08886C07" w14:textId="77777777" w:rsidR="0005429C" w:rsidRDefault="00B43252">
            <w:pPr>
              <w:widowControl/>
              <w:spacing w:line="360" w:lineRule="auto"/>
              <w:jc w:val="center"/>
              <w:rPr>
                <w:rFonts w:ascii="宋体" w:eastAsia="宋体" w:hAnsi="宋体" w:cs="宋体"/>
                <w:b/>
                <w:color w:val="000000" w:themeColor="text1"/>
                <w:kern w:val="0"/>
                <w:sz w:val="24"/>
                <w:lang w:bidi="ar"/>
              </w:rPr>
            </w:pPr>
            <w:r>
              <w:rPr>
                <w:rFonts w:ascii="宋体" w:eastAsia="宋体" w:hAnsi="宋体" w:cs="宋体"/>
                <w:b/>
                <w:color w:val="000000" w:themeColor="text1"/>
                <w:kern w:val="0"/>
                <w:sz w:val="24"/>
                <w:lang w:bidi="ar"/>
              </w:rPr>
              <w:t>30%</w:t>
            </w:r>
          </w:p>
        </w:tc>
      </w:tr>
    </w:tbl>
    <w:p w14:paraId="77FDA224" w14:textId="77777777" w:rsidR="0005429C" w:rsidRDefault="00B43252">
      <w:pPr>
        <w:pStyle w:val="30"/>
        <w:spacing w:line="360" w:lineRule="auto"/>
        <w:ind w:firstLine="420"/>
        <w:rPr>
          <w:rFonts w:eastAsia="宋体" w:hAnsi="宋体" w:cs="宋体"/>
          <w:color w:val="000000" w:themeColor="text1"/>
          <w:sz w:val="21"/>
          <w:szCs w:val="21"/>
        </w:rPr>
      </w:pPr>
      <w:r>
        <w:rPr>
          <w:rFonts w:eastAsia="宋体" w:hAnsi="宋体" w:cs="宋体" w:hint="eastAsia"/>
          <w:color w:val="000000" w:themeColor="text1"/>
          <w:sz w:val="21"/>
          <w:szCs w:val="21"/>
          <w:lang w:eastAsia="zh-Hans"/>
        </w:rPr>
        <w:lastRenderedPageBreak/>
        <w:t>多晶硅行业</w:t>
      </w:r>
      <w:r>
        <w:rPr>
          <w:rFonts w:eastAsia="宋体" w:hAnsi="宋体" w:cs="宋体" w:hint="eastAsia"/>
          <w:color w:val="000000" w:themeColor="text1"/>
          <w:sz w:val="21"/>
          <w:szCs w:val="21"/>
        </w:rPr>
        <w:t>指标权重分配中，充分考虑了行业特点，</w:t>
      </w:r>
      <w:r>
        <w:rPr>
          <w:rFonts w:eastAsia="宋体" w:hAnsi="宋体" w:cs="宋体" w:hint="eastAsia"/>
          <w:color w:val="000000" w:themeColor="text1"/>
          <w:sz w:val="21"/>
          <w:szCs w:val="21"/>
          <w:lang w:eastAsia="zh-Hans"/>
        </w:rPr>
        <w:t>并参考已发布的金属冶炼行业和较相近制造业绿色工厂评价标准</w:t>
      </w:r>
      <w:r>
        <w:rPr>
          <w:rFonts w:eastAsia="宋体" w:hAnsi="宋体" w:cs="宋体"/>
          <w:color w:val="000000" w:themeColor="text1"/>
          <w:sz w:val="21"/>
          <w:szCs w:val="21"/>
          <w:lang w:eastAsia="zh-Hans"/>
        </w:rPr>
        <w:t>，</w:t>
      </w:r>
      <w:r>
        <w:rPr>
          <w:rFonts w:eastAsia="宋体" w:hAnsi="宋体" w:cs="宋体" w:hint="eastAsia"/>
          <w:color w:val="000000" w:themeColor="text1"/>
          <w:sz w:val="21"/>
          <w:szCs w:val="21"/>
        </w:rPr>
        <w:t>为充分体现可量化的特点，</w:t>
      </w:r>
      <w:r>
        <w:rPr>
          <w:rFonts w:eastAsia="宋体" w:hAnsi="宋体" w:cs="宋体" w:hint="eastAsia"/>
          <w:color w:val="000000" w:themeColor="text1"/>
          <w:sz w:val="21"/>
          <w:szCs w:val="21"/>
        </w:rPr>
        <w:t>本标准对各一级指标权重系数设定权重范围，具体范围如下：</w:t>
      </w:r>
    </w:p>
    <w:p w14:paraId="584239E2" w14:textId="77777777" w:rsidR="0005429C" w:rsidRDefault="00B43252">
      <w:pPr>
        <w:pStyle w:val="30"/>
        <w:snapToGrid w:val="0"/>
        <w:spacing w:line="360" w:lineRule="auto"/>
        <w:ind w:firstLine="420"/>
        <w:rPr>
          <w:rFonts w:eastAsia="宋体" w:hAnsi="宋体" w:cs="宋体"/>
          <w:color w:val="000000" w:themeColor="text1"/>
          <w:sz w:val="21"/>
          <w:szCs w:val="21"/>
        </w:rPr>
      </w:pPr>
      <w:r>
        <w:rPr>
          <w:rFonts w:eastAsia="宋体" w:hAnsi="宋体" w:cs="宋体" w:hint="eastAsia"/>
          <w:color w:val="000000" w:themeColor="text1"/>
          <w:sz w:val="21"/>
          <w:szCs w:val="21"/>
        </w:rPr>
        <w:t>基础</w:t>
      </w:r>
      <w:r>
        <w:rPr>
          <w:rFonts w:eastAsia="宋体" w:hAnsi="宋体" w:cs="宋体" w:hint="eastAsia"/>
          <w:color w:val="000000" w:themeColor="text1"/>
          <w:sz w:val="21"/>
          <w:szCs w:val="21"/>
        </w:rPr>
        <w:t>设施包括</w:t>
      </w:r>
      <w:r>
        <w:rPr>
          <w:rFonts w:eastAsia="宋体" w:hAnsi="宋体" w:cs="宋体" w:hint="eastAsia"/>
          <w:color w:val="000000" w:themeColor="text1"/>
          <w:sz w:val="21"/>
          <w:szCs w:val="21"/>
        </w:rPr>
        <w:t>建筑</w:t>
      </w:r>
      <w:r>
        <w:rPr>
          <w:rFonts w:eastAsia="宋体" w:hAnsi="宋体" w:cs="宋体" w:hint="eastAsia"/>
          <w:color w:val="000000" w:themeColor="text1"/>
          <w:sz w:val="21"/>
          <w:szCs w:val="21"/>
        </w:rPr>
        <w:t>、</w:t>
      </w:r>
      <w:r>
        <w:rPr>
          <w:rFonts w:eastAsia="宋体" w:hAnsi="宋体" w:cs="宋体" w:hint="eastAsia"/>
          <w:color w:val="000000" w:themeColor="text1"/>
          <w:sz w:val="21"/>
          <w:szCs w:val="21"/>
        </w:rPr>
        <w:t>节水、照明</w:t>
      </w:r>
      <w:r>
        <w:rPr>
          <w:rFonts w:eastAsia="宋体" w:hAnsi="宋体" w:cs="宋体" w:hint="eastAsia"/>
          <w:color w:val="000000" w:themeColor="text1"/>
          <w:sz w:val="21"/>
          <w:szCs w:val="21"/>
        </w:rPr>
        <w:t>以及</w:t>
      </w:r>
      <w:r>
        <w:rPr>
          <w:rFonts w:eastAsia="宋体" w:hAnsi="宋体" w:cs="宋体" w:hint="eastAsia"/>
          <w:color w:val="000000" w:themeColor="text1"/>
          <w:sz w:val="21"/>
          <w:szCs w:val="21"/>
        </w:rPr>
        <w:t>设备设施等是绿色工厂的基础，占比</w:t>
      </w:r>
      <w:r>
        <w:rPr>
          <w:rFonts w:eastAsia="宋体" w:hAnsi="宋体" w:cs="宋体" w:hint="eastAsia"/>
          <w:color w:val="000000" w:themeColor="text1"/>
          <w:sz w:val="21"/>
          <w:szCs w:val="21"/>
        </w:rPr>
        <w:t>20%</w:t>
      </w:r>
      <w:r>
        <w:rPr>
          <w:rFonts w:eastAsia="宋体" w:hAnsi="宋体" w:cs="宋体" w:hint="eastAsia"/>
          <w:color w:val="000000" w:themeColor="text1"/>
          <w:sz w:val="21"/>
          <w:szCs w:val="21"/>
        </w:rPr>
        <w:t>；管理组织机构和管理体系建设体现了企业</w:t>
      </w:r>
      <w:r>
        <w:rPr>
          <w:rFonts w:eastAsia="宋体" w:hAnsi="宋体" w:cs="宋体" w:hint="eastAsia"/>
          <w:color w:val="000000" w:themeColor="text1"/>
          <w:sz w:val="21"/>
          <w:szCs w:val="21"/>
        </w:rPr>
        <w:t>对绿色制造体系</w:t>
      </w:r>
      <w:r>
        <w:rPr>
          <w:rFonts w:eastAsia="宋体" w:hAnsi="宋体" w:cs="宋体" w:hint="eastAsia"/>
          <w:color w:val="000000" w:themeColor="text1"/>
          <w:sz w:val="21"/>
          <w:szCs w:val="21"/>
        </w:rPr>
        <w:t>的重视程度和管理能力，占</w:t>
      </w:r>
      <w:r>
        <w:rPr>
          <w:rFonts w:eastAsia="宋体" w:hAnsi="宋体" w:cs="宋体" w:hint="eastAsia"/>
          <w:color w:val="000000" w:themeColor="text1"/>
          <w:sz w:val="21"/>
          <w:szCs w:val="21"/>
        </w:rPr>
        <w:t>1</w:t>
      </w:r>
      <w:r>
        <w:rPr>
          <w:rFonts w:eastAsia="宋体" w:hAnsi="宋体" w:cs="宋体" w:hint="eastAsia"/>
          <w:color w:val="000000" w:themeColor="text1"/>
          <w:sz w:val="21"/>
          <w:szCs w:val="21"/>
        </w:rPr>
        <w:t>0%</w:t>
      </w:r>
      <w:r>
        <w:rPr>
          <w:rFonts w:eastAsia="宋体" w:hAnsi="宋体" w:cs="宋体" w:hint="eastAsia"/>
          <w:color w:val="000000" w:themeColor="text1"/>
          <w:sz w:val="21"/>
          <w:szCs w:val="21"/>
        </w:rPr>
        <w:t>；由于能源与资源投入、环境排放是绿色工厂评价的重要的两部分，各占比</w:t>
      </w:r>
      <w:r>
        <w:rPr>
          <w:rFonts w:eastAsia="宋体" w:hAnsi="宋体" w:cs="宋体" w:hint="eastAsia"/>
          <w:color w:val="000000" w:themeColor="text1"/>
          <w:sz w:val="21"/>
          <w:szCs w:val="21"/>
        </w:rPr>
        <w:t>15%</w:t>
      </w:r>
      <w:r>
        <w:rPr>
          <w:rFonts w:eastAsia="宋体" w:hAnsi="宋体" w:cs="宋体" w:hint="eastAsia"/>
          <w:color w:val="000000" w:themeColor="text1"/>
          <w:sz w:val="21"/>
          <w:szCs w:val="21"/>
        </w:rPr>
        <w:t>；产品是绿色工厂的最终产出体现，是绿色工厂的产出结果，由于产品</w:t>
      </w:r>
      <w:r>
        <w:rPr>
          <w:rFonts w:eastAsia="宋体" w:hAnsi="宋体" w:cs="宋体" w:hint="eastAsia"/>
          <w:color w:val="000000" w:themeColor="text1"/>
          <w:sz w:val="21"/>
          <w:szCs w:val="21"/>
        </w:rPr>
        <w:t>为非用能产品，</w:t>
      </w:r>
      <w:r>
        <w:rPr>
          <w:rFonts w:eastAsia="宋体" w:hAnsi="宋体" w:cs="宋体" w:hint="eastAsia"/>
          <w:color w:val="000000" w:themeColor="text1"/>
          <w:sz w:val="21"/>
          <w:szCs w:val="21"/>
          <w:lang w:eastAsia="zh-Hans"/>
        </w:rPr>
        <w:t>是单晶硅</w:t>
      </w:r>
      <w:r>
        <w:rPr>
          <w:rFonts w:eastAsia="宋体" w:hAnsi="宋体" w:cs="宋体" w:hint="eastAsia"/>
          <w:color w:val="000000" w:themeColor="text1"/>
          <w:sz w:val="21"/>
          <w:szCs w:val="21"/>
        </w:rPr>
        <w:t>原材料，</w:t>
      </w:r>
      <w:r>
        <w:rPr>
          <w:rFonts w:eastAsia="宋体" w:hAnsi="宋体" w:cs="宋体" w:hint="eastAsia"/>
          <w:color w:val="000000" w:themeColor="text1"/>
          <w:sz w:val="21"/>
          <w:szCs w:val="21"/>
        </w:rPr>
        <w:t>无节能要求</w:t>
      </w:r>
      <w:r>
        <w:rPr>
          <w:rFonts w:eastAsia="宋体" w:hAnsi="宋体" w:cs="宋体" w:hint="eastAsia"/>
          <w:color w:val="000000" w:themeColor="text1"/>
          <w:sz w:val="21"/>
          <w:szCs w:val="21"/>
        </w:rPr>
        <w:t>，赋予</w:t>
      </w:r>
      <w:r>
        <w:rPr>
          <w:rFonts w:eastAsia="宋体" w:hAnsi="宋体" w:cs="宋体" w:hint="eastAsia"/>
          <w:color w:val="000000" w:themeColor="text1"/>
          <w:sz w:val="21"/>
          <w:szCs w:val="21"/>
        </w:rPr>
        <w:t>10%</w:t>
      </w:r>
      <w:r>
        <w:rPr>
          <w:rFonts w:eastAsia="宋体" w:hAnsi="宋体" w:cs="宋体" w:hint="eastAsia"/>
          <w:color w:val="000000" w:themeColor="text1"/>
          <w:sz w:val="21"/>
          <w:szCs w:val="21"/>
        </w:rPr>
        <w:t>的权重</w:t>
      </w:r>
      <w:r>
        <w:rPr>
          <w:rFonts w:eastAsia="宋体" w:hAnsi="宋体" w:cs="宋体"/>
          <w:color w:val="000000" w:themeColor="text1"/>
          <w:sz w:val="21"/>
          <w:szCs w:val="21"/>
        </w:rPr>
        <w:t>；</w:t>
      </w:r>
      <w:r>
        <w:rPr>
          <w:rFonts w:eastAsia="宋体" w:hAnsi="宋体" w:cs="宋体" w:hint="eastAsia"/>
          <w:color w:val="000000" w:themeColor="text1"/>
          <w:sz w:val="21"/>
          <w:szCs w:val="21"/>
        </w:rPr>
        <w:t>体现用地集约化、原料无害化、生产洁净化、废物资源化</w:t>
      </w:r>
      <w:r>
        <w:rPr>
          <w:rFonts w:eastAsia="宋体" w:hAnsi="宋体" w:cs="宋体" w:hint="eastAsia"/>
          <w:color w:val="000000" w:themeColor="text1"/>
          <w:sz w:val="21"/>
          <w:szCs w:val="21"/>
        </w:rPr>
        <w:t>以及</w:t>
      </w:r>
      <w:r>
        <w:rPr>
          <w:rFonts w:eastAsia="宋体" w:hAnsi="宋体" w:cs="宋体" w:hint="eastAsia"/>
          <w:color w:val="000000" w:themeColor="text1"/>
          <w:sz w:val="21"/>
          <w:szCs w:val="21"/>
        </w:rPr>
        <w:t>能源低碳化五大绩效指标的内容占比权重最大，占</w:t>
      </w:r>
      <w:r>
        <w:rPr>
          <w:rFonts w:eastAsia="宋体" w:hAnsi="宋体" w:cs="宋体" w:hint="eastAsia"/>
          <w:color w:val="000000" w:themeColor="text1"/>
          <w:sz w:val="21"/>
          <w:szCs w:val="21"/>
        </w:rPr>
        <w:t>30%</w:t>
      </w:r>
      <w:r>
        <w:rPr>
          <w:rFonts w:eastAsia="宋体" w:hAnsi="宋体" w:cs="宋体" w:hint="eastAsia"/>
          <w:color w:val="000000" w:themeColor="text1"/>
          <w:sz w:val="21"/>
          <w:szCs w:val="21"/>
        </w:rPr>
        <w:t>；。以上</w:t>
      </w:r>
      <w:r>
        <w:rPr>
          <w:rFonts w:eastAsia="宋体" w:hAnsi="宋体" w:cs="宋体" w:hint="eastAsia"/>
          <w:color w:val="000000" w:themeColor="text1"/>
          <w:sz w:val="21"/>
          <w:szCs w:val="21"/>
        </w:rPr>
        <w:t>7</w:t>
      </w:r>
      <w:r>
        <w:rPr>
          <w:rFonts w:eastAsia="宋体" w:hAnsi="宋体" w:cs="宋体" w:hint="eastAsia"/>
          <w:color w:val="000000" w:themeColor="text1"/>
          <w:sz w:val="21"/>
          <w:szCs w:val="21"/>
        </w:rPr>
        <w:t>个方面构成了</w:t>
      </w:r>
      <w:r>
        <w:rPr>
          <w:rFonts w:eastAsia="宋体" w:hAnsi="宋体" w:cs="宋体" w:hint="eastAsia"/>
          <w:color w:val="000000" w:themeColor="text1"/>
          <w:sz w:val="21"/>
          <w:szCs w:val="21"/>
          <w:lang w:eastAsia="zh-Hans"/>
        </w:rPr>
        <w:t>多晶硅行业</w:t>
      </w:r>
      <w:r>
        <w:rPr>
          <w:rFonts w:eastAsia="宋体" w:hAnsi="宋体" w:cs="宋体" w:hint="eastAsia"/>
          <w:color w:val="000000" w:themeColor="text1"/>
          <w:sz w:val="21"/>
          <w:szCs w:val="21"/>
        </w:rPr>
        <w:t>绿色工厂评价的全部权重</w:t>
      </w:r>
      <w:r>
        <w:rPr>
          <w:rFonts w:eastAsia="宋体" w:hAnsi="宋体" w:cs="宋体"/>
          <w:color w:val="000000" w:themeColor="text1"/>
          <w:sz w:val="21"/>
          <w:szCs w:val="21"/>
        </w:rPr>
        <w:t>，</w:t>
      </w:r>
      <w:r>
        <w:rPr>
          <w:rFonts w:eastAsia="宋体" w:hAnsi="宋体" w:cs="宋体" w:hint="eastAsia"/>
          <w:color w:val="000000" w:themeColor="text1"/>
          <w:sz w:val="21"/>
          <w:szCs w:val="21"/>
        </w:rPr>
        <w:t>最终权重系数总和为</w:t>
      </w:r>
      <w:r>
        <w:rPr>
          <w:rFonts w:eastAsia="宋体" w:hAnsi="宋体" w:cs="宋体" w:hint="eastAsia"/>
          <w:color w:val="000000" w:themeColor="text1"/>
          <w:sz w:val="21"/>
          <w:szCs w:val="21"/>
        </w:rPr>
        <w:t>100%</w:t>
      </w:r>
      <w:r>
        <w:rPr>
          <w:rFonts w:eastAsia="宋体" w:hAnsi="宋体" w:cs="宋体" w:hint="eastAsia"/>
          <w:color w:val="000000" w:themeColor="text1"/>
          <w:sz w:val="21"/>
          <w:szCs w:val="21"/>
        </w:rPr>
        <w:t>。</w:t>
      </w:r>
    </w:p>
    <w:p w14:paraId="7FB38836" w14:textId="77777777" w:rsidR="0005429C" w:rsidRDefault="00B43252">
      <w:pPr>
        <w:snapToGrid w:val="0"/>
        <w:spacing w:line="360" w:lineRule="auto"/>
        <w:ind w:firstLineChars="200" w:firstLine="420"/>
        <w:rPr>
          <w:color w:val="000000" w:themeColor="text1"/>
        </w:rPr>
      </w:pPr>
      <w:r>
        <w:rPr>
          <w:rFonts w:hint="eastAsia"/>
          <w:color w:val="000000" w:themeColor="text1"/>
        </w:rPr>
        <w:t>多晶硅行业绿色工厂评价一级指标权重系数为：</w:t>
      </w:r>
    </w:p>
    <w:p w14:paraId="257D7C26" w14:textId="77777777" w:rsidR="0005429C" w:rsidRDefault="00B43252">
      <w:pPr>
        <w:numPr>
          <w:ilvl w:val="0"/>
          <w:numId w:val="2"/>
        </w:numPr>
        <w:snapToGrid w:val="0"/>
        <w:spacing w:line="360" w:lineRule="auto"/>
        <w:rPr>
          <w:rFonts w:ascii="宋体" w:hAnsi="宋体" w:cs="宋体"/>
          <w:color w:val="000000" w:themeColor="text1"/>
        </w:rPr>
      </w:pPr>
      <w:r>
        <w:rPr>
          <w:rFonts w:ascii="宋体" w:hAnsi="宋体" w:cs="宋体" w:hint="eastAsia"/>
          <w:color w:val="000000" w:themeColor="text1"/>
        </w:rPr>
        <w:t>基本要求（</w:t>
      </w:r>
      <w:r>
        <w:rPr>
          <w:rFonts w:ascii="宋体" w:hAnsi="宋体" w:cs="宋体" w:hint="eastAsia"/>
          <w:color w:val="000000" w:themeColor="text1"/>
        </w:rPr>
        <w:t>5.1</w:t>
      </w:r>
      <w:r>
        <w:rPr>
          <w:rFonts w:ascii="宋体" w:hAnsi="宋体" w:cs="宋体" w:hint="eastAsia"/>
          <w:color w:val="000000" w:themeColor="text1"/>
        </w:rPr>
        <w:t>）采取一票否决制，应全部满足；</w:t>
      </w:r>
    </w:p>
    <w:p w14:paraId="5A109372" w14:textId="77777777" w:rsidR="0005429C" w:rsidRDefault="00B43252">
      <w:pPr>
        <w:numPr>
          <w:ilvl w:val="0"/>
          <w:numId w:val="2"/>
        </w:numPr>
        <w:snapToGrid w:val="0"/>
        <w:spacing w:line="360" w:lineRule="auto"/>
        <w:rPr>
          <w:rFonts w:ascii="宋体" w:hAnsi="宋体" w:cs="宋体"/>
          <w:color w:val="000000" w:themeColor="text1"/>
        </w:rPr>
      </w:pPr>
      <w:r>
        <w:rPr>
          <w:rFonts w:ascii="宋体" w:hAnsi="宋体" w:cs="宋体" w:hint="eastAsia"/>
          <w:color w:val="000000" w:themeColor="text1"/>
        </w:rPr>
        <w:t>基础设施（</w:t>
      </w:r>
      <w:r>
        <w:rPr>
          <w:rFonts w:ascii="宋体" w:hAnsi="宋体" w:cs="宋体" w:hint="eastAsia"/>
          <w:color w:val="000000" w:themeColor="text1"/>
        </w:rPr>
        <w:t>5.2</w:t>
      </w:r>
      <w:r>
        <w:rPr>
          <w:rFonts w:ascii="宋体" w:hAnsi="宋体" w:cs="宋体" w:hint="eastAsia"/>
          <w:color w:val="000000" w:themeColor="text1"/>
        </w:rPr>
        <w:t>）</w:t>
      </w:r>
      <w:r>
        <w:rPr>
          <w:rFonts w:ascii="宋体" w:hAnsi="宋体" w:cs="宋体" w:hint="eastAsia"/>
          <w:color w:val="000000" w:themeColor="text1"/>
        </w:rPr>
        <w:t>20%</w:t>
      </w:r>
      <w:r>
        <w:rPr>
          <w:rFonts w:ascii="宋体" w:hAnsi="宋体" w:cs="宋体" w:hint="eastAsia"/>
          <w:color w:val="000000" w:themeColor="text1"/>
        </w:rPr>
        <w:t>；</w:t>
      </w:r>
    </w:p>
    <w:p w14:paraId="48F56DDB" w14:textId="77777777" w:rsidR="0005429C" w:rsidRDefault="00B43252">
      <w:pPr>
        <w:numPr>
          <w:ilvl w:val="0"/>
          <w:numId w:val="2"/>
        </w:numPr>
        <w:snapToGrid w:val="0"/>
        <w:spacing w:line="360" w:lineRule="auto"/>
        <w:rPr>
          <w:rFonts w:ascii="宋体" w:hAnsi="宋体" w:cs="宋体"/>
          <w:color w:val="000000" w:themeColor="text1"/>
        </w:rPr>
      </w:pPr>
      <w:r>
        <w:rPr>
          <w:rFonts w:ascii="宋体" w:hAnsi="宋体" w:cs="宋体" w:hint="eastAsia"/>
          <w:color w:val="000000" w:themeColor="text1"/>
        </w:rPr>
        <w:t>管理体系（</w:t>
      </w:r>
      <w:r>
        <w:rPr>
          <w:rFonts w:ascii="宋体" w:hAnsi="宋体" w:cs="宋体" w:hint="eastAsia"/>
          <w:color w:val="000000" w:themeColor="text1"/>
        </w:rPr>
        <w:t>5.3</w:t>
      </w:r>
      <w:r>
        <w:rPr>
          <w:rFonts w:ascii="宋体" w:hAnsi="宋体" w:cs="宋体" w:hint="eastAsia"/>
          <w:color w:val="000000" w:themeColor="text1"/>
        </w:rPr>
        <w:t>）</w:t>
      </w:r>
      <w:r>
        <w:rPr>
          <w:rFonts w:ascii="宋体" w:hAnsi="宋体" w:cs="宋体" w:hint="eastAsia"/>
          <w:color w:val="000000" w:themeColor="text1"/>
        </w:rPr>
        <w:t>10%</w:t>
      </w:r>
      <w:r>
        <w:rPr>
          <w:rFonts w:ascii="宋体" w:hAnsi="宋体" w:cs="宋体" w:hint="eastAsia"/>
          <w:color w:val="000000" w:themeColor="text1"/>
        </w:rPr>
        <w:t>；</w:t>
      </w:r>
    </w:p>
    <w:p w14:paraId="0A84448D" w14:textId="77777777" w:rsidR="0005429C" w:rsidRDefault="00B43252">
      <w:pPr>
        <w:numPr>
          <w:ilvl w:val="0"/>
          <w:numId w:val="2"/>
        </w:numPr>
        <w:snapToGrid w:val="0"/>
        <w:spacing w:line="360" w:lineRule="auto"/>
        <w:rPr>
          <w:rFonts w:ascii="宋体" w:hAnsi="宋体" w:cs="宋体"/>
          <w:color w:val="000000" w:themeColor="text1"/>
        </w:rPr>
      </w:pPr>
      <w:r>
        <w:rPr>
          <w:rFonts w:ascii="宋体" w:hAnsi="宋体" w:cs="宋体" w:hint="eastAsia"/>
          <w:color w:val="000000" w:themeColor="text1"/>
        </w:rPr>
        <w:t>能源与资源投入（</w:t>
      </w:r>
      <w:r>
        <w:rPr>
          <w:rFonts w:ascii="宋体" w:hAnsi="宋体" w:cs="宋体" w:hint="eastAsia"/>
          <w:color w:val="000000" w:themeColor="text1"/>
        </w:rPr>
        <w:t>5.4</w:t>
      </w:r>
      <w:r>
        <w:rPr>
          <w:rFonts w:ascii="宋体" w:hAnsi="宋体" w:cs="宋体" w:hint="eastAsia"/>
          <w:color w:val="000000" w:themeColor="text1"/>
        </w:rPr>
        <w:t>）</w:t>
      </w:r>
      <w:r>
        <w:rPr>
          <w:rFonts w:ascii="宋体" w:hAnsi="宋体" w:cs="宋体" w:hint="eastAsia"/>
          <w:color w:val="000000" w:themeColor="text1"/>
        </w:rPr>
        <w:t>15%</w:t>
      </w:r>
      <w:r>
        <w:rPr>
          <w:rFonts w:ascii="宋体" w:hAnsi="宋体" w:cs="宋体" w:hint="eastAsia"/>
          <w:color w:val="000000" w:themeColor="text1"/>
        </w:rPr>
        <w:t>；</w:t>
      </w:r>
    </w:p>
    <w:p w14:paraId="0F468E79" w14:textId="77777777" w:rsidR="0005429C" w:rsidRDefault="00B43252">
      <w:pPr>
        <w:numPr>
          <w:ilvl w:val="0"/>
          <w:numId w:val="2"/>
        </w:numPr>
        <w:snapToGrid w:val="0"/>
        <w:spacing w:line="360" w:lineRule="auto"/>
        <w:rPr>
          <w:rFonts w:ascii="宋体" w:hAnsi="宋体" w:cs="宋体"/>
          <w:color w:val="000000" w:themeColor="text1"/>
        </w:rPr>
      </w:pPr>
      <w:r>
        <w:rPr>
          <w:rFonts w:ascii="宋体" w:hAnsi="宋体" w:cs="宋体" w:hint="eastAsia"/>
          <w:color w:val="000000" w:themeColor="text1"/>
        </w:rPr>
        <w:t>产品（</w:t>
      </w:r>
      <w:r>
        <w:rPr>
          <w:rFonts w:ascii="宋体" w:hAnsi="宋体" w:cs="宋体" w:hint="eastAsia"/>
          <w:color w:val="000000" w:themeColor="text1"/>
        </w:rPr>
        <w:t>5.5</w:t>
      </w:r>
      <w:r>
        <w:rPr>
          <w:rFonts w:ascii="宋体" w:hAnsi="宋体" w:cs="宋体" w:hint="eastAsia"/>
          <w:color w:val="000000" w:themeColor="text1"/>
        </w:rPr>
        <w:t>）</w:t>
      </w:r>
      <w:r>
        <w:rPr>
          <w:rFonts w:ascii="宋体" w:hAnsi="宋体" w:cs="宋体" w:hint="eastAsia"/>
          <w:color w:val="000000" w:themeColor="text1"/>
        </w:rPr>
        <w:t>10%</w:t>
      </w:r>
      <w:r>
        <w:rPr>
          <w:rFonts w:ascii="宋体" w:hAnsi="宋体" w:cs="宋体" w:hint="eastAsia"/>
          <w:color w:val="000000" w:themeColor="text1"/>
        </w:rPr>
        <w:t>；</w:t>
      </w:r>
    </w:p>
    <w:p w14:paraId="20D462BE" w14:textId="77777777" w:rsidR="0005429C" w:rsidRDefault="00B43252">
      <w:pPr>
        <w:numPr>
          <w:ilvl w:val="0"/>
          <w:numId w:val="2"/>
        </w:numPr>
        <w:snapToGrid w:val="0"/>
        <w:spacing w:line="360" w:lineRule="auto"/>
        <w:rPr>
          <w:rFonts w:ascii="宋体" w:hAnsi="宋体" w:cs="宋体"/>
          <w:color w:val="000000" w:themeColor="text1"/>
        </w:rPr>
      </w:pPr>
      <w:r>
        <w:rPr>
          <w:rFonts w:ascii="宋体" w:hAnsi="宋体" w:cs="宋体" w:hint="eastAsia"/>
          <w:color w:val="000000" w:themeColor="text1"/>
        </w:rPr>
        <w:t>环境排放（</w:t>
      </w:r>
      <w:r>
        <w:rPr>
          <w:rFonts w:ascii="宋体" w:hAnsi="宋体" w:cs="宋体" w:hint="eastAsia"/>
          <w:color w:val="000000" w:themeColor="text1"/>
        </w:rPr>
        <w:t>5.6</w:t>
      </w:r>
      <w:r>
        <w:rPr>
          <w:rFonts w:ascii="宋体" w:hAnsi="宋体" w:cs="宋体" w:hint="eastAsia"/>
          <w:color w:val="000000" w:themeColor="text1"/>
        </w:rPr>
        <w:t>）</w:t>
      </w:r>
      <w:r>
        <w:rPr>
          <w:rFonts w:ascii="宋体" w:hAnsi="宋体" w:cs="宋体" w:hint="eastAsia"/>
          <w:color w:val="000000" w:themeColor="text1"/>
        </w:rPr>
        <w:t>15%</w:t>
      </w:r>
      <w:r>
        <w:rPr>
          <w:rFonts w:ascii="宋体" w:hAnsi="宋体" w:cs="宋体" w:hint="eastAsia"/>
          <w:color w:val="000000" w:themeColor="text1"/>
        </w:rPr>
        <w:t>；</w:t>
      </w:r>
    </w:p>
    <w:p w14:paraId="0EDCE200" w14:textId="77777777" w:rsidR="0005429C" w:rsidRDefault="00B43252">
      <w:pPr>
        <w:numPr>
          <w:ilvl w:val="0"/>
          <w:numId w:val="2"/>
        </w:numPr>
        <w:snapToGrid w:val="0"/>
        <w:spacing w:line="360" w:lineRule="auto"/>
        <w:rPr>
          <w:rFonts w:ascii="宋体" w:hAnsi="宋体" w:cs="宋体"/>
          <w:color w:val="000000" w:themeColor="text1"/>
        </w:rPr>
      </w:pPr>
      <w:r>
        <w:rPr>
          <w:rFonts w:ascii="宋体" w:hAnsi="宋体" w:cs="宋体" w:hint="eastAsia"/>
          <w:color w:val="000000" w:themeColor="text1"/>
        </w:rPr>
        <w:t>绩效（</w:t>
      </w:r>
      <w:r>
        <w:rPr>
          <w:rFonts w:ascii="宋体" w:hAnsi="宋体" w:cs="宋体" w:hint="eastAsia"/>
          <w:color w:val="000000" w:themeColor="text1"/>
        </w:rPr>
        <w:t>5.7</w:t>
      </w:r>
      <w:r>
        <w:rPr>
          <w:rFonts w:ascii="宋体" w:hAnsi="宋体" w:cs="宋体" w:hint="eastAsia"/>
          <w:color w:val="000000" w:themeColor="text1"/>
        </w:rPr>
        <w:t>）</w:t>
      </w:r>
      <w:r>
        <w:rPr>
          <w:rFonts w:ascii="宋体" w:hAnsi="宋体" w:cs="宋体" w:hint="eastAsia"/>
          <w:color w:val="000000" w:themeColor="text1"/>
        </w:rPr>
        <w:t>30%</w:t>
      </w:r>
      <w:r>
        <w:rPr>
          <w:rFonts w:ascii="宋体" w:hAnsi="宋体" w:cs="宋体" w:hint="eastAsia"/>
          <w:color w:val="000000" w:themeColor="text1"/>
        </w:rPr>
        <w:t>。</w:t>
      </w:r>
    </w:p>
    <w:p w14:paraId="4AD6DEB5" w14:textId="77777777" w:rsidR="0005429C" w:rsidRDefault="0005429C">
      <w:pPr>
        <w:spacing w:line="360" w:lineRule="auto"/>
        <w:rPr>
          <w:color w:val="000000" w:themeColor="text1"/>
          <w:sz w:val="24"/>
        </w:rPr>
      </w:pPr>
    </w:p>
    <w:p w14:paraId="302AB540" w14:textId="77777777" w:rsidR="0005429C" w:rsidRDefault="00B43252">
      <w:pPr>
        <w:widowControl/>
        <w:spacing w:line="360" w:lineRule="auto"/>
        <w:jc w:val="left"/>
        <w:rPr>
          <w:rFonts w:eastAsia="黑体"/>
          <w:color w:val="000000" w:themeColor="text1"/>
          <w:kern w:val="44"/>
          <w:sz w:val="24"/>
        </w:rPr>
      </w:pPr>
      <w:bookmarkStart w:id="16" w:name="_Toc497309549"/>
      <w:bookmarkStart w:id="17" w:name="_Toc511234398"/>
      <w:r>
        <w:rPr>
          <w:rFonts w:eastAsia="黑体" w:hint="eastAsia"/>
          <w:color w:val="000000" w:themeColor="text1"/>
          <w:kern w:val="44"/>
          <w:sz w:val="24"/>
        </w:rPr>
        <w:t>三、</w:t>
      </w:r>
      <w:r>
        <w:rPr>
          <w:rFonts w:eastAsia="黑体"/>
          <w:color w:val="000000" w:themeColor="text1"/>
          <w:kern w:val="44"/>
          <w:sz w:val="24"/>
        </w:rPr>
        <w:t>标准水平分析</w:t>
      </w:r>
      <w:bookmarkEnd w:id="16"/>
      <w:bookmarkEnd w:id="17"/>
    </w:p>
    <w:p w14:paraId="71781683" w14:textId="77777777" w:rsidR="0005429C" w:rsidRDefault="00B43252">
      <w:pPr>
        <w:spacing w:line="360" w:lineRule="auto"/>
        <w:ind w:firstLine="420"/>
        <w:rPr>
          <w:rFonts w:ascii="宋体" w:hAnsi="宋体"/>
          <w:color w:val="000000" w:themeColor="text1"/>
          <w:sz w:val="24"/>
        </w:rPr>
      </w:pPr>
      <w:r>
        <w:rPr>
          <w:color w:val="000000" w:themeColor="text1"/>
          <w:sz w:val="24"/>
        </w:rPr>
        <w:t>本标准属首次制定</w:t>
      </w:r>
      <w:r>
        <w:rPr>
          <w:rFonts w:hint="eastAsia"/>
          <w:color w:val="000000" w:themeColor="text1"/>
          <w:sz w:val="24"/>
        </w:rPr>
        <w:t>。最终确定标准水平后应有更详细的补充解释</w:t>
      </w:r>
    </w:p>
    <w:p w14:paraId="27049D9F" w14:textId="77777777" w:rsidR="0005429C" w:rsidRDefault="00B43252">
      <w:pPr>
        <w:widowControl/>
        <w:spacing w:line="360" w:lineRule="auto"/>
        <w:jc w:val="left"/>
        <w:rPr>
          <w:rFonts w:eastAsia="黑体"/>
          <w:color w:val="000000" w:themeColor="text1"/>
          <w:kern w:val="44"/>
          <w:sz w:val="24"/>
        </w:rPr>
      </w:pPr>
      <w:bookmarkStart w:id="18" w:name="_Toc511234399"/>
      <w:bookmarkStart w:id="19" w:name="_Toc497309557"/>
      <w:r>
        <w:rPr>
          <w:rFonts w:eastAsia="黑体" w:hint="eastAsia"/>
          <w:color w:val="000000" w:themeColor="text1"/>
          <w:kern w:val="44"/>
          <w:sz w:val="24"/>
        </w:rPr>
        <w:t>四、</w:t>
      </w:r>
      <w:r>
        <w:rPr>
          <w:rFonts w:eastAsia="黑体"/>
          <w:color w:val="000000" w:themeColor="text1"/>
          <w:kern w:val="44"/>
          <w:sz w:val="24"/>
        </w:rPr>
        <w:t>与现行相关法律、法规、规章及相关标准，特别是强制性标准的协调性</w:t>
      </w:r>
      <w:bookmarkEnd w:id="18"/>
      <w:bookmarkEnd w:id="19"/>
    </w:p>
    <w:p w14:paraId="771FA451" w14:textId="77777777" w:rsidR="0005429C" w:rsidRDefault="00B43252">
      <w:pPr>
        <w:spacing w:line="360" w:lineRule="auto"/>
        <w:ind w:firstLine="420"/>
        <w:rPr>
          <w:color w:val="000000" w:themeColor="text1"/>
          <w:sz w:val="24"/>
        </w:rPr>
      </w:pPr>
      <w:r>
        <w:rPr>
          <w:color w:val="000000" w:themeColor="text1"/>
          <w:sz w:val="24"/>
        </w:rPr>
        <w:t>目前我国无</w:t>
      </w:r>
      <w:r>
        <w:rPr>
          <w:rFonts w:hint="eastAsia"/>
          <w:color w:val="000000" w:themeColor="text1"/>
          <w:sz w:val="24"/>
        </w:rPr>
        <w:t>多晶硅行业绿色工厂评价要求</w:t>
      </w:r>
      <w:r>
        <w:rPr>
          <w:color w:val="000000" w:themeColor="text1"/>
          <w:sz w:val="24"/>
        </w:rPr>
        <w:t>的国家</w:t>
      </w:r>
      <w:r>
        <w:rPr>
          <w:rFonts w:hint="eastAsia"/>
          <w:color w:val="000000" w:themeColor="text1"/>
          <w:sz w:val="24"/>
        </w:rPr>
        <w:t>标准</w:t>
      </w:r>
      <w:r>
        <w:rPr>
          <w:color w:val="000000" w:themeColor="text1"/>
          <w:sz w:val="24"/>
        </w:rPr>
        <w:t>或行业标准，本标准是新制定</w:t>
      </w:r>
      <w:r>
        <w:rPr>
          <w:rFonts w:hint="eastAsia"/>
          <w:color w:val="000000" w:themeColor="text1"/>
          <w:sz w:val="24"/>
        </w:rPr>
        <w:t>的行业</w:t>
      </w:r>
      <w:r>
        <w:rPr>
          <w:color w:val="000000" w:themeColor="text1"/>
          <w:sz w:val="24"/>
        </w:rPr>
        <w:t>标准</w:t>
      </w:r>
      <w:r>
        <w:rPr>
          <w:rFonts w:hint="eastAsia"/>
          <w:color w:val="000000" w:themeColor="text1"/>
          <w:sz w:val="24"/>
        </w:rPr>
        <w:t>。</w:t>
      </w:r>
      <w:r>
        <w:rPr>
          <w:color w:val="000000" w:themeColor="text1"/>
          <w:sz w:val="24"/>
        </w:rPr>
        <w:t>本标准的制定是</w:t>
      </w:r>
      <w:r>
        <w:rPr>
          <w:rFonts w:hint="eastAsia"/>
          <w:color w:val="000000" w:themeColor="text1"/>
          <w:sz w:val="24"/>
        </w:rPr>
        <w:t>我国多晶硅行业</w:t>
      </w:r>
      <w:r>
        <w:rPr>
          <w:color w:val="000000" w:themeColor="text1"/>
          <w:sz w:val="24"/>
        </w:rPr>
        <w:t>标准体系的完善和补充。本标准的制定与现行的相关法律、法规、规章及相关标准的关系不矛盾、不冲突，其相互关系非常协调。</w:t>
      </w:r>
    </w:p>
    <w:p w14:paraId="13EFA32D" w14:textId="77777777" w:rsidR="0005429C" w:rsidRDefault="00B43252">
      <w:pPr>
        <w:widowControl/>
        <w:spacing w:line="360" w:lineRule="auto"/>
        <w:jc w:val="left"/>
        <w:rPr>
          <w:rFonts w:eastAsia="黑体"/>
          <w:color w:val="000000" w:themeColor="text1"/>
          <w:kern w:val="44"/>
          <w:sz w:val="24"/>
        </w:rPr>
      </w:pPr>
      <w:bookmarkStart w:id="20" w:name="_Toc497309558"/>
      <w:bookmarkStart w:id="21" w:name="_Toc511234400"/>
      <w:r>
        <w:rPr>
          <w:rFonts w:eastAsia="黑体" w:hint="eastAsia"/>
          <w:color w:val="000000" w:themeColor="text1"/>
          <w:kern w:val="44"/>
          <w:sz w:val="24"/>
        </w:rPr>
        <w:t>五、</w:t>
      </w:r>
      <w:r>
        <w:rPr>
          <w:rFonts w:eastAsia="黑体"/>
          <w:color w:val="000000" w:themeColor="text1"/>
          <w:kern w:val="44"/>
          <w:sz w:val="24"/>
        </w:rPr>
        <w:t>标准中涉及的专利或知识产权说明</w:t>
      </w:r>
      <w:bookmarkEnd w:id="20"/>
      <w:bookmarkEnd w:id="21"/>
    </w:p>
    <w:p w14:paraId="6B53B09D" w14:textId="77777777" w:rsidR="0005429C" w:rsidRDefault="00B43252">
      <w:pPr>
        <w:spacing w:line="360" w:lineRule="auto"/>
        <w:ind w:firstLine="420"/>
        <w:rPr>
          <w:color w:val="000000" w:themeColor="text1"/>
          <w:sz w:val="24"/>
        </w:rPr>
      </w:pPr>
      <w:r>
        <w:rPr>
          <w:color w:val="000000" w:themeColor="text1"/>
          <w:sz w:val="24"/>
        </w:rPr>
        <w:t>本标准不涉及任何专利或知识产权。</w:t>
      </w:r>
    </w:p>
    <w:p w14:paraId="04AB6AE1" w14:textId="77777777" w:rsidR="0005429C" w:rsidRDefault="00B43252">
      <w:pPr>
        <w:widowControl/>
        <w:spacing w:line="360" w:lineRule="auto"/>
        <w:jc w:val="left"/>
        <w:rPr>
          <w:rFonts w:eastAsia="黑体"/>
          <w:color w:val="000000" w:themeColor="text1"/>
          <w:kern w:val="44"/>
          <w:sz w:val="24"/>
        </w:rPr>
      </w:pPr>
      <w:bookmarkStart w:id="22" w:name="_Toc497309559"/>
      <w:bookmarkStart w:id="23" w:name="_Toc511234401"/>
      <w:r>
        <w:rPr>
          <w:rFonts w:eastAsia="黑体" w:hint="eastAsia"/>
          <w:color w:val="000000" w:themeColor="text1"/>
          <w:kern w:val="44"/>
          <w:sz w:val="24"/>
        </w:rPr>
        <w:t>六、</w:t>
      </w:r>
      <w:r>
        <w:rPr>
          <w:rFonts w:eastAsia="黑体"/>
          <w:color w:val="000000" w:themeColor="text1"/>
          <w:kern w:val="44"/>
          <w:sz w:val="24"/>
        </w:rPr>
        <w:t>重大分歧意见的处理经过和依据</w:t>
      </w:r>
      <w:bookmarkEnd w:id="22"/>
      <w:bookmarkEnd w:id="23"/>
    </w:p>
    <w:p w14:paraId="3F2FE652" w14:textId="77777777" w:rsidR="0005429C" w:rsidRDefault="00B43252">
      <w:pPr>
        <w:pStyle w:val="p0"/>
        <w:spacing w:line="360" w:lineRule="auto"/>
        <w:ind w:firstLineChars="200" w:firstLine="480"/>
        <w:rPr>
          <w:rFonts w:ascii="宋体" w:eastAsia="宋体" w:hAnsi="宋体" w:cstheme="minorBidi"/>
          <w:color w:val="000000" w:themeColor="text1"/>
          <w:kern w:val="2"/>
          <w:sz w:val="24"/>
          <w:szCs w:val="24"/>
        </w:rPr>
      </w:pPr>
      <w:bookmarkStart w:id="24" w:name="_Toc497309560"/>
      <w:bookmarkStart w:id="25" w:name="_Toc511234402"/>
      <w:r>
        <w:rPr>
          <w:rFonts w:ascii="宋体" w:eastAsia="宋体" w:hAnsi="宋体" w:cstheme="minorBidi" w:hint="eastAsia"/>
          <w:color w:val="000000" w:themeColor="text1"/>
          <w:kern w:val="2"/>
          <w:sz w:val="24"/>
          <w:szCs w:val="24"/>
        </w:rPr>
        <w:t>编制组根据起草前确定的编制原则进行了标准起草，标准起草小组前期进行了充分的准备和调研，并做了大量调查论证、信息分析和实验工作，在主要技术内容上，行业内取得了较为一致的意见，标准起草过程中未发生重大分歧意见。</w:t>
      </w:r>
    </w:p>
    <w:p w14:paraId="2BA3B48D" w14:textId="77777777" w:rsidR="0005429C" w:rsidRDefault="00B43252">
      <w:pPr>
        <w:pStyle w:val="p0"/>
        <w:spacing w:line="360" w:lineRule="auto"/>
        <w:ind w:firstLineChars="200" w:firstLine="480"/>
        <w:rPr>
          <w:rFonts w:asciiTheme="minorHAnsi" w:hAnsiTheme="minorHAnsi" w:cstheme="minorBidi"/>
          <w:color w:val="000000" w:themeColor="text1"/>
          <w:kern w:val="2"/>
          <w:sz w:val="24"/>
          <w:szCs w:val="24"/>
        </w:rPr>
      </w:pPr>
      <w:r>
        <w:rPr>
          <w:rFonts w:asciiTheme="minorHAnsi" w:hAnsiTheme="minorHAnsi" w:cstheme="minorBidi" w:hint="eastAsia"/>
          <w:color w:val="000000" w:themeColor="text1"/>
          <w:kern w:val="2"/>
          <w:sz w:val="24"/>
          <w:szCs w:val="24"/>
        </w:rPr>
        <w:t>会后，编制组对标准文本进行了修改，并形成征求意见稿，发行业广泛征集意见。</w:t>
      </w:r>
    </w:p>
    <w:p w14:paraId="42525A1E" w14:textId="77777777" w:rsidR="0005429C" w:rsidRDefault="00B43252">
      <w:pPr>
        <w:pStyle w:val="1"/>
        <w:spacing w:before="0" w:after="0" w:line="360" w:lineRule="auto"/>
        <w:rPr>
          <w:b w:val="0"/>
          <w:bCs w:val="0"/>
          <w:color w:val="000000" w:themeColor="text1"/>
          <w:sz w:val="24"/>
          <w:szCs w:val="24"/>
        </w:rPr>
      </w:pPr>
      <w:r>
        <w:rPr>
          <w:rFonts w:hint="eastAsia"/>
          <w:b w:val="0"/>
          <w:bCs w:val="0"/>
          <w:color w:val="000000" w:themeColor="text1"/>
          <w:sz w:val="24"/>
          <w:szCs w:val="24"/>
        </w:rPr>
        <w:lastRenderedPageBreak/>
        <w:t>七、</w:t>
      </w:r>
      <w:r>
        <w:rPr>
          <w:b w:val="0"/>
          <w:bCs w:val="0"/>
          <w:color w:val="000000" w:themeColor="text1"/>
          <w:sz w:val="24"/>
          <w:szCs w:val="24"/>
        </w:rPr>
        <w:t>标准作为强制性或推荐性</w:t>
      </w:r>
      <w:r>
        <w:rPr>
          <w:rFonts w:hint="eastAsia"/>
          <w:b w:val="0"/>
          <w:bCs w:val="0"/>
          <w:color w:val="000000" w:themeColor="text1"/>
          <w:sz w:val="24"/>
          <w:szCs w:val="24"/>
        </w:rPr>
        <w:t>行业</w:t>
      </w:r>
      <w:r>
        <w:rPr>
          <w:b w:val="0"/>
          <w:bCs w:val="0"/>
          <w:color w:val="000000" w:themeColor="text1"/>
          <w:sz w:val="24"/>
          <w:szCs w:val="24"/>
        </w:rPr>
        <w:t>标准的建议</w:t>
      </w:r>
      <w:bookmarkEnd w:id="24"/>
      <w:bookmarkEnd w:id="25"/>
    </w:p>
    <w:p w14:paraId="6C580304" w14:textId="77777777" w:rsidR="0005429C" w:rsidRDefault="00B43252">
      <w:pPr>
        <w:spacing w:line="360" w:lineRule="auto"/>
        <w:ind w:firstLine="420"/>
        <w:rPr>
          <w:rFonts w:ascii="宋体" w:eastAsia="宋体" w:hAnsi="宋体" w:cs="宋体"/>
          <w:color w:val="000000" w:themeColor="text1"/>
          <w:kern w:val="0"/>
          <w:sz w:val="24"/>
          <w:lang w:bidi="ar"/>
        </w:rPr>
      </w:pPr>
      <w:r>
        <w:rPr>
          <w:rFonts w:hint="eastAsia"/>
          <w:color w:val="000000" w:themeColor="text1"/>
          <w:sz w:val="24"/>
        </w:rPr>
        <w:t>本标准建议作为推荐性行业标准发布实施。</w:t>
      </w:r>
    </w:p>
    <w:p w14:paraId="0778B3A8" w14:textId="77777777" w:rsidR="0005429C" w:rsidRDefault="00B43252">
      <w:pPr>
        <w:widowControl/>
        <w:spacing w:line="360" w:lineRule="auto"/>
        <w:jc w:val="left"/>
        <w:rPr>
          <w:rFonts w:eastAsia="黑体"/>
          <w:color w:val="000000" w:themeColor="text1"/>
          <w:kern w:val="44"/>
          <w:sz w:val="24"/>
        </w:rPr>
      </w:pPr>
      <w:r>
        <w:rPr>
          <w:rFonts w:eastAsia="黑体" w:hint="eastAsia"/>
          <w:color w:val="000000" w:themeColor="text1"/>
          <w:kern w:val="44"/>
          <w:sz w:val="24"/>
        </w:rPr>
        <w:t>八、贯彻标准的要求和措施建议</w:t>
      </w:r>
      <w:r>
        <w:rPr>
          <w:rFonts w:eastAsia="黑体" w:hint="eastAsia"/>
          <w:color w:val="000000" w:themeColor="text1"/>
          <w:kern w:val="44"/>
          <w:sz w:val="24"/>
        </w:rPr>
        <w:t xml:space="preserve"> </w:t>
      </w:r>
    </w:p>
    <w:p w14:paraId="3C90E99B" w14:textId="77777777" w:rsidR="0005429C" w:rsidRDefault="00B43252">
      <w:pPr>
        <w:spacing w:line="36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本标准的技术内容是推荐性的，</w:t>
      </w:r>
      <w:r>
        <w:rPr>
          <w:rFonts w:cs="Times New Roman" w:hint="eastAsia"/>
          <w:color w:val="000000" w:themeColor="text1"/>
          <w:szCs w:val="21"/>
        </w:rPr>
        <w:t>建议标准发布后即可实施，建议本标准由各级人民政府的工业和信息化行政主管部门负责监督实施。</w:t>
      </w:r>
    </w:p>
    <w:p w14:paraId="1E5EB448" w14:textId="77777777" w:rsidR="0005429C" w:rsidRDefault="00B43252">
      <w:pPr>
        <w:widowControl/>
        <w:spacing w:line="360" w:lineRule="auto"/>
        <w:jc w:val="left"/>
        <w:rPr>
          <w:rFonts w:eastAsia="黑体"/>
          <w:color w:val="000000" w:themeColor="text1"/>
          <w:kern w:val="44"/>
          <w:sz w:val="24"/>
        </w:rPr>
      </w:pPr>
      <w:r>
        <w:rPr>
          <w:rFonts w:eastAsia="黑体" w:hint="eastAsia"/>
          <w:color w:val="000000" w:themeColor="text1"/>
          <w:kern w:val="44"/>
          <w:sz w:val="24"/>
        </w:rPr>
        <w:t>九、废止现行行业标准的建议</w:t>
      </w:r>
    </w:p>
    <w:p w14:paraId="3236E0E2" w14:textId="77777777" w:rsidR="0005429C" w:rsidRDefault="00B43252">
      <w:pPr>
        <w:widowControl/>
        <w:spacing w:line="360" w:lineRule="auto"/>
        <w:ind w:firstLineChars="200" w:firstLine="480"/>
        <w:jc w:val="left"/>
        <w:rPr>
          <w:rFonts w:ascii="宋体" w:eastAsia="宋体" w:hAnsi="宋体" w:cs="宋体"/>
          <w:color w:val="000000" w:themeColor="text1"/>
          <w:kern w:val="0"/>
          <w:sz w:val="24"/>
          <w:lang w:bidi="ar"/>
        </w:rPr>
      </w:pPr>
      <w:r>
        <w:rPr>
          <w:rFonts w:ascii="宋体" w:eastAsia="宋体" w:hAnsi="宋体" w:cs="宋体" w:hint="eastAsia"/>
          <w:color w:val="000000" w:themeColor="text1"/>
          <w:kern w:val="0"/>
          <w:sz w:val="24"/>
          <w:lang w:bidi="ar"/>
        </w:rPr>
        <w:t>无。</w:t>
      </w:r>
    </w:p>
    <w:p w14:paraId="7E5E16D0" w14:textId="77777777" w:rsidR="0005429C" w:rsidRDefault="00B43252">
      <w:pPr>
        <w:widowControl/>
        <w:spacing w:line="360" w:lineRule="auto"/>
        <w:jc w:val="left"/>
        <w:rPr>
          <w:rFonts w:eastAsia="黑体"/>
          <w:color w:val="000000" w:themeColor="text1"/>
          <w:kern w:val="44"/>
          <w:sz w:val="24"/>
        </w:rPr>
      </w:pPr>
      <w:r>
        <w:rPr>
          <w:rFonts w:eastAsia="黑体" w:hint="eastAsia"/>
          <w:color w:val="000000" w:themeColor="text1"/>
          <w:kern w:val="44"/>
          <w:sz w:val="24"/>
        </w:rPr>
        <w:t>十、重要内容的解释和其他应予以说明的事项</w:t>
      </w:r>
      <w:r>
        <w:rPr>
          <w:rFonts w:eastAsia="黑体" w:hint="eastAsia"/>
          <w:color w:val="000000" w:themeColor="text1"/>
          <w:kern w:val="44"/>
          <w:sz w:val="24"/>
        </w:rPr>
        <w:t xml:space="preserve"> </w:t>
      </w:r>
    </w:p>
    <w:p w14:paraId="7A9E2C29" w14:textId="77777777" w:rsidR="0005429C" w:rsidRDefault="00B43252">
      <w:pPr>
        <w:widowControl/>
        <w:spacing w:line="360" w:lineRule="auto"/>
        <w:ind w:firstLineChars="200" w:firstLine="480"/>
        <w:jc w:val="left"/>
        <w:rPr>
          <w:rFonts w:ascii="宋体" w:eastAsia="宋体" w:hAnsi="宋体" w:cs="宋体"/>
          <w:color w:val="000000" w:themeColor="text1"/>
          <w:kern w:val="0"/>
          <w:sz w:val="24"/>
          <w:lang w:bidi="ar"/>
        </w:rPr>
      </w:pPr>
      <w:r>
        <w:rPr>
          <w:rFonts w:ascii="宋体" w:eastAsia="宋体" w:hAnsi="宋体" w:cs="宋体" w:hint="eastAsia"/>
          <w:color w:val="000000" w:themeColor="text1"/>
          <w:kern w:val="0"/>
          <w:sz w:val="24"/>
          <w:lang w:eastAsia="zh-Hans" w:bidi="ar"/>
        </w:rPr>
        <w:t>无</w:t>
      </w:r>
      <w:r>
        <w:rPr>
          <w:rFonts w:ascii="宋体" w:eastAsia="宋体" w:hAnsi="宋体" w:cs="宋体" w:hint="eastAsia"/>
          <w:color w:val="000000" w:themeColor="text1"/>
          <w:kern w:val="0"/>
          <w:sz w:val="24"/>
          <w:lang w:bidi="ar"/>
        </w:rPr>
        <w:t>。</w:t>
      </w:r>
    </w:p>
    <w:p w14:paraId="211111D0" w14:textId="77777777" w:rsidR="0005429C" w:rsidRDefault="0005429C">
      <w:pPr>
        <w:widowControl/>
        <w:spacing w:line="360" w:lineRule="auto"/>
        <w:jc w:val="left"/>
        <w:rPr>
          <w:rFonts w:ascii="宋体" w:eastAsia="宋体" w:hAnsi="宋体" w:cs="宋体"/>
          <w:color w:val="000000" w:themeColor="text1"/>
          <w:kern w:val="0"/>
          <w:sz w:val="24"/>
          <w:lang w:bidi="ar"/>
        </w:rPr>
      </w:pPr>
    </w:p>
    <w:p w14:paraId="26E52837" w14:textId="77777777" w:rsidR="0005429C" w:rsidRDefault="0005429C">
      <w:pPr>
        <w:widowControl/>
        <w:spacing w:line="360" w:lineRule="auto"/>
        <w:jc w:val="left"/>
        <w:rPr>
          <w:rFonts w:ascii="宋体" w:eastAsia="宋体" w:hAnsi="宋体" w:cs="宋体"/>
          <w:color w:val="000000" w:themeColor="text1"/>
          <w:kern w:val="0"/>
          <w:sz w:val="24"/>
          <w:lang w:bidi="ar"/>
        </w:rPr>
      </w:pPr>
    </w:p>
    <w:p w14:paraId="40447CAE" w14:textId="77777777" w:rsidR="0005429C" w:rsidRDefault="00B43252">
      <w:pPr>
        <w:widowControl/>
        <w:spacing w:line="360" w:lineRule="auto"/>
        <w:jc w:val="left"/>
        <w:rPr>
          <w:rFonts w:ascii="宋体" w:eastAsia="宋体" w:hAnsi="宋体" w:cs="宋体"/>
          <w:color w:val="000000" w:themeColor="text1"/>
          <w:kern w:val="0"/>
          <w:sz w:val="24"/>
          <w:lang w:bidi="ar"/>
        </w:rPr>
      </w:pPr>
      <w:bookmarkStart w:id="26" w:name="OLE_LINK4"/>
      <w:r>
        <w:rPr>
          <w:rFonts w:ascii="宋体" w:hAnsi="宋体" w:hint="eastAsia"/>
          <w:color w:val="000000" w:themeColor="text1"/>
          <w:sz w:val="24"/>
        </w:rPr>
        <w:t xml:space="preserve">                               </w:t>
      </w:r>
      <w:r>
        <w:rPr>
          <w:rFonts w:ascii="宋体" w:eastAsia="宋体" w:hAnsi="宋体" w:cs="宋体" w:hint="eastAsia"/>
          <w:color w:val="000000" w:themeColor="text1"/>
          <w:kern w:val="0"/>
          <w:sz w:val="24"/>
          <w:lang w:bidi="ar"/>
        </w:rPr>
        <w:t xml:space="preserve">                 </w:t>
      </w:r>
      <w:r>
        <w:rPr>
          <w:rFonts w:ascii="宋体" w:eastAsia="宋体" w:hAnsi="宋体" w:cs="宋体"/>
          <w:color w:val="000000" w:themeColor="text1"/>
          <w:kern w:val="0"/>
          <w:sz w:val="24"/>
          <w:lang w:bidi="ar"/>
        </w:rPr>
        <w:t xml:space="preserve">   </w:t>
      </w:r>
      <w:r>
        <w:rPr>
          <w:rFonts w:ascii="宋体" w:eastAsia="宋体" w:hAnsi="宋体" w:cs="宋体" w:hint="eastAsia"/>
          <w:color w:val="000000" w:themeColor="text1"/>
          <w:kern w:val="0"/>
          <w:sz w:val="24"/>
          <w:lang w:bidi="ar"/>
        </w:rPr>
        <w:t xml:space="preserve">   </w:t>
      </w:r>
      <w:r>
        <w:rPr>
          <w:rFonts w:ascii="宋体" w:eastAsia="宋体" w:hAnsi="宋体" w:cs="宋体" w:hint="eastAsia"/>
          <w:color w:val="000000" w:themeColor="text1"/>
          <w:kern w:val="0"/>
          <w:sz w:val="24"/>
          <w:lang w:bidi="ar"/>
        </w:rPr>
        <w:t>标准编制组</w:t>
      </w:r>
      <w:bookmarkEnd w:id="26"/>
    </w:p>
    <w:p w14:paraId="1E6FE99E" w14:textId="77777777" w:rsidR="0005429C" w:rsidRDefault="00B43252">
      <w:pPr>
        <w:widowControl/>
        <w:spacing w:line="360" w:lineRule="auto"/>
        <w:jc w:val="left"/>
        <w:rPr>
          <w:rFonts w:ascii="宋体" w:eastAsia="宋体" w:hAnsi="宋体" w:cs="宋体"/>
          <w:color w:val="000000" w:themeColor="text1"/>
          <w:kern w:val="0"/>
          <w:sz w:val="24"/>
          <w:lang w:bidi="ar"/>
        </w:rPr>
      </w:pPr>
      <w:r>
        <w:rPr>
          <w:rFonts w:ascii="宋体" w:eastAsia="宋体" w:hAnsi="宋体" w:cs="宋体" w:hint="eastAsia"/>
          <w:color w:val="000000" w:themeColor="text1"/>
          <w:kern w:val="0"/>
          <w:sz w:val="24"/>
          <w:lang w:bidi="ar"/>
        </w:rPr>
        <w:t xml:space="preserve">                                                    202</w:t>
      </w:r>
      <w:r>
        <w:rPr>
          <w:rFonts w:ascii="宋体" w:eastAsia="宋体" w:hAnsi="宋体" w:cs="宋体"/>
          <w:color w:val="000000" w:themeColor="text1"/>
          <w:kern w:val="0"/>
          <w:sz w:val="24"/>
          <w:lang w:bidi="ar"/>
        </w:rPr>
        <w:t>1</w:t>
      </w:r>
      <w:r>
        <w:rPr>
          <w:rFonts w:ascii="宋体" w:eastAsia="宋体" w:hAnsi="宋体" w:cs="宋体" w:hint="eastAsia"/>
          <w:color w:val="000000" w:themeColor="text1"/>
          <w:kern w:val="0"/>
          <w:sz w:val="24"/>
          <w:lang w:bidi="ar"/>
        </w:rPr>
        <w:t>年</w:t>
      </w:r>
      <w:r>
        <w:rPr>
          <w:rFonts w:ascii="宋体" w:eastAsia="宋体" w:hAnsi="宋体" w:cs="宋体"/>
          <w:color w:val="000000" w:themeColor="text1"/>
          <w:kern w:val="0"/>
          <w:sz w:val="24"/>
          <w:lang w:bidi="ar"/>
        </w:rPr>
        <w:t>3</w:t>
      </w:r>
      <w:r>
        <w:rPr>
          <w:rFonts w:ascii="宋体" w:eastAsia="宋体" w:hAnsi="宋体" w:cs="宋体" w:hint="eastAsia"/>
          <w:color w:val="000000" w:themeColor="text1"/>
          <w:kern w:val="0"/>
          <w:sz w:val="24"/>
          <w:lang w:bidi="ar"/>
        </w:rPr>
        <w:t>月</w:t>
      </w:r>
      <w:r>
        <w:rPr>
          <w:rFonts w:ascii="宋体" w:eastAsia="宋体" w:hAnsi="宋体" w:cs="宋体"/>
          <w:color w:val="000000" w:themeColor="text1"/>
          <w:kern w:val="0"/>
          <w:sz w:val="24"/>
          <w:lang w:bidi="ar"/>
        </w:rPr>
        <w:t>2</w:t>
      </w:r>
      <w:r>
        <w:rPr>
          <w:rFonts w:ascii="宋体" w:eastAsia="宋体" w:hAnsi="宋体" w:cs="宋体"/>
          <w:color w:val="000000" w:themeColor="text1"/>
          <w:kern w:val="0"/>
          <w:sz w:val="24"/>
          <w:lang w:bidi="ar"/>
        </w:rPr>
        <w:t>0</w:t>
      </w:r>
      <w:r>
        <w:rPr>
          <w:rFonts w:ascii="宋体" w:eastAsia="宋体" w:hAnsi="宋体" w:cs="宋体" w:hint="eastAsia"/>
          <w:color w:val="000000" w:themeColor="text1"/>
          <w:kern w:val="0"/>
          <w:sz w:val="24"/>
          <w:lang w:bidi="ar"/>
        </w:rPr>
        <w:t>日</w:t>
      </w:r>
    </w:p>
    <w:sectPr w:rsidR="0005429C">
      <w:footerReference w:type="default" r:id="rId10"/>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65E06" w14:textId="77777777" w:rsidR="00B43252" w:rsidRDefault="00B43252">
      <w:r>
        <w:separator/>
      </w:r>
    </w:p>
  </w:endnote>
  <w:endnote w:type="continuationSeparator" w:id="0">
    <w:p w14:paraId="1225D2C3" w14:textId="77777777" w:rsidR="00B43252" w:rsidRDefault="00B4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rif">
    <w:altName w:val="Segoe Print"/>
    <w:charset w:val="00"/>
    <w:family w:val="auto"/>
    <w:pitch w:val="default"/>
  </w:font>
  <w:font w:name="TimesNewRomanPSMT">
    <w:altName w:val="Times New Roman"/>
    <w:charset w:val="00"/>
    <w:family w:val="auto"/>
    <w:pitch w:val="default"/>
    <w:sig w:usb0="00000000" w:usb1="00000000" w:usb2="00000001" w:usb3="00000000" w:csb0="400001BF" w:csb1="DFF7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2440270"/>
    </w:sdtPr>
    <w:sdtEndPr>
      <w:rPr>
        <w:rFonts w:ascii="宋体" w:eastAsia="宋体" w:hAnsi="宋体"/>
      </w:rPr>
    </w:sdtEndPr>
    <w:sdtContent>
      <w:p w14:paraId="415E28E7" w14:textId="77777777" w:rsidR="0005429C" w:rsidRDefault="00B43252">
        <w:pPr>
          <w:pStyle w:val="a9"/>
          <w:jc w:val="center"/>
          <w:rPr>
            <w:rFonts w:ascii="宋体" w:eastAsia="宋体" w:hAnsi="宋体"/>
          </w:rPr>
        </w:pPr>
        <w:r>
          <w:rPr>
            <w:rFonts w:ascii="宋体" w:eastAsia="宋体" w:hAnsi="宋体"/>
          </w:rPr>
          <w:fldChar w:fldCharType="begin"/>
        </w:r>
        <w:r>
          <w:rPr>
            <w:rFonts w:ascii="宋体" w:eastAsia="宋体" w:hAnsi="宋体"/>
          </w:rPr>
          <w:instrText>PAGE   \* MERGEFORMAT</w:instrText>
        </w:r>
        <w:r>
          <w:rPr>
            <w:rFonts w:ascii="宋体" w:eastAsia="宋体" w:hAnsi="宋体"/>
          </w:rPr>
          <w:fldChar w:fldCharType="separate"/>
        </w:r>
        <w:r>
          <w:rPr>
            <w:rFonts w:ascii="宋体" w:eastAsia="宋体" w:hAnsi="宋体"/>
            <w:lang w:val="zh-CN"/>
          </w:rPr>
          <w:t>2</w:t>
        </w:r>
        <w:r>
          <w:rPr>
            <w:rFonts w:ascii="宋体" w:eastAsia="宋体" w:hAnsi="宋体"/>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96D99" w14:textId="77777777" w:rsidR="00B43252" w:rsidRDefault="00B43252">
      <w:r>
        <w:separator/>
      </w:r>
    </w:p>
  </w:footnote>
  <w:footnote w:type="continuationSeparator" w:id="0">
    <w:p w14:paraId="526C33BB" w14:textId="77777777" w:rsidR="00B43252" w:rsidRDefault="00B43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5"/>
    <w:multiLevelType w:val="multilevel"/>
    <w:tmpl w:val="00000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142" w:firstLine="0"/>
      </w:pPr>
      <w:rPr>
        <w:rFonts w:ascii="黑体" w:eastAsia="黑体" w:hAnsi="Times New Roman" w:hint="eastAsia"/>
        <w:b w:val="0"/>
        <w:i w:val="0"/>
        <w:sz w:val="21"/>
      </w:rPr>
    </w:lvl>
    <w:lvl w:ilvl="2">
      <w:start w:val="1"/>
      <w:numFmt w:val="decimal"/>
      <w:pStyle w:val="a0"/>
      <w:suff w:val="nothing"/>
      <w:lvlText w:val="%1%2.%3　"/>
      <w:lvlJc w:val="left"/>
      <w:pPr>
        <w:ind w:left="284" w:firstLine="0"/>
      </w:pPr>
      <w:rPr>
        <w:rFonts w:ascii="黑体" w:eastAsia="黑体" w:hAnsi="Times New Roman" w:hint="eastAsia"/>
        <w:b w:val="0"/>
        <w:i w:val="0"/>
        <w:sz w:val="21"/>
      </w:rPr>
    </w:lvl>
    <w:lvl w:ilvl="3">
      <w:start w:val="1"/>
      <w:numFmt w:val="decimal"/>
      <w:suff w:val="nothing"/>
      <w:lvlText w:val="%1%2.%3.%4　"/>
      <w:lvlJc w:val="left"/>
      <w:pPr>
        <w:ind w:left="568" w:firstLine="0"/>
      </w:pPr>
      <w:rPr>
        <w:rFonts w:ascii="黑体" w:eastAsia="黑体" w:hAnsi="Times New Roman" w:hint="eastAsia"/>
        <w:b w:val="0"/>
        <w:i w:val="0"/>
        <w:sz w:val="21"/>
      </w:rPr>
    </w:lvl>
    <w:lvl w:ilvl="4">
      <w:start w:val="1"/>
      <w:numFmt w:val="decimal"/>
      <w:suff w:val="nothing"/>
      <w:lvlText w:val="%1%2.%3.%4.%5　"/>
      <w:lvlJc w:val="left"/>
      <w:pPr>
        <w:ind w:left="1276"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color w:val="auto"/>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74A54082"/>
    <w:multiLevelType w:val="multilevel"/>
    <w:tmpl w:val="74A54082"/>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B61704"/>
    <w:rsid w:val="CE7DD41D"/>
    <w:rsid w:val="000358F8"/>
    <w:rsid w:val="000477D9"/>
    <w:rsid w:val="0005429C"/>
    <w:rsid w:val="001D21A8"/>
    <w:rsid w:val="005D4542"/>
    <w:rsid w:val="006B17A7"/>
    <w:rsid w:val="006C3992"/>
    <w:rsid w:val="007754EE"/>
    <w:rsid w:val="00781DE8"/>
    <w:rsid w:val="008878F9"/>
    <w:rsid w:val="00937C1A"/>
    <w:rsid w:val="00994478"/>
    <w:rsid w:val="00AF0382"/>
    <w:rsid w:val="00B14503"/>
    <w:rsid w:val="00B43252"/>
    <w:rsid w:val="00CA4EB4"/>
    <w:rsid w:val="00CE5B18"/>
    <w:rsid w:val="00D35A90"/>
    <w:rsid w:val="00E71082"/>
    <w:rsid w:val="00ED3E41"/>
    <w:rsid w:val="00EE3CB1"/>
    <w:rsid w:val="01C71136"/>
    <w:rsid w:val="01CD7A22"/>
    <w:rsid w:val="02445C40"/>
    <w:rsid w:val="08B8459A"/>
    <w:rsid w:val="0A7978F0"/>
    <w:rsid w:val="0AC30F28"/>
    <w:rsid w:val="0B0C543C"/>
    <w:rsid w:val="0DDD5C05"/>
    <w:rsid w:val="10945F5C"/>
    <w:rsid w:val="10D0587E"/>
    <w:rsid w:val="12E12F09"/>
    <w:rsid w:val="153854B9"/>
    <w:rsid w:val="17AA14C8"/>
    <w:rsid w:val="183075F0"/>
    <w:rsid w:val="1BF00886"/>
    <w:rsid w:val="1D4D262D"/>
    <w:rsid w:val="20353E4A"/>
    <w:rsid w:val="21AB5BE1"/>
    <w:rsid w:val="23144ABE"/>
    <w:rsid w:val="249776D2"/>
    <w:rsid w:val="281E3F74"/>
    <w:rsid w:val="2A622080"/>
    <w:rsid w:val="2C392E81"/>
    <w:rsid w:val="301849BE"/>
    <w:rsid w:val="315E38FA"/>
    <w:rsid w:val="32DE1BF7"/>
    <w:rsid w:val="348365D1"/>
    <w:rsid w:val="35AF627B"/>
    <w:rsid w:val="368B553E"/>
    <w:rsid w:val="382F2F66"/>
    <w:rsid w:val="385A6094"/>
    <w:rsid w:val="390C33AA"/>
    <w:rsid w:val="3ABB042F"/>
    <w:rsid w:val="3C1654FA"/>
    <w:rsid w:val="3C2637B9"/>
    <w:rsid w:val="3C610562"/>
    <w:rsid w:val="3CD80C03"/>
    <w:rsid w:val="3DC71684"/>
    <w:rsid w:val="3F55783D"/>
    <w:rsid w:val="3F684073"/>
    <w:rsid w:val="3F8A1689"/>
    <w:rsid w:val="42C213DE"/>
    <w:rsid w:val="45470812"/>
    <w:rsid w:val="460F6C9A"/>
    <w:rsid w:val="47843657"/>
    <w:rsid w:val="47853496"/>
    <w:rsid w:val="4819083B"/>
    <w:rsid w:val="48B9568D"/>
    <w:rsid w:val="4A8C1435"/>
    <w:rsid w:val="4F5C2E10"/>
    <w:rsid w:val="50CC7E1D"/>
    <w:rsid w:val="514669E5"/>
    <w:rsid w:val="541076FA"/>
    <w:rsid w:val="558F3381"/>
    <w:rsid w:val="561B1381"/>
    <w:rsid w:val="58B12E0A"/>
    <w:rsid w:val="59E03AD0"/>
    <w:rsid w:val="59E722A4"/>
    <w:rsid w:val="5A6A1B70"/>
    <w:rsid w:val="5DDB0CD6"/>
    <w:rsid w:val="5E7564C8"/>
    <w:rsid w:val="60426B77"/>
    <w:rsid w:val="61B30994"/>
    <w:rsid w:val="62287717"/>
    <w:rsid w:val="63184C53"/>
    <w:rsid w:val="631B4147"/>
    <w:rsid w:val="6708096C"/>
    <w:rsid w:val="67E916CA"/>
    <w:rsid w:val="6A0223EB"/>
    <w:rsid w:val="6B4F4F03"/>
    <w:rsid w:val="6B656642"/>
    <w:rsid w:val="6DB61704"/>
    <w:rsid w:val="6E3F02AE"/>
    <w:rsid w:val="722E4C45"/>
    <w:rsid w:val="74BE5950"/>
    <w:rsid w:val="7C4A7A05"/>
    <w:rsid w:val="7DCD3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515C3"/>
  <w15:docId w15:val="{17D30855-C6C1-4119-AD6A-A4BD25EA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1"/>
    <w:next w:val="a1"/>
    <w:qFormat/>
    <w:pPr>
      <w:keepNext/>
      <w:keepLines/>
      <w:spacing w:before="120" w:after="120"/>
      <w:outlineLvl w:val="0"/>
    </w:pPr>
    <w:rPr>
      <w:rFonts w:eastAsia="黑体"/>
      <w:b/>
      <w:bCs/>
      <w:kern w:val="44"/>
      <w:sz w:val="28"/>
      <w:szCs w:val="44"/>
    </w:rPr>
  </w:style>
  <w:style w:type="paragraph" w:styleId="2">
    <w:name w:val="heading 2"/>
    <w:basedOn w:val="a1"/>
    <w:next w:val="a1"/>
    <w:qFormat/>
    <w:pPr>
      <w:keepNext/>
      <w:keepLines/>
      <w:spacing w:before="120"/>
      <w:outlineLvl w:val="1"/>
    </w:pPr>
    <w:rPr>
      <w:rFonts w:ascii="Arial" w:eastAsia="黑体" w:hAnsi="Arial"/>
      <w:bCs/>
      <w:sz w:val="28"/>
      <w:szCs w:val="32"/>
    </w:rPr>
  </w:style>
  <w:style w:type="paragraph" w:styleId="3">
    <w:name w:val="heading 3"/>
    <w:basedOn w:val="a0"/>
    <w:next w:val="a1"/>
    <w:qFormat/>
    <w:pPr>
      <w:numPr>
        <w:ilvl w:val="0"/>
        <w:numId w:val="0"/>
      </w:numPr>
      <w:spacing w:beforeLines="50" w:afterLines="50" w:line="240" w:lineRule="auto"/>
      <w:ind w:left="142"/>
      <w:jc w:val="left"/>
    </w:pPr>
    <w:rPr>
      <w:rFonts w:ascii="Times New Roman"/>
      <w:color w:val="00000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一级条标题"/>
    <w:basedOn w:val="a"/>
    <w:next w:val="a5"/>
    <w:qFormat/>
    <w:pPr>
      <w:numPr>
        <w:ilvl w:val="2"/>
      </w:numPr>
      <w:spacing w:beforeLines="0" w:afterLines="0" w:line="300" w:lineRule="auto"/>
      <w:outlineLvl w:val="2"/>
    </w:pPr>
    <w:rPr>
      <w:color w:val="FF0000"/>
      <w:spacing w:val="-4"/>
      <w:szCs w:val="24"/>
    </w:rPr>
  </w:style>
  <w:style w:type="paragraph" w:customStyle="1" w:styleId="a">
    <w:name w:val="章标题"/>
    <w:next w:val="a5"/>
    <w:qFormat/>
    <w:pPr>
      <w:numPr>
        <w:ilvl w:val="1"/>
        <w:numId w:val="1"/>
      </w:numPr>
      <w:spacing w:beforeLines="50" w:afterLines="50"/>
      <w:jc w:val="both"/>
      <w:outlineLvl w:val="1"/>
    </w:pPr>
    <w:rPr>
      <w:rFonts w:ascii="黑体" w:eastAsia="黑体"/>
      <w:sz w:val="21"/>
    </w:rPr>
  </w:style>
  <w:style w:type="paragraph" w:customStyle="1" w:styleId="a5">
    <w:name w:val="段"/>
    <w:qFormat/>
    <w:pPr>
      <w:autoSpaceDE w:val="0"/>
      <w:autoSpaceDN w:val="0"/>
      <w:ind w:firstLineChars="200" w:firstLine="200"/>
      <w:jc w:val="both"/>
    </w:pPr>
    <w:rPr>
      <w:rFonts w:ascii="宋体" w:hAnsi="Calibri"/>
      <w:kern w:val="2"/>
      <w:sz w:val="21"/>
      <w:szCs w:val="22"/>
    </w:rPr>
  </w:style>
  <w:style w:type="paragraph" w:styleId="a6">
    <w:name w:val="annotation text"/>
    <w:basedOn w:val="a1"/>
    <w:link w:val="a7"/>
    <w:qFormat/>
    <w:pPr>
      <w:jc w:val="left"/>
    </w:pPr>
  </w:style>
  <w:style w:type="paragraph" w:styleId="a8">
    <w:name w:val="Plain Text"/>
    <w:basedOn w:val="a1"/>
    <w:qFormat/>
    <w:rPr>
      <w:rFonts w:ascii="宋体" w:hAnsi="Courier New"/>
    </w:rPr>
  </w:style>
  <w:style w:type="paragraph" w:styleId="a9">
    <w:name w:val="footer"/>
    <w:basedOn w:val="a1"/>
    <w:link w:val="aa"/>
    <w:uiPriority w:val="99"/>
    <w:qFormat/>
    <w:pPr>
      <w:tabs>
        <w:tab w:val="center" w:pos="4153"/>
        <w:tab w:val="right" w:pos="8306"/>
      </w:tabs>
      <w:snapToGrid w:val="0"/>
      <w:jc w:val="left"/>
    </w:pPr>
    <w:rPr>
      <w:sz w:val="18"/>
      <w:szCs w:val="18"/>
    </w:rPr>
  </w:style>
  <w:style w:type="paragraph" w:styleId="ab">
    <w:name w:val="header"/>
    <w:basedOn w:val="a1"/>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1"/>
    <w:pPr>
      <w:ind w:firstLineChars="200" w:firstLine="480"/>
    </w:pPr>
    <w:rPr>
      <w:rFonts w:ascii="宋体" w:cs="Times New Roman"/>
      <w:sz w:val="24"/>
    </w:rPr>
  </w:style>
  <w:style w:type="paragraph" w:styleId="ac">
    <w:name w:val="Normal (Web)"/>
    <w:basedOn w:val="a1"/>
    <w:uiPriority w:val="99"/>
    <w:unhideWhenUsed/>
    <w:qFormat/>
    <w:pPr>
      <w:spacing w:before="100" w:beforeAutospacing="1" w:after="100" w:afterAutospacing="1"/>
      <w:jc w:val="left"/>
    </w:pPr>
    <w:rPr>
      <w:kern w:val="0"/>
      <w:sz w:val="24"/>
    </w:rPr>
  </w:style>
  <w:style w:type="paragraph" w:styleId="ad">
    <w:name w:val="annotation subject"/>
    <w:basedOn w:val="a6"/>
    <w:next w:val="a6"/>
    <w:link w:val="ae"/>
    <w:qFormat/>
    <w:rPr>
      <w:b/>
      <w:bCs/>
    </w:rPr>
  </w:style>
  <w:style w:type="table" w:styleId="af">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2"/>
    <w:qFormat/>
    <w:rPr>
      <w:b/>
    </w:rPr>
  </w:style>
  <w:style w:type="character" w:styleId="af1">
    <w:name w:val="page number"/>
    <w:basedOn w:val="a2"/>
    <w:qFormat/>
  </w:style>
  <w:style w:type="character" w:styleId="af2">
    <w:name w:val="FollowedHyperlink"/>
    <w:basedOn w:val="a2"/>
    <w:rPr>
      <w:color w:val="1E659F"/>
      <w:sz w:val="9"/>
      <w:szCs w:val="9"/>
      <w:u w:val="none"/>
    </w:rPr>
  </w:style>
  <w:style w:type="character" w:styleId="af3">
    <w:name w:val="Emphasis"/>
    <w:basedOn w:val="a2"/>
    <w:qFormat/>
  </w:style>
  <w:style w:type="character" w:styleId="HTML">
    <w:name w:val="HTML Definition"/>
    <w:basedOn w:val="a2"/>
    <w:qFormat/>
  </w:style>
  <w:style w:type="character" w:styleId="HTML0">
    <w:name w:val="HTML Variable"/>
    <w:basedOn w:val="a2"/>
    <w:qFormat/>
  </w:style>
  <w:style w:type="character" w:styleId="af4">
    <w:name w:val="Hyperlink"/>
    <w:basedOn w:val="a2"/>
    <w:qFormat/>
    <w:rPr>
      <w:color w:val="000000"/>
      <w:sz w:val="9"/>
      <w:szCs w:val="9"/>
      <w:u w:val="none"/>
    </w:rPr>
  </w:style>
  <w:style w:type="character" w:styleId="HTML1">
    <w:name w:val="HTML Code"/>
    <w:basedOn w:val="a2"/>
    <w:qFormat/>
    <w:rPr>
      <w:rFonts w:ascii="serif" w:eastAsia="serif" w:hAnsi="serif" w:cs="serif"/>
      <w:sz w:val="21"/>
      <w:szCs w:val="21"/>
    </w:rPr>
  </w:style>
  <w:style w:type="character" w:styleId="af5">
    <w:name w:val="annotation reference"/>
    <w:basedOn w:val="a2"/>
    <w:qFormat/>
    <w:rPr>
      <w:sz w:val="21"/>
      <w:szCs w:val="21"/>
    </w:rPr>
  </w:style>
  <w:style w:type="character" w:styleId="HTML2">
    <w:name w:val="HTML Cite"/>
    <w:basedOn w:val="a2"/>
    <w:qFormat/>
  </w:style>
  <w:style w:type="character" w:styleId="HTML3">
    <w:name w:val="HTML Keyboard"/>
    <w:basedOn w:val="a2"/>
    <w:qFormat/>
    <w:rPr>
      <w:rFonts w:ascii="serif" w:eastAsia="serif" w:hAnsi="serif" w:cs="serif" w:hint="default"/>
      <w:sz w:val="21"/>
      <w:szCs w:val="21"/>
    </w:rPr>
  </w:style>
  <w:style w:type="character" w:styleId="HTML4">
    <w:name w:val="HTML Sample"/>
    <w:basedOn w:val="a2"/>
    <w:qFormat/>
    <w:rPr>
      <w:rFonts w:ascii="serif" w:eastAsia="serif" w:hAnsi="serif" w:cs="serif" w:hint="default"/>
      <w:sz w:val="21"/>
      <w:szCs w:val="21"/>
    </w:rPr>
  </w:style>
  <w:style w:type="character" w:customStyle="1" w:styleId="fontborder">
    <w:name w:val="fontborder"/>
    <w:basedOn w:val="a2"/>
    <w:qFormat/>
    <w:rPr>
      <w:bdr w:val="single" w:sz="2" w:space="0" w:color="000000"/>
    </w:rPr>
  </w:style>
  <w:style w:type="character" w:customStyle="1" w:styleId="fontstrikethrough">
    <w:name w:val="fontstrikethrough"/>
    <w:basedOn w:val="a2"/>
    <w:qFormat/>
    <w:rPr>
      <w:strike/>
    </w:rPr>
  </w:style>
  <w:style w:type="paragraph" w:customStyle="1" w:styleId="lemmawgt-lemmatitle-title">
    <w:name w:val="lemmawgt-lemmatitle-title"/>
    <w:basedOn w:val="a1"/>
    <w:qFormat/>
    <w:pPr>
      <w:spacing w:after="38" w:line="293" w:lineRule="atLeast"/>
      <w:jc w:val="left"/>
    </w:pPr>
    <w:rPr>
      <w:rFonts w:cs="Times New Roman"/>
      <w:kern w:val="0"/>
    </w:rPr>
  </w:style>
  <w:style w:type="character" w:customStyle="1" w:styleId="lemmawgt-lemmatitle-title1">
    <w:name w:val="lemmawgt-lemmatitle-title1"/>
    <w:basedOn w:val="a2"/>
    <w:qFormat/>
  </w:style>
  <w:style w:type="character" w:customStyle="1" w:styleId="omit">
    <w:name w:val="omit"/>
    <w:basedOn w:val="a2"/>
    <w:qFormat/>
    <w:rPr>
      <w:b/>
      <w:color w:val="000000"/>
    </w:rPr>
  </w:style>
  <w:style w:type="character" w:customStyle="1" w:styleId="sfirst">
    <w:name w:val="sfirst"/>
    <w:basedOn w:val="a2"/>
    <w:qFormat/>
    <w:rPr>
      <w:bdr w:val="single" w:sz="2" w:space="0" w:color="D7D7D7"/>
    </w:rPr>
  </w:style>
  <w:style w:type="character" w:customStyle="1" w:styleId="cmore">
    <w:name w:val="cmore"/>
    <w:basedOn w:val="a2"/>
    <w:qFormat/>
  </w:style>
  <w:style w:type="paragraph" w:customStyle="1" w:styleId="p0">
    <w:name w:val="p0"/>
    <w:basedOn w:val="a1"/>
    <w:qFormat/>
    <w:pPr>
      <w:widowControl/>
    </w:pPr>
    <w:rPr>
      <w:rFonts w:ascii="Calibri" w:hAnsi="Calibri" w:cs="宋体"/>
      <w:kern w:val="0"/>
      <w:szCs w:val="21"/>
    </w:rPr>
  </w:style>
  <w:style w:type="paragraph" w:customStyle="1" w:styleId="10">
    <w:name w:val="列表段落1"/>
    <w:basedOn w:val="a1"/>
    <w:uiPriority w:val="34"/>
    <w:qFormat/>
    <w:pPr>
      <w:ind w:firstLineChars="200" w:firstLine="420"/>
    </w:pPr>
  </w:style>
  <w:style w:type="character" w:customStyle="1" w:styleId="a7">
    <w:name w:val="批注文字 字符"/>
    <w:basedOn w:val="a2"/>
    <w:link w:val="a6"/>
    <w:qFormat/>
    <w:rPr>
      <w:rFonts w:asciiTheme="minorHAnsi" w:eastAsiaTheme="minorEastAsia" w:hAnsiTheme="minorHAnsi" w:cstheme="minorBidi"/>
      <w:kern w:val="2"/>
      <w:sz w:val="21"/>
      <w:szCs w:val="24"/>
    </w:rPr>
  </w:style>
  <w:style w:type="character" w:customStyle="1" w:styleId="ae">
    <w:name w:val="批注主题 字符"/>
    <w:basedOn w:val="a7"/>
    <w:link w:val="ad"/>
    <w:qFormat/>
    <w:rPr>
      <w:rFonts w:asciiTheme="minorHAnsi" w:eastAsiaTheme="minorEastAsia" w:hAnsiTheme="minorHAnsi" w:cstheme="minorBidi"/>
      <w:b/>
      <w:bCs/>
      <w:kern w:val="2"/>
      <w:sz w:val="21"/>
      <w:szCs w:val="24"/>
    </w:rPr>
  </w:style>
  <w:style w:type="character" w:customStyle="1" w:styleId="aa">
    <w:name w:val="页脚 字符"/>
    <w:basedOn w:val="a2"/>
    <w:link w:val="a9"/>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798</Words>
  <Characters>4550</Characters>
  <Application>Microsoft Office Word</Application>
  <DocSecurity>0</DocSecurity>
  <Lines>37</Lines>
  <Paragraphs>10</Paragraphs>
  <ScaleCrop>false</ScaleCrop>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刘国霞</dc:creator>
  <cp:lastModifiedBy>杨素心</cp:lastModifiedBy>
  <cp:revision>25</cp:revision>
  <dcterms:created xsi:type="dcterms:W3CDTF">2020-10-12T18:17:00Z</dcterms:created>
  <dcterms:modified xsi:type="dcterms:W3CDTF">2021-03-22T02:11:00Z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