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轻金属分标委会审定和任务落实的标准项目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3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79"/>
        <w:gridCol w:w="2674"/>
        <w:gridCol w:w="4406"/>
        <w:gridCol w:w="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4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54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标准项目名称</w:t>
            </w:r>
          </w:p>
        </w:tc>
        <w:tc>
          <w:tcPr>
            <w:tcW w:w="267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项目计划编号</w:t>
            </w:r>
          </w:p>
        </w:tc>
        <w:tc>
          <w:tcPr>
            <w:tcW w:w="44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起草单位及相关单位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2"/>
              <w:numPr>
                <w:ilvl w:val="1"/>
                <w:numId w:val="2"/>
              </w:numPr>
              <w:spacing w:line="300" w:lineRule="exact"/>
              <w:ind w:left="0" w:firstLine="0"/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铝及铝合金成分添加剂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工信厅科函〔2019〕126号2019-0455T-YS</w:t>
            </w:r>
            <w:bookmarkStart w:id="0" w:name="_GoBack"/>
            <w:bookmarkEnd w:id="0"/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哈尔滨东盛金属材料有限公司、郑州西盛铝业有限公司、湖南金联星特种材料股份有限公司、徐州思源铝业有限公司、AMG朗迈冶金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北轻合金有限责任公司、广东省科学院工业分析检测中心、山东南山科学技术研究院有限公司、河北四通新型金属材料股份有限公司、河北新立中有色金属集团有限公司、福建麦特新铝业科技有限公司、沧州市东众特种合金制造有限公司、厦门厦顺铝箔有限公司、中铝瑞闽股份有限公司、西南铝业（集团）有限责任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铝土矿石化学分析方法 第27部分：元素含量的测定 电感耦合等离子体原子发射光谱法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工信厅科函〔2020〕263号2020-1537T-YS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中铝郑州有色金属研究院有限公司、中铝矿业有限公司等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铝土矿石化学分析方法 第29部分：有效铝和活性硅的测定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工信厅科函〔2020〕263号2020-1528T-YS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rtl w:val="0"/>
                <w:lang w:val="zh-CN" w:eastAsia="zh-CN"/>
              </w:rPr>
              <w:t>中铝山东有限公司、</w:t>
            </w: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中铝郑州有色金属研究院有限公司、中铝矿业有限公司等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氟化铝化学分析方法和物理性能测定方法 第19部分：元素含量的测定 电感耦合等离子体发射光谱法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181号2020-0683T-YS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中铝郑州有色金属研究院有限公司、中铝矿业有限公司等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高纯铝化学分析方法 痕量杂质元素含量的测定 辉光放电质谱法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工信厅科函〔2020〕263号2020-1525T-YS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国标（北京）检验认证有限公司、新疆众和股份有限公司、昆明冶金研究院、金川集团股份有限公司、包头铝业有限公司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镓化学分析方法 汞、砷含量的测定 原子荧光光谱法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工信厅科函〔2020〕263号2020-1527T-YS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中铝矿业有限公司、中铝郑州有色金属研究院有限公司、平果铝业有限公司、国标（北京）检验认证有限公司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铝土矿拜耳法溶出性能评价方法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工信厅科函〔2020〕263号2020-1512T-YS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中铝郑州有色金属研究院有限公司、中铝矿业有限公司等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冰晶石化学分析方法和物理性能测定方法 第5部分：钠含量的测定 火焰原子吸收光谱法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中铝郑州有色金属研究院有限公司、多氟多化工股份有限公司、中铝矿业有限公司、中国铝业连城铝业有限公司、山东南山铝业股份有限公司等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冰晶石化学分析方法和物理性能测定方法 第6部分：二氧化硅含量的测定 钼蓝分光光度法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中铝郑州有色金属研究院有限公司、多氟多化工股份有限公司、中铝矿业有限公司、中国铝业连城铝业有限公司、山东南山铝业股份有限公司等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冰晶石化学分析方法和物理性能测定方法 第11部分：元素含量的测定 X射线荧光光谱法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中铝郑州有色金属研究院有限公司、多氟多化工股份有限公司、中铝矿业有限公司等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铝土矿石化学分析方法 第7部分：氧化钙含量的测定 火焰原子吸收光谱法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中铝郑州有色金属研究院有限公司、中铝矿业有限公司、中铝山西新材料有限公司等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氟化铝化学分析方法和物理性能检测方法 第2部分：灼减量的测定 重量法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中铝郑州有色金属研究院有限公司、多氟多化工股份有限公司、山东南山铝业股份有限公司、中国铝业股份有限公司连城分公司等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氟化铝化学分析方法和物理性能检测方法 第8部分：硫酸根含量的测定 硫酸钡重量法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中铝郑州有色金属研究院有限公司、多氟多化工股份有限公司、山东南山铝业股份有限公司、中国铝业股份有限公司连城分公司等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氟化铝化学分析方法和物理性能检测方法 第9部分：五氧化二磷含量的测定 钼蓝分光光度法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中铝郑州有色金属研究院有限公司、多氟多化工股份有限公司、山东南山铝业股份有限公司、中国铝业股份有限公司连城分公司等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铝电解质元素含量的测定 X射线荧光光谱法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中铝郑州有色金属研究院有限公司、中铝矿业有限公司、多氟多化工股份有限公司、岛津（中国）仪器设备有限公司等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Align w:val="center"/>
          </w:tcPr>
          <w:p>
            <w:pPr>
              <w:pStyle w:val="6"/>
              <w:numPr>
                <w:ilvl w:val="1"/>
                <w:numId w:val="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铝电解质中锂含量的测定 火焰原子吸收光谱法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待下达计划</w:t>
            </w:r>
          </w:p>
        </w:tc>
        <w:tc>
          <w:tcPr>
            <w:tcW w:w="440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中铝郑州有色金属研究院有限公司、多氟多化工股份有限公司、中铝矿业有限公司、中国铝业连城铝业有限公司、山东南山铝业股份有限公司等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任务落实</w:t>
            </w:r>
          </w:p>
        </w:tc>
      </w:tr>
    </w:tbl>
    <w:p>
      <w:pPr>
        <w:widowControl/>
        <w:spacing w:line="300" w:lineRule="exact"/>
        <w:jc w:val="left"/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eastAsia="黑体"/>
          <w:sz w:val="28"/>
          <w:szCs w:val="28"/>
        </w:rPr>
      </w:pP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AA79"/>
    <w:multiLevelType w:val="multilevel"/>
    <w:tmpl w:val="3EB1AA7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F27374C"/>
    <w:multiLevelType w:val="multilevel"/>
    <w:tmpl w:val="3F2737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226F1"/>
    <w:rsid w:val="22560B61"/>
    <w:rsid w:val="253D3F7E"/>
    <w:rsid w:val="7B8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2021-03-19T08:20:00Z</dcterms:created>
  <dc:creator>CathayMok</dc:creator>
  <cp:lastModifiedBy>CathayMok</cp:lastModifiedBy>
  <dcterms:modified xsi:type="dcterms:W3CDTF">2021-03-19T12:54:33Z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