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</w:t>
      </w:r>
      <w:r>
        <w:rPr>
          <w:rFonts w:hint="eastAsia" w:eastAsia="黑体"/>
          <w:sz w:val="28"/>
          <w:szCs w:val="28"/>
        </w:rPr>
        <w:t>：</w:t>
      </w:r>
    </w:p>
    <w:p>
      <w:pPr>
        <w:spacing w:line="400" w:lineRule="exact"/>
        <w:ind w:left="-160" w:leftChars="-76"/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重金属分标委会审定、</w:t>
      </w:r>
      <w:r>
        <w:rPr>
          <w:rFonts w:hint="eastAsia" w:eastAsia="黑体"/>
          <w:sz w:val="28"/>
          <w:szCs w:val="28"/>
          <w:lang w:val="en-US" w:eastAsia="zh-CN"/>
        </w:rPr>
        <w:t>预审、</w:t>
      </w:r>
      <w:r>
        <w:rPr>
          <w:rFonts w:hint="eastAsia" w:eastAsia="黑体"/>
          <w:sz w:val="28"/>
          <w:szCs w:val="28"/>
        </w:rPr>
        <w:t>讨论</w:t>
      </w:r>
      <w:r>
        <w:rPr>
          <w:rFonts w:hint="eastAsia" w:eastAsia="黑体"/>
          <w:sz w:val="28"/>
          <w:szCs w:val="28"/>
          <w:lang w:val="en-US" w:eastAsia="zh-CN"/>
        </w:rPr>
        <w:t>和任务落实</w:t>
      </w:r>
      <w:r>
        <w:rPr>
          <w:rFonts w:hint="eastAsia" w:eastAsia="黑体"/>
          <w:sz w:val="28"/>
          <w:szCs w:val="28"/>
        </w:rPr>
        <w:t>的标准项目</w:t>
      </w:r>
    </w:p>
    <w:p>
      <w:pPr>
        <w:spacing w:line="400" w:lineRule="exact"/>
        <w:ind w:left="-160" w:leftChars="-76"/>
        <w:jc w:val="center"/>
        <w:rPr>
          <w:rFonts w:hint="eastAsia" w:eastAsia="黑体"/>
          <w:sz w:val="28"/>
          <w:szCs w:val="28"/>
        </w:rPr>
      </w:pPr>
    </w:p>
    <w:tbl>
      <w:tblPr>
        <w:tblStyle w:val="2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85"/>
        <w:gridCol w:w="2551"/>
        <w:gridCol w:w="6334"/>
        <w:gridCol w:w="7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序号</w:t>
            </w:r>
          </w:p>
        </w:tc>
        <w:tc>
          <w:tcPr>
            <w:tcW w:w="368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标准项目名称</w:t>
            </w:r>
          </w:p>
        </w:tc>
        <w:tc>
          <w:tcPr>
            <w:tcW w:w="255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项目计划编号</w:t>
            </w:r>
          </w:p>
        </w:tc>
        <w:tc>
          <w:tcPr>
            <w:tcW w:w="63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起草单位及相关单位</w:t>
            </w:r>
          </w:p>
        </w:tc>
        <w:tc>
          <w:tcPr>
            <w:tcW w:w="78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4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屏蔽用锌白铜带箔材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国标委发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6号</w:t>
            </w:r>
            <w:r>
              <w:rPr>
                <w:rFonts w:hint="eastAsia" w:ascii="宋体" w:hAnsi="宋体" w:eastAsia="宋体" w:cs="宋体"/>
                <w:szCs w:val="21"/>
              </w:rPr>
              <w:t>20200731-T-610</w:t>
            </w:r>
          </w:p>
        </w:tc>
        <w:tc>
          <w:tcPr>
            <w:tcW w:w="633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安徽鑫科铜业有限公司、宁波兴业盛泰集团有限公司、宁波金田铜业（集团）股份有限公司、广西鑫科铜业有限公司、有研工程技术研究院有限公司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空调与制冷系统阀件用铜及铜合金无缝管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6号20200732-T-610</w:t>
            </w:r>
          </w:p>
        </w:tc>
        <w:tc>
          <w:tcPr>
            <w:tcW w:w="6334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"http://zxd.sacinfo.org.cn/default/com.sac.tpms.core.common.detail.projectDetailInfo.flow?projectID=124640&amp;stage=std"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无锡隆达金属材料有限公司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、江</w:t>
            </w:r>
            <w:r>
              <w:rPr>
                <w:rFonts w:hint="eastAsia" w:ascii="宋体" w:hAnsi="宋体" w:eastAsia="宋体" w:cs="宋体"/>
                <w:szCs w:val="21"/>
              </w:rPr>
              <w:t>西耐乐铜业有限公司、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金龙精密铜管集团股份有限公司、青岛宏泰铜业有限公司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常熟中佳新材料有限公司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、浙江天宁合金材料有限公司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Cs w:val="21"/>
              </w:rPr>
              <w:t>浙江星鹏铜材集团有限公司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焊材用铜粉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2018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54号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2018-1855-T-AH</w:t>
            </w:r>
          </w:p>
        </w:tc>
        <w:tc>
          <w:tcPr>
            <w:tcW w:w="6334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安徽鑫佳铜业有限公司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高能射线探测及成像材料用碲锌镉晶体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国标委发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szCs w:val="21"/>
              </w:rPr>
              <w:t>48号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20203666-T-610</w:t>
            </w:r>
          </w:p>
        </w:tc>
        <w:tc>
          <w:tcPr>
            <w:tcW w:w="6334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广东先导稀材股份有限公司、成都中建材光电材料有限公司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硒化锌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263号2020-1513T-YS</w:t>
            </w:r>
          </w:p>
        </w:tc>
        <w:tc>
          <w:tcPr>
            <w:tcW w:w="6334" w:type="dxa"/>
            <w:vAlign w:val="center"/>
          </w:tcPr>
          <w:p>
            <w:pPr>
              <w:spacing w:line="480" w:lineRule="auto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广东先导稀材股份有限公司、成都中建材光电材料有限公司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镍铬合金靶材</w:t>
            </w:r>
          </w:p>
        </w:tc>
        <w:tc>
          <w:tcPr>
            <w:tcW w:w="2551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 w:cs="宋体"/>
                <w:szCs w:val="21"/>
              </w:rPr>
              <w:t>2021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 w:cs="宋体"/>
                <w:szCs w:val="21"/>
              </w:rPr>
              <w:t>25号</w:t>
            </w: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"http://219.239.107.155:8080/TaskBook.aspx?id=YSCPZT27752020"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2021-0009T-YS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6334" w:type="dxa"/>
            <w:vAlign w:val="center"/>
          </w:tcPr>
          <w:p>
            <w:pPr>
              <w:spacing w:line="28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南京达迈科技实业有限公司、南通安泰新材料科技有限公司、南京欧美达应用材料科技有限公司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4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硫铁矿烧渣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/>
                <w:szCs w:val="21"/>
              </w:rPr>
              <w:t>2020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/>
                <w:szCs w:val="21"/>
              </w:rPr>
              <w:t>6号20200735-T-610</w:t>
            </w:r>
          </w:p>
        </w:tc>
        <w:tc>
          <w:tcPr>
            <w:tcW w:w="6334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</w:rPr>
              <w:t>铜陵有色金属集团股份有限公司、中国硫酸工业协会、安徽省司尔特肥业股份有限公司、广东广业云硫矿业有限公司、铜陵市华兴化工有限公司、浙江巨化股份有限公司、湖南恒光化工有限公司、内蒙古临河新海有色金属冶炼有限公司、江西铜业股份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《有色重金属冶炼产品能源消耗限额》（强制性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国家</w:t>
            </w:r>
            <w:r>
              <w:rPr>
                <w:rFonts w:hint="eastAsia" w:ascii="宋体" w:hAnsi="宋体" w:eastAsia="宋体"/>
                <w:szCs w:val="21"/>
              </w:rPr>
              <w:t>标准整合修订）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国标委综合〔2014〕89号20141762-Q-469</w:t>
            </w:r>
          </w:p>
        </w:tc>
        <w:tc>
          <w:tcPr>
            <w:tcW w:w="6334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江西铜业股份有限公司、云南铜业股份有限公司、阳谷祥光铜业有限公司、大冶有色金属集团有限公司、铜陵有色金属集团控股有限公司、金川集团股份有限公司、中条山有色金属集团有限公司、紫金铜业有限公司、浙江富冶集团有限公司、广西南国铜业有限责任公司、浙江华友钴业股份有限公司、南京海关工业产品检测中心、葫芦岛锌业股份有限公司、河南豫光锌业有限公司、云南驰宏锌锗股份有限公司、株洲冶炼集团股份有限公司、紫金矿业集团股份有限公司、云南云铜锌业股份有限公司、深圳市中金岭南有色金属股份有限公司、南丹县南方有色金属有限责任公司、云锡文山锌铟冶炼有限公司、江西铜业铅锌金属有限公司、安徽铜冠有色金属（池州）有限责任公司、河南豫光金铅股份有限公司、湖南水口山有色金属集团有限公司、广西南丹南方金属有限公司、新疆有色金属工业（集团）有限责任公司、吉林吉恩镍业股份有限公司、广东邦普循环科技有限公司、云南锡业集团有限责任公司、广西华锡集团股份有限公司、锡矿山闪星锑业有限责任公司、云南木利锑业有限公司、湖北金洋冶金股份有限公司、江苏新春兴再生资源有限责任公司、安徽省华鑫铅业集团有限公司、安徽华铂再生资源科技有限公司、新疆新鑫矿业股份有限公司阜康冶炼厂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预审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480" w:lineRule="auto"/>
              <w:jc w:val="both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水杨羟肟酸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工信厅科函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〔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2020</w:t>
            </w:r>
            <w:r>
              <w:rPr>
                <w:rFonts w:hint="eastAsia" w:ascii="宋体" w:hAnsi="宋体" w:eastAsia="宋体" w:cs="Times New Roman"/>
                <w:kern w:val="0"/>
                <w:szCs w:val="21"/>
                <w:lang w:eastAsia="zh-CN"/>
              </w:rPr>
              <w:t>〕</w:t>
            </w:r>
            <w:r>
              <w:rPr>
                <w:rFonts w:ascii="宋体" w:hAnsi="宋体" w:eastAsia="宋体" w:cs="Times New Roman"/>
                <w:kern w:val="0"/>
                <w:szCs w:val="21"/>
              </w:rPr>
              <w:t>181号2020-0729T-YS</w:t>
            </w:r>
          </w:p>
        </w:tc>
        <w:tc>
          <w:tcPr>
            <w:tcW w:w="6334" w:type="dxa"/>
            <w:vAlign w:val="top"/>
          </w:tcPr>
          <w:p>
            <w:pPr>
              <w:widowControl/>
              <w:spacing w:line="480" w:lineRule="auto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铁岭选矿药剂有限公司、北京矿冶科技集团有限公司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粗氢氧化镍钴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工信厅科函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〔</w:t>
            </w:r>
            <w:r>
              <w:rPr>
                <w:rFonts w:ascii="宋体" w:hAnsi="宋体" w:eastAsia="宋体" w:cs="Times New Roman"/>
                <w:szCs w:val="21"/>
              </w:rPr>
              <w:t>2021</w:t>
            </w:r>
            <w:r>
              <w:rPr>
                <w:rFonts w:hint="eastAsia" w:ascii="宋体" w:hAnsi="宋体" w:eastAsia="宋体" w:cs="Times New Roman"/>
                <w:szCs w:val="21"/>
                <w:lang w:eastAsia="zh-CN"/>
              </w:rPr>
              <w:t>〕</w:t>
            </w:r>
            <w:r>
              <w:rPr>
                <w:rFonts w:ascii="宋体" w:hAnsi="宋体" w:eastAsia="宋体" w:cs="Times New Roman"/>
                <w:szCs w:val="21"/>
              </w:rPr>
              <w:t>25号2021-W028-YS</w:t>
            </w:r>
          </w:p>
        </w:tc>
        <w:tc>
          <w:tcPr>
            <w:tcW w:w="6334" w:type="dxa"/>
            <w:vAlign w:val="top"/>
          </w:tcPr>
          <w:p>
            <w:pPr>
              <w:widowControl/>
              <w:spacing w:line="480" w:lineRule="auto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广东邦普循环科技有限公司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任务落实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4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铅精矿化学分析方法 第15部分：氧化钙含量的测定 原子吸收光谱法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〔</w:t>
            </w:r>
            <w:r>
              <w:rPr>
                <w:rFonts w:hint="eastAsia" w:ascii="宋体" w:hAnsi="宋体" w:eastAsia="宋体"/>
                <w:szCs w:val="21"/>
              </w:rPr>
              <w:t>2019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〕</w:t>
            </w:r>
            <w:r>
              <w:rPr>
                <w:rFonts w:hint="eastAsia" w:ascii="宋体" w:hAnsi="宋体" w:eastAsia="宋体"/>
                <w:szCs w:val="21"/>
              </w:rPr>
              <w:t>22号20192048-T-610</w:t>
            </w:r>
          </w:p>
        </w:tc>
        <w:tc>
          <w:tcPr>
            <w:tcW w:w="6334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株洲冶炼集团股份有限公司、福建紫金矿冶测试技术有限公司、湖南有色金属研究院、深圳市中金岭南有色金属股份有限公司韶关冶炼厂、铜陵有色金属控股集团有限公司、陕西东岭冶炼有限公司、中国检验认证集团广西有限公司、山东恒邦冶炼股份有限公司、国标（北京）检验认证有限公司</w:t>
            </w:r>
            <w:r>
              <w:rPr>
                <w:rFonts w:ascii="宋体" w:hAnsi="宋体" w:eastAsia="宋体"/>
                <w:szCs w:val="21"/>
              </w:rPr>
              <w:t>、</w:t>
            </w:r>
            <w:r>
              <w:rPr>
                <w:rFonts w:hint="eastAsia" w:ascii="宋体" w:hAnsi="宋体" w:eastAsia="宋体"/>
                <w:szCs w:val="21"/>
              </w:rPr>
              <w:t>深圳海关、中色桂林矿产地质研究院、北矿检测技术有限公司、长沙矿冶研究院有限责任公司、贵州省分析测试研究院、深圳市中金岭南有色金属股份有限公司凡口铅锌矿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锡精矿化学分析方法 第1部分：水分含量的测定 热干燥法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国标委发〔2020〕6号20200730-T-610</w:t>
            </w:r>
          </w:p>
        </w:tc>
        <w:tc>
          <w:tcPr>
            <w:tcW w:w="6334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云南锡业股份有限公司、广西华锡集团股份有限公司、云南省有色地质局三〇八队测试中心、中华人民共和国防城海关、云南锡业股份有限公司大屯锡矿、</w:t>
            </w:r>
            <w:r>
              <w:fldChar w:fldCharType="begin"/>
            </w:r>
            <w:r>
              <w:instrText xml:space="preserve"> HYPERLINK "http://www.baidu.com/link?url=XSmSfXaNhptTeYaeAQRNbozegfJYFNZHKbjpTneI-X3" \t "https://www.baidu.com/_blank"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t>云南乘风有色金属股份有限公司</w:t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pStyle w:val="5"/>
              <w:numPr>
                <w:ilvl w:val="1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300" w:lineRule="exact"/>
              <w:ind w:firstLine="0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>
            <w:pPr>
              <w:spacing w:line="280" w:lineRule="exact"/>
              <w:jc w:val="both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铜及铜合金化学分析方法 第28部分：铬、铁、锰、钴、镍、锌、砷、硒、银、镉、锡、锑、碲、铅、铋量的测定 电感耦合等离子体质谱法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国标委发〔2020〕6号</w:t>
            </w:r>
            <w:r>
              <w:rPr>
                <w:rFonts w:ascii="宋体" w:hAnsi="宋体" w:eastAsia="宋体"/>
                <w:szCs w:val="21"/>
              </w:rPr>
              <w:t>20200736-T-610</w:t>
            </w:r>
          </w:p>
        </w:tc>
        <w:tc>
          <w:tcPr>
            <w:tcW w:w="6334" w:type="dxa"/>
            <w:vAlign w:val="center"/>
          </w:tcPr>
          <w:p>
            <w:pPr>
              <w:widowControl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（北京）检验认证有限公司、国合通用（青岛）测试评价有限公司、广东省工业分析检测中心、昆明冶金研究院、金川集团股份有限公司、北矿检测技术有限公司、铜陵有色金属集团控股有限公司、金堆城钼业股份有限公司、广东先导稀材股份有限公司、深圳市中金岭南有色金属股份有限公司、北方铜业股份有限公司、大冶有色金属集团控股有限公司、宁波兴敖达金属新材料有限公司、紫金铜业有限公司、福建紫金矿冶测试技术有限公司、国家铜铝冶炼及加工产品质量监督检验中心、郴州市产商品质量监督检验所</w:t>
            </w:r>
          </w:p>
        </w:tc>
        <w:tc>
          <w:tcPr>
            <w:tcW w:w="78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</w:tbl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18D339"/>
    <w:multiLevelType w:val="multilevel"/>
    <w:tmpl w:val="EC18D33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C68EC"/>
    <w:rsid w:val="0A2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2021-03-19T08:21:00Z</dcterms:created>
  <dc:creator>CathayMok</dc:creator>
  <cp:lastModifiedBy>CathayMok</cp:lastModifiedBy>
  <dcterms:modified xsi:type="dcterms:W3CDTF">2021-03-19T08:25:20Z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