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rPr>
          <w:sz w:val="24"/>
          <w:szCs w:val="24"/>
        </w:rPr>
      </w:pPr>
    </w:p>
    <w:p>
      <w:pPr>
        <w:spacing w:before="100" w:beforeAutospacing="1" w:after="100" w:afterAutospacing="1" w:line="360" w:lineRule="auto"/>
        <w:ind w:firstLine="880" w:firstLineChars="200"/>
        <w:jc w:val="center"/>
        <w:rPr>
          <w:sz w:val="44"/>
          <w:szCs w:val="44"/>
        </w:rPr>
      </w:pPr>
    </w:p>
    <w:p>
      <w:pPr>
        <w:spacing w:before="100" w:beforeAutospacing="1" w:after="100" w:afterAutospacing="1" w:line="360" w:lineRule="auto"/>
        <w:ind w:firstLine="880" w:firstLineChars="200"/>
        <w:jc w:val="center"/>
        <w:rPr>
          <w:sz w:val="44"/>
          <w:szCs w:val="44"/>
        </w:rPr>
      </w:pPr>
    </w:p>
    <w:p>
      <w:pPr>
        <w:spacing w:before="100" w:beforeAutospacing="1" w:after="100" w:afterAutospacing="1" w:line="360" w:lineRule="auto"/>
        <w:jc w:val="center"/>
        <w:rPr>
          <w:sz w:val="44"/>
          <w:szCs w:val="44"/>
        </w:rPr>
      </w:pPr>
      <w:r>
        <w:rPr>
          <w:sz w:val="44"/>
          <w:szCs w:val="44"/>
        </w:rPr>
        <w:t>国家标准</w:t>
      </w:r>
    </w:p>
    <w:p>
      <w:pPr>
        <w:spacing w:before="100" w:beforeAutospacing="1" w:after="100" w:afterAutospacing="1" w:line="360" w:lineRule="auto"/>
        <w:jc w:val="center"/>
        <w:rPr>
          <w:sz w:val="40"/>
          <w:szCs w:val="44"/>
        </w:rPr>
      </w:pPr>
      <w:r>
        <w:rPr>
          <w:sz w:val="44"/>
          <w:szCs w:val="44"/>
        </w:rPr>
        <w:t>《</w:t>
      </w:r>
      <w:r>
        <w:rPr>
          <w:rFonts w:hint="eastAsia" w:ascii="宋体" w:hAnsi="宋体" w:cs="宋体"/>
          <w:sz w:val="44"/>
          <w:szCs w:val="44"/>
        </w:rPr>
        <w:t>烧结金属材料规范</w:t>
      </w:r>
      <w:r>
        <w:rPr>
          <w:sz w:val="40"/>
          <w:szCs w:val="44"/>
        </w:rPr>
        <w:t>》</w:t>
      </w:r>
    </w:p>
    <w:p>
      <w:pPr>
        <w:spacing w:before="100" w:beforeAutospacing="1" w:after="100" w:afterAutospacing="1" w:line="360" w:lineRule="auto"/>
        <w:jc w:val="center"/>
        <w:rPr>
          <w:sz w:val="44"/>
          <w:szCs w:val="44"/>
        </w:rPr>
      </w:pPr>
      <w:r>
        <w:rPr>
          <w:sz w:val="44"/>
          <w:szCs w:val="44"/>
        </w:rPr>
        <w:t>编制说明</w:t>
      </w:r>
      <w:bookmarkStart w:id="11" w:name="_GoBack"/>
      <w:bookmarkEnd w:id="11"/>
    </w:p>
    <w:p>
      <w:pPr>
        <w:spacing w:before="100" w:beforeAutospacing="1" w:after="100" w:afterAutospacing="1" w:line="360" w:lineRule="auto"/>
        <w:jc w:val="center"/>
        <w:rPr>
          <w:sz w:val="32"/>
          <w:szCs w:val="32"/>
        </w:rPr>
      </w:pPr>
      <w:r>
        <w:rPr>
          <w:sz w:val="32"/>
          <w:szCs w:val="32"/>
        </w:rPr>
        <w:t>（</w:t>
      </w:r>
      <w:r>
        <w:rPr>
          <w:rFonts w:hint="eastAsia"/>
          <w:sz w:val="32"/>
          <w:szCs w:val="32"/>
        </w:rPr>
        <w:t>送审</w:t>
      </w:r>
      <w:r>
        <w:rPr>
          <w:sz w:val="32"/>
          <w:szCs w:val="32"/>
        </w:rPr>
        <w:t>稿）</w:t>
      </w:r>
    </w:p>
    <w:p>
      <w:pPr>
        <w:spacing w:before="100" w:beforeAutospacing="1" w:after="100" w:afterAutospacing="1" w:line="360" w:lineRule="auto"/>
        <w:ind w:firstLine="480" w:firstLineChars="200"/>
        <w:jc w:val="left"/>
        <w:rPr>
          <w:sz w:val="24"/>
          <w:szCs w:val="24"/>
        </w:rPr>
      </w:pPr>
    </w:p>
    <w:p>
      <w:pPr>
        <w:spacing w:before="100" w:beforeAutospacing="1" w:after="100" w:afterAutospacing="1" w:line="360" w:lineRule="auto"/>
        <w:ind w:firstLine="480" w:firstLineChars="200"/>
        <w:jc w:val="left"/>
        <w:rPr>
          <w:sz w:val="24"/>
          <w:szCs w:val="24"/>
        </w:rPr>
      </w:pPr>
    </w:p>
    <w:p>
      <w:pPr>
        <w:spacing w:before="100" w:beforeAutospacing="1" w:after="100" w:afterAutospacing="1" w:line="360" w:lineRule="auto"/>
        <w:rPr>
          <w:sz w:val="32"/>
          <w:szCs w:val="32"/>
        </w:rPr>
        <w:sectPr>
          <w:headerReference r:id="rId4" w:type="first"/>
          <w:headerReference r:id="rId3" w:type="default"/>
          <w:footerReference r:id="rId5" w:type="default"/>
          <w:pgSz w:w="11906" w:h="16838"/>
          <w:pgMar w:top="1440" w:right="1440" w:bottom="1440" w:left="1440" w:header="851" w:footer="992" w:gutter="284"/>
          <w:pgNumType w:start="1"/>
          <w:cols w:space="425" w:num="1"/>
          <w:titlePg/>
          <w:docGrid w:linePitch="312" w:charSpace="0"/>
        </w:sectPr>
      </w:pPr>
    </w:p>
    <w:p>
      <w:pPr>
        <w:spacing w:before="100" w:beforeAutospacing="1" w:after="100" w:afterAutospacing="1" w:line="360" w:lineRule="auto"/>
        <w:jc w:val="center"/>
        <w:rPr>
          <w:sz w:val="32"/>
          <w:szCs w:val="36"/>
        </w:rPr>
      </w:pPr>
      <w:r>
        <w:rPr>
          <w:sz w:val="32"/>
          <w:szCs w:val="36"/>
        </w:rPr>
        <w:t>国家标准《</w:t>
      </w:r>
      <w:r>
        <w:rPr>
          <w:rFonts w:hint="eastAsia"/>
          <w:sz w:val="32"/>
          <w:szCs w:val="36"/>
        </w:rPr>
        <w:t>烧结金属材料规范</w:t>
      </w:r>
      <w:r>
        <w:rPr>
          <w:sz w:val="32"/>
          <w:szCs w:val="36"/>
        </w:rPr>
        <w:t>》</w:t>
      </w:r>
    </w:p>
    <w:p>
      <w:pPr>
        <w:spacing w:before="100" w:beforeAutospacing="1" w:after="100" w:afterAutospacing="1" w:line="360" w:lineRule="auto"/>
        <w:jc w:val="center"/>
        <w:rPr>
          <w:sz w:val="36"/>
          <w:szCs w:val="36"/>
        </w:rPr>
      </w:pPr>
      <w:r>
        <w:rPr>
          <w:sz w:val="36"/>
          <w:szCs w:val="36"/>
        </w:rPr>
        <w:t>编制说明</w:t>
      </w:r>
      <w:r>
        <w:rPr>
          <w:rFonts w:hint="eastAsia"/>
          <w:sz w:val="36"/>
          <w:szCs w:val="36"/>
        </w:rPr>
        <w:t>（送审稿）</w:t>
      </w:r>
    </w:p>
    <w:p>
      <w:pPr>
        <w:widowControl/>
        <w:snapToGrid w:val="0"/>
        <w:spacing w:after="120" w:afterLines="50" w:line="360" w:lineRule="auto"/>
        <w:jc w:val="left"/>
        <w:rPr>
          <w:rFonts w:eastAsiaTheme="minorEastAsia"/>
          <w:b/>
          <w:bCs/>
          <w:kern w:val="0"/>
          <w:sz w:val="24"/>
          <w:szCs w:val="24"/>
        </w:rPr>
      </w:pPr>
      <w:r>
        <w:rPr>
          <w:rFonts w:eastAsiaTheme="minorEastAsia"/>
          <w:b/>
          <w:bCs/>
          <w:kern w:val="0"/>
          <w:sz w:val="24"/>
          <w:szCs w:val="24"/>
        </w:rPr>
        <w:t>一、工作简况</w:t>
      </w:r>
    </w:p>
    <w:p>
      <w:pPr>
        <w:widowControl/>
        <w:snapToGrid w:val="0"/>
        <w:spacing w:before="240" w:beforeLines="100" w:line="360" w:lineRule="auto"/>
        <w:jc w:val="left"/>
        <w:rPr>
          <w:rFonts w:eastAsiaTheme="minorEastAsia"/>
          <w:b/>
          <w:bCs/>
          <w:kern w:val="0"/>
          <w:sz w:val="24"/>
          <w:szCs w:val="24"/>
        </w:rPr>
      </w:pPr>
      <w:r>
        <w:rPr>
          <w:rFonts w:eastAsiaTheme="minorEastAsia"/>
          <w:b/>
          <w:bCs/>
          <w:kern w:val="0"/>
          <w:sz w:val="24"/>
          <w:szCs w:val="24"/>
        </w:rPr>
        <w:t>1．1 任务来源</w:t>
      </w:r>
    </w:p>
    <w:p>
      <w:pPr>
        <w:pStyle w:val="32"/>
        <w:spacing w:line="360" w:lineRule="auto"/>
        <w:ind w:firstLine="480"/>
        <w:jc w:val="left"/>
        <w:rPr>
          <w:rFonts w:ascii="Times New Roman" w:cs="Times New Roman" w:eastAsiaTheme="minorEastAsia"/>
          <w:sz w:val="24"/>
          <w:szCs w:val="24"/>
        </w:rPr>
      </w:pPr>
      <w:r>
        <w:rPr>
          <w:rFonts w:ascii="Times New Roman" w:cs="Times New Roman" w:eastAsiaTheme="minorEastAsia"/>
          <w:sz w:val="24"/>
          <w:szCs w:val="24"/>
        </w:rPr>
        <w:t>根据国标委《国家标准化管理委员会关于下达2020年第一批推荐性国家标准计划的通知》（国标委发[2019]29号）文件要求，国家标准《烧结金属材料规范》的</w:t>
      </w:r>
      <w:r>
        <w:rPr>
          <w:rFonts w:hint="eastAsia" w:ascii="Times New Roman" w:cs="Times New Roman" w:eastAsiaTheme="minorEastAsia"/>
          <w:sz w:val="24"/>
          <w:szCs w:val="24"/>
        </w:rPr>
        <w:t>修订</w:t>
      </w:r>
      <w:r>
        <w:rPr>
          <w:rFonts w:ascii="Times New Roman" w:cs="Times New Roman" w:eastAsiaTheme="minorEastAsia"/>
          <w:sz w:val="24"/>
          <w:szCs w:val="24"/>
        </w:rPr>
        <w:t>工作由中南大学负责，项目计划编号为：20193123-T-610，项目完成年限为2021年4月。</w:t>
      </w:r>
    </w:p>
    <w:p>
      <w:pPr>
        <w:widowControl/>
        <w:snapToGrid w:val="0"/>
        <w:spacing w:line="360" w:lineRule="auto"/>
        <w:jc w:val="left"/>
        <w:rPr>
          <w:rFonts w:eastAsiaTheme="minorEastAsia"/>
          <w:b/>
          <w:bCs/>
          <w:kern w:val="0"/>
          <w:sz w:val="24"/>
          <w:szCs w:val="24"/>
        </w:rPr>
      </w:pPr>
      <w:r>
        <w:rPr>
          <w:rFonts w:eastAsiaTheme="minorEastAsia"/>
          <w:b/>
          <w:bCs/>
          <w:kern w:val="0"/>
          <w:sz w:val="24"/>
          <w:szCs w:val="24"/>
        </w:rPr>
        <w:t>1.2 项目概况</w:t>
      </w:r>
    </w:p>
    <w:p>
      <w:pPr>
        <w:spacing w:line="360" w:lineRule="auto"/>
        <w:ind w:firstLine="480" w:firstLineChars="200"/>
        <w:rPr>
          <w:rFonts w:ascii="宋体" w:hAnsi="宋体"/>
          <w:sz w:val="24"/>
          <w:szCs w:val="24"/>
        </w:rPr>
      </w:pPr>
      <w:r>
        <w:rPr>
          <w:rFonts w:eastAsiaTheme="minorEastAsia"/>
          <w:sz w:val="24"/>
          <w:szCs w:val="24"/>
        </w:rPr>
        <w:t>本标准等同采用ISO5755-2012《烧结金属材料规范》，是对GB/T19076-2003《烧结金</w:t>
      </w:r>
      <w:r>
        <w:rPr>
          <w:rFonts w:ascii="宋体" w:hAnsi="宋体"/>
          <w:sz w:val="24"/>
          <w:szCs w:val="24"/>
        </w:rPr>
        <w:t>属材料规范》进行修订。被修订标准GB/T19076-2003是等同采用国际标准ISO5755-2001制定的，实施已达十七年，且ISO5755已于2012年做了修</w:t>
      </w:r>
      <w:r>
        <w:rPr>
          <w:rFonts w:hint="eastAsia" w:ascii="宋体" w:hAnsi="宋体"/>
          <w:sz w:val="24"/>
          <w:szCs w:val="24"/>
        </w:rPr>
        <w:t>订</w:t>
      </w:r>
      <w:r>
        <w:rPr>
          <w:rFonts w:ascii="宋体" w:hAnsi="宋体"/>
          <w:sz w:val="24"/>
          <w:szCs w:val="24"/>
        </w:rPr>
        <w:t>，而且修改力度非常大。</w:t>
      </w:r>
    </w:p>
    <w:p>
      <w:pPr>
        <w:spacing w:line="360" w:lineRule="auto"/>
        <w:ind w:firstLine="480" w:firstLineChars="200"/>
        <w:rPr>
          <w:rFonts w:ascii="宋体" w:hAnsi="宋体"/>
          <w:sz w:val="24"/>
          <w:szCs w:val="24"/>
        </w:rPr>
      </w:pPr>
      <w:r>
        <w:rPr>
          <w:rFonts w:ascii="宋体" w:hAnsi="宋体"/>
          <w:sz w:val="24"/>
          <w:szCs w:val="24"/>
        </w:rPr>
        <w:t>本标准规定了用于制造轴承和结构零件的烧结金属材料的化学成分和物理力学性能。与GB/T19076-2003相比，改动实属巨大，主要变化如下：</w:t>
      </w:r>
    </w:p>
    <w:p>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规范性引用文件”增加引用标准十三个。更新一部分过期引用标准，比如密度、开孔率、含油率测试的国标由原来的三个合并更新成一个。</w:t>
      </w:r>
    </w:p>
    <w:p>
      <w:pPr>
        <w:spacing w:line="360" w:lineRule="auto"/>
        <w:ind w:firstLine="480" w:firstLineChars="200"/>
        <w:rPr>
          <w:rFonts w:ascii="宋体" w:hAnsi="宋体"/>
          <w:sz w:val="24"/>
          <w:szCs w:val="24"/>
        </w:rPr>
      </w:pPr>
      <w:r>
        <w:rPr>
          <w:rFonts w:hint="eastAsia" w:ascii="宋体" w:hAnsi="宋体"/>
          <w:sz w:val="24"/>
          <w:szCs w:val="24"/>
        </w:rPr>
        <w:t>（2）增加了拉伸强度，拉伸屈服强度，弹性模量，泊松比，冲击功，压缩屈服强度，横向断裂强度，疲劳强度，径向压溃强度，密度，表观硬度，开孔孔隙度，线膨胀系数共计13条术语及定义。</w:t>
      </w:r>
    </w:p>
    <w:p>
      <w:pPr>
        <w:pStyle w:val="32"/>
        <w:spacing w:line="360" w:lineRule="auto"/>
        <w:ind w:firstLine="480"/>
        <w:rPr>
          <w:rFonts w:hAnsi="宋体" w:cs="Arial"/>
          <w:bCs/>
          <w:sz w:val="24"/>
          <w:szCs w:val="24"/>
        </w:rPr>
      </w:pPr>
      <w:r>
        <w:rPr>
          <w:rFonts w:hint="eastAsia" w:hAnsi="宋体"/>
          <w:sz w:val="24"/>
          <w:szCs w:val="24"/>
        </w:rPr>
        <w:t>（3）增加了</w:t>
      </w:r>
      <w:r>
        <w:rPr>
          <w:rFonts w:hint="eastAsia" w:hAnsi="宋体" w:cs="Arial"/>
          <w:bCs/>
          <w:sz w:val="24"/>
          <w:szCs w:val="24"/>
        </w:rPr>
        <w:t>伸长率、弹性模量、泊松比、冲击功、压缩屈服强度、横向断裂强度、旋转弯曲疲劳强度、平面弯曲疲劳强度、轴向疲劳强度、表观硬度、线膨胀系数等其他性能测试说明。</w:t>
      </w:r>
    </w:p>
    <w:p>
      <w:pPr>
        <w:pStyle w:val="32"/>
        <w:spacing w:line="360" w:lineRule="auto"/>
        <w:ind w:firstLine="480"/>
        <w:rPr>
          <w:rFonts w:hAnsi="宋体"/>
          <w:sz w:val="24"/>
          <w:szCs w:val="24"/>
        </w:rPr>
      </w:pPr>
      <w:r>
        <w:rPr>
          <w:rFonts w:hint="eastAsia" w:hAnsi="宋体"/>
          <w:sz w:val="24"/>
          <w:szCs w:val="24"/>
        </w:rPr>
        <w:t>（4）对原有性能作了更加详细地说明。</w:t>
      </w:r>
    </w:p>
    <w:p>
      <w:pPr>
        <w:pStyle w:val="32"/>
        <w:spacing w:line="360" w:lineRule="auto"/>
        <w:ind w:firstLine="480"/>
        <w:rPr>
          <w:rFonts w:hAnsi="宋体"/>
          <w:sz w:val="24"/>
          <w:szCs w:val="24"/>
        </w:rPr>
      </w:pPr>
      <w:r>
        <w:rPr>
          <w:rFonts w:hint="eastAsia" w:hAnsi="宋体"/>
          <w:sz w:val="24"/>
          <w:szCs w:val="24"/>
        </w:rPr>
        <w:t>（5）“规范”部分“化学成分和力学性能见表B1～表B11”修改为“化学成分和力学性能见表1～表18”</w:t>
      </w:r>
    </w:p>
    <w:p>
      <w:pPr>
        <w:spacing w:line="360" w:lineRule="auto"/>
        <w:ind w:firstLine="480" w:firstLineChars="200"/>
        <w:rPr>
          <w:rFonts w:ascii="宋体" w:hAnsi="宋体"/>
          <w:sz w:val="24"/>
          <w:szCs w:val="24"/>
        </w:rPr>
      </w:pPr>
      <w:r>
        <w:rPr>
          <w:rFonts w:hint="eastAsia" w:ascii="宋体" w:hAnsi="宋体"/>
          <w:sz w:val="24"/>
          <w:szCs w:val="24"/>
        </w:rPr>
        <w:t>（6）附录A标识系统中在第一组、第二组和第三组部分都有增改，表示合金元素的字母中部分增加了铬元素。标识系统举例部分修改了示例7并增加了示例8。</w:t>
      </w:r>
    </w:p>
    <w:p>
      <w:pPr>
        <w:spacing w:line="360" w:lineRule="auto"/>
        <w:ind w:firstLine="480" w:firstLineChars="200"/>
        <w:rPr>
          <w:rFonts w:ascii="宋体" w:hAnsi="宋体"/>
          <w:sz w:val="24"/>
          <w:szCs w:val="24"/>
        </w:rPr>
      </w:pPr>
      <w:r>
        <w:rPr>
          <w:rFonts w:hint="eastAsia"/>
          <w:sz w:val="24"/>
          <w:szCs w:val="24"/>
        </w:rPr>
        <w:t>（7）《表B</w:t>
      </w:r>
      <w:r>
        <w:rPr>
          <w:sz w:val="24"/>
          <w:szCs w:val="24"/>
        </w:rPr>
        <w:t xml:space="preserve">.6 </w:t>
      </w:r>
      <w:r>
        <w:rPr>
          <w:rFonts w:hint="eastAsia"/>
          <w:sz w:val="24"/>
          <w:szCs w:val="24"/>
        </w:rPr>
        <w:t>结构零件用铁基材料：镍钢》内容改为《表8</w:t>
      </w:r>
      <w:r>
        <w:rPr>
          <w:sz w:val="24"/>
          <w:szCs w:val="24"/>
        </w:rPr>
        <w:t xml:space="preserve"> </w:t>
      </w:r>
      <w:r>
        <w:rPr>
          <w:rFonts w:hint="eastAsia"/>
          <w:sz w:val="24"/>
          <w:szCs w:val="24"/>
        </w:rPr>
        <w:t>结构零件用铁基材料：镍钢——烧结态》和《表9</w:t>
      </w:r>
      <w:r>
        <w:rPr>
          <w:sz w:val="24"/>
          <w:szCs w:val="24"/>
        </w:rPr>
        <w:t xml:space="preserve"> </w:t>
      </w:r>
      <w:r>
        <w:rPr>
          <w:rFonts w:hint="eastAsia"/>
          <w:sz w:val="24"/>
          <w:szCs w:val="24"/>
        </w:rPr>
        <w:t>结构零件用铁基材料：镍钢——热处理态》的内容。</w:t>
      </w:r>
    </w:p>
    <w:p>
      <w:pPr>
        <w:pStyle w:val="32"/>
        <w:spacing w:line="360" w:lineRule="auto"/>
        <w:ind w:firstLine="480"/>
        <w:rPr>
          <w:sz w:val="24"/>
          <w:szCs w:val="24"/>
        </w:rPr>
      </w:pPr>
      <w:r>
        <w:rPr>
          <w:rFonts w:hint="eastAsia"/>
          <w:sz w:val="24"/>
          <w:szCs w:val="24"/>
        </w:rPr>
        <w:t>（8） 《表B</w:t>
      </w:r>
      <w:r>
        <w:rPr>
          <w:sz w:val="24"/>
          <w:szCs w:val="24"/>
        </w:rPr>
        <w:t xml:space="preserve">.7 </w:t>
      </w:r>
      <w:r>
        <w:rPr>
          <w:rFonts w:hint="eastAsia"/>
          <w:sz w:val="24"/>
          <w:szCs w:val="24"/>
        </w:rPr>
        <w:t>结构零件用铁基材料：扩散合金化镍-铜-钼钢》内容改为《表10</w:t>
      </w:r>
      <w:r>
        <w:rPr>
          <w:sz w:val="24"/>
          <w:szCs w:val="24"/>
        </w:rPr>
        <w:t xml:space="preserve"> </w:t>
      </w:r>
      <w:r>
        <w:rPr>
          <w:rFonts w:hint="eastAsia"/>
          <w:sz w:val="24"/>
          <w:szCs w:val="24"/>
        </w:rPr>
        <w:t>结构零件用铁基材料：扩散合金化镍-铜-钼钢——烧结态》和《表11</w:t>
      </w:r>
      <w:r>
        <w:rPr>
          <w:sz w:val="24"/>
          <w:szCs w:val="24"/>
        </w:rPr>
        <w:t xml:space="preserve"> </w:t>
      </w:r>
      <w:r>
        <w:rPr>
          <w:rFonts w:hint="eastAsia"/>
          <w:sz w:val="24"/>
          <w:szCs w:val="24"/>
        </w:rPr>
        <w:t>结构零件用铁基材料：扩散合金化镍-铜-钼钢——热处理态》的内容。</w:t>
      </w:r>
    </w:p>
    <w:p>
      <w:pPr>
        <w:pStyle w:val="32"/>
        <w:spacing w:line="360" w:lineRule="auto"/>
        <w:ind w:firstLine="480"/>
        <w:rPr>
          <w:sz w:val="24"/>
          <w:szCs w:val="24"/>
        </w:rPr>
      </w:pPr>
      <w:r>
        <w:rPr>
          <w:rFonts w:hint="eastAsia"/>
          <w:sz w:val="24"/>
          <w:szCs w:val="24"/>
        </w:rPr>
        <w:t>（9） 删除了表B</w:t>
      </w:r>
      <w:r>
        <w:rPr>
          <w:sz w:val="24"/>
          <w:szCs w:val="24"/>
        </w:rPr>
        <w:t>.8,</w:t>
      </w:r>
      <w:r>
        <w:rPr>
          <w:rFonts w:hint="eastAsia"/>
          <w:sz w:val="24"/>
          <w:szCs w:val="24"/>
        </w:rPr>
        <w:t>增加了表12，表13，表14，表15的内容。</w:t>
      </w:r>
    </w:p>
    <w:p>
      <w:pPr>
        <w:pStyle w:val="32"/>
        <w:spacing w:line="360" w:lineRule="auto"/>
        <w:ind w:firstLine="480"/>
        <w:rPr>
          <w:rFonts w:hint="eastAsia"/>
          <w:sz w:val="24"/>
          <w:szCs w:val="24"/>
        </w:rPr>
      </w:pPr>
      <w:r>
        <w:rPr>
          <w:rFonts w:hint="eastAsia"/>
          <w:sz w:val="24"/>
          <w:szCs w:val="24"/>
        </w:rPr>
        <w:t>（10）除新增表外，其他表有增加牌号，注释说明修改等情况。</w:t>
      </w:r>
    </w:p>
    <w:p>
      <w:pPr>
        <w:spacing w:line="360" w:lineRule="auto"/>
        <w:ind w:firstLine="480" w:firstLineChars="200"/>
        <w:rPr>
          <w:rFonts w:ascii="宋体" w:hAnsi="宋体"/>
          <w:sz w:val="24"/>
          <w:szCs w:val="24"/>
        </w:rPr>
      </w:pPr>
      <w:r>
        <w:rPr>
          <w:rFonts w:ascii="宋体" w:hAnsi="宋体"/>
          <w:sz w:val="24"/>
          <w:szCs w:val="24"/>
        </w:rPr>
        <w:t>本标准涉及到产品符合国务院办公厅《国家标准化体系建设发展规划（2016-2020年）》二、主要内容，（五）加强国际标准化工作，加大国际标准跟踪、评估力度，加快转化适合我国国情的国际标准。</w:t>
      </w:r>
    </w:p>
    <w:p>
      <w:pPr>
        <w:spacing w:line="360" w:lineRule="auto"/>
        <w:ind w:firstLine="600" w:firstLineChars="250"/>
        <w:rPr>
          <w:rFonts w:eastAsiaTheme="minorEastAsia"/>
          <w:sz w:val="24"/>
          <w:szCs w:val="24"/>
        </w:rPr>
      </w:pPr>
      <w:r>
        <w:rPr>
          <w:rFonts w:ascii="宋体" w:hAnsi="宋体"/>
          <w:sz w:val="24"/>
          <w:szCs w:val="24"/>
        </w:rPr>
        <w:t>综上所述，为了使国家标准与国际标准接轨，确保国家标准的先进性和实用性，故应对现行的GB/T19076-2003《烧结金属材料规范》进行修订。本标准的修订有利于进一步完善规范烧结金属材料的化学成分和物理力学性能，促进材料行业发展。同时对粉末冶金和材料专</w:t>
      </w:r>
      <w:r>
        <w:rPr>
          <w:rFonts w:eastAsiaTheme="minorEastAsia"/>
          <w:sz w:val="24"/>
          <w:szCs w:val="24"/>
        </w:rPr>
        <w:t>业的教学具有指导意义、为学术交流、学科发展产生积极的影响。</w:t>
      </w:r>
    </w:p>
    <w:p>
      <w:pPr>
        <w:widowControl/>
        <w:snapToGrid w:val="0"/>
        <w:spacing w:before="120" w:beforeLines="50" w:line="360" w:lineRule="auto"/>
        <w:jc w:val="left"/>
        <w:rPr>
          <w:rFonts w:eastAsiaTheme="minorEastAsia"/>
          <w:b/>
          <w:bCs/>
          <w:kern w:val="0"/>
          <w:sz w:val="24"/>
          <w:szCs w:val="24"/>
        </w:rPr>
      </w:pPr>
      <w:r>
        <w:rPr>
          <w:rFonts w:eastAsiaTheme="minorEastAsia"/>
          <w:b/>
          <w:bCs/>
          <w:kern w:val="0"/>
          <w:sz w:val="24"/>
          <w:szCs w:val="24"/>
        </w:rPr>
        <w:t>1.3 承担单位情况</w:t>
      </w:r>
    </w:p>
    <w:p>
      <w:pPr>
        <w:widowControl/>
        <w:snapToGrid w:val="0"/>
        <w:spacing w:before="120" w:beforeLines="50" w:line="360" w:lineRule="auto"/>
        <w:ind w:firstLine="480" w:firstLineChars="200"/>
        <w:jc w:val="left"/>
        <w:rPr>
          <w:rFonts w:eastAsiaTheme="minorEastAsia"/>
          <w:b/>
          <w:bCs/>
          <w:kern w:val="0"/>
          <w:sz w:val="24"/>
          <w:szCs w:val="24"/>
        </w:rPr>
      </w:pPr>
      <w:r>
        <w:rPr>
          <w:rFonts w:eastAsiaTheme="minorEastAsia"/>
          <w:sz w:val="24"/>
          <w:szCs w:val="24"/>
        </w:rPr>
        <w:t>本单位为国家双一流大学中南大学的二级学院</w:t>
      </w:r>
      <w:r>
        <w:rPr>
          <w:rFonts w:eastAsiaTheme="minorEastAsia"/>
          <w:color w:val="000000"/>
          <w:sz w:val="24"/>
          <w:szCs w:val="24"/>
        </w:rPr>
        <w:t>粉末冶金研究院，是我国新材料领域集教学、科研和产业为一体的综合性基地。依托研究院建设有“粉末冶金国家重点实验室”、“轻质高强结构材料国家级重点实验室”及“粉末冶金国家工程研究中心”等3个国家级基地；研究院辖有2个教学系、8个研究所、5个实验（检测）中心。有教职工300余人，其中中国工程院院士3人，中国科学院院士1人，国家“千人计划”入选者4人，国家“长江学者”特聘教授5人、讲座教授4人，国家杰出青年基金获得者4人，博士生导师54人，教授（研究员）51人。</w:t>
      </w:r>
    </w:p>
    <w:p>
      <w:pPr>
        <w:pStyle w:val="42"/>
        <w:shd w:val="clear" w:color="auto" w:fill="FFFFFF"/>
        <w:spacing w:beforeAutospacing="0" w:afterAutospacing="0" w:line="360" w:lineRule="auto"/>
        <w:ind w:firstLine="480" w:firstLineChars="200"/>
        <w:contextualSpacing/>
        <w:rPr>
          <w:rFonts w:ascii="Times New Roman" w:hAnsi="Times New Roman" w:cs="Times New Roman" w:eastAsiaTheme="minorEastAsia"/>
          <w:color w:val="000000"/>
        </w:rPr>
      </w:pPr>
      <w:r>
        <w:rPr>
          <w:rFonts w:ascii="Times New Roman" w:hAnsi="Times New Roman" w:cs="Times New Roman" w:eastAsiaTheme="minorEastAsia"/>
        </w:rPr>
        <w:t>本单位</w:t>
      </w:r>
      <w:r>
        <w:rPr>
          <w:rFonts w:ascii="Times New Roman" w:hAnsi="Times New Roman" w:cs="Times New Roman" w:eastAsiaTheme="minorEastAsia"/>
          <w:color w:val="000000"/>
        </w:rPr>
        <w:t>拥有“材料科学与工程”一级学科国家重点学科，“材料科学与工程”一级学科博士点和硕士点，建有材料科学与工程博士后科研流动站。现有各类在校学生1500余人，其中博士后研究人员近50人，博士研究生160余人，硕士研究生400余人。目前，研究院已培养了5000多名各类高级专门人才活跃在高等教育、科学研究、企业管理以及政府部门等社会领域。</w:t>
      </w:r>
    </w:p>
    <w:p>
      <w:pPr>
        <w:pStyle w:val="42"/>
        <w:shd w:val="clear" w:color="auto" w:fill="FFFFFF"/>
        <w:spacing w:beforeAutospacing="0" w:afterAutospacing="0" w:line="360" w:lineRule="auto"/>
        <w:ind w:firstLine="480" w:firstLineChars="200"/>
        <w:contextualSpacing/>
        <w:rPr>
          <w:rFonts w:ascii="Times New Roman" w:hAnsi="Times New Roman" w:cs="Times New Roman" w:eastAsiaTheme="minorEastAsia"/>
          <w:color w:val="000000"/>
        </w:rPr>
      </w:pPr>
      <w:r>
        <w:rPr>
          <w:rFonts w:ascii="Times New Roman" w:hAnsi="Times New Roman" w:cs="Times New Roman" w:eastAsiaTheme="minorEastAsia"/>
        </w:rPr>
        <w:t>本单位</w:t>
      </w:r>
      <w:r>
        <w:rPr>
          <w:rFonts w:ascii="Times New Roman" w:hAnsi="Times New Roman" w:cs="Times New Roman" w:eastAsiaTheme="minorEastAsia"/>
          <w:color w:val="000000"/>
        </w:rPr>
        <w:t>建立了系统的从事材料研究的体系，从材料基础理论研究、应用基础研究、工程化研究到材料的性能检测评价，包含了材料基础与相图计算、难熔金属与硬质合金、摩擦减磨材料、粉末高温合金、特种陶瓷材料、轻质合金材料、电工电子材料、炭基复合材料和航空制动系统等研究领域，研究的材料和系统广泛应用于航空、航天、兵器、船舶、电子、核工业等工业部门和相关国民经济建设部门。近年来先后完成了各类国家863计划、973计划、国家自然科学基金、国家科技重大专项、国防军工等国家级科研项目500余项，获国家级和省部级科技奖励60余项，其中国家技术发明（科技进步）一等奖3项（次），拥有发明专利200多项。</w:t>
      </w:r>
    </w:p>
    <w:p>
      <w:pPr>
        <w:pStyle w:val="42"/>
        <w:shd w:val="clear" w:color="auto" w:fill="FFFFFF"/>
        <w:spacing w:beforeAutospacing="0" w:afterAutospacing="0" w:line="360" w:lineRule="auto"/>
        <w:contextualSpacing/>
        <w:rPr>
          <w:rFonts w:ascii="Times New Roman" w:hAnsi="Times New Roman" w:cs="Times New Roman" w:eastAsiaTheme="minorEastAsia"/>
          <w:color w:val="000000"/>
        </w:rPr>
      </w:pPr>
      <w:r>
        <w:rPr>
          <w:rFonts w:ascii="Times New Roman" w:hAnsi="Times New Roman" w:cs="Times New Roman" w:eastAsiaTheme="minorEastAsia"/>
          <w:color w:val="000000"/>
        </w:rPr>
        <w:t>　　</w:t>
      </w:r>
      <w:r>
        <w:rPr>
          <w:rFonts w:ascii="Times New Roman" w:hAnsi="Times New Roman" w:cs="Times New Roman" w:eastAsiaTheme="minorEastAsia"/>
        </w:rPr>
        <w:t>本单位</w:t>
      </w:r>
      <w:r>
        <w:rPr>
          <w:rFonts w:ascii="Times New Roman" w:hAnsi="Times New Roman" w:cs="Times New Roman" w:eastAsiaTheme="minorEastAsia"/>
          <w:color w:val="000000"/>
        </w:rPr>
        <w:t>积极推动产学研一体协调发展，以粉末冶金国家工程研究中心为“孵化器”进行高新技术的产业转化，先后发起组建多家学科性公司，包括1家上市公司—湖南博云新材料股份有限公司，1家与美国HONEYWELL公司组建的合资公司—霍尼韦尔博云航空系统（湖南）有限公司。</w:t>
      </w:r>
    </w:p>
    <w:p>
      <w:pPr>
        <w:pStyle w:val="42"/>
        <w:shd w:val="clear" w:color="auto" w:fill="FFFFFF"/>
        <w:spacing w:beforeAutospacing="0" w:afterAutospacing="0" w:line="360" w:lineRule="auto"/>
        <w:ind w:firstLine="480" w:firstLineChars="200"/>
        <w:contextualSpacing/>
        <w:rPr>
          <w:rFonts w:ascii="Times New Roman" w:hAnsi="Times New Roman" w:cs="Times New Roman" w:eastAsiaTheme="minorEastAsia"/>
          <w:color w:val="000000"/>
        </w:rPr>
      </w:pPr>
      <w:r>
        <w:rPr>
          <w:rFonts w:ascii="Times New Roman" w:hAnsi="Times New Roman" w:cs="Times New Roman" w:eastAsiaTheme="minorEastAsia"/>
        </w:rPr>
        <w:t>本单位</w:t>
      </w:r>
      <w:r>
        <w:rPr>
          <w:rFonts w:ascii="Times New Roman" w:hAnsi="Times New Roman" w:cs="Times New Roman" w:eastAsiaTheme="minorEastAsia"/>
          <w:color w:val="000000"/>
        </w:rPr>
        <w:t>是中国材料研究学会理事长、中国有色金属学会副理事长、中国粉末冶金联合会（筹）主席单位，在国际材料界影响日增，先后与美国、俄罗斯、英国、法国、德国、日本、澳大利亚等国家地区的高等学校和科研机构建立了广泛而深入的学术交流与合作关系。</w:t>
      </w:r>
    </w:p>
    <w:p>
      <w:pPr>
        <w:widowControl/>
        <w:snapToGrid w:val="0"/>
        <w:spacing w:before="120" w:beforeLines="50" w:line="360" w:lineRule="auto"/>
        <w:jc w:val="left"/>
        <w:rPr>
          <w:rFonts w:eastAsiaTheme="minorEastAsia"/>
          <w:b/>
          <w:bCs/>
          <w:kern w:val="0"/>
          <w:sz w:val="24"/>
          <w:szCs w:val="24"/>
        </w:rPr>
      </w:pPr>
      <w:r>
        <w:rPr>
          <w:rFonts w:eastAsiaTheme="minorEastAsia"/>
          <w:b/>
          <w:bCs/>
          <w:kern w:val="0"/>
          <w:sz w:val="24"/>
          <w:szCs w:val="24"/>
        </w:rPr>
        <w:t>1.4 参编单位及主要起草人工作情况</w:t>
      </w:r>
    </w:p>
    <w:p>
      <w:pPr>
        <w:tabs>
          <w:tab w:val="left" w:pos="670"/>
        </w:tabs>
        <w:spacing w:line="360" w:lineRule="auto"/>
        <w:ind w:firstLine="480" w:firstLineChars="200"/>
        <w:rPr>
          <w:rFonts w:eastAsiaTheme="minorEastAsia"/>
          <w:color w:val="000000"/>
          <w:sz w:val="24"/>
          <w:szCs w:val="24"/>
        </w:rPr>
      </w:pPr>
      <w:r>
        <w:rPr>
          <w:rFonts w:eastAsiaTheme="minorEastAsia"/>
          <w:color w:val="000000"/>
          <w:sz w:val="24"/>
          <w:szCs w:val="24"/>
        </w:rPr>
        <w:t>整个标准起草过程中各参编单位给予了大力的支持帮助。</w:t>
      </w:r>
    </w:p>
    <w:p>
      <w:pPr>
        <w:spacing w:line="360" w:lineRule="auto"/>
        <w:ind w:firstLine="480" w:firstLineChars="200"/>
        <w:rPr>
          <w:rFonts w:eastAsiaTheme="minorEastAsia"/>
          <w:sz w:val="24"/>
          <w:szCs w:val="24"/>
        </w:rPr>
      </w:pPr>
      <w:r>
        <w:rPr>
          <w:rFonts w:eastAsiaTheme="minorEastAsia"/>
          <w:color w:val="000000"/>
          <w:sz w:val="24"/>
          <w:szCs w:val="24"/>
        </w:rPr>
        <w:t>标准主要起草人以及分工见下表。</w:t>
      </w:r>
    </w:p>
    <w:p>
      <w:pPr>
        <w:adjustRightInd w:val="0"/>
        <w:snapToGrid w:val="0"/>
        <w:spacing w:line="360" w:lineRule="auto"/>
        <w:ind w:firstLine="200"/>
        <w:jc w:val="center"/>
        <w:rPr>
          <w:rFonts w:eastAsiaTheme="minorEastAsia"/>
          <w:sz w:val="24"/>
          <w:szCs w:val="24"/>
        </w:rPr>
      </w:pPr>
      <w:r>
        <w:rPr>
          <w:rFonts w:eastAsiaTheme="minorEastAsia"/>
          <w:sz w:val="24"/>
          <w:szCs w:val="24"/>
        </w:rPr>
        <w:t>标准主要起草人及分工</w:t>
      </w:r>
    </w:p>
    <w:tbl>
      <w:tblPr>
        <w:tblStyle w:val="18"/>
        <w:tblW w:w="49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3558"/>
        <w:gridCol w:w="4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655" w:type="pct"/>
            <w:vAlign w:val="bottom"/>
          </w:tcPr>
          <w:p>
            <w:pPr>
              <w:adjustRightInd w:val="0"/>
              <w:snapToGrid w:val="0"/>
              <w:spacing w:line="360" w:lineRule="auto"/>
              <w:jc w:val="center"/>
              <w:rPr>
                <w:rFonts w:eastAsiaTheme="minorEastAsia"/>
              </w:rPr>
            </w:pPr>
            <w:bookmarkStart w:id="0" w:name="OLE_LINK3" w:colFirst="0" w:colLast="3"/>
            <w:bookmarkStart w:id="1" w:name="OLE_LINK4" w:colFirst="0" w:colLast="3"/>
            <w:bookmarkStart w:id="2" w:name="_Hlk517223113"/>
            <w:r>
              <w:rPr>
                <w:rFonts w:eastAsiaTheme="minorEastAsia"/>
              </w:rPr>
              <w:t>姓名</w:t>
            </w:r>
          </w:p>
        </w:tc>
        <w:tc>
          <w:tcPr>
            <w:tcW w:w="2015" w:type="pct"/>
            <w:vAlign w:val="bottom"/>
          </w:tcPr>
          <w:p>
            <w:pPr>
              <w:adjustRightInd w:val="0"/>
              <w:snapToGrid w:val="0"/>
              <w:spacing w:line="360" w:lineRule="auto"/>
              <w:jc w:val="center"/>
              <w:rPr>
                <w:rFonts w:eastAsiaTheme="minorEastAsia"/>
              </w:rPr>
            </w:pPr>
            <w:r>
              <w:rPr>
                <w:rFonts w:eastAsiaTheme="minorEastAsia"/>
              </w:rPr>
              <w:t>单位</w:t>
            </w:r>
          </w:p>
        </w:tc>
        <w:tc>
          <w:tcPr>
            <w:tcW w:w="2329" w:type="pct"/>
            <w:vAlign w:val="bottom"/>
          </w:tcPr>
          <w:p>
            <w:pPr>
              <w:adjustRightInd w:val="0"/>
              <w:snapToGrid w:val="0"/>
              <w:spacing w:line="360" w:lineRule="auto"/>
              <w:jc w:val="center"/>
              <w:rPr>
                <w:rFonts w:eastAsiaTheme="minorEastAsia"/>
              </w:rPr>
            </w:pPr>
            <w:r>
              <w:rPr>
                <w:rFonts w:eastAsiaTheme="minorEastAsia"/>
              </w:rPr>
              <w:t>分工</w:t>
            </w:r>
          </w:p>
        </w:tc>
      </w:tr>
      <w:bookmarkEnd w:id="0"/>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655" w:type="pct"/>
            <w:vAlign w:val="bottom"/>
          </w:tcPr>
          <w:p>
            <w:pPr>
              <w:adjustRightInd w:val="0"/>
              <w:snapToGrid w:val="0"/>
              <w:spacing w:line="360" w:lineRule="auto"/>
              <w:jc w:val="center"/>
              <w:rPr>
                <w:rFonts w:eastAsiaTheme="minorEastAsia"/>
              </w:rPr>
            </w:pPr>
          </w:p>
        </w:tc>
        <w:tc>
          <w:tcPr>
            <w:tcW w:w="2015" w:type="pct"/>
            <w:vAlign w:val="bottom"/>
          </w:tcPr>
          <w:p>
            <w:pPr>
              <w:adjustRightInd w:val="0"/>
              <w:snapToGrid w:val="0"/>
              <w:spacing w:line="360" w:lineRule="auto"/>
              <w:jc w:val="center"/>
              <w:rPr>
                <w:rFonts w:eastAsiaTheme="minorEastAsia"/>
              </w:rPr>
            </w:pPr>
            <w:r>
              <w:rPr>
                <w:rFonts w:eastAsiaTheme="minorEastAsia"/>
              </w:rPr>
              <w:t>中南大学</w:t>
            </w:r>
          </w:p>
        </w:tc>
        <w:tc>
          <w:tcPr>
            <w:tcW w:w="2329" w:type="pct"/>
            <w:vAlign w:val="bottom"/>
          </w:tcPr>
          <w:p>
            <w:pPr>
              <w:adjustRightInd w:val="0"/>
              <w:snapToGrid w:val="0"/>
              <w:spacing w:line="360" w:lineRule="auto"/>
              <w:jc w:val="center"/>
              <w:rPr>
                <w:rFonts w:eastAsiaTheme="minorEastAsia"/>
              </w:rPr>
            </w:pPr>
            <w:r>
              <w:rPr>
                <w:rFonts w:eastAsiaTheme="minorEastAsia"/>
              </w:rPr>
              <w:t>负责调研、验证、标准起草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655" w:type="pct"/>
            <w:vAlign w:val="bottom"/>
          </w:tcPr>
          <w:p>
            <w:pPr>
              <w:adjustRightInd w:val="0"/>
              <w:snapToGrid w:val="0"/>
              <w:spacing w:line="360" w:lineRule="auto"/>
              <w:jc w:val="center"/>
              <w:rPr>
                <w:rFonts w:eastAsiaTheme="minorEastAsia"/>
              </w:rPr>
            </w:pPr>
          </w:p>
        </w:tc>
        <w:tc>
          <w:tcPr>
            <w:tcW w:w="2015" w:type="pct"/>
            <w:vAlign w:val="bottom"/>
          </w:tcPr>
          <w:p>
            <w:pPr>
              <w:adjustRightInd w:val="0"/>
              <w:snapToGrid w:val="0"/>
              <w:spacing w:line="360" w:lineRule="auto"/>
              <w:jc w:val="center"/>
              <w:rPr>
                <w:rFonts w:eastAsiaTheme="minorEastAsia"/>
              </w:rPr>
            </w:pPr>
            <w:r>
              <w:rPr>
                <w:rFonts w:eastAsiaTheme="minorEastAsia"/>
              </w:rPr>
              <w:t>中南大学</w:t>
            </w:r>
          </w:p>
        </w:tc>
        <w:tc>
          <w:tcPr>
            <w:tcW w:w="2329" w:type="pct"/>
            <w:vAlign w:val="bottom"/>
          </w:tcPr>
          <w:p>
            <w:pPr>
              <w:adjustRightInd w:val="0"/>
              <w:snapToGrid w:val="0"/>
              <w:spacing w:line="360" w:lineRule="auto"/>
              <w:jc w:val="center"/>
              <w:rPr>
                <w:rFonts w:eastAsiaTheme="minorEastAsia"/>
              </w:rPr>
            </w:pPr>
            <w:r>
              <w:rPr>
                <w:rFonts w:eastAsiaTheme="minorEastAsia"/>
              </w:rPr>
              <w:t>负责全过程的标准编制、协调工作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655" w:type="pct"/>
            <w:vAlign w:val="bottom"/>
          </w:tcPr>
          <w:p>
            <w:pPr>
              <w:adjustRightInd w:val="0"/>
              <w:snapToGrid w:val="0"/>
              <w:spacing w:line="360" w:lineRule="auto"/>
              <w:jc w:val="center"/>
              <w:rPr>
                <w:rFonts w:eastAsiaTheme="minorEastAsia"/>
              </w:rPr>
            </w:pPr>
          </w:p>
        </w:tc>
        <w:tc>
          <w:tcPr>
            <w:tcW w:w="2015" w:type="pct"/>
            <w:vAlign w:val="bottom"/>
          </w:tcPr>
          <w:p>
            <w:pPr>
              <w:adjustRightInd w:val="0"/>
              <w:snapToGrid w:val="0"/>
              <w:spacing w:line="360" w:lineRule="auto"/>
              <w:jc w:val="center"/>
              <w:rPr>
                <w:rFonts w:eastAsiaTheme="minorEastAsia"/>
              </w:rPr>
            </w:pPr>
            <w:r>
              <w:rPr>
                <w:rFonts w:eastAsiaTheme="minorEastAsia"/>
              </w:rPr>
              <w:t>有色金属技术经济研究院</w:t>
            </w:r>
          </w:p>
        </w:tc>
        <w:tc>
          <w:tcPr>
            <w:tcW w:w="2329" w:type="pct"/>
            <w:vAlign w:val="bottom"/>
          </w:tcPr>
          <w:p>
            <w:pPr>
              <w:adjustRightInd w:val="0"/>
              <w:snapToGrid w:val="0"/>
              <w:spacing w:line="360" w:lineRule="auto"/>
              <w:jc w:val="center"/>
              <w:rPr>
                <w:rFonts w:eastAsiaTheme="minorEastAsia"/>
              </w:rPr>
            </w:pPr>
            <w:r>
              <w:rPr>
                <w:rFonts w:eastAsiaTheme="minorEastAsia"/>
              </w:rPr>
              <w:t>负责标准审核、协调工作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655" w:type="pct"/>
            <w:vAlign w:val="bottom"/>
          </w:tcPr>
          <w:p>
            <w:pPr>
              <w:adjustRightInd w:val="0"/>
              <w:snapToGrid w:val="0"/>
              <w:spacing w:line="360" w:lineRule="auto"/>
              <w:jc w:val="center"/>
              <w:rPr>
                <w:rFonts w:eastAsiaTheme="minorEastAsia"/>
              </w:rPr>
            </w:pPr>
          </w:p>
        </w:tc>
        <w:tc>
          <w:tcPr>
            <w:tcW w:w="2015" w:type="pct"/>
            <w:vAlign w:val="bottom"/>
          </w:tcPr>
          <w:p>
            <w:pPr>
              <w:adjustRightInd w:val="0"/>
              <w:snapToGrid w:val="0"/>
              <w:spacing w:line="360" w:lineRule="auto"/>
              <w:jc w:val="center"/>
              <w:rPr>
                <w:rFonts w:eastAsiaTheme="minorEastAsia"/>
              </w:rPr>
            </w:pPr>
            <w:r>
              <w:rPr>
                <w:rFonts w:eastAsiaTheme="minorEastAsia"/>
                <w:color w:val="000000"/>
              </w:rPr>
              <w:t>西北有色金属研究院</w:t>
            </w:r>
          </w:p>
        </w:tc>
        <w:tc>
          <w:tcPr>
            <w:tcW w:w="2329" w:type="pct"/>
            <w:vAlign w:val="bottom"/>
          </w:tcPr>
          <w:p>
            <w:pPr>
              <w:adjustRightInd w:val="0"/>
              <w:snapToGrid w:val="0"/>
              <w:spacing w:line="360" w:lineRule="auto"/>
              <w:jc w:val="center"/>
              <w:rPr>
                <w:rFonts w:eastAsiaTheme="minorEastAsia"/>
              </w:rPr>
            </w:pPr>
            <w:r>
              <w:rPr>
                <w:rFonts w:eastAsiaTheme="minorEastAsia"/>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655" w:type="pct"/>
            <w:vAlign w:val="bottom"/>
          </w:tcPr>
          <w:p>
            <w:pPr>
              <w:adjustRightInd w:val="0"/>
              <w:snapToGrid w:val="0"/>
              <w:spacing w:line="360" w:lineRule="auto"/>
              <w:jc w:val="center"/>
              <w:rPr>
                <w:rFonts w:eastAsiaTheme="minorEastAsia"/>
              </w:rPr>
            </w:pPr>
          </w:p>
        </w:tc>
        <w:tc>
          <w:tcPr>
            <w:tcW w:w="2015" w:type="pct"/>
            <w:vAlign w:val="bottom"/>
          </w:tcPr>
          <w:p>
            <w:pPr>
              <w:adjustRightInd w:val="0"/>
              <w:snapToGrid w:val="0"/>
              <w:spacing w:line="360" w:lineRule="auto"/>
              <w:jc w:val="center"/>
              <w:rPr>
                <w:rFonts w:eastAsiaTheme="minorEastAsia"/>
              </w:rPr>
            </w:pPr>
            <w:r>
              <w:rPr>
                <w:rFonts w:eastAsiaTheme="minorEastAsia"/>
                <w:color w:val="000000"/>
              </w:rPr>
              <w:t>广东省</w:t>
            </w:r>
            <w:r>
              <w:rPr>
                <w:rFonts w:hint="eastAsia" w:eastAsiaTheme="minorEastAsia"/>
                <w:color w:val="000000"/>
              </w:rPr>
              <w:t>科学院材料与加工研究所</w:t>
            </w:r>
          </w:p>
        </w:tc>
        <w:tc>
          <w:tcPr>
            <w:tcW w:w="2329" w:type="pct"/>
            <w:vAlign w:val="bottom"/>
          </w:tcPr>
          <w:p>
            <w:pPr>
              <w:adjustRightInd w:val="0"/>
              <w:snapToGrid w:val="0"/>
              <w:spacing w:line="360" w:lineRule="auto"/>
              <w:jc w:val="center"/>
              <w:rPr>
                <w:rFonts w:eastAsiaTheme="minorEastAsia"/>
              </w:rPr>
            </w:pPr>
            <w:r>
              <w:rPr>
                <w:rFonts w:eastAsiaTheme="minorEastAsia"/>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655" w:type="pct"/>
            <w:vAlign w:val="bottom"/>
          </w:tcPr>
          <w:p>
            <w:pPr>
              <w:adjustRightInd w:val="0"/>
              <w:snapToGrid w:val="0"/>
              <w:spacing w:line="360" w:lineRule="auto"/>
              <w:jc w:val="center"/>
              <w:rPr>
                <w:rFonts w:eastAsiaTheme="minorEastAsia"/>
              </w:rPr>
            </w:pPr>
          </w:p>
        </w:tc>
        <w:tc>
          <w:tcPr>
            <w:tcW w:w="2015" w:type="pct"/>
            <w:vAlign w:val="bottom"/>
          </w:tcPr>
          <w:p>
            <w:pPr>
              <w:adjustRightInd w:val="0"/>
              <w:snapToGrid w:val="0"/>
              <w:spacing w:line="360" w:lineRule="auto"/>
              <w:jc w:val="center"/>
              <w:rPr>
                <w:rFonts w:eastAsiaTheme="minorEastAsia"/>
              </w:rPr>
            </w:pPr>
            <w:r>
              <w:rPr>
                <w:rFonts w:hint="eastAsia" w:eastAsiaTheme="minorEastAsia"/>
              </w:rPr>
              <w:t>深圳市注成科技股份有限公司</w:t>
            </w:r>
          </w:p>
        </w:tc>
        <w:tc>
          <w:tcPr>
            <w:tcW w:w="2329" w:type="pct"/>
            <w:vAlign w:val="bottom"/>
          </w:tcPr>
          <w:p>
            <w:pPr>
              <w:adjustRightInd w:val="0"/>
              <w:snapToGrid w:val="0"/>
              <w:spacing w:line="360" w:lineRule="auto"/>
              <w:jc w:val="center"/>
              <w:rPr>
                <w:rFonts w:eastAsiaTheme="minorEastAsia"/>
              </w:rPr>
            </w:pPr>
            <w:r>
              <w:rPr>
                <w:rFonts w:eastAsiaTheme="minorEastAsia"/>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655" w:type="pct"/>
            <w:vAlign w:val="bottom"/>
          </w:tcPr>
          <w:p>
            <w:pPr>
              <w:adjustRightInd w:val="0"/>
              <w:snapToGrid w:val="0"/>
              <w:spacing w:line="360" w:lineRule="auto"/>
              <w:jc w:val="center"/>
              <w:rPr>
                <w:rFonts w:eastAsiaTheme="minorEastAsia"/>
              </w:rPr>
            </w:pPr>
          </w:p>
        </w:tc>
        <w:tc>
          <w:tcPr>
            <w:tcW w:w="2015" w:type="pct"/>
            <w:vAlign w:val="bottom"/>
          </w:tcPr>
          <w:p>
            <w:pPr>
              <w:adjustRightInd w:val="0"/>
              <w:snapToGrid w:val="0"/>
              <w:spacing w:line="360" w:lineRule="auto"/>
              <w:jc w:val="center"/>
              <w:rPr>
                <w:rFonts w:eastAsiaTheme="minorEastAsia"/>
                <w:color w:val="000000"/>
              </w:rPr>
            </w:pPr>
            <w:r>
              <w:rPr>
                <w:rFonts w:hint="eastAsia" w:eastAsiaTheme="minorEastAsia"/>
                <w:color w:val="000000"/>
              </w:rPr>
              <w:t>有研亿金新材料有限公司</w:t>
            </w:r>
          </w:p>
        </w:tc>
        <w:tc>
          <w:tcPr>
            <w:tcW w:w="2329" w:type="pct"/>
            <w:vAlign w:val="bottom"/>
          </w:tcPr>
          <w:p>
            <w:pPr>
              <w:adjustRightInd w:val="0"/>
              <w:snapToGrid w:val="0"/>
              <w:spacing w:line="360" w:lineRule="auto"/>
              <w:jc w:val="center"/>
              <w:rPr>
                <w:rFonts w:eastAsiaTheme="minorEastAsia"/>
              </w:rPr>
            </w:pPr>
            <w:r>
              <w:rPr>
                <w:rFonts w:eastAsiaTheme="minorEastAsia"/>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655" w:type="pct"/>
            <w:vAlign w:val="bottom"/>
          </w:tcPr>
          <w:p>
            <w:pPr>
              <w:adjustRightInd w:val="0"/>
              <w:snapToGrid w:val="0"/>
              <w:spacing w:line="360" w:lineRule="auto"/>
              <w:jc w:val="center"/>
              <w:rPr>
                <w:rFonts w:eastAsiaTheme="minorEastAsia"/>
              </w:rPr>
            </w:pPr>
          </w:p>
        </w:tc>
        <w:tc>
          <w:tcPr>
            <w:tcW w:w="2015" w:type="pct"/>
            <w:vAlign w:val="bottom"/>
          </w:tcPr>
          <w:p>
            <w:pPr>
              <w:adjustRightInd w:val="0"/>
              <w:snapToGrid w:val="0"/>
              <w:spacing w:line="360" w:lineRule="auto"/>
              <w:jc w:val="center"/>
              <w:rPr>
                <w:rFonts w:eastAsiaTheme="minorEastAsia"/>
                <w:color w:val="000000"/>
              </w:rPr>
            </w:pPr>
            <w:r>
              <w:rPr>
                <w:rFonts w:eastAsiaTheme="minorEastAsia"/>
                <w:color w:val="000000"/>
              </w:rPr>
              <w:t>西安塞隆金属材料有限责任公司</w:t>
            </w:r>
          </w:p>
        </w:tc>
        <w:tc>
          <w:tcPr>
            <w:tcW w:w="2329" w:type="pct"/>
            <w:vAlign w:val="bottom"/>
          </w:tcPr>
          <w:p>
            <w:pPr>
              <w:adjustRightInd w:val="0"/>
              <w:snapToGrid w:val="0"/>
              <w:spacing w:line="360" w:lineRule="auto"/>
              <w:jc w:val="center"/>
              <w:rPr>
                <w:rFonts w:eastAsiaTheme="minorEastAsia"/>
              </w:rPr>
            </w:pPr>
            <w:r>
              <w:rPr>
                <w:rFonts w:eastAsiaTheme="minorEastAsia"/>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655" w:type="pct"/>
            <w:vAlign w:val="bottom"/>
          </w:tcPr>
          <w:p>
            <w:pPr>
              <w:adjustRightInd w:val="0"/>
              <w:snapToGrid w:val="0"/>
              <w:spacing w:line="360" w:lineRule="auto"/>
              <w:jc w:val="center"/>
              <w:rPr>
                <w:rFonts w:eastAsiaTheme="minorEastAsia"/>
              </w:rPr>
            </w:pPr>
          </w:p>
        </w:tc>
        <w:tc>
          <w:tcPr>
            <w:tcW w:w="2015" w:type="pct"/>
            <w:vAlign w:val="bottom"/>
          </w:tcPr>
          <w:p>
            <w:pPr>
              <w:adjustRightInd w:val="0"/>
              <w:snapToGrid w:val="0"/>
              <w:spacing w:line="360" w:lineRule="auto"/>
              <w:jc w:val="center"/>
              <w:rPr>
                <w:rFonts w:eastAsiaTheme="minorEastAsia"/>
                <w:color w:val="000000"/>
              </w:rPr>
            </w:pPr>
            <w:r>
              <w:rPr>
                <w:rFonts w:eastAsiaTheme="minorEastAsia"/>
                <w:color w:val="000000"/>
              </w:rPr>
              <w:t>钢铁研究总院</w:t>
            </w:r>
          </w:p>
        </w:tc>
        <w:tc>
          <w:tcPr>
            <w:tcW w:w="2329" w:type="pct"/>
            <w:vAlign w:val="bottom"/>
          </w:tcPr>
          <w:p>
            <w:pPr>
              <w:adjustRightInd w:val="0"/>
              <w:snapToGrid w:val="0"/>
              <w:spacing w:line="360" w:lineRule="auto"/>
              <w:jc w:val="center"/>
              <w:rPr>
                <w:rFonts w:eastAsiaTheme="minorEastAsia"/>
              </w:rPr>
            </w:pPr>
            <w:r>
              <w:rPr>
                <w:rFonts w:eastAsiaTheme="minorEastAsia"/>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655" w:type="pct"/>
            <w:vAlign w:val="bottom"/>
          </w:tcPr>
          <w:p>
            <w:pPr>
              <w:adjustRightInd w:val="0"/>
              <w:snapToGrid w:val="0"/>
              <w:spacing w:line="360" w:lineRule="auto"/>
              <w:jc w:val="center"/>
              <w:rPr>
                <w:rFonts w:eastAsiaTheme="minorEastAsia"/>
              </w:rPr>
            </w:pPr>
          </w:p>
        </w:tc>
        <w:tc>
          <w:tcPr>
            <w:tcW w:w="2015" w:type="pct"/>
            <w:vAlign w:val="bottom"/>
          </w:tcPr>
          <w:p>
            <w:pPr>
              <w:adjustRightInd w:val="0"/>
              <w:snapToGrid w:val="0"/>
              <w:spacing w:line="360" w:lineRule="auto"/>
              <w:jc w:val="center"/>
              <w:rPr>
                <w:rFonts w:eastAsiaTheme="minorEastAsia"/>
                <w:color w:val="000000"/>
              </w:rPr>
            </w:pPr>
            <w:r>
              <w:rPr>
                <w:rFonts w:hint="eastAsia" w:eastAsiaTheme="minorEastAsia"/>
                <w:color w:val="000000"/>
              </w:rPr>
              <w:t>有研粉末新材料公司</w:t>
            </w:r>
          </w:p>
        </w:tc>
        <w:tc>
          <w:tcPr>
            <w:tcW w:w="2329" w:type="pct"/>
            <w:vAlign w:val="bottom"/>
          </w:tcPr>
          <w:p>
            <w:pPr>
              <w:adjustRightInd w:val="0"/>
              <w:snapToGrid w:val="0"/>
              <w:spacing w:line="360" w:lineRule="auto"/>
              <w:jc w:val="center"/>
              <w:rPr>
                <w:rFonts w:eastAsiaTheme="minorEastAsia"/>
              </w:rPr>
            </w:pPr>
            <w:r>
              <w:rPr>
                <w:rFonts w:eastAsiaTheme="minorEastAsia"/>
              </w:rPr>
              <w:t>参与标准起草，资料收集，提供相关验证</w:t>
            </w:r>
          </w:p>
        </w:tc>
      </w:tr>
    </w:tbl>
    <w:p>
      <w:pPr>
        <w:widowControl/>
        <w:snapToGrid w:val="0"/>
        <w:spacing w:before="120" w:beforeLines="50" w:line="360" w:lineRule="auto"/>
        <w:jc w:val="left"/>
        <w:rPr>
          <w:rFonts w:eastAsiaTheme="minorEastAsia"/>
          <w:b/>
          <w:bCs/>
          <w:kern w:val="0"/>
          <w:sz w:val="24"/>
          <w:szCs w:val="24"/>
        </w:rPr>
      </w:pPr>
      <w:r>
        <w:rPr>
          <w:rFonts w:eastAsiaTheme="minorEastAsia"/>
          <w:b/>
          <w:bCs/>
          <w:kern w:val="0"/>
          <w:sz w:val="24"/>
          <w:szCs w:val="24"/>
        </w:rPr>
        <w:t>1.5 主要工作过程</w:t>
      </w:r>
    </w:p>
    <w:p>
      <w:pPr>
        <w:spacing w:line="360" w:lineRule="auto"/>
        <w:rPr>
          <w:rFonts w:eastAsiaTheme="minorEastAsia"/>
          <w:sz w:val="24"/>
          <w:szCs w:val="24"/>
        </w:rPr>
      </w:pPr>
      <w:r>
        <w:rPr>
          <w:rFonts w:eastAsiaTheme="minorEastAsia"/>
          <w:b/>
          <w:bCs/>
          <w:sz w:val="24"/>
          <w:szCs w:val="24"/>
        </w:rPr>
        <w:t>1.5.1 起草阶段</w:t>
      </w:r>
    </w:p>
    <w:p>
      <w:pPr>
        <w:spacing w:line="360" w:lineRule="auto"/>
        <w:ind w:firstLine="470" w:firstLineChars="196"/>
        <w:rPr>
          <w:rFonts w:eastAsiaTheme="minorEastAsia"/>
          <w:sz w:val="24"/>
          <w:szCs w:val="24"/>
        </w:rPr>
      </w:pPr>
      <w:r>
        <w:rPr>
          <w:rFonts w:eastAsiaTheme="minorEastAsia"/>
          <w:sz w:val="24"/>
          <w:szCs w:val="24"/>
        </w:rPr>
        <w:t>中南大学粉末冶金研究院接到《烧结金属材料规范》标准的修订任务后，立即组织相关技术人员成立了标准编制小组，进行相关资料的查询与收集工作，明确了成员的任务，制订了工作计划和进度安排。对该标准进行了翻译和熟悉，同时收集、分析、研究了国内外相关技术资料。此基础上，于2020年</w:t>
      </w:r>
      <w:r>
        <w:rPr>
          <w:rFonts w:hint="eastAsia" w:eastAsiaTheme="minorEastAsia"/>
          <w:sz w:val="24"/>
          <w:szCs w:val="24"/>
        </w:rPr>
        <w:t>6</w:t>
      </w:r>
      <w:r>
        <w:rPr>
          <w:rFonts w:eastAsiaTheme="minorEastAsia"/>
          <w:sz w:val="24"/>
          <w:szCs w:val="24"/>
        </w:rPr>
        <w:t>月形成了标准的征求意见稿和编制说明。</w:t>
      </w:r>
    </w:p>
    <w:p>
      <w:pPr>
        <w:spacing w:line="360" w:lineRule="auto"/>
        <w:rPr>
          <w:rFonts w:eastAsiaTheme="minorEastAsia"/>
          <w:sz w:val="24"/>
          <w:szCs w:val="24"/>
        </w:rPr>
      </w:pPr>
      <w:r>
        <w:rPr>
          <w:rFonts w:eastAsiaTheme="minorEastAsia"/>
          <w:b/>
          <w:bCs/>
          <w:sz w:val="24"/>
          <w:szCs w:val="24"/>
        </w:rPr>
        <w:t>1.5.2 征求意见阶段</w:t>
      </w:r>
    </w:p>
    <w:p>
      <w:pPr>
        <w:spacing w:line="360" w:lineRule="auto"/>
        <w:ind w:firstLine="470" w:firstLineChars="196"/>
        <w:rPr>
          <w:rFonts w:eastAsiaTheme="minorEastAsia"/>
          <w:sz w:val="24"/>
          <w:szCs w:val="24"/>
        </w:rPr>
      </w:pPr>
      <w:r>
        <w:rPr>
          <w:rFonts w:eastAsiaTheme="minorEastAsia"/>
          <w:sz w:val="24"/>
          <w:szCs w:val="24"/>
        </w:rPr>
        <w:t>2020年11月3日～5日，全国有色金属标准化技术委员会组织在浙江桐乡召开本标准的讨论会，编制组成员</w:t>
      </w:r>
      <w:r>
        <w:rPr>
          <w:rFonts w:hint="eastAsia" w:eastAsiaTheme="minorEastAsia"/>
          <w:sz w:val="24"/>
          <w:szCs w:val="24"/>
        </w:rPr>
        <w:t>以及</w:t>
      </w:r>
      <w:r>
        <w:rPr>
          <w:rFonts w:eastAsiaTheme="minorEastAsia"/>
          <w:sz w:val="24"/>
          <w:szCs w:val="24"/>
        </w:rPr>
        <w:t>参会单位</w:t>
      </w:r>
      <w:r>
        <w:rPr>
          <w:rFonts w:hint="eastAsia" w:eastAsiaTheme="minorEastAsia"/>
          <w:sz w:val="24"/>
          <w:szCs w:val="24"/>
        </w:rPr>
        <w:t>共计35</w:t>
      </w:r>
      <w:r>
        <w:rPr>
          <w:rFonts w:eastAsiaTheme="minorEastAsia"/>
          <w:sz w:val="24"/>
          <w:szCs w:val="24"/>
        </w:rPr>
        <w:t>名代表对标准的征求意见稿和编制说明进行了充分、细致地讨论，提出了修改意见和建议。</w:t>
      </w:r>
    </w:p>
    <w:p>
      <w:pPr>
        <w:adjustRightInd w:val="0"/>
        <w:spacing w:line="360" w:lineRule="auto"/>
        <w:ind w:firstLine="480" w:firstLineChars="200"/>
        <w:rPr>
          <w:rFonts w:eastAsiaTheme="minorEastAsia"/>
          <w:sz w:val="24"/>
          <w:szCs w:val="24"/>
        </w:rPr>
      </w:pPr>
      <w:r>
        <w:rPr>
          <w:rFonts w:eastAsiaTheme="minorEastAsia"/>
          <w:sz w:val="24"/>
          <w:szCs w:val="24"/>
        </w:rPr>
        <w:t>2020年</w:t>
      </w:r>
      <w:r>
        <w:rPr>
          <w:rFonts w:hint="eastAsia" w:eastAsiaTheme="minorEastAsia"/>
          <w:sz w:val="24"/>
          <w:szCs w:val="24"/>
        </w:rPr>
        <w:t>10</w:t>
      </w:r>
      <w:r>
        <w:rPr>
          <w:rFonts w:eastAsiaTheme="minorEastAsia"/>
          <w:sz w:val="24"/>
          <w:szCs w:val="24"/>
        </w:rPr>
        <w:t>月</w:t>
      </w:r>
      <w:r>
        <w:rPr>
          <w:rFonts w:hint="eastAsia" w:eastAsiaTheme="minorEastAsia"/>
          <w:sz w:val="24"/>
          <w:szCs w:val="24"/>
        </w:rPr>
        <w:t>20</w:t>
      </w:r>
      <w:r>
        <w:rPr>
          <w:rFonts w:eastAsiaTheme="minorEastAsia"/>
          <w:sz w:val="24"/>
          <w:szCs w:val="24"/>
        </w:rPr>
        <w:t>日至202</w:t>
      </w:r>
      <w:r>
        <w:rPr>
          <w:rFonts w:hint="eastAsia" w:eastAsiaTheme="minorEastAsia"/>
          <w:sz w:val="24"/>
          <w:szCs w:val="24"/>
        </w:rPr>
        <w:t>1</w:t>
      </w:r>
      <w:r>
        <w:rPr>
          <w:rFonts w:eastAsiaTheme="minorEastAsia"/>
          <w:sz w:val="24"/>
          <w:szCs w:val="24"/>
        </w:rPr>
        <w:t>年</w:t>
      </w:r>
      <w:r>
        <w:rPr>
          <w:rFonts w:hint="eastAsia" w:eastAsiaTheme="minorEastAsia"/>
          <w:sz w:val="24"/>
          <w:szCs w:val="24"/>
        </w:rPr>
        <w:t>3</w:t>
      </w:r>
      <w:r>
        <w:rPr>
          <w:rFonts w:eastAsiaTheme="minorEastAsia"/>
          <w:sz w:val="24"/>
          <w:szCs w:val="24"/>
        </w:rPr>
        <w:t>月</w:t>
      </w:r>
      <w:r>
        <w:rPr>
          <w:rFonts w:hint="eastAsia" w:eastAsiaTheme="minorEastAsia"/>
          <w:sz w:val="24"/>
          <w:szCs w:val="24"/>
        </w:rPr>
        <w:t>1</w:t>
      </w:r>
      <w:r>
        <w:rPr>
          <w:rFonts w:eastAsiaTheme="minorEastAsia"/>
          <w:sz w:val="24"/>
          <w:szCs w:val="24"/>
        </w:rPr>
        <w:t>日，全国有色金属标准化技术委员会将征求意见资料在国家标准化管理委员会的“公共信息服务平台”上挂网，向社会公开征求意见。同时，全国有色金属标准化技术委员会通过工作群、邮件向委员单位征求意见，并将征求意见资料在</w:t>
      </w:r>
      <w:r>
        <w:fldChar w:fldCharType="begin"/>
      </w:r>
      <w:r>
        <w:instrText xml:space="preserve"> HYPERLINK "http://www.cnsmq.com" </w:instrText>
      </w:r>
      <w:r>
        <w:fldChar w:fldCharType="separate"/>
      </w:r>
      <w:r>
        <w:rPr>
          <w:rStyle w:val="24"/>
          <w:rFonts w:eastAsiaTheme="minorEastAsia"/>
          <w:color w:val="auto"/>
          <w:sz w:val="24"/>
          <w:szCs w:val="24"/>
        </w:rPr>
        <w:t>www.cnsmq.com</w:t>
      </w:r>
      <w:r>
        <w:rPr>
          <w:rStyle w:val="24"/>
          <w:rFonts w:eastAsiaTheme="minorEastAsia"/>
          <w:color w:val="auto"/>
          <w:sz w:val="24"/>
          <w:szCs w:val="24"/>
        </w:rPr>
        <w:fldChar w:fldCharType="end"/>
      </w:r>
      <w:r>
        <w:rPr>
          <w:rFonts w:eastAsiaTheme="minorEastAsia"/>
          <w:sz w:val="24"/>
          <w:szCs w:val="24"/>
        </w:rPr>
        <w:t>网站上挂网。征求意见的单位包括主要生产、经销、使用、科研、检验等单位及大专院校，征求意见单位广泛且具有代表性，征求意见时间大于2个月。</w:t>
      </w:r>
    </w:p>
    <w:p>
      <w:pPr>
        <w:tabs>
          <w:tab w:val="left" w:pos="1617"/>
        </w:tabs>
        <w:spacing w:line="360" w:lineRule="auto"/>
        <w:ind w:firstLine="480" w:firstLineChars="200"/>
        <w:rPr>
          <w:rFonts w:eastAsiaTheme="minorEastAsia"/>
          <w:kern w:val="0"/>
          <w:sz w:val="24"/>
          <w:szCs w:val="24"/>
          <w:lang w:bidi="ar"/>
        </w:rPr>
      </w:pPr>
      <w:r>
        <w:rPr>
          <w:rFonts w:eastAsiaTheme="minorEastAsia"/>
          <w:sz w:val="24"/>
          <w:szCs w:val="24"/>
        </w:rPr>
        <w:t>编制组单位对收集到的意见进行整理，共收到了</w:t>
      </w:r>
      <w:r>
        <w:rPr>
          <w:rFonts w:hint="eastAsia" w:eastAsiaTheme="minorEastAsia"/>
          <w:sz w:val="24"/>
          <w:szCs w:val="24"/>
        </w:rPr>
        <w:t>13</w:t>
      </w:r>
      <w:r>
        <w:rPr>
          <w:rFonts w:eastAsiaTheme="minorEastAsia"/>
          <w:sz w:val="24"/>
          <w:szCs w:val="24"/>
        </w:rPr>
        <w:t>条意见，形成了</w:t>
      </w:r>
      <w:r>
        <w:rPr>
          <w:rFonts w:eastAsiaTheme="minorEastAsia"/>
          <w:kern w:val="0"/>
          <w:sz w:val="24"/>
          <w:szCs w:val="24"/>
          <w:lang w:bidi="ar"/>
        </w:rPr>
        <w:t>标准征求意见稿意见汇总处理表。标准制定工作组对征求意见稿进行修改，形成标准送审稿。</w:t>
      </w:r>
    </w:p>
    <w:p>
      <w:pPr>
        <w:spacing w:line="360" w:lineRule="auto"/>
        <w:rPr>
          <w:rFonts w:ascii="宋体" w:hAnsi="宋体"/>
          <w:b/>
          <w:bCs/>
          <w:color w:val="000000"/>
          <w:sz w:val="24"/>
        </w:rPr>
      </w:pPr>
      <w:r>
        <w:rPr>
          <w:rFonts w:hint="eastAsia" w:ascii="宋体" w:hAnsi="宋体"/>
          <w:b/>
          <w:bCs/>
          <w:color w:val="000000"/>
          <w:sz w:val="24"/>
        </w:rPr>
        <w:t>1.5.3审查阶段</w:t>
      </w:r>
    </w:p>
    <w:p>
      <w:pPr>
        <w:tabs>
          <w:tab w:val="left" w:pos="1617"/>
        </w:tabs>
        <w:spacing w:line="360" w:lineRule="auto"/>
        <w:ind w:firstLine="480" w:firstLineChars="200"/>
        <w:rPr>
          <w:rFonts w:hAnsi="宋体"/>
          <w:sz w:val="24"/>
        </w:rPr>
      </w:pPr>
      <w:r>
        <w:rPr>
          <w:sz w:val="24"/>
        </w:rPr>
        <w:t>20</w:t>
      </w:r>
      <w:r>
        <w:rPr>
          <w:rFonts w:hint="eastAsia"/>
          <w:sz w:val="24"/>
        </w:rPr>
        <w:t>21</w:t>
      </w:r>
      <w:r>
        <w:rPr>
          <w:rFonts w:hAnsi="宋体"/>
          <w:sz w:val="24"/>
        </w:rPr>
        <w:t>年</w:t>
      </w:r>
      <w:r>
        <w:rPr>
          <w:rFonts w:hint="eastAsia" w:hAnsi="宋体"/>
          <w:sz w:val="24"/>
        </w:rPr>
        <w:t>3</w:t>
      </w:r>
      <w:r>
        <w:rPr>
          <w:rFonts w:hAnsi="宋体"/>
          <w:sz w:val="24"/>
        </w:rPr>
        <w:t>月</w:t>
      </w:r>
      <w:r>
        <w:rPr>
          <w:rFonts w:hint="eastAsia" w:hAnsi="宋体"/>
          <w:sz w:val="24"/>
        </w:rPr>
        <w:t>16</w:t>
      </w:r>
      <w:r>
        <w:rPr>
          <w:rFonts w:hAnsi="宋体"/>
          <w:sz w:val="24"/>
        </w:rPr>
        <w:t>日～</w:t>
      </w:r>
      <w:r>
        <w:rPr>
          <w:rFonts w:hint="eastAsia" w:hAnsi="宋体"/>
          <w:sz w:val="24"/>
        </w:rPr>
        <w:t>3</w:t>
      </w:r>
      <w:r>
        <w:rPr>
          <w:rFonts w:hAnsi="宋体"/>
          <w:sz w:val="24"/>
        </w:rPr>
        <w:t>月</w:t>
      </w:r>
      <w:r>
        <w:rPr>
          <w:rFonts w:hint="eastAsia" w:hAnsi="宋体"/>
          <w:sz w:val="24"/>
        </w:rPr>
        <w:t>18</w:t>
      </w:r>
      <w:r>
        <w:rPr>
          <w:rFonts w:hAnsi="宋体"/>
          <w:sz w:val="24"/>
        </w:rPr>
        <w:t>日，由全国有色金属标准化技术委员会在</w:t>
      </w:r>
      <w:r>
        <w:rPr>
          <w:rFonts w:hint="eastAsia" w:hAnsi="宋体"/>
          <w:sz w:val="24"/>
        </w:rPr>
        <w:t>江苏省苏州市</w:t>
      </w:r>
      <w:r>
        <w:rPr>
          <w:rFonts w:hAnsi="宋体"/>
          <w:sz w:val="24"/>
        </w:rPr>
        <w:t>组织召开有色金属标准工作会</w:t>
      </w:r>
      <w:r>
        <w:rPr>
          <w:rFonts w:hint="eastAsia" w:hAnsi="宋体"/>
          <w:sz w:val="24"/>
        </w:rPr>
        <w:t>。来自</w:t>
      </w:r>
      <w:r>
        <w:rPr>
          <w:rFonts w:hint="eastAsia" w:ascii="宋体" w:hAnsi="宋体"/>
          <w:sz w:val="24"/>
        </w:rPr>
        <w:t>编制组成员等</w:t>
      </w:r>
      <w:r>
        <w:rPr>
          <w:rFonts w:ascii="宋体" w:hAnsi="宋体"/>
          <w:sz w:val="24"/>
        </w:rPr>
        <w:t>XX</w:t>
      </w:r>
      <w:r>
        <w:rPr>
          <w:rFonts w:hint="eastAsia" w:ascii="宋体" w:hAnsi="宋体"/>
          <w:sz w:val="24"/>
        </w:rPr>
        <w:t>家单位</w:t>
      </w:r>
      <w:r>
        <w:rPr>
          <w:rFonts w:ascii="宋体" w:hAnsi="宋体"/>
          <w:sz w:val="24"/>
        </w:rPr>
        <w:t>XX</w:t>
      </w:r>
      <w:r>
        <w:rPr>
          <w:rFonts w:hint="eastAsia" w:ascii="宋体" w:hAnsi="宋体"/>
          <w:sz w:val="24"/>
        </w:rPr>
        <w:t>名</w:t>
      </w:r>
      <w:r>
        <w:rPr>
          <w:rFonts w:hint="eastAsia" w:hAnsi="宋体"/>
          <w:sz w:val="24"/>
        </w:rPr>
        <w:t>专家代表参加了会议，见《有色金属审定会参加单位及代表签名》。会议对中南大学负责修订的国家标准《烧结金属材料规范》（送审稿）进行了认真细致的审定并提出修改意见，见《有色金属标准审定会会议纪要》。标准编制组采纳了审定会意见，对标准送审稿进行了修改完善。</w:t>
      </w:r>
    </w:p>
    <w:p>
      <w:pPr>
        <w:spacing w:line="360" w:lineRule="auto"/>
        <w:rPr>
          <w:rFonts w:ascii="宋体" w:hAnsi="宋体"/>
          <w:b/>
          <w:bCs/>
          <w:color w:val="000000"/>
          <w:sz w:val="24"/>
        </w:rPr>
      </w:pPr>
      <w:r>
        <w:rPr>
          <w:rFonts w:hint="eastAsia" w:ascii="宋体" w:hAnsi="宋体"/>
          <w:b/>
          <w:bCs/>
          <w:color w:val="000000"/>
          <w:sz w:val="24"/>
        </w:rPr>
        <w:t>1.5.4 报批阶段</w:t>
      </w:r>
    </w:p>
    <w:p>
      <w:pPr>
        <w:spacing w:line="360" w:lineRule="auto"/>
        <w:ind w:firstLine="480" w:firstLineChars="200"/>
        <w:rPr>
          <w:rFonts w:ascii="宋体" w:hAnsi="宋体"/>
          <w:sz w:val="24"/>
        </w:rPr>
      </w:pPr>
      <w:r>
        <w:rPr>
          <w:rFonts w:hint="eastAsia" w:hAnsi="宋体"/>
          <w:kern w:val="0"/>
          <w:sz w:val="24"/>
        </w:rPr>
        <w:t>标准编制组对标准文本和编制说明进行修改完善，形成标准报批稿报送至全国有色金属标准化技术委员会（S</w:t>
      </w:r>
      <w:r>
        <w:rPr>
          <w:rFonts w:hAnsi="宋体"/>
          <w:kern w:val="0"/>
          <w:sz w:val="24"/>
        </w:rPr>
        <w:t>AC/TC 243</w:t>
      </w:r>
      <w:r>
        <w:rPr>
          <w:rFonts w:hint="eastAsia" w:hAnsi="宋体"/>
          <w:kern w:val="0"/>
          <w:sz w:val="24"/>
        </w:rPr>
        <w:t>），现上报至国家标准化管理委员会审批、发布。</w:t>
      </w:r>
    </w:p>
    <w:p>
      <w:pPr>
        <w:spacing w:line="360" w:lineRule="auto"/>
        <w:ind w:firstLine="480" w:firstLineChars="200"/>
        <w:rPr>
          <w:rFonts w:ascii="宋体" w:hAnsi="宋体"/>
          <w:sz w:val="24"/>
        </w:rPr>
      </w:pPr>
      <w:r>
        <w:rPr>
          <w:rFonts w:hint="eastAsia" w:hAnsi="宋体"/>
          <w:kern w:val="0"/>
          <w:sz w:val="24"/>
        </w:rPr>
        <w:t>委员投票情况：2</w:t>
      </w:r>
      <w:r>
        <w:rPr>
          <w:rFonts w:hAnsi="宋体"/>
          <w:kern w:val="0"/>
          <w:sz w:val="24"/>
        </w:rPr>
        <w:t>0</w:t>
      </w:r>
      <w:r>
        <w:rPr>
          <w:rFonts w:hint="eastAsia" w:hAnsi="宋体"/>
          <w:kern w:val="0"/>
          <w:sz w:val="24"/>
        </w:rPr>
        <w:t>21年XX月XX日至2</w:t>
      </w:r>
      <w:r>
        <w:rPr>
          <w:rFonts w:hAnsi="宋体"/>
          <w:kern w:val="0"/>
          <w:sz w:val="24"/>
        </w:rPr>
        <w:t>02</w:t>
      </w:r>
      <w:r>
        <w:rPr>
          <w:rFonts w:hint="eastAsia" w:hAnsi="宋体"/>
          <w:kern w:val="0"/>
          <w:sz w:val="24"/>
        </w:rPr>
        <w:t>1年XX月XX日，由全国有色金属标准化技术委员会粉末冶金分标委会组织，在“全国专业标准化技术委员会工作平台”进行了委员投票，</w:t>
      </w:r>
      <w:r>
        <w:rPr>
          <w:rFonts w:hint="eastAsia" w:ascii="宋体" w:hAnsi="宋体"/>
          <w:sz w:val="24"/>
        </w:rPr>
        <w:t>本SC全体委员人数共有27人，参与投票XX人，投票同意本标准通过审查XX人，其中，起草人员X人。</w:t>
      </w:r>
    </w:p>
    <w:p>
      <w:pPr>
        <w:spacing w:line="240" w:lineRule="exact"/>
        <w:rPr>
          <w:rFonts w:eastAsiaTheme="minorEastAsia"/>
          <w:b/>
          <w:color w:val="333333"/>
          <w:sz w:val="24"/>
          <w:szCs w:val="24"/>
        </w:rPr>
      </w:pPr>
    </w:p>
    <w:p>
      <w:pPr>
        <w:spacing w:line="360" w:lineRule="auto"/>
        <w:rPr>
          <w:rFonts w:eastAsiaTheme="minorEastAsia"/>
          <w:b/>
          <w:color w:val="333333"/>
          <w:sz w:val="24"/>
          <w:szCs w:val="24"/>
        </w:rPr>
      </w:pPr>
      <w:r>
        <w:rPr>
          <w:rFonts w:eastAsiaTheme="minorEastAsia"/>
          <w:b/>
          <w:color w:val="333333"/>
          <w:sz w:val="24"/>
          <w:szCs w:val="24"/>
        </w:rPr>
        <w:t>二、标准的制定原则、主要内容与论据</w:t>
      </w:r>
    </w:p>
    <w:p>
      <w:pPr>
        <w:spacing w:line="360" w:lineRule="auto"/>
        <w:rPr>
          <w:rFonts w:eastAsiaTheme="minorEastAsia"/>
          <w:b/>
          <w:color w:val="333333"/>
          <w:sz w:val="24"/>
          <w:szCs w:val="24"/>
        </w:rPr>
      </w:pPr>
      <w:r>
        <w:rPr>
          <w:rFonts w:hint="eastAsia" w:eastAsiaTheme="minorEastAsia"/>
          <w:b/>
          <w:color w:val="333333"/>
          <w:sz w:val="24"/>
          <w:szCs w:val="24"/>
        </w:rPr>
        <w:t>2.1</w:t>
      </w:r>
      <w:r>
        <w:rPr>
          <w:rFonts w:eastAsiaTheme="minorEastAsia"/>
          <w:b/>
          <w:color w:val="333333"/>
          <w:sz w:val="24"/>
          <w:szCs w:val="24"/>
        </w:rPr>
        <w:t xml:space="preserve"> </w:t>
      </w:r>
      <w:r>
        <w:rPr>
          <w:rFonts w:hint="eastAsia" w:eastAsiaTheme="minorEastAsia"/>
          <w:b/>
          <w:color w:val="333333"/>
          <w:sz w:val="24"/>
          <w:szCs w:val="24"/>
        </w:rPr>
        <w:t>标准制定的原则</w:t>
      </w:r>
    </w:p>
    <w:p>
      <w:pPr>
        <w:spacing w:line="360" w:lineRule="auto"/>
        <w:ind w:firstLine="480" w:firstLineChars="200"/>
        <w:rPr>
          <w:rFonts w:eastAsiaTheme="minorEastAsia"/>
          <w:kern w:val="0"/>
          <w:sz w:val="24"/>
          <w:szCs w:val="24"/>
        </w:rPr>
      </w:pPr>
      <w:r>
        <w:rPr>
          <w:rFonts w:eastAsiaTheme="minorEastAsia"/>
          <w:kern w:val="0"/>
          <w:sz w:val="24"/>
          <w:szCs w:val="24"/>
        </w:rPr>
        <w:t>等同采用</w:t>
      </w:r>
      <w:r>
        <w:rPr>
          <w:rFonts w:ascii="Arial" w:hAnsi="Arial" w:cs="Arial" w:eastAsiaTheme="minorEastAsia"/>
          <w:bCs/>
          <w:sz w:val="24"/>
          <w:szCs w:val="24"/>
        </w:rPr>
        <w:t>《</w:t>
      </w:r>
      <w:r>
        <w:rPr>
          <w:rFonts w:ascii="Arial" w:hAnsi="Arial" w:cs="Arial" w:eastAsiaTheme="minorEastAsia"/>
          <w:sz w:val="24"/>
          <w:szCs w:val="24"/>
        </w:rPr>
        <w:t xml:space="preserve">ISO 5755：2012 </w:t>
      </w:r>
      <w:r>
        <w:rPr>
          <w:rFonts w:ascii="Arial" w:hAnsi="Arial" w:cs="Arial" w:eastAsiaTheme="minorEastAsia"/>
          <w:color w:val="000000"/>
          <w:sz w:val="24"/>
          <w:szCs w:val="24"/>
        </w:rPr>
        <w:t>Sintered metal materials-Specifications</w:t>
      </w:r>
      <w:r>
        <w:rPr>
          <w:rFonts w:ascii="Arial" w:hAnsi="Arial" w:cs="Arial" w:eastAsiaTheme="minorEastAsia"/>
          <w:sz w:val="24"/>
          <w:szCs w:val="24"/>
        </w:rPr>
        <w:t>》，</w:t>
      </w:r>
      <w:r>
        <w:rPr>
          <w:rFonts w:eastAsiaTheme="minorEastAsia"/>
          <w:kern w:val="0"/>
          <w:sz w:val="24"/>
          <w:szCs w:val="24"/>
        </w:rPr>
        <w:t>保证标准的适用性和先进性，加快和国际接轨的步伐，提高产品的竞争能力</w:t>
      </w:r>
      <w:r>
        <w:rPr>
          <w:rFonts w:hint="eastAsia" w:eastAsiaTheme="minorEastAsia"/>
          <w:kern w:val="0"/>
          <w:sz w:val="24"/>
          <w:szCs w:val="24"/>
        </w:rPr>
        <w:t>。</w:t>
      </w:r>
    </w:p>
    <w:p>
      <w:pPr>
        <w:autoSpaceDE w:val="0"/>
        <w:autoSpaceDN w:val="0"/>
        <w:spacing w:line="360" w:lineRule="auto"/>
        <w:jc w:val="left"/>
        <w:rPr>
          <w:rFonts w:eastAsiaTheme="minorEastAsia"/>
          <w:b/>
          <w:bCs/>
          <w:kern w:val="0"/>
          <w:sz w:val="24"/>
          <w:szCs w:val="24"/>
        </w:rPr>
      </w:pPr>
      <w:r>
        <w:rPr>
          <w:rFonts w:eastAsiaTheme="minorEastAsia"/>
          <w:b/>
          <w:bCs/>
          <w:kern w:val="0"/>
          <w:sz w:val="24"/>
          <w:szCs w:val="24"/>
        </w:rPr>
        <w:t>2.2 标准制定的主要内容</w:t>
      </w:r>
    </w:p>
    <w:p>
      <w:pPr>
        <w:spacing w:line="360" w:lineRule="auto"/>
        <w:rPr>
          <w:rFonts w:asciiTheme="minorEastAsia" w:hAnsiTheme="minorEastAsia" w:eastAsiaTheme="minorEastAsia"/>
          <w:sz w:val="24"/>
          <w:szCs w:val="24"/>
        </w:rPr>
      </w:pPr>
      <w:r>
        <w:rPr>
          <w:rFonts w:hint="eastAsia" w:eastAsiaTheme="minorEastAsia"/>
          <w:bCs/>
          <w:sz w:val="24"/>
          <w:szCs w:val="24"/>
        </w:rPr>
        <w:t xml:space="preserve"> </w:t>
      </w:r>
      <w:r>
        <w:rPr>
          <w:rFonts w:eastAsiaTheme="minorEastAsia"/>
          <w:bCs/>
          <w:sz w:val="24"/>
          <w:szCs w:val="24"/>
        </w:rPr>
        <w:t xml:space="preserve">  </w:t>
      </w:r>
      <w:r>
        <w:rPr>
          <w:rFonts w:asciiTheme="minorEastAsia" w:hAnsiTheme="minorEastAsia" w:eastAsiaTheme="minorEastAsia"/>
          <w:bCs/>
          <w:sz w:val="24"/>
          <w:szCs w:val="24"/>
        </w:rPr>
        <w:t xml:space="preserve"> 根据《</w:t>
      </w:r>
      <w:r>
        <w:rPr>
          <w:rFonts w:cs="Arial" w:asciiTheme="minorEastAsia" w:hAnsiTheme="minorEastAsia" w:eastAsiaTheme="minorEastAsia"/>
          <w:sz w:val="24"/>
          <w:szCs w:val="24"/>
        </w:rPr>
        <w:t xml:space="preserve">ISO 5755：2012 </w:t>
      </w:r>
      <w:r>
        <w:rPr>
          <w:rFonts w:cs="Arial" w:asciiTheme="minorEastAsia" w:hAnsiTheme="minorEastAsia" w:eastAsiaTheme="minorEastAsia"/>
          <w:color w:val="000000"/>
          <w:sz w:val="24"/>
          <w:szCs w:val="24"/>
        </w:rPr>
        <w:t>Sintered metal materials-Specifications</w:t>
      </w:r>
      <w:r>
        <w:rPr>
          <w:rFonts w:cs="Arial" w:asciiTheme="minorEastAsia" w:hAnsiTheme="minorEastAsia" w:eastAsiaTheme="minorEastAsia"/>
          <w:sz w:val="24"/>
          <w:szCs w:val="24"/>
        </w:rPr>
        <w:t>》</w:t>
      </w:r>
      <w:r>
        <w:rPr>
          <w:rFonts w:asciiTheme="minorEastAsia" w:hAnsiTheme="minorEastAsia" w:eastAsiaTheme="minorEastAsia"/>
          <w:sz w:val="24"/>
          <w:szCs w:val="24"/>
        </w:rPr>
        <w:t>翻译等同</w:t>
      </w:r>
      <w:r>
        <w:rPr>
          <w:rFonts w:asciiTheme="minorEastAsia" w:hAnsiTheme="minorEastAsia" w:eastAsiaTheme="minorEastAsia"/>
          <w:bCs/>
          <w:sz w:val="24"/>
          <w:szCs w:val="24"/>
        </w:rPr>
        <w:t>制定。</w:t>
      </w:r>
      <w:r>
        <w:rPr>
          <w:rFonts w:hint="eastAsia" w:asciiTheme="minorEastAsia" w:hAnsiTheme="minorEastAsia" w:eastAsiaTheme="minorEastAsia"/>
          <w:sz w:val="24"/>
          <w:szCs w:val="24"/>
        </w:rPr>
        <w:t>规定了用于制造轴承和结构零件的烧结金属材料的化学成分和物理力学性能。</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主要技术内容： </w:t>
      </w:r>
    </w:p>
    <w:p>
      <w:pPr>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（1）术语定义（13条）</w:t>
      </w:r>
    </w:p>
    <w:p>
      <w:pPr>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（2）标准性能试验方法：化学分析，开孔孔隙度，力学性能</w:t>
      </w:r>
    </w:p>
    <w:p>
      <w:pPr>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（3）其他性能试验方法：密度，拉伸强度，拉伸屈服强度，延伸率，弹性模量，泊松比，冲击能，压缩屈服强度，疲劳强度，表观硬度，线膨胀系数</w:t>
      </w:r>
    </w:p>
    <w:p>
      <w:pPr>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（4）规范（附18个性能参数表）</w:t>
      </w:r>
    </w:p>
    <w:p>
      <w:pPr>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（5）标识</w:t>
      </w:r>
    </w:p>
    <w:p>
      <w:pPr>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（6）附录A 标识系统</w:t>
      </w:r>
    </w:p>
    <w:p>
      <w:pPr>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（7）附录B 显微组织（12种不同材料显微组织说明）</w:t>
      </w:r>
      <w:r>
        <w:rPr>
          <w:rFonts w:asciiTheme="minorEastAsia" w:hAnsiTheme="minorEastAsia" w:eastAsiaTheme="minorEastAsia"/>
          <w:sz w:val="24"/>
          <w:szCs w:val="24"/>
        </w:rPr>
        <w:t>。</w:t>
      </w:r>
    </w:p>
    <w:p>
      <w:pPr>
        <w:widowControl/>
        <w:snapToGrid w:val="0"/>
        <w:spacing w:after="120" w:afterLines="50" w:line="360" w:lineRule="auto"/>
        <w:jc w:val="left"/>
        <w:rPr>
          <w:rFonts w:eastAsiaTheme="minorEastAsia"/>
          <w:b/>
          <w:bCs/>
          <w:kern w:val="0"/>
          <w:sz w:val="24"/>
          <w:szCs w:val="24"/>
        </w:rPr>
      </w:pPr>
      <w:bookmarkStart w:id="3" w:name="_Toc464224262"/>
      <w:r>
        <w:rPr>
          <w:rFonts w:eastAsiaTheme="minorEastAsia"/>
          <w:b/>
          <w:bCs/>
          <w:kern w:val="0"/>
          <w:sz w:val="24"/>
          <w:szCs w:val="24"/>
        </w:rPr>
        <w:t>三、标准水平</w:t>
      </w:r>
    </w:p>
    <w:p>
      <w:pPr>
        <w:widowControl/>
        <w:snapToGrid w:val="0"/>
        <w:spacing w:after="120" w:afterLines="50" w:line="360" w:lineRule="auto"/>
        <w:jc w:val="left"/>
        <w:rPr>
          <w:rFonts w:eastAsiaTheme="minorEastAsia"/>
          <w:b/>
          <w:bCs/>
          <w:kern w:val="0"/>
          <w:sz w:val="24"/>
          <w:szCs w:val="24"/>
        </w:rPr>
      </w:pPr>
      <w:r>
        <w:rPr>
          <w:rFonts w:hint="eastAsia" w:eastAsiaTheme="minorEastAsia"/>
          <w:b/>
          <w:bCs/>
          <w:kern w:val="0"/>
          <w:sz w:val="24"/>
          <w:szCs w:val="24"/>
        </w:rPr>
        <w:t>3.1采用国际标准及国外先进标准的程度</w:t>
      </w:r>
    </w:p>
    <w:p>
      <w:pPr>
        <w:widowControl/>
        <w:snapToGrid w:val="0"/>
        <w:spacing w:after="120" w:afterLines="50" w:line="360" w:lineRule="auto"/>
        <w:ind w:firstLine="480" w:firstLineChars="200"/>
        <w:jc w:val="left"/>
        <w:rPr>
          <w:rFonts w:eastAsiaTheme="minorEastAsia"/>
          <w:b/>
          <w:bCs/>
          <w:kern w:val="0"/>
          <w:sz w:val="24"/>
          <w:szCs w:val="24"/>
        </w:rPr>
      </w:pPr>
      <w:r>
        <w:rPr>
          <w:rFonts w:eastAsiaTheme="minorEastAsia"/>
          <w:color w:val="000000"/>
          <w:sz w:val="24"/>
          <w:szCs w:val="24"/>
        </w:rPr>
        <w:t>本标准等同采用</w:t>
      </w:r>
      <w:r>
        <w:rPr>
          <w:rFonts w:eastAsiaTheme="minorEastAsia"/>
          <w:bCs/>
          <w:sz w:val="24"/>
          <w:szCs w:val="24"/>
        </w:rPr>
        <w:t>《</w:t>
      </w:r>
      <w:r>
        <w:rPr>
          <w:rFonts w:ascii="Arial" w:hAnsi="Arial" w:cs="Arial" w:eastAsiaTheme="minorEastAsia"/>
          <w:sz w:val="24"/>
          <w:szCs w:val="24"/>
        </w:rPr>
        <w:t xml:space="preserve">ISO 5755：2012 </w:t>
      </w:r>
      <w:r>
        <w:rPr>
          <w:rFonts w:ascii="Arial" w:hAnsi="Arial" w:cs="Arial" w:eastAsiaTheme="minorEastAsia"/>
          <w:color w:val="000000"/>
          <w:sz w:val="24"/>
          <w:szCs w:val="24"/>
        </w:rPr>
        <w:t>Sintered metal materials-pecifications</w:t>
      </w:r>
      <w:r>
        <w:rPr>
          <w:rFonts w:ascii="Arial" w:hAnsi="Arial" w:cs="Arial" w:eastAsiaTheme="minorEastAsia"/>
          <w:sz w:val="24"/>
          <w:szCs w:val="24"/>
        </w:rPr>
        <w:t>》</w:t>
      </w:r>
      <w:r>
        <w:rPr>
          <w:rFonts w:hint="eastAsia" w:ascii="Arial" w:hAnsi="Arial" w:cs="Arial" w:eastAsiaTheme="minorEastAsia"/>
          <w:sz w:val="24"/>
          <w:szCs w:val="24"/>
        </w:rPr>
        <w:t xml:space="preserve"> 。</w:t>
      </w:r>
    </w:p>
    <w:p>
      <w:pPr>
        <w:spacing w:line="360" w:lineRule="auto"/>
        <w:rPr>
          <w:rFonts w:eastAsiaTheme="minorEastAsia"/>
          <w:b/>
          <w:bCs/>
          <w:color w:val="000000"/>
          <w:sz w:val="24"/>
          <w:szCs w:val="24"/>
        </w:rPr>
      </w:pPr>
      <w:r>
        <w:rPr>
          <w:rFonts w:eastAsiaTheme="minorEastAsia"/>
          <w:b/>
          <w:bCs/>
          <w:color w:val="000000"/>
          <w:sz w:val="24"/>
          <w:szCs w:val="24"/>
        </w:rPr>
        <w:t>3.2 与国际标准及国外同类标准水平的对比</w:t>
      </w:r>
    </w:p>
    <w:p>
      <w:pPr>
        <w:spacing w:line="360" w:lineRule="auto"/>
        <w:rPr>
          <w:rFonts w:eastAsiaTheme="minorEastAsia"/>
          <w:color w:val="000000"/>
          <w:sz w:val="24"/>
          <w:szCs w:val="24"/>
        </w:rPr>
      </w:pPr>
      <w:r>
        <w:rPr>
          <w:rFonts w:eastAsiaTheme="minorEastAsia"/>
          <w:color w:val="000000"/>
          <w:sz w:val="24"/>
          <w:szCs w:val="24"/>
        </w:rPr>
        <w:t xml:space="preserve">    本标准达到了国际先进水平。</w:t>
      </w:r>
    </w:p>
    <w:p>
      <w:pPr>
        <w:spacing w:line="360" w:lineRule="auto"/>
        <w:rPr>
          <w:rFonts w:eastAsiaTheme="minorEastAsia"/>
          <w:b/>
          <w:bCs/>
          <w:color w:val="000000"/>
          <w:sz w:val="24"/>
          <w:szCs w:val="24"/>
        </w:rPr>
      </w:pPr>
      <w:r>
        <w:rPr>
          <w:rFonts w:eastAsiaTheme="minorEastAsia"/>
          <w:b/>
          <w:bCs/>
          <w:color w:val="000000"/>
          <w:sz w:val="24"/>
          <w:szCs w:val="24"/>
        </w:rPr>
        <w:t>3.3  与现有标准及修订中的标准协调配套情况</w:t>
      </w:r>
    </w:p>
    <w:p>
      <w:pPr>
        <w:spacing w:line="360" w:lineRule="auto"/>
        <w:ind w:firstLine="480"/>
        <w:rPr>
          <w:rFonts w:eastAsiaTheme="minorEastAsia"/>
          <w:color w:val="000000"/>
          <w:sz w:val="24"/>
          <w:szCs w:val="24"/>
        </w:rPr>
      </w:pPr>
      <w:r>
        <w:rPr>
          <w:rFonts w:eastAsiaTheme="minorEastAsia"/>
          <w:color w:val="000000"/>
          <w:sz w:val="24"/>
          <w:szCs w:val="24"/>
        </w:rPr>
        <w:t>本标准与现有标准及修订中的标准协调配套。</w:t>
      </w:r>
    </w:p>
    <w:p>
      <w:pPr>
        <w:spacing w:line="360" w:lineRule="auto"/>
        <w:rPr>
          <w:rFonts w:eastAsiaTheme="minorEastAsia"/>
          <w:b/>
          <w:bCs/>
          <w:color w:val="000000"/>
          <w:sz w:val="24"/>
          <w:szCs w:val="24"/>
        </w:rPr>
      </w:pPr>
      <w:r>
        <w:rPr>
          <w:rFonts w:eastAsiaTheme="minorEastAsia"/>
          <w:b/>
          <w:bCs/>
          <w:color w:val="000000"/>
          <w:sz w:val="24"/>
          <w:szCs w:val="24"/>
        </w:rPr>
        <w:t>3.4  涉及国内外专利及处置情况</w:t>
      </w:r>
    </w:p>
    <w:p>
      <w:pPr>
        <w:spacing w:line="360" w:lineRule="auto"/>
        <w:rPr>
          <w:rFonts w:eastAsiaTheme="minorEastAsia"/>
          <w:color w:val="000000"/>
          <w:sz w:val="24"/>
          <w:szCs w:val="24"/>
        </w:rPr>
      </w:pPr>
      <w:r>
        <w:rPr>
          <w:rFonts w:eastAsiaTheme="minorEastAsia"/>
          <w:b/>
          <w:color w:val="000000"/>
          <w:sz w:val="24"/>
          <w:szCs w:val="24"/>
        </w:rPr>
        <w:t xml:space="preserve">     </w:t>
      </w:r>
      <w:r>
        <w:rPr>
          <w:rFonts w:eastAsiaTheme="minorEastAsia"/>
          <w:color w:val="000000"/>
          <w:sz w:val="24"/>
          <w:szCs w:val="24"/>
        </w:rPr>
        <w:t>经查，本标准没有涉及国内外专利。</w:t>
      </w:r>
    </w:p>
    <w:p>
      <w:pPr>
        <w:widowControl/>
        <w:snapToGrid w:val="0"/>
        <w:spacing w:after="120" w:afterLines="50" w:line="360" w:lineRule="auto"/>
        <w:jc w:val="left"/>
        <w:rPr>
          <w:rFonts w:eastAsiaTheme="minorEastAsia"/>
          <w:sz w:val="24"/>
          <w:szCs w:val="24"/>
        </w:rPr>
      </w:pPr>
      <w:bookmarkStart w:id="4" w:name="_Toc464224256"/>
      <w:r>
        <w:rPr>
          <w:rFonts w:eastAsiaTheme="minorEastAsia"/>
          <w:b/>
          <w:bCs/>
          <w:kern w:val="0"/>
          <w:sz w:val="24"/>
          <w:szCs w:val="24"/>
        </w:rPr>
        <w:t>四、与有关的现行法律、法规和强制性国家标准的关系</w:t>
      </w:r>
      <w:bookmarkEnd w:id="4"/>
    </w:p>
    <w:p>
      <w:pPr>
        <w:pStyle w:val="6"/>
        <w:spacing w:line="360" w:lineRule="auto"/>
        <w:ind w:firstLine="482"/>
        <w:rPr>
          <w:rFonts w:eastAsiaTheme="minorEastAsia"/>
          <w:color w:val="000000"/>
        </w:rPr>
      </w:pPr>
      <w:r>
        <w:rPr>
          <w:rFonts w:eastAsiaTheme="minorEastAsia"/>
          <w:color w:val="000000"/>
        </w:rPr>
        <w:t>与有关的现行法律、法规和强制性国家标准具有一致性，没有冲突。</w:t>
      </w:r>
    </w:p>
    <w:p>
      <w:pPr>
        <w:widowControl/>
        <w:snapToGrid w:val="0"/>
        <w:spacing w:after="120" w:afterLines="50" w:line="360" w:lineRule="auto"/>
        <w:jc w:val="left"/>
        <w:rPr>
          <w:rFonts w:eastAsiaTheme="minorEastAsia"/>
          <w:b/>
          <w:bCs/>
          <w:kern w:val="0"/>
          <w:sz w:val="24"/>
          <w:szCs w:val="24"/>
        </w:rPr>
      </w:pPr>
      <w:bookmarkStart w:id="5" w:name="_Toc459479081"/>
      <w:bookmarkStart w:id="6" w:name="_Toc464224258"/>
      <w:r>
        <w:rPr>
          <w:rFonts w:eastAsiaTheme="minorEastAsia"/>
          <w:b/>
          <w:bCs/>
          <w:kern w:val="0"/>
          <w:sz w:val="24"/>
          <w:szCs w:val="24"/>
        </w:rPr>
        <w:t>五、重大分歧意见的处理经过和依据</w:t>
      </w:r>
      <w:bookmarkEnd w:id="5"/>
      <w:bookmarkEnd w:id="6"/>
    </w:p>
    <w:p>
      <w:pPr>
        <w:pStyle w:val="6"/>
        <w:spacing w:line="360" w:lineRule="auto"/>
        <w:ind w:firstLine="482"/>
        <w:rPr>
          <w:rFonts w:eastAsiaTheme="minorEastAsia"/>
          <w:color w:val="000000"/>
        </w:rPr>
      </w:pPr>
      <w:r>
        <w:rPr>
          <w:rFonts w:eastAsiaTheme="minorEastAsia"/>
          <w:color w:val="000000"/>
        </w:rPr>
        <w:t>无。</w:t>
      </w:r>
    </w:p>
    <w:p>
      <w:pPr>
        <w:widowControl/>
        <w:snapToGrid w:val="0"/>
        <w:spacing w:after="120" w:afterLines="50" w:line="360" w:lineRule="auto"/>
        <w:jc w:val="left"/>
        <w:rPr>
          <w:rFonts w:eastAsiaTheme="minorEastAsia"/>
          <w:b/>
          <w:bCs/>
          <w:kern w:val="0"/>
          <w:sz w:val="24"/>
          <w:szCs w:val="24"/>
        </w:rPr>
      </w:pPr>
      <w:bookmarkStart w:id="7" w:name="_Toc459479082"/>
      <w:bookmarkStart w:id="8" w:name="_Toc464224259"/>
      <w:r>
        <w:rPr>
          <w:rFonts w:eastAsiaTheme="minorEastAsia"/>
          <w:b/>
          <w:bCs/>
          <w:kern w:val="0"/>
          <w:sz w:val="24"/>
          <w:szCs w:val="24"/>
        </w:rPr>
        <w:t>六、标准作为强制性或推荐性国家标准的建议</w:t>
      </w:r>
      <w:bookmarkEnd w:id="7"/>
      <w:bookmarkEnd w:id="8"/>
    </w:p>
    <w:p>
      <w:pPr>
        <w:pStyle w:val="6"/>
        <w:spacing w:line="360" w:lineRule="auto"/>
        <w:ind w:firstLine="482"/>
        <w:rPr>
          <w:rFonts w:eastAsiaTheme="minorEastAsia"/>
          <w:color w:val="000000"/>
        </w:rPr>
      </w:pPr>
      <w:r>
        <w:rPr>
          <w:rFonts w:eastAsiaTheme="minorEastAsia"/>
          <w:color w:val="000000"/>
        </w:rPr>
        <w:t>本标准建议作为推荐性国家标准。</w:t>
      </w:r>
    </w:p>
    <w:p>
      <w:pPr>
        <w:widowControl/>
        <w:snapToGrid w:val="0"/>
        <w:spacing w:after="120" w:afterLines="50" w:line="360" w:lineRule="auto"/>
        <w:jc w:val="left"/>
        <w:rPr>
          <w:rFonts w:eastAsiaTheme="minorEastAsia"/>
          <w:b/>
          <w:bCs/>
          <w:kern w:val="0"/>
          <w:sz w:val="24"/>
          <w:szCs w:val="24"/>
        </w:rPr>
      </w:pPr>
      <w:bookmarkStart w:id="9" w:name="_Toc464224260"/>
      <w:r>
        <w:rPr>
          <w:rFonts w:eastAsiaTheme="minorEastAsia"/>
          <w:b/>
          <w:bCs/>
          <w:kern w:val="0"/>
          <w:sz w:val="24"/>
          <w:szCs w:val="24"/>
        </w:rPr>
        <w:t>七、贯彻国家标准的要求和措施建议</w:t>
      </w:r>
      <w:bookmarkEnd w:id="9"/>
    </w:p>
    <w:p>
      <w:pPr>
        <w:pStyle w:val="6"/>
        <w:spacing w:line="360" w:lineRule="auto"/>
        <w:ind w:firstLine="482"/>
        <w:rPr>
          <w:rFonts w:eastAsiaTheme="minorEastAsia"/>
          <w:color w:val="000000"/>
        </w:rPr>
      </w:pPr>
      <w:r>
        <w:rPr>
          <w:rFonts w:eastAsiaTheme="minorEastAsia"/>
          <w:color w:val="000000"/>
        </w:rPr>
        <w:t>无。</w:t>
      </w:r>
    </w:p>
    <w:p>
      <w:pPr>
        <w:widowControl/>
        <w:snapToGrid w:val="0"/>
        <w:spacing w:after="120" w:afterLines="50" w:line="360" w:lineRule="auto"/>
        <w:jc w:val="left"/>
        <w:rPr>
          <w:rFonts w:eastAsiaTheme="minorEastAsia"/>
          <w:b/>
          <w:bCs/>
          <w:kern w:val="0"/>
          <w:sz w:val="24"/>
          <w:szCs w:val="24"/>
        </w:rPr>
      </w:pPr>
      <w:bookmarkStart w:id="10" w:name="_Toc464224261"/>
      <w:r>
        <w:rPr>
          <w:rFonts w:eastAsiaTheme="minorEastAsia"/>
          <w:b/>
          <w:bCs/>
          <w:kern w:val="0"/>
          <w:sz w:val="24"/>
          <w:szCs w:val="24"/>
        </w:rPr>
        <w:t>八、废止现行有关标准的建议</w:t>
      </w:r>
      <w:bookmarkEnd w:id="10"/>
    </w:p>
    <w:p>
      <w:pPr>
        <w:pStyle w:val="6"/>
        <w:spacing w:line="360" w:lineRule="auto"/>
        <w:ind w:firstLine="482"/>
        <w:rPr>
          <w:rFonts w:eastAsiaTheme="minorEastAsia"/>
          <w:color w:val="000000"/>
        </w:rPr>
      </w:pPr>
      <w:r>
        <w:rPr>
          <w:rFonts w:eastAsiaTheme="minorEastAsia"/>
          <w:color w:val="000000"/>
        </w:rPr>
        <w:t>无。</w:t>
      </w:r>
    </w:p>
    <w:p>
      <w:pPr>
        <w:widowControl/>
        <w:snapToGrid w:val="0"/>
        <w:spacing w:after="120" w:afterLines="50" w:line="360" w:lineRule="auto"/>
        <w:jc w:val="left"/>
        <w:rPr>
          <w:rFonts w:eastAsiaTheme="minorEastAsia"/>
          <w:b/>
          <w:bCs/>
          <w:kern w:val="0"/>
          <w:sz w:val="24"/>
          <w:szCs w:val="24"/>
        </w:rPr>
      </w:pPr>
      <w:r>
        <w:rPr>
          <w:rFonts w:eastAsiaTheme="minorEastAsia"/>
          <w:b/>
          <w:bCs/>
          <w:kern w:val="0"/>
          <w:sz w:val="24"/>
          <w:szCs w:val="24"/>
        </w:rPr>
        <w:t>九、其他应予以说明的事项</w:t>
      </w:r>
    </w:p>
    <w:p>
      <w:pPr>
        <w:pStyle w:val="6"/>
        <w:spacing w:line="360" w:lineRule="auto"/>
        <w:ind w:firstLine="482"/>
        <w:rPr>
          <w:rFonts w:eastAsiaTheme="minorEastAsia"/>
          <w:color w:val="000000"/>
        </w:rPr>
      </w:pPr>
      <w:r>
        <w:rPr>
          <w:rFonts w:eastAsiaTheme="minorEastAsia"/>
          <w:color w:val="000000"/>
        </w:rPr>
        <w:t>无。</w:t>
      </w:r>
    </w:p>
    <w:p>
      <w:pPr>
        <w:widowControl/>
        <w:snapToGrid w:val="0"/>
        <w:spacing w:after="120" w:afterLines="50" w:line="360" w:lineRule="auto"/>
        <w:jc w:val="left"/>
        <w:rPr>
          <w:rFonts w:eastAsiaTheme="minorEastAsia"/>
          <w:b/>
          <w:bCs/>
          <w:kern w:val="0"/>
          <w:sz w:val="24"/>
          <w:szCs w:val="24"/>
        </w:rPr>
      </w:pPr>
      <w:r>
        <w:rPr>
          <w:rFonts w:eastAsiaTheme="minorEastAsia"/>
          <w:b/>
          <w:bCs/>
          <w:kern w:val="0"/>
          <w:sz w:val="24"/>
          <w:szCs w:val="24"/>
        </w:rPr>
        <w:t>十、预期效果</w:t>
      </w:r>
      <w:bookmarkEnd w:id="3"/>
    </w:p>
    <w:p>
      <w:pPr>
        <w:pStyle w:val="6"/>
        <w:spacing w:line="360" w:lineRule="auto"/>
        <w:ind w:firstLine="482"/>
        <w:rPr>
          <w:rFonts w:eastAsiaTheme="minorEastAsia"/>
          <w:color w:val="000000"/>
        </w:rPr>
      </w:pPr>
      <w:r>
        <w:rPr>
          <w:rFonts w:eastAsiaTheme="minorEastAsia"/>
          <w:color w:val="000000"/>
        </w:rPr>
        <w:t>国家标准</w:t>
      </w:r>
      <w:r>
        <w:rPr>
          <w:rFonts w:eastAsiaTheme="minorEastAsia"/>
        </w:rPr>
        <w:t>《烧结金属材料规范》</w:t>
      </w:r>
      <w:r>
        <w:rPr>
          <w:rFonts w:eastAsiaTheme="minorEastAsia"/>
          <w:color w:val="000000"/>
        </w:rPr>
        <w:t>的</w:t>
      </w:r>
      <w:r>
        <w:rPr>
          <w:rFonts w:hint="eastAsia"/>
          <w:szCs w:val="21"/>
        </w:rPr>
        <w:t>修订，有利于进一步完善规范烧结金属材料的化学成分和物理力学性能，促进材料行业发展。同时对粉末冶金和材料专业的教学具有指导意义、为学术交流、学科发展产生积极的影响。</w:t>
      </w:r>
    </w:p>
    <w:p>
      <w:pPr>
        <w:spacing w:before="100" w:beforeAutospacing="1" w:after="100" w:afterAutospacing="1" w:line="360" w:lineRule="auto"/>
        <w:ind w:firstLine="5040" w:firstLineChars="2100"/>
        <w:rPr>
          <w:rFonts w:eastAsiaTheme="minorEastAsia"/>
          <w:sz w:val="24"/>
          <w:szCs w:val="24"/>
        </w:rPr>
      </w:pPr>
      <w:r>
        <w:rPr>
          <w:rFonts w:eastAsiaTheme="minorEastAsia"/>
          <w:sz w:val="24"/>
          <w:szCs w:val="24"/>
        </w:rPr>
        <w:t>《烧结技术材料规范》标准编制组</w:t>
      </w:r>
    </w:p>
    <w:p>
      <w:pPr>
        <w:tabs>
          <w:tab w:val="left" w:pos="5265"/>
        </w:tabs>
        <w:spacing w:line="360" w:lineRule="auto"/>
        <w:jc w:val="right"/>
        <w:rPr>
          <w:rFonts w:eastAsiaTheme="minorEastAsia"/>
          <w:sz w:val="24"/>
          <w:szCs w:val="24"/>
        </w:rPr>
      </w:pPr>
      <w:r>
        <w:rPr>
          <w:rFonts w:eastAsiaTheme="minorEastAsia"/>
          <w:sz w:val="24"/>
          <w:szCs w:val="24"/>
        </w:rPr>
        <w:t>202</w:t>
      </w:r>
      <w:r>
        <w:rPr>
          <w:rFonts w:hint="eastAsia" w:eastAsiaTheme="minorEastAsia"/>
          <w:sz w:val="24"/>
          <w:szCs w:val="24"/>
        </w:rPr>
        <w:t>1</w:t>
      </w:r>
      <w:r>
        <w:rPr>
          <w:rFonts w:eastAsiaTheme="minorEastAsia"/>
          <w:sz w:val="24"/>
          <w:szCs w:val="24"/>
        </w:rPr>
        <w:t>年</w:t>
      </w:r>
      <w:r>
        <w:rPr>
          <w:rFonts w:hint="eastAsia" w:eastAsiaTheme="minorEastAsia"/>
          <w:sz w:val="24"/>
          <w:szCs w:val="24"/>
        </w:rPr>
        <w:t>3</w:t>
      </w:r>
      <w:r>
        <w:rPr>
          <w:rFonts w:eastAsiaTheme="minorEastAsia"/>
          <w:sz w:val="24"/>
          <w:szCs w:val="24"/>
        </w:rPr>
        <w:t>月</w:t>
      </w:r>
      <w:r>
        <w:rPr>
          <w:rFonts w:hint="eastAsia" w:eastAsiaTheme="minorEastAsia"/>
          <w:sz w:val="24"/>
          <w:szCs w:val="24"/>
        </w:rPr>
        <w:t>5</w:t>
      </w:r>
      <w:r>
        <w:rPr>
          <w:rFonts w:eastAsiaTheme="minorEastAsia"/>
          <w:sz w:val="24"/>
          <w:szCs w:val="24"/>
        </w:rPr>
        <w:t>日</w:t>
      </w:r>
    </w:p>
    <w:p>
      <w:pPr>
        <w:tabs>
          <w:tab w:val="left" w:pos="5265"/>
        </w:tabs>
        <w:spacing w:line="360" w:lineRule="auto"/>
        <w:jc w:val="left"/>
        <w:rPr>
          <w:rFonts w:eastAsiaTheme="minorEastAsia"/>
          <w:color w:val="FF0000"/>
          <w:sz w:val="24"/>
          <w:szCs w:val="24"/>
        </w:rPr>
      </w:pPr>
    </w:p>
    <w:sectPr>
      <w:footerReference r:id="rId6" w:type="first"/>
      <w:pgSz w:w="11906" w:h="16838"/>
      <w:pgMar w:top="1440" w:right="1440" w:bottom="1440" w:left="1440" w:header="851" w:footer="992" w:gutter="284"/>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2"/>
      </w:rPr>
      <w:fldChar w:fldCharType="begin"/>
    </w:r>
    <w:r>
      <w:rPr>
        <w:rStyle w:val="22"/>
      </w:rPr>
      <w:instrText xml:space="preserve"> PAGE </w:instrText>
    </w:r>
    <w:r>
      <w:rPr>
        <w:rStyle w:val="22"/>
      </w:rPr>
      <w:fldChar w:fldCharType="separate"/>
    </w:r>
    <w:r>
      <w:rPr>
        <w:rStyle w:val="22"/>
      </w:rPr>
      <w:t>7</w:t>
    </w:r>
    <w:r>
      <w:rPr>
        <w:rStyle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2"/>
      </w:rPr>
      <w:fldChar w:fldCharType="begin"/>
    </w:r>
    <w:r>
      <w:rPr>
        <w:rStyle w:val="22"/>
      </w:rPr>
      <w:instrText xml:space="preserve"> PAGE </w:instrText>
    </w:r>
    <w:r>
      <w:rPr>
        <w:rStyle w:val="22"/>
      </w:rPr>
      <w:fldChar w:fldCharType="separate"/>
    </w:r>
    <w:r>
      <w:rPr>
        <w:rStyle w:val="22"/>
      </w:rPr>
      <w:t>2</w:t>
    </w:r>
    <w:r>
      <w:rPr>
        <w:rStyle w:val="2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91"/>
    <w:rsid w:val="00001E69"/>
    <w:rsid w:val="000065FF"/>
    <w:rsid w:val="000069BF"/>
    <w:rsid w:val="000103A7"/>
    <w:rsid w:val="00011673"/>
    <w:rsid w:val="0001496C"/>
    <w:rsid w:val="000203B8"/>
    <w:rsid w:val="00020EC9"/>
    <w:rsid w:val="00023F1E"/>
    <w:rsid w:val="000246B4"/>
    <w:rsid w:val="0002694D"/>
    <w:rsid w:val="00027ACA"/>
    <w:rsid w:val="00031108"/>
    <w:rsid w:val="00031667"/>
    <w:rsid w:val="0003197F"/>
    <w:rsid w:val="00031FB4"/>
    <w:rsid w:val="00033A81"/>
    <w:rsid w:val="00037036"/>
    <w:rsid w:val="00042AF3"/>
    <w:rsid w:val="00052272"/>
    <w:rsid w:val="000523C2"/>
    <w:rsid w:val="00054CB6"/>
    <w:rsid w:val="00060ACB"/>
    <w:rsid w:val="00064F8E"/>
    <w:rsid w:val="000670DD"/>
    <w:rsid w:val="00067E0E"/>
    <w:rsid w:val="00076271"/>
    <w:rsid w:val="0008196F"/>
    <w:rsid w:val="00084237"/>
    <w:rsid w:val="000876D8"/>
    <w:rsid w:val="000879D3"/>
    <w:rsid w:val="00090C88"/>
    <w:rsid w:val="000912D2"/>
    <w:rsid w:val="00093C42"/>
    <w:rsid w:val="000953BF"/>
    <w:rsid w:val="00095952"/>
    <w:rsid w:val="00097F47"/>
    <w:rsid w:val="000A4DCB"/>
    <w:rsid w:val="000B024B"/>
    <w:rsid w:val="000B3A6D"/>
    <w:rsid w:val="000C119F"/>
    <w:rsid w:val="000C1D62"/>
    <w:rsid w:val="000C5E00"/>
    <w:rsid w:val="000C5F91"/>
    <w:rsid w:val="000D1596"/>
    <w:rsid w:val="000E0C13"/>
    <w:rsid w:val="000E4254"/>
    <w:rsid w:val="000E6195"/>
    <w:rsid w:val="000E6B3A"/>
    <w:rsid w:val="000F1314"/>
    <w:rsid w:val="000F145B"/>
    <w:rsid w:val="000F44B8"/>
    <w:rsid w:val="000F6B19"/>
    <w:rsid w:val="00101925"/>
    <w:rsid w:val="00103FBC"/>
    <w:rsid w:val="00112C47"/>
    <w:rsid w:val="001141C1"/>
    <w:rsid w:val="00114294"/>
    <w:rsid w:val="00115BFA"/>
    <w:rsid w:val="001177C8"/>
    <w:rsid w:val="00123138"/>
    <w:rsid w:val="00123FDE"/>
    <w:rsid w:val="00124A0C"/>
    <w:rsid w:val="0012567B"/>
    <w:rsid w:val="00133DAF"/>
    <w:rsid w:val="0013604B"/>
    <w:rsid w:val="00143756"/>
    <w:rsid w:val="00143D9A"/>
    <w:rsid w:val="00146631"/>
    <w:rsid w:val="00146AF4"/>
    <w:rsid w:val="00146C09"/>
    <w:rsid w:val="00152077"/>
    <w:rsid w:val="00156FBB"/>
    <w:rsid w:val="001664B1"/>
    <w:rsid w:val="00166E44"/>
    <w:rsid w:val="00174744"/>
    <w:rsid w:val="00177A43"/>
    <w:rsid w:val="00177C84"/>
    <w:rsid w:val="001832B1"/>
    <w:rsid w:val="00186215"/>
    <w:rsid w:val="001866F3"/>
    <w:rsid w:val="00191E51"/>
    <w:rsid w:val="00195AAF"/>
    <w:rsid w:val="001B04A5"/>
    <w:rsid w:val="001B742F"/>
    <w:rsid w:val="001C103A"/>
    <w:rsid w:val="001C45BA"/>
    <w:rsid w:val="001C4B09"/>
    <w:rsid w:val="001C58D9"/>
    <w:rsid w:val="001D0DC0"/>
    <w:rsid w:val="001D25B3"/>
    <w:rsid w:val="001E14EA"/>
    <w:rsid w:val="001F0283"/>
    <w:rsid w:val="001F53EB"/>
    <w:rsid w:val="001F54FA"/>
    <w:rsid w:val="001F6EDE"/>
    <w:rsid w:val="002001F6"/>
    <w:rsid w:val="0020325B"/>
    <w:rsid w:val="002057E4"/>
    <w:rsid w:val="00211D7F"/>
    <w:rsid w:val="00211FFE"/>
    <w:rsid w:val="002138BA"/>
    <w:rsid w:val="00214295"/>
    <w:rsid w:val="0021474E"/>
    <w:rsid w:val="002177CA"/>
    <w:rsid w:val="00221001"/>
    <w:rsid w:val="00230A46"/>
    <w:rsid w:val="00232A51"/>
    <w:rsid w:val="00233D7F"/>
    <w:rsid w:val="00234ED7"/>
    <w:rsid w:val="00240429"/>
    <w:rsid w:val="00241F90"/>
    <w:rsid w:val="00244180"/>
    <w:rsid w:val="00252851"/>
    <w:rsid w:val="0025462A"/>
    <w:rsid w:val="00264B5B"/>
    <w:rsid w:val="00267DB0"/>
    <w:rsid w:val="00273B08"/>
    <w:rsid w:val="00274084"/>
    <w:rsid w:val="00274824"/>
    <w:rsid w:val="00275624"/>
    <w:rsid w:val="00280356"/>
    <w:rsid w:val="002925AC"/>
    <w:rsid w:val="002B0CE2"/>
    <w:rsid w:val="002B3198"/>
    <w:rsid w:val="002C6437"/>
    <w:rsid w:val="002D2499"/>
    <w:rsid w:val="002D5A9C"/>
    <w:rsid w:val="002D6464"/>
    <w:rsid w:val="002E081C"/>
    <w:rsid w:val="002E205D"/>
    <w:rsid w:val="002E5CD5"/>
    <w:rsid w:val="002E6BAA"/>
    <w:rsid w:val="002F10F0"/>
    <w:rsid w:val="002F58AB"/>
    <w:rsid w:val="00301D2E"/>
    <w:rsid w:val="00304CE9"/>
    <w:rsid w:val="0031221F"/>
    <w:rsid w:val="0031224C"/>
    <w:rsid w:val="003177DC"/>
    <w:rsid w:val="00325E43"/>
    <w:rsid w:val="00326279"/>
    <w:rsid w:val="00327327"/>
    <w:rsid w:val="00334FAD"/>
    <w:rsid w:val="00340F45"/>
    <w:rsid w:val="00341506"/>
    <w:rsid w:val="003432A8"/>
    <w:rsid w:val="0034360F"/>
    <w:rsid w:val="00344F1B"/>
    <w:rsid w:val="00350808"/>
    <w:rsid w:val="003617D1"/>
    <w:rsid w:val="003622AC"/>
    <w:rsid w:val="00362EA0"/>
    <w:rsid w:val="003638E1"/>
    <w:rsid w:val="00364632"/>
    <w:rsid w:val="00370C26"/>
    <w:rsid w:val="0038427B"/>
    <w:rsid w:val="00391D56"/>
    <w:rsid w:val="00394398"/>
    <w:rsid w:val="003A19A9"/>
    <w:rsid w:val="003A3394"/>
    <w:rsid w:val="003A4422"/>
    <w:rsid w:val="003A5C87"/>
    <w:rsid w:val="003A70C6"/>
    <w:rsid w:val="003B36D4"/>
    <w:rsid w:val="003B36E9"/>
    <w:rsid w:val="003B5623"/>
    <w:rsid w:val="003C0804"/>
    <w:rsid w:val="003C0827"/>
    <w:rsid w:val="003C0FCD"/>
    <w:rsid w:val="003C777A"/>
    <w:rsid w:val="003D4D85"/>
    <w:rsid w:val="003D66B7"/>
    <w:rsid w:val="003D74CD"/>
    <w:rsid w:val="003D7C65"/>
    <w:rsid w:val="003E1FAD"/>
    <w:rsid w:val="003E2022"/>
    <w:rsid w:val="003E5707"/>
    <w:rsid w:val="003E62CB"/>
    <w:rsid w:val="003E6E31"/>
    <w:rsid w:val="00401B8F"/>
    <w:rsid w:val="00407FDE"/>
    <w:rsid w:val="004120D0"/>
    <w:rsid w:val="0041262F"/>
    <w:rsid w:val="0041375C"/>
    <w:rsid w:val="0042068C"/>
    <w:rsid w:val="00422A79"/>
    <w:rsid w:val="00424C60"/>
    <w:rsid w:val="00430A2C"/>
    <w:rsid w:val="00442F9E"/>
    <w:rsid w:val="004445EC"/>
    <w:rsid w:val="00444963"/>
    <w:rsid w:val="004449C0"/>
    <w:rsid w:val="00453846"/>
    <w:rsid w:val="00455333"/>
    <w:rsid w:val="00455DE8"/>
    <w:rsid w:val="00460C2D"/>
    <w:rsid w:val="00460CFD"/>
    <w:rsid w:val="004622E1"/>
    <w:rsid w:val="00462E6D"/>
    <w:rsid w:val="00467B1E"/>
    <w:rsid w:val="004715DB"/>
    <w:rsid w:val="0048200E"/>
    <w:rsid w:val="00490289"/>
    <w:rsid w:val="00493D64"/>
    <w:rsid w:val="0049466B"/>
    <w:rsid w:val="00494C81"/>
    <w:rsid w:val="0049723F"/>
    <w:rsid w:val="004A17FC"/>
    <w:rsid w:val="004A74E6"/>
    <w:rsid w:val="004B31AB"/>
    <w:rsid w:val="004B56DD"/>
    <w:rsid w:val="004C4F10"/>
    <w:rsid w:val="004D7BD4"/>
    <w:rsid w:val="004E23EE"/>
    <w:rsid w:val="004E2C77"/>
    <w:rsid w:val="004E467B"/>
    <w:rsid w:val="004F022D"/>
    <w:rsid w:val="004F1A3E"/>
    <w:rsid w:val="00500709"/>
    <w:rsid w:val="0050085A"/>
    <w:rsid w:val="005011D5"/>
    <w:rsid w:val="0050307C"/>
    <w:rsid w:val="00507993"/>
    <w:rsid w:val="005154DC"/>
    <w:rsid w:val="00521A36"/>
    <w:rsid w:val="005230CF"/>
    <w:rsid w:val="005233DC"/>
    <w:rsid w:val="0052387C"/>
    <w:rsid w:val="00525CDC"/>
    <w:rsid w:val="0052790E"/>
    <w:rsid w:val="00533A8F"/>
    <w:rsid w:val="005407FF"/>
    <w:rsid w:val="0054085B"/>
    <w:rsid w:val="00541667"/>
    <w:rsid w:val="00543C22"/>
    <w:rsid w:val="00545BEE"/>
    <w:rsid w:val="00546461"/>
    <w:rsid w:val="00547309"/>
    <w:rsid w:val="005479B6"/>
    <w:rsid w:val="00550481"/>
    <w:rsid w:val="005518D5"/>
    <w:rsid w:val="00551A5F"/>
    <w:rsid w:val="0055385D"/>
    <w:rsid w:val="00554184"/>
    <w:rsid w:val="00554E48"/>
    <w:rsid w:val="00560087"/>
    <w:rsid w:val="00565254"/>
    <w:rsid w:val="0057026C"/>
    <w:rsid w:val="005709F3"/>
    <w:rsid w:val="00573A8D"/>
    <w:rsid w:val="0057567D"/>
    <w:rsid w:val="00580EF3"/>
    <w:rsid w:val="005848FB"/>
    <w:rsid w:val="005862CD"/>
    <w:rsid w:val="00586BF9"/>
    <w:rsid w:val="0058765B"/>
    <w:rsid w:val="00591351"/>
    <w:rsid w:val="005A1CBB"/>
    <w:rsid w:val="005A53A3"/>
    <w:rsid w:val="005B0476"/>
    <w:rsid w:val="005B2562"/>
    <w:rsid w:val="005B51F8"/>
    <w:rsid w:val="005C1630"/>
    <w:rsid w:val="005C2242"/>
    <w:rsid w:val="005C7852"/>
    <w:rsid w:val="005C78A0"/>
    <w:rsid w:val="005C7FE7"/>
    <w:rsid w:val="005D49AB"/>
    <w:rsid w:val="005E1A13"/>
    <w:rsid w:val="005E329F"/>
    <w:rsid w:val="005E42E2"/>
    <w:rsid w:val="005E6797"/>
    <w:rsid w:val="005F1848"/>
    <w:rsid w:val="005F3F9E"/>
    <w:rsid w:val="005F4725"/>
    <w:rsid w:val="005F4A9A"/>
    <w:rsid w:val="005F4E49"/>
    <w:rsid w:val="005F5F29"/>
    <w:rsid w:val="00600065"/>
    <w:rsid w:val="006020DB"/>
    <w:rsid w:val="006032D8"/>
    <w:rsid w:val="006056EE"/>
    <w:rsid w:val="00611A0E"/>
    <w:rsid w:val="00613DA4"/>
    <w:rsid w:val="006157C1"/>
    <w:rsid w:val="00623E56"/>
    <w:rsid w:val="00627384"/>
    <w:rsid w:val="00635EEB"/>
    <w:rsid w:val="00637CCD"/>
    <w:rsid w:val="006400A8"/>
    <w:rsid w:val="0064113C"/>
    <w:rsid w:val="00643878"/>
    <w:rsid w:val="006453CE"/>
    <w:rsid w:val="00645F29"/>
    <w:rsid w:val="0064625C"/>
    <w:rsid w:val="006476CD"/>
    <w:rsid w:val="006521C3"/>
    <w:rsid w:val="0065771B"/>
    <w:rsid w:val="00660147"/>
    <w:rsid w:val="00660B61"/>
    <w:rsid w:val="00660F0B"/>
    <w:rsid w:val="00661EE2"/>
    <w:rsid w:val="006652D8"/>
    <w:rsid w:val="00670DE8"/>
    <w:rsid w:val="00677211"/>
    <w:rsid w:val="00684ECE"/>
    <w:rsid w:val="0068550A"/>
    <w:rsid w:val="006917BD"/>
    <w:rsid w:val="00692468"/>
    <w:rsid w:val="006929ED"/>
    <w:rsid w:val="006948C4"/>
    <w:rsid w:val="006A3647"/>
    <w:rsid w:val="006A5836"/>
    <w:rsid w:val="006A5CB8"/>
    <w:rsid w:val="006A741D"/>
    <w:rsid w:val="006A7439"/>
    <w:rsid w:val="006A761C"/>
    <w:rsid w:val="006B4B25"/>
    <w:rsid w:val="006B5486"/>
    <w:rsid w:val="006B7081"/>
    <w:rsid w:val="006C2418"/>
    <w:rsid w:val="006C34CD"/>
    <w:rsid w:val="006C4A21"/>
    <w:rsid w:val="006C5B81"/>
    <w:rsid w:val="006C5CD9"/>
    <w:rsid w:val="006C6BF0"/>
    <w:rsid w:val="006D2A8D"/>
    <w:rsid w:val="006D6282"/>
    <w:rsid w:val="006D67AB"/>
    <w:rsid w:val="006E6972"/>
    <w:rsid w:val="006E7F0C"/>
    <w:rsid w:val="006F1050"/>
    <w:rsid w:val="006F3C84"/>
    <w:rsid w:val="007020AC"/>
    <w:rsid w:val="0070467E"/>
    <w:rsid w:val="007058AC"/>
    <w:rsid w:val="00707C1A"/>
    <w:rsid w:val="00717801"/>
    <w:rsid w:val="007248C8"/>
    <w:rsid w:val="007261B7"/>
    <w:rsid w:val="00731AF1"/>
    <w:rsid w:val="00741027"/>
    <w:rsid w:val="00743CCC"/>
    <w:rsid w:val="00743CD9"/>
    <w:rsid w:val="00744471"/>
    <w:rsid w:val="007447E3"/>
    <w:rsid w:val="00751BAD"/>
    <w:rsid w:val="00751E5C"/>
    <w:rsid w:val="00762268"/>
    <w:rsid w:val="00774C1B"/>
    <w:rsid w:val="00774F44"/>
    <w:rsid w:val="007755EE"/>
    <w:rsid w:val="0078044B"/>
    <w:rsid w:val="007833BA"/>
    <w:rsid w:val="00783E85"/>
    <w:rsid w:val="007932D4"/>
    <w:rsid w:val="00794DC7"/>
    <w:rsid w:val="00796D69"/>
    <w:rsid w:val="007A0D2D"/>
    <w:rsid w:val="007B4D33"/>
    <w:rsid w:val="007B6EF8"/>
    <w:rsid w:val="007C4399"/>
    <w:rsid w:val="007C69DD"/>
    <w:rsid w:val="007D6451"/>
    <w:rsid w:val="007E03E3"/>
    <w:rsid w:val="007E4790"/>
    <w:rsid w:val="007E489D"/>
    <w:rsid w:val="007E59AF"/>
    <w:rsid w:val="007E6D64"/>
    <w:rsid w:val="008049A3"/>
    <w:rsid w:val="0080653F"/>
    <w:rsid w:val="00813251"/>
    <w:rsid w:val="008155DC"/>
    <w:rsid w:val="00823047"/>
    <w:rsid w:val="0082347B"/>
    <w:rsid w:val="0082491B"/>
    <w:rsid w:val="008256A8"/>
    <w:rsid w:val="008278BE"/>
    <w:rsid w:val="00827B80"/>
    <w:rsid w:val="008300B3"/>
    <w:rsid w:val="00832775"/>
    <w:rsid w:val="008331B0"/>
    <w:rsid w:val="00834186"/>
    <w:rsid w:val="0083477A"/>
    <w:rsid w:val="00836370"/>
    <w:rsid w:val="00837CB1"/>
    <w:rsid w:val="008426C8"/>
    <w:rsid w:val="00846C83"/>
    <w:rsid w:val="00847B3E"/>
    <w:rsid w:val="00852C29"/>
    <w:rsid w:val="008560E3"/>
    <w:rsid w:val="0085639A"/>
    <w:rsid w:val="00861A27"/>
    <w:rsid w:val="008632A3"/>
    <w:rsid w:val="0086690A"/>
    <w:rsid w:val="008705AE"/>
    <w:rsid w:val="00870EE2"/>
    <w:rsid w:val="0087181E"/>
    <w:rsid w:val="0088074B"/>
    <w:rsid w:val="00881AEF"/>
    <w:rsid w:val="00883CA6"/>
    <w:rsid w:val="00895DC1"/>
    <w:rsid w:val="00896D6F"/>
    <w:rsid w:val="008A33E7"/>
    <w:rsid w:val="008A3F66"/>
    <w:rsid w:val="008B45CA"/>
    <w:rsid w:val="008B5AD7"/>
    <w:rsid w:val="008C0171"/>
    <w:rsid w:val="008C5F0C"/>
    <w:rsid w:val="008D1579"/>
    <w:rsid w:val="008D5FF2"/>
    <w:rsid w:val="008E2733"/>
    <w:rsid w:val="008E370E"/>
    <w:rsid w:val="008E382B"/>
    <w:rsid w:val="008F02D8"/>
    <w:rsid w:val="008F3E78"/>
    <w:rsid w:val="00902B09"/>
    <w:rsid w:val="00904B4C"/>
    <w:rsid w:val="009065E8"/>
    <w:rsid w:val="00911ADC"/>
    <w:rsid w:val="00915C58"/>
    <w:rsid w:val="0092558F"/>
    <w:rsid w:val="00931255"/>
    <w:rsid w:val="00932C2F"/>
    <w:rsid w:val="00934285"/>
    <w:rsid w:val="009426CB"/>
    <w:rsid w:val="0094359E"/>
    <w:rsid w:val="0094643F"/>
    <w:rsid w:val="00952F40"/>
    <w:rsid w:val="0096001F"/>
    <w:rsid w:val="00960F08"/>
    <w:rsid w:val="0096291E"/>
    <w:rsid w:val="00963104"/>
    <w:rsid w:val="00964A48"/>
    <w:rsid w:val="00967750"/>
    <w:rsid w:val="00971312"/>
    <w:rsid w:val="00972909"/>
    <w:rsid w:val="009A025C"/>
    <w:rsid w:val="009A60D8"/>
    <w:rsid w:val="009A637A"/>
    <w:rsid w:val="009A64EE"/>
    <w:rsid w:val="009A6961"/>
    <w:rsid w:val="009B0464"/>
    <w:rsid w:val="009B0B43"/>
    <w:rsid w:val="009B1367"/>
    <w:rsid w:val="009B1C02"/>
    <w:rsid w:val="009B3C73"/>
    <w:rsid w:val="009C038D"/>
    <w:rsid w:val="009C2BA4"/>
    <w:rsid w:val="009C4431"/>
    <w:rsid w:val="009D14B2"/>
    <w:rsid w:val="009D3CA1"/>
    <w:rsid w:val="009D47F1"/>
    <w:rsid w:val="009D645F"/>
    <w:rsid w:val="009E0114"/>
    <w:rsid w:val="009E2AE2"/>
    <w:rsid w:val="009F002D"/>
    <w:rsid w:val="009F0120"/>
    <w:rsid w:val="009F222E"/>
    <w:rsid w:val="009F2B8B"/>
    <w:rsid w:val="00A03584"/>
    <w:rsid w:val="00A10682"/>
    <w:rsid w:val="00A23C2F"/>
    <w:rsid w:val="00A26A03"/>
    <w:rsid w:val="00A30DCA"/>
    <w:rsid w:val="00A335E6"/>
    <w:rsid w:val="00A3409E"/>
    <w:rsid w:val="00A35E01"/>
    <w:rsid w:val="00A36945"/>
    <w:rsid w:val="00A41D8C"/>
    <w:rsid w:val="00A44D3D"/>
    <w:rsid w:val="00A4592A"/>
    <w:rsid w:val="00A50D11"/>
    <w:rsid w:val="00A52F32"/>
    <w:rsid w:val="00A56FAA"/>
    <w:rsid w:val="00A64D54"/>
    <w:rsid w:val="00A6502C"/>
    <w:rsid w:val="00A74C0F"/>
    <w:rsid w:val="00A851C6"/>
    <w:rsid w:val="00A87AEC"/>
    <w:rsid w:val="00A9122D"/>
    <w:rsid w:val="00A91D0E"/>
    <w:rsid w:val="00A94E65"/>
    <w:rsid w:val="00A96B4F"/>
    <w:rsid w:val="00AA15E0"/>
    <w:rsid w:val="00AA1C74"/>
    <w:rsid w:val="00AA3BCD"/>
    <w:rsid w:val="00AA3CDC"/>
    <w:rsid w:val="00AA4083"/>
    <w:rsid w:val="00AB35E5"/>
    <w:rsid w:val="00AB4005"/>
    <w:rsid w:val="00AB459D"/>
    <w:rsid w:val="00AC2858"/>
    <w:rsid w:val="00AC3BD1"/>
    <w:rsid w:val="00AC667B"/>
    <w:rsid w:val="00AC7658"/>
    <w:rsid w:val="00AD1575"/>
    <w:rsid w:val="00AD5B6F"/>
    <w:rsid w:val="00AD6CFB"/>
    <w:rsid w:val="00AD7994"/>
    <w:rsid w:val="00AE1F10"/>
    <w:rsid w:val="00AE2A0C"/>
    <w:rsid w:val="00AE40A0"/>
    <w:rsid w:val="00AF0949"/>
    <w:rsid w:val="00AF1927"/>
    <w:rsid w:val="00AF4872"/>
    <w:rsid w:val="00AF6132"/>
    <w:rsid w:val="00AF67C2"/>
    <w:rsid w:val="00AF68AF"/>
    <w:rsid w:val="00AF6C51"/>
    <w:rsid w:val="00AF724E"/>
    <w:rsid w:val="00B00F02"/>
    <w:rsid w:val="00B01D16"/>
    <w:rsid w:val="00B0305C"/>
    <w:rsid w:val="00B051AD"/>
    <w:rsid w:val="00B10D5D"/>
    <w:rsid w:val="00B14FD0"/>
    <w:rsid w:val="00B15BC0"/>
    <w:rsid w:val="00B17A1B"/>
    <w:rsid w:val="00B20210"/>
    <w:rsid w:val="00B22B34"/>
    <w:rsid w:val="00B249A6"/>
    <w:rsid w:val="00B2501F"/>
    <w:rsid w:val="00B27391"/>
    <w:rsid w:val="00B31247"/>
    <w:rsid w:val="00B34FB3"/>
    <w:rsid w:val="00B369E2"/>
    <w:rsid w:val="00B36FFB"/>
    <w:rsid w:val="00B419F9"/>
    <w:rsid w:val="00B43699"/>
    <w:rsid w:val="00B436F8"/>
    <w:rsid w:val="00B467B5"/>
    <w:rsid w:val="00B519D9"/>
    <w:rsid w:val="00B52668"/>
    <w:rsid w:val="00B55E3E"/>
    <w:rsid w:val="00B6333A"/>
    <w:rsid w:val="00B6511C"/>
    <w:rsid w:val="00B70817"/>
    <w:rsid w:val="00B70C99"/>
    <w:rsid w:val="00B735A9"/>
    <w:rsid w:val="00B74FF4"/>
    <w:rsid w:val="00B77406"/>
    <w:rsid w:val="00B77630"/>
    <w:rsid w:val="00B83DB3"/>
    <w:rsid w:val="00B90988"/>
    <w:rsid w:val="00B93D29"/>
    <w:rsid w:val="00B9716D"/>
    <w:rsid w:val="00BA1DCF"/>
    <w:rsid w:val="00BA20DA"/>
    <w:rsid w:val="00BA73F8"/>
    <w:rsid w:val="00BB185A"/>
    <w:rsid w:val="00BB30EB"/>
    <w:rsid w:val="00BB6626"/>
    <w:rsid w:val="00BC3D8A"/>
    <w:rsid w:val="00BC4AFB"/>
    <w:rsid w:val="00BC6527"/>
    <w:rsid w:val="00BD062A"/>
    <w:rsid w:val="00BD1FB5"/>
    <w:rsid w:val="00BD2B7B"/>
    <w:rsid w:val="00BE1ADC"/>
    <w:rsid w:val="00BF25B4"/>
    <w:rsid w:val="00BF27E9"/>
    <w:rsid w:val="00BF6CA9"/>
    <w:rsid w:val="00C056E8"/>
    <w:rsid w:val="00C10BEF"/>
    <w:rsid w:val="00C134F1"/>
    <w:rsid w:val="00C15A17"/>
    <w:rsid w:val="00C222CF"/>
    <w:rsid w:val="00C22E7F"/>
    <w:rsid w:val="00C241EE"/>
    <w:rsid w:val="00C24D05"/>
    <w:rsid w:val="00C26C6B"/>
    <w:rsid w:val="00C36983"/>
    <w:rsid w:val="00C40B76"/>
    <w:rsid w:val="00C40E26"/>
    <w:rsid w:val="00C41439"/>
    <w:rsid w:val="00C428F6"/>
    <w:rsid w:val="00C4379B"/>
    <w:rsid w:val="00C472DD"/>
    <w:rsid w:val="00C50F17"/>
    <w:rsid w:val="00C55488"/>
    <w:rsid w:val="00C610F1"/>
    <w:rsid w:val="00C63A51"/>
    <w:rsid w:val="00C640FC"/>
    <w:rsid w:val="00C64F02"/>
    <w:rsid w:val="00C67863"/>
    <w:rsid w:val="00C70F26"/>
    <w:rsid w:val="00C70F41"/>
    <w:rsid w:val="00C74E48"/>
    <w:rsid w:val="00C764C8"/>
    <w:rsid w:val="00C76701"/>
    <w:rsid w:val="00C76F30"/>
    <w:rsid w:val="00C77BAB"/>
    <w:rsid w:val="00C80343"/>
    <w:rsid w:val="00C81FA0"/>
    <w:rsid w:val="00C830AD"/>
    <w:rsid w:val="00C83AE3"/>
    <w:rsid w:val="00C87225"/>
    <w:rsid w:val="00C91297"/>
    <w:rsid w:val="00C960F6"/>
    <w:rsid w:val="00C972C9"/>
    <w:rsid w:val="00CA0F31"/>
    <w:rsid w:val="00CB0922"/>
    <w:rsid w:val="00CB204F"/>
    <w:rsid w:val="00CB36DF"/>
    <w:rsid w:val="00CB5FDA"/>
    <w:rsid w:val="00CB6B30"/>
    <w:rsid w:val="00CC0219"/>
    <w:rsid w:val="00CC0EE6"/>
    <w:rsid w:val="00CC1A20"/>
    <w:rsid w:val="00CC2278"/>
    <w:rsid w:val="00CD0E13"/>
    <w:rsid w:val="00CD7E5A"/>
    <w:rsid w:val="00CE0F04"/>
    <w:rsid w:val="00CE1A03"/>
    <w:rsid w:val="00CE76C8"/>
    <w:rsid w:val="00CE794E"/>
    <w:rsid w:val="00CF7266"/>
    <w:rsid w:val="00D0032E"/>
    <w:rsid w:val="00D00593"/>
    <w:rsid w:val="00D05F12"/>
    <w:rsid w:val="00D071AC"/>
    <w:rsid w:val="00D11CFF"/>
    <w:rsid w:val="00D25B5F"/>
    <w:rsid w:val="00D31BA3"/>
    <w:rsid w:val="00D33E48"/>
    <w:rsid w:val="00D40618"/>
    <w:rsid w:val="00D42EA7"/>
    <w:rsid w:val="00D46A88"/>
    <w:rsid w:val="00D47866"/>
    <w:rsid w:val="00D5052E"/>
    <w:rsid w:val="00D626B7"/>
    <w:rsid w:val="00D65CE1"/>
    <w:rsid w:val="00D66410"/>
    <w:rsid w:val="00D70541"/>
    <w:rsid w:val="00D70AE0"/>
    <w:rsid w:val="00D72E96"/>
    <w:rsid w:val="00D75891"/>
    <w:rsid w:val="00D803D2"/>
    <w:rsid w:val="00D80A70"/>
    <w:rsid w:val="00D81ABF"/>
    <w:rsid w:val="00D85516"/>
    <w:rsid w:val="00D85EC2"/>
    <w:rsid w:val="00D9038C"/>
    <w:rsid w:val="00D91EF1"/>
    <w:rsid w:val="00D92438"/>
    <w:rsid w:val="00D924BD"/>
    <w:rsid w:val="00D9467B"/>
    <w:rsid w:val="00DA000A"/>
    <w:rsid w:val="00DA1230"/>
    <w:rsid w:val="00DA25F9"/>
    <w:rsid w:val="00DA5D58"/>
    <w:rsid w:val="00DA78B9"/>
    <w:rsid w:val="00DB51BE"/>
    <w:rsid w:val="00DB541C"/>
    <w:rsid w:val="00DB54FE"/>
    <w:rsid w:val="00DB5502"/>
    <w:rsid w:val="00DC78C0"/>
    <w:rsid w:val="00DD00AD"/>
    <w:rsid w:val="00DD2388"/>
    <w:rsid w:val="00DD5C57"/>
    <w:rsid w:val="00DD7BDA"/>
    <w:rsid w:val="00DE2EC9"/>
    <w:rsid w:val="00DE2ED9"/>
    <w:rsid w:val="00DF2C7B"/>
    <w:rsid w:val="00E10594"/>
    <w:rsid w:val="00E106C4"/>
    <w:rsid w:val="00E13F0E"/>
    <w:rsid w:val="00E17099"/>
    <w:rsid w:val="00E209E8"/>
    <w:rsid w:val="00E21457"/>
    <w:rsid w:val="00E2586E"/>
    <w:rsid w:val="00E35346"/>
    <w:rsid w:val="00E371F3"/>
    <w:rsid w:val="00E37919"/>
    <w:rsid w:val="00E37B57"/>
    <w:rsid w:val="00E4364E"/>
    <w:rsid w:val="00E43E13"/>
    <w:rsid w:val="00E510E5"/>
    <w:rsid w:val="00E537C2"/>
    <w:rsid w:val="00E549CA"/>
    <w:rsid w:val="00E6037C"/>
    <w:rsid w:val="00E64E9C"/>
    <w:rsid w:val="00E67221"/>
    <w:rsid w:val="00E71C3C"/>
    <w:rsid w:val="00E73EBA"/>
    <w:rsid w:val="00E74FDA"/>
    <w:rsid w:val="00E754FB"/>
    <w:rsid w:val="00E80B6D"/>
    <w:rsid w:val="00E827FD"/>
    <w:rsid w:val="00E87646"/>
    <w:rsid w:val="00E900F5"/>
    <w:rsid w:val="00E9149B"/>
    <w:rsid w:val="00E971AF"/>
    <w:rsid w:val="00E97B67"/>
    <w:rsid w:val="00EA2079"/>
    <w:rsid w:val="00EA3CFC"/>
    <w:rsid w:val="00EA42E5"/>
    <w:rsid w:val="00EA4A9F"/>
    <w:rsid w:val="00EA4EC4"/>
    <w:rsid w:val="00EB0922"/>
    <w:rsid w:val="00EB3FE9"/>
    <w:rsid w:val="00EC24C4"/>
    <w:rsid w:val="00ED7731"/>
    <w:rsid w:val="00EE0B3C"/>
    <w:rsid w:val="00EE6865"/>
    <w:rsid w:val="00EE727A"/>
    <w:rsid w:val="00EF23B3"/>
    <w:rsid w:val="00EF6303"/>
    <w:rsid w:val="00F00BDE"/>
    <w:rsid w:val="00F041CC"/>
    <w:rsid w:val="00F0521C"/>
    <w:rsid w:val="00F070C0"/>
    <w:rsid w:val="00F104EF"/>
    <w:rsid w:val="00F1365B"/>
    <w:rsid w:val="00F14A2F"/>
    <w:rsid w:val="00F14BD9"/>
    <w:rsid w:val="00F15CB7"/>
    <w:rsid w:val="00F1673B"/>
    <w:rsid w:val="00F173CE"/>
    <w:rsid w:val="00F2124D"/>
    <w:rsid w:val="00F216CF"/>
    <w:rsid w:val="00F3043A"/>
    <w:rsid w:val="00F362DD"/>
    <w:rsid w:val="00F4131F"/>
    <w:rsid w:val="00F43BE0"/>
    <w:rsid w:val="00F50EF7"/>
    <w:rsid w:val="00F52033"/>
    <w:rsid w:val="00F566B6"/>
    <w:rsid w:val="00F56C02"/>
    <w:rsid w:val="00F630E7"/>
    <w:rsid w:val="00F6334D"/>
    <w:rsid w:val="00F64E72"/>
    <w:rsid w:val="00F7419D"/>
    <w:rsid w:val="00F74A95"/>
    <w:rsid w:val="00F757BA"/>
    <w:rsid w:val="00F81627"/>
    <w:rsid w:val="00F8358D"/>
    <w:rsid w:val="00F85519"/>
    <w:rsid w:val="00F86E0A"/>
    <w:rsid w:val="00FA2E6C"/>
    <w:rsid w:val="00FA5F2D"/>
    <w:rsid w:val="00FB1933"/>
    <w:rsid w:val="00FB3ED6"/>
    <w:rsid w:val="00FB4318"/>
    <w:rsid w:val="00FC1084"/>
    <w:rsid w:val="00FD04D8"/>
    <w:rsid w:val="00FD3CF6"/>
    <w:rsid w:val="00FD7116"/>
    <w:rsid w:val="00FE03B3"/>
    <w:rsid w:val="00FE1571"/>
    <w:rsid w:val="00FE1A2F"/>
    <w:rsid w:val="00FE7FC8"/>
    <w:rsid w:val="00FF2983"/>
    <w:rsid w:val="00FF7255"/>
    <w:rsid w:val="0C2D4CF3"/>
    <w:rsid w:val="1B310B11"/>
    <w:rsid w:val="3D542D7F"/>
    <w:rsid w:val="3DF70C6F"/>
    <w:rsid w:val="6D6F798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99"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6"/>
    <w:qFormat/>
    <w:uiPriority w:val="99"/>
    <w:pPr>
      <w:keepNext/>
      <w:keepLines/>
      <w:spacing w:before="340" w:after="330" w:line="578" w:lineRule="auto"/>
      <w:outlineLvl w:val="0"/>
    </w:pPr>
    <w:rPr>
      <w:b/>
      <w:bCs/>
      <w:kern w:val="44"/>
      <w:sz w:val="44"/>
      <w:szCs w:val="44"/>
    </w:rPr>
  </w:style>
  <w:style w:type="paragraph" w:styleId="3">
    <w:name w:val="heading 4"/>
    <w:basedOn w:val="1"/>
    <w:next w:val="1"/>
    <w:link w:val="27"/>
    <w:qFormat/>
    <w:uiPriority w:val="99"/>
    <w:pPr>
      <w:keepNext/>
      <w:jc w:val="center"/>
      <w:outlineLvl w:val="3"/>
    </w:pPr>
    <w:rPr>
      <w:rFonts w:ascii="Cambria" w:hAnsi="Cambria" w:cs="Cambria"/>
      <w:b/>
      <w:bCs/>
      <w:kern w:val="0"/>
      <w:sz w:val="28"/>
      <w:szCs w:val="28"/>
    </w:rPr>
  </w:style>
  <w:style w:type="paragraph" w:styleId="4">
    <w:name w:val="heading 5"/>
    <w:basedOn w:val="1"/>
    <w:next w:val="1"/>
    <w:link w:val="28"/>
    <w:qFormat/>
    <w:uiPriority w:val="99"/>
    <w:pPr>
      <w:keepNext/>
      <w:ind w:left="459" w:hanging="459" w:hangingChars="254"/>
      <w:jc w:val="center"/>
      <w:outlineLvl w:val="4"/>
    </w:pPr>
    <w:rPr>
      <w:b/>
      <w:bCs/>
      <w:kern w:val="0"/>
      <w:sz w:val="28"/>
      <w:szCs w:val="28"/>
    </w:rPr>
  </w:style>
  <w:style w:type="character" w:default="1" w:styleId="21">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48"/>
    <w:semiHidden/>
    <w:qFormat/>
    <w:uiPriority w:val="99"/>
    <w:pPr>
      <w:jc w:val="left"/>
    </w:pPr>
    <w:rPr>
      <w:sz w:val="24"/>
      <w:szCs w:val="24"/>
    </w:rPr>
  </w:style>
  <w:style w:type="paragraph" w:styleId="6">
    <w:name w:val="Body Text"/>
    <w:basedOn w:val="1"/>
    <w:link w:val="46"/>
    <w:qFormat/>
    <w:uiPriority w:val="99"/>
    <w:pPr>
      <w:spacing w:after="120"/>
    </w:pPr>
    <w:rPr>
      <w:sz w:val="24"/>
      <w:szCs w:val="24"/>
    </w:rPr>
  </w:style>
  <w:style w:type="paragraph" w:styleId="7">
    <w:name w:val="Body Text Indent"/>
    <w:basedOn w:val="1"/>
    <w:link w:val="35"/>
    <w:uiPriority w:val="99"/>
    <w:pPr>
      <w:autoSpaceDE w:val="0"/>
      <w:autoSpaceDN w:val="0"/>
      <w:adjustRightInd w:val="0"/>
      <w:spacing w:line="360" w:lineRule="auto"/>
      <w:ind w:firstLine="640" w:firstLineChars="200"/>
    </w:pPr>
    <w:rPr>
      <w:kern w:val="0"/>
    </w:rPr>
  </w:style>
  <w:style w:type="paragraph" w:styleId="8">
    <w:name w:val="Plain Text"/>
    <w:basedOn w:val="1"/>
    <w:link w:val="31"/>
    <w:uiPriority w:val="99"/>
    <w:rPr>
      <w:rFonts w:ascii="宋体" w:hAnsi="Courier New" w:cs="宋体"/>
      <w:kern w:val="0"/>
    </w:rPr>
  </w:style>
  <w:style w:type="paragraph" w:styleId="9">
    <w:name w:val="Date"/>
    <w:basedOn w:val="1"/>
    <w:next w:val="1"/>
    <w:link w:val="40"/>
    <w:uiPriority w:val="99"/>
    <w:pPr>
      <w:ind w:left="100" w:leftChars="2500"/>
    </w:pPr>
    <w:rPr>
      <w:kern w:val="0"/>
    </w:rPr>
  </w:style>
  <w:style w:type="paragraph" w:styleId="10">
    <w:name w:val="Body Text Indent 2"/>
    <w:basedOn w:val="1"/>
    <w:link w:val="36"/>
    <w:uiPriority w:val="99"/>
    <w:pPr>
      <w:spacing w:after="120" w:line="480" w:lineRule="auto"/>
      <w:ind w:left="420" w:leftChars="200"/>
    </w:pPr>
    <w:rPr>
      <w:kern w:val="0"/>
    </w:rPr>
  </w:style>
  <w:style w:type="paragraph" w:styleId="11">
    <w:name w:val="Balloon Text"/>
    <w:basedOn w:val="1"/>
    <w:link w:val="50"/>
    <w:semiHidden/>
    <w:uiPriority w:val="99"/>
    <w:rPr>
      <w:sz w:val="18"/>
      <w:szCs w:val="18"/>
    </w:rPr>
  </w:style>
  <w:style w:type="paragraph" w:styleId="12">
    <w:name w:val="footer"/>
    <w:basedOn w:val="1"/>
    <w:link w:val="30"/>
    <w:uiPriority w:val="99"/>
    <w:pPr>
      <w:tabs>
        <w:tab w:val="center" w:pos="4153"/>
        <w:tab w:val="right" w:pos="8306"/>
      </w:tabs>
      <w:snapToGrid w:val="0"/>
      <w:jc w:val="left"/>
    </w:pPr>
    <w:rPr>
      <w:kern w:val="0"/>
      <w:sz w:val="18"/>
      <w:szCs w:val="18"/>
    </w:rPr>
  </w:style>
  <w:style w:type="paragraph" w:styleId="13">
    <w:name w:val="header"/>
    <w:basedOn w:val="1"/>
    <w:link w:val="29"/>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Subtitle"/>
    <w:basedOn w:val="1"/>
    <w:next w:val="1"/>
    <w:link w:val="47"/>
    <w:qFormat/>
    <w:uiPriority w:val="99"/>
    <w:pPr>
      <w:spacing w:before="120" w:after="120" w:line="360" w:lineRule="auto"/>
      <w:jc w:val="left"/>
      <w:outlineLvl w:val="1"/>
    </w:pPr>
    <w:rPr>
      <w:rFonts w:ascii="Cambria" w:hAnsi="Cambria" w:eastAsia="黑体" w:cs="Cambria"/>
      <w:b/>
      <w:bCs/>
      <w:kern w:val="28"/>
      <w:sz w:val="32"/>
      <w:szCs w:val="32"/>
    </w:rPr>
  </w:style>
  <w:style w:type="paragraph" w:styleId="15">
    <w:name w:val="HTML Preformatted"/>
    <w:basedOn w:val="1"/>
    <w:link w:val="4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16">
    <w:name w:val="Normal (Web)"/>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17">
    <w:name w:val="annotation subject"/>
    <w:basedOn w:val="5"/>
    <w:next w:val="5"/>
    <w:link w:val="49"/>
    <w:semiHidden/>
    <w:qFormat/>
    <w:uiPriority w:val="99"/>
    <w:rPr>
      <w:b/>
      <w:bCs/>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Table Professional"/>
    <w:basedOn w:val="18"/>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il"/>
          <w:tr2bl w:val="nil"/>
        </w:tcBorders>
        <w:shd w:val="solid" w:color="000000" w:fill="FFFFFF"/>
      </w:tcPr>
    </w:tblStylePr>
  </w:style>
  <w:style w:type="character" w:styleId="22">
    <w:name w:val="page number"/>
    <w:basedOn w:val="21"/>
    <w:uiPriority w:val="99"/>
  </w:style>
  <w:style w:type="character" w:styleId="23">
    <w:name w:val="Emphasis"/>
    <w:qFormat/>
    <w:uiPriority w:val="99"/>
    <w:rPr>
      <w:i/>
      <w:iCs/>
    </w:rPr>
  </w:style>
  <w:style w:type="character" w:styleId="24">
    <w:name w:val="Hyperlink"/>
    <w:qFormat/>
    <w:uiPriority w:val="99"/>
    <w:rPr>
      <w:color w:val="0000FF"/>
      <w:u w:val="single"/>
    </w:rPr>
  </w:style>
  <w:style w:type="character" w:styleId="25">
    <w:name w:val="annotation reference"/>
    <w:semiHidden/>
    <w:qFormat/>
    <w:uiPriority w:val="99"/>
    <w:rPr>
      <w:sz w:val="21"/>
      <w:szCs w:val="21"/>
    </w:rPr>
  </w:style>
  <w:style w:type="character" w:customStyle="1" w:styleId="26">
    <w:name w:val="标题 1 字符"/>
    <w:link w:val="2"/>
    <w:locked/>
    <w:uiPriority w:val="99"/>
    <w:rPr>
      <w:b/>
      <w:bCs/>
      <w:kern w:val="44"/>
      <w:sz w:val="44"/>
      <w:szCs w:val="44"/>
    </w:rPr>
  </w:style>
  <w:style w:type="character" w:customStyle="1" w:styleId="27">
    <w:name w:val="标题 4 字符"/>
    <w:link w:val="3"/>
    <w:semiHidden/>
    <w:qFormat/>
    <w:locked/>
    <w:uiPriority w:val="99"/>
    <w:rPr>
      <w:rFonts w:ascii="Cambria" w:hAnsi="Cambria" w:eastAsia="宋体" w:cs="Cambria"/>
      <w:b/>
      <w:bCs/>
      <w:sz w:val="28"/>
      <w:szCs w:val="28"/>
    </w:rPr>
  </w:style>
  <w:style w:type="character" w:customStyle="1" w:styleId="28">
    <w:name w:val="标题 5 字符"/>
    <w:link w:val="4"/>
    <w:semiHidden/>
    <w:locked/>
    <w:uiPriority w:val="99"/>
    <w:rPr>
      <w:b/>
      <w:bCs/>
      <w:sz w:val="28"/>
      <w:szCs w:val="28"/>
    </w:rPr>
  </w:style>
  <w:style w:type="character" w:customStyle="1" w:styleId="29">
    <w:name w:val="页眉 字符"/>
    <w:link w:val="13"/>
    <w:semiHidden/>
    <w:qFormat/>
    <w:locked/>
    <w:uiPriority w:val="99"/>
    <w:rPr>
      <w:sz w:val="18"/>
      <w:szCs w:val="18"/>
    </w:rPr>
  </w:style>
  <w:style w:type="character" w:customStyle="1" w:styleId="30">
    <w:name w:val="页脚 字符"/>
    <w:link w:val="12"/>
    <w:semiHidden/>
    <w:qFormat/>
    <w:locked/>
    <w:uiPriority w:val="99"/>
    <w:rPr>
      <w:sz w:val="18"/>
      <w:szCs w:val="18"/>
    </w:rPr>
  </w:style>
  <w:style w:type="character" w:customStyle="1" w:styleId="31">
    <w:name w:val="纯文本 字符"/>
    <w:link w:val="8"/>
    <w:semiHidden/>
    <w:qFormat/>
    <w:locked/>
    <w:uiPriority w:val="99"/>
    <w:rPr>
      <w:rFonts w:ascii="宋体" w:hAnsi="Courier New" w:cs="宋体"/>
      <w:sz w:val="21"/>
      <w:szCs w:val="21"/>
    </w:rPr>
  </w:style>
  <w:style w:type="paragraph" w:customStyle="1" w:styleId="32">
    <w:name w:val="段"/>
    <w:link w:val="52"/>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3">
    <w:name w:val="xl36"/>
    <w:basedOn w:val="1"/>
    <w:qFormat/>
    <w:uiPriority w:val="99"/>
    <w:pPr>
      <w:widowControl/>
      <w:spacing w:before="100" w:beforeAutospacing="1" w:after="100" w:afterAutospacing="1"/>
      <w:jc w:val="center"/>
      <w:textAlignment w:val="top"/>
    </w:pPr>
    <w:rPr>
      <w:kern w:val="0"/>
    </w:rPr>
  </w:style>
  <w:style w:type="paragraph" w:customStyle="1" w:styleId="34">
    <w:name w:val="xl37"/>
    <w:basedOn w:val="1"/>
    <w:uiPriority w:val="99"/>
    <w:pPr>
      <w:widowControl/>
      <w:spacing w:before="100" w:beforeAutospacing="1" w:after="100" w:afterAutospacing="1"/>
      <w:textAlignment w:val="top"/>
    </w:pPr>
    <w:rPr>
      <w:kern w:val="0"/>
    </w:rPr>
  </w:style>
  <w:style w:type="character" w:customStyle="1" w:styleId="35">
    <w:name w:val="正文文本缩进 字符"/>
    <w:link w:val="7"/>
    <w:semiHidden/>
    <w:locked/>
    <w:uiPriority w:val="99"/>
    <w:rPr>
      <w:sz w:val="21"/>
      <w:szCs w:val="21"/>
    </w:rPr>
  </w:style>
  <w:style w:type="character" w:customStyle="1" w:styleId="36">
    <w:name w:val="正文文本缩进 2 字符"/>
    <w:link w:val="10"/>
    <w:semiHidden/>
    <w:locked/>
    <w:uiPriority w:val="99"/>
    <w:rPr>
      <w:sz w:val="21"/>
      <w:szCs w:val="21"/>
    </w:rPr>
  </w:style>
  <w:style w:type="character" w:customStyle="1" w:styleId="37">
    <w:name w:val="e1 style1 style2 style3 style3 style4 style4"/>
    <w:basedOn w:val="21"/>
    <w:uiPriority w:val="99"/>
  </w:style>
  <w:style w:type="character" w:customStyle="1" w:styleId="38">
    <w:name w:val="style81"/>
    <w:uiPriority w:val="99"/>
    <w:rPr>
      <w:color w:val="auto"/>
    </w:rPr>
  </w:style>
  <w:style w:type="paragraph" w:customStyle="1" w:styleId="39">
    <w:name w:val="Char Char Char Char"/>
    <w:basedOn w:val="1"/>
    <w:uiPriority w:val="99"/>
    <w:pPr>
      <w:widowControl/>
      <w:spacing w:after="160" w:line="240" w:lineRule="exact"/>
      <w:jc w:val="left"/>
    </w:pPr>
  </w:style>
  <w:style w:type="character" w:customStyle="1" w:styleId="40">
    <w:name w:val="日期 字符"/>
    <w:link w:val="9"/>
    <w:semiHidden/>
    <w:locked/>
    <w:uiPriority w:val="99"/>
    <w:rPr>
      <w:sz w:val="21"/>
      <w:szCs w:val="21"/>
    </w:rPr>
  </w:style>
  <w:style w:type="character" w:customStyle="1" w:styleId="41">
    <w:name w:val="HTML 预设格式 字符"/>
    <w:link w:val="15"/>
    <w:semiHidden/>
    <w:locked/>
    <w:uiPriority w:val="99"/>
    <w:rPr>
      <w:rFonts w:ascii="Courier New" w:hAnsi="Courier New" w:cs="Courier New"/>
      <w:sz w:val="20"/>
      <w:szCs w:val="20"/>
    </w:rPr>
  </w:style>
  <w:style w:type="paragraph" w:customStyle="1" w:styleId="42">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3">
    <w:name w:val="apple-converted-space"/>
    <w:basedOn w:val="21"/>
    <w:uiPriority w:val="99"/>
  </w:style>
  <w:style w:type="character" w:customStyle="1" w:styleId="44">
    <w:name w:val="news1"/>
    <w:uiPriority w:val="99"/>
    <w:rPr>
      <w:color w:val="000000"/>
      <w:sz w:val="21"/>
      <w:szCs w:val="21"/>
      <w:u w:val="none"/>
    </w:rPr>
  </w:style>
  <w:style w:type="character" w:customStyle="1" w:styleId="45">
    <w:name w:val="warp"/>
    <w:basedOn w:val="21"/>
    <w:uiPriority w:val="99"/>
  </w:style>
  <w:style w:type="character" w:customStyle="1" w:styleId="46">
    <w:name w:val="正文文本 字符"/>
    <w:link w:val="6"/>
    <w:locked/>
    <w:uiPriority w:val="99"/>
    <w:rPr>
      <w:kern w:val="2"/>
      <w:sz w:val="24"/>
      <w:szCs w:val="24"/>
    </w:rPr>
  </w:style>
  <w:style w:type="character" w:customStyle="1" w:styleId="47">
    <w:name w:val="副标题 字符"/>
    <w:link w:val="14"/>
    <w:qFormat/>
    <w:locked/>
    <w:uiPriority w:val="99"/>
    <w:rPr>
      <w:rFonts w:ascii="Cambria" w:hAnsi="Cambria" w:eastAsia="黑体" w:cs="Cambria"/>
      <w:b/>
      <w:bCs/>
      <w:kern w:val="28"/>
      <w:sz w:val="32"/>
      <w:szCs w:val="32"/>
    </w:rPr>
  </w:style>
  <w:style w:type="character" w:customStyle="1" w:styleId="48">
    <w:name w:val="批注文字 字符"/>
    <w:link w:val="5"/>
    <w:qFormat/>
    <w:locked/>
    <w:uiPriority w:val="99"/>
    <w:rPr>
      <w:kern w:val="2"/>
      <w:sz w:val="24"/>
      <w:szCs w:val="24"/>
    </w:rPr>
  </w:style>
  <w:style w:type="character" w:customStyle="1" w:styleId="49">
    <w:name w:val="批注主题 字符"/>
    <w:link w:val="17"/>
    <w:qFormat/>
    <w:locked/>
    <w:uiPriority w:val="99"/>
    <w:rPr>
      <w:b/>
      <w:bCs/>
      <w:kern w:val="2"/>
      <w:sz w:val="24"/>
      <w:szCs w:val="24"/>
    </w:rPr>
  </w:style>
  <w:style w:type="character" w:customStyle="1" w:styleId="50">
    <w:name w:val="批注框文本 字符"/>
    <w:link w:val="11"/>
    <w:locked/>
    <w:uiPriority w:val="99"/>
    <w:rPr>
      <w:kern w:val="2"/>
      <w:sz w:val="18"/>
      <w:szCs w:val="18"/>
    </w:rPr>
  </w:style>
  <w:style w:type="paragraph" w:styleId="51">
    <w:name w:val="List Paragraph"/>
    <w:basedOn w:val="1"/>
    <w:unhideWhenUsed/>
    <w:uiPriority w:val="99"/>
    <w:pPr>
      <w:ind w:firstLine="420" w:firstLineChars="200"/>
    </w:pPr>
  </w:style>
  <w:style w:type="character" w:customStyle="1" w:styleId="52">
    <w:name w:val="段 Char"/>
    <w:basedOn w:val="21"/>
    <w:link w:val="32"/>
    <w:uiPriority w:val="0"/>
    <w:rPr>
      <w:rFonts w:ascii="宋体" w:cs="宋体"/>
      <w:sz w:val="21"/>
      <w:szCs w:val="21"/>
    </w:rPr>
  </w:style>
  <w:style w:type="paragraph" w:customStyle="1" w:styleId="53">
    <w:name w:val="封面标准英文名称"/>
    <w:basedOn w:val="1"/>
    <w:uiPriority w:val="0"/>
    <w:pPr>
      <w:framePr w:w="9639" w:h="6917" w:hRule="exact" w:wrap="around" w:vAnchor="page" w:hAnchor="page" w:xAlign="center" w:y="6408" w:anchorLock="1"/>
      <w:spacing w:before="370" w:line="400" w:lineRule="exact"/>
      <w:jc w:val="center"/>
      <w:textAlignment w:val="center"/>
    </w:pPr>
    <w:rPr>
      <w:rFonts w:eastAsia="黑体"/>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FA4F2-2F67-4BCE-8036-3C577B9CA8B2}">
  <ds:schemaRefs/>
</ds:datastoreItem>
</file>

<file path=docProps/app.xml><?xml version="1.0" encoding="utf-8"?>
<Properties xmlns="http://schemas.openxmlformats.org/officeDocument/2006/extended-properties" xmlns:vt="http://schemas.openxmlformats.org/officeDocument/2006/docPropsVTypes">
  <Template>Normal.dotm</Template>
  <Company>采购部</Company>
  <Pages>7</Pages>
  <Words>3989</Words>
  <Characters>631</Characters>
  <Lines>5</Lines>
  <Paragraphs>9</Paragraphs>
  <TotalTime>97</TotalTime>
  <ScaleCrop>false</ScaleCrop>
  <LinksUpToDate>false</LinksUpToDate>
  <CharactersWithSpaces>4611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2020-10-26T02:18:00Z</dcterms:created>
  <dc:creator>惠志恭</dc:creator>
  <cp:lastModifiedBy>WPS_1605494263</cp:lastModifiedBy>
  <cp:lastPrinted>2020-09-30T08:21:00Z</cp:lastPrinted>
  <dcterms:modified xsi:type="dcterms:W3CDTF">2021-03-09T08:10:20Z</dcterms:modified>
  <dc:title>球形氢氧化镍国家标准修订说明</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