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3E" w:rsidRDefault="00F0063E">
      <w:pPr>
        <w:tabs>
          <w:tab w:val="left" w:pos="7200"/>
        </w:tabs>
        <w:jc w:val="center"/>
        <w:rPr>
          <w:rFonts w:eastAsia="黑体"/>
          <w:b/>
          <w:sz w:val="36"/>
        </w:rPr>
      </w:pPr>
    </w:p>
    <w:p w:rsidR="00F0063E" w:rsidRDefault="00F0063E">
      <w:pPr>
        <w:tabs>
          <w:tab w:val="left" w:pos="7200"/>
        </w:tabs>
        <w:jc w:val="center"/>
        <w:rPr>
          <w:rFonts w:eastAsia="黑体"/>
          <w:b/>
          <w:sz w:val="36"/>
        </w:rPr>
      </w:pPr>
    </w:p>
    <w:p w:rsidR="00F0063E" w:rsidRDefault="00F0063E">
      <w:pPr>
        <w:tabs>
          <w:tab w:val="left" w:pos="7200"/>
        </w:tabs>
        <w:jc w:val="center"/>
        <w:rPr>
          <w:rFonts w:eastAsia="黑体"/>
          <w:b/>
          <w:sz w:val="36"/>
        </w:rPr>
      </w:pPr>
    </w:p>
    <w:p w:rsidR="00F0063E" w:rsidRDefault="00A714D9">
      <w:pPr>
        <w:tabs>
          <w:tab w:val="left" w:pos="7200"/>
        </w:tabs>
        <w:jc w:val="center"/>
        <w:rPr>
          <w:rFonts w:eastAsia="黑体"/>
          <w:b/>
          <w:sz w:val="36"/>
        </w:rPr>
      </w:pPr>
      <w:r>
        <w:rPr>
          <w:rFonts w:eastAsia="黑体" w:hint="eastAsia"/>
          <w:b/>
          <w:sz w:val="36"/>
        </w:rPr>
        <w:t>四氧化三钴</w:t>
      </w:r>
      <w:r>
        <w:rPr>
          <w:rFonts w:eastAsia="黑体"/>
          <w:b/>
          <w:sz w:val="36"/>
        </w:rPr>
        <w:t>化学分析方法</w:t>
      </w:r>
    </w:p>
    <w:p w:rsidR="00F0063E" w:rsidRDefault="00A714D9">
      <w:pPr>
        <w:tabs>
          <w:tab w:val="left" w:pos="7200"/>
        </w:tabs>
        <w:jc w:val="center"/>
        <w:rPr>
          <w:rFonts w:eastAsia="黑体"/>
          <w:b/>
          <w:sz w:val="36"/>
        </w:rPr>
      </w:pPr>
      <w:r>
        <w:rPr>
          <w:rFonts w:eastAsia="黑体" w:hint="eastAsia"/>
          <w:b/>
          <w:sz w:val="36"/>
        </w:rPr>
        <w:t>钾、钠含量</w:t>
      </w:r>
      <w:r>
        <w:rPr>
          <w:rFonts w:eastAsia="黑体"/>
          <w:b/>
          <w:sz w:val="36"/>
        </w:rPr>
        <w:t>的测定</w:t>
      </w:r>
      <w:r>
        <w:rPr>
          <w:rFonts w:eastAsia="黑体"/>
          <w:b/>
          <w:sz w:val="36"/>
        </w:rPr>
        <w:t xml:space="preserve"> </w:t>
      </w:r>
    </w:p>
    <w:p w:rsidR="00F0063E" w:rsidRDefault="00A714D9">
      <w:pPr>
        <w:tabs>
          <w:tab w:val="left" w:pos="7200"/>
        </w:tabs>
        <w:jc w:val="center"/>
        <w:rPr>
          <w:rFonts w:eastAsia="黑体"/>
          <w:b/>
          <w:sz w:val="36"/>
        </w:rPr>
      </w:pPr>
      <w:r>
        <w:rPr>
          <w:rFonts w:eastAsia="黑体" w:hint="eastAsia"/>
          <w:b/>
          <w:sz w:val="36"/>
        </w:rPr>
        <w:t>火焰原子吸收光谱法和</w:t>
      </w:r>
      <w:r>
        <w:rPr>
          <w:rFonts w:eastAsia="黑体"/>
          <w:b/>
          <w:sz w:val="36"/>
        </w:rPr>
        <w:t>电感耦合等离子体原子发射光谱</w:t>
      </w:r>
      <w:r>
        <w:rPr>
          <w:rFonts w:eastAsia="黑体" w:hint="eastAsia"/>
          <w:b/>
          <w:sz w:val="36"/>
        </w:rPr>
        <w:t>法</w:t>
      </w:r>
    </w:p>
    <w:p w:rsidR="00F0063E" w:rsidRDefault="00F0063E">
      <w:pPr>
        <w:jc w:val="center"/>
        <w:rPr>
          <w:rFonts w:eastAsia="黑体"/>
          <w:b/>
          <w:sz w:val="36"/>
        </w:rPr>
      </w:pPr>
    </w:p>
    <w:p w:rsidR="00F0063E" w:rsidRDefault="00A714D9">
      <w:pPr>
        <w:jc w:val="center"/>
        <w:rPr>
          <w:rFonts w:eastAsia="黑体"/>
          <w:b/>
          <w:sz w:val="36"/>
        </w:rPr>
      </w:pPr>
      <w:r>
        <w:rPr>
          <w:rFonts w:eastAsia="黑体"/>
          <w:b/>
          <w:sz w:val="36"/>
        </w:rPr>
        <w:t>编制说明</w:t>
      </w:r>
    </w:p>
    <w:p w:rsidR="00F0063E" w:rsidRDefault="00F0063E">
      <w:pPr>
        <w:jc w:val="center"/>
        <w:rPr>
          <w:rFonts w:eastAsia="黑体"/>
          <w:b/>
          <w:sz w:val="36"/>
        </w:rPr>
      </w:pPr>
    </w:p>
    <w:p w:rsidR="00F0063E" w:rsidRDefault="00A714D9">
      <w:pPr>
        <w:jc w:val="center"/>
        <w:rPr>
          <w:rFonts w:eastAsia="黑体"/>
          <w:b/>
          <w:sz w:val="36"/>
        </w:rPr>
      </w:pPr>
      <w:r>
        <w:rPr>
          <w:rFonts w:eastAsia="黑体"/>
          <w:b/>
          <w:sz w:val="36"/>
        </w:rPr>
        <w:t>（</w:t>
      </w:r>
      <w:r>
        <w:rPr>
          <w:rFonts w:eastAsia="黑体" w:hint="eastAsia"/>
          <w:b/>
          <w:sz w:val="36"/>
        </w:rPr>
        <w:t>预</w:t>
      </w:r>
      <w:r>
        <w:rPr>
          <w:rFonts w:eastAsia="黑体"/>
          <w:b/>
          <w:sz w:val="36"/>
        </w:rPr>
        <w:t>审稿）</w:t>
      </w:r>
    </w:p>
    <w:p w:rsidR="00F0063E" w:rsidRDefault="00F0063E"/>
    <w:p w:rsidR="00F0063E" w:rsidRDefault="00F0063E"/>
    <w:p w:rsidR="00F0063E" w:rsidRDefault="00F0063E"/>
    <w:p w:rsidR="00F0063E" w:rsidRDefault="00F0063E"/>
    <w:p w:rsidR="00F0063E" w:rsidRDefault="00F0063E"/>
    <w:p w:rsidR="00F0063E" w:rsidRDefault="00F0063E"/>
    <w:p w:rsidR="00F0063E" w:rsidRDefault="00F0063E"/>
    <w:p w:rsidR="00F0063E" w:rsidRDefault="00F0063E"/>
    <w:p w:rsidR="00F0063E" w:rsidRDefault="00A714D9">
      <w:r>
        <w:rPr>
          <w:rFonts w:hint="eastAsia"/>
        </w:rPr>
        <w:br/>
      </w:r>
    </w:p>
    <w:p w:rsidR="00F0063E" w:rsidRDefault="00F0063E"/>
    <w:p w:rsidR="00F0063E" w:rsidRDefault="00F0063E"/>
    <w:p w:rsidR="00F0063E" w:rsidRDefault="00A714D9">
      <w:pPr>
        <w:rPr>
          <w:b/>
          <w:sz w:val="28"/>
          <w:szCs w:val="28"/>
        </w:rPr>
      </w:pPr>
      <w:r>
        <w:rPr>
          <w:rFonts w:hint="eastAsia"/>
        </w:rPr>
        <w:t xml:space="preserve">                           </w:t>
      </w:r>
      <w:r>
        <w:rPr>
          <w:rFonts w:hint="eastAsia"/>
          <w:b/>
          <w:sz w:val="28"/>
          <w:szCs w:val="28"/>
        </w:rPr>
        <w:t>金川集团股份有限公司</w:t>
      </w:r>
    </w:p>
    <w:p w:rsidR="00F0063E" w:rsidRDefault="00A714D9">
      <w:pPr>
        <w:rPr>
          <w:b/>
          <w:sz w:val="28"/>
          <w:szCs w:val="28"/>
        </w:rPr>
      </w:pPr>
      <w:r>
        <w:rPr>
          <w:rFonts w:hint="eastAsia"/>
          <w:b/>
          <w:sz w:val="28"/>
          <w:szCs w:val="28"/>
        </w:rPr>
        <w:t xml:space="preserve">                  </w:t>
      </w:r>
      <w:r>
        <w:rPr>
          <w:rFonts w:hint="eastAsia"/>
          <w:b/>
          <w:sz w:val="28"/>
          <w:szCs w:val="28"/>
        </w:rPr>
        <w:t>甘肃精普检测科技有限公司</w:t>
      </w:r>
    </w:p>
    <w:p w:rsidR="00F0063E" w:rsidRDefault="00F0063E">
      <w:pPr>
        <w:rPr>
          <w:b/>
          <w:sz w:val="28"/>
          <w:szCs w:val="28"/>
        </w:rPr>
      </w:pPr>
    </w:p>
    <w:p w:rsidR="00F0063E" w:rsidRDefault="00A714D9">
      <w:pPr>
        <w:rPr>
          <w:b/>
          <w:sz w:val="28"/>
          <w:szCs w:val="28"/>
        </w:rPr>
      </w:pPr>
      <w:r>
        <w:rPr>
          <w:rFonts w:hint="eastAsia"/>
          <w:b/>
          <w:sz w:val="28"/>
          <w:szCs w:val="28"/>
        </w:rPr>
        <w:t xml:space="preserve">                        </w:t>
      </w:r>
      <w:r>
        <w:rPr>
          <w:b/>
          <w:sz w:val="28"/>
          <w:szCs w:val="28"/>
        </w:rPr>
        <w:t>2020-11-24</w:t>
      </w:r>
    </w:p>
    <w:p w:rsidR="00F0063E" w:rsidRDefault="00F0063E">
      <w:pPr>
        <w:rPr>
          <w:b/>
          <w:sz w:val="28"/>
          <w:szCs w:val="28"/>
        </w:rPr>
      </w:pP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lastRenderedPageBreak/>
        <w:t>工作简况</w:t>
      </w:r>
    </w:p>
    <w:p w:rsidR="00F0063E" w:rsidRDefault="00A714D9">
      <w:pPr>
        <w:pStyle w:val="a7"/>
        <w:numPr>
          <w:ilvl w:val="1"/>
          <w:numId w:val="1"/>
        </w:numPr>
        <w:spacing w:line="360" w:lineRule="auto"/>
        <w:ind w:left="993" w:firstLineChars="0" w:hanging="993"/>
        <w:rPr>
          <w:rFonts w:ascii="仿宋_GB2312" w:eastAsia="仿宋_GB2312"/>
          <w:b/>
          <w:sz w:val="24"/>
        </w:rPr>
      </w:pPr>
      <w:r>
        <w:rPr>
          <w:rFonts w:ascii="仿宋_GB2312" w:eastAsia="仿宋_GB2312" w:hint="eastAsia"/>
          <w:b/>
          <w:sz w:val="24"/>
        </w:rPr>
        <w:t>任务来源</w:t>
      </w:r>
    </w:p>
    <w:p w:rsidR="00F0063E" w:rsidRDefault="00A714D9">
      <w:pPr>
        <w:spacing w:line="360" w:lineRule="auto"/>
        <w:rPr>
          <w:rFonts w:ascii="仿宋_GB2312" w:eastAsia="仿宋_GB2312"/>
          <w:b/>
          <w:szCs w:val="21"/>
        </w:rPr>
      </w:pPr>
      <w:r>
        <w:rPr>
          <w:rFonts w:ascii="仿宋_GB2312" w:eastAsia="仿宋_GB2312" w:hint="eastAsia"/>
          <w:b/>
          <w:szCs w:val="21"/>
        </w:rPr>
        <w:t xml:space="preserve">    1、计划批准文件名称、文号及项目编号、项目名称、计划完成年限、项目名称更改说明、编制单位</w:t>
      </w:r>
    </w:p>
    <w:p w:rsidR="00F0063E" w:rsidRDefault="00A714D9">
      <w:pPr>
        <w:spacing w:line="360" w:lineRule="auto"/>
        <w:ind w:firstLine="435"/>
        <w:rPr>
          <w:szCs w:val="21"/>
        </w:rPr>
      </w:pPr>
      <w:r>
        <w:rPr>
          <w:rFonts w:hint="eastAsia"/>
          <w:szCs w:val="21"/>
        </w:rPr>
        <w:t>根据全国有色金属标准化技术委员会《关于转发</w:t>
      </w:r>
      <w:r>
        <w:rPr>
          <w:rFonts w:hint="eastAsia"/>
          <w:szCs w:val="21"/>
        </w:rPr>
        <w:t>2019</w:t>
      </w:r>
      <w:r>
        <w:rPr>
          <w:rFonts w:hint="eastAsia"/>
          <w:szCs w:val="21"/>
        </w:rPr>
        <w:t>年第二批有色金属国家、行业、协会标准</w:t>
      </w:r>
      <w:r>
        <w:rPr>
          <w:rFonts w:hint="eastAsia"/>
          <w:szCs w:val="21"/>
        </w:rPr>
        <w:t xml:space="preserve"> </w:t>
      </w:r>
      <w:r>
        <w:rPr>
          <w:rFonts w:hint="eastAsia"/>
          <w:szCs w:val="21"/>
        </w:rPr>
        <w:t>制（修）订项目计划的通知》（有色标委</w:t>
      </w:r>
      <w:r>
        <w:rPr>
          <w:rFonts w:hint="eastAsia"/>
          <w:szCs w:val="21"/>
        </w:rPr>
        <w:t>[2019]73</w:t>
      </w:r>
      <w:r>
        <w:rPr>
          <w:rFonts w:hint="eastAsia"/>
          <w:szCs w:val="21"/>
        </w:rPr>
        <w:t>号）和全国有色标委会《关于印发﹤铅精矿化学分析方法﹥等</w:t>
      </w:r>
      <w:r>
        <w:rPr>
          <w:rFonts w:hint="eastAsia"/>
          <w:szCs w:val="21"/>
        </w:rPr>
        <w:t>11</w:t>
      </w:r>
      <w:r>
        <w:rPr>
          <w:rFonts w:hint="eastAsia"/>
          <w:szCs w:val="21"/>
        </w:rPr>
        <w:t>项国家标准和行业标准任务落实会议纪要的通知》的要求，由金川集团股份有限公司、甘肃精普检测科技有限公司负责《四氧化三钴化学分析方法</w:t>
      </w:r>
      <w:r>
        <w:rPr>
          <w:rFonts w:hint="eastAsia"/>
          <w:szCs w:val="21"/>
        </w:rPr>
        <w:t xml:space="preserve"> </w:t>
      </w:r>
      <w:r>
        <w:rPr>
          <w:rFonts w:hint="eastAsia"/>
          <w:szCs w:val="21"/>
        </w:rPr>
        <w:t>钾、钠含量的测定</w:t>
      </w:r>
      <w:r>
        <w:rPr>
          <w:rFonts w:hint="eastAsia"/>
          <w:szCs w:val="21"/>
        </w:rPr>
        <w:t xml:space="preserve"> </w:t>
      </w:r>
      <w:r>
        <w:rPr>
          <w:rFonts w:hint="eastAsia"/>
          <w:szCs w:val="21"/>
        </w:rPr>
        <w:t>火焰原子吸收光谱法和电感耦合等离子体发射光谱法》的编制，北京当升材料科技股份有限公司、北矿检测科技有限公司、广东省工业分析检测中心、国标（北京）检验认证有限公司、荆门市格林美新材料有限公司、广东邦普循环科技有限公司等单位参与编制，技术归口单位为全国有色金属标准化技术委员会，项目编号：</w:t>
      </w:r>
      <w:r>
        <w:rPr>
          <w:rFonts w:hint="eastAsia"/>
          <w:szCs w:val="21"/>
        </w:rPr>
        <w:t>2019-412T-YS</w:t>
      </w:r>
      <w:r>
        <w:rPr>
          <w:rFonts w:hint="eastAsia"/>
          <w:szCs w:val="21"/>
        </w:rPr>
        <w:t>，完成期限</w:t>
      </w:r>
      <w:r>
        <w:rPr>
          <w:rFonts w:hint="eastAsia"/>
          <w:szCs w:val="21"/>
        </w:rPr>
        <w:t>2021</w:t>
      </w:r>
      <w:r>
        <w:rPr>
          <w:rFonts w:hint="eastAsia"/>
          <w:szCs w:val="21"/>
        </w:rPr>
        <w:t>年。</w:t>
      </w:r>
    </w:p>
    <w:p w:rsidR="00F0063E" w:rsidRDefault="00A714D9">
      <w:pPr>
        <w:ind w:firstLine="420"/>
        <w:rPr>
          <w:rFonts w:ascii="仿宋_GB2312" w:eastAsia="仿宋_GB2312"/>
          <w:b/>
          <w:szCs w:val="21"/>
        </w:rPr>
      </w:pPr>
      <w:r>
        <w:rPr>
          <w:rFonts w:ascii="仿宋_GB2312" w:eastAsia="仿宋_GB2312" w:hint="eastAsia"/>
          <w:b/>
          <w:szCs w:val="21"/>
        </w:rPr>
        <w:t>2、项目编制单位变化情况</w:t>
      </w:r>
    </w:p>
    <w:p w:rsidR="00F0063E" w:rsidRDefault="00A714D9">
      <w:pPr>
        <w:spacing w:line="360" w:lineRule="auto"/>
        <w:ind w:firstLine="420"/>
        <w:rPr>
          <w:szCs w:val="21"/>
        </w:rPr>
      </w:pPr>
      <w:r>
        <w:rPr>
          <w:rFonts w:asciiTheme="minorEastAsia" w:eastAsiaTheme="minorEastAsia" w:hAnsiTheme="minorEastAsia" w:hint="eastAsia"/>
          <w:szCs w:val="21"/>
        </w:rPr>
        <w:t>标准主编单位原为：金川集团股份有限公司、兰州金川科技园有限公司、甘肃精普检测科技有限公司，兰州金川科技园有限公司为金川集团股份有限公司的子公司，甘肃精普检测科技有限</w:t>
      </w:r>
      <w:r>
        <w:rPr>
          <w:rFonts w:hint="eastAsia"/>
          <w:szCs w:val="21"/>
        </w:rPr>
        <w:t>公司为兰州金川科技园有限公司子公司，层级较多，建议去掉兰州金川科技园有限公司。</w:t>
      </w:r>
    </w:p>
    <w:p w:rsidR="00F0063E" w:rsidRDefault="00A714D9">
      <w:pPr>
        <w:pStyle w:val="a7"/>
        <w:numPr>
          <w:ilvl w:val="1"/>
          <w:numId w:val="1"/>
        </w:numPr>
        <w:spacing w:line="360" w:lineRule="auto"/>
        <w:ind w:left="851" w:firstLineChars="0" w:hanging="851"/>
        <w:rPr>
          <w:rFonts w:ascii="仿宋_GB2312" w:eastAsia="仿宋_GB2312"/>
          <w:b/>
          <w:sz w:val="24"/>
        </w:rPr>
      </w:pPr>
      <w:r>
        <w:rPr>
          <w:rFonts w:ascii="仿宋_GB2312" w:eastAsia="仿宋_GB2312" w:hint="eastAsia"/>
          <w:b/>
          <w:sz w:val="24"/>
        </w:rPr>
        <w:t>主要参加单位和工作成员及其所做工作</w:t>
      </w:r>
    </w:p>
    <w:p w:rsidR="00F0063E" w:rsidRDefault="00A714D9">
      <w:pPr>
        <w:pStyle w:val="a7"/>
        <w:numPr>
          <w:ilvl w:val="2"/>
          <w:numId w:val="1"/>
        </w:numPr>
        <w:ind w:left="851" w:firstLineChars="0" w:hanging="425"/>
        <w:rPr>
          <w:rFonts w:ascii="仿宋_GB2312" w:eastAsia="仿宋_GB2312"/>
          <w:b/>
          <w:szCs w:val="21"/>
        </w:rPr>
      </w:pPr>
      <w:r>
        <w:rPr>
          <w:rFonts w:ascii="仿宋_GB2312" w:eastAsia="仿宋_GB2312" w:hint="eastAsia"/>
          <w:b/>
          <w:szCs w:val="21"/>
        </w:rPr>
        <w:t>主要参加单位情况</w:t>
      </w:r>
    </w:p>
    <w:p w:rsidR="00F0063E" w:rsidRDefault="00A714D9">
      <w:pPr>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标准主编单位金川集团股份有限公司为标准的编制提供资金及设备等方面的支持；主编单位甘肃精普检测科技有限公司积极收集微量钾钠测定的相关文献，进行了测定方法的试验，确定测定参数，进行验证样品的准备，进行试验报告、标准文本（预审稿、报批稿）的编写，与参与编制单位就标准相关条款进行沟通、讨论，最终完成标准的编制任务。</w:t>
      </w:r>
    </w:p>
    <w:p w:rsidR="00F0063E" w:rsidRDefault="00A714D9">
      <w:pPr>
        <w:spacing w:line="360" w:lineRule="auto"/>
        <w:ind w:firstLineChars="202" w:firstLine="424"/>
        <w:rPr>
          <w:szCs w:val="21"/>
        </w:rPr>
      </w:pPr>
      <w:r>
        <w:rPr>
          <w:rFonts w:hint="eastAsia"/>
          <w:szCs w:val="21"/>
        </w:rPr>
        <w:t>北矿检测科技有限公司、广东省工业分析检测中心、国标（北京）检验认证有限公司、荆门市格林美新材料有限公司、广东邦普循环科技有限公司、北京当升材料科技股份有限公司等单位参与测定参数的验证工作，为标准编制提出合理的建议和意见。</w:t>
      </w:r>
    </w:p>
    <w:p w:rsidR="00F0063E" w:rsidRDefault="00A714D9">
      <w:pPr>
        <w:spacing w:line="360" w:lineRule="auto"/>
        <w:ind w:firstLineChars="202" w:firstLine="424"/>
        <w:rPr>
          <w:rFonts w:asciiTheme="minorEastAsia" w:eastAsiaTheme="minorEastAsia" w:hAnsiTheme="minorEastAsia"/>
          <w:szCs w:val="21"/>
        </w:rPr>
      </w:pPr>
      <w:r>
        <w:rPr>
          <w:rFonts w:hint="eastAsia"/>
          <w:color w:val="000000"/>
          <w:szCs w:val="21"/>
        </w:rPr>
        <w:t>贵州省分析测试研究院、深圳市中金岭南有色金属股份有限公司韶关冶炼厂、福建紫金矿冶测试技术有限公司、深圳海关工业品检测技术中心、防城港市东途矿产检测有限公司、华南理工大学、中伟新材料有限公司、中国检验认证集团广西有限公司等单位参与方法精密</w:t>
      </w:r>
      <w:r>
        <w:rPr>
          <w:rFonts w:hint="eastAsia"/>
          <w:color w:val="000000"/>
          <w:szCs w:val="21"/>
        </w:rPr>
        <w:lastRenderedPageBreak/>
        <w:t>度的验证，为方法文本的表述和参数修改提供意见和建议。</w:t>
      </w:r>
    </w:p>
    <w:p w:rsidR="00F0063E" w:rsidRDefault="00A714D9">
      <w:pPr>
        <w:pStyle w:val="a7"/>
        <w:numPr>
          <w:ilvl w:val="2"/>
          <w:numId w:val="1"/>
        </w:numPr>
        <w:spacing w:line="360" w:lineRule="auto"/>
        <w:ind w:left="709" w:firstLineChars="0" w:hanging="283"/>
        <w:rPr>
          <w:rFonts w:ascii="仿宋_GB2312" w:eastAsia="仿宋_GB2312"/>
          <w:b/>
          <w:szCs w:val="21"/>
        </w:rPr>
      </w:pPr>
      <w:r>
        <w:rPr>
          <w:rFonts w:ascii="仿宋_GB2312" w:eastAsia="仿宋_GB2312" w:hint="eastAsia"/>
          <w:b/>
          <w:szCs w:val="21"/>
        </w:rPr>
        <w:t>主要工作成员所负责的工作情况</w:t>
      </w:r>
    </w:p>
    <w:p w:rsidR="00F0063E" w:rsidRDefault="00A714D9">
      <w:pPr>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本标准主要起草人及工作职责见表1。</w:t>
      </w:r>
    </w:p>
    <w:p w:rsidR="00F0063E" w:rsidRDefault="00A714D9">
      <w:pPr>
        <w:spacing w:line="360" w:lineRule="auto"/>
        <w:ind w:left="426"/>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 xml:space="preserve"> 表1  主要起草人及工作职责</w:t>
      </w:r>
    </w:p>
    <w:tbl>
      <w:tblPr>
        <w:tblW w:w="0" w:type="auto"/>
        <w:tblInd w:w="426" w:type="dxa"/>
        <w:tblLook w:val="04A0"/>
      </w:tblPr>
      <w:tblGrid>
        <w:gridCol w:w="4048"/>
        <w:gridCol w:w="4048"/>
      </w:tblGrid>
      <w:tr w:rsidR="00F0063E">
        <w:tc>
          <w:tcPr>
            <w:tcW w:w="4261" w:type="dxa"/>
          </w:tcPr>
          <w:p w:rsidR="00F0063E" w:rsidRDefault="00A714D9">
            <w:pPr>
              <w:jc w:val="center"/>
              <w:rPr>
                <w:rFonts w:ascii="仿宋_GB2312" w:eastAsia="仿宋_GB2312"/>
                <w:b/>
                <w:szCs w:val="21"/>
              </w:rPr>
            </w:pPr>
            <w:r>
              <w:rPr>
                <w:rFonts w:ascii="仿宋_GB2312" w:eastAsia="仿宋_GB2312" w:hint="eastAsia"/>
                <w:b/>
                <w:szCs w:val="21"/>
              </w:rPr>
              <w:t>起草人</w:t>
            </w:r>
          </w:p>
        </w:tc>
        <w:tc>
          <w:tcPr>
            <w:tcW w:w="4261" w:type="dxa"/>
          </w:tcPr>
          <w:p w:rsidR="00F0063E" w:rsidRDefault="00A714D9">
            <w:pPr>
              <w:jc w:val="center"/>
              <w:rPr>
                <w:rFonts w:ascii="仿宋_GB2312" w:eastAsia="仿宋_GB2312"/>
                <w:b/>
                <w:szCs w:val="21"/>
              </w:rPr>
            </w:pPr>
            <w:r>
              <w:rPr>
                <w:rFonts w:ascii="仿宋_GB2312" w:eastAsia="仿宋_GB2312" w:hint="eastAsia"/>
                <w:b/>
                <w:szCs w:val="21"/>
              </w:rPr>
              <w:t>工作职责</w:t>
            </w:r>
          </w:p>
        </w:tc>
      </w:tr>
      <w:tr w:rsidR="00F0063E">
        <w:tc>
          <w:tcPr>
            <w:tcW w:w="4261" w:type="dxa"/>
          </w:tcPr>
          <w:p w:rsidR="00F0063E" w:rsidRDefault="00F0063E">
            <w:pPr>
              <w:rPr>
                <w:rFonts w:ascii="仿宋_GB2312" w:eastAsia="仿宋_GB2312"/>
                <w:b/>
                <w:szCs w:val="21"/>
              </w:rPr>
            </w:pPr>
          </w:p>
        </w:tc>
        <w:tc>
          <w:tcPr>
            <w:tcW w:w="4261" w:type="dxa"/>
          </w:tcPr>
          <w:p w:rsidR="00F0063E" w:rsidRDefault="00F0063E">
            <w:pPr>
              <w:rPr>
                <w:rFonts w:ascii="仿宋_GB2312" w:eastAsia="仿宋_GB2312"/>
                <w:b/>
                <w:szCs w:val="21"/>
              </w:rPr>
            </w:pPr>
          </w:p>
        </w:tc>
      </w:tr>
      <w:tr w:rsidR="00F0063E">
        <w:tc>
          <w:tcPr>
            <w:tcW w:w="4261" w:type="dxa"/>
          </w:tcPr>
          <w:p w:rsidR="00F0063E" w:rsidRDefault="00F0063E">
            <w:pPr>
              <w:rPr>
                <w:rFonts w:ascii="仿宋_GB2312" w:eastAsia="仿宋_GB2312"/>
                <w:b/>
                <w:szCs w:val="21"/>
              </w:rPr>
            </w:pPr>
          </w:p>
        </w:tc>
        <w:tc>
          <w:tcPr>
            <w:tcW w:w="4261" w:type="dxa"/>
          </w:tcPr>
          <w:p w:rsidR="00F0063E" w:rsidRDefault="00F0063E">
            <w:pPr>
              <w:rPr>
                <w:rFonts w:ascii="仿宋_GB2312" w:eastAsia="仿宋_GB2312"/>
                <w:b/>
                <w:szCs w:val="21"/>
              </w:rPr>
            </w:pPr>
          </w:p>
        </w:tc>
      </w:tr>
      <w:tr w:rsidR="00F0063E">
        <w:tc>
          <w:tcPr>
            <w:tcW w:w="4261" w:type="dxa"/>
          </w:tcPr>
          <w:p w:rsidR="00F0063E" w:rsidRDefault="00F0063E">
            <w:pPr>
              <w:rPr>
                <w:rFonts w:ascii="仿宋_GB2312" w:eastAsia="仿宋_GB2312"/>
                <w:b/>
                <w:szCs w:val="21"/>
              </w:rPr>
            </w:pPr>
          </w:p>
        </w:tc>
        <w:tc>
          <w:tcPr>
            <w:tcW w:w="4261" w:type="dxa"/>
          </w:tcPr>
          <w:p w:rsidR="00F0063E" w:rsidRDefault="00F0063E">
            <w:pPr>
              <w:rPr>
                <w:rFonts w:ascii="仿宋_GB2312" w:eastAsia="仿宋_GB2312"/>
                <w:b/>
                <w:szCs w:val="21"/>
              </w:rPr>
            </w:pPr>
          </w:p>
        </w:tc>
      </w:tr>
      <w:tr w:rsidR="00F0063E">
        <w:tc>
          <w:tcPr>
            <w:tcW w:w="4261" w:type="dxa"/>
          </w:tcPr>
          <w:p w:rsidR="00F0063E" w:rsidRDefault="00F0063E">
            <w:pPr>
              <w:rPr>
                <w:rFonts w:ascii="仿宋_GB2312" w:eastAsia="仿宋_GB2312"/>
                <w:b/>
                <w:szCs w:val="21"/>
              </w:rPr>
            </w:pPr>
          </w:p>
        </w:tc>
        <w:tc>
          <w:tcPr>
            <w:tcW w:w="4261" w:type="dxa"/>
          </w:tcPr>
          <w:p w:rsidR="00F0063E" w:rsidRDefault="00F0063E">
            <w:pPr>
              <w:rPr>
                <w:rFonts w:ascii="仿宋_GB2312" w:eastAsia="仿宋_GB2312"/>
                <w:b/>
                <w:szCs w:val="21"/>
              </w:rPr>
            </w:pPr>
          </w:p>
        </w:tc>
      </w:tr>
    </w:tbl>
    <w:p w:rsidR="00F0063E" w:rsidRDefault="00F0063E">
      <w:pPr>
        <w:ind w:left="426"/>
        <w:rPr>
          <w:rFonts w:ascii="仿宋_GB2312" w:eastAsia="仿宋_GB2312"/>
          <w:b/>
          <w:szCs w:val="21"/>
        </w:rPr>
      </w:pPr>
    </w:p>
    <w:p w:rsidR="00F0063E" w:rsidRDefault="00A714D9">
      <w:pPr>
        <w:pStyle w:val="a7"/>
        <w:numPr>
          <w:ilvl w:val="1"/>
          <w:numId w:val="1"/>
        </w:numPr>
        <w:ind w:left="851" w:firstLineChars="0" w:hanging="851"/>
        <w:rPr>
          <w:rFonts w:ascii="仿宋_GB2312" w:eastAsia="仿宋_GB2312"/>
          <w:b/>
          <w:sz w:val="24"/>
        </w:rPr>
      </w:pPr>
      <w:r>
        <w:rPr>
          <w:rFonts w:ascii="仿宋_GB2312" w:eastAsia="仿宋_GB2312" w:hint="eastAsia"/>
          <w:b/>
          <w:sz w:val="24"/>
        </w:rPr>
        <w:t>主要工作过程</w:t>
      </w:r>
    </w:p>
    <w:p w:rsidR="00F0063E" w:rsidRDefault="00A714D9">
      <w:pPr>
        <w:pStyle w:val="a7"/>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预研阶段</w:t>
      </w:r>
    </w:p>
    <w:p w:rsidR="00F0063E" w:rsidRDefault="00A714D9">
      <w:pPr>
        <w:tabs>
          <w:tab w:val="left" w:pos="851"/>
        </w:tabs>
        <w:spacing w:line="360" w:lineRule="auto"/>
        <w:ind w:firstLineChars="200" w:firstLine="420"/>
        <w:rPr>
          <w:rFonts w:ascii="宋体" w:hAnsi="宋体"/>
          <w:szCs w:val="21"/>
        </w:rPr>
      </w:pPr>
      <w:r>
        <w:rPr>
          <w:rFonts w:ascii="宋体" w:hAnsi="宋体" w:hint="eastAsia"/>
          <w:szCs w:val="21"/>
        </w:rPr>
        <w:t>2017年6月，针对四氧化三钴各元素化学分析方法进行梳理，其中钾、钠、硅、碳等元素的分析没有相应的标准，实际工作中使用的测定方法没有通过系统的试验，方法的可靠性有待验证，为此，金川集团股份有限公司委托甘肃精普检测科技有限公司进行分析方法的可行性研究，确定主要检测方法思路。</w:t>
      </w:r>
    </w:p>
    <w:p w:rsidR="00F0063E" w:rsidRDefault="00A714D9">
      <w:pPr>
        <w:pStyle w:val="a7"/>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立项阶段</w:t>
      </w:r>
    </w:p>
    <w:p w:rsidR="00F0063E" w:rsidRDefault="00A714D9">
      <w:pPr>
        <w:tabs>
          <w:tab w:val="left" w:pos="426"/>
        </w:tabs>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 2019年</w:t>
      </w:r>
      <w:r w:rsidR="008348C6">
        <w:rPr>
          <w:rFonts w:asciiTheme="minorEastAsia" w:eastAsiaTheme="minorEastAsia" w:hAnsiTheme="minorEastAsia" w:hint="eastAsia"/>
          <w:szCs w:val="21"/>
        </w:rPr>
        <w:t>4</w:t>
      </w:r>
      <w:r>
        <w:rPr>
          <w:rFonts w:asciiTheme="minorEastAsia" w:eastAsiaTheme="minorEastAsia" w:hAnsiTheme="minorEastAsia" w:hint="eastAsia"/>
          <w:szCs w:val="21"/>
        </w:rPr>
        <w:t>月</w:t>
      </w:r>
      <w:r w:rsidR="008348C6">
        <w:rPr>
          <w:rFonts w:asciiTheme="minorEastAsia" w:eastAsiaTheme="minorEastAsia" w:hAnsiTheme="minorEastAsia" w:hint="eastAsia"/>
          <w:szCs w:val="21"/>
        </w:rPr>
        <w:t>，</w:t>
      </w:r>
      <w:r>
        <w:rPr>
          <w:rFonts w:asciiTheme="minorEastAsia" w:eastAsiaTheme="minorEastAsia" w:hAnsiTheme="minorEastAsia" w:hint="eastAsia"/>
          <w:szCs w:val="21"/>
        </w:rPr>
        <w:t>金川集团股份有限公司向国家有色标准化技术委员会提交了《四氧化三钴化学分析方法 钾、钠含量的测定 火焰原子吸收光谱法和电感耦合等离子体发射光谱法》有色行业标准项目建议书、标准文本草案及立项书等材料，国家有色标准化技术委员会于2018年10月在安徽召开的标准化工作会议上进行立项认证，参会委员同意该项目列为行业标准项目。</w:t>
      </w:r>
    </w:p>
    <w:p w:rsidR="00F0063E" w:rsidRDefault="00A714D9">
      <w:pPr>
        <w:spacing w:line="360" w:lineRule="auto"/>
        <w:ind w:firstLine="435"/>
        <w:rPr>
          <w:szCs w:val="21"/>
        </w:rPr>
      </w:pPr>
      <w:r>
        <w:rPr>
          <w:rFonts w:asciiTheme="minorEastAsia" w:eastAsiaTheme="minorEastAsia" w:hAnsiTheme="minorEastAsia" w:hint="eastAsia"/>
          <w:szCs w:val="21"/>
        </w:rPr>
        <w:t>2019年</w:t>
      </w:r>
      <w:r w:rsidR="00343401">
        <w:rPr>
          <w:rFonts w:asciiTheme="minorEastAsia" w:eastAsiaTheme="minorEastAsia" w:hAnsiTheme="minorEastAsia" w:hint="eastAsia"/>
          <w:szCs w:val="21"/>
        </w:rPr>
        <w:t>11月</w:t>
      </w:r>
      <w:r>
        <w:rPr>
          <w:rFonts w:asciiTheme="minorEastAsia" w:eastAsiaTheme="minorEastAsia" w:hAnsiTheme="minorEastAsia" w:hint="eastAsia"/>
          <w:szCs w:val="21"/>
        </w:rPr>
        <w:t xml:space="preserve"> 国家标准化技术委员下发</w:t>
      </w:r>
      <w:r>
        <w:rPr>
          <w:rFonts w:hint="eastAsia"/>
          <w:szCs w:val="21"/>
        </w:rPr>
        <w:t>《关于转发</w:t>
      </w:r>
      <w:r>
        <w:rPr>
          <w:rFonts w:hint="eastAsia"/>
          <w:szCs w:val="21"/>
        </w:rPr>
        <w:t>2019</w:t>
      </w:r>
      <w:r>
        <w:rPr>
          <w:rFonts w:hint="eastAsia"/>
          <w:szCs w:val="21"/>
        </w:rPr>
        <w:t>年第二批有色金属国家、行业、协会标准</w:t>
      </w:r>
      <w:r>
        <w:rPr>
          <w:rFonts w:hint="eastAsia"/>
          <w:szCs w:val="21"/>
        </w:rPr>
        <w:t xml:space="preserve"> </w:t>
      </w:r>
      <w:r>
        <w:rPr>
          <w:rFonts w:hint="eastAsia"/>
          <w:szCs w:val="21"/>
        </w:rPr>
        <w:t>制（修）订项目计划的通知》（有色标委</w:t>
      </w:r>
      <w:r>
        <w:rPr>
          <w:rFonts w:hint="eastAsia"/>
          <w:szCs w:val="21"/>
        </w:rPr>
        <w:t>[2019]73</w:t>
      </w:r>
      <w:r>
        <w:rPr>
          <w:rFonts w:hint="eastAsia"/>
          <w:szCs w:val="21"/>
        </w:rPr>
        <w:t>号），计划号为</w:t>
      </w:r>
      <w:r>
        <w:rPr>
          <w:rFonts w:hint="eastAsia"/>
          <w:szCs w:val="21"/>
        </w:rPr>
        <w:t>2019-412T-YS</w:t>
      </w:r>
      <w:r>
        <w:rPr>
          <w:rFonts w:hint="eastAsia"/>
          <w:szCs w:val="21"/>
        </w:rPr>
        <w:t>，完成期限</w:t>
      </w:r>
      <w:r>
        <w:rPr>
          <w:rFonts w:hint="eastAsia"/>
          <w:szCs w:val="21"/>
        </w:rPr>
        <w:t>2021</w:t>
      </w:r>
      <w:r>
        <w:rPr>
          <w:rFonts w:hint="eastAsia"/>
          <w:szCs w:val="21"/>
        </w:rPr>
        <w:t>年，技术归口单位为全国有色金属标准化技术委员会。</w:t>
      </w:r>
    </w:p>
    <w:p w:rsidR="00F0063E" w:rsidRDefault="00A714D9">
      <w:pPr>
        <w:pStyle w:val="a7"/>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起草阶段</w:t>
      </w:r>
    </w:p>
    <w:p w:rsidR="00F0063E" w:rsidRDefault="00A714D9">
      <w:pPr>
        <w:tabs>
          <w:tab w:val="left" w:pos="851"/>
        </w:tabs>
        <w:spacing w:line="360" w:lineRule="auto"/>
        <w:ind w:firstLineChars="250" w:firstLine="525"/>
        <w:rPr>
          <w:color w:val="000000"/>
          <w:szCs w:val="21"/>
        </w:rPr>
      </w:pPr>
      <w:r>
        <w:rPr>
          <w:kern w:val="0"/>
        </w:rPr>
        <w:t>201</w:t>
      </w:r>
      <w:r>
        <w:rPr>
          <w:rFonts w:hint="eastAsia"/>
          <w:kern w:val="0"/>
        </w:rPr>
        <w:t>9</w:t>
      </w:r>
      <w:r>
        <w:rPr>
          <w:kern w:val="0"/>
        </w:rPr>
        <w:t>年</w:t>
      </w:r>
      <w:r>
        <w:rPr>
          <w:rFonts w:hint="eastAsia"/>
          <w:kern w:val="0"/>
        </w:rPr>
        <w:t>11</w:t>
      </w:r>
      <w:r>
        <w:rPr>
          <w:kern w:val="0"/>
        </w:rPr>
        <w:t>月</w:t>
      </w:r>
      <w:r>
        <w:rPr>
          <w:kern w:val="0"/>
        </w:rPr>
        <w:t>1</w:t>
      </w:r>
      <w:r>
        <w:rPr>
          <w:rFonts w:hint="eastAsia"/>
          <w:kern w:val="0"/>
        </w:rPr>
        <w:t>6</w:t>
      </w:r>
      <w:r>
        <w:rPr>
          <w:kern w:val="0"/>
        </w:rPr>
        <w:t>日，全国有色金属标准化技术委员会在</w:t>
      </w:r>
      <w:r>
        <w:rPr>
          <w:rFonts w:hint="eastAsia"/>
          <w:kern w:val="0"/>
        </w:rPr>
        <w:t>山东泰安</w:t>
      </w:r>
      <w:r>
        <w:rPr>
          <w:kern w:val="0"/>
        </w:rPr>
        <w:t>市召开了有色金属标准工作会议。会议对有色金属行业标准《</w:t>
      </w:r>
      <w:r>
        <w:rPr>
          <w:rFonts w:hint="eastAsia"/>
          <w:szCs w:val="21"/>
        </w:rPr>
        <w:t>四氧化三钴</w:t>
      </w:r>
      <w:r>
        <w:rPr>
          <w:szCs w:val="21"/>
        </w:rPr>
        <w:t>化学分析方法</w:t>
      </w:r>
      <w:r>
        <w:rPr>
          <w:szCs w:val="21"/>
        </w:rPr>
        <w:t xml:space="preserve"> </w:t>
      </w:r>
      <w:r>
        <w:rPr>
          <w:rFonts w:hint="eastAsia"/>
          <w:szCs w:val="21"/>
        </w:rPr>
        <w:t>钾、钠含量</w:t>
      </w:r>
      <w:r>
        <w:rPr>
          <w:szCs w:val="21"/>
        </w:rPr>
        <w:t>的测定</w:t>
      </w:r>
      <w:r>
        <w:rPr>
          <w:szCs w:val="21"/>
        </w:rPr>
        <w:t xml:space="preserve"> </w:t>
      </w:r>
      <w:r>
        <w:rPr>
          <w:rFonts w:hint="eastAsia"/>
          <w:szCs w:val="21"/>
        </w:rPr>
        <w:t>火焰原子吸收光谱法和</w:t>
      </w:r>
      <w:r>
        <w:rPr>
          <w:szCs w:val="21"/>
        </w:rPr>
        <w:t>电感耦合等离子体原子发射光谱</w:t>
      </w:r>
      <w:r>
        <w:rPr>
          <w:rFonts w:hint="eastAsia"/>
          <w:szCs w:val="21"/>
        </w:rPr>
        <w:t>法</w:t>
      </w:r>
      <w:r>
        <w:rPr>
          <w:kern w:val="0"/>
        </w:rPr>
        <w:t>》进行了任务落实</w:t>
      </w:r>
      <w:r>
        <w:rPr>
          <w:rFonts w:hint="eastAsia"/>
          <w:kern w:val="0"/>
        </w:rPr>
        <w:t>。</w:t>
      </w:r>
      <w:r>
        <w:rPr>
          <w:color w:val="FF0000"/>
          <w:kern w:val="0"/>
        </w:rPr>
        <w:t>20</w:t>
      </w:r>
      <w:r>
        <w:rPr>
          <w:rFonts w:hint="eastAsia"/>
          <w:color w:val="FF0000"/>
          <w:kern w:val="0"/>
        </w:rPr>
        <w:t>20</w:t>
      </w:r>
      <w:r>
        <w:rPr>
          <w:color w:val="FF0000"/>
          <w:kern w:val="0"/>
        </w:rPr>
        <w:t>年</w:t>
      </w:r>
      <w:r>
        <w:rPr>
          <w:rFonts w:hint="eastAsia"/>
          <w:color w:val="FF0000"/>
          <w:kern w:val="0"/>
        </w:rPr>
        <w:t>1</w:t>
      </w:r>
      <w:r>
        <w:rPr>
          <w:color w:val="FF0000"/>
          <w:kern w:val="0"/>
        </w:rPr>
        <w:t>月</w:t>
      </w:r>
      <w:r>
        <w:rPr>
          <w:color w:val="FF0000"/>
          <w:kern w:val="0"/>
        </w:rPr>
        <w:t>6</w:t>
      </w:r>
      <w:r>
        <w:rPr>
          <w:color w:val="FF0000"/>
          <w:kern w:val="0"/>
        </w:rPr>
        <w:t>日，</w:t>
      </w:r>
      <w:r>
        <w:rPr>
          <w:rFonts w:hint="eastAsia"/>
          <w:color w:val="000000"/>
          <w:kern w:val="0"/>
        </w:rPr>
        <w:t>金川集团股份有限公司接到任务后，通过兰州金川科技园有限公司下发给甘肃精普检测</w:t>
      </w:r>
      <w:r>
        <w:rPr>
          <w:color w:val="000000"/>
          <w:kern w:val="0"/>
        </w:rPr>
        <w:t>科技有限公司，</w:t>
      </w:r>
      <w:r>
        <w:rPr>
          <w:rFonts w:hint="eastAsia"/>
          <w:color w:val="000000"/>
          <w:kern w:val="0"/>
        </w:rPr>
        <w:t>精普公司</w:t>
      </w:r>
      <w:r>
        <w:rPr>
          <w:color w:val="000000"/>
          <w:szCs w:val="21"/>
        </w:rPr>
        <w:t>组建《</w:t>
      </w:r>
      <w:r>
        <w:rPr>
          <w:rFonts w:hint="eastAsia"/>
          <w:color w:val="000000"/>
          <w:szCs w:val="21"/>
        </w:rPr>
        <w:t>四氧化三钴中钾钠硅碳检测方法的建立</w:t>
      </w:r>
      <w:r>
        <w:rPr>
          <w:color w:val="000000"/>
          <w:szCs w:val="21"/>
        </w:rPr>
        <w:t>》</w:t>
      </w:r>
      <w:r>
        <w:rPr>
          <w:rFonts w:hint="eastAsia"/>
          <w:color w:val="000000"/>
          <w:szCs w:val="21"/>
        </w:rPr>
        <w:t>试验项目组，暨《四氧化三钴化学分析方法》</w:t>
      </w:r>
      <w:r>
        <w:rPr>
          <w:color w:val="000000"/>
          <w:szCs w:val="21"/>
        </w:rPr>
        <w:t>行业标准</w:t>
      </w:r>
      <w:r>
        <w:rPr>
          <w:rFonts w:hint="eastAsia"/>
          <w:color w:val="000000"/>
          <w:szCs w:val="21"/>
        </w:rPr>
        <w:t>编制</w:t>
      </w:r>
      <w:r>
        <w:rPr>
          <w:color w:val="000000"/>
          <w:szCs w:val="21"/>
        </w:rPr>
        <w:t>小组</w:t>
      </w:r>
      <w:r>
        <w:rPr>
          <w:rFonts w:hint="eastAsia"/>
          <w:color w:val="000000"/>
          <w:szCs w:val="21"/>
        </w:rPr>
        <w:t>，负责方法试验和标准编制</w:t>
      </w:r>
      <w:r>
        <w:rPr>
          <w:color w:val="000000"/>
          <w:szCs w:val="21"/>
        </w:rPr>
        <w:t>，</w:t>
      </w:r>
      <w:r>
        <w:rPr>
          <w:rFonts w:hint="eastAsia"/>
          <w:color w:val="000000"/>
          <w:szCs w:val="21"/>
        </w:rPr>
        <w:t>项目组成员</w:t>
      </w:r>
      <w:r>
        <w:rPr>
          <w:color w:val="000000"/>
          <w:szCs w:val="21"/>
        </w:rPr>
        <w:t>主要由</w:t>
      </w:r>
      <w:r>
        <w:rPr>
          <w:rFonts w:hint="eastAsia"/>
          <w:color w:val="000000"/>
          <w:szCs w:val="21"/>
        </w:rPr>
        <w:t>技</w:t>
      </w:r>
      <w:r>
        <w:rPr>
          <w:rFonts w:hint="eastAsia"/>
          <w:color w:val="000000"/>
          <w:szCs w:val="21"/>
        </w:rPr>
        <w:lastRenderedPageBreak/>
        <w:t>术人员</w:t>
      </w:r>
      <w:r>
        <w:rPr>
          <w:color w:val="000000"/>
          <w:szCs w:val="21"/>
        </w:rPr>
        <w:t>组成</w:t>
      </w:r>
      <w:r>
        <w:rPr>
          <w:color w:val="000000"/>
          <w:kern w:val="0"/>
        </w:rPr>
        <w:t>。</w:t>
      </w:r>
    </w:p>
    <w:p w:rsidR="00F0063E" w:rsidRDefault="00A714D9">
      <w:pPr>
        <w:tabs>
          <w:tab w:val="left" w:pos="851"/>
        </w:tabs>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2020年10月10日，精普公司标准编制小组完成标准文本（讨论稿）的编写和试验报告（讨论稿）的编写，发至各参与起草单位，完成验证样品的准备工作。同时，将验证样品寄各单位进行验证试验。</w:t>
      </w:r>
    </w:p>
    <w:p w:rsidR="00F0063E" w:rsidRDefault="00A714D9" w:rsidP="00A95BE6">
      <w:pPr>
        <w:tabs>
          <w:tab w:val="left" w:pos="851"/>
        </w:tabs>
        <w:spacing w:line="360" w:lineRule="auto"/>
        <w:ind w:firstLineChars="196" w:firstLine="412"/>
        <w:rPr>
          <w:rFonts w:asciiTheme="minorEastAsia" w:eastAsiaTheme="minorEastAsia" w:hAnsiTheme="minorEastAsia"/>
          <w:szCs w:val="21"/>
        </w:rPr>
      </w:pPr>
      <w:r>
        <w:rPr>
          <w:rFonts w:ascii="宋体" w:hAnsi="宋体" w:hint="eastAsia"/>
          <w:szCs w:val="21"/>
        </w:rPr>
        <w:t>202</w:t>
      </w:r>
      <w:r w:rsidR="008348C6">
        <w:rPr>
          <w:rFonts w:ascii="宋体" w:hAnsi="宋体" w:hint="eastAsia"/>
          <w:szCs w:val="21"/>
        </w:rPr>
        <w:t>1</w:t>
      </w:r>
      <w:r>
        <w:rPr>
          <w:rFonts w:ascii="宋体" w:hAnsi="宋体" w:hint="eastAsia"/>
          <w:szCs w:val="21"/>
        </w:rPr>
        <w:t>年</w:t>
      </w:r>
      <w:r w:rsidR="00343401">
        <w:rPr>
          <w:rFonts w:ascii="宋体" w:hAnsi="宋体" w:hint="eastAsia"/>
          <w:szCs w:val="21"/>
        </w:rPr>
        <w:t>3月</w:t>
      </w:r>
      <w:r>
        <w:rPr>
          <w:rFonts w:ascii="宋体" w:hAnsi="宋体" w:hint="eastAsia"/>
          <w:szCs w:val="21"/>
        </w:rPr>
        <w:t xml:space="preserve"> 在</w:t>
      </w:r>
      <w:r w:rsidR="00343401">
        <w:rPr>
          <w:rFonts w:ascii="宋体" w:hAnsi="宋体" w:hint="eastAsia"/>
          <w:szCs w:val="21"/>
        </w:rPr>
        <w:t>海南琼海</w:t>
      </w:r>
      <w:r>
        <w:rPr>
          <w:rFonts w:ascii="宋体" w:hAnsi="宋体" w:hint="eastAsia"/>
          <w:szCs w:val="21"/>
        </w:rPr>
        <w:t>召开了</w:t>
      </w:r>
      <w:r>
        <w:rPr>
          <w:rFonts w:asciiTheme="minorEastAsia" w:eastAsiaTheme="minorEastAsia" w:hAnsiTheme="minorEastAsia" w:hint="eastAsia"/>
          <w:szCs w:val="21"/>
        </w:rPr>
        <w:t>有色行业标准YS/T1057.X-20XX《四氧化三钴化学分析方法  钾钠含量的测定  火焰原子吸收光谱法和电感耦合等离子体发射光谱法》预审会，标准编制单位                               参加了预审会。根据与会专家和代表的认真讨论、研究，形成预审定会会议纪要，并在会议上通过专家审议通过；根据预审定会会议纪要，修订了本标准的讨论稿，编制本标准的审定稿。</w:t>
      </w:r>
    </w:p>
    <w:p w:rsidR="00F0063E" w:rsidRDefault="00A714D9">
      <w:pPr>
        <w:pStyle w:val="a7"/>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征求意见阶段</w:t>
      </w:r>
    </w:p>
    <w:p w:rsidR="00F0063E" w:rsidRDefault="00A714D9">
      <w:pPr>
        <w:tabs>
          <w:tab w:val="left" w:pos="851"/>
        </w:tabs>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在标准验证期间，各验证单位对标准文本和试验报告提出很多宝贵的意见，编制小组对各单位意见进行了回复处理，处理情况见</w:t>
      </w:r>
      <w:r w:rsidR="00343401">
        <w:rPr>
          <w:rFonts w:asciiTheme="minorEastAsia" w:eastAsiaTheme="minorEastAsia" w:hAnsiTheme="minorEastAsia" w:hint="eastAsia"/>
          <w:szCs w:val="21"/>
        </w:rPr>
        <w:t>意见汇总表。</w:t>
      </w:r>
    </w:p>
    <w:p w:rsidR="00F0063E" w:rsidRDefault="00A714D9">
      <w:pPr>
        <w:tabs>
          <w:tab w:val="left" w:pos="851"/>
        </w:tabs>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343401">
        <w:rPr>
          <w:rFonts w:asciiTheme="minorEastAsia" w:eastAsiaTheme="minorEastAsia" w:hAnsiTheme="minorEastAsia" w:hint="eastAsia"/>
          <w:szCs w:val="21"/>
        </w:rPr>
        <w:t xml:space="preserve"> </w:t>
      </w:r>
    </w:p>
    <w:p w:rsidR="00F0063E" w:rsidRDefault="00A714D9">
      <w:pPr>
        <w:tabs>
          <w:tab w:val="left" w:pos="851"/>
        </w:tabs>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在项目预审会上，与会专家和代表也对标准文本（讨论稿）和试验报告提出意见和建议，编制小组对意见进行分类处理，处理情况见</w:t>
      </w:r>
      <w:r w:rsidR="00343401">
        <w:rPr>
          <w:rFonts w:asciiTheme="minorEastAsia" w:eastAsiaTheme="minorEastAsia" w:hAnsiTheme="minorEastAsia" w:hint="eastAsia"/>
          <w:szCs w:val="21"/>
        </w:rPr>
        <w:t xml:space="preserve">意见汇总表。 </w:t>
      </w:r>
    </w:p>
    <w:p w:rsidR="00F0063E" w:rsidRDefault="00F0063E">
      <w:pPr>
        <w:tabs>
          <w:tab w:val="left" w:pos="851"/>
        </w:tabs>
        <w:spacing w:line="360" w:lineRule="auto"/>
        <w:ind w:firstLine="420"/>
        <w:rPr>
          <w:rFonts w:ascii="仿宋_GB2312" w:eastAsia="仿宋_GB2312"/>
          <w:b/>
          <w:szCs w:val="21"/>
        </w:rPr>
      </w:pPr>
    </w:p>
    <w:p w:rsidR="00F0063E" w:rsidRDefault="00A714D9">
      <w:pPr>
        <w:pStyle w:val="a7"/>
        <w:numPr>
          <w:ilvl w:val="2"/>
          <w:numId w:val="1"/>
        </w:numPr>
        <w:tabs>
          <w:tab w:val="left" w:pos="851"/>
        </w:tabs>
        <w:spacing w:line="360" w:lineRule="auto"/>
        <w:ind w:left="1276" w:firstLineChars="0" w:hanging="850"/>
        <w:rPr>
          <w:rFonts w:ascii="仿宋_GB2312" w:eastAsia="仿宋_GB2312"/>
          <w:b/>
          <w:szCs w:val="21"/>
        </w:rPr>
      </w:pPr>
      <w:r>
        <w:rPr>
          <w:rFonts w:ascii="仿宋_GB2312" w:eastAsia="仿宋_GB2312" w:hint="eastAsia"/>
          <w:b/>
          <w:szCs w:val="21"/>
        </w:rPr>
        <w:t>审查阶段</w:t>
      </w:r>
    </w:p>
    <w:p w:rsidR="00F0063E" w:rsidRDefault="00A714D9">
      <w:pPr>
        <w:tabs>
          <w:tab w:val="left" w:pos="851"/>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2020 年   月，在    召开了有色行业标准YS/T1057。-20XX《四氧化三钴化学分析方法  钾钠含量的测定  火焰原子吸收光谱法和电感耦合等离子体发射光谱法》审定会，根据与会专家和代表的认真讨论、研究，形成审定会会议纪要，并在会议上通过专家审议通过；根据审定会会议纪要，修订了本标准的送审稿，编制本标准的报批稿。</w:t>
      </w:r>
    </w:p>
    <w:p w:rsidR="00F0063E" w:rsidRDefault="00A714D9">
      <w:pPr>
        <w:pStyle w:val="a7"/>
        <w:numPr>
          <w:ilvl w:val="2"/>
          <w:numId w:val="1"/>
        </w:numPr>
        <w:tabs>
          <w:tab w:val="left" w:pos="851"/>
        </w:tabs>
        <w:spacing w:line="360" w:lineRule="auto"/>
        <w:ind w:left="1276" w:firstLineChars="0" w:hanging="850"/>
        <w:rPr>
          <w:rFonts w:ascii="仿宋_GB2312" w:eastAsia="仿宋_GB2312"/>
          <w:b/>
          <w:sz w:val="28"/>
          <w:szCs w:val="28"/>
        </w:rPr>
      </w:pPr>
      <w:r>
        <w:rPr>
          <w:rFonts w:ascii="仿宋_GB2312" w:eastAsia="仿宋_GB2312" w:hint="eastAsia"/>
          <w:b/>
          <w:szCs w:val="21"/>
        </w:rPr>
        <w:t>报批阶段</w:t>
      </w:r>
    </w:p>
    <w:p w:rsidR="00F0063E" w:rsidRDefault="00A714D9">
      <w:pPr>
        <w:tabs>
          <w:tab w:val="left" w:pos="851"/>
        </w:tabs>
        <w:spacing w:line="360" w:lineRule="auto"/>
        <w:rPr>
          <w:rFonts w:ascii="宋体" w:hAnsi="宋体"/>
          <w:szCs w:val="21"/>
        </w:rPr>
      </w:pPr>
      <w:r>
        <w:rPr>
          <w:rFonts w:ascii="宋体" w:hAnsi="宋体" w:hint="eastAsia"/>
          <w:szCs w:val="21"/>
        </w:rPr>
        <w:t xml:space="preserve">    202 年  标准起草工作组根据审查会议提出的修改建议和意见对标准进行了进一步的修改整理，形成本标准的报批稿，报全国有色标准化技术委员会秘书处。</w:t>
      </w:r>
    </w:p>
    <w:p w:rsidR="00F0063E" w:rsidRDefault="00A714D9">
      <w:pPr>
        <w:pStyle w:val="a7"/>
        <w:numPr>
          <w:ilvl w:val="0"/>
          <w:numId w:val="1"/>
        </w:numPr>
        <w:ind w:firstLineChars="0"/>
        <w:rPr>
          <w:rFonts w:ascii="仿宋_GB2312" w:eastAsia="仿宋_GB2312"/>
          <w:b/>
          <w:sz w:val="24"/>
        </w:rPr>
      </w:pPr>
      <w:r>
        <w:rPr>
          <w:rFonts w:ascii="仿宋_GB2312" w:eastAsia="仿宋_GB2312" w:hint="eastAsia"/>
          <w:b/>
          <w:sz w:val="24"/>
        </w:rPr>
        <w:t>标准编制原则</w:t>
      </w:r>
    </w:p>
    <w:p w:rsidR="00F0063E" w:rsidRDefault="00A714D9">
      <w:pPr>
        <w:spacing w:line="360" w:lineRule="auto"/>
        <w:ind w:firstLine="420"/>
        <w:rPr>
          <w:rFonts w:ascii="宋体" w:hAnsi="宋体"/>
        </w:rPr>
      </w:pPr>
      <w:r>
        <w:rPr>
          <w:rFonts w:ascii="仿宋_GB2312" w:eastAsia="仿宋_GB2312" w:hint="eastAsia"/>
          <w:b/>
          <w:sz w:val="28"/>
          <w:szCs w:val="28"/>
        </w:rPr>
        <w:t xml:space="preserve"> </w:t>
      </w:r>
      <w:r>
        <w:rPr>
          <w:rFonts w:ascii="宋体" w:hAnsi="宋体" w:hint="eastAsia"/>
        </w:rPr>
        <w:t xml:space="preserve">按照GB/T 1.1—2009《标准化工作导则 第1部分：标准的结构和编写》、GB/T </w:t>
      </w:r>
      <w:r>
        <w:rPr>
          <w:rFonts w:ascii="宋体" w:hAnsi="宋体"/>
        </w:rPr>
        <w:t>20001.4-2015</w:t>
      </w:r>
      <w:r>
        <w:rPr>
          <w:rFonts w:ascii="宋体" w:hAnsi="宋体" w:hint="eastAsia"/>
        </w:rPr>
        <w:t>《标准编写规则 第4部分：试验方法标准》的要求对本部分进行了编写。</w:t>
      </w:r>
    </w:p>
    <w:p w:rsidR="00F0063E" w:rsidRDefault="00A714D9">
      <w:pPr>
        <w:spacing w:line="360" w:lineRule="auto"/>
        <w:rPr>
          <w:rFonts w:ascii="宋体" w:hAnsi="宋体"/>
        </w:rPr>
      </w:pPr>
      <w:r>
        <w:rPr>
          <w:rFonts w:ascii="仿宋_GB2312" w:eastAsia="仿宋_GB2312" w:hint="eastAsia"/>
          <w:b/>
          <w:sz w:val="28"/>
          <w:szCs w:val="28"/>
        </w:rPr>
        <w:t xml:space="preserve">    </w:t>
      </w:r>
      <w:r>
        <w:rPr>
          <w:rFonts w:ascii="宋体" w:hAnsi="宋体" w:hint="eastAsia"/>
        </w:rPr>
        <w:t>标准符合有色标准</w:t>
      </w:r>
      <w:r>
        <w:rPr>
          <w:rFonts w:hint="eastAsia"/>
          <w:szCs w:val="21"/>
        </w:rPr>
        <w:t>YS/T633-2015</w:t>
      </w:r>
      <w:r>
        <w:rPr>
          <w:rFonts w:hint="eastAsia"/>
          <w:szCs w:val="21"/>
        </w:rPr>
        <w:t>《四氧化三钴》指标规定的要求，并在指标规定要求下进行了测定范围的扩展，使标准即据符合性又有先进性。</w:t>
      </w: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t>标准主要内容的确定依据及主要试验和验证情况分析</w:t>
      </w:r>
    </w:p>
    <w:p w:rsidR="00F0063E" w:rsidRDefault="00A714D9" w:rsidP="00200727">
      <w:pPr>
        <w:pStyle w:val="a7"/>
        <w:numPr>
          <w:ilvl w:val="0"/>
          <w:numId w:val="2"/>
        </w:numPr>
        <w:spacing w:line="360" w:lineRule="auto"/>
        <w:ind w:firstLineChars="0" w:firstLine="0"/>
        <w:rPr>
          <w:rFonts w:ascii="仿宋_GB2312" w:eastAsia="仿宋_GB2312"/>
          <w:b/>
          <w:sz w:val="24"/>
        </w:rPr>
      </w:pPr>
      <w:r>
        <w:rPr>
          <w:rFonts w:ascii="仿宋_GB2312" w:eastAsia="仿宋_GB2312" w:hint="eastAsia"/>
          <w:b/>
          <w:sz w:val="24"/>
        </w:rPr>
        <w:lastRenderedPageBreak/>
        <w:t>测定范围的确定</w:t>
      </w:r>
    </w:p>
    <w:p w:rsidR="00A95BE6" w:rsidRDefault="00A95BE6" w:rsidP="00200727">
      <w:pPr>
        <w:pStyle w:val="a7"/>
        <w:spacing w:line="360" w:lineRule="auto"/>
        <w:ind w:firstLineChars="202" w:firstLine="424"/>
        <w:rPr>
          <w:szCs w:val="21"/>
        </w:rPr>
      </w:pPr>
      <w:r w:rsidRPr="008348C6">
        <w:rPr>
          <w:rFonts w:hint="eastAsia"/>
          <w:szCs w:val="21"/>
        </w:rPr>
        <w:t>按照</w:t>
      </w:r>
      <w:r w:rsidRPr="008348C6">
        <w:rPr>
          <w:rFonts w:hint="eastAsia"/>
          <w:szCs w:val="21"/>
        </w:rPr>
        <w:t>YS/T</w:t>
      </w:r>
      <w:r>
        <w:rPr>
          <w:rFonts w:hint="eastAsia"/>
          <w:szCs w:val="21"/>
        </w:rPr>
        <w:t>YS/T633-2015</w:t>
      </w:r>
      <w:r>
        <w:rPr>
          <w:rFonts w:hint="eastAsia"/>
          <w:szCs w:val="21"/>
        </w:rPr>
        <w:t>《四氧化三钴》各牌号的指标规定的要求，参考国内主要四氧化三钴厂家生产状况，并对指标的测定范围进行一定的扩展，确定其中钾钠测定的范围。</w:t>
      </w:r>
    </w:p>
    <w:p w:rsidR="00A95BE6" w:rsidRDefault="00A95BE6" w:rsidP="00200727">
      <w:pPr>
        <w:pStyle w:val="a7"/>
        <w:numPr>
          <w:ilvl w:val="0"/>
          <w:numId w:val="2"/>
        </w:numPr>
        <w:spacing w:line="360" w:lineRule="auto"/>
        <w:ind w:left="1" w:firstLineChars="0" w:firstLine="0"/>
        <w:rPr>
          <w:rFonts w:ascii="仿宋_GB2312" w:eastAsia="仿宋_GB2312"/>
          <w:b/>
          <w:sz w:val="24"/>
        </w:rPr>
      </w:pPr>
      <w:r>
        <w:rPr>
          <w:rFonts w:ascii="仿宋_GB2312" w:eastAsia="仿宋_GB2312" w:hint="eastAsia"/>
          <w:b/>
          <w:sz w:val="24"/>
        </w:rPr>
        <w:t>测定方法的确定</w:t>
      </w:r>
    </w:p>
    <w:p w:rsidR="00A95BE6" w:rsidRPr="00A95BE6" w:rsidRDefault="00A95BE6" w:rsidP="00200727">
      <w:pPr>
        <w:pStyle w:val="a7"/>
        <w:spacing w:line="360" w:lineRule="auto"/>
        <w:ind w:firstLineChars="202" w:firstLine="424"/>
        <w:rPr>
          <w:szCs w:val="21"/>
        </w:rPr>
      </w:pPr>
      <w:r w:rsidRPr="00A95BE6">
        <w:rPr>
          <w:rFonts w:hint="eastAsia"/>
          <w:szCs w:val="21"/>
        </w:rPr>
        <w:t>查阅大量的文献，钾钠的测定方法通常采用火焰原子吸收光谱法、电感耦合等离子体发射光谱法等方法，上述两种方法均可用于四氧化三钴中钾钠的测定，原子吸收光谱法仪器相比于电感耦合等离子体发射光谱法较为简单，仪器成本稍低，设备普及性好，但不能进行钾钠的联测。</w:t>
      </w:r>
      <w:r w:rsidR="00522DFC">
        <w:rPr>
          <w:rFonts w:hint="eastAsia"/>
          <w:szCs w:val="21"/>
        </w:rPr>
        <w:t>相反，电感耦合等离子发射光谱法设备成本和运行成本较高，但可实现钾钠的联测，操作较为方便，考虑国内相关厂家的设备配置和实际应用，两个方法均作为四氧化三钴行业标准的测定方法，推荐使用更为成熟的原子吸收光谱法作为仲裁方法。</w:t>
      </w:r>
    </w:p>
    <w:p w:rsidR="00F0063E" w:rsidRDefault="00A714D9" w:rsidP="00200727">
      <w:pPr>
        <w:pStyle w:val="a7"/>
        <w:numPr>
          <w:ilvl w:val="0"/>
          <w:numId w:val="2"/>
        </w:numPr>
        <w:spacing w:line="360" w:lineRule="auto"/>
        <w:ind w:firstLineChars="0" w:firstLine="0"/>
        <w:rPr>
          <w:rFonts w:ascii="仿宋_GB2312" w:eastAsia="仿宋_GB2312"/>
          <w:b/>
          <w:sz w:val="24"/>
        </w:rPr>
      </w:pPr>
      <w:r>
        <w:rPr>
          <w:rFonts w:ascii="仿宋_GB2312" w:eastAsia="仿宋_GB2312" w:hint="eastAsia"/>
          <w:b/>
          <w:sz w:val="24"/>
        </w:rPr>
        <w:t>主要试验内容</w:t>
      </w:r>
    </w:p>
    <w:p w:rsidR="00522DFC" w:rsidRPr="00522DFC" w:rsidRDefault="00522DFC" w:rsidP="00522DFC">
      <w:pPr>
        <w:pStyle w:val="a7"/>
        <w:spacing w:line="360" w:lineRule="auto"/>
        <w:ind w:left="482" w:firstLineChars="0" w:firstLine="0"/>
        <w:rPr>
          <w:rFonts w:asciiTheme="minorEastAsia" w:eastAsiaTheme="minorEastAsia" w:hAnsiTheme="minorEastAsia"/>
          <w:szCs w:val="21"/>
        </w:rPr>
      </w:pPr>
      <w:r w:rsidRPr="00522DFC">
        <w:rPr>
          <w:rFonts w:asciiTheme="minorEastAsia" w:eastAsiaTheme="minorEastAsia" w:hAnsiTheme="minorEastAsia" w:hint="eastAsia"/>
          <w:szCs w:val="21"/>
        </w:rPr>
        <w:t>包括两个部分,即原子吸收光谱法部分和电感耦合等离子体发射光谱法部分</w:t>
      </w:r>
    </w:p>
    <w:p w:rsidR="00522DFC" w:rsidRDefault="00343401" w:rsidP="00522DFC">
      <w:pPr>
        <w:spacing w:line="360" w:lineRule="auto"/>
        <w:rPr>
          <w:rFonts w:ascii="仿宋_GB2312" w:eastAsia="仿宋_GB2312" w:hint="eastAsia"/>
          <w:b/>
          <w:sz w:val="24"/>
        </w:rPr>
      </w:pPr>
      <w:r>
        <w:rPr>
          <w:rFonts w:ascii="仿宋_GB2312" w:eastAsia="仿宋_GB2312" w:hint="eastAsia"/>
          <w:b/>
          <w:sz w:val="24"/>
        </w:rPr>
        <w:t>3.1</w:t>
      </w:r>
      <w:r w:rsidR="00EB2977">
        <w:rPr>
          <w:rFonts w:ascii="仿宋_GB2312" w:eastAsia="仿宋_GB2312" w:hint="eastAsia"/>
          <w:b/>
          <w:sz w:val="24"/>
        </w:rPr>
        <w:t>原子吸收光谱法试验情况</w:t>
      </w:r>
    </w:p>
    <w:p w:rsidR="00343401" w:rsidRDefault="00343401" w:rsidP="00343401">
      <w:pPr>
        <w:spacing w:line="360" w:lineRule="auto"/>
        <w:ind w:firstLine="495"/>
        <w:rPr>
          <w:rFonts w:hint="eastAsia"/>
          <w:szCs w:val="21"/>
        </w:rPr>
      </w:pPr>
      <w:r w:rsidRPr="00343401">
        <w:rPr>
          <w:rFonts w:hint="eastAsia"/>
          <w:szCs w:val="21"/>
        </w:rPr>
        <w:t>原子吸收光谱法参照仪器推荐条件和相关文献内容，结合试验数据进行了测定仪器条件的选择。进行了测定介质影响试验、钴基体干扰试验、共存元素干扰试验等，</w:t>
      </w:r>
      <w:r>
        <w:rPr>
          <w:rFonts w:hint="eastAsia"/>
          <w:szCs w:val="21"/>
        </w:rPr>
        <w:t>测定了钾钠测定的检出限。</w:t>
      </w:r>
      <w:r w:rsidRPr="00343401">
        <w:rPr>
          <w:rFonts w:hint="eastAsia"/>
          <w:szCs w:val="21"/>
        </w:rPr>
        <w:t>采用实际样品进行了加标回收</w:t>
      </w:r>
      <w:r>
        <w:rPr>
          <w:rFonts w:hint="eastAsia"/>
          <w:szCs w:val="21"/>
        </w:rPr>
        <w:t>试验、精密度试验等。（具体内容见试验报告）</w:t>
      </w:r>
    </w:p>
    <w:p w:rsidR="00343401" w:rsidRPr="00343401" w:rsidRDefault="00343401" w:rsidP="00343401">
      <w:pPr>
        <w:spacing w:line="360" w:lineRule="auto"/>
        <w:rPr>
          <w:rFonts w:hint="eastAsia"/>
          <w:b/>
          <w:szCs w:val="21"/>
        </w:rPr>
      </w:pPr>
      <w:r w:rsidRPr="00343401">
        <w:rPr>
          <w:rFonts w:hint="eastAsia"/>
          <w:b/>
          <w:szCs w:val="21"/>
        </w:rPr>
        <w:t xml:space="preserve">3.2 </w:t>
      </w:r>
      <w:r w:rsidRPr="00343401">
        <w:rPr>
          <w:rFonts w:hint="eastAsia"/>
          <w:b/>
          <w:szCs w:val="21"/>
        </w:rPr>
        <w:t>电感耦合等离子体发射光谱法试验情况</w:t>
      </w:r>
    </w:p>
    <w:p w:rsidR="00343401" w:rsidRPr="00343401" w:rsidRDefault="00343401" w:rsidP="00343401">
      <w:pPr>
        <w:spacing w:line="360" w:lineRule="auto"/>
        <w:rPr>
          <w:szCs w:val="21"/>
        </w:rPr>
      </w:pPr>
      <w:r>
        <w:rPr>
          <w:rFonts w:hint="eastAsia"/>
          <w:szCs w:val="21"/>
        </w:rPr>
        <w:t xml:space="preserve">    </w:t>
      </w:r>
      <w:r>
        <w:rPr>
          <w:rFonts w:hint="eastAsia"/>
          <w:szCs w:val="21"/>
        </w:rPr>
        <w:t>进行了仪器条件试验（包括谱线选择、最佳仪器工作参数的选择等），进行了酸度试验、</w:t>
      </w:r>
      <w:r w:rsidRPr="00343401">
        <w:rPr>
          <w:rFonts w:hint="eastAsia"/>
          <w:szCs w:val="21"/>
        </w:rPr>
        <w:t>钴基体干扰试验、共存元素干扰试验等</w:t>
      </w:r>
      <w:r>
        <w:rPr>
          <w:rFonts w:hint="eastAsia"/>
          <w:szCs w:val="21"/>
        </w:rPr>
        <w:t>，测定了钾钠测定的检出限。</w:t>
      </w:r>
      <w:r w:rsidRPr="00343401">
        <w:rPr>
          <w:rFonts w:hint="eastAsia"/>
          <w:szCs w:val="21"/>
        </w:rPr>
        <w:t>采用实际样品进行了加标回收</w:t>
      </w:r>
      <w:r>
        <w:rPr>
          <w:rFonts w:hint="eastAsia"/>
          <w:szCs w:val="21"/>
        </w:rPr>
        <w:t>试验、精密度试验等。（具体试验情况见试验报告）</w:t>
      </w:r>
    </w:p>
    <w:p w:rsidR="00F0063E" w:rsidRDefault="00A714D9" w:rsidP="00FF4F17">
      <w:pPr>
        <w:pStyle w:val="a7"/>
        <w:numPr>
          <w:ilvl w:val="0"/>
          <w:numId w:val="2"/>
        </w:numPr>
        <w:spacing w:line="360" w:lineRule="auto"/>
        <w:ind w:firstLineChars="0" w:firstLine="0"/>
        <w:rPr>
          <w:rFonts w:ascii="仿宋_GB2312" w:eastAsia="仿宋_GB2312"/>
          <w:b/>
          <w:sz w:val="24"/>
        </w:rPr>
      </w:pPr>
      <w:r>
        <w:rPr>
          <w:rFonts w:ascii="仿宋_GB2312" w:eastAsia="仿宋_GB2312" w:hint="eastAsia"/>
          <w:b/>
          <w:sz w:val="24"/>
        </w:rPr>
        <w:t>验证情况分析</w:t>
      </w:r>
    </w:p>
    <w:p w:rsidR="0094512C" w:rsidRDefault="0094512C" w:rsidP="00FF4F17">
      <w:pPr>
        <w:pStyle w:val="a7"/>
        <w:spacing w:line="360" w:lineRule="auto"/>
        <w:ind w:firstLineChars="229" w:firstLine="481"/>
        <w:rPr>
          <w:rFonts w:ascii="宋体" w:hAnsi="宋体"/>
          <w:szCs w:val="21"/>
        </w:rPr>
      </w:pPr>
      <w:r w:rsidRPr="002011B4">
        <w:rPr>
          <w:rFonts w:ascii="宋体" w:hAnsi="宋体" w:hint="eastAsia"/>
          <w:szCs w:val="21"/>
        </w:rPr>
        <w:t>本标准文本邀请国内多家试验室进行验证，其中</w:t>
      </w:r>
      <w:r w:rsidR="002011B4">
        <w:rPr>
          <w:rFonts w:ascii="宋体" w:hAnsi="宋体" w:hint="eastAsia"/>
          <w:szCs w:val="21"/>
        </w:rPr>
        <w:t>火焰原子吸收光谱法邀请广东省工业分析测试中心、广东邦普循环科技有限公司、荆门市格林美新材料有限公司、国标（北京）检验认证有限公司参与一验，</w:t>
      </w:r>
      <w:r w:rsidR="00FF4F17">
        <w:rPr>
          <w:rFonts w:ascii="宋体" w:hAnsi="宋体" w:hint="eastAsia"/>
          <w:szCs w:val="21"/>
        </w:rPr>
        <w:t>华南理工大学等8家单位参与二验，电感耦合等离子体发射光谱法邀请北京当升材料科技股份有限公司、广东邦普循环科技有限公司、北矿检测技术有限公司、国标（北京）检验认证有限公司等参与一验，广东省工业分析测试中心等单位参与二验。</w:t>
      </w:r>
    </w:p>
    <w:p w:rsidR="00FF4F17" w:rsidRDefault="00FF4F17" w:rsidP="00FF4F17">
      <w:pPr>
        <w:spacing w:line="360" w:lineRule="auto"/>
        <w:rPr>
          <w:rFonts w:ascii="宋体" w:hAnsi="宋体"/>
          <w:szCs w:val="21"/>
        </w:rPr>
      </w:pPr>
      <w:r>
        <w:rPr>
          <w:rFonts w:ascii="宋体" w:hAnsi="宋体" w:hint="eastAsia"/>
          <w:szCs w:val="21"/>
        </w:rPr>
        <w:t>4.1 火焰原子吸收光谱法一验情况</w:t>
      </w:r>
    </w:p>
    <w:p w:rsidR="00FF4F17" w:rsidRDefault="00FF4F17" w:rsidP="006F5EC8">
      <w:pPr>
        <w:spacing w:line="360" w:lineRule="auto"/>
        <w:ind w:firstLine="420"/>
        <w:rPr>
          <w:rFonts w:ascii="宋体" w:hAnsi="宋体"/>
          <w:szCs w:val="21"/>
        </w:rPr>
      </w:pPr>
      <w:r>
        <w:rPr>
          <w:rFonts w:ascii="宋体" w:hAnsi="宋体" w:hint="eastAsia"/>
          <w:szCs w:val="21"/>
        </w:rPr>
        <w:t>广东省工业分析测试中心对编制单位试验报告的各实验条件参数进行验证，测定介质的影响、钴基体干扰试验、共存元素干扰试验情况均与编制单位试验报告结论一致。测定的检</w:t>
      </w:r>
      <w:r>
        <w:rPr>
          <w:rFonts w:ascii="宋体" w:hAnsi="宋体" w:hint="eastAsia"/>
          <w:szCs w:val="21"/>
        </w:rPr>
        <w:lastRenderedPageBreak/>
        <w:t>测下限钾为0.042mg/L,钠为0.024</w:t>
      </w:r>
      <w:r w:rsidRPr="00FF4F17">
        <w:rPr>
          <w:rFonts w:ascii="宋体" w:hAnsi="宋体" w:hint="eastAsia"/>
          <w:szCs w:val="21"/>
        </w:rPr>
        <w:t xml:space="preserve"> </w:t>
      </w:r>
      <w:r>
        <w:rPr>
          <w:rFonts w:ascii="宋体" w:hAnsi="宋体" w:hint="eastAsia"/>
          <w:szCs w:val="21"/>
        </w:rPr>
        <w:t>mg/L，加标回收率钾为</w:t>
      </w:r>
      <w:r w:rsidR="006F5EC8">
        <w:rPr>
          <w:rFonts w:ascii="宋体" w:hAnsi="宋体" w:hint="eastAsia"/>
          <w:szCs w:val="21"/>
        </w:rPr>
        <w:t>100.6-103.1%之间，</w:t>
      </w:r>
      <w:r w:rsidR="00644D92">
        <w:rPr>
          <w:rFonts w:ascii="宋体" w:hAnsi="宋体" w:hint="eastAsia"/>
          <w:szCs w:val="21"/>
        </w:rPr>
        <w:t>钠为102.2-103.5%之间，</w:t>
      </w:r>
      <w:r w:rsidR="006F5EC8">
        <w:rPr>
          <w:rFonts w:ascii="宋体" w:hAnsi="宋体" w:hint="eastAsia"/>
          <w:szCs w:val="21"/>
        </w:rPr>
        <w:t>精密度试验结果良好（具体数据见数据汇总列表）。</w:t>
      </w:r>
    </w:p>
    <w:p w:rsidR="006F5EC8" w:rsidRDefault="006F5EC8" w:rsidP="006F5EC8">
      <w:pPr>
        <w:spacing w:line="360" w:lineRule="auto"/>
        <w:ind w:firstLine="420"/>
        <w:rPr>
          <w:rFonts w:ascii="宋体" w:hAnsi="宋体"/>
          <w:szCs w:val="21"/>
        </w:rPr>
      </w:pPr>
      <w:r>
        <w:rPr>
          <w:rFonts w:ascii="宋体" w:hAnsi="宋体" w:hint="eastAsia"/>
          <w:szCs w:val="21"/>
        </w:rPr>
        <w:t>广东邦普循环科技有限公司</w:t>
      </w:r>
      <w:r w:rsidR="00644D92">
        <w:rPr>
          <w:rFonts w:ascii="宋体" w:hAnsi="宋体" w:hint="eastAsia"/>
          <w:szCs w:val="21"/>
        </w:rPr>
        <w:t>对编制单位试验报告的各实验条件参数进行验证，测定介质的影响、钴基体干扰试验、共存元素干扰试验情况均与编制单位试验报告结论一致。测定的检测下限钾为0.031mg/L,钠为0.021</w:t>
      </w:r>
      <w:r w:rsidR="00644D92" w:rsidRPr="00FF4F17">
        <w:rPr>
          <w:rFonts w:ascii="宋体" w:hAnsi="宋体" w:hint="eastAsia"/>
          <w:szCs w:val="21"/>
        </w:rPr>
        <w:t xml:space="preserve"> </w:t>
      </w:r>
      <w:r w:rsidR="00644D92">
        <w:rPr>
          <w:rFonts w:ascii="宋体" w:hAnsi="宋体" w:hint="eastAsia"/>
          <w:szCs w:val="21"/>
        </w:rPr>
        <w:t>mg/L，加标回收率钾为100.6-109.2%之间，钠为100.7-108.5%之间，精密度试验结果良好（具体数据见数据汇总列表）。通过验证，对试验报告和文本提出来修改意见（见意见汇总表）。</w:t>
      </w:r>
    </w:p>
    <w:p w:rsidR="00644D92" w:rsidRDefault="00644D92" w:rsidP="006F5EC8">
      <w:pPr>
        <w:spacing w:line="360" w:lineRule="auto"/>
        <w:ind w:firstLine="420"/>
        <w:rPr>
          <w:rFonts w:ascii="宋体" w:hAnsi="宋体"/>
          <w:szCs w:val="21"/>
        </w:rPr>
      </w:pPr>
      <w:r>
        <w:rPr>
          <w:rFonts w:ascii="宋体" w:hAnsi="宋体" w:hint="eastAsia"/>
          <w:szCs w:val="21"/>
        </w:rPr>
        <w:t>荆门市格林美新材料有限公司对编制单位试验报告的部分条件参数进行验证，共存元素干扰试验情况与编制单位试验报告结论一致。测定的检测下限钾为0.0108mg/L,钠为0.0244</w:t>
      </w:r>
      <w:r w:rsidRPr="00FF4F17">
        <w:rPr>
          <w:rFonts w:ascii="宋体" w:hAnsi="宋体" w:hint="eastAsia"/>
          <w:szCs w:val="21"/>
        </w:rPr>
        <w:t xml:space="preserve"> </w:t>
      </w:r>
      <w:r>
        <w:rPr>
          <w:rFonts w:ascii="宋体" w:hAnsi="宋体" w:hint="eastAsia"/>
          <w:szCs w:val="21"/>
        </w:rPr>
        <w:t>mg/L，加标回收率钾为</w:t>
      </w:r>
      <w:r w:rsidR="00AA590D">
        <w:rPr>
          <w:rFonts w:ascii="宋体" w:hAnsi="宋体" w:hint="eastAsia"/>
          <w:szCs w:val="21"/>
        </w:rPr>
        <w:t>92</w:t>
      </w:r>
      <w:r>
        <w:rPr>
          <w:rFonts w:ascii="宋体" w:hAnsi="宋体" w:hint="eastAsia"/>
          <w:szCs w:val="21"/>
        </w:rPr>
        <w:t>-10</w:t>
      </w:r>
      <w:r w:rsidR="00AA590D">
        <w:rPr>
          <w:rFonts w:ascii="宋体" w:hAnsi="宋体" w:hint="eastAsia"/>
          <w:szCs w:val="21"/>
        </w:rPr>
        <w:t>4</w:t>
      </w:r>
      <w:r>
        <w:rPr>
          <w:rFonts w:ascii="宋体" w:hAnsi="宋体" w:hint="eastAsia"/>
          <w:szCs w:val="21"/>
        </w:rPr>
        <w:t>.</w:t>
      </w:r>
      <w:r w:rsidR="00AA590D">
        <w:rPr>
          <w:rFonts w:ascii="宋体" w:hAnsi="宋体" w:hint="eastAsia"/>
          <w:szCs w:val="21"/>
        </w:rPr>
        <w:t>3</w:t>
      </w:r>
      <w:r>
        <w:rPr>
          <w:rFonts w:ascii="宋体" w:hAnsi="宋体" w:hint="eastAsia"/>
          <w:szCs w:val="21"/>
        </w:rPr>
        <w:t>%之间，钠为</w:t>
      </w:r>
      <w:r w:rsidR="00AA590D">
        <w:rPr>
          <w:rFonts w:ascii="宋体" w:hAnsi="宋体" w:hint="eastAsia"/>
          <w:szCs w:val="21"/>
        </w:rPr>
        <w:t>94</w:t>
      </w:r>
      <w:r>
        <w:rPr>
          <w:rFonts w:ascii="宋体" w:hAnsi="宋体" w:hint="eastAsia"/>
          <w:szCs w:val="21"/>
        </w:rPr>
        <w:t>-108%之间，精密度试验结果良好（具体数据见数据汇总列表）。</w:t>
      </w:r>
    </w:p>
    <w:p w:rsidR="00AA590D" w:rsidRDefault="00AA590D" w:rsidP="006F5EC8">
      <w:pPr>
        <w:spacing w:line="360" w:lineRule="auto"/>
        <w:ind w:firstLine="420"/>
        <w:rPr>
          <w:rFonts w:ascii="宋体" w:hAnsi="宋体"/>
          <w:szCs w:val="21"/>
        </w:rPr>
      </w:pPr>
      <w:r>
        <w:rPr>
          <w:rFonts w:ascii="宋体" w:hAnsi="宋体" w:hint="eastAsia"/>
          <w:szCs w:val="21"/>
        </w:rPr>
        <w:t>国标（北京）检验认证有限公司对编制单位试验报告的各实验条件参数进行验证，测定介质的影响、钴基体干扰试验、共存元素干扰试验情况均与编制单位试验报告结论一致。并试验了采用消电离剂增敏试验。测定的了钾的特征浓度为0.0202mg/L,钠为0.0251</w:t>
      </w:r>
      <w:r w:rsidRPr="00FF4F17">
        <w:rPr>
          <w:rFonts w:ascii="宋体" w:hAnsi="宋体" w:hint="eastAsia"/>
          <w:szCs w:val="21"/>
        </w:rPr>
        <w:t xml:space="preserve"> </w:t>
      </w:r>
      <w:r>
        <w:rPr>
          <w:rFonts w:ascii="宋体" w:hAnsi="宋体" w:hint="eastAsia"/>
          <w:szCs w:val="21"/>
        </w:rPr>
        <w:t>mg/L，加标回收率钾为84-105%之间，钠为88-105%之间，精密度试验结果良好（具体数据见数据汇总列表）。通过验证，对试验报告和文本提出来修改意见（见意见汇总表）。</w:t>
      </w:r>
    </w:p>
    <w:p w:rsidR="00AA590D" w:rsidRDefault="00AA590D" w:rsidP="006F5EC8">
      <w:pPr>
        <w:spacing w:line="360" w:lineRule="auto"/>
        <w:ind w:firstLine="420"/>
        <w:rPr>
          <w:rFonts w:ascii="宋体" w:hAnsi="宋体"/>
          <w:szCs w:val="21"/>
        </w:rPr>
      </w:pPr>
      <w:r>
        <w:rPr>
          <w:rFonts w:ascii="宋体" w:hAnsi="宋体" w:hint="eastAsia"/>
          <w:szCs w:val="21"/>
        </w:rPr>
        <w:t>参与二验的各单位验证了本方法测定的精密度，部分单位对试验报告和文本草案提出了修改意见（见意见汇总表）。</w:t>
      </w:r>
    </w:p>
    <w:p w:rsidR="00AA590D" w:rsidRDefault="00554778" w:rsidP="006F5EC8">
      <w:pPr>
        <w:spacing w:line="360" w:lineRule="auto"/>
        <w:ind w:firstLine="420"/>
        <w:rPr>
          <w:rFonts w:ascii="宋体" w:hAnsi="宋体"/>
          <w:szCs w:val="21"/>
        </w:rPr>
      </w:pPr>
      <w:r>
        <w:rPr>
          <w:rFonts w:ascii="宋体" w:hAnsi="宋体" w:hint="eastAsia"/>
          <w:szCs w:val="21"/>
        </w:rPr>
        <w:t>通过验证，</w:t>
      </w:r>
      <w:r w:rsidR="00663A0A">
        <w:rPr>
          <w:rFonts w:ascii="宋体" w:hAnsi="宋体" w:hint="eastAsia"/>
          <w:szCs w:val="21"/>
        </w:rPr>
        <w:t>各单位试验结论与编制单位报告内容和文本草案内容基本一致，方法可行，精密度良好。</w:t>
      </w:r>
      <w:r>
        <w:rPr>
          <w:rFonts w:ascii="宋体" w:hAnsi="宋体" w:hint="eastAsia"/>
          <w:szCs w:val="21"/>
        </w:rPr>
        <w:t>1#样品钾的含量较低，且各单位差异较大，有的单位没有测出相应的含量，因此进行重现性限和再现性限计算时，删除了钾1#样品的数据。</w:t>
      </w:r>
    </w:p>
    <w:p w:rsidR="00A860EB" w:rsidRDefault="00663A0A" w:rsidP="006F5EC8">
      <w:pPr>
        <w:spacing w:line="360" w:lineRule="auto"/>
        <w:ind w:firstLine="420"/>
        <w:rPr>
          <w:rFonts w:ascii="宋体" w:hAnsi="宋体" w:hint="eastAsia"/>
          <w:szCs w:val="21"/>
        </w:rPr>
      </w:pPr>
      <w:r>
        <w:rPr>
          <w:rFonts w:ascii="宋体" w:hAnsi="宋体" w:hint="eastAsia"/>
          <w:szCs w:val="21"/>
        </w:rPr>
        <w:t xml:space="preserve">  </w:t>
      </w:r>
      <w:r w:rsidR="00F97A30">
        <w:rPr>
          <w:rFonts w:ascii="宋体" w:hAnsi="宋体" w:hint="eastAsia"/>
          <w:szCs w:val="21"/>
        </w:rPr>
        <w:t xml:space="preserve">                   原子吸收光谱法测定-钠数据汇总</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822"/>
        <w:gridCol w:w="1134"/>
        <w:gridCol w:w="1004"/>
        <w:gridCol w:w="1004"/>
        <w:gridCol w:w="992"/>
        <w:gridCol w:w="1134"/>
      </w:tblGrid>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color w:val="000000"/>
                <w:kern w:val="0"/>
                <w:szCs w:val="21"/>
              </w:rPr>
            </w:pPr>
            <w:r w:rsidRPr="00FF3A0B">
              <w:rPr>
                <w:rFonts w:eastAsiaTheme="minorEastAsia" w:hAnsiTheme="minorEastAsia"/>
                <w:color w:val="000000"/>
                <w:kern w:val="0"/>
                <w:szCs w:val="21"/>
              </w:rPr>
              <w:t>实验室</w:t>
            </w:r>
          </w:p>
        </w:tc>
        <w:tc>
          <w:tcPr>
            <w:tcW w:w="822" w:type="dxa"/>
            <w:vMerge w:val="restart"/>
            <w:shd w:val="clear" w:color="auto" w:fill="auto"/>
            <w:noWrap/>
            <w:vAlign w:val="center"/>
            <w:hideMark/>
          </w:tcPr>
          <w:p w:rsidR="00FF3A0B" w:rsidRPr="00FF3A0B" w:rsidRDefault="00FF3A0B" w:rsidP="00A77FE0">
            <w:pPr>
              <w:widowControl/>
              <w:jc w:val="center"/>
              <w:rPr>
                <w:rFonts w:eastAsiaTheme="minorEastAsia"/>
                <w:color w:val="000000"/>
                <w:kern w:val="0"/>
                <w:szCs w:val="21"/>
              </w:rPr>
            </w:pPr>
          </w:p>
        </w:tc>
        <w:tc>
          <w:tcPr>
            <w:tcW w:w="5268" w:type="dxa"/>
            <w:gridSpan w:val="5"/>
            <w:shd w:val="clear" w:color="auto" w:fill="auto"/>
            <w:noWrap/>
            <w:vAlign w:val="center"/>
            <w:hideMark/>
          </w:tcPr>
          <w:p w:rsidR="00FF3A0B" w:rsidRPr="00FF3A0B" w:rsidRDefault="00FF3A0B" w:rsidP="00A77FE0">
            <w:pPr>
              <w:widowControl/>
              <w:jc w:val="center"/>
              <w:rPr>
                <w:rFonts w:eastAsiaTheme="minorEastAsia"/>
                <w:color w:val="000000"/>
                <w:kern w:val="0"/>
                <w:szCs w:val="21"/>
              </w:rPr>
            </w:pPr>
            <w:r w:rsidRPr="00FF3A0B">
              <w:rPr>
                <w:rFonts w:eastAsiaTheme="minorEastAsia" w:hAnsiTheme="minorEastAsia"/>
                <w:color w:val="000000"/>
                <w:kern w:val="0"/>
                <w:szCs w:val="21"/>
              </w:rPr>
              <w:t>水平</w:t>
            </w:r>
            <w:r w:rsidRPr="00FF3A0B">
              <w:rPr>
                <w:rFonts w:eastAsiaTheme="minorEastAsia"/>
                <w:color w:val="000000"/>
                <w:kern w:val="0"/>
                <w:szCs w:val="21"/>
              </w:rPr>
              <w:t xml:space="preserve">  j</w:t>
            </w:r>
          </w:p>
        </w:tc>
      </w:tr>
      <w:tr w:rsidR="00FF3A0B" w:rsidRPr="00FF3A0B" w:rsidTr="00A77FE0">
        <w:trPr>
          <w:trHeight w:val="330"/>
        </w:trPr>
        <w:tc>
          <w:tcPr>
            <w:tcW w:w="1848" w:type="dxa"/>
            <w:vMerge/>
            <w:shd w:val="clear" w:color="auto" w:fill="auto"/>
            <w:vAlign w:val="center"/>
            <w:hideMark/>
          </w:tcPr>
          <w:p w:rsidR="00FF3A0B" w:rsidRPr="00FF3A0B" w:rsidRDefault="00FF3A0B" w:rsidP="00A77FE0">
            <w:pPr>
              <w:widowControl/>
              <w:jc w:val="center"/>
              <w:rPr>
                <w:rFonts w:eastAsiaTheme="minorEastAsia"/>
                <w:i/>
                <w:iCs/>
                <w:color w:val="000000"/>
                <w:kern w:val="0"/>
                <w:szCs w:val="21"/>
              </w:rPr>
            </w:pPr>
          </w:p>
        </w:tc>
        <w:tc>
          <w:tcPr>
            <w:tcW w:w="822" w:type="dxa"/>
            <w:vMerge/>
            <w:shd w:val="clear" w:color="auto" w:fill="auto"/>
            <w:vAlign w:val="center"/>
            <w:hideMark/>
          </w:tcPr>
          <w:p w:rsidR="00FF3A0B" w:rsidRPr="00FF3A0B" w:rsidRDefault="00FF3A0B" w:rsidP="00A77FE0">
            <w:pPr>
              <w:widowControl/>
              <w:jc w:val="center"/>
              <w:rPr>
                <w:rFonts w:eastAsiaTheme="minorEastAsia"/>
                <w:color w:val="000000"/>
                <w:kern w:val="0"/>
                <w:szCs w:val="21"/>
              </w:rPr>
            </w:pPr>
          </w:p>
        </w:tc>
        <w:tc>
          <w:tcPr>
            <w:tcW w:w="1134"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1</w:t>
            </w:r>
          </w:p>
        </w:tc>
        <w:tc>
          <w:tcPr>
            <w:tcW w:w="1004"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2</w:t>
            </w:r>
          </w:p>
        </w:tc>
        <w:tc>
          <w:tcPr>
            <w:tcW w:w="1004"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3</w:t>
            </w:r>
          </w:p>
        </w:tc>
        <w:tc>
          <w:tcPr>
            <w:tcW w:w="99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4</w:t>
            </w:r>
          </w:p>
        </w:tc>
        <w:tc>
          <w:tcPr>
            <w:tcW w:w="1134" w:type="dxa"/>
            <w:shd w:val="clear" w:color="auto" w:fill="auto"/>
            <w:noWrap/>
            <w:vAlign w:val="center"/>
            <w:hideMark/>
          </w:tcPr>
          <w:p w:rsidR="00FF3A0B" w:rsidRPr="00FF3A0B" w:rsidRDefault="00FF3A0B" w:rsidP="00A77FE0">
            <w:pPr>
              <w:widowControl/>
              <w:jc w:val="center"/>
              <w:rPr>
                <w:rFonts w:eastAsiaTheme="minorEastAsia"/>
                <w:color w:val="000000"/>
                <w:kern w:val="0"/>
                <w:szCs w:val="21"/>
              </w:rPr>
            </w:pPr>
            <w:r w:rsidRPr="00FF3A0B">
              <w:rPr>
                <w:rFonts w:eastAsiaTheme="minorEastAsia"/>
                <w:color w:val="000000"/>
                <w:kern w:val="0"/>
                <w:szCs w:val="21"/>
              </w:rPr>
              <w:t>5</w:t>
            </w:r>
          </w:p>
        </w:tc>
      </w:tr>
      <w:tr w:rsidR="00FF3A0B" w:rsidRPr="00FF3A0B" w:rsidTr="00A77FE0">
        <w:trPr>
          <w:trHeight w:val="330"/>
        </w:trPr>
        <w:tc>
          <w:tcPr>
            <w:tcW w:w="1848" w:type="dxa"/>
            <w:vMerge w:val="restart"/>
            <w:shd w:val="clear" w:color="auto" w:fill="auto"/>
            <w:vAlign w:val="center"/>
            <w:hideMark/>
          </w:tcPr>
          <w:p w:rsidR="00FF3A0B" w:rsidRPr="00FF3A0B" w:rsidRDefault="00FF3A0B" w:rsidP="00A77FE0">
            <w:pPr>
              <w:widowControl/>
              <w:wordWrap w:val="0"/>
              <w:jc w:val="center"/>
              <w:rPr>
                <w:rFonts w:eastAsiaTheme="minorEastAsia"/>
                <w:kern w:val="0"/>
                <w:szCs w:val="21"/>
              </w:rPr>
            </w:pPr>
            <w:r w:rsidRPr="00FF3A0B">
              <w:rPr>
                <w:rFonts w:eastAsiaTheme="minorEastAsia" w:hAnsiTheme="minorEastAsia"/>
                <w:kern w:val="0"/>
                <w:szCs w:val="21"/>
              </w:rPr>
              <w:t>广东省工业分析检测中心</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0.0041</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0.0187</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0.0243</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0.1300</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0.666</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0.000150</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0.000756</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0.001113</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0.00577</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0.00976</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广东邦普循环科技有限公司</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0.0051</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0.0220</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0.0277</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0.151</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0.681</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0.000238</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0.000976</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0.000925</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0.00347</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0.01278</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hint="eastAsia"/>
                <w:kern w:val="0"/>
                <w:szCs w:val="21"/>
              </w:rPr>
              <w:t>格林美</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0.0043</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0.0201</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0.0278</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0.155</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0.738</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0.000063</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0.000072</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0.000092</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0.00278</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0.00724</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lastRenderedPageBreak/>
              <w:t>国标（北京）检验认证有限公司</w:t>
            </w:r>
            <w:r w:rsidRPr="00FF3A0B">
              <w:rPr>
                <w:rFonts w:eastAsiaTheme="minorEastAsia"/>
                <w:kern w:val="0"/>
                <w:szCs w:val="21"/>
              </w:rPr>
              <w:t>(</w:t>
            </w:r>
            <w:r w:rsidRPr="00FF3A0B">
              <w:rPr>
                <w:rFonts w:eastAsiaTheme="minorEastAsia" w:hAnsiTheme="minorEastAsia"/>
                <w:kern w:val="0"/>
                <w:szCs w:val="21"/>
              </w:rPr>
              <w:t>一验）</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0.0043</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0.0194</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0.0264</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0.145</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0.717</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0.000100</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0.000302</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0.001070</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0.00313</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0.00789</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华南理工大学</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0.004355</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0.0206</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0.02637</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0.138</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0.656</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0.000230</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0.002111</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0.000605</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0.00540</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0.01083</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紫金矿业</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0.0047</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0.0156</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0.0211</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0.132</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0.638</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0.000079</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0.000535</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0.000814</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0.01127</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0.03951</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中检广西公司</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0.0043</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0.0204</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0.0265</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0.142</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0.650</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0.000194</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0.001502</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0.001036</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0.00751</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0.00775</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贵州省分析测试研究院</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0.0045</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0.0192</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0.0269</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0.144</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0.632</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0.00028</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0.00099</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0.00112</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0.00590</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0.01653</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当升材料</w:t>
            </w:r>
            <w:r w:rsidRPr="00FF3A0B">
              <w:rPr>
                <w:rFonts w:eastAsiaTheme="minorEastAsia" w:hAnsiTheme="minorEastAsia" w:hint="eastAsia"/>
                <w:kern w:val="0"/>
                <w:szCs w:val="21"/>
              </w:rPr>
              <w:t>科技有限公司</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0.0037</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0.0177</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0.0290</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0.124</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0.617</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0.000186</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0.001501</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0.002129</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0.00719</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0.00994</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东途矿产检测</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0.0045</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0.0195</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0.0254</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0.145</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0.655</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0.000244</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0.001635</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0.001804</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0.00688</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0.01128</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深圳海关测试中心</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0.0041</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0.0201</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0.0262</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0.140</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0.648</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0.000189</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0.001700</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0.000751</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0.00632</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0.01079</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中金岭南韶关冶炼厂</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0.0041</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0.0190</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0.0266</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0.138</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0.735</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0.000163</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0.000775</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0.001433</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0.00751</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0.01635</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11</w:t>
            </w:r>
          </w:p>
        </w:tc>
      </w:tr>
      <w:tr w:rsidR="00FF3A0B" w:rsidRPr="00FF3A0B" w:rsidTr="00A77FE0">
        <w:trPr>
          <w:trHeight w:val="315"/>
        </w:trPr>
        <w:tc>
          <w:tcPr>
            <w:tcW w:w="1848" w:type="dxa"/>
            <w:vMerge w:val="restart"/>
            <w:shd w:val="clear" w:color="auto" w:fill="auto"/>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浙江华友</w:t>
            </w: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hAnsiTheme="minorEastAsia"/>
                <w:kern w:val="0"/>
                <w:szCs w:val="21"/>
              </w:rPr>
              <w:t>均值</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0.0031</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0.0161</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0.0254</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0.129</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0.641</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s</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0.000113</w:t>
            </w:r>
          </w:p>
        </w:tc>
        <w:tc>
          <w:tcPr>
            <w:tcW w:w="1004" w:type="dxa"/>
            <w:shd w:val="clear" w:color="auto" w:fill="auto"/>
            <w:noWrap/>
            <w:vAlign w:val="center"/>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0.000378</w:t>
            </w:r>
          </w:p>
        </w:tc>
        <w:tc>
          <w:tcPr>
            <w:tcW w:w="100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0.002370</w:t>
            </w:r>
          </w:p>
        </w:tc>
        <w:tc>
          <w:tcPr>
            <w:tcW w:w="992"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0.02116</w:t>
            </w:r>
          </w:p>
        </w:tc>
        <w:tc>
          <w:tcPr>
            <w:tcW w:w="1134" w:type="dxa"/>
            <w:shd w:val="clear" w:color="auto" w:fill="auto"/>
            <w:noWrap/>
            <w:vAlign w:val="center"/>
            <w:hideMark/>
          </w:tcPr>
          <w:p w:rsidR="00FF3A0B" w:rsidRPr="00FF3A0B" w:rsidRDefault="00FF3A0B" w:rsidP="00A77FE0">
            <w:pPr>
              <w:widowControl/>
              <w:jc w:val="center"/>
              <w:rPr>
                <w:rFonts w:eastAsiaTheme="minorEastAsia"/>
                <w:bCs/>
                <w:kern w:val="0"/>
                <w:szCs w:val="21"/>
              </w:rPr>
            </w:pPr>
            <w:r w:rsidRPr="00FF3A0B">
              <w:rPr>
                <w:rFonts w:eastAsiaTheme="minorEastAsia"/>
                <w:bCs/>
                <w:kern w:val="0"/>
                <w:szCs w:val="21"/>
              </w:rPr>
              <w:t>0.01215</w:t>
            </w:r>
          </w:p>
        </w:tc>
      </w:tr>
      <w:tr w:rsidR="00FF3A0B" w:rsidRPr="00FF3A0B" w:rsidTr="00A77FE0">
        <w:trPr>
          <w:trHeight w:val="315"/>
        </w:trPr>
        <w:tc>
          <w:tcPr>
            <w:tcW w:w="1848" w:type="dxa"/>
            <w:vMerge/>
            <w:shd w:val="clear" w:color="auto" w:fill="auto"/>
            <w:vAlign w:val="center"/>
            <w:hideMark/>
          </w:tcPr>
          <w:p w:rsidR="00FF3A0B" w:rsidRPr="00FF3A0B"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FF3A0B" w:rsidRDefault="00FF3A0B" w:rsidP="00A77FE0">
            <w:pPr>
              <w:widowControl/>
              <w:jc w:val="center"/>
              <w:rPr>
                <w:rFonts w:eastAsiaTheme="minorEastAsia"/>
                <w:kern w:val="0"/>
                <w:szCs w:val="21"/>
              </w:rPr>
            </w:pPr>
            <w:r w:rsidRPr="00FF3A0B">
              <w:rPr>
                <w:rFonts w:eastAsiaTheme="minorEastAsia"/>
                <w:kern w:val="0"/>
                <w:szCs w:val="21"/>
              </w:rPr>
              <w:t>n</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100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992"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c>
          <w:tcPr>
            <w:tcW w:w="1134" w:type="dxa"/>
            <w:shd w:val="clear" w:color="auto" w:fill="auto"/>
            <w:noWrap/>
            <w:hideMark/>
          </w:tcPr>
          <w:p w:rsidR="00FF3A0B" w:rsidRPr="00FF3A0B" w:rsidRDefault="00FF3A0B" w:rsidP="00A77FE0">
            <w:pPr>
              <w:widowControl/>
              <w:jc w:val="center"/>
              <w:rPr>
                <w:rFonts w:eastAsiaTheme="minorEastAsia"/>
                <w:bCs/>
                <w:color w:val="000000"/>
                <w:kern w:val="0"/>
                <w:szCs w:val="21"/>
              </w:rPr>
            </w:pPr>
            <w:r w:rsidRPr="00FF3A0B">
              <w:rPr>
                <w:rFonts w:eastAsiaTheme="minorEastAsia"/>
                <w:bCs/>
                <w:color w:val="000000"/>
                <w:kern w:val="0"/>
                <w:szCs w:val="21"/>
              </w:rPr>
              <w:t>7</w:t>
            </w:r>
          </w:p>
        </w:tc>
      </w:tr>
    </w:tbl>
    <w:p w:rsidR="00FF3A0B" w:rsidRDefault="00FF3A0B" w:rsidP="00FF3A0B">
      <w:pPr>
        <w:spacing w:line="360" w:lineRule="auto"/>
        <w:rPr>
          <w:rFonts w:ascii="宋体" w:hAnsi="宋体"/>
          <w:szCs w:val="21"/>
        </w:rPr>
      </w:pPr>
    </w:p>
    <w:p w:rsidR="00A860EB" w:rsidRDefault="00F97A30" w:rsidP="00A860EB">
      <w:pPr>
        <w:spacing w:line="360" w:lineRule="auto"/>
        <w:rPr>
          <w:rFonts w:ascii="宋体" w:hAnsi="宋体" w:hint="eastAsia"/>
          <w:szCs w:val="21"/>
        </w:rPr>
      </w:pPr>
      <w:r>
        <w:rPr>
          <w:rFonts w:ascii="宋体" w:hAnsi="宋体" w:hint="eastAsia"/>
          <w:szCs w:val="21"/>
        </w:rPr>
        <w:t xml:space="preserve">                       原子吸收光谱法测定-钾数据汇总</w:t>
      </w:r>
    </w:p>
    <w:tbl>
      <w:tblPr>
        <w:tblW w:w="793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822"/>
        <w:gridCol w:w="1134"/>
        <w:gridCol w:w="1004"/>
        <w:gridCol w:w="1004"/>
        <w:gridCol w:w="992"/>
        <w:gridCol w:w="1134"/>
      </w:tblGrid>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color w:val="000000"/>
                <w:kern w:val="0"/>
                <w:szCs w:val="21"/>
              </w:rPr>
            </w:pPr>
            <w:r w:rsidRPr="00DE64EE">
              <w:rPr>
                <w:rFonts w:eastAsiaTheme="minorEastAsia" w:hAnsiTheme="minorEastAsia"/>
                <w:color w:val="000000"/>
                <w:kern w:val="0"/>
                <w:szCs w:val="21"/>
              </w:rPr>
              <w:t>实验室</w:t>
            </w:r>
          </w:p>
        </w:tc>
        <w:tc>
          <w:tcPr>
            <w:tcW w:w="822" w:type="dxa"/>
            <w:vMerge w:val="restart"/>
            <w:shd w:val="clear" w:color="auto" w:fill="auto"/>
            <w:noWrap/>
            <w:vAlign w:val="center"/>
            <w:hideMark/>
          </w:tcPr>
          <w:p w:rsidR="00FF3A0B" w:rsidRPr="00DE64EE" w:rsidRDefault="00FF3A0B" w:rsidP="00A77FE0">
            <w:pPr>
              <w:widowControl/>
              <w:jc w:val="center"/>
              <w:rPr>
                <w:rFonts w:eastAsiaTheme="minorEastAsia"/>
                <w:color w:val="000000"/>
                <w:kern w:val="0"/>
                <w:szCs w:val="21"/>
              </w:rPr>
            </w:pPr>
          </w:p>
        </w:tc>
        <w:tc>
          <w:tcPr>
            <w:tcW w:w="5268" w:type="dxa"/>
            <w:gridSpan w:val="5"/>
            <w:shd w:val="clear" w:color="auto" w:fill="auto"/>
            <w:noWrap/>
            <w:vAlign w:val="center"/>
            <w:hideMark/>
          </w:tcPr>
          <w:p w:rsidR="00FF3A0B" w:rsidRPr="00DE64EE" w:rsidRDefault="00FF3A0B" w:rsidP="00A77FE0">
            <w:pPr>
              <w:widowControl/>
              <w:jc w:val="center"/>
              <w:rPr>
                <w:rFonts w:eastAsiaTheme="minorEastAsia"/>
                <w:color w:val="000000"/>
                <w:kern w:val="0"/>
                <w:szCs w:val="21"/>
              </w:rPr>
            </w:pPr>
            <w:r w:rsidRPr="00DE64EE">
              <w:rPr>
                <w:rFonts w:eastAsiaTheme="minorEastAsia" w:hAnsiTheme="minorEastAsia"/>
                <w:color w:val="000000"/>
                <w:kern w:val="0"/>
                <w:szCs w:val="21"/>
              </w:rPr>
              <w:t>水平</w:t>
            </w:r>
            <w:r w:rsidRPr="00DE64EE">
              <w:rPr>
                <w:rFonts w:eastAsiaTheme="minorEastAsia"/>
                <w:color w:val="000000"/>
                <w:kern w:val="0"/>
                <w:szCs w:val="21"/>
              </w:rPr>
              <w:t xml:space="preserve">  j</w:t>
            </w:r>
          </w:p>
        </w:tc>
      </w:tr>
      <w:tr w:rsidR="00FF3A0B" w:rsidRPr="00DE64EE" w:rsidTr="00A77FE0">
        <w:trPr>
          <w:trHeight w:val="330"/>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i/>
                <w:iCs/>
                <w:color w:val="000000"/>
                <w:kern w:val="0"/>
                <w:szCs w:val="21"/>
              </w:rPr>
            </w:pPr>
          </w:p>
        </w:tc>
        <w:tc>
          <w:tcPr>
            <w:tcW w:w="822" w:type="dxa"/>
            <w:vMerge/>
            <w:shd w:val="clear" w:color="auto" w:fill="auto"/>
            <w:vAlign w:val="center"/>
            <w:hideMark/>
          </w:tcPr>
          <w:p w:rsidR="00FF3A0B" w:rsidRPr="00DE64EE" w:rsidRDefault="00FF3A0B" w:rsidP="00A77FE0">
            <w:pPr>
              <w:widowControl/>
              <w:jc w:val="center"/>
              <w:rPr>
                <w:rFonts w:eastAsiaTheme="minorEastAsia"/>
                <w:color w:val="000000"/>
                <w:kern w:val="0"/>
                <w:szCs w:val="21"/>
              </w:rPr>
            </w:pPr>
          </w:p>
        </w:tc>
        <w:tc>
          <w:tcPr>
            <w:tcW w:w="1134"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1</w:t>
            </w:r>
          </w:p>
        </w:tc>
        <w:tc>
          <w:tcPr>
            <w:tcW w:w="1004"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2</w:t>
            </w:r>
          </w:p>
        </w:tc>
        <w:tc>
          <w:tcPr>
            <w:tcW w:w="1004"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3</w:t>
            </w:r>
          </w:p>
        </w:tc>
        <w:tc>
          <w:tcPr>
            <w:tcW w:w="99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4</w:t>
            </w:r>
          </w:p>
        </w:tc>
        <w:tc>
          <w:tcPr>
            <w:tcW w:w="1134" w:type="dxa"/>
            <w:shd w:val="clear" w:color="auto" w:fill="auto"/>
            <w:noWrap/>
            <w:vAlign w:val="center"/>
            <w:hideMark/>
          </w:tcPr>
          <w:p w:rsidR="00FF3A0B" w:rsidRPr="00DE64EE" w:rsidRDefault="00FF3A0B" w:rsidP="00A77FE0">
            <w:pPr>
              <w:widowControl/>
              <w:jc w:val="center"/>
              <w:rPr>
                <w:rFonts w:eastAsiaTheme="minorEastAsia"/>
                <w:color w:val="000000"/>
                <w:kern w:val="0"/>
                <w:szCs w:val="21"/>
              </w:rPr>
            </w:pPr>
            <w:r w:rsidRPr="00DE64EE">
              <w:rPr>
                <w:rFonts w:eastAsiaTheme="minorEastAsia"/>
                <w:color w:val="000000"/>
                <w:kern w:val="0"/>
                <w:szCs w:val="21"/>
              </w:rPr>
              <w:t>5</w:t>
            </w:r>
          </w:p>
        </w:tc>
      </w:tr>
      <w:tr w:rsidR="00FF3A0B" w:rsidRPr="00DE64EE" w:rsidTr="00A77FE0">
        <w:trPr>
          <w:trHeight w:val="330"/>
          <w:jc w:val="center"/>
        </w:trPr>
        <w:tc>
          <w:tcPr>
            <w:tcW w:w="1848" w:type="dxa"/>
            <w:vMerge w:val="restart"/>
            <w:shd w:val="clear" w:color="auto" w:fill="auto"/>
            <w:vAlign w:val="center"/>
            <w:hideMark/>
          </w:tcPr>
          <w:p w:rsidR="00FF3A0B" w:rsidRPr="00DE64EE" w:rsidRDefault="00FF3A0B" w:rsidP="00A77FE0">
            <w:pPr>
              <w:widowControl/>
              <w:wordWrap w:val="0"/>
              <w:jc w:val="center"/>
              <w:rPr>
                <w:rFonts w:eastAsiaTheme="minorEastAsia"/>
                <w:kern w:val="0"/>
                <w:szCs w:val="21"/>
              </w:rPr>
            </w:pPr>
            <w:r w:rsidRPr="00DE64EE">
              <w:rPr>
                <w:rFonts w:eastAsiaTheme="minorEastAsia" w:hAnsiTheme="minorEastAsia"/>
                <w:kern w:val="0"/>
                <w:szCs w:val="21"/>
              </w:rPr>
              <w:t>广东省工业分析检测中心</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0.000107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0.003886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0.00644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0.04886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0.25429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0.000015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0.000135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0.000207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0.00219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0.01272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7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7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7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7 </w:t>
            </w:r>
          </w:p>
        </w:tc>
        <w:tc>
          <w:tcPr>
            <w:tcW w:w="1134" w:type="dxa"/>
            <w:shd w:val="clear" w:color="auto" w:fill="auto"/>
            <w:noWrap/>
            <w:vAlign w:val="center"/>
            <w:hideMark/>
          </w:tcPr>
          <w:p w:rsidR="00FF3A0B" w:rsidRPr="00DE64EE" w:rsidRDefault="00FF3A0B" w:rsidP="00A77FE0">
            <w:pPr>
              <w:widowControl/>
              <w:jc w:val="right"/>
              <w:rPr>
                <w:rFonts w:eastAsiaTheme="minorEastAsia"/>
                <w:kern w:val="0"/>
                <w:szCs w:val="21"/>
              </w:rPr>
            </w:pPr>
            <w:r w:rsidRPr="00DE64EE">
              <w:rPr>
                <w:rFonts w:eastAsiaTheme="minorEastAsia"/>
                <w:kern w:val="0"/>
                <w:szCs w:val="21"/>
              </w:rPr>
              <w:t>7</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广东邦普循环科技有限公司</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0.000194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0.003655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0.00691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0.05600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0.29227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0.000023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0.000163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0.000197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0.00141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0.00728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vAlign w:val="center"/>
            <w:hideMark/>
          </w:tcPr>
          <w:p w:rsidR="00FF3A0B" w:rsidRPr="00DE64EE" w:rsidRDefault="00FF3A0B" w:rsidP="00A77FE0">
            <w:pPr>
              <w:widowControl/>
              <w:jc w:val="right"/>
              <w:rPr>
                <w:rFonts w:eastAsiaTheme="minorEastAsia"/>
                <w:kern w:val="0"/>
                <w:szCs w:val="21"/>
              </w:rPr>
            </w:pPr>
            <w:r w:rsidRPr="00DE64EE">
              <w:rPr>
                <w:rFonts w:eastAsiaTheme="minorEastAsia"/>
                <w:kern w:val="0"/>
                <w:szCs w:val="21"/>
              </w:rPr>
              <w:t>11</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hint="eastAsia"/>
                <w:kern w:val="0"/>
                <w:szCs w:val="21"/>
              </w:rPr>
              <w:t>格林美</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0.003264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0.00650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0.05141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0.27430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0.000050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0.000173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0.00049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0.00216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vAlign w:val="center"/>
            <w:hideMark/>
          </w:tcPr>
          <w:p w:rsidR="00FF3A0B" w:rsidRPr="00DE64EE" w:rsidRDefault="00FF3A0B" w:rsidP="00A77FE0">
            <w:pPr>
              <w:widowControl/>
              <w:jc w:val="right"/>
              <w:rPr>
                <w:rFonts w:eastAsiaTheme="minorEastAsia"/>
                <w:bCs/>
                <w:kern w:val="0"/>
                <w:szCs w:val="21"/>
              </w:rPr>
            </w:pPr>
            <w:r w:rsidRPr="00DE64EE">
              <w:rPr>
                <w:rFonts w:eastAsiaTheme="minorEastAsia"/>
                <w:bCs/>
                <w:kern w:val="0"/>
                <w:szCs w:val="21"/>
              </w:rPr>
              <w:t>11</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国标（北京）检验认证有限公司</w:t>
            </w:r>
            <w:r w:rsidRPr="00DE64EE">
              <w:rPr>
                <w:rFonts w:eastAsiaTheme="minorEastAsia"/>
                <w:kern w:val="0"/>
                <w:szCs w:val="21"/>
              </w:rPr>
              <w:t>(</w:t>
            </w:r>
            <w:r w:rsidRPr="00DE64EE">
              <w:rPr>
                <w:rFonts w:eastAsiaTheme="minorEastAsia" w:hAnsiTheme="minorEastAsia"/>
                <w:kern w:val="0"/>
                <w:szCs w:val="21"/>
              </w:rPr>
              <w:t>一验）</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0.000145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0.003091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0.00699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0.05251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0.25527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0.000013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0.000161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0.000218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0.00067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0.00672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华南理工大学</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0.000145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0.003264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0.00689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0.05091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0.26545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0.000015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0.000298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0.000212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0.00255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0.00945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紫金矿业</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0.003243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0.00691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0.05357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0.25329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0.000053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0.000146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0.00230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0.00382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7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7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7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7 </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7 </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中检广西公司</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0.000119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0.003236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0.00730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0.05109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0.25364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0.000034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0.000225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0.000590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0.00170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0.01120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vAlign w:val="center"/>
            <w:hideMark/>
          </w:tcPr>
          <w:p w:rsidR="00FF3A0B" w:rsidRPr="00DE64EE" w:rsidRDefault="00FF3A0B" w:rsidP="00A77FE0">
            <w:pPr>
              <w:widowControl/>
              <w:jc w:val="left"/>
              <w:rPr>
                <w:rFonts w:eastAsiaTheme="minorEastAsia"/>
                <w:kern w:val="0"/>
                <w:szCs w:val="21"/>
              </w:rPr>
            </w:pPr>
            <w:r w:rsidRPr="00DE64EE">
              <w:rPr>
                <w:rFonts w:eastAsiaTheme="minorEastAsia" w:hAnsiTheme="minorEastAsia"/>
                <w:kern w:val="0"/>
                <w:szCs w:val="21"/>
              </w:rPr>
              <w:t xml:space="preserve">　</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贵州省分析测试研究院</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0.001482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0.003336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0.00618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0.05385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0.27718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0.000125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0.000211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0.000204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0.00202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0.00540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当升材料</w:t>
            </w:r>
            <w:r w:rsidRPr="00DE64EE">
              <w:rPr>
                <w:rFonts w:eastAsiaTheme="minorEastAsia" w:hAnsiTheme="minorEastAsia" w:hint="eastAsia"/>
                <w:kern w:val="0"/>
                <w:szCs w:val="21"/>
              </w:rPr>
              <w:t>科技有限公司</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0.001000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0.003298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0.00704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0.04841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0.30158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0.000161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0.000280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0.000703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0.00267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0.01120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东途矿产检测</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0.000553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0.003191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0.00553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0.00460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0.25909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0.000347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0.000270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0.000561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0.00164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0.01044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vAlign w:val="center"/>
            <w:hideMark/>
          </w:tcPr>
          <w:p w:rsidR="00FF3A0B" w:rsidRPr="00DE64EE" w:rsidRDefault="00FF3A0B" w:rsidP="00A77FE0">
            <w:pPr>
              <w:widowControl/>
              <w:jc w:val="right"/>
              <w:rPr>
                <w:rFonts w:eastAsiaTheme="minorEastAsia"/>
                <w:kern w:val="0"/>
                <w:szCs w:val="21"/>
              </w:rPr>
            </w:pPr>
            <w:r w:rsidRPr="00DE64EE">
              <w:rPr>
                <w:rFonts w:eastAsiaTheme="minorEastAsia"/>
                <w:kern w:val="0"/>
                <w:szCs w:val="21"/>
              </w:rPr>
              <w:t>11</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深圳海关测试中心</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0.000143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0.003055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0.00581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0.05036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0.27845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0.000014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0.000216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0.000457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0.00180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0.00850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vAlign w:val="center"/>
            <w:hideMark/>
          </w:tcPr>
          <w:p w:rsidR="00FF3A0B" w:rsidRPr="00DE64EE" w:rsidRDefault="00FF3A0B" w:rsidP="00A77FE0">
            <w:pPr>
              <w:widowControl/>
              <w:jc w:val="right"/>
              <w:rPr>
                <w:rFonts w:eastAsiaTheme="minorEastAsia"/>
                <w:kern w:val="0"/>
                <w:szCs w:val="21"/>
              </w:rPr>
            </w:pPr>
            <w:r w:rsidRPr="00DE64EE">
              <w:rPr>
                <w:rFonts w:eastAsiaTheme="minorEastAsia"/>
                <w:kern w:val="0"/>
                <w:szCs w:val="21"/>
              </w:rPr>
              <w:t>11</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中金岭南韶关冶炼厂</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0.003055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0.00631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0.04364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0.25000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0.000144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0.000181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0.00112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0.00632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bCs/>
                <w:kern w:val="0"/>
                <w:szCs w:val="21"/>
              </w:rPr>
              <w:t xml:space="preserve">11 </w:t>
            </w:r>
          </w:p>
        </w:tc>
        <w:tc>
          <w:tcPr>
            <w:tcW w:w="1134" w:type="dxa"/>
            <w:shd w:val="clear" w:color="auto" w:fill="auto"/>
            <w:noWrap/>
            <w:vAlign w:val="center"/>
            <w:hideMark/>
          </w:tcPr>
          <w:p w:rsidR="00FF3A0B" w:rsidRPr="00DE64EE" w:rsidRDefault="00FF3A0B" w:rsidP="00A77FE0">
            <w:pPr>
              <w:widowControl/>
              <w:jc w:val="right"/>
              <w:rPr>
                <w:rFonts w:eastAsiaTheme="minorEastAsia"/>
                <w:kern w:val="0"/>
                <w:szCs w:val="21"/>
              </w:rPr>
            </w:pPr>
            <w:r w:rsidRPr="00DE64EE">
              <w:rPr>
                <w:rFonts w:eastAsiaTheme="minorEastAsia"/>
                <w:kern w:val="0"/>
                <w:szCs w:val="21"/>
              </w:rPr>
              <w:t>11</w:t>
            </w:r>
          </w:p>
        </w:tc>
      </w:tr>
      <w:tr w:rsidR="00FF3A0B" w:rsidRPr="00DE64EE" w:rsidTr="00A77FE0">
        <w:trPr>
          <w:trHeight w:val="315"/>
          <w:jc w:val="center"/>
        </w:trPr>
        <w:tc>
          <w:tcPr>
            <w:tcW w:w="1848" w:type="dxa"/>
            <w:vMerge w:val="restart"/>
            <w:shd w:val="clear" w:color="auto" w:fill="auto"/>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浙江华友</w:t>
            </w: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0.000100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0.005286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0.00619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0.05771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0.20857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0.000057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0.000825 </w:t>
            </w:r>
          </w:p>
        </w:tc>
        <w:tc>
          <w:tcPr>
            <w:tcW w:w="100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0.000803 </w:t>
            </w:r>
          </w:p>
        </w:tc>
        <w:tc>
          <w:tcPr>
            <w:tcW w:w="992"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0.00457 </w:t>
            </w:r>
          </w:p>
        </w:tc>
        <w:tc>
          <w:tcPr>
            <w:tcW w:w="1134" w:type="dxa"/>
            <w:shd w:val="clear" w:color="auto" w:fill="auto"/>
            <w:noWrap/>
            <w:vAlign w:val="center"/>
            <w:hideMark/>
          </w:tcPr>
          <w:p w:rsidR="00FF3A0B" w:rsidRPr="00DE64EE" w:rsidRDefault="00FF3A0B" w:rsidP="00A77FE0">
            <w:pPr>
              <w:widowControl/>
              <w:jc w:val="left"/>
              <w:rPr>
                <w:rFonts w:eastAsiaTheme="minorEastAsia"/>
                <w:bCs/>
                <w:kern w:val="0"/>
                <w:szCs w:val="21"/>
              </w:rPr>
            </w:pPr>
            <w:r w:rsidRPr="00DE64EE">
              <w:rPr>
                <w:rFonts w:eastAsiaTheme="minorEastAsia"/>
                <w:bCs/>
                <w:kern w:val="0"/>
                <w:szCs w:val="21"/>
              </w:rPr>
              <w:t xml:space="preserve">0.00378 </w:t>
            </w:r>
          </w:p>
        </w:tc>
      </w:tr>
      <w:tr w:rsidR="00FF3A0B" w:rsidRPr="00DE64EE" w:rsidTr="00A77FE0">
        <w:trPr>
          <w:trHeight w:val="315"/>
          <w:jc w:val="center"/>
        </w:trPr>
        <w:tc>
          <w:tcPr>
            <w:tcW w:w="1848" w:type="dxa"/>
            <w:vMerge/>
            <w:shd w:val="clear" w:color="auto" w:fill="auto"/>
            <w:vAlign w:val="center"/>
            <w:hideMark/>
          </w:tcPr>
          <w:p w:rsidR="00FF3A0B" w:rsidRPr="00DE64EE" w:rsidRDefault="00FF3A0B" w:rsidP="00A77FE0">
            <w:pPr>
              <w:widowControl/>
              <w:jc w:val="center"/>
              <w:rPr>
                <w:rFonts w:eastAsiaTheme="minorEastAsia"/>
                <w:kern w:val="0"/>
                <w:szCs w:val="21"/>
              </w:rPr>
            </w:pPr>
          </w:p>
        </w:tc>
        <w:tc>
          <w:tcPr>
            <w:tcW w:w="822" w:type="dxa"/>
            <w:shd w:val="clear" w:color="auto" w:fill="auto"/>
            <w:noWrap/>
            <w:vAlign w:val="center"/>
            <w:hideMark/>
          </w:tcPr>
          <w:p w:rsidR="00FF3A0B" w:rsidRPr="00DE64EE" w:rsidRDefault="00FF3A0B"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hint="eastAsia"/>
                <w:bCs/>
                <w:kern w:val="0"/>
                <w:szCs w:val="21"/>
              </w:rPr>
              <w:t>7</w:t>
            </w:r>
            <w:r w:rsidRPr="00DE64EE">
              <w:rPr>
                <w:rFonts w:eastAsiaTheme="minorEastAsia"/>
                <w:bCs/>
                <w:kern w:val="0"/>
                <w:szCs w:val="21"/>
              </w:rPr>
              <w:t xml:space="preserve"> </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hint="eastAsia"/>
                <w:bCs/>
                <w:kern w:val="0"/>
                <w:szCs w:val="21"/>
              </w:rPr>
              <w:t>7</w:t>
            </w:r>
          </w:p>
        </w:tc>
        <w:tc>
          <w:tcPr>
            <w:tcW w:w="1004"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hint="eastAsia"/>
                <w:bCs/>
                <w:kern w:val="0"/>
                <w:szCs w:val="21"/>
              </w:rPr>
              <w:t>7</w:t>
            </w:r>
          </w:p>
        </w:tc>
        <w:tc>
          <w:tcPr>
            <w:tcW w:w="992" w:type="dxa"/>
            <w:shd w:val="clear" w:color="auto" w:fill="auto"/>
            <w:noWrap/>
            <w:hideMark/>
          </w:tcPr>
          <w:p w:rsidR="00FF3A0B" w:rsidRPr="00DE64EE" w:rsidRDefault="00FF3A0B" w:rsidP="00A77FE0">
            <w:pPr>
              <w:widowControl/>
              <w:jc w:val="center"/>
              <w:rPr>
                <w:rFonts w:eastAsiaTheme="minorEastAsia"/>
                <w:bCs/>
                <w:kern w:val="0"/>
                <w:szCs w:val="21"/>
              </w:rPr>
            </w:pPr>
            <w:r w:rsidRPr="00DE64EE">
              <w:rPr>
                <w:rFonts w:eastAsiaTheme="minorEastAsia" w:hint="eastAsia"/>
                <w:bCs/>
                <w:kern w:val="0"/>
                <w:szCs w:val="21"/>
              </w:rPr>
              <w:t>7</w:t>
            </w:r>
            <w:r w:rsidRPr="00DE64EE">
              <w:rPr>
                <w:rFonts w:eastAsiaTheme="minorEastAsia"/>
                <w:bCs/>
                <w:kern w:val="0"/>
                <w:szCs w:val="21"/>
              </w:rPr>
              <w:t xml:space="preserve"> </w:t>
            </w:r>
          </w:p>
        </w:tc>
        <w:tc>
          <w:tcPr>
            <w:tcW w:w="1134" w:type="dxa"/>
            <w:shd w:val="clear" w:color="auto" w:fill="auto"/>
            <w:noWrap/>
            <w:vAlign w:val="center"/>
            <w:hideMark/>
          </w:tcPr>
          <w:p w:rsidR="00FF3A0B" w:rsidRPr="00DE64EE" w:rsidRDefault="00FF3A0B" w:rsidP="00A77FE0">
            <w:pPr>
              <w:widowControl/>
              <w:jc w:val="right"/>
              <w:rPr>
                <w:rFonts w:eastAsiaTheme="minorEastAsia"/>
                <w:kern w:val="0"/>
                <w:szCs w:val="21"/>
              </w:rPr>
            </w:pPr>
            <w:r w:rsidRPr="00DE64EE">
              <w:rPr>
                <w:rFonts w:eastAsiaTheme="minorEastAsia" w:hint="eastAsia"/>
                <w:kern w:val="0"/>
                <w:szCs w:val="21"/>
              </w:rPr>
              <w:t>7</w:t>
            </w:r>
          </w:p>
        </w:tc>
      </w:tr>
    </w:tbl>
    <w:p w:rsidR="00FF3A0B" w:rsidRDefault="00FF3A0B" w:rsidP="00A860EB">
      <w:pPr>
        <w:spacing w:line="360" w:lineRule="auto"/>
        <w:rPr>
          <w:rFonts w:ascii="宋体" w:hAnsi="宋体"/>
          <w:szCs w:val="21"/>
        </w:rPr>
      </w:pPr>
    </w:p>
    <w:p w:rsidR="00F97A30" w:rsidRDefault="00C47AE7" w:rsidP="00A860EB">
      <w:pPr>
        <w:spacing w:line="360" w:lineRule="auto"/>
        <w:rPr>
          <w:rFonts w:ascii="宋体" w:hAnsi="宋体"/>
          <w:szCs w:val="21"/>
        </w:rPr>
      </w:pPr>
      <w:r>
        <w:rPr>
          <w:rFonts w:ascii="宋体" w:hAnsi="宋体" w:hint="eastAsia"/>
          <w:szCs w:val="21"/>
        </w:rPr>
        <w:t>4.2 电感耦合等离子体发射光谱法验证情况</w:t>
      </w:r>
    </w:p>
    <w:p w:rsidR="00066464" w:rsidRDefault="00066464" w:rsidP="00066464">
      <w:pPr>
        <w:spacing w:line="360" w:lineRule="auto"/>
        <w:ind w:firstLine="420"/>
        <w:rPr>
          <w:rFonts w:ascii="宋体" w:hAnsi="宋体"/>
          <w:szCs w:val="21"/>
        </w:rPr>
      </w:pPr>
      <w:r>
        <w:rPr>
          <w:rFonts w:ascii="宋体" w:hAnsi="宋体" w:hint="eastAsia"/>
          <w:szCs w:val="21"/>
        </w:rPr>
        <w:t>北京当升新材科技股份有限公司对编制单位试验报告的各实验条件参数进行验证，</w:t>
      </w:r>
      <w:r w:rsidR="00715939">
        <w:rPr>
          <w:rFonts w:ascii="宋体" w:hAnsi="宋体" w:hint="eastAsia"/>
          <w:szCs w:val="21"/>
        </w:rPr>
        <w:t>谱线选择、其他仪器条件选择</w:t>
      </w:r>
      <w:r>
        <w:rPr>
          <w:rFonts w:ascii="宋体" w:hAnsi="宋体" w:hint="eastAsia"/>
          <w:szCs w:val="21"/>
        </w:rPr>
        <w:t>、钴基体干扰试验、共存元素干扰试验情况均与编制单位试验报告结论一致。测定的检测下限钾为0.0</w:t>
      </w:r>
      <w:r w:rsidR="00715939">
        <w:rPr>
          <w:rFonts w:ascii="宋体" w:hAnsi="宋体" w:hint="eastAsia"/>
          <w:szCs w:val="21"/>
        </w:rPr>
        <w:t>10</w:t>
      </w:r>
      <w:r>
        <w:rPr>
          <w:rFonts w:ascii="宋体" w:hAnsi="宋体" w:hint="eastAsia"/>
          <w:szCs w:val="21"/>
        </w:rPr>
        <w:t>mg/L,钠为0.0</w:t>
      </w:r>
      <w:r w:rsidR="00715939">
        <w:rPr>
          <w:rFonts w:ascii="宋体" w:hAnsi="宋体" w:hint="eastAsia"/>
          <w:szCs w:val="21"/>
        </w:rPr>
        <w:t>17</w:t>
      </w:r>
      <w:r w:rsidRPr="00FF4F17">
        <w:rPr>
          <w:rFonts w:ascii="宋体" w:hAnsi="宋体" w:hint="eastAsia"/>
          <w:szCs w:val="21"/>
        </w:rPr>
        <w:t xml:space="preserve"> </w:t>
      </w:r>
      <w:r>
        <w:rPr>
          <w:rFonts w:ascii="宋体" w:hAnsi="宋体" w:hint="eastAsia"/>
          <w:szCs w:val="21"/>
        </w:rPr>
        <w:t>mg/L，加标回收率钾为</w:t>
      </w:r>
      <w:r w:rsidR="00715939">
        <w:rPr>
          <w:rFonts w:ascii="宋体" w:hAnsi="宋体" w:hint="eastAsia"/>
          <w:szCs w:val="21"/>
        </w:rPr>
        <w:t>99</w:t>
      </w:r>
      <w:r>
        <w:rPr>
          <w:rFonts w:ascii="宋体" w:hAnsi="宋体" w:hint="eastAsia"/>
          <w:szCs w:val="21"/>
        </w:rPr>
        <w:t>.6-10</w:t>
      </w:r>
      <w:r w:rsidR="00715939">
        <w:rPr>
          <w:rFonts w:ascii="宋体" w:hAnsi="宋体" w:hint="eastAsia"/>
          <w:szCs w:val="21"/>
        </w:rPr>
        <w:t>1</w:t>
      </w:r>
      <w:r>
        <w:rPr>
          <w:rFonts w:ascii="宋体" w:hAnsi="宋体" w:hint="eastAsia"/>
          <w:szCs w:val="21"/>
        </w:rPr>
        <w:t>.1%之间，钠为</w:t>
      </w:r>
      <w:r w:rsidR="00715939">
        <w:rPr>
          <w:rFonts w:ascii="宋体" w:hAnsi="宋体" w:hint="eastAsia"/>
          <w:szCs w:val="21"/>
        </w:rPr>
        <w:t>99</w:t>
      </w:r>
      <w:r>
        <w:rPr>
          <w:rFonts w:ascii="宋体" w:hAnsi="宋体" w:hint="eastAsia"/>
          <w:szCs w:val="21"/>
        </w:rPr>
        <w:t>.2-103.</w:t>
      </w:r>
      <w:r w:rsidR="00715939">
        <w:rPr>
          <w:rFonts w:ascii="宋体" w:hAnsi="宋体" w:hint="eastAsia"/>
          <w:szCs w:val="21"/>
        </w:rPr>
        <w:t>4</w:t>
      </w:r>
      <w:r>
        <w:rPr>
          <w:rFonts w:ascii="宋体" w:hAnsi="宋体" w:hint="eastAsia"/>
          <w:szCs w:val="21"/>
        </w:rPr>
        <w:t>%之间，精密度试验结果良好（具体数据见数据汇总列表）。</w:t>
      </w:r>
    </w:p>
    <w:p w:rsidR="00066464" w:rsidRDefault="00066464" w:rsidP="00832F66">
      <w:pPr>
        <w:spacing w:line="360" w:lineRule="auto"/>
        <w:ind w:firstLine="420"/>
        <w:rPr>
          <w:rFonts w:ascii="宋体" w:hAnsi="宋体"/>
          <w:szCs w:val="21"/>
        </w:rPr>
      </w:pPr>
      <w:r>
        <w:rPr>
          <w:rFonts w:ascii="宋体" w:hAnsi="宋体" w:hint="eastAsia"/>
          <w:szCs w:val="21"/>
        </w:rPr>
        <w:t>广东邦普循环科技有限公司对编制单位试验报告的各实验条件参数进行验证，</w:t>
      </w:r>
      <w:r w:rsidR="00832F66">
        <w:rPr>
          <w:rFonts w:ascii="宋体" w:hAnsi="宋体" w:hint="eastAsia"/>
          <w:szCs w:val="21"/>
        </w:rPr>
        <w:t>谱线选择、</w:t>
      </w:r>
      <w:r w:rsidR="00832F66">
        <w:rPr>
          <w:rFonts w:ascii="宋体" w:hAnsi="宋体" w:hint="eastAsia"/>
          <w:szCs w:val="21"/>
        </w:rPr>
        <w:lastRenderedPageBreak/>
        <w:t>其他仪器条件选择、钴基体干扰试验、共存元素干扰试验情况均与编制单位试验报告结论一致。测定的检测下限钾为0.014mg/L,钠为0.016</w:t>
      </w:r>
      <w:r w:rsidR="00832F66" w:rsidRPr="00FF4F17">
        <w:rPr>
          <w:rFonts w:ascii="宋体" w:hAnsi="宋体" w:hint="eastAsia"/>
          <w:szCs w:val="21"/>
        </w:rPr>
        <w:t xml:space="preserve"> </w:t>
      </w:r>
      <w:r w:rsidR="00832F66">
        <w:rPr>
          <w:rFonts w:ascii="宋体" w:hAnsi="宋体" w:hint="eastAsia"/>
          <w:szCs w:val="21"/>
        </w:rPr>
        <w:t>mg/L，加标回收率钾为101.6-108.8%之间，钠为102-109.3%之间，精密度试验结果良好（具体数据见数据汇总列表）。</w:t>
      </w:r>
      <w:r>
        <w:rPr>
          <w:rFonts w:ascii="宋体" w:hAnsi="宋体" w:hint="eastAsia"/>
          <w:szCs w:val="21"/>
        </w:rPr>
        <w:t>通过验证，对试验报告和文本提出来修改意见（见意见汇总表）。</w:t>
      </w:r>
    </w:p>
    <w:p w:rsidR="00066464" w:rsidRDefault="00066464" w:rsidP="00066464">
      <w:pPr>
        <w:spacing w:line="360" w:lineRule="auto"/>
        <w:ind w:firstLine="420"/>
        <w:rPr>
          <w:rFonts w:ascii="宋体" w:hAnsi="宋体"/>
          <w:szCs w:val="21"/>
        </w:rPr>
      </w:pPr>
      <w:r>
        <w:rPr>
          <w:rFonts w:ascii="宋体" w:hAnsi="宋体" w:hint="eastAsia"/>
          <w:szCs w:val="21"/>
        </w:rPr>
        <w:t>北矿检测技术有限公司对编制单位试验报告的部分条件参数进行验证，</w:t>
      </w:r>
      <w:r w:rsidR="004757A7">
        <w:rPr>
          <w:rFonts w:ascii="宋体" w:hAnsi="宋体" w:hint="eastAsia"/>
          <w:szCs w:val="21"/>
        </w:rPr>
        <w:t>谱线选择、其他仪器条件选择、钴基体干扰试验、共存元素干扰试验情况均与编制单位试验报告结论一致。测定的检测下限钾为0.144mg/L,钠为0.14mg/L，加标回收率钾为95.8-103.3%之间，钠为96.5-104.0%之间，</w:t>
      </w:r>
      <w:r>
        <w:rPr>
          <w:rFonts w:ascii="宋体" w:hAnsi="宋体" w:hint="eastAsia"/>
          <w:szCs w:val="21"/>
        </w:rPr>
        <w:t>精密度试验结果良好（具体数据见数据汇总列表）。</w:t>
      </w:r>
      <w:r w:rsidR="004757A7">
        <w:rPr>
          <w:rFonts w:ascii="宋体" w:hAnsi="宋体" w:hint="eastAsia"/>
          <w:szCs w:val="21"/>
        </w:rPr>
        <w:t>通过验证，对试验报告和文本提出来修改意见（见意见汇总表）。</w:t>
      </w:r>
    </w:p>
    <w:p w:rsidR="00066464" w:rsidRDefault="00066464" w:rsidP="00066464">
      <w:pPr>
        <w:spacing w:line="360" w:lineRule="auto"/>
        <w:ind w:firstLine="420"/>
        <w:rPr>
          <w:rFonts w:ascii="宋体" w:hAnsi="宋体"/>
          <w:szCs w:val="21"/>
        </w:rPr>
      </w:pPr>
      <w:r>
        <w:rPr>
          <w:rFonts w:ascii="宋体" w:hAnsi="宋体" w:hint="eastAsia"/>
          <w:szCs w:val="21"/>
        </w:rPr>
        <w:t>国标（北京）检验认证有限公司对编制单位试验报告的各实验条件参数进行验证，</w:t>
      </w:r>
      <w:r w:rsidR="00832F66">
        <w:rPr>
          <w:rFonts w:ascii="宋体" w:hAnsi="宋体" w:hint="eastAsia"/>
          <w:szCs w:val="21"/>
        </w:rPr>
        <w:t>谱线选择、其他仪器条件选择、钴基体干扰试验、共存元素干扰试验情况均与编制单位试验报告结论一致。测定的检测下限钾0.0012%,钠为0.0002%，精密度试验结果良好</w:t>
      </w:r>
      <w:r>
        <w:rPr>
          <w:rFonts w:ascii="宋体" w:hAnsi="宋体" w:hint="eastAsia"/>
          <w:szCs w:val="21"/>
        </w:rPr>
        <w:t>，精密度试验结果良好（具体数据见数据汇总列表）。通过验证，对试验报告和文本提出来修改意见（见意见汇总表）。</w:t>
      </w:r>
    </w:p>
    <w:p w:rsidR="00066464" w:rsidRDefault="00066464" w:rsidP="00066464">
      <w:pPr>
        <w:spacing w:line="360" w:lineRule="auto"/>
        <w:ind w:firstLine="420"/>
        <w:rPr>
          <w:rFonts w:ascii="宋体" w:hAnsi="宋体"/>
          <w:szCs w:val="21"/>
        </w:rPr>
      </w:pPr>
      <w:r>
        <w:rPr>
          <w:rFonts w:ascii="宋体" w:hAnsi="宋体" w:hint="eastAsia"/>
          <w:szCs w:val="21"/>
        </w:rPr>
        <w:t>参与二验的各单位验证了本方法测定的精密度，部分单位对试验报告和文本草案提出了修改意见（见意见汇总表）。</w:t>
      </w:r>
    </w:p>
    <w:p w:rsidR="00C47AE7" w:rsidRDefault="00066464" w:rsidP="00066464">
      <w:pPr>
        <w:spacing w:line="360" w:lineRule="auto"/>
        <w:ind w:firstLine="420"/>
        <w:rPr>
          <w:rFonts w:ascii="宋体" w:hAnsi="宋体"/>
          <w:szCs w:val="21"/>
        </w:rPr>
      </w:pPr>
      <w:r>
        <w:rPr>
          <w:rFonts w:ascii="宋体" w:hAnsi="宋体" w:hint="eastAsia"/>
          <w:szCs w:val="21"/>
        </w:rPr>
        <w:t>通过验证，各单位试验结论与编制单位报告内容和文本草案内容基本一致，方法可行，精密度良好。1#样品钾的含量较低，且各单位差异较大，有的单位没有测出相应的含量，</w:t>
      </w:r>
      <w:r w:rsidR="004757A7">
        <w:rPr>
          <w:rFonts w:ascii="宋体" w:hAnsi="宋体" w:hint="eastAsia"/>
          <w:szCs w:val="21"/>
        </w:rPr>
        <w:t>结合相关单位意见，</w:t>
      </w:r>
      <w:r>
        <w:rPr>
          <w:rFonts w:ascii="宋体" w:hAnsi="宋体" w:hint="eastAsia"/>
          <w:szCs w:val="21"/>
        </w:rPr>
        <w:t>因此进行重现性限和再现性限计算时，删除了钾1#样品的数据。</w:t>
      </w:r>
    </w:p>
    <w:p w:rsidR="00DD23C7" w:rsidRDefault="00DD23C7" w:rsidP="00066464">
      <w:pPr>
        <w:spacing w:line="360" w:lineRule="auto"/>
        <w:ind w:firstLine="420"/>
        <w:rPr>
          <w:rFonts w:ascii="宋体" w:hAnsi="宋体"/>
          <w:szCs w:val="21"/>
        </w:rPr>
      </w:pPr>
      <w:r>
        <w:rPr>
          <w:rFonts w:ascii="宋体" w:hAnsi="宋体" w:hint="eastAsia"/>
          <w:szCs w:val="21"/>
        </w:rPr>
        <w:t>对汇总的数据进行了组内格拉布斯检验，组间进行柯克伦检验和格拉布斯检验，删除异常值，并计算出重现性限和再现性限。</w:t>
      </w:r>
    </w:p>
    <w:p w:rsidR="0097695F" w:rsidRDefault="0097695F" w:rsidP="0097695F">
      <w:pPr>
        <w:spacing w:line="360" w:lineRule="auto"/>
        <w:ind w:firstLineChars="900" w:firstLine="1890"/>
        <w:rPr>
          <w:rFonts w:ascii="宋体" w:hAnsi="宋体" w:hint="eastAsia"/>
          <w:szCs w:val="21"/>
        </w:rPr>
      </w:pPr>
      <w:r>
        <w:rPr>
          <w:rFonts w:ascii="宋体" w:hAnsi="宋体" w:hint="eastAsia"/>
          <w:szCs w:val="21"/>
        </w:rPr>
        <w:t>电感耦合等离子体发射光谱法测定-</w:t>
      </w:r>
      <w:r w:rsidR="00DD23C7">
        <w:rPr>
          <w:rFonts w:ascii="宋体" w:hAnsi="宋体" w:hint="eastAsia"/>
          <w:szCs w:val="21"/>
        </w:rPr>
        <w:t>钾</w:t>
      </w:r>
      <w:r>
        <w:rPr>
          <w:rFonts w:ascii="宋体" w:hAnsi="宋体" w:hint="eastAsia"/>
          <w:szCs w:val="21"/>
        </w:rPr>
        <w:t>数据汇总</w:t>
      </w:r>
    </w:p>
    <w:tbl>
      <w:tblPr>
        <w:tblW w:w="793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6"/>
        <w:gridCol w:w="822"/>
        <w:gridCol w:w="1134"/>
        <w:gridCol w:w="1004"/>
        <w:gridCol w:w="1004"/>
        <w:gridCol w:w="1004"/>
        <w:gridCol w:w="1134"/>
      </w:tblGrid>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color w:val="000000"/>
                <w:kern w:val="0"/>
                <w:szCs w:val="21"/>
              </w:rPr>
            </w:pPr>
            <w:r w:rsidRPr="00DE64EE">
              <w:rPr>
                <w:rFonts w:eastAsiaTheme="minorEastAsia" w:hAnsiTheme="minorEastAsia"/>
                <w:color w:val="000000"/>
                <w:kern w:val="0"/>
                <w:szCs w:val="21"/>
              </w:rPr>
              <w:t>实验室</w:t>
            </w:r>
          </w:p>
        </w:tc>
        <w:tc>
          <w:tcPr>
            <w:tcW w:w="822" w:type="dxa"/>
            <w:vMerge w:val="restart"/>
            <w:shd w:val="clear" w:color="auto" w:fill="auto"/>
            <w:noWrap/>
            <w:vAlign w:val="center"/>
            <w:hideMark/>
          </w:tcPr>
          <w:p w:rsidR="00C619A3" w:rsidRPr="00DE64EE" w:rsidRDefault="00C619A3" w:rsidP="00A77FE0">
            <w:pPr>
              <w:widowControl/>
              <w:jc w:val="center"/>
              <w:rPr>
                <w:rFonts w:eastAsiaTheme="minorEastAsia"/>
                <w:color w:val="000000"/>
                <w:kern w:val="0"/>
                <w:szCs w:val="21"/>
              </w:rPr>
            </w:pPr>
          </w:p>
        </w:tc>
        <w:tc>
          <w:tcPr>
            <w:tcW w:w="5280" w:type="dxa"/>
            <w:gridSpan w:val="5"/>
            <w:shd w:val="clear" w:color="auto" w:fill="auto"/>
            <w:noWrap/>
            <w:vAlign w:val="center"/>
            <w:hideMark/>
          </w:tcPr>
          <w:p w:rsidR="00C619A3" w:rsidRPr="00DE64EE" w:rsidRDefault="00C619A3" w:rsidP="00A77FE0">
            <w:pPr>
              <w:widowControl/>
              <w:jc w:val="center"/>
              <w:rPr>
                <w:rFonts w:eastAsiaTheme="minorEastAsia"/>
                <w:color w:val="000000"/>
                <w:kern w:val="0"/>
                <w:szCs w:val="21"/>
              </w:rPr>
            </w:pPr>
            <w:r w:rsidRPr="00DE64EE">
              <w:rPr>
                <w:rFonts w:eastAsiaTheme="minorEastAsia" w:hAnsiTheme="minorEastAsia"/>
                <w:color w:val="000000"/>
                <w:kern w:val="0"/>
                <w:szCs w:val="21"/>
              </w:rPr>
              <w:t>水平</w:t>
            </w:r>
            <w:r w:rsidRPr="00DE64EE">
              <w:rPr>
                <w:rFonts w:eastAsiaTheme="minorEastAsia"/>
                <w:color w:val="000000"/>
                <w:kern w:val="0"/>
                <w:szCs w:val="21"/>
              </w:rPr>
              <w:t xml:space="preserve">  j</w:t>
            </w:r>
          </w:p>
        </w:tc>
      </w:tr>
      <w:tr w:rsidR="00C619A3" w:rsidRPr="00DE64EE" w:rsidTr="00A77FE0">
        <w:trPr>
          <w:trHeight w:val="330"/>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i/>
                <w:iCs/>
                <w:color w:val="000000"/>
                <w:kern w:val="0"/>
                <w:szCs w:val="21"/>
              </w:rPr>
            </w:pPr>
          </w:p>
        </w:tc>
        <w:tc>
          <w:tcPr>
            <w:tcW w:w="822" w:type="dxa"/>
            <w:vMerge/>
            <w:shd w:val="clear" w:color="auto" w:fill="auto"/>
            <w:vAlign w:val="center"/>
            <w:hideMark/>
          </w:tcPr>
          <w:p w:rsidR="00C619A3" w:rsidRPr="00DE64EE" w:rsidRDefault="00C619A3" w:rsidP="00A77FE0">
            <w:pPr>
              <w:widowControl/>
              <w:jc w:val="center"/>
              <w:rPr>
                <w:rFonts w:eastAsiaTheme="minorEastAsia"/>
                <w:color w:val="000000"/>
                <w:kern w:val="0"/>
                <w:szCs w:val="21"/>
              </w:rPr>
            </w:pPr>
          </w:p>
        </w:tc>
        <w:tc>
          <w:tcPr>
            <w:tcW w:w="1134"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1</w:t>
            </w:r>
          </w:p>
        </w:tc>
        <w:tc>
          <w:tcPr>
            <w:tcW w:w="1004"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2</w:t>
            </w:r>
          </w:p>
        </w:tc>
        <w:tc>
          <w:tcPr>
            <w:tcW w:w="1004"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3</w:t>
            </w:r>
          </w:p>
        </w:tc>
        <w:tc>
          <w:tcPr>
            <w:tcW w:w="1004"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4</w:t>
            </w:r>
          </w:p>
        </w:tc>
        <w:tc>
          <w:tcPr>
            <w:tcW w:w="1134" w:type="dxa"/>
            <w:shd w:val="clear" w:color="auto" w:fill="auto"/>
            <w:noWrap/>
            <w:vAlign w:val="center"/>
            <w:hideMark/>
          </w:tcPr>
          <w:p w:rsidR="00C619A3" w:rsidRPr="00DE64EE" w:rsidRDefault="00C619A3" w:rsidP="00A77FE0">
            <w:pPr>
              <w:widowControl/>
              <w:jc w:val="center"/>
              <w:rPr>
                <w:rFonts w:eastAsiaTheme="minorEastAsia"/>
                <w:color w:val="000000"/>
                <w:kern w:val="0"/>
                <w:szCs w:val="21"/>
              </w:rPr>
            </w:pPr>
            <w:r w:rsidRPr="00DE64EE">
              <w:rPr>
                <w:rFonts w:eastAsiaTheme="minorEastAsia"/>
                <w:color w:val="000000"/>
                <w:kern w:val="0"/>
                <w:szCs w:val="21"/>
              </w:rPr>
              <w:t>5</w:t>
            </w:r>
          </w:p>
        </w:tc>
      </w:tr>
      <w:tr w:rsidR="00C619A3" w:rsidRPr="00DE64EE" w:rsidTr="00A77FE0">
        <w:trPr>
          <w:trHeight w:val="330"/>
          <w:jc w:val="center"/>
        </w:trPr>
        <w:tc>
          <w:tcPr>
            <w:tcW w:w="1836" w:type="dxa"/>
            <w:vMerge w:val="restart"/>
            <w:shd w:val="clear" w:color="auto" w:fill="auto"/>
            <w:vAlign w:val="center"/>
            <w:hideMark/>
          </w:tcPr>
          <w:p w:rsidR="00C619A3" w:rsidRPr="00DE64EE" w:rsidRDefault="00C619A3" w:rsidP="00A77FE0">
            <w:pPr>
              <w:widowControl/>
              <w:wordWrap w:val="0"/>
              <w:jc w:val="center"/>
              <w:rPr>
                <w:rFonts w:eastAsiaTheme="minorEastAsia"/>
                <w:kern w:val="0"/>
                <w:szCs w:val="21"/>
              </w:rPr>
            </w:pPr>
            <w:r w:rsidRPr="00DE64EE">
              <w:rPr>
                <w:rFonts w:eastAsiaTheme="minorEastAsia" w:hAnsiTheme="minorEastAsia"/>
                <w:kern w:val="0"/>
                <w:szCs w:val="21"/>
              </w:rPr>
              <w:t>当升材料（一验</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0.001209</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0.003236</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0.00642</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0.04927</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0.29455</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0.000070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0.000191</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0.000440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0.00224</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0.01128</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广东邦普循环科技有限公司（一验）</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0.000207</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0.003491</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0.00674</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0.05282</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0.28636</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0.000027</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0.000138</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0.000143</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0.00117</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0.00765</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北矿检测（一验）</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0.000686</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0.003582</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0.00681</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0.04864</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0.27000</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0.000380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0.000133</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0.000330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0.00216</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0.00447</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lastRenderedPageBreak/>
              <w:t>国标（北京）检验认证有限公司</w:t>
            </w:r>
            <w:r w:rsidRPr="00DE64EE">
              <w:rPr>
                <w:rFonts w:eastAsiaTheme="minorEastAsia"/>
                <w:kern w:val="0"/>
                <w:szCs w:val="21"/>
              </w:rPr>
              <w:t>(</w:t>
            </w:r>
            <w:r w:rsidRPr="00DE64EE">
              <w:rPr>
                <w:rFonts w:eastAsiaTheme="minorEastAsia" w:hAnsiTheme="minorEastAsia"/>
                <w:kern w:val="0"/>
                <w:szCs w:val="21"/>
              </w:rPr>
              <w:t>一验）</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0.000135</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0.003082</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0.00687</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0.05054</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0.24673</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0.000010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0.000175</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0.000176</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0.00138</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0.00420</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广东省工业分析检测中心</w:t>
            </w:r>
            <w:r w:rsidRPr="00DE64EE">
              <w:rPr>
                <w:rFonts w:eastAsiaTheme="minorEastAsia"/>
                <w:kern w:val="0"/>
                <w:szCs w:val="21"/>
              </w:rPr>
              <w:t>(</w:t>
            </w:r>
            <w:r w:rsidRPr="00DE64EE">
              <w:rPr>
                <w:rFonts w:eastAsiaTheme="minorEastAsia" w:hAnsiTheme="minorEastAsia"/>
                <w:kern w:val="0"/>
                <w:szCs w:val="21"/>
              </w:rPr>
              <w:t>二验</w:t>
            </w:r>
            <w:r w:rsidRPr="00DE64EE">
              <w:rPr>
                <w:rFonts w:eastAsiaTheme="minorEastAsia" w:hAnsiTheme="minorEastAsia" w:hint="eastAsia"/>
                <w:kern w:val="0"/>
                <w:szCs w:val="21"/>
              </w:rPr>
              <w:t>)</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0.004057</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0.00659</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0.05686</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0.26143</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0.000431</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0.000135</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0.00090</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0.00900</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hint="eastAsia"/>
                <w:bCs/>
                <w:kern w:val="0"/>
                <w:szCs w:val="21"/>
              </w:rPr>
              <w:t>0</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紫金矿业</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0.003900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0.00663</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0.05200</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0.25857</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0.000616</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0.000962</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0.00572</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0.01464</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hint="eastAsia"/>
                <w:bCs/>
                <w:kern w:val="0"/>
                <w:szCs w:val="21"/>
              </w:rPr>
              <w:t>0</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中金岭南韶关冶炼厂（二验）</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0.003355</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0.00690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0.04755</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0.25545</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0.000137</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0.000173</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0.00129</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0.00934</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hint="eastAsia"/>
                <w:bCs/>
                <w:kern w:val="0"/>
                <w:szCs w:val="21"/>
              </w:rPr>
              <w:t>0</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贵州省分析测试研究院</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vAlign w:val="bottom"/>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0.0014</w:t>
            </w:r>
          </w:p>
        </w:tc>
        <w:tc>
          <w:tcPr>
            <w:tcW w:w="1004" w:type="dxa"/>
            <w:shd w:val="clear" w:color="auto" w:fill="auto"/>
            <w:noWrap/>
            <w:vAlign w:val="bottom"/>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0.0033</w:t>
            </w:r>
          </w:p>
        </w:tc>
        <w:tc>
          <w:tcPr>
            <w:tcW w:w="1004" w:type="dxa"/>
            <w:shd w:val="clear" w:color="auto" w:fill="auto"/>
            <w:noWrap/>
            <w:vAlign w:val="bottom"/>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0.0066</w:t>
            </w:r>
          </w:p>
        </w:tc>
        <w:tc>
          <w:tcPr>
            <w:tcW w:w="1004" w:type="dxa"/>
            <w:shd w:val="clear" w:color="auto" w:fill="auto"/>
            <w:noWrap/>
            <w:vAlign w:val="bottom"/>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0.0489</w:t>
            </w:r>
          </w:p>
        </w:tc>
        <w:tc>
          <w:tcPr>
            <w:tcW w:w="1134" w:type="dxa"/>
            <w:shd w:val="clear" w:color="auto" w:fill="auto"/>
            <w:noWrap/>
            <w:vAlign w:val="bottom"/>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0.2616</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0.000130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0.000257</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0.000204</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0.001417</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0.009223</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格林美（二验）</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0.003891</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0.00660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0.05109</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0.26109</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#DIV/0!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0.000054</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0.000118</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0.00049</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0.00153</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hint="eastAsia"/>
                <w:bCs/>
                <w:kern w:val="0"/>
                <w:szCs w:val="21"/>
              </w:rPr>
              <w:t>0</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中伟新材</w:t>
            </w:r>
            <w:r w:rsidRPr="00DE64EE">
              <w:rPr>
                <w:rFonts w:eastAsiaTheme="minorEastAsia"/>
                <w:kern w:val="0"/>
                <w:szCs w:val="21"/>
              </w:rPr>
              <w:t>(</w:t>
            </w:r>
            <w:r w:rsidRPr="00DE64EE">
              <w:rPr>
                <w:rFonts w:eastAsiaTheme="minorEastAsia" w:hAnsiTheme="minorEastAsia"/>
                <w:kern w:val="0"/>
                <w:szCs w:val="21"/>
              </w:rPr>
              <w:t>二验）</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0.000136</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0.002809</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0.00628</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0.04323</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0.25285</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0.000050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0.000263</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0.000360</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0.00082</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0.00349</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11</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大冶有色（二验）</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0.000149</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0.002957</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0.00639</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0.04944</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0.26043</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0.000011</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0.000172</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0.000248</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0.00132</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0.01104</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7</w:t>
            </w:r>
          </w:p>
        </w:tc>
      </w:tr>
      <w:tr w:rsidR="00C619A3" w:rsidRPr="00DE64EE" w:rsidTr="00A77FE0">
        <w:trPr>
          <w:trHeight w:val="315"/>
          <w:jc w:val="center"/>
        </w:trPr>
        <w:tc>
          <w:tcPr>
            <w:tcW w:w="1836" w:type="dxa"/>
            <w:vMerge w:val="restart"/>
            <w:shd w:val="clear" w:color="auto" w:fill="auto"/>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浙江华友</w:t>
            </w: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0.000051</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0.005843</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0.00674</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0.05729</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0.25000</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0.000018</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0.001295</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0.000526</w:t>
            </w:r>
          </w:p>
        </w:tc>
        <w:tc>
          <w:tcPr>
            <w:tcW w:w="100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0.00509</w:t>
            </w:r>
          </w:p>
        </w:tc>
        <w:tc>
          <w:tcPr>
            <w:tcW w:w="1134" w:type="dxa"/>
            <w:shd w:val="clear" w:color="auto" w:fill="auto"/>
            <w:noWrap/>
            <w:vAlign w:val="center"/>
            <w:hideMark/>
          </w:tcPr>
          <w:p w:rsidR="00C619A3" w:rsidRPr="00DE64EE" w:rsidRDefault="00C619A3" w:rsidP="00A77FE0">
            <w:pPr>
              <w:widowControl/>
              <w:jc w:val="center"/>
              <w:rPr>
                <w:rFonts w:eastAsiaTheme="minorEastAsia"/>
                <w:bCs/>
                <w:kern w:val="0"/>
                <w:szCs w:val="21"/>
              </w:rPr>
            </w:pPr>
            <w:r w:rsidRPr="00DE64EE">
              <w:rPr>
                <w:rFonts w:eastAsiaTheme="minorEastAsia"/>
                <w:bCs/>
                <w:kern w:val="0"/>
                <w:szCs w:val="21"/>
              </w:rPr>
              <w:t>0.00577</w:t>
            </w:r>
          </w:p>
        </w:tc>
      </w:tr>
      <w:tr w:rsidR="00C619A3" w:rsidRPr="00DE64EE" w:rsidTr="00A77FE0">
        <w:trPr>
          <w:trHeight w:val="315"/>
          <w:jc w:val="center"/>
        </w:trPr>
        <w:tc>
          <w:tcPr>
            <w:tcW w:w="1836" w:type="dxa"/>
            <w:vMerge/>
            <w:shd w:val="clear" w:color="auto" w:fill="auto"/>
            <w:vAlign w:val="center"/>
            <w:hideMark/>
          </w:tcPr>
          <w:p w:rsidR="00C619A3" w:rsidRPr="00DE64EE" w:rsidRDefault="00C619A3" w:rsidP="00A77FE0">
            <w:pPr>
              <w:widowControl/>
              <w:jc w:val="center"/>
              <w:rPr>
                <w:rFonts w:eastAsiaTheme="minorEastAsia"/>
                <w:kern w:val="0"/>
                <w:szCs w:val="21"/>
              </w:rPr>
            </w:pPr>
          </w:p>
        </w:tc>
        <w:tc>
          <w:tcPr>
            <w:tcW w:w="822" w:type="dxa"/>
            <w:shd w:val="clear" w:color="auto" w:fill="auto"/>
            <w:noWrap/>
            <w:vAlign w:val="center"/>
            <w:hideMark/>
          </w:tcPr>
          <w:p w:rsidR="00C619A3" w:rsidRPr="00DE64EE" w:rsidRDefault="00C619A3"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hint="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hint="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hint="eastAsia"/>
                <w:bCs/>
                <w:kern w:val="0"/>
                <w:szCs w:val="21"/>
              </w:rPr>
              <w:t>7</w:t>
            </w:r>
          </w:p>
        </w:tc>
        <w:tc>
          <w:tcPr>
            <w:tcW w:w="100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hint="eastAsia"/>
                <w:bCs/>
                <w:kern w:val="0"/>
                <w:szCs w:val="21"/>
              </w:rPr>
              <w:t>7</w:t>
            </w:r>
          </w:p>
        </w:tc>
        <w:tc>
          <w:tcPr>
            <w:tcW w:w="1134" w:type="dxa"/>
            <w:shd w:val="clear" w:color="auto" w:fill="auto"/>
            <w:noWrap/>
            <w:hideMark/>
          </w:tcPr>
          <w:p w:rsidR="00C619A3" w:rsidRPr="00DE64EE" w:rsidRDefault="00C619A3" w:rsidP="00A77FE0">
            <w:pPr>
              <w:widowControl/>
              <w:jc w:val="center"/>
              <w:rPr>
                <w:rFonts w:eastAsiaTheme="minorEastAsia"/>
                <w:bCs/>
                <w:kern w:val="0"/>
                <w:szCs w:val="21"/>
              </w:rPr>
            </w:pPr>
            <w:r w:rsidRPr="00DE64EE">
              <w:rPr>
                <w:rFonts w:eastAsiaTheme="minorEastAsia" w:hint="eastAsia"/>
                <w:bCs/>
                <w:kern w:val="0"/>
                <w:szCs w:val="21"/>
              </w:rPr>
              <w:t>7</w:t>
            </w:r>
          </w:p>
        </w:tc>
      </w:tr>
    </w:tbl>
    <w:p w:rsidR="009628D1" w:rsidRDefault="009628D1" w:rsidP="00435C32">
      <w:pPr>
        <w:spacing w:line="360" w:lineRule="auto"/>
        <w:rPr>
          <w:rFonts w:ascii="宋体" w:hAnsi="宋体"/>
          <w:szCs w:val="21"/>
        </w:rPr>
      </w:pPr>
    </w:p>
    <w:p w:rsidR="009628D1" w:rsidRDefault="009628D1" w:rsidP="009628D1">
      <w:pPr>
        <w:spacing w:line="360" w:lineRule="auto"/>
        <w:ind w:firstLineChars="900" w:firstLine="1890"/>
        <w:rPr>
          <w:rFonts w:ascii="宋体" w:hAnsi="宋体" w:hint="eastAsia"/>
          <w:szCs w:val="21"/>
        </w:rPr>
      </w:pPr>
      <w:r>
        <w:rPr>
          <w:rFonts w:ascii="宋体" w:hAnsi="宋体" w:hint="eastAsia"/>
          <w:szCs w:val="21"/>
        </w:rPr>
        <w:t>电感耦合等离子体发射光谱法测定-</w:t>
      </w:r>
      <w:r w:rsidR="00DD23C7">
        <w:rPr>
          <w:rFonts w:ascii="宋体" w:hAnsi="宋体" w:hint="eastAsia"/>
          <w:szCs w:val="21"/>
        </w:rPr>
        <w:t>钠</w:t>
      </w:r>
      <w:r>
        <w:rPr>
          <w:rFonts w:ascii="宋体" w:hAnsi="宋体" w:hint="eastAsia"/>
          <w:szCs w:val="21"/>
        </w:rPr>
        <w:t>数据汇总</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6"/>
        <w:gridCol w:w="822"/>
        <w:gridCol w:w="1134"/>
        <w:gridCol w:w="1004"/>
        <w:gridCol w:w="1004"/>
        <w:gridCol w:w="1004"/>
        <w:gridCol w:w="1134"/>
      </w:tblGrid>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color w:val="000000"/>
                <w:kern w:val="0"/>
                <w:szCs w:val="21"/>
              </w:rPr>
            </w:pPr>
            <w:r w:rsidRPr="00DE64EE">
              <w:rPr>
                <w:rFonts w:eastAsiaTheme="minorEastAsia" w:hAnsiTheme="minorEastAsia"/>
                <w:color w:val="000000"/>
                <w:kern w:val="0"/>
                <w:szCs w:val="21"/>
              </w:rPr>
              <w:t>实验室</w:t>
            </w:r>
          </w:p>
        </w:tc>
        <w:tc>
          <w:tcPr>
            <w:tcW w:w="822" w:type="dxa"/>
            <w:vMerge w:val="restart"/>
            <w:shd w:val="clear" w:color="auto" w:fill="auto"/>
            <w:noWrap/>
            <w:vAlign w:val="center"/>
            <w:hideMark/>
          </w:tcPr>
          <w:p w:rsidR="00435C32" w:rsidRPr="00DE64EE" w:rsidRDefault="00435C32" w:rsidP="00A77FE0">
            <w:pPr>
              <w:widowControl/>
              <w:jc w:val="center"/>
              <w:rPr>
                <w:rFonts w:eastAsiaTheme="minorEastAsia"/>
                <w:color w:val="000000"/>
                <w:kern w:val="0"/>
                <w:szCs w:val="21"/>
              </w:rPr>
            </w:pPr>
          </w:p>
        </w:tc>
        <w:tc>
          <w:tcPr>
            <w:tcW w:w="5280" w:type="dxa"/>
            <w:gridSpan w:val="5"/>
            <w:shd w:val="clear" w:color="auto" w:fill="auto"/>
            <w:noWrap/>
            <w:vAlign w:val="center"/>
            <w:hideMark/>
          </w:tcPr>
          <w:p w:rsidR="00435C32" w:rsidRPr="00DE64EE" w:rsidRDefault="00435C32" w:rsidP="00A77FE0">
            <w:pPr>
              <w:widowControl/>
              <w:jc w:val="center"/>
              <w:rPr>
                <w:rFonts w:eastAsiaTheme="minorEastAsia"/>
                <w:color w:val="000000"/>
                <w:kern w:val="0"/>
                <w:szCs w:val="21"/>
              </w:rPr>
            </w:pPr>
            <w:r w:rsidRPr="00DE64EE">
              <w:rPr>
                <w:rFonts w:eastAsiaTheme="minorEastAsia" w:hAnsiTheme="minorEastAsia"/>
                <w:color w:val="000000"/>
                <w:kern w:val="0"/>
                <w:szCs w:val="21"/>
              </w:rPr>
              <w:t>水平</w:t>
            </w:r>
            <w:r w:rsidRPr="00DE64EE">
              <w:rPr>
                <w:rFonts w:eastAsiaTheme="minorEastAsia"/>
                <w:color w:val="000000"/>
                <w:kern w:val="0"/>
                <w:szCs w:val="21"/>
              </w:rPr>
              <w:t xml:space="preserve">  j</w:t>
            </w:r>
          </w:p>
        </w:tc>
      </w:tr>
      <w:tr w:rsidR="00435C32" w:rsidRPr="00DE64EE" w:rsidTr="00A77FE0">
        <w:trPr>
          <w:trHeight w:val="330"/>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i/>
                <w:iCs/>
                <w:color w:val="000000"/>
                <w:kern w:val="0"/>
                <w:szCs w:val="21"/>
              </w:rPr>
            </w:pPr>
          </w:p>
        </w:tc>
        <w:tc>
          <w:tcPr>
            <w:tcW w:w="822" w:type="dxa"/>
            <w:vMerge/>
            <w:shd w:val="clear" w:color="auto" w:fill="auto"/>
            <w:vAlign w:val="center"/>
            <w:hideMark/>
          </w:tcPr>
          <w:p w:rsidR="00435C32" w:rsidRPr="00DE64EE" w:rsidRDefault="00435C32" w:rsidP="00A77FE0">
            <w:pPr>
              <w:widowControl/>
              <w:jc w:val="center"/>
              <w:rPr>
                <w:rFonts w:eastAsiaTheme="minorEastAsia"/>
                <w:color w:val="000000"/>
                <w:kern w:val="0"/>
                <w:szCs w:val="21"/>
              </w:rPr>
            </w:pPr>
          </w:p>
        </w:tc>
        <w:tc>
          <w:tcPr>
            <w:tcW w:w="1134"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1</w:t>
            </w:r>
          </w:p>
        </w:tc>
        <w:tc>
          <w:tcPr>
            <w:tcW w:w="1004"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2</w:t>
            </w:r>
          </w:p>
        </w:tc>
        <w:tc>
          <w:tcPr>
            <w:tcW w:w="1004"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3</w:t>
            </w:r>
          </w:p>
        </w:tc>
        <w:tc>
          <w:tcPr>
            <w:tcW w:w="1004"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4</w:t>
            </w:r>
          </w:p>
        </w:tc>
        <w:tc>
          <w:tcPr>
            <w:tcW w:w="1134" w:type="dxa"/>
            <w:shd w:val="clear" w:color="auto" w:fill="auto"/>
            <w:noWrap/>
            <w:vAlign w:val="center"/>
            <w:hideMark/>
          </w:tcPr>
          <w:p w:rsidR="00435C32" w:rsidRPr="00DE64EE" w:rsidRDefault="00435C32" w:rsidP="00A77FE0">
            <w:pPr>
              <w:widowControl/>
              <w:jc w:val="center"/>
              <w:rPr>
                <w:rFonts w:eastAsiaTheme="minorEastAsia"/>
                <w:color w:val="000000"/>
                <w:kern w:val="0"/>
                <w:szCs w:val="21"/>
              </w:rPr>
            </w:pPr>
            <w:r w:rsidRPr="00DE64EE">
              <w:rPr>
                <w:rFonts w:eastAsiaTheme="minorEastAsia"/>
                <w:color w:val="000000"/>
                <w:kern w:val="0"/>
                <w:szCs w:val="21"/>
              </w:rPr>
              <w:t>5</w:t>
            </w:r>
          </w:p>
        </w:tc>
      </w:tr>
      <w:tr w:rsidR="00435C32" w:rsidRPr="00DE64EE" w:rsidTr="00A77FE0">
        <w:trPr>
          <w:trHeight w:val="330"/>
          <w:jc w:val="center"/>
        </w:trPr>
        <w:tc>
          <w:tcPr>
            <w:tcW w:w="1836" w:type="dxa"/>
            <w:vMerge w:val="restart"/>
            <w:shd w:val="clear" w:color="auto" w:fill="auto"/>
            <w:vAlign w:val="center"/>
            <w:hideMark/>
          </w:tcPr>
          <w:p w:rsidR="00435C32" w:rsidRPr="00DE64EE" w:rsidRDefault="00435C32" w:rsidP="00A77FE0">
            <w:pPr>
              <w:widowControl/>
              <w:wordWrap w:val="0"/>
              <w:jc w:val="center"/>
              <w:rPr>
                <w:rFonts w:eastAsiaTheme="minorEastAsia"/>
                <w:kern w:val="0"/>
                <w:szCs w:val="21"/>
              </w:rPr>
            </w:pPr>
            <w:r w:rsidRPr="00DE64EE">
              <w:rPr>
                <w:rFonts w:eastAsiaTheme="minorEastAsia" w:hAnsiTheme="minorEastAsia"/>
                <w:kern w:val="0"/>
                <w:szCs w:val="21"/>
              </w:rPr>
              <w:t>当升材料（一验</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0.004073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0.017909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0.02855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0.12182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0.72636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0.000142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0.000701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0.000934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0.00410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0.01362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广东邦普循环科技有限公司（一验）</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0.004764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0.019255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0.02717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0.14218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0.71227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0.000143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0.000674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0.000518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0.00244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0.01094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134" w:type="dxa"/>
            <w:shd w:val="clear" w:color="auto" w:fill="auto"/>
            <w:noWrap/>
            <w:vAlign w:val="center"/>
            <w:hideMark/>
          </w:tcPr>
          <w:p w:rsidR="00435C32" w:rsidRPr="00DE64EE" w:rsidRDefault="00435C32" w:rsidP="00A77FE0">
            <w:pPr>
              <w:widowControl/>
              <w:jc w:val="right"/>
              <w:rPr>
                <w:rFonts w:eastAsiaTheme="minorEastAsia"/>
                <w:bCs/>
                <w:color w:val="000000"/>
                <w:kern w:val="0"/>
                <w:szCs w:val="21"/>
              </w:rPr>
            </w:pPr>
            <w:r w:rsidRPr="00DE64EE">
              <w:rPr>
                <w:rFonts w:eastAsiaTheme="minorEastAsia"/>
                <w:bCs/>
                <w:color w:val="000000"/>
                <w:kern w:val="0"/>
                <w:szCs w:val="21"/>
              </w:rPr>
              <w:t>11</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北矿检测（一验）</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0.006745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0.021000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0.02510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0.16273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0.75636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0.000284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0.000632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0.001101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0.00786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0.01433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134" w:type="dxa"/>
            <w:shd w:val="clear" w:color="auto" w:fill="auto"/>
            <w:noWrap/>
            <w:vAlign w:val="center"/>
            <w:hideMark/>
          </w:tcPr>
          <w:p w:rsidR="00435C32" w:rsidRPr="00DE64EE" w:rsidRDefault="00435C32" w:rsidP="00A77FE0">
            <w:pPr>
              <w:widowControl/>
              <w:jc w:val="right"/>
              <w:rPr>
                <w:rFonts w:eastAsiaTheme="minorEastAsia"/>
                <w:bCs/>
                <w:color w:val="000000"/>
                <w:kern w:val="0"/>
                <w:szCs w:val="21"/>
              </w:rPr>
            </w:pPr>
            <w:r w:rsidRPr="00DE64EE">
              <w:rPr>
                <w:rFonts w:eastAsiaTheme="minorEastAsia"/>
                <w:bCs/>
                <w:color w:val="000000"/>
                <w:kern w:val="0"/>
                <w:szCs w:val="21"/>
              </w:rPr>
              <w:t>11</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国标（北京）检验</w:t>
            </w:r>
            <w:r w:rsidRPr="00DE64EE">
              <w:rPr>
                <w:rFonts w:eastAsiaTheme="minorEastAsia" w:hAnsiTheme="minorEastAsia"/>
                <w:kern w:val="0"/>
                <w:szCs w:val="21"/>
              </w:rPr>
              <w:lastRenderedPageBreak/>
              <w:t>认证有限公司</w:t>
            </w:r>
            <w:r w:rsidRPr="00DE64EE">
              <w:rPr>
                <w:rFonts w:eastAsiaTheme="minorEastAsia"/>
                <w:kern w:val="0"/>
                <w:szCs w:val="21"/>
              </w:rPr>
              <w:t>(</w:t>
            </w:r>
            <w:r w:rsidRPr="00DE64EE">
              <w:rPr>
                <w:rFonts w:eastAsiaTheme="minorEastAsia" w:hAnsiTheme="minorEastAsia"/>
                <w:kern w:val="0"/>
                <w:szCs w:val="21"/>
              </w:rPr>
              <w:t>一验）</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lastRenderedPageBreak/>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0.004231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0.019409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0.02666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0.14809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0.71127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0.000074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0.000302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0.000564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0.00421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0.00684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10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广东省工业分析检测中心</w:t>
            </w:r>
            <w:r w:rsidRPr="00DE64EE">
              <w:rPr>
                <w:rFonts w:eastAsiaTheme="minorEastAsia"/>
                <w:kern w:val="0"/>
                <w:szCs w:val="21"/>
              </w:rPr>
              <w:t>(</w:t>
            </w:r>
            <w:r w:rsidRPr="00DE64EE">
              <w:rPr>
                <w:rFonts w:eastAsiaTheme="minorEastAsia" w:hAnsiTheme="minorEastAsia"/>
                <w:kern w:val="0"/>
                <w:szCs w:val="21"/>
              </w:rPr>
              <w:t>二验</w:t>
            </w:r>
            <w:r w:rsidRPr="00DE64EE">
              <w:rPr>
                <w:rFonts w:eastAsiaTheme="minorEastAsia" w:hAnsiTheme="minorEastAsia" w:hint="eastAsia"/>
                <w:kern w:val="0"/>
                <w:szCs w:val="21"/>
              </w:rPr>
              <w:t>)</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0.004114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0.018571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0.02571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0.12571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0.66429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0.000227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0.000976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0.002812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0.00976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0.00976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134" w:type="dxa"/>
            <w:shd w:val="clear" w:color="auto" w:fill="auto"/>
            <w:noWrap/>
            <w:vAlign w:val="center"/>
            <w:hideMark/>
          </w:tcPr>
          <w:p w:rsidR="00435C32" w:rsidRPr="00DE64EE" w:rsidRDefault="00435C32" w:rsidP="00A77FE0">
            <w:pPr>
              <w:widowControl/>
              <w:jc w:val="right"/>
              <w:rPr>
                <w:rFonts w:eastAsiaTheme="minorEastAsia"/>
                <w:color w:val="000000"/>
                <w:kern w:val="0"/>
                <w:szCs w:val="21"/>
              </w:rPr>
            </w:pPr>
            <w:r w:rsidRPr="00DE64EE">
              <w:rPr>
                <w:rFonts w:eastAsiaTheme="minorEastAsia"/>
                <w:color w:val="000000"/>
                <w:kern w:val="0"/>
                <w:szCs w:val="21"/>
              </w:rPr>
              <w:t>7</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紫金矿业</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0.004400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0.020000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0.02571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0.15000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0.69286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0.000141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0.000577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0.001254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0.00816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0.01496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中金岭南韶关冶炼厂（二验）</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0.004318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0.019545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0.02673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0.13182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0.73727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0.000178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0.000934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0.000905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0.00603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0.01272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134" w:type="dxa"/>
            <w:shd w:val="clear" w:color="auto" w:fill="auto"/>
            <w:noWrap/>
            <w:vAlign w:val="center"/>
            <w:hideMark/>
          </w:tcPr>
          <w:p w:rsidR="00435C32" w:rsidRPr="00DE64EE" w:rsidRDefault="00435C32" w:rsidP="00A77FE0">
            <w:pPr>
              <w:widowControl/>
              <w:jc w:val="right"/>
              <w:rPr>
                <w:rFonts w:eastAsiaTheme="minorEastAsia"/>
                <w:color w:val="000000"/>
                <w:kern w:val="0"/>
                <w:szCs w:val="21"/>
              </w:rPr>
            </w:pPr>
            <w:r w:rsidRPr="00DE64EE">
              <w:rPr>
                <w:rFonts w:eastAsiaTheme="minorEastAsia"/>
                <w:color w:val="000000"/>
                <w:kern w:val="0"/>
                <w:szCs w:val="21"/>
              </w:rPr>
              <w:t>11</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贵州省分析测试研究院</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0.0044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0.0182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0.0269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0.1438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0.71127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0.00023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0.00085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0.00104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0.00806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0.01468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134" w:type="dxa"/>
            <w:shd w:val="clear" w:color="auto" w:fill="auto"/>
            <w:noWrap/>
            <w:vAlign w:val="center"/>
            <w:hideMark/>
          </w:tcPr>
          <w:p w:rsidR="00435C32" w:rsidRPr="00DE64EE" w:rsidRDefault="00435C32" w:rsidP="00A77FE0">
            <w:pPr>
              <w:widowControl/>
              <w:jc w:val="right"/>
              <w:rPr>
                <w:rFonts w:eastAsiaTheme="minorEastAsia"/>
                <w:color w:val="000000"/>
                <w:kern w:val="0"/>
                <w:szCs w:val="21"/>
              </w:rPr>
            </w:pPr>
            <w:r w:rsidRPr="00DE64EE">
              <w:rPr>
                <w:rFonts w:eastAsiaTheme="minorEastAsia"/>
                <w:color w:val="000000"/>
                <w:kern w:val="0"/>
                <w:szCs w:val="21"/>
              </w:rPr>
              <w:t>11</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格林美（二验）</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0.004727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0.021700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0.02680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0.15195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0.75755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0.000079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0.000148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0.000379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0.00037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0.00604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hint="eastAsia"/>
                <w:bCs/>
                <w:color w:val="000000"/>
                <w:kern w:val="0"/>
                <w:szCs w:val="21"/>
              </w:rPr>
              <w:t>11</w:t>
            </w:r>
            <w:r w:rsidRPr="00DE64EE">
              <w:rPr>
                <w:rFonts w:eastAsiaTheme="minorEastAsia"/>
                <w:bCs/>
                <w:color w:val="000000"/>
                <w:kern w:val="0"/>
                <w:szCs w:val="21"/>
              </w:rPr>
              <w:t xml:space="preserve"> </w:t>
            </w:r>
          </w:p>
        </w:tc>
        <w:tc>
          <w:tcPr>
            <w:tcW w:w="1134" w:type="dxa"/>
            <w:shd w:val="clear" w:color="auto" w:fill="auto"/>
            <w:noWrap/>
            <w:vAlign w:val="center"/>
            <w:hideMark/>
          </w:tcPr>
          <w:p w:rsidR="00435C32" w:rsidRPr="00DE64EE" w:rsidRDefault="00435C32" w:rsidP="00A77FE0">
            <w:pPr>
              <w:widowControl/>
              <w:jc w:val="right"/>
              <w:rPr>
                <w:rFonts w:eastAsiaTheme="minorEastAsia"/>
                <w:bCs/>
                <w:color w:val="000000"/>
                <w:kern w:val="0"/>
                <w:szCs w:val="21"/>
              </w:rPr>
            </w:pPr>
            <w:r w:rsidRPr="00DE64EE">
              <w:rPr>
                <w:rFonts w:eastAsiaTheme="minorEastAsia"/>
                <w:bCs/>
                <w:color w:val="000000"/>
                <w:kern w:val="0"/>
                <w:szCs w:val="21"/>
              </w:rPr>
              <w:t>11</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中伟新材</w:t>
            </w:r>
            <w:r w:rsidRPr="00DE64EE">
              <w:rPr>
                <w:rFonts w:eastAsiaTheme="minorEastAsia"/>
                <w:kern w:val="0"/>
                <w:szCs w:val="21"/>
              </w:rPr>
              <w:t>(</w:t>
            </w:r>
            <w:r w:rsidRPr="00DE64EE">
              <w:rPr>
                <w:rFonts w:eastAsiaTheme="minorEastAsia" w:hAnsiTheme="minorEastAsia"/>
                <w:kern w:val="0"/>
                <w:szCs w:val="21"/>
              </w:rPr>
              <w:t>二验）</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0.004345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0.018445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0.02550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0.14571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0.78433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0.000242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0.000526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0.000677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0.00374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0.00623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11 </w:t>
            </w:r>
          </w:p>
        </w:tc>
        <w:tc>
          <w:tcPr>
            <w:tcW w:w="1134" w:type="dxa"/>
            <w:shd w:val="clear" w:color="auto" w:fill="auto"/>
            <w:noWrap/>
            <w:vAlign w:val="center"/>
            <w:hideMark/>
          </w:tcPr>
          <w:p w:rsidR="00435C32" w:rsidRPr="00DE64EE" w:rsidRDefault="00435C32" w:rsidP="00A77FE0">
            <w:pPr>
              <w:widowControl/>
              <w:jc w:val="right"/>
              <w:rPr>
                <w:rFonts w:eastAsiaTheme="minorEastAsia"/>
                <w:color w:val="000000"/>
                <w:kern w:val="0"/>
                <w:szCs w:val="21"/>
              </w:rPr>
            </w:pPr>
            <w:r w:rsidRPr="00DE64EE">
              <w:rPr>
                <w:rFonts w:eastAsiaTheme="minorEastAsia"/>
                <w:color w:val="000000"/>
                <w:kern w:val="0"/>
                <w:szCs w:val="21"/>
              </w:rPr>
              <w:t>11</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大冶有色（二验）</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0.004586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0.016686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0.02660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0.15629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0.72657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0.000358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0.001422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0.001010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0.00812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0.02842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r>
      <w:tr w:rsidR="00435C32" w:rsidRPr="00DE64EE" w:rsidTr="00A77FE0">
        <w:trPr>
          <w:trHeight w:val="315"/>
          <w:jc w:val="center"/>
        </w:trPr>
        <w:tc>
          <w:tcPr>
            <w:tcW w:w="1836" w:type="dxa"/>
            <w:vMerge w:val="restart"/>
            <w:shd w:val="clear" w:color="auto" w:fill="auto"/>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浙江华友</w:t>
            </w: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hAnsiTheme="minorEastAsia"/>
                <w:kern w:val="0"/>
                <w:szCs w:val="21"/>
              </w:rPr>
              <w:t>均值</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0.002386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0.013429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0.02286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0.15714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0.69714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s</w:t>
            </w:r>
          </w:p>
        </w:tc>
        <w:tc>
          <w:tcPr>
            <w:tcW w:w="1134" w:type="dxa"/>
            <w:shd w:val="clear" w:color="auto" w:fill="auto"/>
            <w:noWrap/>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0.000285 </w:t>
            </w:r>
          </w:p>
        </w:tc>
        <w:tc>
          <w:tcPr>
            <w:tcW w:w="1004" w:type="dxa"/>
            <w:shd w:val="clear" w:color="auto" w:fill="auto"/>
            <w:noWrap/>
            <w:vAlign w:val="center"/>
            <w:hideMark/>
          </w:tcPr>
          <w:p w:rsidR="00435C32" w:rsidRPr="00DE64EE" w:rsidRDefault="00435C32" w:rsidP="00A77FE0">
            <w:pPr>
              <w:widowControl/>
              <w:jc w:val="left"/>
              <w:rPr>
                <w:rFonts w:eastAsiaTheme="minorEastAsia"/>
                <w:bCs/>
                <w:color w:val="000000"/>
                <w:kern w:val="0"/>
                <w:szCs w:val="21"/>
              </w:rPr>
            </w:pPr>
            <w:r w:rsidRPr="00DE64EE">
              <w:rPr>
                <w:rFonts w:eastAsiaTheme="minorEastAsia"/>
                <w:bCs/>
                <w:color w:val="000000"/>
                <w:kern w:val="0"/>
                <w:szCs w:val="21"/>
              </w:rPr>
              <w:t xml:space="preserve">0.001134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0.003848 </w:t>
            </w:r>
          </w:p>
        </w:tc>
        <w:tc>
          <w:tcPr>
            <w:tcW w:w="100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0.02059 </w:t>
            </w:r>
          </w:p>
        </w:tc>
        <w:tc>
          <w:tcPr>
            <w:tcW w:w="1134" w:type="dxa"/>
            <w:shd w:val="clear" w:color="auto" w:fill="auto"/>
            <w:noWrap/>
            <w:vAlign w:val="center"/>
            <w:hideMark/>
          </w:tcPr>
          <w:p w:rsidR="00435C32" w:rsidRPr="00DE64EE" w:rsidRDefault="00435C32" w:rsidP="00A77FE0">
            <w:pPr>
              <w:widowControl/>
              <w:jc w:val="left"/>
              <w:rPr>
                <w:rFonts w:eastAsiaTheme="minorEastAsia"/>
                <w:bCs/>
                <w:kern w:val="0"/>
                <w:szCs w:val="21"/>
              </w:rPr>
            </w:pPr>
            <w:r w:rsidRPr="00DE64EE">
              <w:rPr>
                <w:rFonts w:eastAsiaTheme="minorEastAsia"/>
                <w:bCs/>
                <w:kern w:val="0"/>
                <w:szCs w:val="21"/>
              </w:rPr>
              <w:t xml:space="preserve">0.01254 </w:t>
            </w:r>
          </w:p>
        </w:tc>
      </w:tr>
      <w:tr w:rsidR="00435C32" w:rsidRPr="00DE64EE" w:rsidTr="00A77FE0">
        <w:trPr>
          <w:trHeight w:val="315"/>
          <w:jc w:val="center"/>
        </w:trPr>
        <w:tc>
          <w:tcPr>
            <w:tcW w:w="1836" w:type="dxa"/>
            <w:vMerge/>
            <w:shd w:val="clear" w:color="auto" w:fill="auto"/>
            <w:vAlign w:val="center"/>
            <w:hideMark/>
          </w:tcPr>
          <w:p w:rsidR="00435C32" w:rsidRPr="00DE64EE" w:rsidRDefault="00435C32" w:rsidP="00A77FE0">
            <w:pPr>
              <w:widowControl/>
              <w:jc w:val="center"/>
              <w:rPr>
                <w:rFonts w:eastAsiaTheme="minorEastAsia"/>
                <w:kern w:val="0"/>
                <w:szCs w:val="21"/>
              </w:rPr>
            </w:pPr>
          </w:p>
        </w:tc>
        <w:tc>
          <w:tcPr>
            <w:tcW w:w="822" w:type="dxa"/>
            <w:shd w:val="clear" w:color="auto" w:fill="auto"/>
            <w:noWrap/>
            <w:vAlign w:val="center"/>
            <w:hideMark/>
          </w:tcPr>
          <w:p w:rsidR="00435C32" w:rsidRPr="00DE64EE" w:rsidRDefault="00435C32" w:rsidP="00A77FE0">
            <w:pPr>
              <w:widowControl/>
              <w:jc w:val="center"/>
              <w:rPr>
                <w:rFonts w:eastAsiaTheme="minorEastAsia"/>
                <w:kern w:val="0"/>
                <w:szCs w:val="21"/>
              </w:rPr>
            </w:pPr>
            <w:r w:rsidRPr="00DE64EE">
              <w:rPr>
                <w:rFonts w:eastAsiaTheme="minorEastAsia"/>
                <w:kern w:val="0"/>
                <w:szCs w:val="21"/>
              </w:rPr>
              <w:t>n</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00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c>
          <w:tcPr>
            <w:tcW w:w="1134" w:type="dxa"/>
            <w:shd w:val="clear" w:color="auto" w:fill="auto"/>
            <w:noWrap/>
            <w:hideMark/>
          </w:tcPr>
          <w:p w:rsidR="00435C32" w:rsidRPr="00DE64EE" w:rsidRDefault="00435C32" w:rsidP="00A77FE0">
            <w:pPr>
              <w:widowControl/>
              <w:jc w:val="center"/>
              <w:rPr>
                <w:rFonts w:eastAsiaTheme="minorEastAsia"/>
                <w:bCs/>
                <w:color w:val="000000"/>
                <w:kern w:val="0"/>
                <w:szCs w:val="21"/>
              </w:rPr>
            </w:pPr>
            <w:r w:rsidRPr="00DE64EE">
              <w:rPr>
                <w:rFonts w:eastAsiaTheme="minorEastAsia"/>
                <w:bCs/>
                <w:color w:val="000000"/>
                <w:kern w:val="0"/>
                <w:szCs w:val="21"/>
              </w:rPr>
              <w:t xml:space="preserve">7 </w:t>
            </w:r>
          </w:p>
        </w:tc>
      </w:tr>
    </w:tbl>
    <w:p w:rsidR="00B02DAB" w:rsidRPr="009628D1" w:rsidRDefault="00B02DAB" w:rsidP="00435C32">
      <w:pPr>
        <w:spacing w:line="360" w:lineRule="auto"/>
        <w:rPr>
          <w:rFonts w:ascii="宋体" w:hAnsi="宋体"/>
          <w:szCs w:val="21"/>
        </w:rPr>
      </w:pP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t>标准中涉及专利问题</w:t>
      </w:r>
      <w:bookmarkStart w:id="0" w:name="_GoBack"/>
      <w:bookmarkEnd w:id="0"/>
    </w:p>
    <w:p w:rsidR="00F0063E" w:rsidRDefault="00A714D9">
      <w:pPr>
        <w:pStyle w:val="a7"/>
        <w:ind w:left="567" w:firstLineChars="0" w:firstLine="0"/>
        <w:rPr>
          <w:rFonts w:ascii="宋体" w:hAnsi="宋体"/>
          <w:szCs w:val="21"/>
        </w:rPr>
      </w:pPr>
      <w:r>
        <w:rPr>
          <w:rFonts w:ascii="宋体" w:hAnsi="宋体" w:hint="eastAsia"/>
          <w:szCs w:val="21"/>
        </w:rPr>
        <w:t>本标准不涉及专利问题。</w:t>
      </w: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t>预期达到的社会效益等情况</w:t>
      </w:r>
    </w:p>
    <w:p w:rsidR="00F0063E" w:rsidRDefault="00A714D9">
      <w:pPr>
        <w:pStyle w:val="a7"/>
        <w:numPr>
          <w:ilvl w:val="1"/>
          <w:numId w:val="1"/>
        </w:numPr>
        <w:spacing w:line="360" w:lineRule="auto"/>
        <w:ind w:left="709" w:firstLineChars="0" w:hanging="709"/>
        <w:rPr>
          <w:rFonts w:ascii="仿宋_GB2312" w:eastAsia="仿宋_GB2312"/>
          <w:b/>
          <w:sz w:val="24"/>
        </w:rPr>
      </w:pPr>
      <w:r>
        <w:rPr>
          <w:rFonts w:ascii="仿宋_GB2312" w:eastAsia="仿宋_GB2312" w:hint="eastAsia"/>
          <w:b/>
          <w:sz w:val="24"/>
        </w:rPr>
        <w:t>项目的必要性简述</w:t>
      </w:r>
    </w:p>
    <w:p w:rsidR="00F0063E" w:rsidRDefault="00A714D9" w:rsidP="008348C6">
      <w:pPr>
        <w:pStyle w:val="a7"/>
        <w:spacing w:line="360" w:lineRule="auto"/>
        <w:jc w:val="left"/>
        <w:rPr>
          <w:rFonts w:ascii="宋体" w:hAnsi="宋体"/>
          <w:szCs w:val="21"/>
        </w:rPr>
      </w:pPr>
      <w:r>
        <w:rPr>
          <w:rFonts w:ascii="宋体" w:hAnsi="宋体" w:hint="eastAsia"/>
          <w:szCs w:val="21"/>
        </w:rPr>
        <w:t>近年来，由于锂离子电池电量大，耐用，循环次数多，无记忆效应，绿色环保等优点，使得锂离子电池产业在国内外快速迅猛发展起来。但是，在锂离子电池迅猛发展的同时，其研发及产业化中也暴露了一些关键技术问题。其中锂离子电池电极材料是锂离子电池技术的核心和关键，它是决定电池安全性、电化学性能和使用寿命的关键因素之一。</w:t>
      </w:r>
    </w:p>
    <w:p w:rsidR="00F0063E" w:rsidRDefault="00A714D9" w:rsidP="008348C6">
      <w:pPr>
        <w:pStyle w:val="a7"/>
        <w:spacing w:line="360" w:lineRule="auto"/>
        <w:rPr>
          <w:rFonts w:ascii="宋体" w:hAnsi="宋体"/>
          <w:szCs w:val="21"/>
        </w:rPr>
      </w:pPr>
      <w:r>
        <w:rPr>
          <w:rFonts w:ascii="宋体" w:hAnsi="宋体" w:hint="eastAsia"/>
          <w:szCs w:val="21"/>
        </w:rPr>
        <w:t>四氧化三钴是重要的锂离子电池材料，广泛用于锂离子电池正极材料钴酸锂的生产，目前已经制定了行业标准YS/T633-2015《四氧化三钴》，行业标准对其中的物理化学指标做了明确的规定，其中钠是控制指标之一。钴基系列产品中钠的测定方法主要有盐类的分析方法</w:t>
      </w:r>
      <w:r>
        <w:rPr>
          <w:rFonts w:ascii="宋体" w:hAnsi="宋体" w:hint="eastAsia"/>
          <w:szCs w:val="21"/>
        </w:rPr>
        <w:lastRenderedPageBreak/>
        <w:t>（硝酸钴、氯化钴等）、YS/T710.2-2015《氧化钴化学分析方法 钠量的测定 火焰原子吸收光谱法》、YS/T281.18-2011《钴化学分析方法 钠量的测定》等，盐类与氧化钴的测定方法均采用标准加入法火焰原子吸收测定，与目前各四氧化三钴相关方实际使用的情况不一致，且氧化钴的测定范围并没有涵盖四氧化三钴的技术指标要求；YS/T281.18-2011《钴化学分析方法 钠量的测定》采用钴基体匹配火焰原子吸收法测定，但由于四氧化三钴和金属钴的性质差异，在样品分解等方面存在较大差异，因此也并不能完全采用，因此有必要建立四氧化三钴钠含量测定的行业标准。</w:t>
      </w:r>
    </w:p>
    <w:p w:rsidR="00F0063E" w:rsidRDefault="00A714D9" w:rsidP="008348C6">
      <w:pPr>
        <w:pStyle w:val="a7"/>
        <w:spacing w:line="360" w:lineRule="auto"/>
        <w:ind w:firstLineChars="202" w:firstLine="424"/>
        <w:rPr>
          <w:rFonts w:ascii="宋体" w:hAnsi="宋体"/>
          <w:szCs w:val="21"/>
        </w:rPr>
      </w:pPr>
      <w:r>
        <w:rPr>
          <w:rFonts w:ascii="宋体" w:hAnsi="宋体" w:hint="eastAsia"/>
          <w:szCs w:val="21"/>
        </w:rPr>
        <w:t>随着下游行业产品质量要求的提升，钾已经纳入四氧化三钴生产、使用企业常规控制指标，国内四氧化三钴的生产、使用、贸易均须提供钾的指标含量，目前并没有合适的国家、行业标准来规范四氧化三钴中钾的测定，导致测定数据结果的不一致的情况时有发生，生产、使用厂家对标工作繁琐，对四氧化三钴的正常经营活动带来较大的影响，因此，建立四氧化三钴中钾的测定行业标准有较大意义。</w:t>
      </w:r>
    </w:p>
    <w:p w:rsidR="00F0063E" w:rsidRDefault="00A714D9">
      <w:pPr>
        <w:pStyle w:val="a7"/>
        <w:numPr>
          <w:ilvl w:val="1"/>
          <w:numId w:val="1"/>
        </w:numPr>
        <w:spacing w:line="360" w:lineRule="auto"/>
        <w:ind w:left="851" w:firstLineChars="0" w:hanging="851"/>
        <w:rPr>
          <w:rFonts w:ascii="仿宋_GB2312" w:eastAsia="仿宋_GB2312"/>
          <w:b/>
          <w:sz w:val="24"/>
        </w:rPr>
      </w:pPr>
      <w:r>
        <w:rPr>
          <w:rFonts w:ascii="仿宋_GB2312" w:eastAsia="仿宋_GB2312" w:hint="eastAsia"/>
          <w:b/>
          <w:sz w:val="24"/>
        </w:rPr>
        <w:t>项目的可行性简述</w:t>
      </w:r>
    </w:p>
    <w:p w:rsidR="00F0063E" w:rsidRDefault="00A714D9">
      <w:pPr>
        <w:pStyle w:val="a7"/>
        <w:spacing w:line="360" w:lineRule="auto"/>
        <w:rPr>
          <w:rFonts w:ascii="宋体" w:hAnsi="宋体"/>
          <w:szCs w:val="21"/>
        </w:rPr>
      </w:pPr>
      <w:r>
        <w:rPr>
          <w:rFonts w:ascii="宋体" w:hAnsi="宋体" w:hint="eastAsia"/>
          <w:szCs w:val="21"/>
        </w:rPr>
        <w:t>采用基体匹配-火焰原子吸收测定钾、钠的方法比较成熟，也被国内众多锂电材料生产企业采用，适合作为行业标准来规范测定。同时，电感耦合等离子体发射光谱法测定钴氧化物中钾钠的方法，经国内企业不断试验、应用，也日渐成熟，与基体匹配-火焰原子吸收光谱法有很好的一致性，已具备作为行业标准进行规范。</w:t>
      </w:r>
    </w:p>
    <w:p w:rsidR="00F0063E" w:rsidRDefault="00A714D9">
      <w:pPr>
        <w:pStyle w:val="a7"/>
        <w:spacing w:line="360" w:lineRule="auto"/>
        <w:rPr>
          <w:rFonts w:ascii="宋体" w:hAnsi="宋体"/>
          <w:szCs w:val="21"/>
        </w:rPr>
      </w:pPr>
      <w:r>
        <w:rPr>
          <w:rFonts w:ascii="宋体" w:hAnsi="宋体" w:hint="eastAsia"/>
          <w:szCs w:val="21"/>
        </w:rPr>
        <w:t>建立四氧化三钴中钾、钠测定的行业标准，拟采用基体匹配-火焰原子吸收光谱法进行钾钠的联合测定，此方法作为仲裁方法；采用电感耦合等离子体发射光谱法测定四氧化三钴中的钾、钠，可实现与其他杂质元素的同时测定，提高检测效率。</w:t>
      </w:r>
    </w:p>
    <w:p w:rsidR="00F0063E" w:rsidRPr="008F5FAF" w:rsidRDefault="00A714D9">
      <w:pPr>
        <w:pStyle w:val="a7"/>
        <w:spacing w:line="360" w:lineRule="auto"/>
        <w:rPr>
          <w:rFonts w:ascii="宋体" w:hAnsi="宋体"/>
          <w:szCs w:val="21"/>
        </w:rPr>
      </w:pPr>
      <w:r>
        <w:rPr>
          <w:rFonts w:ascii="宋体" w:hAnsi="宋体" w:hint="eastAsia"/>
          <w:szCs w:val="21"/>
        </w:rPr>
        <w:t>甘肃精普检测科技有限公司做为金川集团钴产业指定检测机构和具有独立法人资质的第三方检测机构，设备配套先进，拥有场发射扫描电子显微镜、电感耦合等离子体发射光谱仪、辉光放电</w:t>
      </w:r>
      <w:r w:rsidR="00552B8E">
        <w:rPr>
          <w:rFonts w:ascii="宋体" w:hAnsi="宋体" w:hint="eastAsia"/>
          <w:szCs w:val="21"/>
        </w:rPr>
        <w:t>质谱仪、</w:t>
      </w:r>
      <w:r w:rsidRPr="008F5FAF">
        <w:rPr>
          <w:rFonts w:ascii="宋体" w:hAnsi="宋体" w:hint="eastAsia"/>
          <w:szCs w:val="21"/>
        </w:rPr>
        <w:t>在四氧化三钴杂质元素检测方面进行了大量的实验工作，积累了丰富的经验，具有很强的技术能力，负责起草有色行业标准YS/T633-2015《四氧化三钴》等行业、国家标准，有起草国家标准、行业标准的能力。</w:t>
      </w:r>
    </w:p>
    <w:p w:rsidR="00F0063E" w:rsidRDefault="00A714D9">
      <w:pPr>
        <w:numPr>
          <w:ilvl w:val="1"/>
          <w:numId w:val="1"/>
        </w:numPr>
        <w:spacing w:line="360" w:lineRule="auto"/>
        <w:ind w:left="851" w:hanging="851"/>
        <w:rPr>
          <w:rFonts w:ascii="仿宋_GB2312" w:eastAsia="仿宋_GB2312"/>
          <w:b/>
          <w:sz w:val="24"/>
        </w:rPr>
      </w:pPr>
      <w:r>
        <w:rPr>
          <w:rFonts w:ascii="仿宋_GB2312" w:eastAsia="仿宋_GB2312" w:hint="eastAsia"/>
          <w:b/>
          <w:sz w:val="24"/>
        </w:rPr>
        <w:t>标准的先进性、创新性、标准实施后预期产生的经济效益和社会效益</w:t>
      </w:r>
    </w:p>
    <w:p w:rsidR="00F0063E" w:rsidRDefault="00A714D9">
      <w:pPr>
        <w:spacing w:line="360" w:lineRule="auto"/>
        <w:ind w:firstLine="481"/>
        <w:rPr>
          <w:rFonts w:ascii="宋体" w:hAnsi="宋体"/>
          <w:szCs w:val="21"/>
        </w:rPr>
      </w:pPr>
      <w:r>
        <w:rPr>
          <w:rFonts w:ascii="宋体" w:hAnsi="宋体" w:hint="eastAsia"/>
          <w:szCs w:val="21"/>
        </w:rPr>
        <w:t>本标准为《四氧化三钴化学分析方法》系列标准的一部分，包含两个分析方法：火焰原子吸收光谱法和电感耦合等离子体发射光谱法，便于标准使用单位根据各自设备配置情况进行选用。分析方法的选择结合国内使用单位的实际情况来选择优化测定参数，确保测定结果的可靠性和具有良好的精密度。标准适用范围宽，检测下限低，测定范围涵盖</w:t>
      </w:r>
      <w:r>
        <w:rPr>
          <w:rFonts w:ascii="宋体" w:hAnsi="宋体" w:hint="eastAsia"/>
          <w:szCs w:val="21"/>
        </w:rPr>
        <w:lastRenderedPageBreak/>
        <w:t>YS/T633-2015《四氧化三钴》的质量要求，同时满足各使用单位产品质量不断提升的需要，标准具有良好的先进性。</w:t>
      </w:r>
    </w:p>
    <w:p w:rsidR="00F0063E" w:rsidRDefault="00A714D9">
      <w:pPr>
        <w:spacing w:line="360" w:lineRule="auto"/>
        <w:ind w:firstLine="481"/>
        <w:rPr>
          <w:rFonts w:ascii="宋体" w:hAnsi="宋体"/>
          <w:szCs w:val="21"/>
        </w:rPr>
      </w:pPr>
      <w:r>
        <w:rPr>
          <w:rFonts w:ascii="宋体" w:hAnsi="宋体" w:hint="eastAsia"/>
          <w:szCs w:val="21"/>
        </w:rPr>
        <w:t>标准实施后，可减少因检测标准不一致导致的测定结果误差，提高一次测定结果的准确性，提高检测效率，减少因检测标准带来的质量异议，推动四氧化三钴产品品质的提升。</w:t>
      </w: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t>采用国际标准和国外先进标准的情况</w:t>
      </w:r>
    </w:p>
    <w:p w:rsidR="00F0063E" w:rsidRDefault="00A714D9">
      <w:pPr>
        <w:ind w:firstLineChars="200" w:firstLine="420"/>
        <w:rPr>
          <w:rFonts w:ascii="宋体" w:hAnsi="宋体"/>
          <w:szCs w:val="21"/>
        </w:rPr>
      </w:pPr>
      <w:r>
        <w:rPr>
          <w:rFonts w:ascii="宋体" w:hAnsi="宋体" w:hint="eastAsia"/>
          <w:szCs w:val="21"/>
        </w:rPr>
        <w:t>本标准为首次起草，没有采用国际标准和国外先进标准。</w:t>
      </w: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t>与现行相关法律、法规和强制性国家标准及相关标准协调配套情况</w:t>
      </w:r>
    </w:p>
    <w:p w:rsidR="00F0063E" w:rsidRDefault="00A714D9">
      <w:pPr>
        <w:pStyle w:val="a8"/>
        <w:spacing w:line="44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本标准</w:t>
      </w:r>
      <w:r>
        <w:rPr>
          <w:rFonts w:asciiTheme="minorEastAsia" w:eastAsiaTheme="minorEastAsia" w:hAnsiTheme="minorEastAsia" w:hint="eastAsia"/>
        </w:rPr>
        <w:t>所规定的的内容，完全</w:t>
      </w:r>
      <w:r>
        <w:rPr>
          <w:rFonts w:asciiTheme="minorEastAsia" w:eastAsiaTheme="minorEastAsia" w:hAnsiTheme="minorEastAsia"/>
        </w:rPr>
        <w:t>符合相关现行法律、法规和强制性国家标准</w:t>
      </w:r>
      <w:r>
        <w:rPr>
          <w:rFonts w:asciiTheme="minorEastAsia" w:eastAsiaTheme="minorEastAsia" w:hAnsiTheme="minorEastAsia" w:hint="eastAsia"/>
        </w:rPr>
        <w:t>的要求。</w:t>
      </w:r>
    </w:p>
    <w:p w:rsidR="00F0063E" w:rsidRDefault="00A714D9">
      <w:pPr>
        <w:pStyle w:val="a7"/>
        <w:spacing w:line="360" w:lineRule="auto"/>
        <w:ind w:firstLineChars="0" w:firstLine="0"/>
        <w:rPr>
          <w:rFonts w:ascii="宋体" w:hAnsi="宋体"/>
          <w:szCs w:val="21"/>
        </w:rPr>
      </w:pPr>
      <w:r>
        <w:rPr>
          <w:rFonts w:ascii="宋体" w:hAnsi="宋体" w:hint="eastAsia"/>
          <w:szCs w:val="21"/>
        </w:rPr>
        <w:t xml:space="preserve">    本标准与YS/T1057.1-2015《四氧化三钴化学分析方法 磁性异物的测定 磁选分离-电感耦合等离子体发射光谱法》、YS/T1057.2-2020《四氧化三钴化学分析方法 氯离子含量的测定 离子选择性电极法》、YS/T1057.X-20XX《四氧化三钴化学分析方法  硅含量的测定  电感耦合等离子体发射光谱法》、YS/T1057.X-20XX《四氧化三钴化学分析方法 碳含量的测定 高频燃烧-红外吸收光谱法》为四氧化三钴系列分析标准。</w:t>
      </w:r>
    </w:p>
    <w:p w:rsidR="00F0063E" w:rsidRDefault="00A714D9">
      <w:pPr>
        <w:pStyle w:val="a7"/>
        <w:numPr>
          <w:ilvl w:val="0"/>
          <w:numId w:val="1"/>
        </w:numPr>
        <w:spacing w:line="360" w:lineRule="auto"/>
        <w:ind w:left="567" w:firstLineChars="0" w:hanging="567"/>
        <w:rPr>
          <w:rFonts w:ascii="仿宋_GB2312" w:eastAsia="仿宋_GB2312"/>
          <w:b/>
          <w:sz w:val="24"/>
        </w:rPr>
      </w:pPr>
      <w:r>
        <w:rPr>
          <w:rFonts w:ascii="仿宋_GB2312" w:eastAsia="仿宋_GB2312" w:hint="eastAsia"/>
          <w:b/>
          <w:sz w:val="24"/>
        </w:rPr>
        <w:t>重大分歧意见的处理经过和依据</w:t>
      </w:r>
    </w:p>
    <w:p w:rsidR="00F0063E" w:rsidRDefault="00A714D9">
      <w:pPr>
        <w:pStyle w:val="a7"/>
        <w:spacing w:line="360" w:lineRule="auto"/>
        <w:ind w:left="567" w:firstLineChars="0" w:firstLine="0"/>
        <w:rPr>
          <w:rFonts w:ascii="宋体" w:hAnsi="宋体"/>
          <w:szCs w:val="21"/>
        </w:rPr>
      </w:pPr>
      <w:r>
        <w:rPr>
          <w:rFonts w:ascii="宋体" w:hAnsi="宋体" w:hint="eastAsia"/>
          <w:szCs w:val="21"/>
        </w:rPr>
        <w:t>无。</w:t>
      </w: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t>标准性质的建议说明</w:t>
      </w:r>
    </w:p>
    <w:p w:rsidR="00F0063E" w:rsidRDefault="00A714D9">
      <w:pPr>
        <w:pStyle w:val="a7"/>
        <w:spacing w:line="360" w:lineRule="auto"/>
        <w:ind w:left="720" w:firstLineChars="0" w:firstLine="0"/>
        <w:rPr>
          <w:rFonts w:ascii="宋体" w:hAnsi="宋体"/>
          <w:szCs w:val="21"/>
        </w:rPr>
      </w:pPr>
      <w:r>
        <w:rPr>
          <w:rFonts w:ascii="宋体" w:hAnsi="宋体" w:hint="eastAsia"/>
          <w:szCs w:val="21"/>
        </w:rPr>
        <w:t>本标准建议做为推荐性有色行业标准，供相关单位参考采用。</w:t>
      </w: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t>贯彻标准的要求和措施建议</w:t>
      </w:r>
    </w:p>
    <w:p w:rsidR="00F0063E" w:rsidRDefault="00A714D9">
      <w:pPr>
        <w:pStyle w:val="a7"/>
        <w:numPr>
          <w:ilvl w:val="2"/>
          <w:numId w:val="1"/>
        </w:numPr>
        <w:spacing w:line="360" w:lineRule="auto"/>
        <w:ind w:left="0" w:firstLineChars="202" w:firstLine="424"/>
        <w:rPr>
          <w:rFonts w:ascii="宋体" w:hAnsi="宋体"/>
          <w:szCs w:val="21"/>
        </w:rPr>
      </w:pPr>
      <w:r>
        <w:rPr>
          <w:rFonts w:ascii="宋体" w:hAnsi="宋体" w:hint="eastAsia"/>
          <w:szCs w:val="21"/>
        </w:rPr>
        <w:t>在本标准实施前保证标准文本的充足供应，使相关使用单位能便捷得到标准文本。</w:t>
      </w:r>
    </w:p>
    <w:p w:rsidR="00F0063E" w:rsidRDefault="00A714D9">
      <w:pPr>
        <w:pStyle w:val="a7"/>
        <w:numPr>
          <w:ilvl w:val="2"/>
          <w:numId w:val="1"/>
        </w:numPr>
        <w:spacing w:line="360" w:lineRule="auto"/>
        <w:ind w:left="0" w:firstLineChars="202" w:firstLine="424"/>
        <w:rPr>
          <w:rFonts w:ascii="宋体" w:hAnsi="宋体"/>
          <w:szCs w:val="21"/>
        </w:rPr>
      </w:pPr>
      <w:r>
        <w:rPr>
          <w:rFonts w:ascii="宋体" w:hAnsi="宋体" w:hint="eastAsia"/>
          <w:szCs w:val="21"/>
        </w:rPr>
        <w:t>对于使用单位在标准使用过程中提出的问题，标准编制单位有义务进行必要的解释。</w:t>
      </w:r>
    </w:p>
    <w:p w:rsidR="00F0063E" w:rsidRDefault="00A714D9">
      <w:pPr>
        <w:pStyle w:val="a7"/>
        <w:numPr>
          <w:ilvl w:val="2"/>
          <w:numId w:val="1"/>
        </w:numPr>
        <w:spacing w:line="360" w:lineRule="auto"/>
        <w:ind w:left="0" w:firstLineChars="202" w:firstLine="424"/>
        <w:rPr>
          <w:rFonts w:ascii="宋体" w:hAnsi="宋体"/>
          <w:szCs w:val="21"/>
        </w:rPr>
      </w:pPr>
      <w:r>
        <w:rPr>
          <w:rFonts w:ascii="宋体" w:hAnsi="宋体" w:hint="eastAsia"/>
          <w:szCs w:val="21"/>
        </w:rPr>
        <w:t>如有需要，可对标准使用单位进行必要的培训或辅导。</w:t>
      </w: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t>废止现行相关标准的建议</w:t>
      </w:r>
    </w:p>
    <w:p w:rsidR="00F0063E" w:rsidRDefault="00A714D9">
      <w:pPr>
        <w:pStyle w:val="a7"/>
        <w:spacing w:line="360" w:lineRule="auto"/>
        <w:ind w:left="720" w:firstLineChars="0" w:firstLine="0"/>
        <w:rPr>
          <w:rFonts w:ascii="宋体" w:hAnsi="宋体"/>
          <w:szCs w:val="21"/>
        </w:rPr>
      </w:pPr>
      <w:r>
        <w:rPr>
          <w:rFonts w:ascii="宋体" w:hAnsi="宋体" w:hint="eastAsia"/>
          <w:szCs w:val="21"/>
        </w:rPr>
        <w:t>无。</w:t>
      </w:r>
    </w:p>
    <w:p w:rsidR="00F0063E" w:rsidRDefault="00A714D9">
      <w:pPr>
        <w:pStyle w:val="a7"/>
        <w:numPr>
          <w:ilvl w:val="0"/>
          <w:numId w:val="1"/>
        </w:numPr>
        <w:spacing w:line="360" w:lineRule="auto"/>
        <w:ind w:firstLineChars="0"/>
        <w:rPr>
          <w:rFonts w:ascii="仿宋_GB2312" w:eastAsia="仿宋_GB2312"/>
          <w:b/>
          <w:sz w:val="24"/>
        </w:rPr>
      </w:pPr>
      <w:r>
        <w:rPr>
          <w:rFonts w:ascii="仿宋_GB2312" w:eastAsia="仿宋_GB2312" w:hint="eastAsia"/>
          <w:b/>
          <w:sz w:val="24"/>
        </w:rPr>
        <w:t>其他应予说明的事项</w:t>
      </w:r>
    </w:p>
    <w:p w:rsidR="00F0063E" w:rsidRDefault="00A714D9">
      <w:pPr>
        <w:pStyle w:val="a7"/>
        <w:spacing w:line="360" w:lineRule="auto"/>
        <w:ind w:firstLineChars="294" w:firstLine="617"/>
        <w:rPr>
          <w:rFonts w:ascii="宋体" w:hAnsi="宋体"/>
          <w:szCs w:val="21"/>
        </w:rPr>
      </w:pPr>
      <w:r>
        <w:rPr>
          <w:rFonts w:ascii="宋体" w:hAnsi="宋体" w:hint="eastAsia"/>
          <w:szCs w:val="21"/>
        </w:rPr>
        <w:t>无。</w:t>
      </w:r>
    </w:p>
    <w:sectPr w:rsidR="00F0063E" w:rsidSect="00F006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F6" w:rsidRDefault="001661F6" w:rsidP="00A95BE6">
      <w:r>
        <w:separator/>
      </w:r>
    </w:p>
  </w:endnote>
  <w:endnote w:type="continuationSeparator" w:id="0">
    <w:p w:rsidR="001661F6" w:rsidRDefault="001661F6" w:rsidP="00A95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F6" w:rsidRDefault="001661F6" w:rsidP="00A95BE6">
      <w:r>
        <w:separator/>
      </w:r>
    </w:p>
  </w:footnote>
  <w:footnote w:type="continuationSeparator" w:id="0">
    <w:p w:rsidR="001661F6" w:rsidRDefault="001661F6" w:rsidP="00A95B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FA29"/>
    <w:multiLevelType w:val="singleLevel"/>
    <w:tmpl w:val="09C9FA29"/>
    <w:lvl w:ilvl="0">
      <w:start w:val="1"/>
      <w:numFmt w:val="decimal"/>
      <w:suff w:val="nothing"/>
      <w:lvlText w:val="%1、"/>
      <w:lvlJc w:val="left"/>
    </w:lvl>
  </w:abstractNum>
  <w:abstractNum w:abstractNumId="1">
    <w:nsid w:val="1F1E065E"/>
    <w:multiLevelType w:val="multilevel"/>
    <w:tmpl w:val="1F1E065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8E6857"/>
    <w:multiLevelType w:val="multilevel"/>
    <w:tmpl w:val="298E6857"/>
    <w:lvl w:ilvl="0">
      <w:start w:val="1"/>
      <w:numFmt w:val="japaneseCounting"/>
      <w:lvlText w:val="第%1部"/>
      <w:lvlJc w:val="left"/>
      <w:pPr>
        <w:ind w:left="2961" w:hanging="1260"/>
      </w:pPr>
      <w:rPr>
        <w:rFonts w:hint="default"/>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
    <w:nsid w:val="2CF867D1"/>
    <w:multiLevelType w:val="multilevel"/>
    <w:tmpl w:val="2CF867D1"/>
    <w:lvl w:ilvl="0">
      <w:start w:val="1"/>
      <w:numFmt w:val="japaneseCounting"/>
      <w:lvlText w:val="%1、"/>
      <w:lvlJc w:val="left"/>
      <w:pPr>
        <w:ind w:left="720" w:hanging="720"/>
      </w:pPr>
      <w:rPr>
        <w:rFonts w:hint="default"/>
      </w:rPr>
    </w:lvl>
    <w:lvl w:ilvl="1">
      <w:start w:val="1"/>
      <w:numFmt w:val="japaneseCounting"/>
      <w:lvlText w:val="（%2）"/>
      <w:lvlJc w:val="left"/>
      <w:pPr>
        <w:ind w:left="1305" w:hanging="885"/>
      </w:pPr>
      <w:rPr>
        <w:rFonts w:hint="default"/>
      </w:rPr>
    </w:lvl>
    <w:lvl w:ilvl="2">
      <w:start w:val="1"/>
      <w:numFmt w:val="decimal"/>
      <w:lvlText w:val="%3、"/>
      <w:lvlJc w:val="left"/>
      <w:pPr>
        <w:ind w:left="1004" w:hanging="720"/>
      </w:pPr>
      <w:rPr>
        <w:rFonts w:hint="default"/>
        <w:sz w:val="21"/>
        <w:szCs w:val="21"/>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706B"/>
    <w:rsid w:val="0002569C"/>
    <w:rsid w:val="000513B4"/>
    <w:rsid w:val="0006389A"/>
    <w:rsid w:val="00066464"/>
    <w:rsid w:val="000B706B"/>
    <w:rsid w:val="000C150C"/>
    <w:rsid w:val="00112A63"/>
    <w:rsid w:val="00126D57"/>
    <w:rsid w:val="00132992"/>
    <w:rsid w:val="001661F6"/>
    <w:rsid w:val="00177A84"/>
    <w:rsid w:val="001A35E9"/>
    <w:rsid w:val="002002D6"/>
    <w:rsid w:val="00200727"/>
    <w:rsid w:val="002011B4"/>
    <w:rsid w:val="00227FED"/>
    <w:rsid w:val="00232891"/>
    <w:rsid w:val="00243FE6"/>
    <w:rsid w:val="002A72F3"/>
    <w:rsid w:val="002C4F25"/>
    <w:rsid w:val="002F5D16"/>
    <w:rsid w:val="003102A6"/>
    <w:rsid w:val="00343401"/>
    <w:rsid w:val="00397C8F"/>
    <w:rsid w:val="00435C32"/>
    <w:rsid w:val="00440134"/>
    <w:rsid w:val="00465718"/>
    <w:rsid w:val="004757A7"/>
    <w:rsid w:val="004A399C"/>
    <w:rsid w:val="004F0FEA"/>
    <w:rsid w:val="00522DFC"/>
    <w:rsid w:val="0053042B"/>
    <w:rsid w:val="00552B8E"/>
    <w:rsid w:val="00554778"/>
    <w:rsid w:val="00644D92"/>
    <w:rsid w:val="00663A0A"/>
    <w:rsid w:val="006F5EC8"/>
    <w:rsid w:val="00715939"/>
    <w:rsid w:val="00725685"/>
    <w:rsid w:val="00763400"/>
    <w:rsid w:val="007D0B1C"/>
    <w:rsid w:val="007D254B"/>
    <w:rsid w:val="007D2E78"/>
    <w:rsid w:val="007D4DBE"/>
    <w:rsid w:val="007E69E4"/>
    <w:rsid w:val="0080693A"/>
    <w:rsid w:val="0082525A"/>
    <w:rsid w:val="00832F66"/>
    <w:rsid w:val="008348C6"/>
    <w:rsid w:val="00847AEA"/>
    <w:rsid w:val="00886F8D"/>
    <w:rsid w:val="00896455"/>
    <w:rsid w:val="008C10CF"/>
    <w:rsid w:val="008D2E36"/>
    <w:rsid w:val="008F5FAF"/>
    <w:rsid w:val="0094512C"/>
    <w:rsid w:val="009628D1"/>
    <w:rsid w:val="009701AA"/>
    <w:rsid w:val="0097695F"/>
    <w:rsid w:val="00995DBE"/>
    <w:rsid w:val="009F09A9"/>
    <w:rsid w:val="00A708C7"/>
    <w:rsid w:val="00A714D9"/>
    <w:rsid w:val="00A860EB"/>
    <w:rsid w:val="00A95BE6"/>
    <w:rsid w:val="00AA33B0"/>
    <w:rsid w:val="00AA590D"/>
    <w:rsid w:val="00B02DAB"/>
    <w:rsid w:val="00C07D80"/>
    <w:rsid w:val="00C464B6"/>
    <w:rsid w:val="00C47AE7"/>
    <w:rsid w:val="00C619A3"/>
    <w:rsid w:val="00D0002B"/>
    <w:rsid w:val="00D44B7F"/>
    <w:rsid w:val="00D673B5"/>
    <w:rsid w:val="00DD23C7"/>
    <w:rsid w:val="00E14F24"/>
    <w:rsid w:val="00E41765"/>
    <w:rsid w:val="00E57ED1"/>
    <w:rsid w:val="00EB2977"/>
    <w:rsid w:val="00EC1F5A"/>
    <w:rsid w:val="00F0063E"/>
    <w:rsid w:val="00F13430"/>
    <w:rsid w:val="00F97A30"/>
    <w:rsid w:val="00FA6B4C"/>
    <w:rsid w:val="00FE6DB8"/>
    <w:rsid w:val="00FF3A0B"/>
    <w:rsid w:val="00FF4F17"/>
    <w:rsid w:val="00FF7CC3"/>
    <w:rsid w:val="1D25756B"/>
    <w:rsid w:val="2AC70465"/>
    <w:rsid w:val="33B4420C"/>
    <w:rsid w:val="49E62E24"/>
    <w:rsid w:val="4FCF2AC0"/>
    <w:rsid w:val="669405FD"/>
    <w:rsid w:val="6EA3391C"/>
    <w:rsid w:val="7C6F3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3E"/>
    <w:pPr>
      <w:widowControl w:val="0"/>
      <w:jc w:val="both"/>
    </w:pPr>
    <w:rPr>
      <w:rFonts w:ascii="Times New Roman" w:hAnsi="Times New Roman"/>
      <w:kern w:val="2"/>
      <w:sz w:val="21"/>
      <w:szCs w:val="24"/>
    </w:rPr>
  </w:style>
  <w:style w:type="paragraph" w:styleId="3">
    <w:name w:val="heading 3"/>
    <w:basedOn w:val="a"/>
    <w:next w:val="a"/>
    <w:link w:val="3Char"/>
    <w:qFormat/>
    <w:rsid w:val="00552B8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52B8E"/>
    <w:rPr>
      <w:rFonts w:ascii="Times New Roman" w:hAnsi="Times New Roman"/>
      <w:b/>
      <w:bCs/>
      <w:kern w:val="2"/>
      <w:sz w:val="32"/>
      <w:szCs w:val="32"/>
    </w:rPr>
  </w:style>
  <w:style w:type="paragraph" w:styleId="a3">
    <w:name w:val="Date"/>
    <w:basedOn w:val="a"/>
    <w:next w:val="a"/>
    <w:link w:val="Char"/>
    <w:uiPriority w:val="99"/>
    <w:semiHidden/>
    <w:unhideWhenUsed/>
    <w:qFormat/>
    <w:rsid w:val="00F0063E"/>
    <w:pPr>
      <w:ind w:leftChars="2500" w:left="100"/>
    </w:pPr>
  </w:style>
  <w:style w:type="character" w:customStyle="1" w:styleId="Char">
    <w:name w:val="日期 Char"/>
    <w:basedOn w:val="a0"/>
    <w:link w:val="a3"/>
    <w:uiPriority w:val="99"/>
    <w:semiHidden/>
    <w:qFormat/>
    <w:rsid w:val="00F0063E"/>
    <w:rPr>
      <w:rFonts w:ascii="Times New Roman" w:eastAsia="宋体" w:hAnsi="Times New Roman" w:cs="Times New Roman"/>
      <w:szCs w:val="24"/>
    </w:rPr>
  </w:style>
  <w:style w:type="paragraph" w:styleId="a4">
    <w:name w:val="footer"/>
    <w:basedOn w:val="a"/>
    <w:link w:val="Char0"/>
    <w:uiPriority w:val="99"/>
    <w:semiHidden/>
    <w:unhideWhenUsed/>
    <w:qFormat/>
    <w:rsid w:val="00F0063E"/>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F0063E"/>
    <w:rPr>
      <w:sz w:val="18"/>
      <w:szCs w:val="18"/>
    </w:rPr>
  </w:style>
  <w:style w:type="paragraph" w:styleId="a5">
    <w:name w:val="header"/>
    <w:basedOn w:val="a"/>
    <w:link w:val="Char1"/>
    <w:uiPriority w:val="99"/>
    <w:semiHidden/>
    <w:unhideWhenUsed/>
    <w:qFormat/>
    <w:rsid w:val="00F0063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0063E"/>
    <w:rPr>
      <w:sz w:val="18"/>
      <w:szCs w:val="18"/>
    </w:rPr>
  </w:style>
  <w:style w:type="table" w:styleId="a6">
    <w:name w:val="Table Grid"/>
    <w:basedOn w:val="a1"/>
    <w:uiPriority w:val="59"/>
    <w:rsid w:val="00F006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0063E"/>
    <w:pPr>
      <w:ind w:firstLineChars="200" w:firstLine="420"/>
    </w:pPr>
  </w:style>
  <w:style w:type="paragraph" w:styleId="a8">
    <w:name w:val="No Spacing"/>
    <w:uiPriority w:val="1"/>
    <w:qFormat/>
    <w:rsid w:val="00F0063E"/>
    <w:pPr>
      <w:widowControl w:val="0"/>
      <w:autoSpaceDE w:val="0"/>
      <w:autoSpaceDN w:val="0"/>
      <w:adjustRightInd w:val="0"/>
      <w:jc w:val="both"/>
    </w:pPr>
    <w:rPr>
      <w:rFonts w:ascii="Times New Roman" w:hAnsi="Times New Roman"/>
      <w:sz w:val="21"/>
      <w:szCs w:val="21"/>
    </w:rPr>
  </w:style>
  <w:style w:type="paragraph" w:styleId="a9">
    <w:name w:val="Body Text"/>
    <w:basedOn w:val="a"/>
    <w:link w:val="Char10"/>
    <w:rsid w:val="00A714D9"/>
    <w:pPr>
      <w:spacing w:after="50" w:line="360" w:lineRule="auto"/>
    </w:pPr>
    <w:rPr>
      <w:rFonts w:asciiTheme="minorHAnsi" w:eastAsia="仿宋_GB2312" w:hAnsiTheme="minorHAnsi" w:cstheme="minorBidi"/>
      <w:sz w:val="24"/>
      <w:szCs w:val="28"/>
    </w:rPr>
  </w:style>
  <w:style w:type="character" w:customStyle="1" w:styleId="Char10">
    <w:name w:val="正文文本 Char1"/>
    <w:basedOn w:val="a0"/>
    <w:link w:val="a9"/>
    <w:rsid w:val="00A714D9"/>
    <w:rPr>
      <w:rFonts w:asciiTheme="minorHAnsi" w:eastAsia="仿宋_GB2312" w:hAnsiTheme="minorHAnsi" w:cstheme="minorBidi"/>
      <w:kern w:val="2"/>
      <w:sz w:val="24"/>
      <w:szCs w:val="28"/>
    </w:rPr>
  </w:style>
  <w:style w:type="character" w:customStyle="1" w:styleId="Char2">
    <w:name w:val="正文文本 Char"/>
    <w:basedOn w:val="a0"/>
    <w:link w:val="a9"/>
    <w:uiPriority w:val="99"/>
    <w:semiHidden/>
    <w:rsid w:val="00A714D9"/>
    <w:rPr>
      <w:rFonts w:ascii="Times New Roman" w:hAnsi="Times New Roman"/>
      <w:kern w:val="2"/>
      <w:sz w:val="21"/>
      <w:szCs w:val="24"/>
    </w:rPr>
  </w:style>
  <w:style w:type="paragraph" w:styleId="2">
    <w:name w:val="List 2"/>
    <w:basedOn w:val="a"/>
    <w:rsid w:val="00A714D9"/>
    <w:pPr>
      <w:ind w:leftChars="200" w:left="100" w:hangingChars="200" w:hanging="200"/>
      <w:contextualSpacing/>
    </w:pPr>
  </w:style>
  <w:style w:type="paragraph" w:styleId="aa">
    <w:name w:val="Body Text Indent"/>
    <w:basedOn w:val="a"/>
    <w:link w:val="Char3"/>
    <w:uiPriority w:val="99"/>
    <w:semiHidden/>
    <w:unhideWhenUsed/>
    <w:rsid w:val="00552B8E"/>
    <w:pPr>
      <w:spacing w:after="120"/>
      <w:ind w:leftChars="200" w:left="420"/>
    </w:pPr>
  </w:style>
  <w:style w:type="character" w:customStyle="1" w:styleId="Char3">
    <w:name w:val="正文文本缩进 Char"/>
    <w:basedOn w:val="a0"/>
    <w:link w:val="aa"/>
    <w:uiPriority w:val="99"/>
    <w:semiHidden/>
    <w:rsid w:val="00552B8E"/>
    <w:rPr>
      <w:rFonts w:ascii="Times New Roman" w:hAnsi="Times New Roman"/>
      <w:kern w:val="2"/>
      <w:sz w:val="21"/>
      <w:szCs w:val="24"/>
    </w:rPr>
  </w:style>
  <w:style w:type="paragraph" w:styleId="ab">
    <w:name w:val="Balloon Text"/>
    <w:basedOn w:val="a"/>
    <w:link w:val="Char4"/>
    <w:uiPriority w:val="99"/>
    <w:semiHidden/>
    <w:unhideWhenUsed/>
    <w:rsid w:val="00552B8E"/>
    <w:rPr>
      <w:sz w:val="18"/>
      <w:szCs w:val="18"/>
    </w:rPr>
  </w:style>
  <w:style w:type="character" w:customStyle="1" w:styleId="Char4">
    <w:name w:val="批注框文本 Char"/>
    <w:basedOn w:val="a0"/>
    <w:link w:val="ab"/>
    <w:uiPriority w:val="99"/>
    <w:semiHidden/>
    <w:rsid w:val="00552B8E"/>
    <w:rPr>
      <w:rFonts w:ascii="Times New Roman" w:hAnsi="Times New Roman"/>
      <w:kern w:val="2"/>
      <w:sz w:val="18"/>
      <w:szCs w:val="18"/>
    </w:rPr>
  </w:style>
  <w:style w:type="character" w:styleId="ac">
    <w:name w:val="Hyperlink"/>
    <w:basedOn w:val="a0"/>
    <w:uiPriority w:val="99"/>
    <w:semiHidden/>
    <w:unhideWhenUsed/>
    <w:rsid w:val="00DD23C7"/>
    <w:rPr>
      <w:color w:val="0000FF"/>
      <w:u w:val="single"/>
    </w:rPr>
  </w:style>
  <w:style w:type="character" w:styleId="ad">
    <w:name w:val="FollowedHyperlink"/>
    <w:basedOn w:val="a0"/>
    <w:uiPriority w:val="99"/>
    <w:semiHidden/>
    <w:unhideWhenUsed/>
    <w:rsid w:val="00DD23C7"/>
    <w:rPr>
      <w:color w:val="800080"/>
      <w:u w:val="single"/>
    </w:rPr>
  </w:style>
  <w:style w:type="paragraph" w:customStyle="1" w:styleId="font5">
    <w:name w:val="font5"/>
    <w:basedOn w:val="a"/>
    <w:rsid w:val="00DD23C7"/>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DD23C7"/>
    <w:pPr>
      <w:widowControl/>
      <w:pBdr>
        <w:top w:val="single" w:sz="8" w:space="0" w:color="auto"/>
        <w:right w:val="single" w:sz="8" w:space="0" w:color="auto"/>
      </w:pBdr>
      <w:shd w:val="clear" w:color="000000" w:fill="92D050"/>
      <w:spacing w:before="100" w:beforeAutospacing="1" w:after="100" w:afterAutospacing="1"/>
      <w:jc w:val="center"/>
    </w:pPr>
    <w:rPr>
      <w:kern w:val="0"/>
      <w:szCs w:val="21"/>
    </w:rPr>
  </w:style>
  <w:style w:type="paragraph" w:customStyle="1" w:styleId="xl68">
    <w:name w:val="xl68"/>
    <w:basedOn w:val="a"/>
    <w:rsid w:val="00DD23C7"/>
    <w:pPr>
      <w:widowControl/>
      <w:pBdr>
        <w:top w:val="single" w:sz="8" w:space="0" w:color="auto"/>
        <w:right w:val="single" w:sz="8" w:space="0" w:color="auto"/>
      </w:pBdr>
      <w:shd w:val="clear" w:color="000000" w:fill="92D050"/>
      <w:spacing w:before="100" w:beforeAutospacing="1" w:after="100" w:afterAutospacing="1"/>
      <w:jc w:val="center"/>
    </w:pPr>
    <w:rPr>
      <w:kern w:val="0"/>
      <w:szCs w:val="21"/>
    </w:rPr>
  </w:style>
  <w:style w:type="paragraph" w:customStyle="1" w:styleId="xl69">
    <w:name w:val="xl69"/>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4"/>
    </w:rPr>
  </w:style>
  <w:style w:type="paragraph" w:customStyle="1" w:styleId="xl71">
    <w:name w:val="xl71"/>
    <w:basedOn w:val="a"/>
    <w:rsid w:val="00DD23C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DD23C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b/>
      <w:bCs/>
      <w:color w:val="000000"/>
      <w:kern w:val="0"/>
      <w:sz w:val="24"/>
    </w:rPr>
  </w:style>
  <w:style w:type="paragraph" w:customStyle="1" w:styleId="xl73">
    <w:name w:val="xl73"/>
    <w:basedOn w:val="a"/>
    <w:rsid w:val="00DD23C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b/>
      <w:bCs/>
      <w:color w:val="000000"/>
      <w:kern w:val="0"/>
      <w:sz w:val="24"/>
    </w:rPr>
  </w:style>
  <w:style w:type="paragraph" w:customStyle="1" w:styleId="xl74">
    <w:name w:val="xl74"/>
    <w:basedOn w:val="a"/>
    <w:rsid w:val="00DD23C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b/>
      <w:bCs/>
      <w:kern w:val="0"/>
      <w:sz w:val="24"/>
    </w:rPr>
  </w:style>
  <w:style w:type="paragraph" w:customStyle="1" w:styleId="xl75">
    <w:name w:val="xl75"/>
    <w:basedOn w:val="a"/>
    <w:rsid w:val="00DD23C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b/>
      <w:bCs/>
      <w:color w:val="000000"/>
      <w:kern w:val="0"/>
      <w:sz w:val="24"/>
    </w:rPr>
  </w:style>
  <w:style w:type="paragraph" w:customStyle="1" w:styleId="xl76">
    <w:name w:val="xl76"/>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7">
    <w:name w:val="xl77"/>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DD23C7"/>
    <w:pPr>
      <w:widowControl/>
      <w:pBdr>
        <w:top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DD23C7"/>
    <w:pPr>
      <w:widowControl/>
      <w:pBdr>
        <w:right w:val="single" w:sz="8" w:space="0" w:color="auto"/>
      </w:pBdr>
      <w:shd w:val="clear" w:color="000000" w:fill="B6DDE8"/>
      <w:spacing w:before="100" w:beforeAutospacing="1" w:after="100" w:afterAutospacing="1"/>
      <w:jc w:val="center"/>
    </w:pPr>
    <w:rPr>
      <w:rFonts w:ascii="宋体" w:hAnsi="宋体" w:cs="宋体"/>
      <w:color w:val="000000"/>
      <w:kern w:val="0"/>
      <w:szCs w:val="21"/>
    </w:rPr>
  </w:style>
  <w:style w:type="paragraph" w:customStyle="1" w:styleId="xl80">
    <w:name w:val="xl80"/>
    <w:basedOn w:val="a"/>
    <w:rsid w:val="00DD23C7"/>
    <w:pPr>
      <w:widowControl/>
      <w:pBdr>
        <w:right w:val="single" w:sz="8" w:space="0" w:color="auto"/>
      </w:pBdr>
      <w:shd w:val="clear" w:color="000000" w:fill="00CCFF"/>
      <w:spacing w:before="100" w:beforeAutospacing="1" w:after="100" w:afterAutospacing="1"/>
      <w:jc w:val="center"/>
    </w:pPr>
    <w:rPr>
      <w:rFonts w:ascii="宋体" w:hAnsi="宋体" w:cs="宋体"/>
      <w:color w:val="000000"/>
      <w:kern w:val="0"/>
      <w:szCs w:val="21"/>
    </w:rPr>
  </w:style>
  <w:style w:type="paragraph" w:customStyle="1" w:styleId="xl81">
    <w:name w:val="xl81"/>
    <w:basedOn w:val="a"/>
    <w:rsid w:val="00DD23C7"/>
    <w:pPr>
      <w:widowControl/>
      <w:pBdr>
        <w:right w:val="single" w:sz="8" w:space="0" w:color="auto"/>
      </w:pBdr>
      <w:shd w:val="clear" w:color="000000" w:fill="92D050"/>
      <w:spacing w:before="100" w:beforeAutospacing="1" w:after="100" w:afterAutospacing="1"/>
      <w:jc w:val="center"/>
    </w:pPr>
    <w:rPr>
      <w:kern w:val="0"/>
      <w:szCs w:val="21"/>
    </w:rPr>
  </w:style>
  <w:style w:type="paragraph" w:customStyle="1" w:styleId="xl82">
    <w:name w:val="xl82"/>
    <w:basedOn w:val="a"/>
    <w:rsid w:val="00DD23C7"/>
    <w:pPr>
      <w:widowControl/>
      <w:shd w:val="clear" w:color="000000" w:fill="538ED5"/>
      <w:spacing w:before="100" w:beforeAutospacing="1" w:after="100" w:afterAutospacing="1"/>
      <w:jc w:val="center"/>
    </w:pPr>
    <w:rPr>
      <w:rFonts w:ascii="宋体" w:hAnsi="宋体" w:cs="宋体"/>
      <w:kern w:val="0"/>
      <w:szCs w:val="21"/>
    </w:rPr>
  </w:style>
  <w:style w:type="paragraph" w:customStyle="1" w:styleId="xl83">
    <w:name w:val="xl83"/>
    <w:basedOn w:val="a"/>
    <w:rsid w:val="00DD23C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rsid w:val="00DD23C7"/>
    <w:pPr>
      <w:widowControl/>
      <w:pBdr>
        <w:top w:val="single" w:sz="8" w:space="0" w:color="auto"/>
        <w:right w:val="single" w:sz="8" w:space="0" w:color="auto"/>
      </w:pBdr>
      <w:shd w:val="clear" w:color="000000" w:fill="B6DDE8"/>
      <w:spacing w:before="100" w:beforeAutospacing="1" w:after="100" w:afterAutospacing="1"/>
      <w:jc w:val="center"/>
    </w:pPr>
    <w:rPr>
      <w:rFonts w:ascii="宋体" w:hAnsi="宋体" w:cs="宋体"/>
      <w:color w:val="000000"/>
      <w:kern w:val="0"/>
      <w:szCs w:val="21"/>
    </w:rPr>
  </w:style>
  <w:style w:type="paragraph" w:customStyle="1" w:styleId="xl85">
    <w:name w:val="xl85"/>
    <w:basedOn w:val="a"/>
    <w:rsid w:val="00DD23C7"/>
    <w:pPr>
      <w:widowControl/>
      <w:pBdr>
        <w:top w:val="single" w:sz="8" w:space="0" w:color="auto"/>
        <w:right w:val="single" w:sz="8" w:space="0" w:color="auto"/>
      </w:pBdr>
      <w:shd w:val="clear" w:color="000000" w:fill="00CCFF"/>
      <w:spacing w:before="100" w:beforeAutospacing="1" w:after="100" w:afterAutospacing="1"/>
      <w:jc w:val="center"/>
    </w:pPr>
    <w:rPr>
      <w:rFonts w:ascii="宋体" w:hAnsi="宋体" w:cs="宋体"/>
      <w:color w:val="000000"/>
      <w:kern w:val="0"/>
      <w:szCs w:val="21"/>
    </w:rPr>
  </w:style>
  <w:style w:type="paragraph" w:customStyle="1" w:styleId="xl86">
    <w:name w:val="xl86"/>
    <w:basedOn w:val="a"/>
    <w:rsid w:val="00DD23C7"/>
    <w:pPr>
      <w:widowControl/>
      <w:pBdr>
        <w:top w:val="single" w:sz="8" w:space="0" w:color="auto"/>
      </w:pBdr>
      <w:shd w:val="clear" w:color="000000" w:fill="538ED5"/>
      <w:spacing w:before="100" w:beforeAutospacing="1" w:after="100" w:afterAutospacing="1"/>
      <w:jc w:val="center"/>
    </w:pPr>
    <w:rPr>
      <w:rFonts w:ascii="宋体" w:hAnsi="宋体" w:cs="宋体"/>
      <w:kern w:val="0"/>
      <w:szCs w:val="21"/>
    </w:rPr>
  </w:style>
  <w:style w:type="paragraph" w:customStyle="1" w:styleId="xl87">
    <w:name w:val="xl87"/>
    <w:basedOn w:val="a"/>
    <w:rsid w:val="00DD23C7"/>
    <w:pPr>
      <w:widowControl/>
      <w:pBdr>
        <w:top w:val="single" w:sz="8" w:space="0" w:color="auto"/>
        <w:right w:val="single" w:sz="8" w:space="0" w:color="auto"/>
      </w:pBdr>
      <w:shd w:val="clear" w:color="000000" w:fill="00CCFF"/>
      <w:spacing w:before="100" w:beforeAutospacing="1" w:after="100" w:afterAutospacing="1"/>
      <w:jc w:val="center"/>
    </w:pPr>
    <w:rPr>
      <w:rFonts w:ascii="宋体" w:hAnsi="宋体" w:cs="宋体"/>
      <w:color w:val="000000"/>
      <w:kern w:val="0"/>
      <w:szCs w:val="21"/>
    </w:rPr>
  </w:style>
  <w:style w:type="paragraph" w:customStyle="1" w:styleId="xl88">
    <w:name w:val="xl88"/>
    <w:basedOn w:val="a"/>
    <w:rsid w:val="00DD23C7"/>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
    <w:rsid w:val="00DD23C7"/>
    <w:pPr>
      <w:widowControl/>
      <w:pBdr>
        <w:top w:val="single" w:sz="4" w:space="0" w:color="auto"/>
        <w:left w:val="single" w:sz="4" w:space="0" w:color="auto"/>
        <w:right w:val="single" w:sz="4" w:space="0" w:color="auto"/>
      </w:pBdr>
      <w:spacing w:before="100" w:beforeAutospacing="1" w:after="100" w:afterAutospacing="1"/>
      <w:jc w:val="left"/>
      <w:textAlignment w:val="top"/>
    </w:pPr>
    <w:rPr>
      <w:b/>
      <w:bCs/>
      <w:color w:val="000000"/>
      <w:kern w:val="0"/>
      <w:sz w:val="24"/>
    </w:rPr>
  </w:style>
  <w:style w:type="paragraph" w:customStyle="1" w:styleId="xl90">
    <w:name w:val="xl90"/>
    <w:basedOn w:val="a"/>
    <w:rsid w:val="00DD23C7"/>
    <w:pPr>
      <w:widowControl/>
      <w:pBdr>
        <w:top w:val="single" w:sz="4" w:space="0" w:color="auto"/>
        <w:left w:val="single" w:sz="4" w:space="0" w:color="auto"/>
        <w:right w:val="single" w:sz="4" w:space="0" w:color="auto"/>
      </w:pBdr>
      <w:spacing w:before="100" w:beforeAutospacing="1" w:after="100" w:afterAutospacing="1"/>
      <w:jc w:val="left"/>
    </w:pPr>
    <w:rPr>
      <w:b/>
      <w:bCs/>
      <w:color w:val="000000"/>
      <w:kern w:val="0"/>
      <w:sz w:val="24"/>
    </w:rPr>
  </w:style>
  <w:style w:type="paragraph" w:customStyle="1" w:styleId="xl91">
    <w:name w:val="xl91"/>
    <w:basedOn w:val="a"/>
    <w:rsid w:val="00DD23C7"/>
    <w:pPr>
      <w:widowControl/>
      <w:pBdr>
        <w:top w:val="single" w:sz="4" w:space="0" w:color="auto"/>
        <w:left w:val="single" w:sz="4" w:space="0" w:color="auto"/>
        <w:right w:val="single" w:sz="4" w:space="0" w:color="auto"/>
      </w:pBdr>
      <w:spacing w:before="100" w:beforeAutospacing="1" w:after="100" w:afterAutospacing="1"/>
      <w:jc w:val="left"/>
    </w:pPr>
    <w:rPr>
      <w:b/>
      <w:bCs/>
      <w:kern w:val="0"/>
      <w:sz w:val="24"/>
    </w:rPr>
  </w:style>
  <w:style w:type="paragraph" w:customStyle="1" w:styleId="xl92">
    <w:name w:val="xl92"/>
    <w:basedOn w:val="a"/>
    <w:rsid w:val="00DD23C7"/>
    <w:pPr>
      <w:widowControl/>
      <w:pBdr>
        <w:top w:val="single" w:sz="4" w:space="0" w:color="auto"/>
        <w:left w:val="single" w:sz="4" w:space="0" w:color="auto"/>
      </w:pBdr>
      <w:spacing w:before="100" w:beforeAutospacing="1" w:after="100" w:afterAutospacing="1"/>
      <w:jc w:val="left"/>
    </w:pPr>
    <w:rPr>
      <w:b/>
      <w:bCs/>
      <w:kern w:val="0"/>
      <w:sz w:val="24"/>
    </w:rPr>
  </w:style>
  <w:style w:type="paragraph" w:customStyle="1" w:styleId="xl93">
    <w:name w:val="xl93"/>
    <w:basedOn w:val="a"/>
    <w:rsid w:val="00DD23C7"/>
    <w:pPr>
      <w:widowControl/>
      <w:pBdr>
        <w:top w:val="single" w:sz="4" w:space="0" w:color="auto"/>
        <w:left w:val="single" w:sz="4" w:space="0" w:color="auto"/>
        <w:bottom w:val="single" w:sz="8" w:space="0" w:color="auto"/>
      </w:pBdr>
      <w:spacing w:before="100" w:beforeAutospacing="1" w:after="100" w:afterAutospacing="1"/>
      <w:jc w:val="left"/>
    </w:pPr>
    <w:rPr>
      <w:b/>
      <w:bCs/>
      <w:kern w:val="0"/>
      <w:sz w:val="24"/>
    </w:rPr>
  </w:style>
  <w:style w:type="paragraph" w:customStyle="1" w:styleId="xl94">
    <w:name w:val="xl94"/>
    <w:basedOn w:val="a"/>
    <w:rsid w:val="00DD23C7"/>
    <w:pPr>
      <w:widowControl/>
      <w:pBdr>
        <w:top w:val="single" w:sz="4" w:space="0" w:color="auto"/>
        <w:left w:val="single" w:sz="8" w:space="0" w:color="auto"/>
        <w:bottom w:val="single" w:sz="8" w:space="0" w:color="auto"/>
      </w:pBdr>
      <w:spacing w:before="100" w:beforeAutospacing="1" w:after="100" w:afterAutospacing="1"/>
      <w:jc w:val="center"/>
      <w:textAlignment w:val="top"/>
    </w:pPr>
    <w:rPr>
      <w:b/>
      <w:bCs/>
      <w:color w:val="000000"/>
      <w:kern w:val="0"/>
      <w:sz w:val="24"/>
    </w:rPr>
  </w:style>
  <w:style w:type="paragraph" w:customStyle="1" w:styleId="xl95">
    <w:name w:val="xl95"/>
    <w:basedOn w:val="a"/>
    <w:rsid w:val="00DD23C7"/>
    <w:pPr>
      <w:widowControl/>
      <w:pBdr>
        <w:top w:val="single" w:sz="8" w:space="0" w:color="auto"/>
      </w:pBdr>
      <w:shd w:val="clear" w:color="000000" w:fill="538ED5"/>
      <w:spacing w:before="100" w:beforeAutospacing="1" w:after="100" w:afterAutospacing="1"/>
      <w:jc w:val="center"/>
    </w:pPr>
    <w:rPr>
      <w:rFonts w:ascii="宋体" w:hAnsi="宋体" w:cs="宋体"/>
      <w:kern w:val="0"/>
      <w:szCs w:val="21"/>
    </w:rPr>
  </w:style>
  <w:style w:type="paragraph" w:customStyle="1" w:styleId="xl96">
    <w:name w:val="xl96"/>
    <w:basedOn w:val="a"/>
    <w:rsid w:val="00DD23C7"/>
    <w:pPr>
      <w:widowControl/>
      <w:pBdr>
        <w:top w:val="single" w:sz="8" w:space="0" w:color="auto"/>
        <w:right w:val="single" w:sz="8" w:space="0" w:color="auto"/>
      </w:pBdr>
      <w:shd w:val="clear" w:color="000000" w:fill="00CCFF"/>
      <w:spacing w:before="100" w:beforeAutospacing="1" w:after="100" w:afterAutospacing="1"/>
      <w:jc w:val="center"/>
    </w:pPr>
    <w:rPr>
      <w:rFonts w:ascii="宋体" w:hAnsi="宋体" w:cs="宋体"/>
      <w:color w:val="000000"/>
      <w:kern w:val="0"/>
      <w:szCs w:val="21"/>
    </w:rPr>
  </w:style>
  <w:style w:type="paragraph" w:customStyle="1" w:styleId="xl97">
    <w:name w:val="xl97"/>
    <w:basedOn w:val="a"/>
    <w:rsid w:val="00DD23C7"/>
    <w:pPr>
      <w:widowControl/>
      <w:pBdr>
        <w:top w:val="single" w:sz="8" w:space="0" w:color="auto"/>
        <w:right w:val="single" w:sz="8" w:space="0" w:color="auto"/>
      </w:pBdr>
      <w:shd w:val="clear" w:color="000000" w:fill="92D050"/>
      <w:spacing w:before="100" w:beforeAutospacing="1" w:after="100" w:afterAutospacing="1"/>
      <w:jc w:val="center"/>
    </w:pPr>
    <w:rPr>
      <w:kern w:val="0"/>
      <w:szCs w:val="21"/>
    </w:rPr>
  </w:style>
  <w:style w:type="paragraph" w:customStyle="1" w:styleId="xl98">
    <w:name w:val="xl98"/>
    <w:basedOn w:val="a"/>
    <w:rsid w:val="00DD23C7"/>
    <w:pPr>
      <w:widowControl/>
      <w:pBdr>
        <w:top w:val="single" w:sz="8" w:space="0" w:color="auto"/>
      </w:pBdr>
      <w:shd w:val="clear" w:color="000000" w:fill="538ED5"/>
      <w:spacing w:before="100" w:beforeAutospacing="1" w:after="100" w:afterAutospacing="1"/>
      <w:jc w:val="center"/>
    </w:pPr>
    <w:rPr>
      <w:rFonts w:ascii="宋体" w:hAnsi="宋体" w:cs="宋体"/>
      <w:kern w:val="0"/>
      <w:szCs w:val="21"/>
    </w:rPr>
  </w:style>
  <w:style w:type="paragraph" w:customStyle="1" w:styleId="xl99">
    <w:name w:val="xl99"/>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0">
    <w:name w:val="xl100"/>
    <w:basedOn w:val="a"/>
    <w:rsid w:val="00DD23C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01">
    <w:name w:val="xl101"/>
    <w:basedOn w:val="a"/>
    <w:rsid w:val="00DD23C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rsid w:val="00DD23C7"/>
    <w:pPr>
      <w:widowControl/>
      <w:pBdr>
        <w:top w:val="single" w:sz="8" w:space="0" w:color="000000"/>
        <w:left w:val="single" w:sz="8" w:space="0" w:color="000000"/>
        <w:bottom w:val="single" w:sz="8" w:space="0" w:color="000000"/>
        <w:right w:val="double" w:sz="6" w:space="0" w:color="000000"/>
      </w:pBdr>
      <w:spacing w:before="100" w:beforeAutospacing="1" w:after="100" w:afterAutospacing="1"/>
      <w:jc w:val="center"/>
      <w:textAlignment w:val="bottom"/>
    </w:pPr>
    <w:rPr>
      <w:color w:val="000000"/>
      <w:kern w:val="0"/>
      <w:szCs w:val="21"/>
    </w:rPr>
  </w:style>
  <w:style w:type="paragraph" w:customStyle="1" w:styleId="xl103">
    <w:name w:val="xl103"/>
    <w:basedOn w:val="a"/>
    <w:rsid w:val="00DD23C7"/>
    <w:pPr>
      <w:widowControl/>
      <w:pBdr>
        <w:top w:val="single" w:sz="8" w:space="0" w:color="000000"/>
        <w:bottom w:val="single" w:sz="8" w:space="0" w:color="000000"/>
        <w:right w:val="double" w:sz="6" w:space="0" w:color="000000"/>
      </w:pBdr>
      <w:spacing w:before="100" w:beforeAutospacing="1" w:after="100" w:afterAutospacing="1"/>
      <w:jc w:val="center"/>
      <w:textAlignment w:val="bottom"/>
    </w:pPr>
    <w:rPr>
      <w:color w:val="000000"/>
      <w:kern w:val="0"/>
      <w:szCs w:val="21"/>
    </w:rPr>
  </w:style>
  <w:style w:type="paragraph" w:customStyle="1" w:styleId="xl104">
    <w:name w:val="xl104"/>
    <w:basedOn w:val="a"/>
    <w:rsid w:val="00DD23C7"/>
    <w:pPr>
      <w:widowControl/>
      <w:pBdr>
        <w:left w:val="single" w:sz="8" w:space="0" w:color="000000"/>
        <w:bottom w:val="single" w:sz="8" w:space="0" w:color="000000"/>
        <w:right w:val="double" w:sz="6" w:space="0" w:color="000000"/>
      </w:pBdr>
      <w:spacing w:before="100" w:beforeAutospacing="1" w:after="100" w:afterAutospacing="1"/>
      <w:jc w:val="center"/>
      <w:textAlignment w:val="bottom"/>
    </w:pPr>
    <w:rPr>
      <w:color w:val="000000"/>
      <w:kern w:val="0"/>
      <w:szCs w:val="21"/>
    </w:rPr>
  </w:style>
  <w:style w:type="paragraph" w:customStyle="1" w:styleId="xl105">
    <w:name w:val="xl105"/>
    <w:basedOn w:val="a"/>
    <w:rsid w:val="00DD23C7"/>
    <w:pPr>
      <w:widowControl/>
      <w:pBdr>
        <w:bottom w:val="single" w:sz="8" w:space="0" w:color="000000"/>
        <w:right w:val="double" w:sz="6" w:space="0" w:color="000000"/>
      </w:pBdr>
      <w:spacing w:before="100" w:beforeAutospacing="1" w:after="100" w:afterAutospacing="1"/>
      <w:jc w:val="center"/>
      <w:textAlignment w:val="bottom"/>
    </w:pPr>
    <w:rPr>
      <w:color w:val="000000"/>
      <w:kern w:val="0"/>
      <w:szCs w:val="21"/>
    </w:rPr>
  </w:style>
  <w:style w:type="paragraph" w:customStyle="1" w:styleId="xl106">
    <w:name w:val="xl106"/>
    <w:basedOn w:val="a"/>
    <w:rsid w:val="00DD23C7"/>
    <w:pPr>
      <w:widowControl/>
      <w:pBdr>
        <w:top w:val="single" w:sz="8" w:space="0" w:color="auto"/>
        <w:right w:val="single" w:sz="8" w:space="0" w:color="auto"/>
      </w:pBdr>
      <w:shd w:val="clear" w:color="000000" w:fill="B6DDE8"/>
      <w:spacing w:before="100" w:beforeAutospacing="1" w:after="100" w:afterAutospacing="1"/>
      <w:jc w:val="center"/>
    </w:pPr>
    <w:rPr>
      <w:rFonts w:ascii="宋体" w:hAnsi="宋体" w:cs="宋体"/>
      <w:color w:val="000000"/>
      <w:kern w:val="0"/>
      <w:szCs w:val="21"/>
    </w:rPr>
  </w:style>
  <w:style w:type="paragraph" w:customStyle="1" w:styleId="xl107">
    <w:name w:val="xl107"/>
    <w:basedOn w:val="a"/>
    <w:rsid w:val="00DD23C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b/>
      <w:bCs/>
      <w:kern w:val="0"/>
      <w:sz w:val="24"/>
    </w:rPr>
  </w:style>
  <w:style w:type="paragraph" w:customStyle="1" w:styleId="xl108">
    <w:name w:val="xl108"/>
    <w:basedOn w:val="a"/>
    <w:rsid w:val="00DD23C7"/>
    <w:pPr>
      <w:widowControl/>
      <w:pBdr>
        <w:bottom w:val="single" w:sz="8" w:space="0" w:color="000000"/>
        <w:right w:val="single" w:sz="8" w:space="0" w:color="000000"/>
      </w:pBdr>
      <w:spacing w:before="100" w:beforeAutospacing="1" w:after="100" w:afterAutospacing="1"/>
      <w:textAlignment w:val="top"/>
    </w:pPr>
    <w:rPr>
      <w:rFonts w:ascii="宋体" w:hAnsi="宋体" w:cs="宋体"/>
      <w:color w:val="000000"/>
      <w:kern w:val="0"/>
      <w:sz w:val="24"/>
    </w:rPr>
  </w:style>
  <w:style w:type="paragraph" w:customStyle="1" w:styleId="xl109">
    <w:name w:val="xl109"/>
    <w:basedOn w:val="a"/>
    <w:rsid w:val="00DD23C7"/>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kern w:val="0"/>
      <w:sz w:val="18"/>
      <w:szCs w:val="18"/>
    </w:rPr>
  </w:style>
  <w:style w:type="paragraph" w:customStyle="1" w:styleId="xl110">
    <w:name w:val="xl110"/>
    <w:basedOn w:val="a"/>
    <w:rsid w:val="00DD23C7"/>
    <w:pPr>
      <w:widowControl/>
      <w:pBdr>
        <w:left w:val="single" w:sz="8" w:space="0" w:color="000000"/>
        <w:bottom w:val="single" w:sz="8" w:space="0" w:color="000000"/>
        <w:right w:val="single" w:sz="8" w:space="0" w:color="000000"/>
      </w:pBdr>
      <w:spacing w:before="100" w:beforeAutospacing="1" w:after="100" w:afterAutospacing="1"/>
      <w:jc w:val="center"/>
    </w:pPr>
    <w:rPr>
      <w:color w:val="000000"/>
      <w:kern w:val="0"/>
      <w:sz w:val="18"/>
      <w:szCs w:val="18"/>
    </w:rPr>
  </w:style>
  <w:style w:type="paragraph" w:customStyle="1" w:styleId="xl111">
    <w:name w:val="xl111"/>
    <w:basedOn w:val="a"/>
    <w:rsid w:val="00DD23C7"/>
    <w:pPr>
      <w:widowControl/>
      <w:pBdr>
        <w:top w:val="single" w:sz="8" w:space="0" w:color="000000"/>
        <w:left w:val="single" w:sz="4" w:space="0" w:color="auto"/>
        <w:right w:val="single" w:sz="4" w:space="0" w:color="auto"/>
      </w:pBdr>
      <w:spacing w:before="100" w:beforeAutospacing="1" w:after="100" w:afterAutospacing="1"/>
      <w:jc w:val="left"/>
    </w:pPr>
    <w:rPr>
      <w:b/>
      <w:bCs/>
      <w:kern w:val="0"/>
      <w:sz w:val="24"/>
    </w:rPr>
  </w:style>
  <w:style w:type="paragraph" w:customStyle="1" w:styleId="xl112">
    <w:name w:val="xl112"/>
    <w:basedOn w:val="a"/>
    <w:rsid w:val="00DD23C7"/>
    <w:pPr>
      <w:widowControl/>
      <w:pBdr>
        <w:bottom w:val="single" w:sz="8" w:space="0" w:color="auto"/>
        <w:right w:val="single" w:sz="8" w:space="0" w:color="auto"/>
      </w:pBdr>
      <w:spacing w:before="100" w:beforeAutospacing="1" w:after="100" w:afterAutospacing="1"/>
      <w:jc w:val="center"/>
    </w:pPr>
    <w:rPr>
      <w:rFonts w:ascii="等线" w:eastAsia="等线" w:hAnsi="等线" w:cs="宋体"/>
      <w:color w:val="000000"/>
      <w:kern w:val="0"/>
      <w:sz w:val="24"/>
    </w:rPr>
  </w:style>
  <w:style w:type="paragraph" w:customStyle="1" w:styleId="xl113">
    <w:name w:val="xl113"/>
    <w:basedOn w:val="a"/>
    <w:rsid w:val="00DD23C7"/>
    <w:pPr>
      <w:widowControl/>
      <w:pBdr>
        <w:top w:val="single" w:sz="8" w:space="0" w:color="000000"/>
        <w:bottom w:val="single" w:sz="8" w:space="0" w:color="000000"/>
        <w:right w:val="double" w:sz="6" w:space="0" w:color="000000"/>
      </w:pBdr>
      <w:spacing w:before="100" w:beforeAutospacing="1" w:after="100" w:afterAutospacing="1"/>
      <w:jc w:val="center"/>
      <w:textAlignment w:val="bottom"/>
    </w:pPr>
    <w:rPr>
      <w:color w:val="000000"/>
      <w:kern w:val="0"/>
      <w:szCs w:val="21"/>
    </w:rPr>
  </w:style>
  <w:style w:type="paragraph" w:customStyle="1" w:styleId="xl114">
    <w:name w:val="xl114"/>
    <w:basedOn w:val="a"/>
    <w:rsid w:val="00DD23C7"/>
    <w:pPr>
      <w:widowControl/>
      <w:pBdr>
        <w:bottom w:val="single" w:sz="8" w:space="0" w:color="000000"/>
        <w:right w:val="double" w:sz="6" w:space="0" w:color="000000"/>
      </w:pBdr>
      <w:spacing w:before="100" w:beforeAutospacing="1" w:after="100" w:afterAutospacing="1"/>
      <w:jc w:val="center"/>
      <w:textAlignment w:val="bottom"/>
    </w:pPr>
    <w:rPr>
      <w:color w:val="000000"/>
      <w:kern w:val="0"/>
      <w:szCs w:val="21"/>
    </w:rPr>
  </w:style>
  <w:style w:type="paragraph" w:customStyle="1" w:styleId="xl115">
    <w:name w:val="xl115"/>
    <w:basedOn w:val="a"/>
    <w:rsid w:val="00DD23C7"/>
    <w:pPr>
      <w:widowControl/>
      <w:pBdr>
        <w:top w:val="single" w:sz="8" w:space="0" w:color="000000"/>
        <w:left w:val="single" w:sz="8" w:space="0" w:color="000000"/>
        <w:bottom w:val="single" w:sz="8" w:space="0" w:color="000000"/>
        <w:right w:val="double" w:sz="6" w:space="0" w:color="000000"/>
      </w:pBdr>
      <w:spacing w:before="100" w:beforeAutospacing="1" w:after="100" w:afterAutospacing="1"/>
      <w:jc w:val="center"/>
      <w:textAlignment w:val="bottom"/>
    </w:pPr>
    <w:rPr>
      <w:color w:val="000000"/>
      <w:kern w:val="0"/>
      <w:szCs w:val="21"/>
    </w:rPr>
  </w:style>
  <w:style w:type="paragraph" w:customStyle="1" w:styleId="xl116">
    <w:name w:val="xl116"/>
    <w:basedOn w:val="a"/>
    <w:rsid w:val="00DD23C7"/>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kern w:val="0"/>
      <w:sz w:val="18"/>
      <w:szCs w:val="18"/>
    </w:rPr>
  </w:style>
  <w:style w:type="paragraph" w:customStyle="1" w:styleId="xl117">
    <w:name w:val="xl117"/>
    <w:basedOn w:val="a"/>
    <w:rsid w:val="00DD23C7"/>
    <w:pPr>
      <w:widowControl/>
      <w:pBdr>
        <w:left w:val="single" w:sz="8" w:space="0" w:color="000000"/>
        <w:bottom w:val="single" w:sz="8" w:space="0" w:color="000000"/>
        <w:right w:val="single" w:sz="8" w:space="0" w:color="000000"/>
      </w:pBdr>
      <w:spacing w:before="100" w:beforeAutospacing="1" w:after="100" w:afterAutospacing="1"/>
      <w:jc w:val="center"/>
    </w:pPr>
    <w:rPr>
      <w:color w:val="000000"/>
      <w:kern w:val="0"/>
      <w:sz w:val="18"/>
      <w:szCs w:val="18"/>
    </w:rPr>
  </w:style>
  <w:style w:type="paragraph" w:customStyle="1" w:styleId="xl118">
    <w:name w:val="xl118"/>
    <w:basedOn w:val="a"/>
    <w:rsid w:val="00DD23C7"/>
    <w:pPr>
      <w:widowControl/>
      <w:pBdr>
        <w:top w:val="single" w:sz="8" w:space="0" w:color="000000"/>
        <w:bottom w:val="single" w:sz="8" w:space="0" w:color="000000"/>
        <w:right w:val="double" w:sz="6" w:space="0" w:color="000000"/>
      </w:pBdr>
      <w:spacing w:before="100" w:beforeAutospacing="1" w:after="100" w:afterAutospacing="1"/>
      <w:jc w:val="center"/>
      <w:textAlignment w:val="bottom"/>
    </w:pPr>
    <w:rPr>
      <w:color w:val="000000"/>
      <w:kern w:val="0"/>
      <w:szCs w:val="21"/>
    </w:rPr>
  </w:style>
  <w:style w:type="paragraph" w:customStyle="1" w:styleId="xl119">
    <w:name w:val="xl119"/>
    <w:basedOn w:val="a"/>
    <w:rsid w:val="00DD23C7"/>
    <w:pPr>
      <w:widowControl/>
      <w:pBdr>
        <w:bottom w:val="single" w:sz="8" w:space="0" w:color="000000"/>
        <w:right w:val="double" w:sz="6" w:space="0" w:color="000000"/>
      </w:pBdr>
      <w:spacing w:before="100" w:beforeAutospacing="1" w:after="100" w:afterAutospacing="1"/>
      <w:jc w:val="center"/>
      <w:textAlignment w:val="bottom"/>
    </w:pPr>
    <w:rPr>
      <w:color w:val="000000"/>
      <w:kern w:val="0"/>
      <w:szCs w:val="21"/>
    </w:rPr>
  </w:style>
  <w:style w:type="paragraph" w:customStyle="1" w:styleId="xl120">
    <w:name w:val="xl120"/>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22">
    <w:name w:val="xl122"/>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3">
    <w:name w:val="xl123"/>
    <w:basedOn w:val="a"/>
    <w:rsid w:val="00DD23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4">
    <w:name w:val="xl124"/>
    <w:basedOn w:val="a"/>
    <w:rsid w:val="00DD23C7"/>
    <w:pPr>
      <w:widowControl/>
      <w:pBdr>
        <w:top w:val="single" w:sz="8" w:space="0" w:color="auto"/>
        <w:right w:val="single" w:sz="4" w:space="0" w:color="auto"/>
      </w:pBdr>
      <w:spacing w:before="100" w:beforeAutospacing="1" w:after="100" w:afterAutospacing="1"/>
      <w:jc w:val="center"/>
    </w:pPr>
    <w:rPr>
      <w:rFonts w:ascii="宋体" w:hAnsi="宋体" w:cs="宋体"/>
      <w:color w:val="00B050"/>
      <w:kern w:val="0"/>
      <w:sz w:val="18"/>
      <w:szCs w:val="18"/>
    </w:rPr>
  </w:style>
  <w:style w:type="paragraph" w:customStyle="1" w:styleId="xl125">
    <w:name w:val="xl125"/>
    <w:basedOn w:val="a"/>
    <w:rsid w:val="00DD23C7"/>
    <w:pPr>
      <w:widowControl/>
      <w:pBdr>
        <w:right w:val="single" w:sz="4" w:space="0" w:color="auto"/>
      </w:pBdr>
      <w:spacing w:before="100" w:beforeAutospacing="1" w:after="100" w:afterAutospacing="1"/>
      <w:jc w:val="center"/>
    </w:pPr>
    <w:rPr>
      <w:rFonts w:ascii="宋体" w:hAnsi="宋体" w:cs="宋体"/>
      <w:color w:val="00B050"/>
      <w:kern w:val="0"/>
      <w:sz w:val="18"/>
      <w:szCs w:val="18"/>
    </w:rPr>
  </w:style>
  <w:style w:type="paragraph" w:customStyle="1" w:styleId="xl126">
    <w:name w:val="xl126"/>
    <w:basedOn w:val="a"/>
    <w:rsid w:val="00DD23C7"/>
    <w:pPr>
      <w:widowControl/>
      <w:pBdr>
        <w:bottom w:val="single" w:sz="4" w:space="0" w:color="auto"/>
        <w:right w:val="single" w:sz="4" w:space="0" w:color="auto"/>
      </w:pBdr>
      <w:spacing w:before="100" w:beforeAutospacing="1" w:after="100" w:afterAutospacing="1"/>
      <w:jc w:val="center"/>
    </w:pPr>
    <w:rPr>
      <w:rFonts w:ascii="宋体" w:hAnsi="宋体" w:cs="宋体"/>
      <w:color w:val="00B050"/>
      <w:kern w:val="0"/>
      <w:sz w:val="18"/>
      <w:szCs w:val="18"/>
    </w:rPr>
  </w:style>
  <w:style w:type="paragraph" w:customStyle="1" w:styleId="xl127">
    <w:name w:val="xl127"/>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8">
    <w:name w:val="xl128"/>
    <w:basedOn w:val="a"/>
    <w:rsid w:val="00DD23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9">
    <w:name w:val="xl129"/>
    <w:basedOn w:val="a"/>
    <w:rsid w:val="00DD23C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i/>
      <w:iCs/>
      <w:color w:val="000000"/>
      <w:kern w:val="0"/>
      <w:sz w:val="24"/>
    </w:rPr>
  </w:style>
  <w:style w:type="paragraph" w:customStyle="1" w:styleId="xl130">
    <w:name w:val="xl130"/>
    <w:basedOn w:val="a"/>
    <w:rsid w:val="00DD23C7"/>
    <w:pPr>
      <w:widowControl/>
      <w:pBdr>
        <w:left w:val="single" w:sz="4" w:space="0" w:color="auto"/>
        <w:right w:val="single" w:sz="4" w:space="0" w:color="auto"/>
      </w:pBdr>
      <w:spacing w:before="100" w:beforeAutospacing="1" w:after="100" w:afterAutospacing="1"/>
      <w:jc w:val="left"/>
    </w:pPr>
    <w:rPr>
      <w:rFonts w:ascii="宋体" w:hAnsi="宋体" w:cs="宋体"/>
      <w:i/>
      <w:iCs/>
      <w:color w:val="000000"/>
      <w:kern w:val="0"/>
      <w:sz w:val="24"/>
    </w:rPr>
  </w:style>
  <w:style w:type="paragraph" w:customStyle="1" w:styleId="xl131">
    <w:name w:val="xl131"/>
    <w:basedOn w:val="a"/>
    <w:rsid w:val="00DD23C7"/>
    <w:pPr>
      <w:widowControl/>
      <w:pBdr>
        <w:top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
    <w:rsid w:val="00DD23C7"/>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3">
    <w:name w:val="xl133"/>
    <w:basedOn w:val="a"/>
    <w:rsid w:val="00DD23C7"/>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
    <w:rsid w:val="00DD23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
    <w:rsid w:val="00DD23C7"/>
    <w:pPr>
      <w:widowControl/>
      <w:pBdr>
        <w:top w:val="single" w:sz="8" w:space="0" w:color="auto"/>
        <w:right w:val="single" w:sz="4" w:space="0" w:color="auto"/>
      </w:pBdr>
      <w:spacing w:before="100" w:beforeAutospacing="1" w:after="100" w:afterAutospacing="1"/>
      <w:jc w:val="center"/>
    </w:pPr>
    <w:rPr>
      <w:rFonts w:ascii="宋体" w:hAnsi="宋体" w:cs="宋体"/>
      <w:color w:val="00B050"/>
      <w:kern w:val="0"/>
      <w:sz w:val="18"/>
      <w:szCs w:val="18"/>
    </w:rPr>
  </w:style>
  <w:style w:type="paragraph" w:customStyle="1" w:styleId="xl136">
    <w:name w:val="xl136"/>
    <w:basedOn w:val="a"/>
    <w:rsid w:val="00DD23C7"/>
    <w:pPr>
      <w:widowControl/>
      <w:pBdr>
        <w:right w:val="single" w:sz="4" w:space="0" w:color="auto"/>
      </w:pBdr>
      <w:spacing w:before="100" w:beforeAutospacing="1" w:after="100" w:afterAutospacing="1"/>
      <w:jc w:val="center"/>
    </w:pPr>
    <w:rPr>
      <w:rFonts w:ascii="宋体" w:hAnsi="宋体" w:cs="宋体"/>
      <w:color w:val="00B050"/>
      <w:kern w:val="0"/>
      <w:sz w:val="18"/>
      <w:szCs w:val="18"/>
    </w:rPr>
  </w:style>
  <w:style w:type="paragraph" w:customStyle="1" w:styleId="xl137">
    <w:name w:val="xl137"/>
    <w:basedOn w:val="a"/>
    <w:rsid w:val="00DD23C7"/>
    <w:pPr>
      <w:widowControl/>
      <w:pBdr>
        <w:bottom w:val="single" w:sz="4" w:space="0" w:color="auto"/>
        <w:right w:val="single" w:sz="4" w:space="0" w:color="auto"/>
      </w:pBdr>
      <w:spacing w:before="100" w:beforeAutospacing="1" w:after="100" w:afterAutospacing="1"/>
      <w:jc w:val="center"/>
    </w:pPr>
    <w:rPr>
      <w:rFonts w:ascii="宋体" w:hAnsi="宋体" w:cs="宋体"/>
      <w:color w:val="00B050"/>
      <w:kern w:val="0"/>
      <w:sz w:val="18"/>
      <w:szCs w:val="18"/>
    </w:rPr>
  </w:style>
  <w:style w:type="paragraph" w:customStyle="1" w:styleId="xl138">
    <w:name w:val="xl138"/>
    <w:basedOn w:val="a"/>
    <w:rsid w:val="00DD23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9">
    <w:name w:val="xl139"/>
    <w:basedOn w:val="a"/>
    <w:rsid w:val="00DD23C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0">
    <w:name w:val="xl140"/>
    <w:basedOn w:val="a"/>
    <w:rsid w:val="00DD23C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i/>
      <w:iCs/>
      <w:color w:val="000000"/>
      <w:kern w:val="0"/>
      <w:sz w:val="24"/>
    </w:rPr>
  </w:style>
  <w:style w:type="paragraph" w:customStyle="1" w:styleId="xl141">
    <w:name w:val="xl141"/>
    <w:basedOn w:val="a"/>
    <w:rsid w:val="00DD23C7"/>
    <w:pPr>
      <w:widowControl/>
      <w:pBdr>
        <w:left w:val="single" w:sz="4" w:space="0" w:color="auto"/>
        <w:right w:val="single" w:sz="4" w:space="0" w:color="auto"/>
      </w:pBdr>
      <w:spacing w:before="100" w:beforeAutospacing="1" w:after="100" w:afterAutospacing="1"/>
      <w:jc w:val="left"/>
    </w:pPr>
    <w:rPr>
      <w:rFonts w:ascii="宋体" w:hAnsi="宋体" w:cs="宋体"/>
      <w:i/>
      <w:iCs/>
      <w:color w:val="00000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13</Pages>
  <Words>2109</Words>
  <Characters>12027</Characters>
  <Application>Microsoft Office Word</Application>
  <DocSecurity>0</DocSecurity>
  <Lines>100</Lines>
  <Paragraphs>28</Paragraphs>
  <ScaleCrop>false</ScaleCrop>
  <Company>Sky123.Org</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2020-11-24T07:42:00Z</dcterms:created>
  <dcterms:modified xsi:type="dcterms:W3CDTF">2021-03-08T08:38:00Z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